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B21A3" w14:textId="3C68AD4F" w:rsidR="0083515C" w:rsidRDefault="0083515C" w:rsidP="00DF28F7">
      <w:pPr>
        <w:jc w:val="both"/>
        <w:rPr>
          <w:rFonts w:ascii="Times New Roman" w:eastAsia="Times New Roman" w:hAnsi="Times New Roman" w:cs="Times New Roman"/>
          <w:noProof/>
          <w:sz w:val="24"/>
          <w:szCs w:val="20"/>
        </w:rPr>
      </w:pPr>
    </w:p>
    <w:p w14:paraId="062DC76B" w14:textId="77777777" w:rsidR="000A3BB7" w:rsidRDefault="000A3BB7" w:rsidP="000A3BB7">
      <w:pPr>
        <w:jc w:val="center"/>
        <w:rPr>
          <w:rFonts w:ascii="Times New Roman" w:eastAsia="Times New Roman" w:hAnsi="Times New Roman" w:cs="Times New Roman"/>
          <w:noProof/>
          <w:sz w:val="24"/>
          <w:szCs w:val="20"/>
        </w:rPr>
      </w:pPr>
      <w:r>
        <w:rPr>
          <w:noProof/>
        </w:rPr>
        <w:drawing>
          <wp:inline distT="0" distB="0" distL="0" distR="0" wp14:anchorId="55BC451C" wp14:editId="32B41E10">
            <wp:extent cx="1371600" cy="9144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inline>
        </w:drawing>
      </w:r>
    </w:p>
    <w:p w14:paraId="2547FCDC" w14:textId="77777777" w:rsidR="000A3BB7" w:rsidRDefault="000A3BB7" w:rsidP="000A3BB7">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Eiropas Komisija</w:t>
      </w:r>
    </w:p>
    <w:p w14:paraId="3892667B" w14:textId="77777777" w:rsidR="000A3BB7" w:rsidRPr="00DF28F7" w:rsidRDefault="000A3BB7" w:rsidP="00DF28F7">
      <w:pPr>
        <w:jc w:val="both"/>
        <w:rPr>
          <w:rFonts w:ascii="Times New Roman" w:eastAsia="Times New Roman" w:hAnsi="Times New Roman" w:cs="Times New Roman"/>
          <w:noProof/>
          <w:sz w:val="24"/>
          <w:szCs w:val="20"/>
        </w:rPr>
      </w:pPr>
    </w:p>
    <w:p w14:paraId="72961AEB" w14:textId="77777777" w:rsidR="0083515C" w:rsidRPr="000A3BB7" w:rsidRDefault="0083515C" w:rsidP="000A3BB7">
      <w:pPr>
        <w:jc w:val="right"/>
        <w:rPr>
          <w:rFonts w:ascii="Times New Roman" w:hAnsi="Times New Roman"/>
          <w:b/>
          <w:i/>
          <w:iCs/>
          <w:noProof/>
          <w:sz w:val="32"/>
          <w:szCs w:val="28"/>
        </w:rPr>
      </w:pPr>
      <w:r w:rsidRPr="000A3BB7">
        <w:rPr>
          <w:rFonts w:ascii="Times New Roman" w:hAnsi="Times New Roman"/>
          <w:b/>
          <w:sz w:val="32"/>
          <w:szCs w:val="28"/>
        </w:rPr>
        <w:t>Ilgtspējīga bioekonomika Eiropai. Ekonomikas, sabiedrības un vides saistības stiprināšana</w:t>
      </w:r>
    </w:p>
    <w:p w14:paraId="03939CC4" w14:textId="77777777" w:rsidR="00CF10CD" w:rsidRPr="000A3BB7" w:rsidRDefault="00CF10CD" w:rsidP="000A3BB7">
      <w:pPr>
        <w:jc w:val="right"/>
        <w:rPr>
          <w:rFonts w:ascii="Times New Roman" w:hAnsi="Times New Roman"/>
          <w:i/>
          <w:noProof/>
          <w:sz w:val="28"/>
          <w:szCs w:val="24"/>
        </w:rPr>
      </w:pPr>
    </w:p>
    <w:p w14:paraId="50F1B430" w14:textId="77777777" w:rsidR="0083515C" w:rsidRPr="000A3BB7" w:rsidRDefault="0083515C" w:rsidP="000A3BB7">
      <w:pPr>
        <w:jc w:val="right"/>
        <w:rPr>
          <w:rFonts w:ascii="Times New Roman" w:hAnsi="Times New Roman"/>
          <w:i/>
          <w:noProof/>
          <w:sz w:val="28"/>
          <w:szCs w:val="24"/>
        </w:rPr>
      </w:pPr>
      <w:r w:rsidRPr="000A3BB7">
        <w:rPr>
          <w:rFonts w:ascii="Times New Roman" w:hAnsi="Times New Roman"/>
          <w:i/>
          <w:sz w:val="28"/>
          <w:szCs w:val="24"/>
        </w:rPr>
        <w:t>Atjauninātā bioekonomikas stratēģija</w:t>
      </w:r>
    </w:p>
    <w:p w14:paraId="639A7CFD" w14:textId="77777777" w:rsidR="0083515C" w:rsidRPr="00DF28F7" w:rsidRDefault="0083515C" w:rsidP="00DF28F7">
      <w:pPr>
        <w:jc w:val="both"/>
        <w:rPr>
          <w:rFonts w:ascii="Times New Roman" w:eastAsia="Calibri" w:hAnsi="Times New Roman" w:cs="Calibri"/>
          <w:iCs/>
          <w:noProof/>
          <w:sz w:val="24"/>
          <w:szCs w:val="20"/>
        </w:rPr>
      </w:pPr>
    </w:p>
    <w:p w14:paraId="38B9D0CD" w14:textId="77777777" w:rsidR="0083515C" w:rsidRPr="00DF28F7" w:rsidRDefault="00FB41C3" w:rsidP="000A3BB7">
      <w:pPr>
        <w:jc w:val="center"/>
        <w:rPr>
          <w:rFonts w:ascii="Times New Roman" w:eastAsia="Calibri" w:hAnsi="Times New Roman" w:cs="Calibri"/>
          <w:iCs/>
          <w:noProof/>
          <w:sz w:val="24"/>
          <w:szCs w:val="16"/>
        </w:rPr>
      </w:pPr>
      <w:r>
        <w:rPr>
          <w:rFonts w:ascii="Times New Roman" w:hAnsi="Times New Roman"/>
          <w:iCs/>
          <w:noProof/>
          <w:sz w:val="24"/>
          <w:szCs w:val="16"/>
        </w:rPr>
        <w:drawing>
          <wp:inline distT="0" distB="0" distL="0" distR="0" wp14:anchorId="183A4097" wp14:editId="57563C98">
            <wp:extent cx="4316818" cy="3751264"/>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4311" cy="3766465"/>
                    </a:xfrm>
                    <a:prstGeom prst="rect">
                      <a:avLst/>
                    </a:prstGeom>
                    <a:noFill/>
                    <a:ln>
                      <a:noFill/>
                    </a:ln>
                  </pic:spPr>
                </pic:pic>
              </a:graphicData>
            </a:graphic>
          </wp:inline>
        </w:drawing>
      </w:r>
    </w:p>
    <w:p w14:paraId="4B8C089C" w14:textId="77777777" w:rsidR="00FB41C3" w:rsidRPr="00DF28F7" w:rsidRDefault="00FB41C3" w:rsidP="00DF28F7">
      <w:pPr>
        <w:jc w:val="both"/>
        <w:rPr>
          <w:rFonts w:ascii="Times New Roman" w:eastAsia="Calibri" w:hAnsi="Times New Roman" w:cs="Calibri"/>
          <w:iCs/>
          <w:noProof/>
          <w:sz w:val="24"/>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81"/>
        <w:gridCol w:w="4547"/>
      </w:tblGrid>
      <w:tr w:rsidR="000A3BB7" w:rsidRPr="000A3BB7" w14:paraId="2F05F094" w14:textId="77777777" w:rsidTr="00150DA1">
        <w:tc>
          <w:tcPr>
            <w:tcW w:w="4581" w:type="dxa"/>
          </w:tcPr>
          <w:p w14:paraId="040AAD7A" w14:textId="506C71F6" w:rsidR="000A3BB7" w:rsidRPr="000A3BB7" w:rsidRDefault="000A3BB7" w:rsidP="000A3BB7">
            <w:pPr>
              <w:jc w:val="center"/>
              <w:rPr>
                <w:rFonts w:ascii="Times New Roman" w:hAnsi="Times New Roman"/>
                <w:sz w:val="20"/>
                <w:szCs w:val="20"/>
              </w:rPr>
            </w:pPr>
            <w:r w:rsidRPr="000A3BB7">
              <w:rPr>
                <w:rFonts w:ascii="Times New Roman" w:hAnsi="Times New Roman"/>
                <w:b/>
                <w:bCs/>
                <w:iCs/>
                <w:sz w:val="20"/>
                <w:szCs w:val="20"/>
              </w:rPr>
              <w:t>Angļu val.</w:t>
            </w:r>
          </w:p>
        </w:tc>
        <w:tc>
          <w:tcPr>
            <w:tcW w:w="4547" w:type="dxa"/>
          </w:tcPr>
          <w:p w14:paraId="28ADCFB4" w14:textId="6B5CC926" w:rsidR="000A3BB7" w:rsidRPr="000A3BB7" w:rsidRDefault="000A3BB7" w:rsidP="000A3BB7">
            <w:pPr>
              <w:jc w:val="center"/>
              <w:rPr>
                <w:rFonts w:ascii="Times New Roman" w:eastAsia="Calibri" w:hAnsi="Times New Roman" w:cs="Calibri"/>
                <w:iCs/>
                <w:noProof/>
                <w:sz w:val="20"/>
                <w:szCs w:val="20"/>
              </w:rPr>
            </w:pPr>
            <w:r w:rsidRPr="000A3BB7">
              <w:rPr>
                <w:rFonts w:ascii="Times New Roman" w:hAnsi="Times New Roman"/>
                <w:b/>
                <w:bCs/>
                <w:iCs/>
                <w:sz w:val="20"/>
                <w:szCs w:val="20"/>
              </w:rPr>
              <w:t>Latviešu val.</w:t>
            </w:r>
          </w:p>
        </w:tc>
      </w:tr>
      <w:tr w:rsidR="000A3BB7" w:rsidRPr="000A3BB7" w14:paraId="6768F19D" w14:textId="77777777" w:rsidTr="00150DA1">
        <w:tc>
          <w:tcPr>
            <w:tcW w:w="4581" w:type="dxa"/>
          </w:tcPr>
          <w:p w14:paraId="56333518" w14:textId="4224DCD1" w:rsidR="000A3BB7" w:rsidRPr="000A3BB7" w:rsidRDefault="000A3BB7" w:rsidP="000A3BB7">
            <w:pPr>
              <w:jc w:val="both"/>
              <w:rPr>
                <w:rFonts w:ascii="Times New Roman" w:eastAsia="Calibri" w:hAnsi="Times New Roman" w:cs="Calibri"/>
                <w:iCs/>
                <w:noProof/>
                <w:sz w:val="20"/>
                <w:szCs w:val="20"/>
              </w:rPr>
            </w:pPr>
            <w:r w:rsidRPr="000A3BB7">
              <w:rPr>
                <w:rFonts w:ascii="Times New Roman" w:eastAsia="Calibri" w:hAnsi="Times New Roman" w:cs="Calibri"/>
                <w:iCs/>
                <w:noProof/>
                <w:sz w:val="20"/>
                <w:szCs w:val="20"/>
              </w:rPr>
              <w:t>ENSURING FOOD SECURITY</w:t>
            </w:r>
          </w:p>
        </w:tc>
        <w:tc>
          <w:tcPr>
            <w:tcW w:w="4547" w:type="dxa"/>
          </w:tcPr>
          <w:p w14:paraId="0588AD31" w14:textId="3DD8FDB9" w:rsidR="000A3BB7" w:rsidRPr="000A3BB7" w:rsidRDefault="000A3BB7" w:rsidP="000A3BB7">
            <w:pPr>
              <w:jc w:val="both"/>
              <w:rPr>
                <w:rFonts w:ascii="Times New Roman" w:eastAsia="Calibri" w:hAnsi="Times New Roman" w:cs="Calibri"/>
                <w:iCs/>
                <w:noProof/>
                <w:sz w:val="20"/>
                <w:szCs w:val="20"/>
              </w:rPr>
            </w:pPr>
            <w:r w:rsidRPr="000A3BB7">
              <w:rPr>
                <w:rFonts w:ascii="Times New Roman" w:hAnsi="Times New Roman"/>
                <w:sz w:val="20"/>
                <w:szCs w:val="20"/>
              </w:rPr>
              <w:t>PĀRTIKAS NODROŠINĀJUMA GARANTĒŠANA</w:t>
            </w:r>
          </w:p>
        </w:tc>
      </w:tr>
      <w:tr w:rsidR="000A3BB7" w:rsidRPr="000A3BB7" w14:paraId="1325ED15" w14:textId="77777777" w:rsidTr="00150DA1">
        <w:tc>
          <w:tcPr>
            <w:tcW w:w="4581" w:type="dxa"/>
          </w:tcPr>
          <w:p w14:paraId="4009F272" w14:textId="1B38142C" w:rsidR="000A3BB7" w:rsidRPr="000A3BB7" w:rsidRDefault="000A3BB7" w:rsidP="000A3BB7">
            <w:pPr>
              <w:jc w:val="both"/>
              <w:rPr>
                <w:rFonts w:ascii="Times New Roman" w:eastAsia="Calibri" w:hAnsi="Times New Roman" w:cs="Calibri"/>
                <w:iCs/>
                <w:noProof/>
                <w:sz w:val="20"/>
                <w:szCs w:val="20"/>
              </w:rPr>
            </w:pPr>
            <w:r w:rsidRPr="000A3BB7">
              <w:rPr>
                <w:rFonts w:ascii="Times New Roman" w:eastAsia="Calibri" w:hAnsi="Times New Roman" w:cs="Calibri"/>
                <w:iCs/>
                <w:noProof/>
                <w:sz w:val="20"/>
                <w:szCs w:val="20"/>
              </w:rPr>
              <w:t>MOVING FROM A FOSSIL-BASED ECONOMY TO A BIOECONOMY</w:t>
            </w:r>
          </w:p>
        </w:tc>
        <w:tc>
          <w:tcPr>
            <w:tcW w:w="4547" w:type="dxa"/>
          </w:tcPr>
          <w:p w14:paraId="58A6D428" w14:textId="488A730E" w:rsidR="000A3BB7" w:rsidRPr="000A3BB7" w:rsidRDefault="000A3BB7" w:rsidP="000A3BB7">
            <w:pPr>
              <w:jc w:val="both"/>
              <w:rPr>
                <w:rFonts w:ascii="Times New Roman" w:eastAsia="Calibri" w:hAnsi="Times New Roman" w:cs="Calibri"/>
                <w:iCs/>
                <w:noProof/>
                <w:sz w:val="20"/>
                <w:szCs w:val="20"/>
              </w:rPr>
            </w:pPr>
            <w:r w:rsidRPr="000A3BB7">
              <w:rPr>
                <w:rFonts w:ascii="Times New Roman" w:hAnsi="Times New Roman"/>
                <w:sz w:val="20"/>
                <w:szCs w:val="20"/>
              </w:rPr>
              <w:t>PĀREJA NO FOSILO ENERGORESURSU EKONOMIKAS UZ BIOEKONOMIKU</w:t>
            </w:r>
          </w:p>
        </w:tc>
      </w:tr>
      <w:tr w:rsidR="000A3BB7" w:rsidRPr="000A3BB7" w14:paraId="3FDB9EAC" w14:textId="77777777" w:rsidTr="00150DA1">
        <w:tc>
          <w:tcPr>
            <w:tcW w:w="4581" w:type="dxa"/>
          </w:tcPr>
          <w:p w14:paraId="3104FD58" w14:textId="516A9215" w:rsidR="000A3BB7" w:rsidRPr="000A3BB7" w:rsidRDefault="000A3BB7" w:rsidP="000A3BB7">
            <w:pPr>
              <w:jc w:val="both"/>
              <w:rPr>
                <w:rFonts w:ascii="Times New Roman" w:eastAsia="Calibri" w:hAnsi="Times New Roman" w:cs="Calibri"/>
                <w:iCs/>
                <w:noProof/>
                <w:sz w:val="20"/>
                <w:szCs w:val="20"/>
              </w:rPr>
            </w:pPr>
            <w:r w:rsidRPr="000A3BB7">
              <w:rPr>
                <w:rFonts w:ascii="Times New Roman" w:eastAsia="Calibri" w:hAnsi="Times New Roman" w:cs="Calibri"/>
                <w:iCs/>
                <w:noProof/>
                <w:sz w:val="20"/>
                <w:szCs w:val="20"/>
              </w:rPr>
              <w:t>USING BETTER WHAT WE ALREADY USE</w:t>
            </w:r>
          </w:p>
        </w:tc>
        <w:tc>
          <w:tcPr>
            <w:tcW w:w="4547" w:type="dxa"/>
          </w:tcPr>
          <w:p w14:paraId="2777F415" w14:textId="026CB98E" w:rsidR="000A3BB7" w:rsidRPr="000A3BB7" w:rsidRDefault="000A3BB7" w:rsidP="000A3BB7">
            <w:pPr>
              <w:jc w:val="both"/>
              <w:rPr>
                <w:rFonts w:ascii="Times New Roman" w:eastAsia="Calibri" w:hAnsi="Times New Roman" w:cs="Calibri"/>
                <w:iCs/>
                <w:noProof/>
                <w:sz w:val="20"/>
                <w:szCs w:val="20"/>
              </w:rPr>
            </w:pPr>
            <w:r w:rsidRPr="000A3BB7">
              <w:rPr>
                <w:rFonts w:ascii="Times New Roman" w:hAnsi="Times New Roman"/>
                <w:sz w:val="20"/>
                <w:szCs w:val="20"/>
              </w:rPr>
              <w:t>LABĀKA TO RESURSU IZMANTOŠANA, KURUS JAU IZMANTOJAM</w:t>
            </w:r>
          </w:p>
        </w:tc>
      </w:tr>
      <w:tr w:rsidR="000A3BB7" w:rsidRPr="000A3BB7" w14:paraId="36011FF8" w14:textId="77777777" w:rsidTr="00150DA1">
        <w:tc>
          <w:tcPr>
            <w:tcW w:w="4581" w:type="dxa"/>
          </w:tcPr>
          <w:p w14:paraId="67630C8A" w14:textId="00730F04" w:rsidR="000A3BB7" w:rsidRPr="000A3BB7" w:rsidRDefault="000A3BB7" w:rsidP="000A3BB7">
            <w:pPr>
              <w:jc w:val="both"/>
              <w:rPr>
                <w:rFonts w:ascii="Times New Roman" w:eastAsia="Calibri" w:hAnsi="Times New Roman" w:cs="Calibri"/>
                <w:iCs/>
                <w:noProof/>
                <w:sz w:val="20"/>
                <w:szCs w:val="20"/>
              </w:rPr>
            </w:pPr>
            <w:r w:rsidRPr="000A3BB7">
              <w:rPr>
                <w:rFonts w:ascii="Times New Roman" w:eastAsia="Calibri" w:hAnsi="Times New Roman" w:cs="Calibri"/>
                <w:iCs/>
                <w:noProof/>
                <w:sz w:val="20"/>
                <w:szCs w:val="20"/>
              </w:rPr>
              <w:t>UNLOCKING THE POTENTIAL OF SEAS &amp; OCEANS</w:t>
            </w:r>
          </w:p>
        </w:tc>
        <w:tc>
          <w:tcPr>
            <w:tcW w:w="4547" w:type="dxa"/>
          </w:tcPr>
          <w:p w14:paraId="5DE50517" w14:textId="20172B6B" w:rsidR="000A3BB7" w:rsidRPr="000A3BB7" w:rsidRDefault="000A3BB7" w:rsidP="000A3BB7">
            <w:pPr>
              <w:jc w:val="both"/>
              <w:rPr>
                <w:rFonts w:ascii="Times New Roman" w:eastAsia="Calibri" w:hAnsi="Times New Roman" w:cs="Calibri"/>
                <w:iCs/>
                <w:noProof/>
                <w:sz w:val="20"/>
                <w:szCs w:val="20"/>
              </w:rPr>
            </w:pPr>
            <w:r w:rsidRPr="000A3BB7">
              <w:rPr>
                <w:rFonts w:ascii="Times New Roman" w:hAnsi="Times New Roman"/>
                <w:sz w:val="20"/>
                <w:szCs w:val="20"/>
              </w:rPr>
              <w:t>JŪRU UN OKEĀNU POTENCIĀLA ATRAISĪŠANA</w:t>
            </w:r>
          </w:p>
        </w:tc>
      </w:tr>
      <w:tr w:rsidR="000A3BB7" w:rsidRPr="000A3BB7" w14:paraId="253F7515" w14:textId="77777777" w:rsidTr="00150DA1">
        <w:tc>
          <w:tcPr>
            <w:tcW w:w="4581" w:type="dxa"/>
          </w:tcPr>
          <w:p w14:paraId="6434340D" w14:textId="5913C8B2" w:rsidR="000A3BB7" w:rsidRPr="000A3BB7" w:rsidRDefault="000A3BB7" w:rsidP="000A3BB7">
            <w:pPr>
              <w:jc w:val="both"/>
              <w:rPr>
                <w:rFonts w:ascii="Times New Roman" w:eastAsia="Calibri" w:hAnsi="Times New Roman" w:cs="Calibri"/>
                <w:iCs/>
                <w:noProof/>
                <w:sz w:val="20"/>
                <w:szCs w:val="20"/>
              </w:rPr>
            </w:pPr>
            <w:r w:rsidRPr="000A3BB7">
              <w:rPr>
                <w:rFonts w:ascii="Times New Roman" w:eastAsia="Calibri" w:hAnsi="Times New Roman" w:cs="Calibri"/>
                <w:iCs/>
                <w:noProof/>
                <w:sz w:val="20"/>
                <w:szCs w:val="20"/>
              </w:rPr>
              <w:t>USING WELL WHAT WE DON'T USE YET</w:t>
            </w:r>
          </w:p>
        </w:tc>
        <w:tc>
          <w:tcPr>
            <w:tcW w:w="4547" w:type="dxa"/>
          </w:tcPr>
          <w:p w14:paraId="41BDB116" w14:textId="33E96F82" w:rsidR="000A3BB7" w:rsidRPr="000A3BB7" w:rsidRDefault="000A3BB7" w:rsidP="000A3BB7">
            <w:pPr>
              <w:jc w:val="both"/>
              <w:rPr>
                <w:rFonts w:ascii="Times New Roman" w:eastAsia="Calibri" w:hAnsi="Times New Roman" w:cs="Calibri"/>
                <w:iCs/>
                <w:noProof/>
                <w:sz w:val="20"/>
                <w:szCs w:val="20"/>
              </w:rPr>
            </w:pPr>
            <w:r w:rsidRPr="000A3BB7">
              <w:rPr>
                <w:rFonts w:ascii="Times New Roman" w:hAnsi="Times New Roman"/>
                <w:sz w:val="20"/>
                <w:szCs w:val="20"/>
              </w:rPr>
              <w:t>PRĀTĪGA TO RESURSU IZMANTOŠANA, KURUS MĒS VĒL NEIZMANTOJAM</w:t>
            </w:r>
          </w:p>
        </w:tc>
      </w:tr>
    </w:tbl>
    <w:p w14:paraId="0E7B632D" w14:textId="77777777" w:rsidR="00FB41C3" w:rsidRPr="00DF28F7" w:rsidRDefault="00FB41C3" w:rsidP="00DF28F7">
      <w:pPr>
        <w:jc w:val="both"/>
        <w:rPr>
          <w:rFonts w:ascii="Times New Roman" w:eastAsia="Calibri" w:hAnsi="Times New Roman" w:cs="Calibri"/>
          <w:iCs/>
          <w:noProof/>
          <w:sz w:val="24"/>
          <w:szCs w:val="16"/>
        </w:rPr>
      </w:pPr>
    </w:p>
    <w:p w14:paraId="2E985FD5" w14:textId="77777777" w:rsidR="0083515C" w:rsidRPr="00DF28F7" w:rsidRDefault="0083515C" w:rsidP="00DF28F7">
      <w:pPr>
        <w:tabs>
          <w:tab w:val="left" w:pos="1134"/>
        </w:tabs>
        <w:jc w:val="both"/>
        <w:rPr>
          <w:rFonts w:ascii="Times New Roman" w:hAnsi="Times New Roman"/>
          <w:b/>
          <w:bCs/>
          <w:i/>
          <w:noProof/>
          <w:sz w:val="24"/>
        </w:rPr>
      </w:pPr>
      <w:r>
        <w:rPr>
          <w:rFonts w:ascii="Times New Roman" w:hAnsi="Times New Roman"/>
          <w:b/>
          <w:i/>
          <w:sz w:val="24"/>
        </w:rPr>
        <w:t>Pētniecība un inovācija</w:t>
      </w:r>
    </w:p>
    <w:p w14:paraId="26A147D8" w14:textId="77777777" w:rsidR="00FB41C3" w:rsidRPr="00DF28F7" w:rsidRDefault="00FB41C3" w:rsidP="00DF28F7">
      <w:pPr>
        <w:jc w:val="both"/>
        <w:rPr>
          <w:rFonts w:ascii="Times New Roman" w:eastAsia="Calibri" w:hAnsi="Times New Roman" w:cs="Calibri"/>
          <w:noProof/>
          <w:sz w:val="24"/>
          <w:szCs w:val="16"/>
        </w:rPr>
      </w:pPr>
      <w:r>
        <w:br w:type="page"/>
      </w:r>
    </w:p>
    <w:p w14:paraId="144DFEAA" w14:textId="225F6F4F" w:rsidR="0083515C" w:rsidRDefault="0083515C" w:rsidP="00DF28F7">
      <w:pPr>
        <w:jc w:val="both"/>
        <w:rPr>
          <w:rFonts w:ascii="Times New Roman" w:eastAsia="Calibri" w:hAnsi="Times New Roman" w:cs="Calibri"/>
          <w:i/>
          <w:noProof/>
          <w:sz w:val="24"/>
          <w:szCs w:val="21"/>
        </w:rPr>
      </w:pPr>
    </w:p>
    <w:p w14:paraId="423DFD3F" w14:textId="5F2921AB" w:rsidR="000A3BB7" w:rsidRDefault="000A3BB7" w:rsidP="00DF28F7">
      <w:pPr>
        <w:jc w:val="both"/>
        <w:rPr>
          <w:rFonts w:ascii="Times New Roman" w:eastAsia="Calibri" w:hAnsi="Times New Roman" w:cs="Calibri"/>
          <w:i/>
          <w:noProof/>
          <w:sz w:val="24"/>
          <w:szCs w:val="21"/>
        </w:rPr>
      </w:pPr>
    </w:p>
    <w:p w14:paraId="47FD7769" w14:textId="61DACC43" w:rsidR="000A3BB7" w:rsidRDefault="000A3BB7" w:rsidP="00DF28F7">
      <w:pPr>
        <w:jc w:val="both"/>
        <w:rPr>
          <w:rFonts w:ascii="Times New Roman" w:eastAsia="Calibri" w:hAnsi="Times New Roman" w:cs="Calibri"/>
          <w:i/>
          <w:noProof/>
          <w:sz w:val="24"/>
          <w:szCs w:val="21"/>
        </w:rPr>
      </w:pPr>
    </w:p>
    <w:p w14:paraId="21DB0D5E" w14:textId="77777777" w:rsidR="000A3BB7" w:rsidRPr="00DF28F7" w:rsidRDefault="000A3BB7" w:rsidP="00DF28F7">
      <w:pPr>
        <w:jc w:val="both"/>
        <w:rPr>
          <w:rFonts w:ascii="Times New Roman" w:eastAsia="Calibri" w:hAnsi="Times New Roman" w:cs="Calibri"/>
          <w:i/>
          <w:noProof/>
          <w:sz w:val="24"/>
          <w:szCs w:val="21"/>
        </w:rPr>
      </w:pPr>
    </w:p>
    <w:p w14:paraId="0F2F8764" w14:textId="77777777" w:rsidR="0083515C" w:rsidRPr="00DF28F7" w:rsidRDefault="0083515C" w:rsidP="00DF28F7">
      <w:pPr>
        <w:jc w:val="both"/>
        <w:rPr>
          <w:rFonts w:ascii="Times New Roman" w:hAnsi="Times New Roman"/>
          <w:b/>
          <w:bCs/>
          <w:noProof/>
          <w:color w:val="231F20"/>
          <w:sz w:val="24"/>
        </w:rPr>
      </w:pPr>
      <w:r>
        <w:rPr>
          <w:rFonts w:ascii="Times New Roman" w:hAnsi="Times New Roman"/>
          <w:b/>
          <w:color w:val="231F20"/>
          <w:sz w:val="24"/>
        </w:rPr>
        <w:t>Ilgtspējīga bioekonomika Eiropai. Ekonomikas, sabiedrības un vides saistības stiprināšana</w:t>
      </w:r>
    </w:p>
    <w:p w14:paraId="2D69D3AE" w14:textId="77777777" w:rsidR="00FB41C3" w:rsidRPr="00DF28F7" w:rsidRDefault="00FB41C3" w:rsidP="00DF28F7">
      <w:pPr>
        <w:jc w:val="both"/>
        <w:rPr>
          <w:rFonts w:ascii="Times New Roman" w:hAnsi="Times New Roman"/>
          <w:noProof/>
          <w:color w:val="231F20"/>
          <w:sz w:val="24"/>
        </w:rPr>
      </w:pPr>
    </w:p>
    <w:p w14:paraId="4FEA9792" w14:textId="77777777" w:rsidR="00FB41C3" w:rsidRPr="00DF28F7" w:rsidRDefault="0083515C" w:rsidP="00DF28F7">
      <w:pPr>
        <w:jc w:val="both"/>
        <w:rPr>
          <w:rFonts w:ascii="Times New Roman" w:hAnsi="Times New Roman"/>
          <w:noProof/>
          <w:color w:val="231F20"/>
          <w:sz w:val="24"/>
        </w:rPr>
      </w:pPr>
      <w:r>
        <w:rPr>
          <w:rFonts w:ascii="Times New Roman" w:hAnsi="Times New Roman"/>
          <w:color w:val="231F20"/>
          <w:sz w:val="24"/>
        </w:rPr>
        <w:t>Atjauninātā bioekonomikas stratēģija</w:t>
      </w:r>
    </w:p>
    <w:p w14:paraId="75C5A250" w14:textId="77777777" w:rsidR="00FB41C3" w:rsidRPr="00DF28F7" w:rsidRDefault="00FB41C3" w:rsidP="00DF28F7">
      <w:pPr>
        <w:jc w:val="both"/>
        <w:rPr>
          <w:rFonts w:ascii="Times New Roman" w:hAnsi="Times New Roman"/>
          <w:noProof/>
          <w:color w:val="231F20"/>
          <w:sz w:val="24"/>
        </w:rPr>
      </w:pPr>
    </w:p>
    <w:p w14:paraId="39F0D4F1"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Eiropas Komisija</w:t>
      </w:r>
    </w:p>
    <w:p w14:paraId="67260162" w14:textId="77777777" w:rsidR="00FB41C3" w:rsidRPr="00DF28F7" w:rsidRDefault="0083515C" w:rsidP="00DF28F7">
      <w:pPr>
        <w:jc w:val="both"/>
        <w:rPr>
          <w:rFonts w:ascii="Times New Roman" w:eastAsia="Calibri" w:hAnsi="Times New Roman" w:cs="Calibri"/>
          <w:noProof/>
          <w:color w:val="231F20"/>
          <w:sz w:val="24"/>
          <w:szCs w:val="18"/>
        </w:rPr>
      </w:pPr>
      <w:r>
        <w:rPr>
          <w:rFonts w:ascii="Times New Roman" w:hAnsi="Times New Roman"/>
          <w:color w:val="231F20"/>
          <w:sz w:val="24"/>
        </w:rPr>
        <w:t>Pētniecības un inovācijas ģenerāldirektorāts</w:t>
      </w:r>
    </w:p>
    <w:p w14:paraId="380FF2A8" w14:textId="77777777" w:rsidR="0083515C" w:rsidRPr="00DF28F7" w:rsidRDefault="0083515C" w:rsidP="00DF28F7">
      <w:pPr>
        <w:jc w:val="both"/>
        <w:rPr>
          <w:rFonts w:ascii="Times New Roman" w:eastAsia="Calibri" w:hAnsi="Times New Roman" w:cs="Calibri"/>
          <w:noProof/>
          <w:color w:val="231F20"/>
          <w:sz w:val="24"/>
          <w:szCs w:val="18"/>
        </w:rPr>
      </w:pPr>
      <w:r>
        <w:rPr>
          <w:rFonts w:ascii="Times New Roman" w:hAnsi="Times New Roman"/>
          <w:color w:val="231F20"/>
          <w:sz w:val="24"/>
        </w:rPr>
        <w:t>F nodaļa – Bioekonomika</w:t>
      </w:r>
    </w:p>
    <w:p w14:paraId="56DCD9A4" w14:textId="77777777" w:rsidR="00FB41C3" w:rsidRPr="00DF28F7" w:rsidRDefault="00FB41C3" w:rsidP="00DF28F7">
      <w:pPr>
        <w:tabs>
          <w:tab w:val="left" w:pos="1134"/>
        </w:tabs>
        <w:jc w:val="both"/>
        <w:rPr>
          <w:rFonts w:ascii="Times New Roman" w:hAnsi="Times New Roman"/>
          <w:noProof/>
          <w:color w:val="231F20"/>
          <w:sz w:val="24"/>
        </w:rPr>
      </w:pPr>
    </w:p>
    <w:p w14:paraId="719654C6" w14:textId="77777777" w:rsidR="0083515C" w:rsidRPr="00DF28F7" w:rsidRDefault="0083515C" w:rsidP="000A3BB7">
      <w:pPr>
        <w:tabs>
          <w:tab w:val="left" w:pos="2268"/>
        </w:tabs>
        <w:jc w:val="both"/>
        <w:rPr>
          <w:rFonts w:ascii="Times New Roman" w:hAnsi="Times New Roman"/>
          <w:noProof/>
          <w:color w:val="231F20"/>
          <w:sz w:val="24"/>
        </w:rPr>
      </w:pPr>
      <w:r>
        <w:rPr>
          <w:rFonts w:ascii="Times New Roman" w:hAnsi="Times New Roman"/>
          <w:color w:val="231F20"/>
          <w:sz w:val="24"/>
        </w:rPr>
        <w:t>Kontaktinformācija</w:t>
      </w:r>
      <w:r>
        <w:rPr>
          <w:rFonts w:ascii="Times New Roman" w:hAnsi="Times New Roman"/>
          <w:color w:val="231F20"/>
          <w:sz w:val="24"/>
        </w:rPr>
        <w:tab/>
        <w:t>RTD BIOEKONOMIKAS PAZIŅOJUMS</w:t>
      </w:r>
    </w:p>
    <w:p w14:paraId="2F3F14DC" w14:textId="77777777" w:rsidR="00FB41C3" w:rsidRPr="00DF28F7" w:rsidRDefault="00FB41C3" w:rsidP="000A3BB7">
      <w:pPr>
        <w:tabs>
          <w:tab w:val="left" w:pos="2268"/>
        </w:tabs>
        <w:jc w:val="both"/>
        <w:rPr>
          <w:rFonts w:ascii="Times New Roman" w:hAnsi="Times New Roman"/>
          <w:noProof/>
          <w:color w:val="231F20"/>
          <w:sz w:val="24"/>
        </w:rPr>
      </w:pPr>
      <w:r>
        <w:rPr>
          <w:rFonts w:ascii="Times New Roman" w:hAnsi="Times New Roman"/>
          <w:color w:val="231F20"/>
          <w:sz w:val="24"/>
        </w:rPr>
        <w:t>E-pasts</w:t>
      </w:r>
      <w:r>
        <w:rPr>
          <w:rFonts w:ascii="Times New Roman" w:hAnsi="Times New Roman"/>
          <w:color w:val="231F20"/>
          <w:sz w:val="24"/>
        </w:rPr>
        <w:tab/>
        <w:t>RTD-BIOECONOMY-COMMUNICATION@ec.europa.eu</w:t>
      </w:r>
    </w:p>
    <w:p w14:paraId="2210092D" w14:textId="77777777" w:rsidR="0083515C" w:rsidRPr="00DF28F7" w:rsidRDefault="0083515C" w:rsidP="000A3BB7">
      <w:pPr>
        <w:tabs>
          <w:tab w:val="left" w:pos="1134"/>
        </w:tabs>
        <w:ind w:left="2268"/>
        <w:jc w:val="both"/>
        <w:rPr>
          <w:rFonts w:ascii="Times New Roman" w:eastAsia="Calibri" w:hAnsi="Times New Roman" w:cs="Calibri"/>
          <w:noProof/>
          <w:sz w:val="24"/>
          <w:szCs w:val="18"/>
        </w:rPr>
      </w:pPr>
      <w:r>
        <w:rPr>
          <w:rFonts w:ascii="Times New Roman" w:hAnsi="Times New Roman"/>
          <w:color w:val="231F20"/>
          <w:sz w:val="24"/>
        </w:rPr>
        <w:t>RTD-PUBLICATIONS@ec.europa.eu</w:t>
      </w:r>
    </w:p>
    <w:p w14:paraId="5C3CC13D" w14:textId="77777777" w:rsidR="00FB41C3" w:rsidRPr="00DF28F7" w:rsidRDefault="00FB41C3" w:rsidP="00DF28F7">
      <w:pPr>
        <w:jc w:val="both"/>
        <w:rPr>
          <w:rFonts w:ascii="Times New Roman" w:hAnsi="Times New Roman"/>
          <w:noProof/>
          <w:color w:val="231F20"/>
          <w:sz w:val="24"/>
        </w:rPr>
      </w:pPr>
    </w:p>
    <w:p w14:paraId="21CE1C5A" w14:textId="77777777" w:rsidR="00FB41C3" w:rsidRPr="00DF28F7" w:rsidRDefault="0083515C" w:rsidP="00DF28F7">
      <w:pPr>
        <w:jc w:val="both"/>
        <w:rPr>
          <w:rFonts w:ascii="Times New Roman" w:hAnsi="Times New Roman"/>
          <w:noProof/>
          <w:color w:val="231F20"/>
          <w:sz w:val="24"/>
        </w:rPr>
      </w:pPr>
      <w:r>
        <w:rPr>
          <w:rFonts w:ascii="Times New Roman" w:hAnsi="Times New Roman"/>
          <w:color w:val="231F20"/>
          <w:sz w:val="24"/>
        </w:rPr>
        <w:t>Eiropas Komisija</w:t>
      </w:r>
    </w:p>
    <w:p w14:paraId="7B225E57"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B-1049, Brisele</w:t>
      </w:r>
    </w:p>
    <w:p w14:paraId="708A31E7" w14:textId="77777777" w:rsidR="00FB41C3" w:rsidRPr="00DF28F7" w:rsidRDefault="00FB41C3" w:rsidP="00DF28F7">
      <w:pPr>
        <w:jc w:val="both"/>
        <w:rPr>
          <w:rFonts w:ascii="Times New Roman" w:hAnsi="Times New Roman"/>
          <w:noProof/>
          <w:color w:val="231F20"/>
          <w:sz w:val="24"/>
        </w:rPr>
      </w:pPr>
    </w:p>
    <w:p w14:paraId="00A96654"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Iespiests Beļģijā</w:t>
      </w:r>
    </w:p>
    <w:p w14:paraId="7DC75E48" w14:textId="77777777" w:rsidR="0083515C" w:rsidRPr="00DF28F7" w:rsidRDefault="0083515C" w:rsidP="00DF28F7">
      <w:pPr>
        <w:jc w:val="both"/>
        <w:rPr>
          <w:rFonts w:ascii="Times New Roman" w:eastAsia="Calibri" w:hAnsi="Times New Roman" w:cs="Calibri"/>
          <w:noProof/>
          <w:sz w:val="24"/>
          <w:szCs w:val="18"/>
        </w:rPr>
      </w:pPr>
    </w:p>
    <w:p w14:paraId="6478F215"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Manuskripts pabeigts 2018. gada oktobrī.</w:t>
      </w:r>
    </w:p>
    <w:p w14:paraId="0EEBF3A9" w14:textId="77777777" w:rsidR="0083515C" w:rsidRPr="00DF28F7" w:rsidRDefault="0083515C" w:rsidP="00DF28F7">
      <w:pPr>
        <w:jc w:val="both"/>
        <w:rPr>
          <w:rFonts w:ascii="Times New Roman" w:eastAsia="Calibri" w:hAnsi="Times New Roman" w:cs="Calibri"/>
          <w:noProof/>
          <w:sz w:val="24"/>
          <w:szCs w:val="18"/>
        </w:rPr>
      </w:pPr>
    </w:p>
    <w:p w14:paraId="0CEF60AE"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Ne Eiropas Komisija, ne kāda cita persona, kas darbojas Komisijas vārdā, nav atbildīga par šīs informācijas izmantojuma veidu. Dokumenta pamatā ir juridiskais paziņojums (2018) 673/2 un SWD (2018)431/2.</w:t>
      </w:r>
    </w:p>
    <w:p w14:paraId="565CB539" w14:textId="77777777" w:rsidR="0083515C" w:rsidRPr="00DF28F7" w:rsidRDefault="0083515C" w:rsidP="00DF28F7">
      <w:pPr>
        <w:jc w:val="both"/>
        <w:rPr>
          <w:rFonts w:ascii="Times New Roman" w:eastAsia="Calibri" w:hAnsi="Times New Roman" w:cs="Calibri"/>
          <w:noProof/>
          <w:sz w:val="24"/>
          <w:szCs w:val="18"/>
        </w:rPr>
      </w:pPr>
    </w:p>
    <w:p w14:paraId="3DA12685" w14:textId="77777777" w:rsidR="00FB41C3" w:rsidRPr="00DF28F7" w:rsidRDefault="0083515C" w:rsidP="00DF28F7">
      <w:pPr>
        <w:jc w:val="both"/>
        <w:rPr>
          <w:rFonts w:ascii="Times New Roman" w:hAnsi="Times New Roman"/>
          <w:noProof/>
          <w:color w:val="231F20"/>
          <w:sz w:val="24"/>
        </w:rPr>
      </w:pPr>
      <w:r>
        <w:rPr>
          <w:rFonts w:ascii="Times New Roman" w:hAnsi="Times New Roman"/>
          <w:color w:val="231F20"/>
          <w:sz w:val="24"/>
        </w:rPr>
        <w:t>Papildu informācija par Eiropas Savienību ir pieejama internetā (http://europa.eu).</w:t>
      </w:r>
    </w:p>
    <w:p w14:paraId="6A4F9BD9" w14:textId="77777777" w:rsidR="00FB41C3" w:rsidRPr="00DF28F7" w:rsidRDefault="00FB41C3" w:rsidP="00DF28F7">
      <w:pPr>
        <w:jc w:val="both"/>
        <w:rPr>
          <w:rFonts w:ascii="Times New Roman" w:hAnsi="Times New Roman"/>
          <w:noProof/>
          <w:color w:val="231F20"/>
          <w:sz w:val="24"/>
        </w:rPr>
      </w:pPr>
    </w:p>
    <w:p w14:paraId="0B1AC461"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Luksemburga: Eiropas Savienības Publikāciju birojs, 2018</w:t>
      </w:r>
    </w:p>
    <w:p w14:paraId="1CEC69F9" w14:textId="77777777" w:rsidR="0083515C" w:rsidRPr="00DF28F7" w:rsidRDefault="0083515C" w:rsidP="00DF28F7">
      <w:pPr>
        <w:jc w:val="both"/>
        <w:rPr>
          <w:rFonts w:ascii="Times New Roman" w:eastAsia="Calibri" w:hAnsi="Times New Roman" w:cs="Calibri"/>
          <w:noProof/>
          <w:sz w:val="24"/>
          <w:szCs w:val="2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878"/>
        <w:gridCol w:w="2978"/>
        <w:gridCol w:w="2552"/>
        <w:gridCol w:w="2720"/>
      </w:tblGrid>
      <w:tr w:rsidR="0083515C" w:rsidRPr="00DF28F7" w14:paraId="66753874" w14:textId="77777777" w:rsidTr="00150DA1">
        <w:tc>
          <w:tcPr>
            <w:tcW w:w="481" w:type="pct"/>
            <w:tcBorders>
              <w:top w:val="nil"/>
              <w:left w:val="nil"/>
              <w:bottom w:val="single" w:sz="8" w:space="0" w:color="231F20"/>
              <w:right w:val="nil"/>
            </w:tcBorders>
          </w:tcPr>
          <w:p w14:paraId="34AA39CB"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Drukāts</w:t>
            </w:r>
          </w:p>
        </w:tc>
        <w:tc>
          <w:tcPr>
            <w:tcW w:w="1631" w:type="pct"/>
            <w:tcBorders>
              <w:top w:val="nil"/>
              <w:left w:val="nil"/>
              <w:bottom w:val="single" w:sz="8" w:space="0" w:color="231F20"/>
              <w:right w:val="nil"/>
            </w:tcBorders>
          </w:tcPr>
          <w:p w14:paraId="0177ED67"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ISBN 978-92-79-94145-0</w:t>
            </w:r>
          </w:p>
        </w:tc>
        <w:tc>
          <w:tcPr>
            <w:tcW w:w="1398" w:type="pct"/>
            <w:tcBorders>
              <w:top w:val="nil"/>
              <w:left w:val="nil"/>
              <w:bottom w:val="single" w:sz="8" w:space="0" w:color="231F20"/>
              <w:right w:val="nil"/>
            </w:tcBorders>
          </w:tcPr>
          <w:p w14:paraId="70DB34EC"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doi: 10.2777/478385</w:t>
            </w:r>
          </w:p>
        </w:tc>
        <w:tc>
          <w:tcPr>
            <w:tcW w:w="1490" w:type="pct"/>
            <w:tcBorders>
              <w:top w:val="nil"/>
              <w:left w:val="nil"/>
              <w:bottom w:val="single" w:sz="8" w:space="0" w:color="231F20"/>
              <w:right w:val="nil"/>
            </w:tcBorders>
          </w:tcPr>
          <w:p w14:paraId="248A3DE5"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KI-04-18-806-EN-C</w:t>
            </w:r>
          </w:p>
        </w:tc>
      </w:tr>
      <w:tr w:rsidR="0083515C" w:rsidRPr="00DF28F7" w14:paraId="742072D6" w14:textId="77777777" w:rsidTr="00150DA1">
        <w:tc>
          <w:tcPr>
            <w:tcW w:w="481" w:type="pct"/>
            <w:tcBorders>
              <w:top w:val="single" w:sz="8" w:space="0" w:color="231F20"/>
              <w:left w:val="nil"/>
              <w:bottom w:val="nil"/>
              <w:right w:val="nil"/>
            </w:tcBorders>
          </w:tcPr>
          <w:p w14:paraId="3A03B82C"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PDF</w:t>
            </w:r>
          </w:p>
        </w:tc>
        <w:tc>
          <w:tcPr>
            <w:tcW w:w="1631" w:type="pct"/>
            <w:tcBorders>
              <w:top w:val="single" w:sz="8" w:space="0" w:color="231F20"/>
              <w:left w:val="nil"/>
              <w:bottom w:val="nil"/>
              <w:right w:val="nil"/>
            </w:tcBorders>
          </w:tcPr>
          <w:p w14:paraId="3BBD3764"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ISBN 978-92-79-94144-3</w:t>
            </w:r>
          </w:p>
        </w:tc>
        <w:tc>
          <w:tcPr>
            <w:tcW w:w="1398" w:type="pct"/>
            <w:tcBorders>
              <w:top w:val="single" w:sz="8" w:space="0" w:color="231F20"/>
              <w:left w:val="nil"/>
              <w:bottom w:val="nil"/>
              <w:right w:val="nil"/>
            </w:tcBorders>
          </w:tcPr>
          <w:p w14:paraId="6502D523"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doi:10.2777/792130</w:t>
            </w:r>
          </w:p>
        </w:tc>
        <w:tc>
          <w:tcPr>
            <w:tcW w:w="1490" w:type="pct"/>
            <w:tcBorders>
              <w:top w:val="single" w:sz="8" w:space="0" w:color="231F20"/>
              <w:left w:val="nil"/>
              <w:bottom w:val="nil"/>
              <w:right w:val="nil"/>
            </w:tcBorders>
          </w:tcPr>
          <w:p w14:paraId="38B78970" w14:textId="77777777" w:rsidR="0083515C" w:rsidRPr="00DF28F7" w:rsidRDefault="0083515C" w:rsidP="00DF28F7">
            <w:pPr>
              <w:pStyle w:val="TableParagraph"/>
              <w:jc w:val="both"/>
              <w:rPr>
                <w:rFonts w:ascii="Times New Roman" w:hAnsi="Times New Roman"/>
                <w:noProof/>
                <w:color w:val="231F20"/>
                <w:sz w:val="24"/>
              </w:rPr>
            </w:pPr>
            <w:r>
              <w:rPr>
                <w:rFonts w:ascii="Times New Roman" w:hAnsi="Times New Roman"/>
                <w:color w:val="231F20"/>
                <w:sz w:val="24"/>
              </w:rPr>
              <w:t>KI-04-18-806-EN-N</w:t>
            </w:r>
          </w:p>
        </w:tc>
      </w:tr>
    </w:tbl>
    <w:p w14:paraId="1BE28430" w14:textId="77777777" w:rsidR="00FB41C3" w:rsidRPr="00DF28F7" w:rsidRDefault="00FB41C3" w:rsidP="00DF28F7">
      <w:pPr>
        <w:jc w:val="both"/>
        <w:rPr>
          <w:rFonts w:ascii="Times New Roman" w:hAnsi="Times New Roman"/>
          <w:noProof/>
          <w:color w:val="231F20"/>
          <w:sz w:val="24"/>
        </w:rPr>
      </w:pPr>
    </w:p>
    <w:p w14:paraId="5BF5F66F"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 Eiropas Savienība, 2018</w:t>
      </w:r>
    </w:p>
    <w:p w14:paraId="05FBE7BB"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Atkalizmantošana ir atļauta, ja tiek norādīta dokumenta izcelsme. Noteikumi par Eiropas Komisijas dokumentu atkalizmantošanu ir izklāstīti Lēmumā 2011/833/ES (OV L 330, 14.12.2011., 39. lpp.).</w:t>
      </w:r>
    </w:p>
    <w:p w14:paraId="2BF59786" w14:textId="77777777" w:rsidR="00150DA1" w:rsidRPr="00DF28F7" w:rsidRDefault="00150DA1" w:rsidP="00DF28F7">
      <w:pPr>
        <w:jc w:val="both"/>
        <w:rPr>
          <w:rFonts w:ascii="Times New Roman" w:hAnsi="Times New Roman"/>
          <w:noProof/>
          <w:color w:val="231F20"/>
          <w:sz w:val="24"/>
        </w:rPr>
      </w:pPr>
    </w:p>
    <w:p w14:paraId="07C2B810"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Attiecībā uz jebkuru tādu fotoattēlu vai citu materiālu izmantošanu vai pavairošanu, uz kuriem neattiecas ES autortiesības, atļauja ir jāprasa tieši autortiesību subjektiem.</w:t>
      </w:r>
    </w:p>
    <w:p w14:paraId="541C031F" w14:textId="77777777" w:rsidR="0083515C" w:rsidRPr="00DF28F7" w:rsidRDefault="0083515C" w:rsidP="00DF28F7">
      <w:pPr>
        <w:jc w:val="both"/>
        <w:rPr>
          <w:rFonts w:ascii="Times New Roman" w:eastAsia="Calibri" w:hAnsi="Times New Roman" w:cs="Calibri"/>
          <w:noProof/>
          <w:sz w:val="24"/>
          <w:szCs w:val="18"/>
        </w:rPr>
      </w:pPr>
    </w:p>
    <w:p w14:paraId="51B096C6"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Avoti:</w:t>
      </w:r>
    </w:p>
    <w:p w14:paraId="7E9513F3" w14:textId="77777777" w:rsidR="0083515C" w:rsidRPr="00DF28F7" w:rsidRDefault="0083515C" w:rsidP="00DF28F7">
      <w:pPr>
        <w:jc w:val="both"/>
        <w:rPr>
          <w:rFonts w:ascii="Times New Roman" w:hAnsi="Times New Roman"/>
          <w:noProof/>
          <w:color w:val="231F20"/>
          <w:sz w:val="24"/>
        </w:rPr>
      </w:pPr>
      <w:r>
        <w:rPr>
          <w:rFonts w:ascii="Times New Roman" w:hAnsi="Times New Roman"/>
          <w:color w:val="231F20"/>
          <w:sz w:val="24"/>
        </w:rPr>
        <w:t>Vāks: iStock, © roxyminder #94394792; Fotolia_110024322_Subscription_XXL_© Countrypixel.jpg; iStock, © simonbradfield #915729984; iStock, © Magnus Larsson #962590002; Shutterstock, ©winyuu; © Pictures news, #193124773, 2018. Avots: Fotolia.com</w:t>
      </w:r>
    </w:p>
    <w:p w14:paraId="382B524E" w14:textId="77777777" w:rsidR="00150DA1" w:rsidRPr="00DF28F7" w:rsidRDefault="00150DA1" w:rsidP="00DF28F7">
      <w:pPr>
        <w:jc w:val="both"/>
        <w:rPr>
          <w:rFonts w:ascii="Times New Roman" w:eastAsia="Calibri" w:hAnsi="Times New Roman" w:cs="Calibri"/>
          <w:noProof/>
          <w:sz w:val="24"/>
          <w:szCs w:val="18"/>
        </w:rPr>
      </w:pPr>
      <w:r>
        <w:br w:type="page"/>
      </w:r>
    </w:p>
    <w:p w14:paraId="71014C14" w14:textId="77777777" w:rsidR="00CF10CD" w:rsidRPr="00DF28F7" w:rsidRDefault="00CF10CD" w:rsidP="00DF28F7">
      <w:pPr>
        <w:jc w:val="both"/>
        <w:rPr>
          <w:rFonts w:ascii="Times New Roman" w:eastAsia="Calibri" w:hAnsi="Times New Roman" w:cs="Calibri"/>
          <w:noProof/>
          <w:sz w:val="24"/>
          <w:szCs w:val="18"/>
        </w:rPr>
      </w:pPr>
    </w:p>
    <w:p w14:paraId="59D0A1FC" w14:textId="77777777" w:rsidR="0083515C" w:rsidRPr="00DF28F7" w:rsidRDefault="0083515C" w:rsidP="00933017">
      <w:pPr>
        <w:jc w:val="center"/>
        <w:rPr>
          <w:rFonts w:ascii="Times New Roman" w:hAnsi="Times New Roman"/>
          <w:noProof/>
          <w:sz w:val="24"/>
        </w:rPr>
      </w:pPr>
      <w:r>
        <w:rPr>
          <w:rFonts w:ascii="Times New Roman" w:hAnsi="Times New Roman"/>
          <w:sz w:val="24"/>
        </w:rPr>
        <w:t>EIROPAS KOMISIJA</w:t>
      </w:r>
    </w:p>
    <w:p w14:paraId="33E3312A" w14:textId="39C39CC3" w:rsidR="0083515C" w:rsidRDefault="0083515C" w:rsidP="00933017">
      <w:pPr>
        <w:jc w:val="center"/>
        <w:rPr>
          <w:rFonts w:ascii="Times New Roman" w:eastAsia="Verdana" w:hAnsi="Times New Roman" w:cs="Verdana"/>
          <w:noProof/>
          <w:sz w:val="24"/>
          <w:szCs w:val="16"/>
        </w:rPr>
      </w:pPr>
    </w:p>
    <w:p w14:paraId="2061BEE8" w14:textId="60E58A7E" w:rsidR="000A3BB7" w:rsidRDefault="000A3BB7" w:rsidP="00933017">
      <w:pPr>
        <w:jc w:val="center"/>
        <w:rPr>
          <w:rFonts w:ascii="Times New Roman" w:eastAsia="Verdana" w:hAnsi="Times New Roman" w:cs="Verdana"/>
          <w:noProof/>
          <w:sz w:val="24"/>
          <w:szCs w:val="16"/>
        </w:rPr>
      </w:pPr>
    </w:p>
    <w:p w14:paraId="60FEF729" w14:textId="305CD59C" w:rsidR="000A3BB7" w:rsidRDefault="000A3BB7" w:rsidP="00933017">
      <w:pPr>
        <w:jc w:val="center"/>
        <w:rPr>
          <w:rFonts w:ascii="Times New Roman" w:eastAsia="Verdana" w:hAnsi="Times New Roman" w:cs="Verdana"/>
          <w:noProof/>
          <w:sz w:val="24"/>
          <w:szCs w:val="16"/>
        </w:rPr>
      </w:pPr>
    </w:p>
    <w:p w14:paraId="747B82DB" w14:textId="41580CCF" w:rsidR="000A3BB7" w:rsidRDefault="000A3BB7" w:rsidP="00933017">
      <w:pPr>
        <w:jc w:val="center"/>
        <w:rPr>
          <w:rFonts w:ascii="Times New Roman" w:eastAsia="Verdana" w:hAnsi="Times New Roman" w:cs="Verdana"/>
          <w:noProof/>
          <w:sz w:val="24"/>
          <w:szCs w:val="16"/>
        </w:rPr>
      </w:pPr>
    </w:p>
    <w:p w14:paraId="69F047C6" w14:textId="41FE6A52" w:rsidR="000A3BB7" w:rsidRDefault="000A3BB7" w:rsidP="00933017">
      <w:pPr>
        <w:jc w:val="center"/>
        <w:rPr>
          <w:rFonts w:ascii="Times New Roman" w:eastAsia="Verdana" w:hAnsi="Times New Roman" w:cs="Verdana"/>
          <w:noProof/>
          <w:sz w:val="24"/>
          <w:szCs w:val="16"/>
        </w:rPr>
      </w:pPr>
    </w:p>
    <w:p w14:paraId="58419B23" w14:textId="67E97543" w:rsidR="000A3BB7" w:rsidRDefault="000A3BB7" w:rsidP="00933017">
      <w:pPr>
        <w:jc w:val="center"/>
        <w:rPr>
          <w:rFonts w:ascii="Times New Roman" w:eastAsia="Verdana" w:hAnsi="Times New Roman" w:cs="Verdana"/>
          <w:noProof/>
          <w:sz w:val="24"/>
          <w:szCs w:val="16"/>
        </w:rPr>
      </w:pPr>
    </w:p>
    <w:p w14:paraId="02448C98" w14:textId="1AD2635C" w:rsidR="000A3BB7" w:rsidRDefault="000A3BB7" w:rsidP="00933017">
      <w:pPr>
        <w:jc w:val="center"/>
        <w:rPr>
          <w:rFonts w:ascii="Times New Roman" w:eastAsia="Verdana" w:hAnsi="Times New Roman" w:cs="Verdana"/>
          <w:noProof/>
          <w:sz w:val="24"/>
          <w:szCs w:val="16"/>
        </w:rPr>
      </w:pPr>
    </w:p>
    <w:p w14:paraId="143A867C" w14:textId="24460729" w:rsidR="000A3BB7" w:rsidRDefault="000A3BB7" w:rsidP="00933017">
      <w:pPr>
        <w:jc w:val="center"/>
        <w:rPr>
          <w:rFonts w:ascii="Times New Roman" w:eastAsia="Verdana" w:hAnsi="Times New Roman" w:cs="Verdana"/>
          <w:noProof/>
          <w:sz w:val="24"/>
          <w:szCs w:val="16"/>
        </w:rPr>
      </w:pPr>
    </w:p>
    <w:p w14:paraId="2D8D67A5" w14:textId="24CDDDD0" w:rsidR="000A3BB7" w:rsidRDefault="000A3BB7" w:rsidP="00933017">
      <w:pPr>
        <w:jc w:val="center"/>
        <w:rPr>
          <w:rFonts w:ascii="Times New Roman" w:eastAsia="Verdana" w:hAnsi="Times New Roman" w:cs="Verdana"/>
          <w:noProof/>
          <w:sz w:val="24"/>
          <w:szCs w:val="16"/>
        </w:rPr>
      </w:pPr>
    </w:p>
    <w:p w14:paraId="08C3493C" w14:textId="46DD4003" w:rsidR="000A3BB7" w:rsidRDefault="000A3BB7" w:rsidP="00933017">
      <w:pPr>
        <w:jc w:val="center"/>
        <w:rPr>
          <w:rFonts w:ascii="Times New Roman" w:eastAsia="Verdana" w:hAnsi="Times New Roman" w:cs="Verdana"/>
          <w:noProof/>
          <w:sz w:val="24"/>
          <w:szCs w:val="16"/>
        </w:rPr>
      </w:pPr>
    </w:p>
    <w:p w14:paraId="30ED9C4A" w14:textId="77777777" w:rsidR="000A3BB7" w:rsidRPr="00DF28F7" w:rsidRDefault="000A3BB7" w:rsidP="00933017">
      <w:pPr>
        <w:jc w:val="center"/>
        <w:rPr>
          <w:rFonts w:ascii="Times New Roman" w:eastAsia="Verdana" w:hAnsi="Times New Roman" w:cs="Verdana"/>
          <w:noProof/>
          <w:sz w:val="24"/>
          <w:szCs w:val="16"/>
        </w:rPr>
      </w:pPr>
    </w:p>
    <w:p w14:paraId="2DE1F253" w14:textId="26919D9F" w:rsidR="0083515C" w:rsidRDefault="0083515C" w:rsidP="00933017">
      <w:pPr>
        <w:jc w:val="center"/>
        <w:rPr>
          <w:rFonts w:ascii="Times New Roman" w:hAnsi="Times New Roman"/>
          <w:b/>
          <w:sz w:val="44"/>
          <w:szCs w:val="40"/>
        </w:rPr>
      </w:pPr>
      <w:r w:rsidRPr="000A3BB7">
        <w:rPr>
          <w:rFonts w:ascii="Times New Roman" w:hAnsi="Times New Roman"/>
          <w:b/>
          <w:sz w:val="44"/>
          <w:szCs w:val="40"/>
        </w:rPr>
        <w:t>Ilgtspējīga bioekonomika Eiropai.</w:t>
      </w:r>
    </w:p>
    <w:p w14:paraId="3B58B554" w14:textId="77777777" w:rsidR="000A3BB7" w:rsidRPr="000A3BB7" w:rsidRDefault="000A3BB7" w:rsidP="00933017">
      <w:pPr>
        <w:jc w:val="center"/>
        <w:rPr>
          <w:rFonts w:ascii="Times New Roman" w:hAnsi="Times New Roman"/>
          <w:b/>
          <w:bCs/>
          <w:noProof/>
          <w:sz w:val="32"/>
          <w:szCs w:val="32"/>
        </w:rPr>
      </w:pPr>
    </w:p>
    <w:p w14:paraId="501A1A5E" w14:textId="77777777" w:rsidR="0083515C" w:rsidRPr="000A3BB7" w:rsidRDefault="0083515C" w:rsidP="00933017">
      <w:pPr>
        <w:jc w:val="center"/>
        <w:rPr>
          <w:rFonts w:ascii="Times New Roman" w:hAnsi="Times New Roman"/>
          <w:b/>
          <w:bCs/>
          <w:i/>
          <w:iCs/>
          <w:noProof/>
          <w:sz w:val="32"/>
          <w:szCs w:val="32"/>
        </w:rPr>
      </w:pPr>
      <w:r w:rsidRPr="000A3BB7">
        <w:rPr>
          <w:rFonts w:ascii="Times New Roman" w:hAnsi="Times New Roman"/>
          <w:b/>
          <w:i/>
          <w:sz w:val="32"/>
          <w:szCs w:val="32"/>
        </w:rPr>
        <w:t>Ekonomikas, sabiedrības un vides saistības stiprināšana</w:t>
      </w:r>
    </w:p>
    <w:p w14:paraId="1472552D" w14:textId="77777777" w:rsidR="0083515C" w:rsidRPr="00DF28F7" w:rsidRDefault="0083515C" w:rsidP="00933017">
      <w:pPr>
        <w:jc w:val="center"/>
        <w:rPr>
          <w:rFonts w:ascii="Times New Roman" w:eastAsia="Times New Roman" w:hAnsi="Times New Roman" w:cs="Times New Roman"/>
          <w:noProof/>
          <w:sz w:val="24"/>
          <w:szCs w:val="32"/>
        </w:rPr>
      </w:pPr>
    </w:p>
    <w:p w14:paraId="013A6EB3" w14:textId="77777777" w:rsidR="0083515C" w:rsidRPr="00DF28F7" w:rsidRDefault="0083515C" w:rsidP="00933017">
      <w:pPr>
        <w:jc w:val="center"/>
        <w:rPr>
          <w:rFonts w:ascii="Times New Roman" w:eastAsia="Times New Roman" w:hAnsi="Times New Roman" w:cs="Times New Roman"/>
          <w:noProof/>
          <w:sz w:val="24"/>
          <w:szCs w:val="34"/>
        </w:rPr>
      </w:pPr>
    </w:p>
    <w:p w14:paraId="39B58A37" w14:textId="77777777" w:rsidR="0083515C" w:rsidRPr="000A3BB7" w:rsidRDefault="0083515C" w:rsidP="00933017">
      <w:pPr>
        <w:jc w:val="center"/>
        <w:rPr>
          <w:rFonts w:ascii="Times New Roman" w:hAnsi="Times New Roman"/>
          <w:b/>
          <w:bCs/>
          <w:i/>
          <w:iCs/>
          <w:noProof/>
          <w:sz w:val="28"/>
          <w:szCs w:val="24"/>
        </w:rPr>
      </w:pPr>
      <w:r w:rsidRPr="000A3BB7">
        <w:rPr>
          <w:rFonts w:ascii="Times New Roman" w:hAnsi="Times New Roman"/>
          <w:b/>
          <w:i/>
          <w:sz w:val="28"/>
          <w:szCs w:val="24"/>
        </w:rPr>
        <w:t>Atjauninātā bioekonomikas stratēģija</w:t>
      </w:r>
    </w:p>
    <w:p w14:paraId="04843AE0" w14:textId="77777777" w:rsidR="0083515C" w:rsidRPr="00DF28F7" w:rsidRDefault="0083515C" w:rsidP="00DF28F7">
      <w:pPr>
        <w:jc w:val="both"/>
        <w:rPr>
          <w:rFonts w:ascii="Times New Roman" w:eastAsia="Times New Roman" w:hAnsi="Times New Roman" w:cs="Times New Roman"/>
          <w:noProof/>
          <w:sz w:val="24"/>
          <w:szCs w:val="24"/>
        </w:rPr>
      </w:pPr>
    </w:p>
    <w:p w14:paraId="5FD3489D" w14:textId="65705096" w:rsidR="0083515C" w:rsidRDefault="0083515C" w:rsidP="00DF28F7">
      <w:pPr>
        <w:jc w:val="both"/>
        <w:rPr>
          <w:rFonts w:ascii="Times New Roman" w:eastAsia="Times New Roman" w:hAnsi="Times New Roman" w:cs="Times New Roman"/>
          <w:noProof/>
          <w:sz w:val="24"/>
          <w:szCs w:val="35"/>
        </w:rPr>
      </w:pPr>
    </w:p>
    <w:p w14:paraId="20D06921" w14:textId="765DDA45" w:rsidR="000A3BB7" w:rsidRDefault="000A3BB7" w:rsidP="00DF28F7">
      <w:pPr>
        <w:jc w:val="both"/>
        <w:rPr>
          <w:rFonts w:ascii="Times New Roman" w:eastAsia="Times New Roman" w:hAnsi="Times New Roman" w:cs="Times New Roman"/>
          <w:noProof/>
          <w:sz w:val="24"/>
          <w:szCs w:val="35"/>
        </w:rPr>
      </w:pPr>
    </w:p>
    <w:p w14:paraId="098B8D9E" w14:textId="49C4A650" w:rsidR="000A3BB7" w:rsidRDefault="000A3BB7" w:rsidP="00DF28F7">
      <w:pPr>
        <w:jc w:val="both"/>
        <w:rPr>
          <w:rFonts w:ascii="Times New Roman" w:eastAsia="Times New Roman" w:hAnsi="Times New Roman" w:cs="Times New Roman"/>
          <w:noProof/>
          <w:sz w:val="24"/>
          <w:szCs w:val="35"/>
        </w:rPr>
      </w:pPr>
    </w:p>
    <w:p w14:paraId="182D2295" w14:textId="1694679A" w:rsidR="000A3BB7" w:rsidRDefault="000A3BB7" w:rsidP="00DF28F7">
      <w:pPr>
        <w:jc w:val="both"/>
        <w:rPr>
          <w:rFonts w:ascii="Times New Roman" w:eastAsia="Times New Roman" w:hAnsi="Times New Roman" w:cs="Times New Roman"/>
          <w:noProof/>
          <w:sz w:val="24"/>
          <w:szCs w:val="35"/>
        </w:rPr>
      </w:pPr>
    </w:p>
    <w:p w14:paraId="56573EA2" w14:textId="6C0AB5D3" w:rsidR="000A3BB7" w:rsidRDefault="000A3BB7" w:rsidP="00DF28F7">
      <w:pPr>
        <w:jc w:val="both"/>
        <w:rPr>
          <w:rFonts w:ascii="Times New Roman" w:eastAsia="Times New Roman" w:hAnsi="Times New Roman" w:cs="Times New Roman"/>
          <w:noProof/>
          <w:sz w:val="24"/>
          <w:szCs w:val="35"/>
        </w:rPr>
      </w:pPr>
    </w:p>
    <w:p w14:paraId="71EE4BD9" w14:textId="5DE0A8C2" w:rsidR="000A3BB7" w:rsidRDefault="000A3BB7" w:rsidP="00DF28F7">
      <w:pPr>
        <w:jc w:val="both"/>
        <w:rPr>
          <w:rFonts w:ascii="Times New Roman" w:eastAsia="Times New Roman" w:hAnsi="Times New Roman" w:cs="Times New Roman"/>
          <w:noProof/>
          <w:sz w:val="24"/>
          <w:szCs w:val="35"/>
        </w:rPr>
      </w:pPr>
    </w:p>
    <w:p w14:paraId="0EB70E18" w14:textId="1FA46C9D" w:rsidR="000A3BB7" w:rsidRDefault="000A3BB7" w:rsidP="00DF28F7">
      <w:pPr>
        <w:jc w:val="both"/>
        <w:rPr>
          <w:rFonts w:ascii="Times New Roman" w:eastAsia="Times New Roman" w:hAnsi="Times New Roman" w:cs="Times New Roman"/>
          <w:noProof/>
          <w:sz w:val="24"/>
          <w:szCs w:val="35"/>
        </w:rPr>
      </w:pPr>
    </w:p>
    <w:p w14:paraId="01E777DD" w14:textId="27EE0EF0" w:rsidR="000A3BB7" w:rsidRDefault="000A3BB7" w:rsidP="00DF28F7">
      <w:pPr>
        <w:jc w:val="both"/>
        <w:rPr>
          <w:rFonts w:ascii="Times New Roman" w:eastAsia="Times New Roman" w:hAnsi="Times New Roman" w:cs="Times New Roman"/>
          <w:noProof/>
          <w:sz w:val="24"/>
          <w:szCs w:val="35"/>
        </w:rPr>
      </w:pPr>
    </w:p>
    <w:p w14:paraId="72BFC2C3" w14:textId="419F9ED0" w:rsidR="000A3BB7" w:rsidRDefault="000A3BB7" w:rsidP="00DF28F7">
      <w:pPr>
        <w:jc w:val="both"/>
        <w:rPr>
          <w:rFonts w:ascii="Times New Roman" w:eastAsia="Times New Roman" w:hAnsi="Times New Roman" w:cs="Times New Roman"/>
          <w:noProof/>
          <w:sz w:val="24"/>
          <w:szCs w:val="35"/>
        </w:rPr>
      </w:pPr>
    </w:p>
    <w:p w14:paraId="239C61AA" w14:textId="415B70E7" w:rsidR="000A3BB7" w:rsidRDefault="000A3BB7" w:rsidP="00DF28F7">
      <w:pPr>
        <w:jc w:val="both"/>
        <w:rPr>
          <w:rFonts w:ascii="Times New Roman" w:eastAsia="Times New Roman" w:hAnsi="Times New Roman" w:cs="Times New Roman"/>
          <w:noProof/>
          <w:sz w:val="24"/>
          <w:szCs w:val="35"/>
        </w:rPr>
      </w:pPr>
    </w:p>
    <w:p w14:paraId="6C0725F5" w14:textId="69481240" w:rsidR="000A3BB7" w:rsidRDefault="000A3BB7" w:rsidP="00DF28F7">
      <w:pPr>
        <w:jc w:val="both"/>
        <w:rPr>
          <w:rFonts w:ascii="Times New Roman" w:eastAsia="Times New Roman" w:hAnsi="Times New Roman" w:cs="Times New Roman"/>
          <w:noProof/>
          <w:sz w:val="24"/>
          <w:szCs w:val="35"/>
        </w:rPr>
      </w:pPr>
    </w:p>
    <w:p w14:paraId="0CF110F9" w14:textId="1724CD44" w:rsidR="000A3BB7" w:rsidRDefault="000A3BB7" w:rsidP="00DF28F7">
      <w:pPr>
        <w:jc w:val="both"/>
        <w:rPr>
          <w:rFonts w:ascii="Times New Roman" w:eastAsia="Times New Roman" w:hAnsi="Times New Roman" w:cs="Times New Roman"/>
          <w:noProof/>
          <w:sz w:val="24"/>
          <w:szCs w:val="35"/>
        </w:rPr>
      </w:pPr>
    </w:p>
    <w:p w14:paraId="79E37501" w14:textId="260C9642" w:rsidR="000A3BB7" w:rsidRDefault="000A3BB7" w:rsidP="00DF28F7">
      <w:pPr>
        <w:jc w:val="both"/>
        <w:rPr>
          <w:rFonts w:ascii="Times New Roman" w:eastAsia="Times New Roman" w:hAnsi="Times New Roman" w:cs="Times New Roman"/>
          <w:noProof/>
          <w:sz w:val="24"/>
          <w:szCs w:val="35"/>
        </w:rPr>
      </w:pPr>
    </w:p>
    <w:p w14:paraId="4BED3539" w14:textId="661F9DFA" w:rsidR="000A3BB7" w:rsidRDefault="000A3BB7" w:rsidP="00DF28F7">
      <w:pPr>
        <w:jc w:val="both"/>
        <w:rPr>
          <w:rFonts w:ascii="Times New Roman" w:eastAsia="Times New Roman" w:hAnsi="Times New Roman" w:cs="Times New Roman"/>
          <w:noProof/>
          <w:sz w:val="24"/>
          <w:szCs w:val="35"/>
        </w:rPr>
      </w:pPr>
    </w:p>
    <w:p w14:paraId="65FC6A97" w14:textId="1F921CD7" w:rsidR="000A3BB7" w:rsidRDefault="000A3BB7" w:rsidP="00DF28F7">
      <w:pPr>
        <w:jc w:val="both"/>
        <w:rPr>
          <w:rFonts w:ascii="Times New Roman" w:eastAsia="Times New Roman" w:hAnsi="Times New Roman" w:cs="Times New Roman"/>
          <w:noProof/>
          <w:sz w:val="24"/>
          <w:szCs w:val="35"/>
        </w:rPr>
      </w:pPr>
    </w:p>
    <w:p w14:paraId="436932DB" w14:textId="35D0D1BA" w:rsidR="000A3BB7" w:rsidRDefault="000A3BB7" w:rsidP="00DF28F7">
      <w:pPr>
        <w:jc w:val="both"/>
        <w:rPr>
          <w:rFonts w:ascii="Times New Roman" w:eastAsia="Times New Roman" w:hAnsi="Times New Roman" w:cs="Times New Roman"/>
          <w:noProof/>
          <w:sz w:val="24"/>
          <w:szCs w:val="35"/>
        </w:rPr>
      </w:pPr>
    </w:p>
    <w:p w14:paraId="270AA211" w14:textId="5DF82351" w:rsidR="000A3BB7" w:rsidRDefault="000A3BB7" w:rsidP="00DF28F7">
      <w:pPr>
        <w:jc w:val="both"/>
        <w:rPr>
          <w:rFonts w:ascii="Times New Roman" w:eastAsia="Times New Roman" w:hAnsi="Times New Roman" w:cs="Times New Roman"/>
          <w:noProof/>
          <w:sz w:val="24"/>
          <w:szCs w:val="35"/>
        </w:rPr>
      </w:pPr>
    </w:p>
    <w:p w14:paraId="136FBCA9" w14:textId="40A557E4" w:rsidR="000A3BB7" w:rsidRDefault="000A3BB7" w:rsidP="00DF28F7">
      <w:pPr>
        <w:jc w:val="both"/>
        <w:rPr>
          <w:rFonts w:ascii="Times New Roman" w:eastAsia="Times New Roman" w:hAnsi="Times New Roman" w:cs="Times New Roman"/>
          <w:noProof/>
          <w:sz w:val="24"/>
          <w:szCs w:val="35"/>
        </w:rPr>
      </w:pPr>
    </w:p>
    <w:p w14:paraId="22299E05" w14:textId="319FF7A4" w:rsidR="000A3BB7" w:rsidRDefault="000A3BB7" w:rsidP="00DF28F7">
      <w:pPr>
        <w:jc w:val="both"/>
        <w:rPr>
          <w:rFonts w:ascii="Times New Roman" w:eastAsia="Times New Roman" w:hAnsi="Times New Roman" w:cs="Times New Roman"/>
          <w:noProof/>
          <w:sz w:val="24"/>
          <w:szCs w:val="35"/>
        </w:rPr>
      </w:pPr>
    </w:p>
    <w:p w14:paraId="60EC0F8A" w14:textId="5B1D0D7A" w:rsidR="000A3BB7" w:rsidRDefault="000A3BB7" w:rsidP="00DF28F7">
      <w:pPr>
        <w:jc w:val="both"/>
        <w:rPr>
          <w:rFonts w:ascii="Times New Roman" w:eastAsia="Times New Roman" w:hAnsi="Times New Roman" w:cs="Times New Roman"/>
          <w:noProof/>
          <w:sz w:val="24"/>
          <w:szCs w:val="35"/>
        </w:rPr>
      </w:pPr>
    </w:p>
    <w:p w14:paraId="049AF430" w14:textId="47969A5F" w:rsidR="000A3BB7" w:rsidRDefault="000A3BB7" w:rsidP="00DF28F7">
      <w:pPr>
        <w:jc w:val="both"/>
        <w:rPr>
          <w:rFonts w:ascii="Times New Roman" w:eastAsia="Times New Roman" w:hAnsi="Times New Roman" w:cs="Times New Roman"/>
          <w:noProof/>
          <w:sz w:val="24"/>
          <w:szCs w:val="35"/>
        </w:rPr>
      </w:pPr>
    </w:p>
    <w:p w14:paraId="77AD0C8B" w14:textId="44C72F20" w:rsidR="000A3BB7" w:rsidRDefault="000A3BB7" w:rsidP="00DF28F7">
      <w:pPr>
        <w:jc w:val="both"/>
        <w:rPr>
          <w:rFonts w:ascii="Times New Roman" w:eastAsia="Times New Roman" w:hAnsi="Times New Roman" w:cs="Times New Roman"/>
          <w:noProof/>
          <w:sz w:val="24"/>
          <w:szCs w:val="35"/>
        </w:rPr>
      </w:pPr>
    </w:p>
    <w:p w14:paraId="2867B791" w14:textId="2DFA0075" w:rsidR="000A3BB7" w:rsidRDefault="000A3BB7" w:rsidP="00DF28F7">
      <w:pPr>
        <w:jc w:val="both"/>
        <w:rPr>
          <w:rFonts w:ascii="Times New Roman" w:eastAsia="Times New Roman" w:hAnsi="Times New Roman" w:cs="Times New Roman"/>
          <w:noProof/>
          <w:sz w:val="24"/>
          <w:szCs w:val="35"/>
        </w:rPr>
      </w:pPr>
    </w:p>
    <w:p w14:paraId="6AF0469E" w14:textId="1ED20B7E" w:rsidR="000A3BB7" w:rsidRDefault="000A3BB7" w:rsidP="00DF28F7">
      <w:pPr>
        <w:jc w:val="both"/>
        <w:rPr>
          <w:rFonts w:ascii="Times New Roman" w:eastAsia="Times New Roman" w:hAnsi="Times New Roman" w:cs="Times New Roman"/>
          <w:noProof/>
          <w:sz w:val="24"/>
          <w:szCs w:val="35"/>
        </w:rPr>
      </w:pPr>
    </w:p>
    <w:p w14:paraId="7B0FB06B" w14:textId="23EFFC4C" w:rsidR="000A3BB7" w:rsidRDefault="000A3BB7" w:rsidP="00DF28F7">
      <w:pPr>
        <w:jc w:val="both"/>
        <w:rPr>
          <w:rFonts w:ascii="Times New Roman" w:eastAsia="Times New Roman" w:hAnsi="Times New Roman" w:cs="Times New Roman"/>
          <w:noProof/>
          <w:sz w:val="24"/>
          <w:szCs w:val="35"/>
        </w:rPr>
      </w:pPr>
    </w:p>
    <w:p w14:paraId="48AEBA2A" w14:textId="77777777" w:rsidR="000A3BB7" w:rsidRPr="00DF28F7" w:rsidRDefault="000A3BB7" w:rsidP="00DF28F7">
      <w:pPr>
        <w:jc w:val="both"/>
        <w:rPr>
          <w:rFonts w:ascii="Times New Roman" w:eastAsia="Times New Roman" w:hAnsi="Times New Roman" w:cs="Times New Roman"/>
          <w:noProof/>
          <w:sz w:val="24"/>
          <w:szCs w:val="35"/>
        </w:rPr>
      </w:pPr>
    </w:p>
    <w:p w14:paraId="47959370" w14:textId="77777777" w:rsidR="0083515C" w:rsidRPr="00DF28F7" w:rsidRDefault="0083515C" w:rsidP="000A3BB7">
      <w:pPr>
        <w:tabs>
          <w:tab w:val="left" w:pos="2268"/>
        </w:tabs>
        <w:jc w:val="both"/>
        <w:rPr>
          <w:rFonts w:ascii="Times New Roman" w:hAnsi="Times New Roman"/>
          <w:noProof/>
          <w:sz w:val="24"/>
        </w:rPr>
      </w:pPr>
      <w:r>
        <w:rPr>
          <w:rFonts w:ascii="Times New Roman" w:hAnsi="Times New Roman"/>
          <w:sz w:val="24"/>
        </w:rPr>
        <w:t>2018. gads</w:t>
      </w:r>
      <w:r>
        <w:rPr>
          <w:rFonts w:ascii="Times New Roman" w:hAnsi="Times New Roman"/>
          <w:sz w:val="24"/>
        </w:rPr>
        <w:tab/>
        <w:t>Pētniecības un inovācijas ģenerāldirektorāts</w:t>
      </w:r>
    </w:p>
    <w:p w14:paraId="504618D0" w14:textId="77777777" w:rsidR="00150DA1" w:rsidRPr="00DF28F7" w:rsidRDefault="00150DA1" w:rsidP="00DF28F7">
      <w:pPr>
        <w:jc w:val="both"/>
        <w:rPr>
          <w:rFonts w:ascii="Times New Roman" w:eastAsia="Verdana" w:hAnsi="Times New Roman" w:cs="Verdana"/>
          <w:noProof/>
          <w:sz w:val="24"/>
          <w:szCs w:val="18"/>
        </w:rPr>
      </w:pPr>
      <w:r>
        <w:br w:type="page"/>
      </w:r>
    </w:p>
    <w:p w14:paraId="2C32B755" w14:textId="77777777" w:rsidR="00150DA1" w:rsidRPr="00DF28F7" w:rsidRDefault="00150DA1" w:rsidP="00DF28F7">
      <w:pPr>
        <w:jc w:val="both"/>
        <w:rPr>
          <w:rFonts w:ascii="Times New Roman" w:eastAsia="Verdana" w:hAnsi="Times New Roman" w:cs="Verdana"/>
          <w:noProof/>
          <w:sz w:val="24"/>
          <w:szCs w:val="18"/>
        </w:rPr>
      </w:pPr>
    </w:p>
    <w:p w14:paraId="30B01491" w14:textId="77777777" w:rsidR="0083515C" w:rsidRPr="00DF28F7" w:rsidRDefault="0083515C" w:rsidP="00DF28F7">
      <w:pPr>
        <w:jc w:val="both"/>
        <w:rPr>
          <w:rFonts w:ascii="Times New Roman" w:hAnsi="Times New Roman"/>
          <w:b/>
          <w:bCs/>
          <w:noProof/>
          <w:sz w:val="24"/>
        </w:rPr>
      </w:pPr>
      <w:r>
        <w:rPr>
          <w:rFonts w:ascii="Times New Roman" w:hAnsi="Times New Roman"/>
          <w:b/>
          <w:sz w:val="24"/>
        </w:rPr>
        <w:t>Saturs</w:t>
      </w:r>
    </w:p>
    <w:p w14:paraId="6E11CC99" w14:textId="09815C55" w:rsidR="0083515C" w:rsidRDefault="0083515C" w:rsidP="000A3BB7">
      <w:pPr>
        <w:jc w:val="both"/>
        <w:rPr>
          <w:rFonts w:ascii="Times New Roman" w:eastAsia="Times New Roman" w:hAnsi="Times New Roman" w:cs="Times New Roman"/>
          <w:noProof/>
          <w:sz w:val="24"/>
          <w:szCs w:val="24"/>
        </w:rPr>
      </w:pPr>
    </w:p>
    <w:p w14:paraId="42BFE280" w14:textId="56611620" w:rsidR="000A3BB7" w:rsidRDefault="000A3BB7" w:rsidP="000A3BB7">
      <w:pPr>
        <w:jc w:val="both"/>
        <w:rPr>
          <w:rFonts w:ascii="Times New Roman" w:eastAsia="Times New Roman" w:hAnsi="Times New Roman" w:cs="Times New Roman"/>
          <w:noProof/>
          <w:sz w:val="24"/>
          <w:szCs w:val="24"/>
        </w:rPr>
      </w:pPr>
    </w:p>
    <w:p w14:paraId="659AAA5B" w14:textId="7CB255ED" w:rsidR="000A3BB7" w:rsidRPr="000A3BB7" w:rsidRDefault="000A3BB7" w:rsidP="000A3BB7">
      <w:pPr>
        <w:jc w:val="both"/>
        <w:rPr>
          <w:rFonts w:ascii="Times New Roman" w:eastAsia="Times New Roman" w:hAnsi="Times New Roman" w:cs="Times New Roman"/>
          <w:b/>
          <w:bCs/>
          <w:noProof/>
          <w:sz w:val="24"/>
          <w:szCs w:val="24"/>
        </w:rPr>
      </w:pPr>
      <w:r w:rsidRPr="000A3BB7">
        <w:rPr>
          <w:rFonts w:ascii="Times New Roman" w:eastAsia="Times New Roman" w:hAnsi="Times New Roman" w:cs="Times New Roman"/>
          <w:b/>
          <w:bCs/>
          <w:noProof/>
          <w:sz w:val="24"/>
          <w:szCs w:val="24"/>
        </w:rPr>
        <w:t>PAZIŅOJUMS:</w:t>
      </w:r>
    </w:p>
    <w:p w14:paraId="3104CE40" w14:textId="77777777" w:rsidR="000A3BB7" w:rsidRPr="00AE0745" w:rsidRDefault="000A3BB7" w:rsidP="000A3BB7">
      <w:pPr>
        <w:jc w:val="both"/>
        <w:rPr>
          <w:rFonts w:ascii="Times New Roman" w:eastAsia="Times New Roman" w:hAnsi="Times New Roman" w:cs="Times New Roman"/>
          <w:noProof/>
          <w:sz w:val="24"/>
          <w:szCs w:val="24"/>
        </w:rPr>
      </w:pPr>
    </w:p>
    <w:sdt>
      <w:sdtPr>
        <w:rPr>
          <w:rFonts w:ascii="Times New Roman" w:eastAsiaTheme="minorHAnsi" w:hAnsi="Times New Roman" w:cs="Times New Roman"/>
          <w:color w:val="auto"/>
          <w:sz w:val="24"/>
          <w:szCs w:val="24"/>
          <w:lang w:val="lv-LV"/>
        </w:rPr>
        <w:id w:val="-764840334"/>
        <w:docPartObj>
          <w:docPartGallery w:val="Table of Contents"/>
          <w:docPartUnique/>
        </w:docPartObj>
      </w:sdtPr>
      <w:sdtEndPr>
        <w:rPr>
          <w:b/>
          <w:bCs/>
          <w:noProof/>
        </w:rPr>
      </w:sdtEndPr>
      <w:sdtContent>
        <w:p w14:paraId="0C3FC078" w14:textId="3D4E8CEE" w:rsidR="000A3BB7" w:rsidRPr="00AE0745" w:rsidRDefault="000A3BB7" w:rsidP="000A3BB7">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AE0745">
            <w:rPr>
              <w:rFonts w:ascii="Times New Roman" w:hAnsi="Times New Roman" w:cs="Times New Roman"/>
              <w:color w:val="auto"/>
              <w:sz w:val="24"/>
              <w:szCs w:val="24"/>
            </w:rPr>
            <w:fldChar w:fldCharType="begin"/>
          </w:r>
          <w:r w:rsidRPr="00AE0745">
            <w:rPr>
              <w:rFonts w:ascii="Times New Roman" w:hAnsi="Times New Roman" w:cs="Times New Roman"/>
              <w:color w:val="auto"/>
              <w:sz w:val="24"/>
              <w:szCs w:val="24"/>
            </w:rPr>
            <w:instrText xml:space="preserve"> TOC \o "1-3" \h \z \u </w:instrText>
          </w:r>
          <w:r w:rsidRPr="00AE0745">
            <w:rPr>
              <w:rFonts w:ascii="Times New Roman" w:hAnsi="Times New Roman" w:cs="Times New Roman"/>
              <w:color w:val="auto"/>
              <w:sz w:val="24"/>
              <w:szCs w:val="24"/>
            </w:rPr>
            <w:fldChar w:fldCharType="separate"/>
          </w:r>
        </w:p>
        <w:p w14:paraId="04C77B83" w14:textId="618AAD0C" w:rsidR="000A3BB7" w:rsidRPr="00AE0745" w:rsidRDefault="00A824E5" w:rsidP="000A3BB7">
          <w:pPr>
            <w:pStyle w:val="TOC2"/>
            <w:tabs>
              <w:tab w:val="right" w:leader="dot" w:pos="9062"/>
            </w:tabs>
            <w:spacing w:before="0"/>
            <w:ind w:left="0" w:firstLine="0"/>
            <w:jc w:val="both"/>
            <w:rPr>
              <w:rFonts w:eastAsiaTheme="minorEastAsia" w:cs="Times New Roman"/>
              <w:noProof/>
              <w:sz w:val="24"/>
              <w:szCs w:val="24"/>
              <w:lang w:eastAsia="lv-LV"/>
            </w:rPr>
          </w:pPr>
          <w:hyperlink w:anchor="_Toc63672626" w:history="1">
            <w:r w:rsidR="000A3BB7" w:rsidRPr="00AE0745">
              <w:rPr>
                <w:rStyle w:val="Hyperlink"/>
                <w:rFonts w:cs="Times New Roman"/>
                <w:b/>
                <w:noProof/>
                <w:color w:val="auto"/>
                <w:sz w:val="24"/>
                <w:szCs w:val="24"/>
              </w:rPr>
              <w:t>1. Ievads</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_Toc63672626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6</w:t>
            </w:r>
            <w:r w:rsidR="000A3BB7" w:rsidRPr="00AE0745">
              <w:rPr>
                <w:rFonts w:cs="Times New Roman"/>
                <w:noProof/>
                <w:webHidden/>
                <w:sz w:val="24"/>
                <w:szCs w:val="24"/>
              </w:rPr>
              <w:fldChar w:fldCharType="end"/>
            </w:r>
          </w:hyperlink>
        </w:p>
        <w:p w14:paraId="73DA01BD" w14:textId="26C817A6" w:rsidR="000A3BB7" w:rsidRPr="00AE0745" w:rsidRDefault="00A824E5" w:rsidP="000A3BB7">
          <w:pPr>
            <w:pStyle w:val="TOC2"/>
            <w:tabs>
              <w:tab w:val="right" w:leader="dot" w:pos="9062"/>
            </w:tabs>
            <w:spacing w:before="0"/>
            <w:ind w:left="0" w:firstLine="0"/>
            <w:jc w:val="both"/>
            <w:rPr>
              <w:rFonts w:eastAsiaTheme="minorEastAsia" w:cs="Times New Roman"/>
              <w:noProof/>
              <w:sz w:val="24"/>
              <w:szCs w:val="24"/>
              <w:lang w:eastAsia="lv-LV"/>
            </w:rPr>
          </w:pPr>
          <w:hyperlink w:anchor="_Toc63672627" w:history="1">
            <w:r w:rsidR="000A3BB7" w:rsidRPr="00AE0745">
              <w:rPr>
                <w:rStyle w:val="Hyperlink"/>
                <w:rFonts w:cs="Times New Roman"/>
                <w:b/>
                <w:noProof/>
                <w:color w:val="auto"/>
                <w:sz w:val="24"/>
                <w:szCs w:val="24"/>
              </w:rPr>
              <w:t>2. Kā bioekonomika dod ieguldījumu ES prioritātēs</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_Toc63672627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6</w:t>
            </w:r>
            <w:r w:rsidR="000A3BB7" w:rsidRPr="00AE0745">
              <w:rPr>
                <w:rFonts w:cs="Times New Roman"/>
                <w:noProof/>
                <w:webHidden/>
                <w:sz w:val="24"/>
                <w:szCs w:val="24"/>
              </w:rPr>
              <w:fldChar w:fldCharType="end"/>
            </w:r>
          </w:hyperlink>
        </w:p>
        <w:p w14:paraId="0D81B5DC" w14:textId="64BD5207" w:rsidR="000A3BB7" w:rsidRPr="00AE0745" w:rsidRDefault="00A824E5" w:rsidP="000A3BB7">
          <w:pPr>
            <w:pStyle w:val="TOC2"/>
            <w:tabs>
              <w:tab w:val="right" w:leader="dot" w:pos="9062"/>
            </w:tabs>
            <w:spacing w:before="0"/>
            <w:ind w:left="0" w:firstLine="0"/>
            <w:jc w:val="both"/>
            <w:rPr>
              <w:rFonts w:eastAsiaTheme="minorEastAsia" w:cs="Times New Roman"/>
              <w:noProof/>
              <w:sz w:val="24"/>
              <w:szCs w:val="24"/>
              <w:lang w:eastAsia="lv-LV"/>
            </w:rPr>
          </w:pPr>
          <w:hyperlink w:anchor="_Toc63672628" w:history="1">
            <w:r w:rsidR="000A3BB7" w:rsidRPr="00AE0745">
              <w:rPr>
                <w:rStyle w:val="Hyperlink"/>
                <w:rFonts w:cs="Times New Roman"/>
                <w:b/>
                <w:noProof/>
                <w:color w:val="auto"/>
                <w:sz w:val="24"/>
                <w:szCs w:val="24"/>
              </w:rPr>
              <w:t>3. Bioekonomikas potenciāla atraisīšana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_Toc63672628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9</w:t>
            </w:r>
            <w:r w:rsidR="000A3BB7" w:rsidRPr="00AE0745">
              <w:rPr>
                <w:rFonts w:cs="Times New Roman"/>
                <w:noProof/>
                <w:webHidden/>
                <w:sz w:val="24"/>
                <w:szCs w:val="24"/>
              </w:rPr>
              <w:fldChar w:fldCharType="end"/>
            </w:r>
          </w:hyperlink>
        </w:p>
        <w:p w14:paraId="442A78B0" w14:textId="0E894E1A" w:rsidR="000A3BB7" w:rsidRPr="00AE0745" w:rsidRDefault="00A824E5" w:rsidP="000A3BB7">
          <w:pPr>
            <w:pStyle w:val="TOC2"/>
            <w:tabs>
              <w:tab w:val="right" w:leader="dot" w:pos="9062"/>
            </w:tabs>
            <w:spacing w:before="0"/>
            <w:ind w:left="0" w:firstLine="0"/>
            <w:jc w:val="both"/>
            <w:rPr>
              <w:rFonts w:eastAsiaTheme="minorEastAsia" w:cs="Times New Roman"/>
              <w:noProof/>
              <w:sz w:val="24"/>
              <w:szCs w:val="24"/>
              <w:lang w:eastAsia="lv-LV"/>
            </w:rPr>
          </w:pPr>
          <w:hyperlink w:anchor="_Toc63672629" w:history="1">
            <w:r w:rsidR="000A3BB7" w:rsidRPr="00AE0745">
              <w:rPr>
                <w:rStyle w:val="Hyperlink"/>
                <w:rFonts w:cs="Times New Roman"/>
                <w:b/>
                <w:noProof/>
                <w:color w:val="auto"/>
                <w:sz w:val="24"/>
                <w:szCs w:val="24"/>
              </w:rPr>
              <w:t>4. Darbības, kas ved uz ilgtspējīgu aprites bioekonomiku</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_Toc63672629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11</w:t>
            </w:r>
            <w:r w:rsidR="000A3BB7" w:rsidRPr="00AE0745">
              <w:rPr>
                <w:rFonts w:cs="Times New Roman"/>
                <w:noProof/>
                <w:webHidden/>
                <w:sz w:val="24"/>
                <w:szCs w:val="24"/>
              </w:rPr>
              <w:fldChar w:fldCharType="end"/>
            </w:r>
          </w:hyperlink>
        </w:p>
        <w:p w14:paraId="2C64C185" w14:textId="5FD874AA"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30" w:history="1">
            <w:r w:rsidR="000A3BB7" w:rsidRPr="00AE0745">
              <w:rPr>
                <w:rStyle w:val="Hyperlink"/>
                <w:rFonts w:cs="Times New Roman"/>
                <w:noProof/>
                <w:color w:val="auto"/>
                <w:sz w:val="24"/>
                <w:szCs w:val="24"/>
              </w:rPr>
              <w:t>4.1. Uz bioresursiem balstīto nozaru stiprināšana, investīciju un tirgu atraisīšana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_Toc63672630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11</w:t>
            </w:r>
            <w:r w:rsidR="000A3BB7" w:rsidRPr="00AE0745">
              <w:rPr>
                <w:rFonts w:cs="Times New Roman"/>
                <w:noProof/>
                <w:webHidden/>
                <w:sz w:val="24"/>
                <w:szCs w:val="24"/>
              </w:rPr>
              <w:fldChar w:fldCharType="end"/>
            </w:r>
          </w:hyperlink>
        </w:p>
        <w:p w14:paraId="3060CD08" w14:textId="46CA4E48"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31" w:history="1">
            <w:r w:rsidR="000A3BB7" w:rsidRPr="00AE0745">
              <w:rPr>
                <w:rStyle w:val="Hyperlink"/>
                <w:rFonts w:cs="Times New Roman"/>
                <w:noProof/>
                <w:color w:val="auto"/>
                <w:sz w:val="24"/>
                <w:szCs w:val="24"/>
              </w:rPr>
              <w:t>4.2. Vietējās bioekonomikas strauja izvēršana Eiropā</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_Toc63672631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12</w:t>
            </w:r>
            <w:r w:rsidR="000A3BB7" w:rsidRPr="00AE0745">
              <w:rPr>
                <w:rFonts w:cs="Times New Roman"/>
                <w:noProof/>
                <w:webHidden/>
                <w:sz w:val="24"/>
                <w:szCs w:val="24"/>
              </w:rPr>
              <w:fldChar w:fldCharType="end"/>
            </w:r>
          </w:hyperlink>
        </w:p>
        <w:p w14:paraId="0CA66AD9" w14:textId="1A149E88"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32" w:history="1">
            <w:r w:rsidR="000A3BB7" w:rsidRPr="00AE0745">
              <w:rPr>
                <w:rStyle w:val="Hyperlink"/>
                <w:rFonts w:cs="Times New Roman"/>
                <w:noProof/>
                <w:color w:val="auto"/>
                <w:sz w:val="24"/>
                <w:szCs w:val="24"/>
              </w:rPr>
              <w:t>4.3. Bioekonomikas ekoloģisko robežu izprašana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_Toc63672632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14</w:t>
            </w:r>
            <w:r w:rsidR="000A3BB7" w:rsidRPr="00AE0745">
              <w:rPr>
                <w:rFonts w:cs="Times New Roman"/>
                <w:noProof/>
                <w:webHidden/>
                <w:sz w:val="24"/>
                <w:szCs w:val="24"/>
              </w:rPr>
              <w:fldChar w:fldCharType="end"/>
            </w:r>
          </w:hyperlink>
        </w:p>
        <w:p w14:paraId="675DD07C" w14:textId="766DE5D6" w:rsidR="000A3BB7" w:rsidRPr="00AE0745" w:rsidRDefault="00A824E5" w:rsidP="000A3BB7">
          <w:pPr>
            <w:pStyle w:val="TOC2"/>
            <w:tabs>
              <w:tab w:val="right" w:leader="dot" w:pos="9062"/>
            </w:tabs>
            <w:spacing w:before="0"/>
            <w:ind w:left="0" w:firstLine="0"/>
            <w:jc w:val="both"/>
            <w:rPr>
              <w:rStyle w:val="Hyperlink"/>
              <w:rFonts w:cs="Times New Roman"/>
              <w:noProof/>
              <w:color w:val="auto"/>
              <w:sz w:val="24"/>
              <w:szCs w:val="24"/>
            </w:rPr>
          </w:pPr>
          <w:hyperlink w:anchor="_Toc63672633" w:history="1">
            <w:r w:rsidR="000A3BB7" w:rsidRPr="00AE0745">
              <w:rPr>
                <w:rStyle w:val="Hyperlink"/>
                <w:rFonts w:cs="Times New Roman"/>
                <w:b/>
                <w:noProof/>
                <w:color w:val="auto"/>
                <w:sz w:val="24"/>
                <w:szCs w:val="24"/>
              </w:rPr>
              <w:t>5. Nobeigums</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_Toc63672633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15</w:t>
            </w:r>
            <w:r w:rsidR="000A3BB7" w:rsidRPr="00AE0745">
              <w:rPr>
                <w:rFonts w:cs="Times New Roman"/>
                <w:noProof/>
                <w:webHidden/>
                <w:sz w:val="24"/>
                <w:szCs w:val="24"/>
              </w:rPr>
              <w:fldChar w:fldCharType="end"/>
            </w:r>
          </w:hyperlink>
        </w:p>
        <w:p w14:paraId="58D557FB" w14:textId="0B9D109A" w:rsidR="000A3BB7" w:rsidRPr="00AE0745" w:rsidRDefault="000A3BB7" w:rsidP="000A3BB7">
          <w:pPr>
            <w:pStyle w:val="TOC2"/>
            <w:tabs>
              <w:tab w:val="right" w:leader="dot" w:pos="9062"/>
            </w:tabs>
            <w:spacing w:before="0"/>
            <w:ind w:left="0" w:firstLine="0"/>
            <w:jc w:val="both"/>
            <w:rPr>
              <w:rStyle w:val="Hyperlink"/>
              <w:rFonts w:cs="Times New Roman"/>
              <w:noProof/>
              <w:color w:val="auto"/>
              <w:sz w:val="24"/>
              <w:szCs w:val="24"/>
            </w:rPr>
          </w:pPr>
        </w:p>
        <w:p w14:paraId="2392A450" w14:textId="1B75D610" w:rsidR="000A3BB7" w:rsidRPr="00AE0745" w:rsidRDefault="000A3BB7" w:rsidP="000A3BB7">
          <w:pPr>
            <w:pStyle w:val="TOC2"/>
            <w:tabs>
              <w:tab w:val="right" w:leader="dot" w:pos="9062"/>
            </w:tabs>
            <w:spacing w:before="0"/>
            <w:ind w:left="0" w:firstLine="0"/>
            <w:jc w:val="both"/>
            <w:rPr>
              <w:rFonts w:eastAsiaTheme="minorEastAsia" w:cs="Times New Roman"/>
              <w:noProof/>
              <w:sz w:val="24"/>
              <w:szCs w:val="24"/>
              <w:lang w:eastAsia="lv-LV"/>
            </w:rPr>
          </w:pPr>
        </w:p>
        <w:p w14:paraId="12A1EDEB" w14:textId="77777777" w:rsidR="00AE0745" w:rsidRPr="00AE0745" w:rsidRDefault="00AE0745" w:rsidP="000A3BB7">
          <w:pPr>
            <w:pStyle w:val="TOC2"/>
            <w:tabs>
              <w:tab w:val="right" w:leader="dot" w:pos="9062"/>
            </w:tabs>
            <w:spacing w:before="0"/>
            <w:ind w:left="0" w:firstLine="0"/>
            <w:jc w:val="both"/>
            <w:rPr>
              <w:rFonts w:eastAsiaTheme="minorEastAsia" w:cs="Times New Roman"/>
              <w:noProof/>
              <w:sz w:val="24"/>
              <w:szCs w:val="24"/>
              <w:lang w:eastAsia="lv-LV"/>
            </w:rPr>
          </w:pPr>
        </w:p>
        <w:p w14:paraId="15141418" w14:textId="039AC6F0" w:rsidR="000A3BB7" w:rsidRPr="00AE0745" w:rsidRDefault="000A3BB7" w:rsidP="000A3BB7">
          <w:pPr>
            <w:pStyle w:val="TOC1"/>
            <w:tabs>
              <w:tab w:val="right" w:leader="dot" w:pos="9062"/>
            </w:tabs>
            <w:spacing w:before="0"/>
            <w:ind w:left="0"/>
            <w:jc w:val="both"/>
            <w:rPr>
              <w:rFonts w:eastAsiaTheme="minorEastAsia" w:cs="Times New Roman"/>
              <w:b/>
              <w:bCs/>
              <w:noProof/>
              <w:sz w:val="24"/>
              <w:szCs w:val="24"/>
              <w:lang w:eastAsia="lv-LV"/>
            </w:rPr>
          </w:pPr>
          <w:r w:rsidRPr="00AE0745">
            <w:rPr>
              <w:rFonts w:eastAsiaTheme="minorEastAsia" w:cs="Times New Roman"/>
              <w:b/>
              <w:bCs/>
              <w:noProof/>
              <w:sz w:val="24"/>
              <w:szCs w:val="24"/>
              <w:lang w:eastAsia="lv-LV"/>
            </w:rPr>
            <w:t>DIENESTU DARBA DOKUMENTS:</w:t>
          </w:r>
        </w:p>
        <w:p w14:paraId="63CEA21A" w14:textId="092DB323" w:rsidR="000A3BB7" w:rsidRPr="00AE0745" w:rsidRDefault="000A3BB7" w:rsidP="000A3BB7">
          <w:pPr>
            <w:pStyle w:val="TOC1"/>
            <w:tabs>
              <w:tab w:val="right" w:leader="dot" w:pos="9062"/>
            </w:tabs>
            <w:spacing w:before="0"/>
            <w:ind w:left="0"/>
            <w:jc w:val="both"/>
            <w:rPr>
              <w:rFonts w:eastAsiaTheme="minorEastAsia" w:cs="Times New Roman"/>
              <w:noProof/>
              <w:sz w:val="24"/>
              <w:szCs w:val="24"/>
              <w:lang w:eastAsia="lv-LV"/>
            </w:rPr>
          </w:pPr>
        </w:p>
        <w:p w14:paraId="393E0A93" w14:textId="77777777" w:rsidR="000A3BB7" w:rsidRPr="00AE0745" w:rsidRDefault="000A3BB7" w:rsidP="000A3BB7">
          <w:pPr>
            <w:pStyle w:val="TOC1"/>
            <w:tabs>
              <w:tab w:val="right" w:leader="dot" w:pos="9062"/>
            </w:tabs>
            <w:spacing w:before="0"/>
            <w:ind w:left="0"/>
            <w:jc w:val="both"/>
            <w:rPr>
              <w:rFonts w:eastAsiaTheme="minorEastAsia" w:cs="Times New Roman"/>
              <w:noProof/>
              <w:sz w:val="24"/>
              <w:szCs w:val="24"/>
              <w:lang w:eastAsia="lv-LV"/>
            </w:rPr>
          </w:pPr>
        </w:p>
        <w:p w14:paraId="3E53978A" w14:textId="2333DDE4" w:rsidR="000A3BB7" w:rsidRPr="00AE0745" w:rsidRDefault="00A824E5" w:rsidP="000A3BB7">
          <w:pPr>
            <w:pStyle w:val="TOC2"/>
            <w:tabs>
              <w:tab w:val="right" w:leader="dot" w:pos="9062"/>
            </w:tabs>
            <w:spacing w:before="0"/>
            <w:ind w:left="0" w:firstLine="0"/>
            <w:jc w:val="both"/>
            <w:rPr>
              <w:rFonts w:eastAsiaTheme="minorEastAsia" w:cs="Times New Roman"/>
              <w:noProof/>
              <w:sz w:val="24"/>
              <w:szCs w:val="24"/>
              <w:lang w:eastAsia="lv-LV"/>
            </w:rPr>
          </w:pPr>
          <w:hyperlink w:anchor="_Toc63672635" w:history="1">
            <w:r w:rsidR="000A3BB7" w:rsidRPr="00AE0745">
              <w:rPr>
                <w:rStyle w:val="Hyperlink"/>
                <w:rFonts w:cs="Times New Roman"/>
                <w:b/>
                <w:noProof/>
                <w:color w:val="auto"/>
                <w:sz w:val="24"/>
                <w:szCs w:val="24"/>
              </w:rPr>
              <w:t>1. DIENESTU DARBA DOKUMENTA MĒRĶIS</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_Toc63672635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19</w:t>
            </w:r>
            <w:r w:rsidR="000A3BB7" w:rsidRPr="00AE0745">
              <w:rPr>
                <w:rFonts w:cs="Times New Roman"/>
                <w:noProof/>
                <w:webHidden/>
                <w:sz w:val="24"/>
                <w:szCs w:val="24"/>
              </w:rPr>
              <w:fldChar w:fldCharType="end"/>
            </w:r>
          </w:hyperlink>
        </w:p>
        <w:p w14:paraId="27E9532A" w14:textId="40E36DC9" w:rsidR="000A3BB7" w:rsidRPr="00AE0745" w:rsidRDefault="00A824E5" w:rsidP="000A3BB7">
          <w:pPr>
            <w:pStyle w:val="TOC2"/>
            <w:tabs>
              <w:tab w:val="right" w:leader="dot" w:pos="9062"/>
            </w:tabs>
            <w:spacing w:before="0"/>
            <w:ind w:left="0" w:firstLine="0"/>
            <w:jc w:val="both"/>
            <w:rPr>
              <w:rFonts w:eastAsiaTheme="minorEastAsia" w:cs="Times New Roman"/>
              <w:noProof/>
              <w:sz w:val="24"/>
              <w:szCs w:val="24"/>
              <w:lang w:eastAsia="lv-LV"/>
            </w:rPr>
          </w:pPr>
          <w:hyperlink w:anchor="_Toc63672636" w:history="1">
            <w:r w:rsidR="000A3BB7" w:rsidRPr="00AE0745">
              <w:rPr>
                <w:rStyle w:val="Hyperlink"/>
                <w:rFonts w:cs="Times New Roman"/>
                <w:b/>
                <w:noProof/>
                <w:color w:val="auto"/>
                <w:sz w:val="24"/>
                <w:szCs w:val="24"/>
              </w:rPr>
              <w:t>2. ES BIOEKONOMIKAS STĀVOKLIS</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_Toc63672636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19</w:t>
            </w:r>
            <w:r w:rsidR="000A3BB7" w:rsidRPr="00AE0745">
              <w:rPr>
                <w:rFonts w:cs="Times New Roman"/>
                <w:noProof/>
                <w:webHidden/>
                <w:sz w:val="24"/>
                <w:szCs w:val="24"/>
              </w:rPr>
              <w:fldChar w:fldCharType="end"/>
            </w:r>
          </w:hyperlink>
        </w:p>
        <w:p w14:paraId="3D28376B" w14:textId="05870EE9"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37" w:history="1">
            <w:r w:rsidR="000A3BB7" w:rsidRPr="00AE0745">
              <w:rPr>
                <w:rStyle w:val="Hyperlink"/>
                <w:rFonts w:cs="Times New Roman"/>
                <w:noProof/>
                <w:color w:val="auto"/>
                <w:sz w:val="24"/>
                <w:szCs w:val="24"/>
              </w:rPr>
              <w:t>2.1. Eiropas Bioekonomikas stratēģija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_Toc63672637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19</w:t>
            </w:r>
            <w:r w:rsidR="000A3BB7" w:rsidRPr="00AE0745">
              <w:rPr>
                <w:rFonts w:cs="Times New Roman"/>
                <w:noProof/>
                <w:webHidden/>
                <w:sz w:val="24"/>
                <w:szCs w:val="24"/>
              </w:rPr>
              <w:fldChar w:fldCharType="end"/>
            </w:r>
          </w:hyperlink>
        </w:p>
        <w:p w14:paraId="4AE2D073" w14:textId="0C45CE86"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38" w:history="1">
            <w:r w:rsidR="000A3BB7" w:rsidRPr="00AE0745">
              <w:rPr>
                <w:rStyle w:val="Hyperlink"/>
                <w:rFonts w:cs="Times New Roman"/>
                <w:noProof/>
                <w:color w:val="auto"/>
                <w:sz w:val="24"/>
                <w:szCs w:val="24"/>
              </w:rPr>
              <w:t>2.2. ES Bioekonomika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_Toc63672638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24</w:t>
            </w:r>
            <w:r w:rsidR="000A3BB7" w:rsidRPr="00AE0745">
              <w:rPr>
                <w:rFonts w:cs="Times New Roman"/>
                <w:noProof/>
                <w:webHidden/>
                <w:sz w:val="24"/>
                <w:szCs w:val="24"/>
              </w:rPr>
              <w:fldChar w:fldCharType="end"/>
            </w:r>
          </w:hyperlink>
        </w:p>
        <w:p w14:paraId="7A6397AD" w14:textId="2FB30BAC"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39" w:history="1">
            <w:r w:rsidR="000A3BB7" w:rsidRPr="00AE0745">
              <w:rPr>
                <w:rStyle w:val="Hyperlink"/>
                <w:rFonts w:cs="Times New Roman"/>
                <w:noProof/>
                <w:color w:val="auto"/>
                <w:sz w:val="24"/>
                <w:szCs w:val="24"/>
              </w:rPr>
              <w:t>2.3. Bioekonomika un aprites ekonomika – bioatkritumu, blakusproduktu un resursu plūsmu vērtības palielināšana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_Toc63672639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47</w:t>
            </w:r>
            <w:r w:rsidR="000A3BB7" w:rsidRPr="00AE0745">
              <w:rPr>
                <w:rFonts w:cs="Times New Roman"/>
                <w:noProof/>
                <w:webHidden/>
                <w:sz w:val="24"/>
                <w:szCs w:val="24"/>
              </w:rPr>
              <w:fldChar w:fldCharType="end"/>
            </w:r>
          </w:hyperlink>
        </w:p>
        <w:p w14:paraId="59BEC820" w14:textId="0A8B90BA" w:rsidR="000A3BB7" w:rsidRPr="00AE0745" w:rsidRDefault="00A824E5" w:rsidP="000A3BB7">
          <w:pPr>
            <w:pStyle w:val="TOC2"/>
            <w:tabs>
              <w:tab w:val="right" w:leader="dot" w:pos="9062"/>
            </w:tabs>
            <w:spacing w:before="0"/>
            <w:ind w:left="0" w:firstLine="0"/>
            <w:jc w:val="both"/>
            <w:rPr>
              <w:rFonts w:eastAsiaTheme="minorEastAsia" w:cs="Times New Roman"/>
              <w:noProof/>
              <w:sz w:val="24"/>
              <w:szCs w:val="24"/>
              <w:lang w:eastAsia="lv-LV"/>
            </w:rPr>
          </w:pPr>
          <w:hyperlink w:anchor="_Toc63672640" w:history="1">
            <w:r w:rsidR="000A3BB7" w:rsidRPr="00AE0745">
              <w:rPr>
                <w:rStyle w:val="Hyperlink"/>
                <w:rFonts w:cs="Times New Roman"/>
                <w:b/>
                <w:noProof/>
                <w:color w:val="auto"/>
                <w:sz w:val="24"/>
                <w:szCs w:val="24"/>
              </w:rPr>
              <w:t>3. RĪCĪBAS PLĀNS. CEĻĀ UZ ILGTSPĒJĪGU APRITES BIOEKONOMIKU</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_Toc63672640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50</w:t>
            </w:r>
            <w:r w:rsidR="000A3BB7" w:rsidRPr="00AE0745">
              <w:rPr>
                <w:rFonts w:cs="Times New Roman"/>
                <w:noProof/>
                <w:webHidden/>
                <w:sz w:val="24"/>
                <w:szCs w:val="24"/>
              </w:rPr>
              <w:fldChar w:fldCharType="end"/>
            </w:r>
          </w:hyperlink>
        </w:p>
        <w:p w14:paraId="07104C45" w14:textId="3EC47490"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41" w:history="1">
            <w:r w:rsidR="000A3BB7" w:rsidRPr="00AE0745">
              <w:rPr>
                <w:rStyle w:val="Hyperlink"/>
                <w:rFonts w:cs="Times New Roman"/>
                <w:noProof/>
                <w:color w:val="auto"/>
                <w:sz w:val="24"/>
                <w:szCs w:val="24"/>
              </w:rPr>
              <w:t>3.1. Uz bioresursiem balstīto nozaru stiprināšana, investīciju un tirgu atraisīšana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_Toc63672641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51</w:t>
            </w:r>
            <w:r w:rsidR="000A3BB7" w:rsidRPr="00AE0745">
              <w:rPr>
                <w:rFonts w:cs="Times New Roman"/>
                <w:noProof/>
                <w:webHidden/>
                <w:sz w:val="24"/>
                <w:szCs w:val="24"/>
              </w:rPr>
              <w:fldChar w:fldCharType="end"/>
            </w:r>
          </w:hyperlink>
        </w:p>
        <w:p w14:paraId="174AA1F9" w14:textId="6D99E8AB"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42" w:history="1">
            <w:r w:rsidR="000A3BB7" w:rsidRPr="00AE0745">
              <w:rPr>
                <w:rStyle w:val="Hyperlink"/>
                <w:rFonts w:cs="Times New Roman"/>
                <w:noProof/>
                <w:color w:val="auto"/>
                <w:sz w:val="24"/>
                <w:szCs w:val="24"/>
              </w:rPr>
              <w:t>3.2. Vietējās bioekonomikas strauja izvēršana Eiropā</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_Toc63672642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65</w:t>
            </w:r>
            <w:r w:rsidR="000A3BB7" w:rsidRPr="00AE0745">
              <w:rPr>
                <w:rFonts w:cs="Times New Roman"/>
                <w:noProof/>
                <w:webHidden/>
                <w:sz w:val="24"/>
                <w:szCs w:val="24"/>
              </w:rPr>
              <w:fldChar w:fldCharType="end"/>
            </w:r>
          </w:hyperlink>
        </w:p>
        <w:p w14:paraId="25349C0F" w14:textId="77EFA1B1" w:rsidR="000A3BB7" w:rsidRPr="00AE0745" w:rsidRDefault="00A824E5" w:rsidP="00AE0745">
          <w:pPr>
            <w:pStyle w:val="TOC2"/>
            <w:tabs>
              <w:tab w:val="right" w:leader="dot" w:pos="9062"/>
            </w:tabs>
            <w:spacing w:before="0"/>
            <w:ind w:left="284" w:firstLine="0"/>
            <w:jc w:val="both"/>
            <w:rPr>
              <w:rFonts w:eastAsiaTheme="minorEastAsia" w:cs="Times New Roman"/>
              <w:noProof/>
              <w:sz w:val="24"/>
              <w:szCs w:val="24"/>
              <w:lang w:eastAsia="lv-LV"/>
            </w:rPr>
          </w:pPr>
          <w:hyperlink w:anchor="_Toc63672643" w:history="1">
            <w:r w:rsidR="000A3BB7" w:rsidRPr="00AE0745">
              <w:rPr>
                <w:rStyle w:val="Hyperlink"/>
                <w:rFonts w:cs="Times New Roman"/>
                <w:noProof/>
                <w:color w:val="auto"/>
                <w:sz w:val="24"/>
                <w:szCs w:val="24"/>
              </w:rPr>
              <w:t>3.3. Bioekonomikas ekoloģisko robežu izprašana</w:t>
            </w:r>
            <w:r w:rsidR="000A3BB7" w:rsidRPr="00AE0745">
              <w:rPr>
                <w:rFonts w:cs="Times New Roman"/>
                <w:noProof/>
                <w:webHidden/>
                <w:sz w:val="24"/>
                <w:szCs w:val="24"/>
              </w:rPr>
              <w:tab/>
            </w:r>
            <w:r w:rsidR="000A3BB7" w:rsidRPr="00AE0745">
              <w:rPr>
                <w:rFonts w:cs="Times New Roman"/>
                <w:noProof/>
                <w:webHidden/>
                <w:sz w:val="24"/>
                <w:szCs w:val="24"/>
              </w:rPr>
              <w:fldChar w:fldCharType="begin"/>
            </w:r>
            <w:r w:rsidR="000A3BB7" w:rsidRPr="00AE0745">
              <w:rPr>
                <w:rFonts w:cs="Times New Roman"/>
                <w:noProof/>
                <w:webHidden/>
                <w:sz w:val="24"/>
                <w:szCs w:val="24"/>
              </w:rPr>
              <w:instrText xml:space="preserve"> PAGEREF _Toc63672643 \h </w:instrText>
            </w:r>
            <w:r w:rsidR="000A3BB7" w:rsidRPr="00AE0745">
              <w:rPr>
                <w:rFonts w:cs="Times New Roman"/>
                <w:noProof/>
                <w:webHidden/>
                <w:sz w:val="24"/>
                <w:szCs w:val="24"/>
              </w:rPr>
            </w:r>
            <w:r w:rsidR="000A3BB7" w:rsidRPr="00AE0745">
              <w:rPr>
                <w:rFonts w:cs="Times New Roman"/>
                <w:noProof/>
                <w:webHidden/>
                <w:sz w:val="24"/>
                <w:szCs w:val="24"/>
              </w:rPr>
              <w:fldChar w:fldCharType="separate"/>
            </w:r>
            <w:r w:rsidR="00AE0745">
              <w:rPr>
                <w:rFonts w:cs="Times New Roman"/>
                <w:noProof/>
                <w:webHidden/>
                <w:sz w:val="24"/>
                <w:szCs w:val="24"/>
              </w:rPr>
              <w:t>82</w:t>
            </w:r>
            <w:r w:rsidR="000A3BB7" w:rsidRPr="00AE0745">
              <w:rPr>
                <w:rFonts w:cs="Times New Roman"/>
                <w:noProof/>
                <w:webHidden/>
                <w:sz w:val="24"/>
                <w:szCs w:val="24"/>
              </w:rPr>
              <w:fldChar w:fldCharType="end"/>
            </w:r>
          </w:hyperlink>
        </w:p>
        <w:p w14:paraId="0F1893C4" w14:textId="6E53B3AD" w:rsidR="000A3BB7" w:rsidRPr="00AE0745" w:rsidRDefault="000A3BB7" w:rsidP="000A3BB7">
          <w:pPr>
            <w:jc w:val="both"/>
            <w:rPr>
              <w:rFonts w:ascii="Times New Roman" w:hAnsi="Times New Roman" w:cs="Times New Roman"/>
              <w:sz w:val="24"/>
              <w:szCs w:val="24"/>
            </w:rPr>
          </w:pPr>
          <w:r w:rsidRPr="00AE0745">
            <w:rPr>
              <w:rFonts w:ascii="Times New Roman" w:hAnsi="Times New Roman" w:cs="Times New Roman"/>
              <w:b/>
              <w:bCs/>
              <w:noProof/>
              <w:sz w:val="24"/>
              <w:szCs w:val="24"/>
            </w:rPr>
            <w:fldChar w:fldCharType="end"/>
          </w:r>
        </w:p>
      </w:sdtContent>
    </w:sdt>
    <w:p w14:paraId="3BE30630" w14:textId="61B5257A" w:rsidR="0083515C" w:rsidRPr="00AE0745" w:rsidRDefault="0083515C" w:rsidP="000A3BB7">
      <w:pPr>
        <w:jc w:val="both"/>
        <w:rPr>
          <w:rFonts w:ascii="Times New Roman" w:eastAsia="Times New Roman" w:hAnsi="Times New Roman" w:cs="Times New Roman"/>
          <w:noProof/>
          <w:sz w:val="24"/>
          <w:szCs w:val="24"/>
        </w:rPr>
      </w:pPr>
    </w:p>
    <w:p w14:paraId="5CF94411" w14:textId="77777777" w:rsidR="000A3BB7" w:rsidRPr="00DF28F7" w:rsidRDefault="000A3BB7" w:rsidP="00DF28F7">
      <w:pPr>
        <w:jc w:val="both"/>
        <w:rPr>
          <w:rFonts w:ascii="Times New Roman" w:hAnsi="Times New Roman"/>
          <w:b/>
          <w:bCs/>
          <w:noProof/>
          <w:sz w:val="24"/>
        </w:rPr>
      </w:pPr>
    </w:p>
    <w:p w14:paraId="1863194A" w14:textId="77777777" w:rsidR="00150DA1" w:rsidRPr="00DF28F7" w:rsidRDefault="00150DA1" w:rsidP="00DF28F7">
      <w:pPr>
        <w:jc w:val="both"/>
        <w:rPr>
          <w:rFonts w:ascii="Times New Roman" w:eastAsia="Verdana" w:hAnsi="Times New Roman" w:cs="Verdana"/>
          <w:noProof/>
          <w:sz w:val="24"/>
          <w:szCs w:val="44"/>
        </w:rPr>
      </w:pPr>
      <w:r>
        <w:br w:type="page"/>
      </w:r>
    </w:p>
    <w:p w14:paraId="2CCDEBF3" w14:textId="59669622" w:rsidR="0083515C" w:rsidRDefault="0083515C" w:rsidP="00DF28F7">
      <w:pPr>
        <w:jc w:val="both"/>
        <w:rPr>
          <w:rFonts w:ascii="Times New Roman" w:eastAsia="Verdana" w:hAnsi="Times New Roman" w:cs="Verdana"/>
          <w:noProof/>
          <w:sz w:val="24"/>
          <w:szCs w:val="59"/>
        </w:rPr>
      </w:pPr>
    </w:p>
    <w:p w14:paraId="4F9A8CBD" w14:textId="77160832" w:rsidR="0088409F" w:rsidRDefault="0088409F" w:rsidP="00DF28F7">
      <w:pPr>
        <w:jc w:val="both"/>
        <w:rPr>
          <w:rFonts w:ascii="Times New Roman" w:eastAsia="Verdana" w:hAnsi="Times New Roman" w:cs="Verdana"/>
          <w:noProof/>
          <w:sz w:val="24"/>
          <w:szCs w:val="59"/>
        </w:rPr>
      </w:pPr>
    </w:p>
    <w:p w14:paraId="234568B1" w14:textId="48C63581" w:rsidR="0088409F" w:rsidRDefault="0088409F" w:rsidP="00DF28F7">
      <w:pPr>
        <w:jc w:val="both"/>
        <w:rPr>
          <w:rFonts w:ascii="Times New Roman" w:eastAsia="Verdana" w:hAnsi="Times New Roman" w:cs="Verdana"/>
          <w:noProof/>
          <w:sz w:val="24"/>
          <w:szCs w:val="59"/>
        </w:rPr>
      </w:pPr>
    </w:p>
    <w:p w14:paraId="76FF6848" w14:textId="734AE5E9" w:rsidR="0088409F" w:rsidRDefault="0088409F" w:rsidP="00DF28F7">
      <w:pPr>
        <w:jc w:val="both"/>
        <w:rPr>
          <w:rFonts w:ascii="Times New Roman" w:eastAsia="Verdana" w:hAnsi="Times New Roman" w:cs="Verdana"/>
          <w:noProof/>
          <w:sz w:val="24"/>
          <w:szCs w:val="59"/>
        </w:rPr>
      </w:pPr>
    </w:p>
    <w:p w14:paraId="1B630D03" w14:textId="4DF9B095" w:rsidR="0088409F" w:rsidRDefault="0088409F" w:rsidP="00DF28F7">
      <w:pPr>
        <w:jc w:val="both"/>
        <w:rPr>
          <w:rFonts w:ascii="Times New Roman" w:eastAsia="Verdana" w:hAnsi="Times New Roman" w:cs="Verdana"/>
          <w:noProof/>
          <w:sz w:val="24"/>
          <w:szCs w:val="59"/>
        </w:rPr>
      </w:pPr>
    </w:p>
    <w:p w14:paraId="7EF816FF" w14:textId="49214E75" w:rsidR="0088409F" w:rsidRDefault="0088409F" w:rsidP="00DF28F7">
      <w:pPr>
        <w:jc w:val="both"/>
        <w:rPr>
          <w:rFonts w:ascii="Times New Roman" w:eastAsia="Verdana" w:hAnsi="Times New Roman" w:cs="Verdana"/>
          <w:noProof/>
          <w:sz w:val="24"/>
          <w:szCs w:val="59"/>
        </w:rPr>
      </w:pPr>
    </w:p>
    <w:p w14:paraId="1DCBBABE" w14:textId="0D3E9BD0" w:rsidR="0088409F" w:rsidRDefault="0088409F" w:rsidP="00DF28F7">
      <w:pPr>
        <w:jc w:val="both"/>
        <w:rPr>
          <w:rFonts w:ascii="Times New Roman" w:eastAsia="Verdana" w:hAnsi="Times New Roman" w:cs="Verdana"/>
          <w:noProof/>
          <w:sz w:val="24"/>
          <w:szCs w:val="59"/>
        </w:rPr>
      </w:pPr>
    </w:p>
    <w:p w14:paraId="35EC225A" w14:textId="4F7F122A" w:rsidR="0088409F" w:rsidRDefault="0088409F" w:rsidP="00DF28F7">
      <w:pPr>
        <w:jc w:val="both"/>
        <w:rPr>
          <w:rFonts w:ascii="Times New Roman" w:eastAsia="Verdana" w:hAnsi="Times New Roman" w:cs="Verdana"/>
          <w:noProof/>
          <w:sz w:val="24"/>
          <w:szCs w:val="59"/>
        </w:rPr>
      </w:pPr>
    </w:p>
    <w:p w14:paraId="58E8AD4C" w14:textId="09F7AA4D" w:rsidR="0088409F" w:rsidRDefault="0088409F" w:rsidP="00DF28F7">
      <w:pPr>
        <w:jc w:val="both"/>
        <w:rPr>
          <w:rFonts w:ascii="Times New Roman" w:eastAsia="Verdana" w:hAnsi="Times New Roman" w:cs="Verdana"/>
          <w:noProof/>
          <w:sz w:val="24"/>
          <w:szCs w:val="59"/>
        </w:rPr>
      </w:pPr>
    </w:p>
    <w:p w14:paraId="7D4D001F" w14:textId="77777777" w:rsidR="0088409F" w:rsidRPr="00DF28F7" w:rsidRDefault="0088409F" w:rsidP="00DF28F7">
      <w:pPr>
        <w:jc w:val="both"/>
        <w:rPr>
          <w:rFonts w:ascii="Times New Roman" w:eastAsia="Verdana" w:hAnsi="Times New Roman" w:cs="Verdana"/>
          <w:noProof/>
          <w:sz w:val="24"/>
          <w:szCs w:val="59"/>
        </w:rPr>
      </w:pPr>
    </w:p>
    <w:p w14:paraId="72E1885D" w14:textId="77777777" w:rsidR="0083515C" w:rsidRPr="0088409F" w:rsidRDefault="0083515C" w:rsidP="00933017">
      <w:pPr>
        <w:pStyle w:val="Heading1"/>
        <w:ind w:left="0" w:firstLine="0"/>
        <w:jc w:val="center"/>
        <w:rPr>
          <w:bCs/>
          <w:noProof/>
          <w:sz w:val="32"/>
          <w:szCs w:val="52"/>
        </w:rPr>
      </w:pPr>
      <w:bookmarkStart w:id="0" w:name="_Toc63672625"/>
      <w:r w:rsidRPr="0088409F">
        <w:rPr>
          <w:bCs/>
          <w:sz w:val="32"/>
          <w:szCs w:val="52"/>
        </w:rPr>
        <w:t>KOMISIJAS PAZIŅOJUMS EIROPAS PARLAMENTAM, PADOMEI, EIROPAS EKONOMIKAS UN SOCIĀLO LIETU KOMITEJAI UN REĢIONU KOMITEJAI</w:t>
      </w:r>
      <w:bookmarkEnd w:id="0"/>
    </w:p>
    <w:p w14:paraId="513955BD" w14:textId="77777777" w:rsidR="00150DA1" w:rsidRPr="00DF28F7" w:rsidRDefault="00150DA1" w:rsidP="00DF28F7">
      <w:pPr>
        <w:jc w:val="both"/>
        <w:rPr>
          <w:rFonts w:ascii="Times New Roman" w:hAnsi="Times New Roman"/>
          <w:noProof/>
          <w:sz w:val="24"/>
        </w:rPr>
      </w:pPr>
      <w:r>
        <w:br w:type="page"/>
      </w:r>
    </w:p>
    <w:p w14:paraId="1F9B1A8A" w14:textId="77777777" w:rsidR="00CF10CD" w:rsidRPr="00DF28F7" w:rsidRDefault="00CF10CD" w:rsidP="00DF28F7">
      <w:pPr>
        <w:jc w:val="both"/>
        <w:rPr>
          <w:rFonts w:ascii="Times New Roman" w:hAnsi="Times New Roman"/>
          <w:noProof/>
          <w:sz w:val="24"/>
        </w:rPr>
      </w:pPr>
    </w:p>
    <w:p w14:paraId="1C55E2AC" w14:textId="77777777" w:rsidR="0083515C" w:rsidRPr="00933017" w:rsidRDefault="00150DA1" w:rsidP="00DF28F7">
      <w:pPr>
        <w:pStyle w:val="Heading2"/>
        <w:tabs>
          <w:tab w:val="left" w:pos="780"/>
        </w:tabs>
        <w:ind w:left="0" w:firstLine="0"/>
        <w:jc w:val="both"/>
        <w:rPr>
          <w:b/>
          <w:bCs/>
          <w:noProof/>
          <w:sz w:val="24"/>
        </w:rPr>
      </w:pPr>
      <w:bookmarkStart w:id="1" w:name="_TOC_250007"/>
      <w:bookmarkStart w:id="2" w:name="_Toc63672626"/>
      <w:r>
        <w:rPr>
          <w:b/>
          <w:sz w:val="24"/>
        </w:rPr>
        <w:t>1. Ievads</w:t>
      </w:r>
      <w:bookmarkEnd w:id="1"/>
      <w:bookmarkEnd w:id="2"/>
    </w:p>
    <w:p w14:paraId="25E59F5A" w14:textId="77777777" w:rsidR="0083515C" w:rsidRPr="00DF28F7" w:rsidRDefault="0083515C" w:rsidP="00DF28F7">
      <w:pPr>
        <w:jc w:val="both"/>
        <w:rPr>
          <w:rFonts w:ascii="Times New Roman" w:eastAsia="Times New Roman" w:hAnsi="Times New Roman" w:cs="Times New Roman"/>
          <w:noProof/>
          <w:sz w:val="24"/>
        </w:rPr>
      </w:pPr>
    </w:p>
    <w:p w14:paraId="751F0261"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Pasaules resursi nav neizsmeļami. Palielinoties cilvēku skaitam, tādas globālas problēmas kā klimata pārmaiņas un zemes un ekosistēmu degradācija liek meklēt jaunus veidus, kā ražot un patērēt, ievērojot planētas ekoloģiskās robežas. Tajā pašā laikā nepieciešamība panākt ilgtspēju ir spēcīgs stimuls modernizēt rūpniecību un stiprināt Eiropas pozīcijas spēcīgas konkurences regulētajā pasaules ekonomikā, tādējādi nodrošinot ES pilsoņu labklājību. Lai risinātu šīs problēmas, mums ir jāuzlabo un jāinovē pārtikas, izstrādājumu un izejvielu ražošana un patērēšana veselīgās ekosistēmās – ar ilgtspējīgu bioekonomiku.</w:t>
      </w:r>
    </w:p>
    <w:p w14:paraId="41AB3667" w14:textId="77777777" w:rsidR="00150DA1" w:rsidRDefault="00150DA1" w:rsidP="00DF28F7">
      <w:pPr>
        <w:pStyle w:val="BodyText"/>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933017" w14:paraId="65E2C2F3" w14:textId="77777777" w:rsidTr="00933017">
        <w:tc>
          <w:tcPr>
            <w:tcW w:w="9288" w:type="dxa"/>
          </w:tcPr>
          <w:p w14:paraId="6052EE4C" w14:textId="77777777" w:rsidR="00933017" w:rsidRPr="00DF28F7" w:rsidRDefault="00933017" w:rsidP="00933017">
            <w:pPr>
              <w:jc w:val="center"/>
              <w:rPr>
                <w:rFonts w:ascii="Times New Roman" w:hAnsi="Times New Roman"/>
                <w:noProof/>
                <w:sz w:val="24"/>
                <w:u w:val="single" w:color="000000"/>
              </w:rPr>
            </w:pPr>
            <w:r>
              <w:rPr>
                <w:rFonts w:ascii="Times New Roman" w:hAnsi="Times New Roman"/>
                <w:sz w:val="24"/>
                <w:u w:val="single" w:color="000000"/>
              </w:rPr>
              <w:t>Ilgtspējīga un aprites principiem atbilstoša: Eiropas bioekonomika</w:t>
            </w:r>
          </w:p>
          <w:p w14:paraId="688CD47D" w14:textId="77777777" w:rsidR="00933017" w:rsidRPr="00DF28F7" w:rsidRDefault="00933017" w:rsidP="00933017">
            <w:pPr>
              <w:jc w:val="both"/>
              <w:rPr>
                <w:rFonts w:ascii="Times New Roman" w:eastAsia="Verdana" w:hAnsi="Times New Roman" w:cs="Verdana"/>
                <w:noProof/>
                <w:sz w:val="24"/>
                <w:szCs w:val="23"/>
              </w:rPr>
            </w:pPr>
          </w:p>
          <w:p w14:paraId="7DC0BB6A" w14:textId="77777777" w:rsidR="00933017" w:rsidRDefault="00933017" w:rsidP="00933017">
            <w:pPr>
              <w:jc w:val="both"/>
              <w:rPr>
                <w:rFonts w:ascii="Times New Roman" w:hAnsi="Times New Roman"/>
                <w:noProof/>
                <w:sz w:val="24"/>
              </w:rPr>
            </w:pPr>
            <w:r>
              <w:rPr>
                <w:rFonts w:ascii="Times New Roman" w:hAnsi="Times New Roman"/>
                <w:sz w:val="24"/>
              </w:rPr>
              <w:t>Bioekonomika aptver visas nozares un sistēmas, kas balstās uz bioloģiskajiem resursiem (dzīvnieki, augi, mikroorganismi un no tiem iegūta biomasa, ieskaitot organiskos atkritumus), to funkcijām un principiem. Tā aptver un sasaista sauszemes un jūras ekosistēmas un to sniegtos pakalpojumus, visas primārās ražošanas nozares, kas izmanto un ražo bioloģiskos resursus (lauksaimniecību, mežsaimniecību, zivsaimniecību un akvakultūru), un visas ekonomikas un rūpniecības nozares, kuras izmanto bioloģiskos resursus un procesus pārtikas, lopbarības, bioproduktu, enerģijas un pakalpojumu ražošanai.</w:t>
            </w:r>
            <w:r>
              <w:rPr>
                <w:rStyle w:val="FootnoteReference"/>
                <w:rFonts w:ascii="Times New Roman" w:hAnsi="Times New Roman"/>
                <w:noProof/>
                <w:sz w:val="24"/>
              </w:rPr>
              <w:footnoteReference w:id="1"/>
            </w:r>
            <w:r>
              <w:rPr>
                <w:rFonts w:ascii="Times New Roman" w:hAnsi="Times New Roman"/>
                <w:sz w:val="24"/>
              </w:rPr>
              <w:t xml:space="preserve"> Lai Eiropas bioekonomikai būtu sekmes, tās kodolam jābūt ilgtspējai un atbilstībai aprites principiem. Tas veicinās mūsu rūpniecības atjaunotni, primārās ražošanas sistēmu mūsdienīgošanu, vides aizsardzību un bioloģisko daudzveidību.</w:t>
            </w:r>
          </w:p>
        </w:tc>
      </w:tr>
    </w:tbl>
    <w:p w14:paraId="475DBE6A" w14:textId="77777777" w:rsidR="0083515C" w:rsidRPr="00DF28F7" w:rsidRDefault="0083515C" w:rsidP="00DF28F7">
      <w:pPr>
        <w:jc w:val="both"/>
        <w:rPr>
          <w:rFonts w:ascii="Times New Roman" w:eastAsia="Verdana" w:hAnsi="Times New Roman" w:cs="Verdana"/>
          <w:noProof/>
          <w:sz w:val="24"/>
          <w:szCs w:val="17"/>
        </w:rPr>
      </w:pPr>
    </w:p>
    <w:p w14:paraId="725ED60D" w14:textId="77777777" w:rsidR="0083515C" w:rsidRPr="00DF28F7" w:rsidRDefault="0083515C" w:rsidP="00DF28F7">
      <w:pPr>
        <w:pStyle w:val="BodyText"/>
        <w:ind w:left="0"/>
        <w:jc w:val="both"/>
        <w:rPr>
          <w:rFonts w:ascii="Times New Roman" w:hAnsi="Times New Roman"/>
          <w:noProof/>
          <w:sz w:val="24"/>
          <w:szCs w:val="12"/>
        </w:rPr>
      </w:pPr>
      <w:r>
        <w:rPr>
          <w:rFonts w:ascii="Times New Roman" w:hAnsi="Times New Roman"/>
          <w:sz w:val="24"/>
        </w:rPr>
        <w:t>2012. gada bioekonomikas stratēģijas</w:t>
      </w:r>
      <w:r w:rsidR="00933017">
        <w:rPr>
          <w:rStyle w:val="FootnoteReference"/>
          <w:rFonts w:ascii="Times New Roman" w:hAnsi="Times New Roman"/>
          <w:noProof/>
          <w:sz w:val="24"/>
        </w:rPr>
        <w:footnoteReference w:id="2"/>
      </w:r>
      <w:r>
        <w:rPr>
          <w:rFonts w:ascii="Times New Roman" w:hAnsi="Times New Roman"/>
          <w:sz w:val="24"/>
        </w:rPr>
        <w:t xml:space="preserve"> atjaunināšanas mērķis ir risināt šīs problēmas ar 14 konkrētām darbībām, kas sāksies ne vēlāk kā 2019. gadā.</w:t>
      </w:r>
      <w:r w:rsidR="00933017">
        <w:rPr>
          <w:rStyle w:val="FootnoteReference"/>
          <w:rFonts w:ascii="Times New Roman" w:hAnsi="Times New Roman"/>
          <w:noProof/>
          <w:sz w:val="24"/>
        </w:rPr>
        <w:footnoteReference w:id="3"/>
      </w:r>
      <w:r>
        <w:rPr>
          <w:rFonts w:ascii="Times New Roman" w:hAnsi="Times New Roman"/>
          <w:sz w:val="24"/>
        </w:rPr>
        <w:t xml:space="preserve"> Šīs darbības atspoguļo stratēģijas 2017. gada pārskata secinājumus.</w:t>
      </w:r>
      <w:r w:rsidR="00933017">
        <w:rPr>
          <w:rStyle w:val="FootnoteReference"/>
          <w:rFonts w:ascii="Times New Roman" w:hAnsi="Times New Roman"/>
          <w:noProof/>
          <w:sz w:val="24"/>
        </w:rPr>
        <w:footnoteReference w:id="4"/>
      </w:r>
    </w:p>
    <w:p w14:paraId="3B469FFE" w14:textId="77777777" w:rsidR="00933017" w:rsidRDefault="00933017" w:rsidP="00933017">
      <w:pPr>
        <w:pStyle w:val="Heading2"/>
        <w:tabs>
          <w:tab w:val="left" w:pos="669"/>
        </w:tabs>
        <w:ind w:left="0" w:firstLine="0"/>
        <w:jc w:val="both"/>
        <w:rPr>
          <w:rFonts w:cs="Times New Roman"/>
          <w:noProof/>
          <w:sz w:val="24"/>
        </w:rPr>
      </w:pPr>
      <w:bookmarkStart w:id="3" w:name="_TOC_250006"/>
    </w:p>
    <w:p w14:paraId="1F74A313" w14:textId="77777777" w:rsidR="00933017" w:rsidRDefault="00933017" w:rsidP="00933017">
      <w:pPr>
        <w:pStyle w:val="Heading2"/>
        <w:tabs>
          <w:tab w:val="left" w:pos="669"/>
        </w:tabs>
        <w:ind w:left="0" w:firstLine="0"/>
        <w:jc w:val="both"/>
        <w:rPr>
          <w:rFonts w:cs="Times New Roman"/>
          <w:noProof/>
          <w:sz w:val="24"/>
        </w:rPr>
      </w:pPr>
    </w:p>
    <w:p w14:paraId="58A0D489" w14:textId="77777777" w:rsidR="0083515C" w:rsidRPr="00933017" w:rsidRDefault="00933017" w:rsidP="00933017">
      <w:pPr>
        <w:pStyle w:val="Heading2"/>
        <w:tabs>
          <w:tab w:val="left" w:pos="669"/>
        </w:tabs>
        <w:ind w:left="0" w:firstLine="0"/>
        <w:jc w:val="both"/>
        <w:rPr>
          <w:rFonts w:cs="Times New Roman"/>
          <w:b/>
          <w:bCs/>
          <w:noProof/>
          <w:sz w:val="24"/>
        </w:rPr>
      </w:pPr>
      <w:bookmarkStart w:id="4" w:name="_Toc63672627"/>
      <w:r>
        <w:rPr>
          <w:b/>
          <w:sz w:val="24"/>
        </w:rPr>
        <w:t>2. Kā bioekonomika dod ieguldījumu ES prioritātēs</w:t>
      </w:r>
      <w:bookmarkEnd w:id="3"/>
      <w:bookmarkEnd w:id="4"/>
    </w:p>
    <w:p w14:paraId="2D06744C" w14:textId="77777777" w:rsidR="0083515C" w:rsidRPr="00DF28F7" w:rsidRDefault="0083515C" w:rsidP="00933017">
      <w:pPr>
        <w:jc w:val="both"/>
        <w:rPr>
          <w:rFonts w:ascii="Times New Roman" w:eastAsia="Times New Roman" w:hAnsi="Times New Roman" w:cs="Times New Roman"/>
          <w:noProof/>
          <w:sz w:val="24"/>
          <w:szCs w:val="24"/>
        </w:rPr>
      </w:pPr>
    </w:p>
    <w:p w14:paraId="6BA849FE" w14:textId="77777777" w:rsidR="0083515C" w:rsidRPr="00DF28F7" w:rsidRDefault="0083515C" w:rsidP="00933017">
      <w:pPr>
        <w:pStyle w:val="BodyText"/>
        <w:ind w:left="0"/>
        <w:jc w:val="both"/>
        <w:rPr>
          <w:rFonts w:ascii="Times New Roman" w:hAnsi="Times New Roman"/>
          <w:noProof/>
          <w:sz w:val="24"/>
          <w:szCs w:val="12"/>
        </w:rPr>
      </w:pPr>
      <w:r>
        <w:rPr>
          <w:rFonts w:ascii="Times New Roman" w:hAnsi="Times New Roman"/>
          <w:sz w:val="24"/>
        </w:rPr>
        <w:t>Šis 2012. gada bioekonomikas stratēģijas atjauninājums palielinās bioekonomikas ieguldījumu galvenajās Eiropas politikas prioritātēs.</w:t>
      </w:r>
      <w:r w:rsidR="00933017">
        <w:rPr>
          <w:rStyle w:val="FootnoteReference"/>
          <w:rFonts w:ascii="Times New Roman" w:hAnsi="Times New Roman"/>
          <w:noProof/>
          <w:sz w:val="24"/>
        </w:rPr>
        <w:footnoteReference w:id="5"/>
      </w:r>
    </w:p>
    <w:p w14:paraId="322B92EE" w14:textId="77777777" w:rsidR="0083515C" w:rsidRPr="00DF28F7" w:rsidRDefault="0083515C" w:rsidP="00933017">
      <w:pPr>
        <w:jc w:val="both"/>
        <w:rPr>
          <w:rFonts w:ascii="Times New Roman" w:eastAsia="Verdana" w:hAnsi="Times New Roman" w:cs="Verdana"/>
          <w:noProof/>
          <w:sz w:val="24"/>
          <w:szCs w:val="21"/>
        </w:rPr>
      </w:pPr>
    </w:p>
    <w:p w14:paraId="4CB07F77" w14:textId="77777777" w:rsidR="0083515C" w:rsidRPr="00DF28F7" w:rsidRDefault="0083515C" w:rsidP="00933017">
      <w:pPr>
        <w:pStyle w:val="BodyText"/>
        <w:ind w:left="0"/>
        <w:jc w:val="both"/>
        <w:rPr>
          <w:rFonts w:ascii="Times New Roman" w:hAnsi="Times New Roman"/>
          <w:noProof/>
          <w:sz w:val="24"/>
          <w:szCs w:val="12"/>
        </w:rPr>
      </w:pPr>
      <w:r>
        <w:rPr>
          <w:rFonts w:ascii="Times New Roman" w:hAnsi="Times New Roman"/>
          <w:b/>
          <w:bCs/>
          <w:sz w:val="24"/>
        </w:rPr>
        <w:t>Ilgtspēja</w:t>
      </w:r>
      <w:r>
        <w:rPr>
          <w:rFonts w:ascii="Times New Roman" w:hAnsi="Times New Roman"/>
          <w:sz w:val="24"/>
        </w:rPr>
        <w:t xml:space="preserve"> visām Eiropas daļām ir ne tikai tiesisks pienākums, bet arī laba izdevība, un tā ir pamatā vairumam ES prioritāšu.</w:t>
      </w:r>
      <w:r w:rsidR="00933017">
        <w:rPr>
          <w:rStyle w:val="FootnoteReference"/>
          <w:rFonts w:ascii="Times New Roman" w:hAnsi="Times New Roman"/>
          <w:noProof/>
          <w:sz w:val="24"/>
        </w:rPr>
        <w:footnoteReference w:id="6"/>
      </w:r>
      <w:r>
        <w:rPr>
          <w:rFonts w:ascii="Times New Roman" w:hAnsi="Times New Roman"/>
          <w:sz w:val="24"/>
        </w:rPr>
        <w:t xml:space="preserve"> ES jau ir pasaules līdere dabas resursu ilgtspējīgā izmantošanā efektīvā bioekonomikā, un tas ir būtiski lielākajā daļā ilgtspējīgas attīstības mērķu.</w:t>
      </w:r>
      <w:r w:rsidR="00933017">
        <w:rPr>
          <w:rStyle w:val="FootnoteReference"/>
          <w:rFonts w:ascii="Times New Roman" w:hAnsi="Times New Roman"/>
          <w:noProof/>
          <w:sz w:val="24"/>
        </w:rPr>
        <w:footnoteReference w:id="7"/>
      </w:r>
    </w:p>
    <w:p w14:paraId="2A16CB41" w14:textId="77777777" w:rsidR="0083515C" w:rsidRPr="00DF28F7" w:rsidRDefault="0083515C" w:rsidP="00933017">
      <w:pPr>
        <w:jc w:val="both"/>
        <w:rPr>
          <w:rFonts w:ascii="Times New Roman" w:eastAsia="Verdana" w:hAnsi="Times New Roman" w:cs="Verdana"/>
          <w:noProof/>
          <w:sz w:val="24"/>
          <w:szCs w:val="20"/>
        </w:rPr>
      </w:pPr>
    </w:p>
    <w:p w14:paraId="478039FB" w14:textId="77777777" w:rsidR="0083515C" w:rsidRPr="00DF28F7" w:rsidRDefault="0083515C" w:rsidP="00933017">
      <w:pPr>
        <w:pStyle w:val="BodyText"/>
        <w:ind w:left="0"/>
        <w:jc w:val="both"/>
        <w:rPr>
          <w:rFonts w:ascii="Times New Roman" w:hAnsi="Times New Roman"/>
          <w:noProof/>
          <w:sz w:val="24"/>
        </w:rPr>
      </w:pPr>
      <w:r>
        <w:rPr>
          <w:rFonts w:ascii="Times New Roman" w:hAnsi="Times New Roman"/>
          <w:sz w:val="24"/>
        </w:rPr>
        <w:t xml:space="preserve">Ar 2,3 triljonu </w:t>
      </w:r>
      <w:r>
        <w:rPr>
          <w:rFonts w:ascii="Times New Roman" w:hAnsi="Times New Roman"/>
          <w:i/>
          <w:iCs/>
          <w:sz w:val="24"/>
        </w:rPr>
        <w:t>euro</w:t>
      </w:r>
      <w:r>
        <w:rPr>
          <w:rFonts w:ascii="Times New Roman" w:hAnsi="Times New Roman"/>
          <w:sz w:val="24"/>
        </w:rPr>
        <w:t xml:space="preserve"> apgrozījumu un 8,2 % ES darbaspēka</w:t>
      </w:r>
      <w:r w:rsidR="00E16104">
        <w:rPr>
          <w:rStyle w:val="FootnoteReference"/>
          <w:rFonts w:ascii="Times New Roman" w:hAnsi="Times New Roman"/>
          <w:noProof/>
          <w:sz w:val="24"/>
        </w:rPr>
        <w:footnoteReference w:id="8"/>
      </w:r>
      <w:r>
        <w:rPr>
          <w:rFonts w:ascii="Times New Roman" w:hAnsi="Times New Roman"/>
          <w:sz w:val="24"/>
        </w:rPr>
        <w:t xml:space="preserve"> bioekonomika ir ES ekonomikas funkcionēšanas un panākumu kodols. Ilgtspējīgas Eiropas bioekonomikas ieviešana dotu cilvēkiem </w:t>
      </w:r>
      <w:r>
        <w:rPr>
          <w:rFonts w:ascii="Times New Roman" w:hAnsi="Times New Roman"/>
          <w:b/>
          <w:bCs/>
          <w:sz w:val="24"/>
        </w:rPr>
        <w:t>darbu</w:t>
      </w:r>
      <w:r>
        <w:rPr>
          <w:rFonts w:ascii="Times New Roman" w:hAnsi="Times New Roman"/>
          <w:sz w:val="24"/>
        </w:rPr>
        <w:t xml:space="preserve">, īpaši piekrastes un lauku rajonos, veicinot primāro ražotāju dalību vietējā bioekonomikā. Pēc nozares aplēsēm, līdz 2030. gadam biorūpniecībā varētu radīt </w:t>
      </w:r>
      <w:r>
        <w:rPr>
          <w:rFonts w:ascii="Times New Roman" w:hAnsi="Times New Roman"/>
          <w:b/>
          <w:bCs/>
          <w:sz w:val="24"/>
        </w:rPr>
        <w:t>miljonu jaunu darbavietu.</w:t>
      </w:r>
      <w:r w:rsidR="00E16104">
        <w:rPr>
          <w:rStyle w:val="FootnoteReference"/>
          <w:rFonts w:ascii="Times New Roman" w:hAnsi="Times New Roman"/>
          <w:noProof/>
          <w:sz w:val="24"/>
        </w:rPr>
        <w:footnoteReference w:id="9"/>
      </w:r>
      <w:r>
        <w:rPr>
          <w:rFonts w:ascii="Times New Roman" w:hAnsi="Times New Roman"/>
          <w:sz w:val="24"/>
        </w:rPr>
        <w:t xml:space="preserve"> Spēcīgajai un strauji augošajai biotehnoloģijas nozares jaunuzņēmumu ekosistēmai būs vadošā loma šā potenciāla īstenošanā.</w:t>
      </w:r>
    </w:p>
    <w:p w14:paraId="1D3D22F5" w14:textId="77777777" w:rsidR="0083515C" w:rsidRPr="00DF28F7" w:rsidRDefault="0083515C" w:rsidP="00DF28F7">
      <w:pPr>
        <w:jc w:val="both"/>
        <w:rPr>
          <w:rFonts w:ascii="Times New Roman" w:eastAsia="Verdana" w:hAnsi="Times New Roman" w:cs="Verdana"/>
          <w:noProof/>
          <w:sz w:val="24"/>
          <w:szCs w:val="20"/>
        </w:rPr>
      </w:pPr>
    </w:p>
    <w:p w14:paraId="4D72E380"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 xml:space="preserve">Ilgtspējīga Eiropas bioekonomika ir nepieciešama oglekļneitrālas nākotnes būvēšanai saskaņā ar </w:t>
      </w:r>
      <w:r>
        <w:rPr>
          <w:rFonts w:ascii="Times New Roman" w:hAnsi="Times New Roman"/>
          <w:b/>
          <w:bCs/>
          <w:sz w:val="24"/>
        </w:rPr>
        <w:t>Parīzes nolīguma mērķiem klimata jomā</w:t>
      </w:r>
      <w:r>
        <w:rPr>
          <w:rFonts w:ascii="Times New Roman" w:hAnsi="Times New Roman"/>
          <w:sz w:val="24"/>
        </w:rPr>
        <w:t>. Celtniecībā, piemēram, koksnes izstrādājumi dod ne tikai lielu ekoloģisku labumu, bet arī izcilas ekonomiskas iespējas. Pētījumi rāda, ka vidējā ietekme no ēkas, kurā 1 t betona vietā ir 1 t koksnes, visā ražojuma dzīves ciklā (ieskaitot lietošanu un likvidēšanu) var radīt oglekļa dioksīda samazinājumu vidēji par 2,1 t.</w:t>
      </w:r>
      <w:r w:rsidR="00E16104">
        <w:rPr>
          <w:rStyle w:val="FootnoteReference"/>
          <w:rFonts w:ascii="Times New Roman" w:hAnsi="Times New Roman"/>
          <w:noProof/>
          <w:sz w:val="24"/>
        </w:rPr>
        <w:footnoteReference w:id="10"/>
      </w:r>
      <w:r>
        <w:rPr>
          <w:rFonts w:ascii="Times New Roman" w:hAnsi="Times New Roman"/>
          <w:sz w:val="24"/>
        </w:rPr>
        <w:t xml:space="preserve"> Ilgtspējīga bioekonomika ir būtiska arī Eiropas enerģētikas nozares emisiju samazināšanā. Gaidāms, ka bioenerģija, kas pašlaik ir lielākais ES atjaunojamās enerģijas avots, 2030. gadā joprojām būs svarīga energoresursu struktūras sastāvdaļa un palīdzēs sasniegt ES atjaunojamās enerģijas mērķrādītājus: 20 % 2020. gadā un vismaz 32 % 2030. gadā.</w:t>
      </w:r>
      <w:r w:rsidR="00BD2EBC">
        <w:rPr>
          <w:rStyle w:val="FootnoteReference"/>
          <w:rFonts w:ascii="Times New Roman" w:hAnsi="Times New Roman"/>
          <w:noProof/>
          <w:sz w:val="24"/>
        </w:rPr>
        <w:footnoteReference w:id="11"/>
      </w:r>
      <w:r>
        <w:rPr>
          <w:rFonts w:ascii="Times New Roman" w:hAnsi="Times New Roman"/>
          <w:sz w:val="24"/>
        </w:rPr>
        <w:t xml:space="preserve"> Ilgtspējīga primārā ražošana uz sauszemes un jūrā balsta bioekonomikas vispārējo ilgtspēju un nodrošinās negatīvās emisijas vai oglekļa piesaistītājsistēmas saskaņā ar Parīzes nolīguma saistībām.</w:t>
      </w:r>
    </w:p>
    <w:p w14:paraId="4B8E7ED0" w14:textId="77777777" w:rsidR="0083515C" w:rsidRPr="00DF28F7" w:rsidRDefault="0083515C" w:rsidP="00DF28F7">
      <w:pPr>
        <w:jc w:val="both"/>
        <w:rPr>
          <w:rFonts w:ascii="Times New Roman" w:eastAsia="Verdana" w:hAnsi="Times New Roman" w:cs="Verdana"/>
          <w:noProof/>
          <w:sz w:val="24"/>
          <w:szCs w:val="19"/>
        </w:rPr>
      </w:pPr>
    </w:p>
    <w:p w14:paraId="34A3DF2F" w14:textId="77777777" w:rsidR="0083515C" w:rsidRPr="00DF28F7" w:rsidRDefault="0083515C" w:rsidP="00DF28F7">
      <w:pPr>
        <w:pStyle w:val="BodyText"/>
        <w:ind w:left="0"/>
        <w:jc w:val="both"/>
        <w:rPr>
          <w:rFonts w:ascii="Times New Roman" w:hAnsi="Times New Roman"/>
          <w:noProof/>
          <w:sz w:val="24"/>
          <w:szCs w:val="12"/>
        </w:rPr>
      </w:pPr>
      <w:r>
        <w:rPr>
          <w:rFonts w:ascii="Times New Roman" w:hAnsi="Times New Roman"/>
          <w:sz w:val="24"/>
        </w:rPr>
        <w:t xml:space="preserve">Ilgtspējīga Eiropas bioekonomika atbalsta </w:t>
      </w:r>
      <w:r>
        <w:rPr>
          <w:rFonts w:ascii="Times New Roman" w:hAnsi="Times New Roman"/>
          <w:b/>
          <w:bCs/>
          <w:sz w:val="24"/>
        </w:rPr>
        <w:t>ES rūpniecības bāzes mūsdienīgošanu un stiprināšanu</w:t>
      </w:r>
      <w:r>
        <w:rPr>
          <w:rFonts w:ascii="Times New Roman" w:hAnsi="Times New Roman"/>
          <w:sz w:val="24"/>
        </w:rPr>
        <w:t xml:space="preserve"> ar jaunām vērtības ķēdēm un zaļākiem, izmaksefektīvākiem ražošanas procesiem. Izmantojot nepieredzēti augstos sasniegumus dzīvības zinātnēs un biotehnoloģijas, kā arī jauninājumus, kas sapludina fizisko, digitālo un bioloģisko pasauli, Eiropas rūpniecības bāze spēj saglabāt un uzlabot vadošo lomu pasaulē. Pētniecība, inovācijas un novatorisku risinājumu ieviešana jaunu, ilgtspējīgu bioproduktu (piemēram, bioķīmisko vielu, biodegvielu u. c.) ražošanai arī uzlabos mūsu spēju rast aizstājējus no izrakteņiem iegūtiem izejmateriāliem ļoti nozīmīgās Eiropas rūpniecības jomās (piemēram, celtniecības materiāli, iepakojums, tekstilizstrādājumi, ķīmiskās vielas, kosmētika, farmācijas sastāvdaļas, patēriņa preces) saskaņā ar atjaunotajiem rūpniecības politikas mērķiem.</w:t>
      </w:r>
      <w:r w:rsidR="00BD2EBC">
        <w:rPr>
          <w:rStyle w:val="FootnoteReference"/>
          <w:rFonts w:ascii="Times New Roman" w:hAnsi="Times New Roman"/>
          <w:noProof/>
          <w:sz w:val="24"/>
        </w:rPr>
        <w:footnoteReference w:id="12"/>
      </w:r>
      <w:r>
        <w:rPr>
          <w:rFonts w:ascii="Times New Roman" w:hAnsi="Times New Roman"/>
          <w:sz w:val="24"/>
        </w:rPr>
        <w:t xml:space="preserve"> Nozarē tiek prognozēts, ka nākamajos desmit gados rūpniecisko biotehnoloģiju pieprasījums teju divkāršosies.</w:t>
      </w:r>
      <w:r w:rsidR="00BD2EBC">
        <w:rPr>
          <w:rStyle w:val="FootnoteReference"/>
          <w:rFonts w:ascii="Times New Roman" w:hAnsi="Times New Roman"/>
          <w:noProof/>
          <w:sz w:val="24"/>
        </w:rPr>
        <w:footnoteReference w:id="13"/>
      </w:r>
    </w:p>
    <w:p w14:paraId="0DB5DDF4" w14:textId="77777777" w:rsidR="0083515C" w:rsidRPr="00DF28F7" w:rsidRDefault="0083515C" w:rsidP="00DF28F7">
      <w:pPr>
        <w:jc w:val="both"/>
        <w:rPr>
          <w:rFonts w:ascii="Times New Roman" w:eastAsia="Verdana" w:hAnsi="Times New Roman" w:cs="Verdana"/>
          <w:noProof/>
          <w:sz w:val="24"/>
          <w:szCs w:val="19"/>
        </w:rPr>
      </w:pPr>
    </w:p>
    <w:p w14:paraId="15107EE2"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 xml:space="preserve">Ilgtspējīga bioekonomika ir “atjaunojams” </w:t>
      </w:r>
      <w:r>
        <w:rPr>
          <w:rFonts w:ascii="Times New Roman" w:hAnsi="Times New Roman"/>
          <w:b/>
          <w:bCs/>
          <w:sz w:val="24"/>
        </w:rPr>
        <w:t>aprites ekonomikas</w:t>
      </w:r>
      <w:r>
        <w:rPr>
          <w:rFonts w:ascii="Times New Roman" w:hAnsi="Times New Roman"/>
          <w:sz w:val="24"/>
        </w:rPr>
        <w:t xml:space="preserve"> segments. Tā spēj bioloģiskos atkritumus, atliekas un pārpalikumus pārvērst vērtīgos resursos un radīt jauninājumus un stimulus, kas palīdzēs mazumtirgotājiem un patērētājiem līdz 2030. gadam </w:t>
      </w:r>
      <w:r>
        <w:rPr>
          <w:rFonts w:ascii="Times New Roman" w:hAnsi="Times New Roman"/>
          <w:b/>
          <w:bCs/>
          <w:sz w:val="24"/>
        </w:rPr>
        <w:t>par 50 % samazināt pārtikas atkritumu daudzumu</w:t>
      </w:r>
      <w:r>
        <w:rPr>
          <w:rFonts w:ascii="Times New Roman" w:hAnsi="Times New Roman"/>
          <w:sz w:val="24"/>
        </w:rPr>
        <w:t>. Piemēram, jaunievedumi lopkopībā arvien vairāk ļauj zināmu veidu pārtikas atkritumus droši pārveidot lopbarībā, ja tiek ievēroti spēkā esošie noteikumi un juridiskās prasības.</w:t>
      </w:r>
      <w:r w:rsidR="00BD2EBC">
        <w:rPr>
          <w:rStyle w:val="FootnoteReference"/>
          <w:rFonts w:ascii="Times New Roman" w:hAnsi="Times New Roman"/>
          <w:noProof/>
          <w:sz w:val="24"/>
        </w:rPr>
        <w:footnoteReference w:id="14"/>
      </w:r>
      <w:r>
        <w:rPr>
          <w:rFonts w:ascii="Times New Roman" w:hAnsi="Times New Roman"/>
          <w:sz w:val="24"/>
        </w:rPr>
        <w:t xml:space="preserve"> Ir aprēķināts, ka zemi, ko pašlaik izmanto </w:t>
      </w:r>
      <w:r>
        <w:rPr>
          <w:rFonts w:ascii="Times New Roman" w:hAnsi="Times New Roman"/>
          <w:sz w:val="24"/>
        </w:rPr>
        <w:lastRenderedPageBreak/>
        <w:t>lopbarības ieguvei, ar šiem jaunievedumiem varētu atvēlēt pārtikas sagādei vēl trim miljardiem cilvēku.</w:t>
      </w:r>
      <w:r w:rsidR="00BD2EBC">
        <w:rPr>
          <w:rStyle w:val="FootnoteReference"/>
          <w:rFonts w:ascii="Times New Roman" w:hAnsi="Times New Roman"/>
          <w:noProof/>
          <w:sz w:val="24"/>
        </w:rPr>
        <w:footnoteReference w:id="15"/>
      </w:r>
      <w:r>
        <w:rPr>
          <w:rFonts w:ascii="Times New Roman" w:hAnsi="Times New Roman"/>
          <w:sz w:val="24"/>
        </w:rPr>
        <w:t xml:space="preserve"> </w:t>
      </w:r>
      <w:r>
        <w:rPr>
          <w:rFonts w:ascii="Times New Roman" w:hAnsi="Times New Roman"/>
          <w:b/>
          <w:sz w:val="24"/>
        </w:rPr>
        <w:t>Pilsētām jākļūst par lielākajiem aprites bioekonomikas centriem.</w:t>
      </w:r>
      <w:r>
        <w:rPr>
          <w:rFonts w:ascii="Times New Roman" w:hAnsi="Times New Roman"/>
          <w:sz w:val="24"/>
        </w:rPr>
        <w:t xml:space="preserve"> Aprites principiem atbilstoši pilsētu attīstības plāni varētu radīt būtisku ieguvumu tautsaimniecībai un videi. Piemēram, Amsterdamas pilsēta rēķina, ka augstvērtīgu organisko atlieku plūsmu labāka pārstrāde spētu radīt 150 miljonu </w:t>
      </w:r>
      <w:r>
        <w:rPr>
          <w:rFonts w:ascii="Times New Roman" w:hAnsi="Times New Roman"/>
          <w:i/>
          <w:iCs/>
          <w:sz w:val="24"/>
        </w:rPr>
        <w:t>euro</w:t>
      </w:r>
      <w:r>
        <w:rPr>
          <w:rFonts w:ascii="Times New Roman" w:hAnsi="Times New Roman"/>
          <w:sz w:val="24"/>
        </w:rPr>
        <w:t xml:space="preserve"> pievienoto vērtību gadā, ilgtermiņā ļautu izveidot 1200 jaunu darbavietu un ik gadu aiztaupīt 600 000 tonnu oglekļa dioksīda.</w:t>
      </w:r>
      <w:r w:rsidR="00BD2EBC">
        <w:rPr>
          <w:rStyle w:val="FootnoteReference"/>
          <w:rFonts w:ascii="Times New Roman" w:hAnsi="Times New Roman"/>
          <w:noProof/>
          <w:sz w:val="24"/>
        </w:rPr>
        <w:footnoteReference w:id="16"/>
      </w:r>
      <w:r>
        <w:rPr>
          <w:rFonts w:ascii="Times New Roman" w:hAnsi="Times New Roman"/>
          <w:sz w:val="24"/>
        </w:rPr>
        <w:t xml:space="preserve"> Eiropas 50 lielākajās pilsētās, kurās mīt 11 % ES iedzīvotāju, kopefekts būtu vismaz piecdesmitkārtīgs.</w:t>
      </w:r>
    </w:p>
    <w:p w14:paraId="34E06225" w14:textId="77777777" w:rsidR="0083515C" w:rsidRPr="00DF28F7" w:rsidRDefault="0083515C" w:rsidP="00DF28F7">
      <w:pPr>
        <w:jc w:val="both"/>
        <w:rPr>
          <w:rFonts w:ascii="Times New Roman" w:eastAsia="Verdana" w:hAnsi="Times New Roman" w:cs="Verdana"/>
          <w:noProof/>
          <w:sz w:val="24"/>
          <w:szCs w:val="19"/>
        </w:rPr>
      </w:pPr>
    </w:p>
    <w:p w14:paraId="1F21E834" w14:textId="77777777" w:rsidR="0083515C" w:rsidRPr="00DF28F7" w:rsidRDefault="0083515C" w:rsidP="00DF28F7">
      <w:pPr>
        <w:pStyle w:val="BodyText"/>
        <w:ind w:left="0"/>
        <w:jc w:val="both"/>
        <w:rPr>
          <w:rFonts w:ascii="Times New Roman" w:hAnsi="Times New Roman"/>
          <w:noProof/>
          <w:sz w:val="24"/>
          <w:szCs w:val="12"/>
        </w:rPr>
      </w:pPr>
      <w:r>
        <w:rPr>
          <w:rFonts w:ascii="Times New Roman" w:hAnsi="Times New Roman"/>
          <w:b/>
          <w:bCs/>
          <w:sz w:val="24"/>
        </w:rPr>
        <w:t>Veselīgu ekosistēmu</w:t>
      </w:r>
      <w:r>
        <w:rPr>
          <w:rFonts w:ascii="Times New Roman" w:hAnsi="Times New Roman"/>
          <w:sz w:val="24"/>
        </w:rPr>
        <w:t xml:space="preserve"> atbalstīšana ir viena no Eiropas prioritātēm. Bioekonomika spēj veicināt ekosistēmu atjaunošanu, piemēram, </w:t>
      </w:r>
      <w:r>
        <w:rPr>
          <w:rFonts w:ascii="Times New Roman" w:hAnsi="Times New Roman"/>
          <w:b/>
          <w:bCs/>
          <w:sz w:val="24"/>
        </w:rPr>
        <w:t>atbrīvojot jūras un okeānus no plastmasas</w:t>
      </w:r>
      <w:r>
        <w:rPr>
          <w:rFonts w:ascii="Times New Roman" w:hAnsi="Times New Roman"/>
          <w:sz w:val="24"/>
        </w:rPr>
        <w:t>. Eiropas Vides aģentūra jau iesaka izmantot plastmasai alternatīvus uz bioresursiem balstītus, bioloģiski noārdāmus materiālus tur, kur ir liels to izkliedes risks ekosistēmā, piemēram, smērvielās, dilstošos materiālos un vienreizlietojamos izstrādājumos.</w:t>
      </w:r>
      <w:r w:rsidR="00BD2EBC">
        <w:rPr>
          <w:rStyle w:val="FootnoteReference"/>
          <w:rFonts w:ascii="Times New Roman" w:hAnsi="Times New Roman"/>
          <w:noProof/>
          <w:sz w:val="24"/>
        </w:rPr>
        <w:footnoteReference w:id="17"/>
      </w:r>
      <w:r>
        <w:rPr>
          <w:rFonts w:ascii="Times New Roman" w:hAnsi="Times New Roman"/>
          <w:sz w:val="24"/>
        </w:rPr>
        <w:t xml:space="preserve"> Turklāt ilgtspējīga bioekonomika veicinās ilgtspējīgas attīstības mērķu sasniegšanu – līdz 2030. gadam panākt </w:t>
      </w:r>
      <w:r>
        <w:rPr>
          <w:rFonts w:ascii="Times New Roman" w:hAnsi="Times New Roman"/>
          <w:b/>
          <w:bCs/>
          <w:sz w:val="24"/>
        </w:rPr>
        <w:t>zemes degradācijas neitralitāti</w:t>
      </w:r>
      <w:r>
        <w:rPr>
          <w:rFonts w:ascii="Times New Roman" w:hAnsi="Times New Roman"/>
          <w:sz w:val="24"/>
        </w:rPr>
        <w:t xml:space="preserve"> un līdz 2020. gadam atjaunot vismaz 15 % degradēto ekosistēmu.</w:t>
      </w:r>
      <w:r w:rsidR="00BD2EBC">
        <w:rPr>
          <w:rStyle w:val="FootnoteReference"/>
          <w:rFonts w:ascii="Times New Roman" w:hAnsi="Times New Roman"/>
          <w:noProof/>
          <w:sz w:val="24"/>
        </w:rPr>
        <w:footnoteReference w:id="18"/>
      </w:r>
    </w:p>
    <w:p w14:paraId="72D5E6A8" w14:textId="77777777" w:rsidR="0083515C" w:rsidRPr="00DF28F7" w:rsidRDefault="0083515C" w:rsidP="00DF28F7">
      <w:pPr>
        <w:jc w:val="both"/>
        <w:rPr>
          <w:rFonts w:ascii="Times New Roman" w:eastAsia="Verdana" w:hAnsi="Times New Roman" w:cs="Verdana"/>
          <w:noProof/>
          <w:sz w:val="24"/>
          <w:szCs w:val="19"/>
        </w:rPr>
      </w:pPr>
    </w:p>
    <w:p w14:paraId="12FEBE15"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Šis potenciāls neatraisīsies pats no sevis. Tam vajadzīgas investīcijas, inovācijas, stratēģijas izstrāde un sistēmiskas izmaiņas, kas caurvij dažādas nozares (lauksaimniecību, mežsaimniecību, zivsaimniecību, akvakultūru, pārtikas ražošanu, biorūpniecību). Tas nozīmē stiprināt mūsu spēju visdažādāko jauninājumu iespējas pārvērst jaunos produktos un pakalpojumos tirgū, radot jaunas darbavietas vietējā līmenī. Un tas nozīmē, ka jārīkojas eiropeiski – ekonomiski dzīvotspējīgi, ar ilgtspēju un atbilstību aprites principiem prātā.</w:t>
      </w:r>
    </w:p>
    <w:p w14:paraId="51CEF9A1" w14:textId="77777777" w:rsidR="0083515C" w:rsidRPr="00DF28F7" w:rsidRDefault="0083515C" w:rsidP="00DF28F7">
      <w:pPr>
        <w:jc w:val="both"/>
        <w:rPr>
          <w:rFonts w:ascii="Times New Roman" w:eastAsia="Verdana" w:hAnsi="Times New Roman" w:cs="Verdana"/>
          <w:noProof/>
          <w:sz w:val="24"/>
          <w:szCs w:val="18"/>
        </w:rPr>
      </w:pPr>
    </w:p>
    <w:p w14:paraId="0C4B72B4"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Šajā ziņā būtiski ir maksimalizēt ES pētniecības un inovāciju ietekmi.</w:t>
      </w:r>
      <w:r w:rsidR="00BD2EBC">
        <w:rPr>
          <w:rStyle w:val="FootnoteReference"/>
          <w:rFonts w:ascii="Times New Roman" w:hAnsi="Times New Roman"/>
          <w:noProof/>
          <w:sz w:val="24"/>
        </w:rPr>
        <w:footnoteReference w:id="19"/>
      </w:r>
      <w:r>
        <w:rPr>
          <w:rFonts w:ascii="Times New Roman" w:hAnsi="Times New Roman"/>
          <w:sz w:val="24"/>
        </w:rPr>
        <w:t xml:space="preserve"> Regulējumam un finansēšanai jābūt tik pretimnākošiem inovācijām, ka Eiropa kļūst par tirgus inovāciju līderi. Tas tika uzsvērts nesen atjauninātajā Eiropas pētniecības un inovācijas programmā.</w:t>
      </w:r>
      <w:r w:rsidR="00BD2EBC">
        <w:rPr>
          <w:rStyle w:val="FootnoteReference"/>
          <w:rFonts w:ascii="Times New Roman" w:hAnsi="Times New Roman"/>
          <w:noProof/>
          <w:sz w:val="24"/>
        </w:rPr>
        <w:footnoteReference w:id="20"/>
      </w:r>
      <w:r>
        <w:rPr>
          <w:rFonts w:ascii="Times New Roman" w:hAnsi="Times New Roman"/>
          <w:sz w:val="24"/>
        </w:rPr>
        <w:t xml:space="preserve"> “Apvārsnis 2020” un Eiropas Reģionālās attīstības fonds turpinās papildus nodrošināt svarīgus pētniecības un inovāciju rezultātus, kas spēj risināt starpnozaru problēmas un īstenot bioekonomikas radītās iespējas. Komisijas priekšlikumos par daudzgadu finanšu shēmu 2021.–2027. gadam iecerēts būtisks stimuls sistēmiskai pētniecībai un inovācijai bioekonomikas aptvertajās jomās un nozarēs, it īpaši ar 10 miljardiem </w:t>
      </w:r>
      <w:r>
        <w:rPr>
          <w:rFonts w:ascii="Times New Roman" w:hAnsi="Times New Roman"/>
          <w:i/>
          <w:iCs/>
          <w:sz w:val="24"/>
        </w:rPr>
        <w:t>euro</w:t>
      </w:r>
      <w:r>
        <w:rPr>
          <w:rFonts w:ascii="Times New Roman" w:hAnsi="Times New Roman"/>
          <w:sz w:val="24"/>
        </w:rPr>
        <w:t>, kas paredzēti</w:t>
      </w:r>
      <w:r w:rsidR="00651E9B">
        <w:rPr>
          <w:rStyle w:val="FootnoteReference"/>
          <w:rFonts w:ascii="Times New Roman" w:hAnsi="Times New Roman"/>
          <w:noProof/>
          <w:sz w:val="24"/>
        </w:rPr>
        <w:footnoteReference w:id="21"/>
      </w:r>
      <w:r>
        <w:rPr>
          <w:rFonts w:ascii="Times New Roman" w:hAnsi="Times New Roman"/>
          <w:sz w:val="24"/>
        </w:rPr>
        <w:t xml:space="preserve"> “Apvārsnis Eiropa” klasterī “Pārtika un dabas resursi”.</w:t>
      </w:r>
      <w:r w:rsidR="00651E9B">
        <w:rPr>
          <w:rStyle w:val="FootnoteReference"/>
          <w:rFonts w:ascii="Times New Roman" w:hAnsi="Times New Roman"/>
          <w:noProof/>
          <w:sz w:val="24"/>
        </w:rPr>
        <w:footnoteReference w:id="22"/>
      </w:r>
      <w:r>
        <w:rPr>
          <w:rFonts w:ascii="Times New Roman" w:hAnsi="Times New Roman"/>
          <w:sz w:val="24"/>
        </w:rPr>
        <w:t xml:space="preserve"> Tas atspoguļojas arī daudzās pārdomātas specializācijas stratēģijās, kurās noteiktas ar bioekonomiku saskarīgas prioritātes, </w:t>
      </w:r>
      <w:r>
        <w:rPr>
          <w:rFonts w:ascii="Times New Roman" w:hAnsi="Times New Roman"/>
          <w:sz w:val="24"/>
        </w:rPr>
        <w:lastRenderedPageBreak/>
        <w:t>un reģionu komandu veidošanā ar bioekonomiku saskarīgās pārdomātas specializācijas platformās un partnerībās nolūkā veicināt ES reģionu iesaisti.</w:t>
      </w:r>
      <w:r w:rsidR="00651E9B">
        <w:rPr>
          <w:rStyle w:val="FootnoteReference"/>
          <w:rFonts w:ascii="Times New Roman" w:hAnsi="Times New Roman"/>
          <w:noProof/>
          <w:sz w:val="24"/>
        </w:rPr>
        <w:footnoteReference w:id="23"/>
      </w:r>
      <w:r>
        <w:rPr>
          <w:rFonts w:ascii="Times New Roman" w:hAnsi="Times New Roman"/>
          <w:sz w:val="24"/>
        </w:rPr>
        <w:t xml:space="preserve"> Pētniecība un inovācijas bioekonomikā ir arī svarīga pasaules mēroga sadarbības sfēra.</w:t>
      </w:r>
    </w:p>
    <w:p w14:paraId="457C155E" w14:textId="77777777" w:rsidR="0083515C" w:rsidRPr="00DF28F7" w:rsidRDefault="0083515C" w:rsidP="00DF28F7">
      <w:pPr>
        <w:jc w:val="both"/>
        <w:rPr>
          <w:rFonts w:ascii="Times New Roman" w:eastAsia="Verdana" w:hAnsi="Times New Roman" w:cs="Verdana"/>
          <w:noProof/>
          <w:sz w:val="24"/>
          <w:szCs w:val="19"/>
        </w:rPr>
      </w:pPr>
    </w:p>
    <w:p w14:paraId="444C96E8"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 xml:space="preserve">Lai pilnā mērā izmantotu bioekonomikas ekonomisko, sociālo un vides devumu, tomēr jāiziet ārpus pētniecības un inovācijas lauciņa un jauninājumu ieviešanā jāizmanto stratēģiska un sistēmiska pieeja. Tādai pieejai jāsasauc kopā visu iesaistīto teritoriju un vērtības ķēžu dalībnieki apzināt vajadzības un veicamās darbības. Tā liks risināt sistēmiskas problēmas dažādu nozaru griezumā, kā arī rast sinerģijas un kompromisus, lai sekmētu un paātrinātu aprites ekonomikas modeļu izmantošanu. Šai pieejai arī būs optimāli jāizmanto visi pieejamie rīki un politiskie līdzekļi; jāizmanto sinerģija ar citiem ES un valstu fondiem un instrumentiem, jo īpaši kopīgo lauksaimniecības politiku, kopīgo zivsaimniecības politiku, kā arī kohēzijas politiku un programmas </w:t>
      </w:r>
      <w:r>
        <w:rPr>
          <w:rFonts w:ascii="Times New Roman" w:hAnsi="Times New Roman"/>
          <w:i/>
          <w:iCs/>
          <w:sz w:val="24"/>
        </w:rPr>
        <w:t>InvestEU</w:t>
      </w:r>
      <w:r>
        <w:rPr>
          <w:rFonts w:ascii="Times New Roman" w:hAnsi="Times New Roman"/>
          <w:sz w:val="24"/>
        </w:rPr>
        <w:t xml:space="preserve"> finanšu instrumentiem.</w:t>
      </w:r>
    </w:p>
    <w:p w14:paraId="4946215D" w14:textId="77777777" w:rsidR="0083515C" w:rsidRDefault="0083515C" w:rsidP="00DF28F7">
      <w:pPr>
        <w:jc w:val="both"/>
        <w:rPr>
          <w:rFonts w:ascii="Times New Roman" w:eastAsia="Verdana" w:hAnsi="Times New Roman" w:cs="Verdana"/>
          <w:noProof/>
          <w:sz w:val="24"/>
          <w:szCs w:val="18"/>
        </w:rPr>
      </w:pPr>
    </w:p>
    <w:p w14:paraId="227AD9E2" w14:textId="77777777" w:rsidR="00651E9B" w:rsidRPr="00DF28F7" w:rsidRDefault="00651E9B" w:rsidP="00DF28F7">
      <w:pPr>
        <w:jc w:val="both"/>
        <w:rPr>
          <w:rFonts w:ascii="Times New Roman" w:eastAsia="Verdana" w:hAnsi="Times New Roman" w:cs="Verdana"/>
          <w:noProof/>
          <w:sz w:val="24"/>
          <w:szCs w:val="18"/>
        </w:rPr>
      </w:pPr>
    </w:p>
    <w:p w14:paraId="5E05788F" w14:textId="77777777" w:rsidR="0083515C" w:rsidRPr="00651E9B" w:rsidRDefault="00651E9B" w:rsidP="00651E9B">
      <w:pPr>
        <w:pStyle w:val="Heading2"/>
        <w:tabs>
          <w:tab w:val="left" w:pos="669"/>
        </w:tabs>
        <w:ind w:left="0" w:firstLine="0"/>
        <w:jc w:val="both"/>
        <w:rPr>
          <w:b/>
          <w:bCs/>
          <w:noProof/>
          <w:sz w:val="24"/>
        </w:rPr>
      </w:pPr>
      <w:bookmarkStart w:id="5" w:name="_TOC_250005"/>
      <w:bookmarkStart w:id="6" w:name="_Toc63672628"/>
      <w:r>
        <w:rPr>
          <w:b/>
          <w:sz w:val="24"/>
        </w:rPr>
        <w:t>3. Bioekonomikas potenciāla atraisīšana</w:t>
      </w:r>
      <w:bookmarkEnd w:id="5"/>
      <w:bookmarkEnd w:id="6"/>
    </w:p>
    <w:p w14:paraId="12EEEE67" w14:textId="77777777" w:rsidR="0083515C" w:rsidRPr="00DF28F7" w:rsidRDefault="0083515C" w:rsidP="00DF28F7">
      <w:pPr>
        <w:jc w:val="both"/>
        <w:rPr>
          <w:rFonts w:ascii="Times New Roman" w:eastAsia="Times New Roman" w:hAnsi="Times New Roman" w:cs="Times New Roman"/>
          <w:noProof/>
          <w:sz w:val="24"/>
          <w:szCs w:val="23"/>
        </w:rPr>
      </w:pPr>
    </w:p>
    <w:p w14:paraId="733CA0D5"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Joprojām ir spēkā 2012. gada bioekonomikas stratēģijas mērķis “bruģēt ceļu inovatīvākas, resursefektīvākas un konkurētspējīgākas sabiedrības veidošanai, kurā nodrošinātība ar pārtiku nav pretrunā atjaunojamo resursu ilgtspējīgai rūpnieciskai izmantošanai un vides aizsardzības nodrošināšanai”. Stratēģijas pārskatā</w:t>
      </w:r>
      <w:r w:rsidR="00651E9B">
        <w:rPr>
          <w:rStyle w:val="FootnoteReference"/>
          <w:rFonts w:ascii="Times New Roman" w:hAnsi="Times New Roman"/>
          <w:noProof/>
          <w:sz w:val="24"/>
        </w:rPr>
        <w:footnoteReference w:id="24"/>
      </w:r>
      <w:r>
        <w:rPr>
          <w:rFonts w:ascii="Times New Roman" w:hAnsi="Times New Roman"/>
          <w:sz w:val="24"/>
        </w:rPr>
        <w:t xml:space="preserve"> tika atzīti panākumi, īpaši pētniecības un inovācijas mobilizēšanā, privāto investīciju palielināšanā, jaunu vērtības ķēžu izstrādē, valstu bioekonomikas stratēģijas ieviešanas veicināšanā un ieinteresēto pušu iesaistīšanā. Pārskatā tika secināts, ka 2012. gada bioekonomikas stratēģijas pieci mērķi paliek spēkā.</w:t>
      </w:r>
    </w:p>
    <w:p w14:paraId="77F30D27" w14:textId="77777777" w:rsidR="0083515C" w:rsidRPr="00DF28F7" w:rsidRDefault="0083515C" w:rsidP="00DF28F7">
      <w:pPr>
        <w:jc w:val="both"/>
        <w:rPr>
          <w:rFonts w:ascii="Times New Roman" w:hAnsi="Times New Roman"/>
          <w:noProof/>
          <w:sz w:val="24"/>
        </w:rPr>
      </w:pPr>
    </w:p>
    <w:p w14:paraId="424C8216" w14:textId="77777777" w:rsidR="0083515C" w:rsidRPr="00DF28F7" w:rsidRDefault="0083515C" w:rsidP="00DF28F7">
      <w:pPr>
        <w:pStyle w:val="BodyText"/>
        <w:ind w:left="0"/>
        <w:jc w:val="both"/>
        <w:rPr>
          <w:rFonts w:ascii="Times New Roman" w:hAnsi="Times New Roman"/>
          <w:noProof/>
          <w:sz w:val="24"/>
          <w:szCs w:val="12"/>
        </w:rPr>
      </w:pPr>
      <w:r>
        <w:rPr>
          <w:rFonts w:ascii="Times New Roman" w:hAnsi="Times New Roman"/>
          <w:sz w:val="24"/>
        </w:rPr>
        <w:t>Lai gan pārskatā tika atzīts, ka Bioekonomikas stratēģija sniedz ieguldījumu gan aprites ekonomikā, gan enerģētikas savienībā, tajā arī uzsvērts, ka tās mērķu darbības joma jāpielāgo, ievērojot Eiropas vispārējās prioritātes. Tāpēc darbības jāpārorientē tā, lai padarītu maksimālu to ietekmi šajās prioritātēs, jo īpaši tā, kā noteikts atjauninātajā rūpniecības politikā</w:t>
      </w:r>
      <w:r w:rsidR="00651E9B">
        <w:rPr>
          <w:rStyle w:val="FootnoteReference"/>
          <w:rFonts w:ascii="Times New Roman" w:hAnsi="Times New Roman"/>
          <w:noProof/>
          <w:sz w:val="24"/>
        </w:rPr>
        <w:footnoteReference w:id="25"/>
      </w:r>
      <w:r>
        <w:rPr>
          <w:rFonts w:ascii="Times New Roman" w:hAnsi="Times New Roman"/>
          <w:sz w:val="24"/>
        </w:rPr>
        <w:t>, aprites ekonomikas rīcības plānā</w:t>
      </w:r>
      <w:r w:rsidR="00651E9B">
        <w:rPr>
          <w:rStyle w:val="FootnoteReference"/>
          <w:rFonts w:ascii="Times New Roman" w:hAnsi="Times New Roman"/>
          <w:noProof/>
          <w:sz w:val="24"/>
        </w:rPr>
        <w:footnoteReference w:id="26"/>
      </w:r>
      <w:r>
        <w:rPr>
          <w:rFonts w:ascii="Times New Roman" w:hAnsi="Times New Roman"/>
          <w:sz w:val="24"/>
        </w:rPr>
        <w:t xml:space="preserve"> un likumprojektu paketē “Tīru enerģiju ikvienam Eiropā”.</w:t>
      </w:r>
      <w:r w:rsidR="00651E9B">
        <w:rPr>
          <w:rStyle w:val="FootnoteReference"/>
          <w:rFonts w:ascii="Times New Roman" w:hAnsi="Times New Roman"/>
          <w:noProof/>
          <w:sz w:val="24"/>
        </w:rPr>
        <w:footnoteReference w:id="27"/>
      </w:r>
    </w:p>
    <w:p w14:paraId="0C2755A5" w14:textId="77777777" w:rsidR="0083515C" w:rsidRPr="00DF28F7" w:rsidRDefault="0083515C" w:rsidP="00DF28F7">
      <w:pPr>
        <w:jc w:val="both"/>
        <w:rPr>
          <w:rFonts w:ascii="Times New Roman" w:eastAsia="Verdana" w:hAnsi="Times New Roman" w:cs="Verdana"/>
          <w:noProof/>
          <w:sz w:val="24"/>
          <w:szCs w:val="20"/>
        </w:rPr>
      </w:pPr>
    </w:p>
    <w:p w14:paraId="5C0D51A3"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 xml:space="preserve">Pirmais mērķis – </w:t>
      </w:r>
      <w:r>
        <w:rPr>
          <w:rFonts w:ascii="Times New Roman" w:hAnsi="Times New Roman"/>
          <w:b/>
          <w:bCs/>
          <w:i/>
          <w:iCs/>
          <w:sz w:val="24"/>
        </w:rPr>
        <w:t>pārtikas un uztura nodrošināšana</w:t>
      </w:r>
      <w:r>
        <w:rPr>
          <w:rFonts w:ascii="Times New Roman" w:hAnsi="Times New Roman"/>
          <w:sz w:val="24"/>
        </w:rPr>
        <w:t xml:space="preserve"> – joprojām ir izšķirīgs. Pārtikas un lauksaimniecības sistēmas veido aptuveni trīs ceturtdaļas no kopējās nodarbinātības bioekonomikā un aptuveni divas trešdaļas no bioekonomikas apgrozījuma.</w:t>
      </w:r>
    </w:p>
    <w:p w14:paraId="0601CAFC" w14:textId="77777777" w:rsidR="00CF10CD" w:rsidRPr="00DF28F7" w:rsidRDefault="00CF10CD" w:rsidP="00DF28F7">
      <w:pPr>
        <w:jc w:val="both"/>
        <w:rPr>
          <w:rFonts w:ascii="Times New Roman" w:eastAsia="Verdana" w:hAnsi="Times New Roman" w:cs="Verdana"/>
          <w:noProof/>
          <w:sz w:val="24"/>
          <w:szCs w:val="13"/>
        </w:rPr>
      </w:pPr>
    </w:p>
    <w:p w14:paraId="0DD4E730"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Taču to ilgtspēju ietekmē pasaules iedzīvotāju skaita pieaugums, mainīga patēriņa prakse un uzturs, neilgtspējīga biomasas izmantošana un atkritumi, kā arī ar klimata pārmaiņām saistītais apdraudējums.</w:t>
      </w:r>
      <w:r w:rsidR="00AC27DA">
        <w:rPr>
          <w:rStyle w:val="FootnoteReference"/>
          <w:rFonts w:ascii="Times New Roman" w:hAnsi="Times New Roman"/>
          <w:noProof/>
          <w:sz w:val="24"/>
        </w:rPr>
        <w:footnoteReference w:id="28"/>
      </w:r>
      <w:r>
        <w:rPr>
          <w:rFonts w:ascii="Times New Roman" w:hAnsi="Times New Roman"/>
          <w:sz w:val="24"/>
        </w:rPr>
        <w:t xml:space="preserve"> Jāpaātrina pāreja uz ilgtspējīgām, veselīgām, uzturvērtīgām, resursefektīvām, noturīgām, aprites un iekļaujošām pārtikas un lauksaimniecības sistēmām. Tas nozīmē organisko atkritumu, atlieku un izmestās pārtikas pārvēršanu vērtīgos, drošos bioproduktos, piemēram, izveidojot nelielas bioloģiskās pārstrādes rūpnīcas, palīdzot lauksaimniekiem, mežsaimniekiem un zvejniekiem dažādot ieņēmumu avotus un labāk pārvaldīt tirgus riskus – tā, lai tas viss kalpo aprites ekonomikas mērķiem.</w:t>
      </w:r>
    </w:p>
    <w:p w14:paraId="3BB5D469" w14:textId="77777777" w:rsidR="0083515C" w:rsidRPr="00DF28F7" w:rsidRDefault="0083515C" w:rsidP="00DF28F7">
      <w:pPr>
        <w:jc w:val="both"/>
        <w:rPr>
          <w:rFonts w:ascii="Times New Roman" w:hAnsi="Times New Roman"/>
          <w:noProof/>
          <w:sz w:val="24"/>
        </w:rPr>
      </w:pPr>
    </w:p>
    <w:p w14:paraId="49A28DEB"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 xml:space="preserve">Otrais mērķis – </w:t>
      </w:r>
      <w:r>
        <w:rPr>
          <w:rFonts w:ascii="Times New Roman" w:hAnsi="Times New Roman"/>
          <w:b/>
          <w:bCs/>
          <w:i/>
          <w:iCs/>
          <w:sz w:val="24"/>
        </w:rPr>
        <w:t>dabas resursu ilgtspējīga apsaimniekošana</w:t>
      </w:r>
      <w:r>
        <w:rPr>
          <w:rFonts w:ascii="Times New Roman" w:hAnsi="Times New Roman"/>
          <w:sz w:val="24"/>
        </w:rPr>
        <w:t xml:space="preserve"> – pašreizējos apstākļos kļuvis svarīgāks nekā jebkad agrāk, jo straujāk pieaug spiediens uz vidi un zūd bioloģiskā daudzveidība.</w:t>
      </w:r>
      <w:r w:rsidR="00AC27DA">
        <w:rPr>
          <w:rStyle w:val="FootnoteReference"/>
          <w:rFonts w:ascii="Times New Roman" w:hAnsi="Times New Roman"/>
          <w:noProof/>
          <w:sz w:val="24"/>
        </w:rPr>
        <w:footnoteReference w:id="29"/>
      </w:r>
      <w:r>
        <w:rPr>
          <w:rFonts w:ascii="Times New Roman" w:hAnsi="Times New Roman"/>
          <w:sz w:val="24"/>
        </w:rPr>
        <w:t xml:space="preserve"> Laikus jārīkojas, lai nepieļautu ekosistēmu degradāciju, atjaunotu un pastiprinātu ekosistēmu funkcijas, tā cenšoties uzlabot pārtikas un ūdens drošību un būtiski sekmēt pielāgošanos klimata pārmaiņām un to mazināšanu ar negatīvo emisiju un oglekļa piesaistītājsistēmām.</w:t>
      </w:r>
      <w:r w:rsidR="00AC27DA">
        <w:rPr>
          <w:rStyle w:val="FootnoteReference"/>
          <w:rFonts w:ascii="Times New Roman" w:hAnsi="Times New Roman"/>
          <w:noProof/>
          <w:sz w:val="24"/>
        </w:rPr>
        <w:footnoteReference w:id="30"/>
      </w:r>
      <w:r>
        <w:rPr>
          <w:rFonts w:ascii="Times New Roman" w:hAnsi="Times New Roman"/>
          <w:sz w:val="24"/>
        </w:rPr>
        <w:t xml:space="preserve"> No bioloģiskās daudzveidības īpaši atkarīga ir ekosistēmu saglabāšana un produktivitāte jūrās, okeānos, mežos un augsnēs. Mums arī jāuzlabo spēja uzraudzīt un prognozēt dabas resursu stāvokli un attīstību.</w:t>
      </w:r>
    </w:p>
    <w:p w14:paraId="7C2B5F09" w14:textId="77777777" w:rsidR="0083515C" w:rsidRPr="00DF28F7" w:rsidRDefault="0083515C" w:rsidP="00DF28F7">
      <w:pPr>
        <w:jc w:val="both"/>
        <w:rPr>
          <w:rFonts w:ascii="Times New Roman" w:hAnsi="Times New Roman"/>
          <w:noProof/>
          <w:sz w:val="24"/>
        </w:rPr>
      </w:pPr>
    </w:p>
    <w:p w14:paraId="26E9E757"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 xml:space="preserve">Trešais mērķis – </w:t>
      </w:r>
      <w:r>
        <w:rPr>
          <w:rFonts w:ascii="Times New Roman" w:hAnsi="Times New Roman"/>
          <w:b/>
          <w:bCs/>
          <w:i/>
          <w:iCs/>
          <w:sz w:val="24"/>
        </w:rPr>
        <w:t>mazāka atkarība no neatjaunojamiem, neilgtspējīgiem resursiem, kas ir gan iekšzemes, gan ārvalstu izcelsmes</w:t>
      </w:r>
      <w:r>
        <w:rPr>
          <w:rFonts w:ascii="Times New Roman" w:hAnsi="Times New Roman"/>
          <w:sz w:val="24"/>
        </w:rPr>
        <w:t xml:space="preserve"> – ir būtisks, lai sasniegtu ES mērķus enerģētikas un klimata jomā, jo bioenerģija, kas pašlaik ES ir lielākais atjaunojamās enerģijas avots, arī 2030. gadā būs svarīgs energoresursu struktūras elements.</w:t>
      </w:r>
      <w:r w:rsidR="00AC27DA">
        <w:rPr>
          <w:rStyle w:val="FootnoteReference"/>
          <w:rFonts w:ascii="Times New Roman" w:hAnsi="Times New Roman"/>
          <w:noProof/>
          <w:sz w:val="24"/>
        </w:rPr>
        <w:footnoteReference w:id="31"/>
      </w:r>
      <w:r>
        <w:rPr>
          <w:rFonts w:ascii="Times New Roman" w:hAnsi="Times New Roman"/>
          <w:sz w:val="24"/>
        </w:rPr>
        <w:t xml:space="preserve"> Spēcīgāka uz bioresursiem balstītā nozare var paātrināt neatjaunojamo resursu aizstāšanu atbilstoši ES saistībām saskaņā ar Parīzes nolīgumu. Turklāt rūpniecības simbioze un novatoriski rūpnieciskie uz bioresursiem balstītie procesi</w:t>
      </w:r>
      <w:r w:rsidR="00AC27DA">
        <w:rPr>
          <w:rStyle w:val="FootnoteReference"/>
          <w:rFonts w:ascii="Times New Roman" w:hAnsi="Times New Roman"/>
          <w:noProof/>
          <w:sz w:val="24"/>
        </w:rPr>
        <w:footnoteReference w:id="32"/>
      </w:r>
      <w:r>
        <w:rPr>
          <w:rFonts w:ascii="Times New Roman" w:hAnsi="Times New Roman"/>
          <w:sz w:val="24"/>
        </w:rPr>
        <w:t xml:space="preserve"> veicina rūpniecības zaļināšanu un aprites bioekonomikas un produktu attīstību, piemēram, inovējot to, kā pilsētas palielina savas nozīmīgās bioatkritumu daļas vērtību.</w:t>
      </w:r>
    </w:p>
    <w:p w14:paraId="765CACE0" w14:textId="77777777" w:rsidR="0083515C" w:rsidRPr="00DF28F7" w:rsidRDefault="0083515C" w:rsidP="00DF28F7">
      <w:pPr>
        <w:jc w:val="both"/>
        <w:rPr>
          <w:rFonts w:ascii="Times New Roman" w:eastAsia="Verdana" w:hAnsi="Times New Roman" w:cs="Verdana"/>
          <w:noProof/>
          <w:sz w:val="24"/>
          <w:szCs w:val="19"/>
        </w:rPr>
      </w:pPr>
    </w:p>
    <w:p w14:paraId="5C60F706" w14:textId="77777777" w:rsidR="0083515C" w:rsidRPr="00DF28F7" w:rsidRDefault="0083515C" w:rsidP="00DF28F7">
      <w:pPr>
        <w:pStyle w:val="BodyText"/>
        <w:ind w:left="0"/>
        <w:jc w:val="both"/>
        <w:rPr>
          <w:rFonts w:ascii="Times New Roman" w:hAnsi="Times New Roman"/>
          <w:noProof/>
          <w:sz w:val="24"/>
        </w:rPr>
      </w:pPr>
      <w:r>
        <w:rPr>
          <w:rFonts w:ascii="Times New Roman" w:hAnsi="Times New Roman"/>
          <w:sz w:val="24"/>
        </w:rPr>
        <w:t xml:space="preserve">Ceturtais mērķis – </w:t>
      </w:r>
      <w:r>
        <w:rPr>
          <w:rFonts w:ascii="Times New Roman" w:hAnsi="Times New Roman"/>
          <w:b/>
          <w:bCs/>
          <w:i/>
          <w:iCs/>
          <w:sz w:val="24"/>
        </w:rPr>
        <w:t>klimata pārmaiņu mazināšana un pielāgošanās tām</w:t>
      </w:r>
      <w:r>
        <w:rPr>
          <w:rFonts w:ascii="Times New Roman" w:hAnsi="Times New Roman"/>
          <w:sz w:val="24"/>
        </w:rPr>
        <w:t xml:space="preserve"> – ir kļuvis par šās paaudzes globālo uzdevumu. Siltumnīcefekta gāzu samazināšanas ilgtermiņa stratēģijā ilgtspējīga aprites bioekonomika ir galvenais rīks siltumnīcefekta gāzu ziņā neitrāla stāvokļa sasniegšanai Eiropā. Turklāt ilgtspējīgai bioekonomikai ir liels potenciāls samazināt siltumnīcefekta gāzu emisijas, veicinot resursefektīvāku, aktīvāku un ilgtspējīgāku primārās ražošanas praksi uz sauszemes un jūrā, kā arī uzlabojot ekosistēmu spējas regulēt klimatu, piemēram, ieviešot jauninājumus oglekli piesaistošā lauksaimniecībā.</w:t>
      </w:r>
    </w:p>
    <w:p w14:paraId="0EF17F85" w14:textId="77777777" w:rsidR="0083515C" w:rsidRPr="00DF28F7" w:rsidRDefault="0083515C" w:rsidP="00DF28F7">
      <w:pPr>
        <w:jc w:val="both"/>
        <w:rPr>
          <w:rFonts w:ascii="Times New Roman" w:eastAsia="Verdana" w:hAnsi="Times New Roman" w:cs="Verdana"/>
          <w:noProof/>
          <w:sz w:val="24"/>
          <w:szCs w:val="19"/>
        </w:rPr>
      </w:pPr>
    </w:p>
    <w:p w14:paraId="61B5B8BA" w14:textId="77777777" w:rsidR="0083515C" w:rsidRPr="00DF28F7" w:rsidRDefault="0083515C" w:rsidP="00DF28F7">
      <w:pPr>
        <w:pStyle w:val="BodyText"/>
        <w:ind w:left="0"/>
        <w:jc w:val="both"/>
        <w:rPr>
          <w:rFonts w:ascii="Times New Roman" w:hAnsi="Times New Roman"/>
          <w:noProof/>
          <w:sz w:val="24"/>
          <w:szCs w:val="12"/>
        </w:rPr>
      </w:pPr>
      <w:r>
        <w:rPr>
          <w:rFonts w:ascii="Times New Roman" w:hAnsi="Times New Roman"/>
          <w:sz w:val="24"/>
        </w:rPr>
        <w:t xml:space="preserve">Piektais mērķis – </w:t>
      </w:r>
      <w:r>
        <w:rPr>
          <w:rFonts w:ascii="Times New Roman" w:hAnsi="Times New Roman"/>
          <w:b/>
          <w:bCs/>
          <w:i/>
          <w:iCs/>
          <w:sz w:val="24"/>
        </w:rPr>
        <w:t>Eiropas konkurētspējas stiprināšana un darbavietu radīšana</w:t>
      </w:r>
      <w:r>
        <w:rPr>
          <w:rFonts w:ascii="Times New Roman" w:hAnsi="Times New Roman"/>
          <w:sz w:val="24"/>
        </w:rPr>
        <w:t xml:space="preserve"> – ir viens no bioekonomikas centrālajiem politiskajiem mērķiem. Satvaru veidošana jauninājumu izstrādei un ieviešanai un bioproduktu tirgu attīstības veicināšanai, piemēram, ar publisko iepirkumu</w:t>
      </w:r>
      <w:r w:rsidR="001F2648">
        <w:rPr>
          <w:rStyle w:val="FootnoteReference"/>
          <w:rFonts w:ascii="Times New Roman" w:hAnsi="Times New Roman"/>
          <w:noProof/>
          <w:sz w:val="24"/>
        </w:rPr>
        <w:footnoteReference w:id="33"/>
      </w:r>
      <w:r>
        <w:rPr>
          <w:rFonts w:ascii="Times New Roman" w:hAnsi="Times New Roman"/>
          <w:sz w:val="24"/>
        </w:rPr>
        <w:t>, standartu izstrādi, atjaunojamo energoresursu politiku un oglekļa cenas noteikšanu, atbalstīs Eiropas rūpniecības spēju konkurēt pasaulē un pārveidi.</w:t>
      </w:r>
      <w:r>
        <w:rPr>
          <w:rFonts w:ascii="Times New Roman" w:hAnsi="Times New Roman"/>
          <w:sz w:val="24"/>
          <w:vertAlign w:val="superscript"/>
        </w:rPr>
        <w:t>5</w:t>
      </w:r>
      <w:r>
        <w:rPr>
          <w:rFonts w:ascii="Times New Roman" w:hAnsi="Times New Roman"/>
          <w:sz w:val="24"/>
        </w:rPr>
        <w:t xml:space="preserve"> Bioekonomika sniedz labas iespējas jaunu darba vietu reģionālai ekonomiskai attīstībai un uzlabotai teritoriālajai kohēzijai – arī attālos vai nomaļos rajonos. Korkas 2016. gada 2.0 deklarācijas</w:t>
      </w:r>
      <w:r w:rsidR="001F2648">
        <w:rPr>
          <w:rStyle w:val="FootnoteReference"/>
          <w:rFonts w:ascii="Times New Roman" w:hAnsi="Times New Roman"/>
          <w:noProof/>
          <w:sz w:val="24"/>
        </w:rPr>
        <w:footnoteReference w:id="34"/>
      </w:r>
      <w:r>
        <w:rPr>
          <w:rFonts w:ascii="Times New Roman" w:hAnsi="Times New Roman"/>
          <w:sz w:val="24"/>
        </w:rPr>
        <w:t xml:space="preserve"> ieteikumi varētu nodrošināt ievērojamu ienākumu dažādošanu lauksaimniekiem, mežsaimniekiem un zvejniekiem un stiprināt vietējo lauku ekonomiku ar prāvākām investīcijām prasmēs, zināšanās, inovācijās un jaunos uzņēmējdarbības modeļos.</w:t>
      </w:r>
    </w:p>
    <w:p w14:paraId="137CA63E" w14:textId="4FE20B07" w:rsidR="0088409F" w:rsidRDefault="0088409F">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14:paraId="300256DD" w14:textId="77777777" w:rsidR="0083515C" w:rsidRPr="00DF28F7" w:rsidRDefault="0083515C" w:rsidP="00DF28F7">
      <w:pPr>
        <w:jc w:val="both"/>
        <w:rPr>
          <w:rFonts w:ascii="Times New Roman" w:eastAsia="Verdana" w:hAnsi="Times New Roman" w:cs="Verdana"/>
          <w:noProof/>
          <w:sz w:val="24"/>
          <w:szCs w:val="20"/>
        </w:rPr>
      </w:pPr>
    </w:p>
    <w:p w14:paraId="64CB3AEB" w14:textId="77777777" w:rsidR="0083515C" w:rsidRPr="001F2648" w:rsidRDefault="001F2648" w:rsidP="001F2648">
      <w:pPr>
        <w:pStyle w:val="Heading2"/>
        <w:tabs>
          <w:tab w:val="left" w:pos="705"/>
        </w:tabs>
        <w:ind w:left="0" w:firstLine="0"/>
        <w:jc w:val="both"/>
        <w:rPr>
          <w:b/>
          <w:bCs/>
          <w:noProof/>
          <w:sz w:val="24"/>
        </w:rPr>
      </w:pPr>
      <w:bookmarkStart w:id="7" w:name="_Toc63672629"/>
      <w:r>
        <w:rPr>
          <w:b/>
          <w:sz w:val="24"/>
        </w:rPr>
        <w:t>4. Darbības, kas ved uz ilgtspējīgu aprites bioekonomiku</w:t>
      </w:r>
      <w:bookmarkEnd w:id="7"/>
    </w:p>
    <w:p w14:paraId="63A03305" w14:textId="77777777" w:rsidR="0083515C" w:rsidRPr="00DF28F7" w:rsidRDefault="0083515C" w:rsidP="00DF28F7">
      <w:pPr>
        <w:jc w:val="both"/>
        <w:rPr>
          <w:rFonts w:ascii="Times New Roman" w:eastAsia="Times New Roman" w:hAnsi="Times New Roman" w:cs="Times New Roman"/>
          <w:noProof/>
          <w:sz w:val="24"/>
          <w:szCs w:val="19"/>
        </w:rPr>
      </w:pPr>
    </w:p>
    <w:p w14:paraId="13D2250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Lai atbalstītu minētos piecus mērķus saistībā ar pārmaiņām politikas prioritātēs, atjauninātā stratēģija piedāvā trīs galvenās darbības jomas:</w:t>
      </w:r>
    </w:p>
    <w:p w14:paraId="7FE25733" w14:textId="77777777" w:rsidR="0083515C" w:rsidRPr="00DF28F7" w:rsidRDefault="0083515C" w:rsidP="001F2648">
      <w:pPr>
        <w:jc w:val="both"/>
        <w:rPr>
          <w:rFonts w:ascii="Times New Roman" w:eastAsia="Verdana" w:hAnsi="Times New Roman" w:cs="Verdana"/>
          <w:noProof/>
          <w:sz w:val="24"/>
          <w:szCs w:val="19"/>
        </w:rPr>
      </w:pPr>
    </w:p>
    <w:p w14:paraId="29383671" w14:textId="77777777" w:rsidR="0083515C" w:rsidRPr="00DF28F7" w:rsidRDefault="001F2648" w:rsidP="001F2648">
      <w:pPr>
        <w:pStyle w:val="BodyText"/>
        <w:tabs>
          <w:tab w:val="left" w:pos="826"/>
        </w:tabs>
        <w:ind w:left="0"/>
        <w:jc w:val="both"/>
        <w:rPr>
          <w:rFonts w:ascii="Times New Roman" w:hAnsi="Times New Roman"/>
          <w:noProof/>
          <w:sz w:val="24"/>
        </w:rPr>
      </w:pPr>
      <w:r>
        <w:rPr>
          <w:rFonts w:ascii="Times New Roman" w:hAnsi="Times New Roman"/>
          <w:sz w:val="24"/>
        </w:rPr>
        <w:t>1. uz bioresursiem balstīto nozaru stiprināšana, investīciju un tirgu atraisīšana;</w:t>
      </w:r>
    </w:p>
    <w:p w14:paraId="6C8D4AB7" w14:textId="77777777" w:rsidR="0083515C" w:rsidRPr="00DF28F7" w:rsidRDefault="001F2648" w:rsidP="001F2648">
      <w:pPr>
        <w:pStyle w:val="BodyText"/>
        <w:tabs>
          <w:tab w:val="left" w:pos="826"/>
        </w:tabs>
        <w:ind w:left="0"/>
        <w:jc w:val="both"/>
        <w:rPr>
          <w:rFonts w:ascii="Times New Roman" w:hAnsi="Times New Roman"/>
          <w:noProof/>
          <w:sz w:val="24"/>
        </w:rPr>
      </w:pPr>
      <w:r>
        <w:rPr>
          <w:rFonts w:ascii="Times New Roman" w:hAnsi="Times New Roman"/>
          <w:sz w:val="24"/>
        </w:rPr>
        <w:t>2. vietējās bioekonomikas strauja izvēršana Eiropā;</w:t>
      </w:r>
    </w:p>
    <w:p w14:paraId="03783B21" w14:textId="77777777" w:rsidR="0083515C" w:rsidRPr="00DF28F7" w:rsidRDefault="001F2648" w:rsidP="001F2648">
      <w:pPr>
        <w:pStyle w:val="BodyText"/>
        <w:tabs>
          <w:tab w:val="left" w:pos="833"/>
        </w:tabs>
        <w:ind w:left="0"/>
        <w:jc w:val="both"/>
        <w:rPr>
          <w:rFonts w:ascii="Times New Roman" w:hAnsi="Times New Roman"/>
          <w:noProof/>
          <w:sz w:val="24"/>
        </w:rPr>
      </w:pPr>
      <w:r>
        <w:rPr>
          <w:rFonts w:ascii="Times New Roman" w:hAnsi="Times New Roman"/>
          <w:sz w:val="24"/>
        </w:rPr>
        <w:t>3. bioekonomikas ekoloģisko robežu izprašana.</w:t>
      </w:r>
    </w:p>
    <w:p w14:paraId="36812327" w14:textId="77777777" w:rsidR="001F2648" w:rsidRDefault="001F2648" w:rsidP="001F2648">
      <w:pPr>
        <w:pStyle w:val="BodyText"/>
        <w:ind w:left="0"/>
        <w:jc w:val="both"/>
        <w:rPr>
          <w:rFonts w:ascii="Times New Roman" w:hAnsi="Times New Roman"/>
          <w:noProof/>
          <w:sz w:val="24"/>
        </w:rPr>
      </w:pPr>
    </w:p>
    <w:p w14:paraId="132E518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Ierosinātās darbības izmanto savā labā un pārsniedz iepriekšējās sekmīgās investīcijas pētniecībā un inovācijās. Rīcības plānā tiek piemērota sistēmu pieeja, lai attīstītu un paplašinātu bioekonomiku un nodrošinātu tās vispārējo ilgtspēju un atbilstību aprites principiem. Tā aptver vairākas ar bioekonomiku saistītas nozares un politiku, sasaista tās, veicina saskanību un sinerģiju, risina kompromisus, piemēram, biomasas konkurējošu izmantošanu, un sastāda plānu, kas palīdzēs Eiropas Savienībai attīstīt bioekonomikas potenciālu un to izmantot, lai efektīvi īstenotu daudzus politikas mērķus. Darbības tiks īstenotas jau esošajā Starptautiskā bioekonomikas foruma</w:t>
      </w:r>
      <w:r w:rsidR="001F2648">
        <w:rPr>
          <w:rStyle w:val="FootnoteReference"/>
          <w:rFonts w:ascii="Times New Roman" w:hAnsi="Times New Roman"/>
          <w:noProof/>
          <w:sz w:val="24"/>
        </w:rPr>
        <w:footnoteReference w:id="35"/>
      </w:r>
      <w:r>
        <w:rPr>
          <w:rFonts w:ascii="Times New Roman" w:hAnsi="Times New Roman"/>
          <w:sz w:val="24"/>
        </w:rPr>
        <w:t xml:space="preserve"> un globālās bioekonomikas samita</w:t>
      </w:r>
      <w:r w:rsidR="001F2648">
        <w:rPr>
          <w:rStyle w:val="FootnoteReference"/>
          <w:rFonts w:ascii="Times New Roman" w:hAnsi="Times New Roman"/>
          <w:noProof/>
          <w:sz w:val="24"/>
        </w:rPr>
        <w:footnoteReference w:id="36"/>
      </w:r>
      <w:r>
        <w:rPr>
          <w:rFonts w:ascii="Times New Roman" w:hAnsi="Times New Roman"/>
          <w:sz w:val="24"/>
        </w:rPr>
        <w:t xml:space="preserve"> starptautiskajā kontekstā, lai veicinātu sinerģiju ar līdzīgi domājošu partneru darbībām.</w:t>
      </w:r>
    </w:p>
    <w:p w14:paraId="72FB8BE0" w14:textId="77777777" w:rsidR="0083515C" w:rsidRPr="00DF28F7" w:rsidRDefault="0083515C" w:rsidP="001F2648">
      <w:pPr>
        <w:jc w:val="both"/>
        <w:rPr>
          <w:rFonts w:ascii="Times New Roman" w:eastAsia="Verdana" w:hAnsi="Times New Roman" w:cs="Verdana"/>
          <w:noProof/>
          <w:sz w:val="24"/>
          <w:szCs w:val="20"/>
        </w:rPr>
      </w:pPr>
    </w:p>
    <w:p w14:paraId="373201AB" w14:textId="77777777" w:rsidR="0083515C" w:rsidRPr="00DF28F7" w:rsidRDefault="0083515C" w:rsidP="001F2648">
      <w:pPr>
        <w:jc w:val="both"/>
        <w:rPr>
          <w:rFonts w:ascii="Times New Roman" w:eastAsia="Verdana" w:hAnsi="Times New Roman" w:cs="Verdana"/>
          <w:noProof/>
          <w:sz w:val="24"/>
          <w:szCs w:val="26"/>
        </w:rPr>
      </w:pPr>
    </w:p>
    <w:p w14:paraId="1476C92D" w14:textId="77777777" w:rsidR="0083515C" w:rsidRPr="001F2648" w:rsidRDefault="001F2648" w:rsidP="001F2648">
      <w:pPr>
        <w:pStyle w:val="Heading2"/>
        <w:tabs>
          <w:tab w:val="left" w:pos="666"/>
        </w:tabs>
        <w:ind w:left="0" w:firstLine="0"/>
        <w:jc w:val="both"/>
        <w:rPr>
          <w:i/>
          <w:iCs/>
          <w:noProof/>
          <w:sz w:val="24"/>
        </w:rPr>
      </w:pPr>
      <w:bookmarkStart w:id="8" w:name="_Toc63672630"/>
      <w:r>
        <w:rPr>
          <w:i/>
          <w:sz w:val="24"/>
        </w:rPr>
        <w:t>4.1. Uz bioresursiem balstīto nozaru stiprināšana, investīciju un tirgu atraisīšana</w:t>
      </w:r>
      <w:bookmarkEnd w:id="8"/>
    </w:p>
    <w:p w14:paraId="2C1084D6" w14:textId="77777777" w:rsidR="0083515C" w:rsidRPr="00DF28F7" w:rsidRDefault="0083515C" w:rsidP="001F2648">
      <w:pPr>
        <w:jc w:val="both"/>
        <w:rPr>
          <w:rFonts w:ascii="Times New Roman" w:eastAsia="Times New Roman" w:hAnsi="Times New Roman" w:cs="Times New Roman"/>
          <w:noProof/>
          <w:sz w:val="24"/>
          <w:szCs w:val="19"/>
        </w:rPr>
      </w:pPr>
    </w:p>
    <w:p w14:paraId="10C4D62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Lai paātrinātu ilgtspējīgu un aprites uz bioresursiem balstīto risinājumu izstrādi un ieviešanu, no kuriem ir atkarīga mūsu rūpniecības bāzes modernizācija, stiprināšana un konkurētspēja, ES pastiprinās </w:t>
      </w:r>
      <w:r>
        <w:rPr>
          <w:rFonts w:ascii="Times New Roman" w:hAnsi="Times New Roman"/>
          <w:b/>
          <w:bCs/>
          <w:sz w:val="24"/>
        </w:rPr>
        <w:t>publiskā un privātā sektora ieinteresēto pušu mobilizēšanu uz bioresursiem balstītu risinājumu pētniecībai, demonstrēšanai un ieviešanai</w:t>
      </w:r>
      <w:r>
        <w:rPr>
          <w:rFonts w:ascii="Times New Roman" w:hAnsi="Times New Roman"/>
          <w:sz w:val="24"/>
        </w:rPr>
        <w:t xml:space="preserve"> (1.1. darbība). Tas, piemēram, attiecas uz tādu tehnoloģiju veicināšanu kā mākslīgais intelekts un novatoriski risinājumi, kas piemēroti ieviešanai mazos mērogos un ir viegli “kopējami”. Saskaņā ar “Apvārsnis 2020” īstenotā ES biorūpniecības publiskā un privātā sektora partnerība ir lieti noderējusi jaunu uz bioresursiem balstītu vērtības ķēžu izstrādē un ieviešanā, balstoties uz atjaunojamo resursu, tostarp atkritumu, izmantošanu.</w:t>
      </w:r>
      <w:r w:rsidR="001F2648">
        <w:rPr>
          <w:rStyle w:val="FootnoteReference"/>
          <w:rFonts w:ascii="Times New Roman" w:hAnsi="Times New Roman"/>
          <w:noProof/>
          <w:sz w:val="24"/>
        </w:rPr>
        <w:footnoteReference w:id="37"/>
      </w:r>
      <w:r>
        <w:rPr>
          <w:rFonts w:ascii="Times New Roman" w:hAnsi="Times New Roman"/>
          <w:sz w:val="24"/>
        </w:rPr>
        <w:t xml:space="preserve"> Darbības rezultātā tiks izstrādāts risinājumu “rīku kopums”, ar ko pārstrādāt biomasu bioproduktos, kuri vairākās jomās atbalstīs mūsu rūpniecības modernizāciju un atjaunošanu.</w:t>
      </w:r>
    </w:p>
    <w:p w14:paraId="6A57F918" w14:textId="77777777" w:rsidR="0083515C" w:rsidRPr="00DF28F7" w:rsidRDefault="0083515C" w:rsidP="001F2648">
      <w:pPr>
        <w:jc w:val="both"/>
        <w:rPr>
          <w:rFonts w:ascii="Times New Roman" w:eastAsia="Verdana" w:hAnsi="Times New Roman" w:cs="Verdana"/>
          <w:noProof/>
          <w:sz w:val="24"/>
          <w:szCs w:val="19"/>
        </w:rPr>
      </w:pPr>
    </w:p>
    <w:p w14:paraId="4BFBFBA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Papildus pētniecības un inovācijas dotācijām no “Apvārsnis 2020” ES īstenos specializētu finanšu instrumentu – </w:t>
      </w:r>
      <w:r>
        <w:rPr>
          <w:rFonts w:ascii="Times New Roman" w:hAnsi="Times New Roman"/>
          <w:b/>
          <w:bCs/>
          <w:sz w:val="24"/>
        </w:rPr>
        <w:t xml:space="preserve">ar 100 miljoniem </w:t>
      </w:r>
      <w:r>
        <w:rPr>
          <w:rFonts w:ascii="Times New Roman" w:hAnsi="Times New Roman"/>
          <w:b/>
          <w:bCs/>
          <w:i/>
          <w:iCs/>
          <w:sz w:val="24"/>
        </w:rPr>
        <w:t>euro</w:t>
      </w:r>
      <w:r>
        <w:rPr>
          <w:rFonts w:ascii="Times New Roman" w:hAnsi="Times New Roman"/>
          <w:b/>
          <w:bCs/>
          <w:sz w:val="24"/>
        </w:rPr>
        <w:t xml:space="preserve"> finansēto aprites bioekonomikas tematisko investīciju platformu</w:t>
      </w:r>
      <w:r w:rsidR="001F2648">
        <w:rPr>
          <w:rStyle w:val="FootnoteReference"/>
          <w:rFonts w:ascii="Times New Roman" w:hAnsi="Times New Roman" w:cs="Times New Roman"/>
          <w:b/>
          <w:bCs/>
          <w:noProof/>
          <w:sz w:val="24"/>
        </w:rPr>
        <w:footnoteReference w:id="38"/>
      </w:r>
      <w:r>
        <w:rPr>
          <w:rFonts w:ascii="Times New Roman" w:hAnsi="Times New Roman"/>
          <w:sz w:val="24"/>
        </w:rPr>
        <w:t xml:space="preserve"> (1.2. darbība), kuras uzdevums ir ilgtspējīgos risinājumos mazināt privāto investīciju risku. Tas papildinās un stiprinās sinerģiju ar pašreizējām un turpmākām ES iniciatīvām, piemēram, ar kapitāla tirgu savienību, programmu </w:t>
      </w:r>
      <w:r>
        <w:rPr>
          <w:rFonts w:ascii="Times New Roman" w:hAnsi="Times New Roman"/>
          <w:i/>
          <w:iCs/>
          <w:sz w:val="24"/>
        </w:rPr>
        <w:t>InvestEU</w:t>
      </w:r>
      <w:r>
        <w:rPr>
          <w:rFonts w:ascii="Times New Roman" w:hAnsi="Times New Roman"/>
          <w:sz w:val="24"/>
        </w:rPr>
        <w:t>, kopīgo lauksaimniecības politiku un ETS inovācijas fondu.</w:t>
      </w:r>
    </w:p>
    <w:p w14:paraId="1CF187F7" w14:textId="77777777" w:rsidR="0083515C" w:rsidRPr="00DF28F7" w:rsidRDefault="0083515C" w:rsidP="001F2648">
      <w:pPr>
        <w:jc w:val="both"/>
        <w:rPr>
          <w:rFonts w:ascii="Times New Roman" w:hAnsi="Times New Roman"/>
          <w:noProof/>
          <w:sz w:val="24"/>
        </w:rPr>
      </w:pPr>
    </w:p>
    <w:p w14:paraId="78F9C9D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Lai īstenotu uz bioresursiem balstītās nozares potenciālu, ir jāturpina popularizēt tās pozitīvo ietekmi un tai ir jābūt līdztiesīgai ar tirgus un regulatīvajiem nosacījumiem, kas attiecas uz </w:t>
      </w:r>
      <w:r>
        <w:rPr>
          <w:rFonts w:ascii="Times New Roman" w:hAnsi="Times New Roman"/>
          <w:sz w:val="24"/>
        </w:rPr>
        <w:lastRenderedPageBreak/>
        <w:t xml:space="preserve">nozarēm, kuras izmanto fosilos energoresursus. Šajā darbībā tiks </w:t>
      </w:r>
      <w:r>
        <w:rPr>
          <w:rFonts w:ascii="Times New Roman" w:hAnsi="Times New Roman"/>
          <w:b/>
          <w:bCs/>
          <w:sz w:val="24"/>
        </w:rPr>
        <w:t xml:space="preserve">konstatēti trūkumi, veicinātājfaktori un </w:t>
      </w:r>
      <w:r>
        <w:rPr>
          <w:rFonts w:ascii="Times New Roman" w:hAnsi="Times New Roman"/>
          <w:b/>
          <w:bCs/>
          <w:i/>
          <w:iCs/>
          <w:sz w:val="24"/>
        </w:rPr>
        <w:t>robi</w:t>
      </w:r>
      <w:r>
        <w:rPr>
          <w:rFonts w:ascii="Times New Roman" w:hAnsi="Times New Roman"/>
          <w:b/>
          <w:bCs/>
          <w:sz w:val="24"/>
        </w:rPr>
        <w:t>, kas ietekmē uz bioresursiem balstītos jauninājumus, sniegti fakultatīvi norādījumi par</w:t>
      </w:r>
      <w:r>
        <w:rPr>
          <w:rFonts w:ascii="Times New Roman" w:hAnsi="Times New Roman"/>
          <w:sz w:val="24"/>
        </w:rPr>
        <w:t xml:space="preserve"> to izmantošanu plašākā mērogā, lai popularizētu esošos standartus un marķējumu un novērtētu nepieciešamību izstrādāt jaunus, jo īpaši bioproduktiem (1.3. darbība).</w:t>
      </w:r>
    </w:p>
    <w:p w14:paraId="21C16FBD" w14:textId="77777777" w:rsidR="0083515C" w:rsidRPr="00DF28F7" w:rsidRDefault="0083515C" w:rsidP="001F2648">
      <w:pPr>
        <w:jc w:val="both"/>
        <w:rPr>
          <w:rFonts w:ascii="Times New Roman" w:eastAsia="Verdana" w:hAnsi="Times New Roman" w:cs="Verdana"/>
          <w:noProof/>
          <w:sz w:val="24"/>
          <w:szCs w:val="19"/>
        </w:rPr>
      </w:pPr>
    </w:p>
    <w:p w14:paraId="14E85A5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Lai uzlabotu ieviešanu tirgū un patērētāju uzticību, ir jāizmanto daudzveidīgi instrumenti. Tam vajadzīga ticama un salīdzināma </w:t>
      </w:r>
      <w:r>
        <w:rPr>
          <w:rFonts w:ascii="Times New Roman" w:hAnsi="Times New Roman"/>
          <w:b/>
          <w:bCs/>
          <w:sz w:val="24"/>
        </w:rPr>
        <w:t>informācija par ekoloģiskajiem raksturlielumiem</w:t>
      </w:r>
      <w:r>
        <w:rPr>
          <w:rFonts w:ascii="Times New Roman" w:hAnsi="Times New Roman"/>
          <w:sz w:val="24"/>
        </w:rPr>
        <w:t xml:space="preserve"> un to piemērošana uz vidi orientētiem politikas instrumentiem (piemēram, ES ekomarķējums un zaļais publiskais iepirkums), ja tie ir izrādījušies labvēlīgi vides perspektīvā. Datu ģenerēšanai un izmantošanai jāatbilst produkta </w:t>
      </w:r>
      <w:r>
        <w:rPr>
          <w:rFonts w:ascii="Times New Roman" w:hAnsi="Times New Roman"/>
          <w:b/>
          <w:bCs/>
          <w:sz w:val="24"/>
        </w:rPr>
        <w:t>ekoloģiskās pēdas nospieduma</w:t>
      </w:r>
      <w:r>
        <w:rPr>
          <w:rFonts w:ascii="Times New Roman" w:hAnsi="Times New Roman"/>
          <w:sz w:val="24"/>
        </w:rPr>
        <w:t xml:space="preserve"> metodei. Citi iekļaujamie aspekti ir standartu popularizēšana un izstrāde, kas nepieciešama produktu īpašību pārbaudei kā pamats spēkā esošajam brīvprātīgajam marķējumam (1.4. darbība). Kopumā darbības palīdzēs dažādot, izstrādāt un ieviest uz bioresursiem balstītus risinājumus. Tās arī centīsies veicināt jaunu, ilgtspējīgu biorafinēšanas iekārtu </w:t>
      </w:r>
      <w:r>
        <w:rPr>
          <w:rFonts w:ascii="Times New Roman" w:hAnsi="Times New Roman"/>
          <w:b/>
          <w:bCs/>
          <w:sz w:val="24"/>
        </w:rPr>
        <w:t>attīstību</w:t>
      </w:r>
      <w:r>
        <w:rPr>
          <w:rFonts w:ascii="Times New Roman" w:hAnsi="Times New Roman"/>
          <w:sz w:val="24"/>
        </w:rPr>
        <w:t xml:space="preserve"> un apstiprināt to veidu un aprēķināto jaudu – pašreizējās aplēses rāda, ka būs ap 300 jaunu </w:t>
      </w:r>
      <w:r>
        <w:rPr>
          <w:rFonts w:ascii="Times New Roman" w:hAnsi="Times New Roman"/>
          <w:b/>
          <w:bCs/>
          <w:sz w:val="24"/>
        </w:rPr>
        <w:t>pārstrādes iekārtu</w:t>
      </w:r>
      <w:r>
        <w:rPr>
          <w:rFonts w:ascii="Times New Roman" w:hAnsi="Times New Roman"/>
          <w:sz w:val="24"/>
        </w:rPr>
        <w:t xml:space="preserve"> (1.5. darbība)</w:t>
      </w:r>
      <w:r w:rsidR="00436FCA">
        <w:rPr>
          <w:rStyle w:val="FootnoteReference"/>
          <w:rFonts w:ascii="Times New Roman" w:hAnsi="Times New Roman"/>
          <w:noProof/>
          <w:sz w:val="24"/>
        </w:rPr>
        <w:footnoteReference w:id="39"/>
      </w:r>
      <w:r>
        <w:rPr>
          <w:rFonts w:ascii="Times New Roman" w:hAnsi="Times New Roman"/>
          <w:sz w:val="24"/>
        </w:rPr>
        <w:t>. Tas tiks darīts, ņemot vērā pieejamos ilgtspējīgi iegūtos resursus.</w:t>
      </w:r>
    </w:p>
    <w:p w14:paraId="30DE6352" w14:textId="77777777" w:rsidR="0083515C" w:rsidRPr="00DF28F7" w:rsidRDefault="0083515C" w:rsidP="001F2648">
      <w:pPr>
        <w:jc w:val="both"/>
        <w:rPr>
          <w:rFonts w:ascii="Times New Roman" w:eastAsia="Verdana" w:hAnsi="Times New Roman" w:cs="Verdana"/>
          <w:noProof/>
          <w:sz w:val="24"/>
          <w:szCs w:val="19"/>
        </w:rPr>
      </w:pPr>
    </w:p>
    <w:p w14:paraId="5E94FE9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Visbeidzot, cenšoties risināt globālo uzdevumu – </w:t>
      </w:r>
      <w:r>
        <w:rPr>
          <w:rFonts w:ascii="Times New Roman" w:hAnsi="Times New Roman"/>
          <w:b/>
          <w:bCs/>
          <w:sz w:val="24"/>
        </w:rPr>
        <w:t>atbrīvot no plastmasas okeānus</w:t>
      </w:r>
      <w:r>
        <w:rPr>
          <w:rFonts w:ascii="Times New Roman" w:hAnsi="Times New Roman"/>
          <w:sz w:val="24"/>
        </w:rPr>
        <w:t>, vienlaikus sniedzot izaugsmes iespējas novatoriskiem uz bioresursiem balstītiem uzņēmējdarbības modeļiem un produktiem, šīs darbības ļaus bioekonomikas potenciālu virzīt uz Eiropas jūru un okeānu, un iekšējo ūdeņu plastmasas piesārņojuma</w:t>
      </w:r>
      <w:r w:rsidR="00436FCA">
        <w:rPr>
          <w:rStyle w:val="FootnoteReference"/>
          <w:rFonts w:ascii="Times New Roman" w:hAnsi="Times New Roman"/>
          <w:noProof/>
          <w:sz w:val="24"/>
        </w:rPr>
        <w:footnoteReference w:id="40"/>
      </w:r>
      <w:r>
        <w:rPr>
          <w:rFonts w:ascii="Times New Roman" w:hAnsi="Times New Roman"/>
          <w:sz w:val="24"/>
        </w:rPr>
        <w:t xml:space="preserve"> problēmas risināšanu un ūdens kvalitātes un ekosistēmu atjaunošanu (1.6. darbība). Šī darbība, piemēram, mobilizēs galvenos plastmasas vērtības ķēdes dalībniekus atbalstīt aizstājēju izstrādi ražojumiem no fosilajiem resursiem, sevišķi uz bioresursiem balstītu, pārstrādājamu un jūras bioloģiski noārdāmo plastmasas aizstājēju izstrādi.</w:t>
      </w:r>
    </w:p>
    <w:p w14:paraId="14F85488" w14:textId="77777777" w:rsidR="0083515C" w:rsidRPr="00DF28F7" w:rsidRDefault="0083515C" w:rsidP="001F2648">
      <w:pPr>
        <w:jc w:val="both"/>
        <w:rPr>
          <w:rFonts w:ascii="Times New Roman" w:hAnsi="Times New Roman"/>
          <w:noProof/>
          <w:sz w:val="24"/>
        </w:rPr>
      </w:pPr>
    </w:p>
    <w:p w14:paraId="15CF9F2E" w14:textId="77777777" w:rsidR="0083515C" w:rsidRPr="00DF28F7" w:rsidRDefault="0083515C" w:rsidP="001F2648">
      <w:pPr>
        <w:jc w:val="both"/>
        <w:rPr>
          <w:rFonts w:ascii="Times New Roman" w:hAnsi="Times New Roman"/>
          <w:noProof/>
          <w:sz w:val="24"/>
        </w:rPr>
      </w:pPr>
    </w:p>
    <w:p w14:paraId="591A5CE9" w14:textId="77777777" w:rsidR="0083515C" w:rsidRPr="001F2648" w:rsidRDefault="001F2648" w:rsidP="001F2648">
      <w:pPr>
        <w:pStyle w:val="Heading2"/>
        <w:tabs>
          <w:tab w:val="left" w:pos="649"/>
        </w:tabs>
        <w:ind w:left="0" w:firstLine="0"/>
        <w:jc w:val="both"/>
        <w:rPr>
          <w:i/>
          <w:iCs/>
          <w:noProof/>
          <w:sz w:val="24"/>
        </w:rPr>
      </w:pPr>
      <w:bookmarkStart w:id="9" w:name="_TOC_250004"/>
      <w:bookmarkStart w:id="10" w:name="_Toc63672631"/>
      <w:r>
        <w:rPr>
          <w:i/>
          <w:sz w:val="24"/>
        </w:rPr>
        <w:t>4.2. Vietējās bioekonomikas strauja izvēršana Eiropā</w:t>
      </w:r>
      <w:bookmarkEnd w:id="9"/>
      <w:bookmarkEnd w:id="10"/>
    </w:p>
    <w:p w14:paraId="636B2F22" w14:textId="77777777" w:rsidR="0083515C" w:rsidRPr="00DF28F7" w:rsidRDefault="0083515C" w:rsidP="001F2648">
      <w:pPr>
        <w:jc w:val="both"/>
        <w:rPr>
          <w:rFonts w:ascii="Times New Roman" w:eastAsia="Times New Roman" w:hAnsi="Times New Roman" w:cs="Times New Roman"/>
          <w:noProof/>
          <w:sz w:val="24"/>
          <w:szCs w:val="24"/>
        </w:rPr>
      </w:pPr>
    </w:p>
    <w:p w14:paraId="21FC190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Ar sistēmisku starpnozaru pieeju sasaistot dalībniekus, teritorijas un vērtības ķēdes, Eiropas Komisija aktīvi atbalstīs un veicinās visu veidu inovāciju un praksi, kas skar </w:t>
      </w:r>
      <w:r>
        <w:rPr>
          <w:rFonts w:ascii="Times New Roman" w:hAnsi="Times New Roman"/>
          <w:b/>
          <w:bCs/>
          <w:sz w:val="24"/>
        </w:rPr>
        <w:t>ilgtspējīgas pārtikas un lauksaimniecības sistēmas, mežsaimniecību un uz bioresursiem balstīto ražošanu</w:t>
      </w:r>
      <w:r>
        <w:rPr>
          <w:rFonts w:ascii="Times New Roman" w:hAnsi="Times New Roman"/>
          <w:sz w:val="24"/>
        </w:rPr>
        <w:t>. Tā izstrādās stratēģisko ieviešanas programmu (2.1. darbība), kas ļaus ilgtspējīgi īstenot ilgtermiņa ieceres un aprites veidā ieviest un paplašināt bioekonomiku. Sistēmiskā pieeja risinās problēmas arīdzan šādās jomās:</w:t>
      </w:r>
    </w:p>
    <w:p w14:paraId="5F59B833" w14:textId="77777777" w:rsidR="0083515C" w:rsidRPr="00DF28F7" w:rsidRDefault="0083515C" w:rsidP="001F2648">
      <w:pPr>
        <w:jc w:val="both"/>
        <w:rPr>
          <w:rFonts w:ascii="Times New Roman" w:hAnsi="Times New Roman"/>
          <w:noProof/>
          <w:sz w:val="24"/>
        </w:rPr>
      </w:pPr>
    </w:p>
    <w:p w14:paraId="0FFC6A60" w14:textId="77777777" w:rsidR="0083515C" w:rsidRPr="00DF28F7" w:rsidRDefault="0083515C" w:rsidP="00436FCA">
      <w:pPr>
        <w:pStyle w:val="BodyText"/>
        <w:numPr>
          <w:ilvl w:val="0"/>
          <w:numId w:val="62"/>
        </w:numPr>
        <w:ind w:left="709" w:hanging="283"/>
        <w:jc w:val="both"/>
        <w:rPr>
          <w:rFonts w:ascii="Times New Roman" w:hAnsi="Times New Roman"/>
          <w:noProof/>
          <w:sz w:val="24"/>
        </w:rPr>
      </w:pPr>
      <w:r>
        <w:rPr>
          <w:rFonts w:ascii="Times New Roman" w:hAnsi="Times New Roman"/>
          <w:sz w:val="24"/>
        </w:rPr>
        <w:t>nākotnes prasībām atbilstošas pārtikas un lauksaimniecības sistēmas (sauszemes un ūdens), piemēram, attiecībā uz pārtikas izmešanu, zudumiem un blakusproduktiem (ieskaitot uzturvielu atkārtotu izmantošanu), noturību, vērtīgām uzturvielām bagātas pārtikas ražošanu, vairāk pārtikas no jūras un okeānu ilgtspējīgas izmantošanas</w:t>
      </w:r>
      <w:r w:rsidR="00436FCA">
        <w:rPr>
          <w:rStyle w:val="FootnoteReference"/>
          <w:rFonts w:ascii="Times New Roman" w:hAnsi="Times New Roman"/>
          <w:noProof/>
          <w:sz w:val="24"/>
        </w:rPr>
        <w:footnoteReference w:id="41"/>
      </w:r>
      <w:r>
        <w:rPr>
          <w:rFonts w:ascii="Times New Roman" w:hAnsi="Times New Roman"/>
          <w:sz w:val="24"/>
        </w:rPr>
        <w:t>, paplašinot ES īpatsvaru akvakultūras produktu ražošanā un ieviešanā tirgū;</w:t>
      </w:r>
    </w:p>
    <w:p w14:paraId="6189A34A" w14:textId="77777777" w:rsidR="0083515C" w:rsidRPr="00436FCA" w:rsidRDefault="0083515C" w:rsidP="00436FCA">
      <w:pPr>
        <w:pStyle w:val="BodyText"/>
        <w:numPr>
          <w:ilvl w:val="0"/>
          <w:numId w:val="62"/>
        </w:numPr>
        <w:ind w:left="709" w:hanging="283"/>
        <w:jc w:val="both"/>
        <w:rPr>
          <w:rFonts w:ascii="Times New Roman" w:hAnsi="Times New Roman"/>
          <w:noProof/>
          <w:sz w:val="24"/>
        </w:rPr>
      </w:pPr>
      <w:r>
        <w:rPr>
          <w:rFonts w:ascii="Times New Roman" w:hAnsi="Times New Roman"/>
          <w:sz w:val="24"/>
        </w:rPr>
        <w:t>uz bioresursiem balstīti jauninājumi, tostarp lauksaimniecībā, lai izstrādātu jaunas ķimikālijas, produktus, procesus un vērtības ķēdes uz bioresursiem balstītiem tirgiem lauku un piekrastes teritorijās, ar lielāku dalību un ieguvumu primārajiem ražotājiem;</w:t>
      </w:r>
    </w:p>
    <w:p w14:paraId="784A337C" w14:textId="77777777" w:rsidR="0083515C" w:rsidRPr="00DF28F7" w:rsidRDefault="0083515C" w:rsidP="00436FCA">
      <w:pPr>
        <w:pStyle w:val="BodyText"/>
        <w:numPr>
          <w:ilvl w:val="0"/>
          <w:numId w:val="62"/>
        </w:numPr>
        <w:ind w:left="709" w:hanging="283"/>
        <w:jc w:val="both"/>
        <w:rPr>
          <w:rFonts w:ascii="Times New Roman" w:hAnsi="Times New Roman"/>
          <w:noProof/>
          <w:sz w:val="24"/>
        </w:rPr>
      </w:pPr>
      <w:r>
        <w:rPr>
          <w:rFonts w:ascii="Times New Roman" w:hAnsi="Times New Roman"/>
          <w:sz w:val="24"/>
        </w:rPr>
        <w:lastRenderedPageBreak/>
        <w:t>jaunas iespējas mežsaimniecībai, neilgtspējīgus celtniecības un iepakojuma izejmateriālus aizstājot ar biomateriāliem, un jaunas iespējas nodrošināt ilgtspējīgākus jauninājumus tādās nozarēs kā mežsaimniecības nozarē balstītas tekstilpreces, mēbeles un ķimikālijas, un jauni uzņēmējdarbības modeļi, kuru pamatā ir mežsaimniecības ekosistēmu pakalpojumu novērtēšana;</w:t>
      </w:r>
    </w:p>
    <w:p w14:paraId="51A60193" w14:textId="77777777" w:rsidR="0083515C" w:rsidRPr="00DF28F7" w:rsidRDefault="0083515C" w:rsidP="00436FCA">
      <w:pPr>
        <w:pStyle w:val="BodyText"/>
        <w:numPr>
          <w:ilvl w:val="0"/>
          <w:numId w:val="62"/>
        </w:numPr>
        <w:ind w:left="709" w:hanging="283"/>
        <w:jc w:val="both"/>
        <w:rPr>
          <w:rFonts w:ascii="Times New Roman" w:hAnsi="Times New Roman"/>
          <w:noProof/>
          <w:sz w:val="24"/>
        </w:rPr>
      </w:pPr>
      <w:r>
        <w:rPr>
          <w:rFonts w:ascii="Times New Roman" w:hAnsi="Times New Roman"/>
          <w:sz w:val="24"/>
        </w:rPr>
        <w:t>okeāna potenciāla izmantošana aļģu un citu jūras resursu audzēšanā, paplašinot jūras biorūpniecību un tās produktus ieviešot tirgos, kā arī produktu audzēšanas jūrā un uz sauszemes tālāka integrācija.</w:t>
      </w:r>
    </w:p>
    <w:p w14:paraId="68974309" w14:textId="77777777" w:rsidR="00436FCA" w:rsidRDefault="00436FCA" w:rsidP="001F2648">
      <w:pPr>
        <w:pStyle w:val="BodyText"/>
        <w:ind w:left="0"/>
        <w:jc w:val="both"/>
        <w:rPr>
          <w:rFonts w:ascii="Times New Roman" w:hAnsi="Times New Roman"/>
          <w:noProof/>
          <w:sz w:val="24"/>
        </w:rPr>
      </w:pPr>
    </w:p>
    <w:p w14:paraId="0DF399E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Konkrēti stratēģiskās ieviešanas programmas pasākumi parādīs </w:t>
      </w:r>
      <w:r>
        <w:rPr>
          <w:rFonts w:ascii="Times New Roman" w:hAnsi="Times New Roman"/>
          <w:b/>
          <w:bCs/>
          <w:sz w:val="24"/>
        </w:rPr>
        <w:t>bioekonomikas</w:t>
      </w:r>
      <w:r>
        <w:rPr>
          <w:rFonts w:ascii="Times New Roman" w:hAnsi="Times New Roman"/>
          <w:sz w:val="24"/>
        </w:rPr>
        <w:t xml:space="preserve"> plašo potenciālu </w:t>
      </w:r>
      <w:r>
        <w:rPr>
          <w:rFonts w:ascii="Times New Roman" w:hAnsi="Times New Roman"/>
          <w:b/>
          <w:bCs/>
          <w:sz w:val="24"/>
        </w:rPr>
        <w:t>lauku, piekrastes un pilsētu teritoriju attīstībā</w:t>
      </w:r>
      <w:r>
        <w:rPr>
          <w:rFonts w:ascii="Times New Roman" w:hAnsi="Times New Roman"/>
          <w:sz w:val="24"/>
        </w:rPr>
        <w:t xml:space="preserve">. Tiks īstenoti izmēģinājuma pasākumi (2.2. darbība), kas veicinās </w:t>
      </w:r>
      <w:r>
        <w:rPr>
          <w:rFonts w:ascii="Times New Roman" w:hAnsi="Times New Roman"/>
          <w:b/>
          <w:bCs/>
          <w:sz w:val="24"/>
        </w:rPr>
        <w:t>ES pastāvošo vietējās darbības atbalstīšanas instrumentu</w:t>
      </w:r>
      <w:r>
        <w:rPr>
          <w:rFonts w:ascii="Times New Roman" w:hAnsi="Times New Roman"/>
          <w:sz w:val="24"/>
        </w:rPr>
        <w:t xml:space="preserve"> sinerģiju un ieviesīs skaidrāku orientāciju uz bioekonomiku. Pirmajā “kārtā” tiks sāktas piecas izmēģinājuma darbības:</w:t>
      </w:r>
    </w:p>
    <w:p w14:paraId="5564AA8E" w14:textId="77777777" w:rsidR="0083515C" w:rsidRPr="00DF28F7" w:rsidRDefault="0083515C" w:rsidP="001F2648">
      <w:pPr>
        <w:jc w:val="both"/>
        <w:rPr>
          <w:rFonts w:ascii="Times New Roman" w:hAnsi="Times New Roman"/>
          <w:noProof/>
          <w:sz w:val="24"/>
        </w:rPr>
      </w:pPr>
    </w:p>
    <w:p w14:paraId="11EFEFCB" w14:textId="77777777" w:rsidR="0083515C" w:rsidRPr="00DF28F7" w:rsidRDefault="0083515C" w:rsidP="00436FCA">
      <w:pPr>
        <w:pStyle w:val="BodyText"/>
        <w:numPr>
          <w:ilvl w:val="1"/>
          <w:numId w:val="62"/>
        </w:numPr>
        <w:ind w:left="709" w:hanging="283"/>
        <w:jc w:val="both"/>
        <w:rPr>
          <w:rFonts w:ascii="Times New Roman" w:hAnsi="Times New Roman"/>
          <w:noProof/>
          <w:sz w:val="24"/>
        </w:rPr>
      </w:pPr>
      <w:r>
        <w:rPr>
          <w:rFonts w:ascii="Times New Roman" w:hAnsi="Times New Roman"/>
          <w:sz w:val="24"/>
        </w:rPr>
        <w:t>“Zilās bioekonomikas” izmēģinājums atraisīs zilās bioekonomikas pieeju potenciālu piekrastes apgabalos un salās. ES Baltijas jūras reģiona stratēģija ir izrādījusies labs augšupējs mehānisms esošo naudas līdzekļu ievirzīšanai vietēji pielāgotos bioekonomikas modeļos.</w:t>
      </w:r>
      <w:r w:rsidR="00436FCA">
        <w:rPr>
          <w:rStyle w:val="FootnoteReference"/>
          <w:rFonts w:ascii="Times New Roman" w:hAnsi="Times New Roman"/>
          <w:noProof/>
          <w:sz w:val="24"/>
        </w:rPr>
        <w:footnoteReference w:id="42"/>
      </w:r>
      <w:r>
        <w:rPr>
          <w:rFonts w:ascii="Times New Roman" w:hAnsi="Times New Roman"/>
          <w:sz w:val="24"/>
        </w:rPr>
        <w:t xml:space="preserve"> Tiek ierosināts līdzīgas darbības veikt arī citu jūru baseinos, kā arī piekrastes un jūras apgabalos, izmantojot arī Eiropas Jūrlietu un zivsaimniecības fondu.</w:t>
      </w:r>
    </w:p>
    <w:p w14:paraId="3CCEE8EE" w14:textId="77777777" w:rsidR="0083515C" w:rsidRPr="00DF28F7" w:rsidRDefault="0083515C" w:rsidP="00436FCA">
      <w:pPr>
        <w:pStyle w:val="BodyText"/>
        <w:numPr>
          <w:ilvl w:val="1"/>
          <w:numId w:val="62"/>
        </w:numPr>
        <w:ind w:left="709" w:hanging="283"/>
        <w:jc w:val="both"/>
        <w:rPr>
          <w:rFonts w:ascii="Times New Roman" w:hAnsi="Times New Roman"/>
          <w:noProof/>
          <w:sz w:val="24"/>
        </w:rPr>
      </w:pPr>
      <w:r>
        <w:rPr>
          <w:rFonts w:ascii="Times New Roman" w:hAnsi="Times New Roman"/>
          <w:sz w:val="24"/>
        </w:rPr>
        <w:t xml:space="preserve">Tiks izstrādāti īpaši kopīgās lauksaimniecības politikas pasākumi, lai atbalstītu </w:t>
      </w:r>
      <w:r>
        <w:rPr>
          <w:rFonts w:ascii="Times New Roman" w:hAnsi="Times New Roman"/>
          <w:b/>
          <w:bCs/>
          <w:sz w:val="24"/>
        </w:rPr>
        <w:t>iekļaujošu bioekonomiku lauku rajonos</w:t>
      </w:r>
      <w:r>
        <w:rPr>
          <w:rFonts w:ascii="Times New Roman" w:hAnsi="Times New Roman"/>
          <w:sz w:val="24"/>
        </w:rPr>
        <w:t>. To mērķis ir saskaņā ar kopīgo lauksaimniecības politiku ciešāk sasaistīt valstu bioekonomikas stratēģiju un stratēģiskos plānus. Labas prakses izplatīšana, kas veicina bioekonomikas izvēršanu, ļaus primārajiem ražotājiem izmantot jaunu, sistēmisku bioekonomikas pieeju dāvātās iespējas.</w:t>
      </w:r>
    </w:p>
    <w:p w14:paraId="68CAD66A" w14:textId="77777777" w:rsidR="0083515C" w:rsidRPr="00DF28F7" w:rsidRDefault="0083515C" w:rsidP="00436FCA">
      <w:pPr>
        <w:pStyle w:val="BodyText"/>
        <w:numPr>
          <w:ilvl w:val="1"/>
          <w:numId w:val="62"/>
        </w:numPr>
        <w:ind w:left="709" w:hanging="283"/>
        <w:jc w:val="both"/>
        <w:rPr>
          <w:rFonts w:ascii="Times New Roman" w:hAnsi="Times New Roman"/>
          <w:noProof/>
          <w:sz w:val="24"/>
        </w:rPr>
      </w:pPr>
      <w:r>
        <w:rPr>
          <w:rFonts w:ascii="Times New Roman" w:hAnsi="Times New Roman"/>
          <w:b/>
          <w:bCs/>
          <w:sz w:val="24"/>
        </w:rPr>
        <w:t>Pilsētas bioekonomikas izmēģinājuma projekts</w:t>
      </w:r>
      <w:r>
        <w:rPr>
          <w:rFonts w:ascii="Times New Roman" w:hAnsi="Times New Roman"/>
          <w:sz w:val="24"/>
        </w:rPr>
        <w:t xml:space="preserve"> 10 Eiropas pilsētām radīs iespēju organiskos atkritumus no sabiedrības problēmas pārvērst vērtīgā resursā, kas izmantojams bioproduktu ražošanā. Turklāt, lai dažādotu ilgtspējīgus biomasas avotus un radītu jaunas uzņēmējdarbības iespējas, jāturpina attīstīt degradēto teritoriju atdzīvināšana un aprites bioekonomikas procesu un tehnoloģiju izmantošana pilsētu teritorijās.</w:t>
      </w:r>
    </w:p>
    <w:p w14:paraId="4890862F" w14:textId="77777777" w:rsidR="0083515C" w:rsidRPr="00DF28F7" w:rsidRDefault="0083515C" w:rsidP="00436FCA">
      <w:pPr>
        <w:pStyle w:val="BodyText"/>
        <w:numPr>
          <w:ilvl w:val="1"/>
          <w:numId w:val="62"/>
        </w:numPr>
        <w:ind w:left="709" w:hanging="283"/>
        <w:jc w:val="both"/>
        <w:rPr>
          <w:rFonts w:ascii="Times New Roman" w:hAnsi="Times New Roman"/>
          <w:noProof/>
          <w:sz w:val="24"/>
        </w:rPr>
      </w:pPr>
      <w:r>
        <w:rPr>
          <w:rFonts w:ascii="Times New Roman" w:hAnsi="Times New Roman"/>
          <w:b/>
          <w:bCs/>
          <w:sz w:val="24"/>
        </w:rPr>
        <w:t>Izmēģinājums īstenot oglekli piesaistošu lauksaimniecību</w:t>
      </w:r>
      <w:r>
        <w:rPr>
          <w:rFonts w:ascii="Times New Roman" w:hAnsi="Times New Roman"/>
          <w:sz w:val="24"/>
        </w:rPr>
        <w:t xml:space="preserve"> mudinās dalībvalstis izveidot fondu, kas iegādāsies oglekļa kredītus no lauksaimniekiem un meža īpašniekiem, kuri īsteno konkrētus projektus ar mērķi palielināt oglekļa piesaisti augsnē un biomasā un/vai samazināt emisijas lopkopības nozarē vai mēslojuma izmantošanā.</w:t>
      </w:r>
    </w:p>
    <w:p w14:paraId="6B78A591" w14:textId="77777777" w:rsidR="0083515C" w:rsidRPr="00DF28F7" w:rsidRDefault="0083515C" w:rsidP="00436FCA">
      <w:pPr>
        <w:pStyle w:val="BodyText"/>
        <w:numPr>
          <w:ilvl w:val="1"/>
          <w:numId w:val="62"/>
        </w:numPr>
        <w:ind w:left="709" w:hanging="283"/>
        <w:jc w:val="both"/>
        <w:rPr>
          <w:rFonts w:ascii="Times New Roman" w:hAnsi="Times New Roman"/>
          <w:noProof/>
          <w:sz w:val="24"/>
        </w:rPr>
      </w:pPr>
      <w:r>
        <w:rPr>
          <w:rFonts w:ascii="Times New Roman" w:hAnsi="Times New Roman"/>
          <w:b/>
          <w:sz w:val="24"/>
        </w:rPr>
        <w:t>Tiks izveidotas “dzīvās laboratorijas”, lai izstrādātu un izmēģinātu vietējus jauninājumus, kas balstās uz ekoloģiskām pieejām un atbilstību aprites principiem primārās ražošanas un pārtikas sistēmās.</w:t>
      </w:r>
      <w:r>
        <w:rPr>
          <w:rFonts w:ascii="Times New Roman" w:hAnsi="Times New Roman"/>
          <w:sz w:val="24"/>
        </w:rPr>
        <w:t xml:space="preserve"> Tas ļaus jauninājumus pielāgot vietas konkrētajām vajadzībām, iesaistot attiecīgās ieinteresētās puses un veicinot jauninājumu turpmāku akceptēšanu un ieviešanu.</w:t>
      </w:r>
    </w:p>
    <w:p w14:paraId="0E74AC7B" w14:textId="77777777" w:rsidR="00436FCA" w:rsidRDefault="00436FCA" w:rsidP="001F2648">
      <w:pPr>
        <w:pStyle w:val="BodyText"/>
        <w:ind w:left="0"/>
        <w:jc w:val="both"/>
        <w:rPr>
          <w:rFonts w:ascii="Times New Roman" w:hAnsi="Times New Roman"/>
          <w:noProof/>
          <w:sz w:val="24"/>
        </w:rPr>
      </w:pPr>
    </w:p>
    <w:p w14:paraId="2D09A774" w14:textId="77777777" w:rsidR="0083515C" w:rsidRPr="00DF28F7" w:rsidRDefault="0083515C" w:rsidP="001F2648">
      <w:pPr>
        <w:pStyle w:val="BodyText"/>
        <w:ind w:left="0"/>
        <w:jc w:val="both"/>
        <w:rPr>
          <w:rFonts w:ascii="Times New Roman" w:hAnsi="Times New Roman"/>
          <w:noProof/>
          <w:sz w:val="24"/>
          <w:szCs w:val="18"/>
        </w:rPr>
      </w:pPr>
      <w:r>
        <w:rPr>
          <w:rFonts w:ascii="Times New Roman" w:hAnsi="Times New Roman"/>
          <w:sz w:val="24"/>
        </w:rPr>
        <w:t xml:space="preserve">Lai panāktu, ka visām Eiropas Savienības teritorijām ir iespēja attīstīt savu bioekonomikas potenciālu, saskaņā ar “Apvārsnis 2020” tiks izveidots </w:t>
      </w:r>
      <w:r>
        <w:rPr>
          <w:rFonts w:ascii="Times New Roman" w:hAnsi="Times New Roman"/>
          <w:b/>
          <w:bCs/>
          <w:sz w:val="24"/>
        </w:rPr>
        <w:t>ES dalībvalstu bioekonomikas politikas atbalsta instruments</w:t>
      </w:r>
      <w:r>
        <w:rPr>
          <w:rFonts w:ascii="Times New Roman" w:hAnsi="Times New Roman"/>
          <w:sz w:val="24"/>
        </w:rPr>
        <w:t xml:space="preserve"> (2.3. darbība). Tas atbalstīs valstu un reģionu bioekonomikas </w:t>
      </w:r>
      <w:r>
        <w:rPr>
          <w:rFonts w:ascii="Times New Roman" w:hAnsi="Times New Roman"/>
          <w:sz w:val="24"/>
        </w:rPr>
        <w:lastRenderedPageBreak/>
        <w:t>stratēģijas izstrādi – arī attālos apgabalos, kandidātvalstīs un valstīs, kas pievienojas ES.</w:t>
      </w:r>
      <w:r w:rsidR="00436FCA">
        <w:rPr>
          <w:rStyle w:val="FootnoteReference"/>
          <w:rFonts w:ascii="Times New Roman" w:hAnsi="Times New Roman"/>
          <w:noProof/>
          <w:sz w:val="24"/>
        </w:rPr>
        <w:footnoteReference w:id="43"/>
      </w:r>
    </w:p>
    <w:p w14:paraId="6669CC87" w14:textId="77777777" w:rsidR="0083515C" w:rsidRPr="00DF28F7" w:rsidRDefault="0083515C" w:rsidP="00436FCA">
      <w:pPr>
        <w:tabs>
          <w:tab w:val="left" w:pos="2895"/>
        </w:tabs>
        <w:jc w:val="both"/>
        <w:rPr>
          <w:rFonts w:ascii="Times New Roman" w:eastAsia="Verdana" w:hAnsi="Times New Roman" w:cs="Verdana"/>
          <w:noProof/>
          <w:sz w:val="24"/>
          <w:szCs w:val="19"/>
        </w:rPr>
      </w:pPr>
    </w:p>
    <w:p w14:paraId="03D84A8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Jaunu un topošo bioekonomikas pieeju sistēmiskums un starpnozaru nozīme, un jaunas vērtības ķēdes prasīs jaunu </w:t>
      </w:r>
      <w:r>
        <w:rPr>
          <w:rFonts w:ascii="Times New Roman" w:hAnsi="Times New Roman"/>
          <w:b/>
          <w:bCs/>
          <w:sz w:val="24"/>
        </w:rPr>
        <w:t>izglītību un prasmes</w:t>
      </w:r>
      <w:r>
        <w:rPr>
          <w:rFonts w:ascii="Times New Roman" w:hAnsi="Times New Roman"/>
          <w:sz w:val="24"/>
        </w:rPr>
        <w:t xml:space="preserve"> (2.4. darbība). Tās jāpielāgo dažādajām vajadzībām dažādajās bioekonomikas nozarēs (piemēram, agroloģijas, biorafinēšanas, ekoloģijas un citu disciplīnu mijiedarbībā), lai tās spētu ātri un elastīgi reaģēt uz jaunām un arvien augošām bioekonomikas vajadzībām. Šo darbību veicinās profesionālās un augstākās izglītības programmu izmēģināšana, sociālo partneru iesaiste un uzņēmējdarbības programmu izstrāde.</w:t>
      </w:r>
    </w:p>
    <w:p w14:paraId="1BAF338C" w14:textId="77777777" w:rsidR="0083515C" w:rsidRPr="00DF28F7" w:rsidRDefault="0083515C" w:rsidP="001F2648">
      <w:pPr>
        <w:jc w:val="both"/>
        <w:rPr>
          <w:rFonts w:ascii="Times New Roman" w:hAnsi="Times New Roman"/>
          <w:noProof/>
          <w:sz w:val="24"/>
        </w:rPr>
      </w:pPr>
    </w:p>
    <w:p w14:paraId="2B593EED" w14:textId="77777777" w:rsidR="0083515C" w:rsidRPr="00DF28F7" w:rsidRDefault="0083515C" w:rsidP="001F2648">
      <w:pPr>
        <w:jc w:val="both"/>
        <w:rPr>
          <w:rFonts w:ascii="Times New Roman" w:hAnsi="Times New Roman"/>
          <w:noProof/>
          <w:sz w:val="24"/>
        </w:rPr>
      </w:pPr>
    </w:p>
    <w:p w14:paraId="19CFE55D" w14:textId="77777777" w:rsidR="0083515C" w:rsidRPr="00436FCA" w:rsidRDefault="00436FCA" w:rsidP="00436FCA">
      <w:pPr>
        <w:pStyle w:val="Heading2"/>
        <w:tabs>
          <w:tab w:val="left" w:pos="649"/>
        </w:tabs>
        <w:ind w:left="0" w:firstLine="0"/>
        <w:jc w:val="both"/>
        <w:rPr>
          <w:i/>
          <w:iCs/>
          <w:noProof/>
          <w:sz w:val="24"/>
        </w:rPr>
      </w:pPr>
      <w:bookmarkStart w:id="11" w:name="_TOC_250003"/>
      <w:bookmarkStart w:id="12" w:name="_Toc63672632"/>
      <w:r>
        <w:rPr>
          <w:i/>
          <w:sz w:val="24"/>
        </w:rPr>
        <w:t>4.3. Bioekonomikas ekoloģisko robežu izprašana</w:t>
      </w:r>
      <w:bookmarkEnd w:id="11"/>
      <w:bookmarkEnd w:id="12"/>
    </w:p>
    <w:p w14:paraId="579EDD67" w14:textId="77777777" w:rsidR="0083515C" w:rsidRPr="00DF28F7" w:rsidRDefault="0083515C" w:rsidP="001F2648">
      <w:pPr>
        <w:jc w:val="both"/>
        <w:rPr>
          <w:rFonts w:ascii="Times New Roman" w:eastAsia="Times New Roman" w:hAnsi="Times New Roman" w:cs="Times New Roman"/>
          <w:noProof/>
          <w:sz w:val="24"/>
          <w:szCs w:val="24"/>
        </w:rPr>
      </w:pPr>
    </w:p>
    <w:p w14:paraId="04A0903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Lai bioekonomika darbotos ilgtspējīgi, labāk jāizprot un jānovērtē tās iedarbība un ietekme uz mūsu planētas ekoloģiskajām robežām. Tas ir nepieciešams, lai attīstītu bioekonomiku tā, lai mazinātos spiediens uz vidi, tiktu augsti novērtēta un sargāta bioloģiskā daudzveidība un uzlabotos viss ekosistēmu pakalpojumu klāsts. Turpmāk minēto darbību mērķis ir paplašināt vispārējās zināšanas par bioekonomiku un tās novērošanu. Tās visas attiecas uz nepieciešamību dziļi izprast ilgtspējīgu biomasas krājumu robežas vietējā, reģionālā un globālā mērogā. Šī izpratne piešķirs lielāku jēgu citām stratēģijas operatīvajām darbībām. Šīs darbības nodrošinās pamatu, uz kura stiprināt sauszemes un jūras ekosistēmu noturību, vairot to bioloģisko daudzveidību un nodrošināt to ieguldījumu klimata pārmaiņu mazināšanā, mūsu uz fosilajiem energoresursiem balstīto ekonomiku tajā pašā laikā pārveidojot par ekonomiku, kas balstīta uz bioresursiem.</w:t>
      </w:r>
    </w:p>
    <w:p w14:paraId="1ECA2324" w14:textId="77777777" w:rsidR="0083515C" w:rsidRPr="00DF28F7" w:rsidRDefault="0083515C" w:rsidP="001F2648">
      <w:pPr>
        <w:jc w:val="both"/>
        <w:rPr>
          <w:rFonts w:ascii="Times New Roman" w:eastAsia="Verdana" w:hAnsi="Times New Roman" w:cs="Verdana"/>
          <w:noProof/>
          <w:sz w:val="24"/>
          <w:szCs w:val="19"/>
        </w:rPr>
      </w:pPr>
    </w:p>
    <w:p w14:paraId="4BB2F1A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Specifisku bioekonomikas jomu </w:t>
      </w:r>
      <w:r>
        <w:rPr>
          <w:rFonts w:ascii="Times New Roman" w:hAnsi="Times New Roman"/>
          <w:b/>
          <w:bCs/>
          <w:sz w:val="24"/>
        </w:rPr>
        <w:t>zināšanu bāzes</w:t>
      </w:r>
      <w:r>
        <w:rPr>
          <w:rFonts w:ascii="Times New Roman" w:hAnsi="Times New Roman"/>
          <w:sz w:val="24"/>
        </w:rPr>
        <w:t xml:space="preserve"> un </w:t>
      </w:r>
      <w:r>
        <w:rPr>
          <w:rFonts w:ascii="Times New Roman" w:hAnsi="Times New Roman"/>
          <w:b/>
          <w:bCs/>
          <w:sz w:val="24"/>
        </w:rPr>
        <w:t>izpratnes</w:t>
      </w:r>
      <w:r>
        <w:rPr>
          <w:rFonts w:ascii="Times New Roman" w:hAnsi="Times New Roman"/>
          <w:sz w:val="24"/>
        </w:rPr>
        <w:t xml:space="preserve"> vairošana (3.1. darbība) balstīsies uz </w:t>
      </w:r>
      <w:r>
        <w:rPr>
          <w:rFonts w:ascii="Times New Roman" w:hAnsi="Times New Roman"/>
          <w:b/>
          <w:bCs/>
          <w:sz w:val="24"/>
        </w:rPr>
        <w:t>datu apjoma palielināšanu, informācijas uzlabošanu</w:t>
      </w:r>
      <w:r>
        <w:rPr>
          <w:rFonts w:ascii="Times New Roman" w:hAnsi="Times New Roman"/>
          <w:sz w:val="24"/>
        </w:rPr>
        <w:t xml:space="preserve"> un </w:t>
      </w:r>
      <w:r>
        <w:rPr>
          <w:rFonts w:ascii="Times New Roman" w:hAnsi="Times New Roman"/>
          <w:b/>
          <w:bCs/>
          <w:sz w:val="24"/>
        </w:rPr>
        <w:t>datu un informācijas sistēmisku analīzi</w:t>
      </w:r>
      <w:r>
        <w:rPr>
          <w:rFonts w:ascii="Times New Roman" w:hAnsi="Times New Roman"/>
          <w:sz w:val="24"/>
        </w:rPr>
        <w:t xml:space="preserve"> (piemēram, ar mākslīgo intelektu), tostarp par turpmāk minēto:</w:t>
      </w:r>
    </w:p>
    <w:p w14:paraId="2AED316B" w14:textId="77777777" w:rsidR="0083515C" w:rsidRPr="00DF28F7" w:rsidRDefault="0083515C" w:rsidP="001F2648">
      <w:pPr>
        <w:jc w:val="both"/>
        <w:rPr>
          <w:rFonts w:ascii="Times New Roman" w:eastAsia="Verdana" w:hAnsi="Times New Roman" w:cs="Verdana"/>
          <w:noProof/>
          <w:sz w:val="24"/>
          <w:szCs w:val="20"/>
        </w:rPr>
      </w:pPr>
    </w:p>
    <w:p w14:paraId="688D8D9E" w14:textId="77777777" w:rsidR="0083515C" w:rsidRPr="00DF28F7" w:rsidRDefault="0083515C" w:rsidP="00A84DA3">
      <w:pPr>
        <w:pStyle w:val="BodyText"/>
        <w:numPr>
          <w:ilvl w:val="0"/>
          <w:numId w:val="2"/>
        </w:numPr>
        <w:ind w:left="709" w:hanging="283"/>
        <w:jc w:val="both"/>
        <w:rPr>
          <w:rFonts w:ascii="Times New Roman" w:hAnsi="Times New Roman"/>
          <w:noProof/>
          <w:sz w:val="24"/>
        </w:rPr>
      </w:pPr>
      <w:r>
        <w:rPr>
          <w:rFonts w:ascii="Times New Roman" w:hAnsi="Times New Roman"/>
          <w:sz w:val="24"/>
        </w:rPr>
        <w:t>Sauszemes (lauksaimniecības un meža) un jūras ekosistēmu stāvoklis un noturība, kā arī to bioloģiskā daudzveidība. Tas attiecas arī uz to sociālekonomiskajām izmaksām un ieguvumiem, kā arī spēju būt ilgtspējīgam vietējās biomasas avotam, piesaistīt oglekli un uzlabot noturību pret klimata pārmaiņām;</w:t>
      </w:r>
    </w:p>
    <w:p w14:paraId="197EC5A3" w14:textId="77777777" w:rsidR="0083515C" w:rsidRPr="00DF28F7" w:rsidRDefault="0083515C" w:rsidP="00A84DA3">
      <w:pPr>
        <w:pStyle w:val="BodyText"/>
        <w:numPr>
          <w:ilvl w:val="0"/>
          <w:numId w:val="2"/>
        </w:numPr>
        <w:ind w:left="709" w:hanging="283"/>
        <w:jc w:val="both"/>
        <w:rPr>
          <w:rFonts w:ascii="Times New Roman" w:hAnsi="Times New Roman"/>
          <w:noProof/>
          <w:sz w:val="24"/>
        </w:rPr>
      </w:pPr>
      <w:r>
        <w:rPr>
          <w:rFonts w:ascii="Times New Roman" w:hAnsi="Times New Roman"/>
          <w:sz w:val="24"/>
        </w:rPr>
        <w:t>Ilgtspējīga biomasas pieejamība, kā arī publiskā un privātā sektora investīcijas bioekonomikā.</w:t>
      </w:r>
    </w:p>
    <w:p w14:paraId="2F70AC86" w14:textId="77777777" w:rsidR="00436FCA" w:rsidRDefault="00436FCA" w:rsidP="001F2648">
      <w:pPr>
        <w:pStyle w:val="BodyText"/>
        <w:ind w:left="0"/>
        <w:jc w:val="both"/>
        <w:rPr>
          <w:rFonts w:ascii="Times New Roman" w:hAnsi="Times New Roman"/>
          <w:noProof/>
          <w:sz w:val="24"/>
        </w:rPr>
      </w:pPr>
    </w:p>
    <w:p w14:paraId="10974DE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Zināšanu bāzes uzlabošanā ietilps starpnozaru novērtēšana, modelēšana un scenāriji ar nākotnes perspektīvu. Bioekonomikas attīstība tiks sistemātiski pārraudzīta, lai nodrošinātu atbildīgu un iekļaujošu pārvaldību un saskanīgu politikas veidošanu. Lai atjaunotu sauszemes un jūras ekosistēmas, tiks pārraudzīta arī </w:t>
      </w:r>
      <w:r>
        <w:rPr>
          <w:rFonts w:ascii="Times New Roman" w:hAnsi="Times New Roman"/>
          <w:b/>
          <w:bCs/>
          <w:sz w:val="24"/>
        </w:rPr>
        <w:t>iedarbība uz bioloģiskās daudzveidības stāvokli, ekosistēmām, degradētām zemes platībām un klimata pārmaiņām</w:t>
      </w:r>
      <w:r>
        <w:rPr>
          <w:rFonts w:ascii="Times New Roman" w:hAnsi="Times New Roman"/>
          <w:sz w:val="24"/>
        </w:rPr>
        <w:t xml:space="preserve">. Komisija ES mērogos īstenos </w:t>
      </w:r>
      <w:r>
        <w:rPr>
          <w:rFonts w:ascii="Times New Roman" w:hAnsi="Times New Roman"/>
          <w:b/>
          <w:bCs/>
          <w:sz w:val="24"/>
        </w:rPr>
        <w:t>starptautiski saskanīgu pārraudzības sistēmu</w:t>
      </w:r>
      <w:r>
        <w:rPr>
          <w:rFonts w:ascii="Times New Roman" w:hAnsi="Times New Roman"/>
          <w:sz w:val="24"/>
        </w:rPr>
        <w:t xml:space="preserve"> (3.2. darbība), lai sekotu panākumiem ceļā uz ilgtspējīgu, aprites bioekonomiku Eiropā un balstītu ar to saistītās politikas jomas. Gūtās zināšanas tiks izmantotas, lai sniegtu fakultatīvi pildāmus norādījumus par </w:t>
      </w:r>
      <w:r>
        <w:rPr>
          <w:rFonts w:ascii="Times New Roman" w:hAnsi="Times New Roman"/>
          <w:b/>
          <w:bCs/>
          <w:sz w:val="24"/>
        </w:rPr>
        <w:t>bioekonomikas darbību drošās ekoloģiskās robežās</w:t>
      </w:r>
      <w:r>
        <w:rPr>
          <w:rFonts w:ascii="Times New Roman" w:hAnsi="Times New Roman"/>
          <w:sz w:val="24"/>
        </w:rPr>
        <w:t xml:space="preserve"> (3.3. darbība).</w:t>
      </w:r>
    </w:p>
    <w:p w14:paraId="17943365" w14:textId="77777777" w:rsidR="0083515C" w:rsidRPr="00DF28F7" w:rsidRDefault="0083515C" w:rsidP="001F2648">
      <w:pPr>
        <w:jc w:val="both"/>
        <w:rPr>
          <w:rFonts w:ascii="Times New Roman" w:eastAsia="Verdana" w:hAnsi="Times New Roman" w:cs="Verdana"/>
          <w:noProof/>
          <w:sz w:val="24"/>
          <w:szCs w:val="19"/>
        </w:rPr>
      </w:pPr>
    </w:p>
    <w:p w14:paraId="2B845E1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Ieguvumi no biodaudzveidīgām ekosistēmām tiks labāk integrēti primārajā ražošanā, </w:t>
      </w:r>
      <w:r>
        <w:rPr>
          <w:rFonts w:ascii="Times New Roman" w:hAnsi="Times New Roman"/>
          <w:sz w:val="24"/>
        </w:rPr>
        <w:lastRenderedPageBreak/>
        <w:t>izmantojot īpašu atbalstu agroekoloģijai, mikrobiomā balstītu risinājumu izstrādi, jaunus līdzekļus apputeksnētāju iekļaušanai vērtības ķēdēs un īpašu atbalstu agroekoloģijai (3.4. darbība).</w:t>
      </w:r>
    </w:p>
    <w:p w14:paraId="10198ABF" w14:textId="77777777" w:rsidR="0083515C" w:rsidRPr="00DF28F7" w:rsidRDefault="0083515C" w:rsidP="001F2648">
      <w:pPr>
        <w:jc w:val="both"/>
        <w:rPr>
          <w:rFonts w:ascii="Times New Roman" w:eastAsia="Verdana" w:hAnsi="Times New Roman" w:cs="Verdana"/>
          <w:noProof/>
          <w:sz w:val="24"/>
          <w:szCs w:val="19"/>
        </w:rPr>
      </w:pPr>
    </w:p>
    <w:p w14:paraId="3EEC695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Darbībās iegūtos datus un informāciju darīs publiski pieejamus caur Bioekonomikas zināšanu centru.</w:t>
      </w:r>
    </w:p>
    <w:p w14:paraId="0E9167E0" w14:textId="77777777" w:rsidR="0083515C" w:rsidRPr="00DF28F7" w:rsidRDefault="0083515C" w:rsidP="001F2648">
      <w:pPr>
        <w:jc w:val="both"/>
        <w:rPr>
          <w:rFonts w:ascii="Times New Roman" w:eastAsia="Verdana" w:hAnsi="Times New Roman" w:cs="Verdana"/>
          <w:noProof/>
          <w:sz w:val="24"/>
          <w:szCs w:val="18"/>
        </w:rPr>
      </w:pPr>
    </w:p>
    <w:p w14:paraId="7B4AC43A" w14:textId="77777777" w:rsidR="0083515C" w:rsidRPr="00DF28F7" w:rsidRDefault="0083515C" w:rsidP="001F2648">
      <w:pPr>
        <w:jc w:val="both"/>
        <w:rPr>
          <w:rFonts w:ascii="Times New Roman" w:eastAsia="Verdana" w:hAnsi="Times New Roman" w:cs="Verdana"/>
          <w:noProof/>
          <w:sz w:val="24"/>
          <w:szCs w:val="26"/>
        </w:rPr>
      </w:pPr>
    </w:p>
    <w:p w14:paraId="7E56ECB0" w14:textId="77777777" w:rsidR="0083515C" w:rsidRPr="00A84DA3" w:rsidRDefault="00A84DA3" w:rsidP="00A84DA3">
      <w:pPr>
        <w:pStyle w:val="Heading2"/>
        <w:tabs>
          <w:tab w:val="left" w:pos="669"/>
        </w:tabs>
        <w:ind w:left="0" w:firstLine="0"/>
        <w:jc w:val="both"/>
        <w:rPr>
          <w:b/>
          <w:bCs/>
          <w:noProof/>
          <w:sz w:val="24"/>
        </w:rPr>
      </w:pPr>
      <w:bookmarkStart w:id="13" w:name="_TOC_250002"/>
      <w:bookmarkStart w:id="14" w:name="_Toc63672633"/>
      <w:r>
        <w:rPr>
          <w:b/>
          <w:sz w:val="24"/>
        </w:rPr>
        <w:t>5. Nobeigums</w:t>
      </w:r>
      <w:bookmarkEnd w:id="13"/>
      <w:bookmarkEnd w:id="14"/>
    </w:p>
    <w:p w14:paraId="67C31372" w14:textId="77777777" w:rsidR="0083515C" w:rsidRPr="00DF28F7" w:rsidRDefault="0083515C" w:rsidP="001F2648">
      <w:pPr>
        <w:jc w:val="both"/>
        <w:rPr>
          <w:rFonts w:ascii="Times New Roman" w:eastAsia="Times New Roman" w:hAnsi="Times New Roman" w:cs="Times New Roman"/>
          <w:noProof/>
          <w:sz w:val="24"/>
          <w:szCs w:val="24"/>
        </w:rPr>
      </w:pPr>
    </w:p>
    <w:p w14:paraId="41CDF1D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Ierobežotie planētas bioloģiskie resursi un ekosistēmas ir būtiski cilvēku iztikai un nodrošina tīru ūdeni un lētu, tīru enerģiju. Ilgtspējīgai bioekonomikai ir liela nozīme klimata pārmaiņu un zemes un ekosistēmu degradācijas izraisīto problēmu risināšanā. Tā apmierinās pasaules iedzīvotāju skaita pieauguma izraisīto augošo pieprasījumu pēc pārtikas, lopbarības, enerģijas, izejvielām un produktiem un mazinās mūsu atkarību no neatjaunojamiem resursiem.</w:t>
      </w:r>
    </w:p>
    <w:p w14:paraId="14C31DB2" w14:textId="77777777" w:rsidR="0083515C" w:rsidRPr="00DF28F7" w:rsidRDefault="0083515C" w:rsidP="001F2648">
      <w:pPr>
        <w:jc w:val="both"/>
        <w:rPr>
          <w:rFonts w:ascii="Times New Roman" w:eastAsia="Verdana" w:hAnsi="Times New Roman" w:cs="Verdana"/>
          <w:noProof/>
          <w:sz w:val="24"/>
          <w:szCs w:val="19"/>
        </w:rPr>
      </w:pPr>
    </w:p>
    <w:p w14:paraId="1C56FAA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Ilgtspējīgas un aprites bioekonomikas ieviešana veicinās bioekonomikas nozaru konkurētspēju un atbalstīs jaunu vērtības ķēžu izveidi visā Eiropā, vienlaikus uzlabojot mūsu dabas resursu vispārējo stāvokli. Šāda bioekonomika balstīsies un smels spēku galvenokārt vietēji pieejamos ilgtspējīgos atjaunojamos resursos, kā arī sasniegumos zinātnē, tehnoloģijās un inovācijās, dažos no ES nozīmīgākajiem sektoriem un nozarēm sapludinot fizisko, digitālo un bioloģisko pasauli.</w:t>
      </w:r>
    </w:p>
    <w:p w14:paraId="4FDB7D7D" w14:textId="77777777" w:rsidR="00CF10CD" w:rsidRPr="00DF28F7" w:rsidRDefault="00CF10CD" w:rsidP="001F2648">
      <w:pPr>
        <w:jc w:val="both"/>
        <w:rPr>
          <w:rFonts w:ascii="Times New Roman" w:hAnsi="Times New Roman"/>
          <w:noProof/>
          <w:sz w:val="24"/>
        </w:rPr>
      </w:pPr>
    </w:p>
    <w:p w14:paraId="3269F88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Šajā stratēģijā ir ierosinātas darbības, kas atbalstīs lauku un piekrastes attīstību – arī attālos apgabalos, nodrošinot konkurētspējīgas un ilgtspējīgas bioekonomikas labumu samērīgāku sadali Eiropas teritorijās un vērtības ķēdēs. Šīs darbības nodrošinās, ka bioekonomika respektē planētas resursu robežas. Ilgtspējīgā bioekonomikā jāpiešķir pienācīga vērtība dabas resursiem, jāsamazina spiediens uz vidi un jāpalielina ilgtspējīgu atjaunojamo resursu izmantošana, jāatjauno un jāuzlabo ekosistēmu funkcijas un bioloģiskā daudzveidība. Tā veicinās ilgtspējīgākas aprites un bezatkritumu pārtikas sistēmas un primāro ražošanu uz sauszemes un jūrā.</w:t>
      </w:r>
    </w:p>
    <w:p w14:paraId="267138C1" w14:textId="77777777" w:rsidR="0083515C" w:rsidRPr="00DF28F7" w:rsidRDefault="0083515C" w:rsidP="001F2648">
      <w:pPr>
        <w:jc w:val="both"/>
        <w:rPr>
          <w:rFonts w:ascii="Times New Roman" w:eastAsia="Verdana" w:hAnsi="Times New Roman" w:cs="Verdana"/>
          <w:noProof/>
          <w:sz w:val="24"/>
          <w:szCs w:val="19"/>
        </w:rPr>
      </w:pPr>
    </w:p>
    <w:p w14:paraId="609AFD6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Ilgtspējīgas aprites bioekonomikas realizācija nozīmē to, ka mūsu saimnieciskā labklājība un mūsu vides veselība viena otru pastiprinās. Lai nodrošinātu ierosināto politisko mērķu faktisku īstenošanu, Komisija regulāri ziņos par rīcības plāna īstenošanas gaitu un apņemas koriģēt vai izbeigt darbības, kas neveicina stratēģijas mērķu apmierinošu sasniegšanu.</w:t>
      </w:r>
    </w:p>
    <w:p w14:paraId="34F96371" w14:textId="77777777" w:rsidR="00CF10CD" w:rsidRPr="00DF28F7" w:rsidRDefault="00CF10CD" w:rsidP="001F2648">
      <w:pPr>
        <w:jc w:val="both"/>
        <w:rPr>
          <w:rFonts w:ascii="Times New Roman" w:hAnsi="Times New Roman"/>
          <w:noProof/>
          <w:sz w:val="24"/>
        </w:rPr>
      </w:pPr>
    </w:p>
    <w:p w14:paraId="5E68B0E7" w14:textId="77777777" w:rsidR="00A84DA3" w:rsidRDefault="00A84DA3">
      <w:pPr>
        <w:rPr>
          <w:rFonts w:ascii="Times New Roman" w:hAnsi="Times New Roman"/>
          <w:noProof/>
          <w:sz w:val="24"/>
        </w:rPr>
      </w:pPr>
      <w:r>
        <w:br w:type="page"/>
      </w:r>
    </w:p>
    <w:p w14:paraId="7157795D" w14:textId="77777777" w:rsidR="0083515C" w:rsidRPr="00DF28F7" w:rsidRDefault="0083515C" w:rsidP="001F2648">
      <w:pPr>
        <w:jc w:val="both"/>
        <w:rPr>
          <w:rFonts w:ascii="Times New Roman" w:eastAsia="Verdana" w:hAnsi="Times New Roman" w:cs="Verdana"/>
          <w:noProof/>
          <w:sz w:val="24"/>
          <w:szCs w:val="6"/>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6304"/>
        <w:gridCol w:w="2824"/>
      </w:tblGrid>
      <w:tr w:rsidR="0083515C" w:rsidRPr="0088409F" w14:paraId="79E851E8" w14:textId="77777777" w:rsidTr="00A84DA3">
        <w:trPr>
          <w:trHeight w:val="684"/>
        </w:trPr>
        <w:tc>
          <w:tcPr>
            <w:tcW w:w="3453" w:type="pct"/>
            <w:tcBorders>
              <w:top w:val="nil"/>
              <w:left w:val="nil"/>
              <w:bottom w:val="nil"/>
              <w:right w:val="nil"/>
            </w:tcBorders>
            <w:shd w:val="clear" w:color="auto" w:fill="00AEEF"/>
            <w:vAlign w:val="center"/>
          </w:tcPr>
          <w:p w14:paraId="43D7D0C2" w14:textId="77777777" w:rsidR="0083515C" w:rsidRPr="0088409F" w:rsidRDefault="0083515C" w:rsidP="00A84DA3">
            <w:pPr>
              <w:pStyle w:val="TableParagraph"/>
              <w:rPr>
                <w:rFonts w:ascii="Times New Roman" w:hAnsi="Times New Roman"/>
                <w:b/>
                <w:bCs/>
                <w:noProof/>
                <w:color w:val="FFFFFF"/>
                <w:sz w:val="24"/>
                <w:szCs w:val="24"/>
              </w:rPr>
            </w:pPr>
            <w:r w:rsidRPr="0088409F">
              <w:rPr>
                <w:rFonts w:ascii="Times New Roman" w:hAnsi="Times New Roman"/>
                <w:b/>
                <w:color w:val="FFFFFF"/>
                <w:sz w:val="24"/>
                <w:szCs w:val="24"/>
              </w:rPr>
              <w:t>Darbības nosaukums</w:t>
            </w:r>
          </w:p>
        </w:tc>
        <w:tc>
          <w:tcPr>
            <w:tcW w:w="1547" w:type="pct"/>
            <w:tcBorders>
              <w:top w:val="nil"/>
              <w:left w:val="nil"/>
              <w:bottom w:val="nil"/>
              <w:right w:val="nil"/>
            </w:tcBorders>
            <w:shd w:val="clear" w:color="auto" w:fill="00AEEF"/>
            <w:vAlign w:val="center"/>
          </w:tcPr>
          <w:p w14:paraId="49707293" w14:textId="77777777" w:rsidR="0083515C" w:rsidRPr="0088409F" w:rsidRDefault="0083515C" w:rsidP="00A84DA3">
            <w:pPr>
              <w:pStyle w:val="TableParagraph"/>
              <w:rPr>
                <w:rFonts w:ascii="Times New Roman" w:hAnsi="Times New Roman"/>
                <w:b/>
                <w:bCs/>
                <w:noProof/>
                <w:color w:val="FFFFFF"/>
                <w:sz w:val="24"/>
                <w:szCs w:val="24"/>
              </w:rPr>
            </w:pPr>
            <w:r w:rsidRPr="0088409F">
              <w:rPr>
                <w:rFonts w:ascii="Times New Roman" w:hAnsi="Times New Roman"/>
                <w:b/>
                <w:color w:val="FFFFFF"/>
                <w:sz w:val="24"/>
                <w:szCs w:val="24"/>
              </w:rPr>
              <w:t>Veicējs</w:t>
            </w:r>
          </w:p>
        </w:tc>
      </w:tr>
      <w:tr w:rsidR="0083515C" w:rsidRPr="0088409F" w14:paraId="3C8136E6" w14:textId="77777777" w:rsidTr="00A84DA3">
        <w:trPr>
          <w:trHeight w:val="524"/>
        </w:trPr>
        <w:tc>
          <w:tcPr>
            <w:tcW w:w="5000" w:type="pct"/>
            <w:gridSpan w:val="2"/>
            <w:tcBorders>
              <w:top w:val="nil"/>
              <w:left w:val="nil"/>
              <w:bottom w:val="nil"/>
              <w:right w:val="nil"/>
            </w:tcBorders>
            <w:shd w:val="clear" w:color="auto" w:fill="F2F2F2"/>
          </w:tcPr>
          <w:p w14:paraId="609B2FAF" w14:textId="77777777" w:rsidR="0083515C" w:rsidRPr="0088409F" w:rsidRDefault="0083515C" w:rsidP="001F2648">
            <w:pPr>
              <w:pStyle w:val="TableParagraph"/>
              <w:jc w:val="both"/>
              <w:rPr>
                <w:rFonts w:ascii="Times New Roman" w:hAnsi="Times New Roman"/>
                <w:b/>
                <w:bCs/>
                <w:noProof/>
                <w:sz w:val="20"/>
                <w:szCs w:val="20"/>
              </w:rPr>
            </w:pPr>
            <w:r w:rsidRPr="0088409F">
              <w:rPr>
                <w:rFonts w:ascii="Times New Roman" w:hAnsi="Times New Roman"/>
                <w:b/>
                <w:sz w:val="20"/>
                <w:szCs w:val="20"/>
              </w:rPr>
              <w:t>1. Uz bioresursiem balstīto nozaru stiprināšana, investīciju un tirgu atraisīšana</w:t>
            </w:r>
          </w:p>
        </w:tc>
      </w:tr>
      <w:tr w:rsidR="0083515C" w:rsidRPr="0088409F" w14:paraId="61A8B847" w14:textId="77777777" w:rsidTr="00A84DA3">
        <w:trPr>
          <w:trHeight w:val="928"/>
        </w:trPr>
        <w:tc>
          <w:tcPr>
            <w:tcW w:w="3453" w:type="pct"/>
            <w:tcBorders>
              <w:top w:val="nil"/>
              <w:left w:val="nil"/>
              <w:bottom w:val="nil"/>
              <w:right w:val="nil"/>
            </w:tcBorders>
            <w:shd w:val="clear" w:color="auto" w:fill="F2F2F2"/>
          </w:tcPr>
          <w:p w14:paraId="4423E5BA"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1.1. Mobilizēt publiskā un privātā sektora ieinteresētās puses uz ilgtspējīgu, iekļaujošu un aprites uz bioresursiem balstītu risinājumu izpēti, demonstrējumiem un ieviešanu</w:t>
            </w:r>
          </w:p>
        </w:tc>
        <w:tc>
          <w:tcPr>
            <w:tcW w:w="1547" w:type="pct"/>
            <w:tcBorders>
              <w:top w:val="nil"/>
              <w:left w:val="nil"/>
              <w:bottom w:val="nil"/>
              <w:right w:val="nil"/>
            </w:tcBorders>
            <w:shd w:val="clear" w:color="auto" w:fill="F2F2F2"/>
          </w:tcPr>
          <w:p w14:paraId="3030F80C"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dalībvalstis un reģioni, ieinteresētās puses</w:t>
            </w:r>
          </w:p>
        </w:tc>
      </w:tr>
      <w:tr w:rsidR="0083515C" w:rsidRPr="0088409F" w14:paraId="368D0A94" w14:textId="77777777" w:rsidTr="00A84DA3">
        <w:trPr>
          <w:trHeight w:val="646"/>
        </w:trPr>
        <w:tc>
          <w:tcPr>
            <w:tcW w:w="3453" w:type="pct"/>
            <w:tcBorders>
              <w:top w:val="nil"/>
              <w:left w:val="nil"/>
              <w:bottom w:val="nil"/>
              <w:right w:val="nil"/>
            </w:tcBorders>
            <w:shd w:val="clear" w:color="auto" w:fill="F2F2F2"/>
          </w:tcPr>
          <w:p w14:paraId="20B2666B"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 xml:space="preserve">1.2. Iedarbināt aprites bioekonomikas tematiskās investīciju platformas ar 100 miljoniem </w:t>
            </w:r>
            <w:r w:rsidRPr="0088409F">
              <w:rPr>
                <w:rFonts w:ascii="Times New Roman" w:hAnsi="Times New Roman"/>
                <w:i/>
                <w:iCs/>
                <w:sz w:val="20"/>
                <w:szCs w:val="20"/>
              </w:rPr>
              <w:t>euro</w:t>
            </w:r>
          </w:p>
        </w:tc>
        <w:tc>
          <w:tcPr>
            <w:tcW w:w="1547" w:type="pct"/>
            <w:tcBorders>
              <w:top w:val="nil"/>
              <w:left w:val="nil"/>
              <w:bottom w:val="nil"/>
              <w:right w:val="nil"/>
            </w:tcBorders>
            <w:shd w:val="clear" w:color="auto" w:fill="F2F2F2"/>
          </w:tcPr>
          <w:p w14:paraId="770FDC8D"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w:t>
            </w:r>
          </w:p>
        </w:tc>
      </w:tr>
      <w:tr w:rsidR="0083515C" w:rsidRPr="0088409F" w14:paraId="373528EA" w14:textId="77777777" w:rsidTr="00A84DA3">
        <w:trPr>
          <w:trHeight w:val="799"/>
        </w:trPr>
        <w:tc>
          <w:tcPr>
            <w:tcW w:w="3453" w:type="pct"/>
            <w:tcBorders>
              <w:top w:val="nil"/>
              <w:left w:val="nil"/>
              <w:bottom w:val="nil"/>
              <w:right w:val="nil"/>
            </w:tcBorders>
            <w:shd w:val="clear" w:color="auto" w:fill="F2F2F2"/>
          </w:tcPr>
          <w:p w14:paraId="5BDBA542"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1.3. Pētījums un analīze par veicinātājfaktoriem un vājajām vietām, fakultatīvi norādījumi par tādu jauninājumu ieviešanu, kas ir balstīti uz bioresursiem.</w:t>
            </w:r>
          </w:p>
        </w:tc>
        <w:tc>
          <w:tcPr>
            <w:tcW w:w="1547" w:type="pct"/>
            <w:tcBorders>
              <w:top w:val="nil"/>
              <w:left w:val="nil"/>
              <w:bottom w:val="nil"/>
              <w:right w:val="nil"/>
            </w:tcBorders>
            <w:shd w:val="clear" w:color="auto" w:fill="F2F2F2"/>
          </w:tcPr>
          <w:p w14:paraId="145FB87C"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w:t>
            </w:r>
          </w:p>
        </w:tc>
      </w:tr>
      <w:tr w:rsidR="0083515C" w:rsidRPr="0088409F" w14:paraId="7374A4ED" w14:textId="77777777" w:rsidTr="00A84DA3">
        <w:trPr>
          <w:trHeight w:val="1222"/>
        </w:trPr>
        <w:tc>
          <w:tcPr>
            <w:tcW w:w="3453" w:type="pct"/>
            <w:tcBorders>
              <w:top w:val="nil"/>
              <w:left w:val="nil"/>
              <w:bottom w:val="nil"/>
              <w:right w:val="nil"/>
            </w:tcBorders>
            <w:shd w:val="clear" w:color="auto" w:fill="F2F2F2"/>
          </w:tcPr>
          <w:p w14:paraId="0D6F77DF"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1.4. Veicināt un/vai izstrādāt standartus un topošiem tirgiem vajadzīgos stimulus un uzlabot bioproduktiem piemērojamo marķējumu, pamatojoties uz ticamiem un salīdzināmiem datiem par ekoloģiskajiem un klimata raksturlielumiem</w:t>
            </w:r>
          </w:p>
        </w:tc>
        <w:tc>
          <w:tcPr>
            <w:tcW w:w="1547" w:type="pct"/>
            <w:tcBorders>
              <w:top w:val="nil"/>
              <w:left w:val="nil"/>
              <w:bottom w:val="nil"/>
              <w:right w:val="nil"/>
            </w:tcBorders>
            <w:shd w:val="clear" w:color="auto" w:fill="F2F2F2"/>
          </w:tcPr>
          <w:p w14:paraId="085657D8"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un dalībvalstis/ieinteresētās puses</w:t>
            </w:r>
          </w:p>
        </w:tc>
      </w:tr>
      <w:tr w:rsidR="0083515C" w:rsidRPr="0088409F" w14:paraId="41250680" w14:textId="77777777" w:rsidTr="00A84DA3">
        <w:trPr>
          <w:trHeight w:val="800"/>
        </w:trPr>
        <w:tc>
          <w:tcPr>
            <w:tcW w:w="3453" w:type="pct"/>
            <w:tcBorders>
              <w:top w:val="nil"/>
              <w:left w:val="nil"/>
              <w:bottom w:val="nil"/>
              <w:right w:val="nil"/>
            </w:tcBorders>
            <w:shd w:val="clear" w:color="auto" w:fill="F2F2F2"/>
          </w:tcPr>
          <w:p w14:paraId="5CE7FF6C" w14:textId="77777777" w:rsidR="0083515C" w:rsidRPr="0088409F" w:rsidRDefault="0083515C" w:rsidP="001F2648">
            <w:pPr>
              <w:pStyle w:val="TableParagraph"/>
              <w:jc w:val="both"/>
              <w:rPr>
                <w:rFonts w:ascii="Times New Roman" w:eastAsia="Verdana" w:hAnsi="Times New Roman" w:cs="Verdana"/>
                <w:noProof/>
                <w:sz w:val="20"/>
                <w:szCs w:val="20"/>
              </w:rPr>
            </w:pPr>
            <w:r w:rsidRPr="0088409F">
              <w:rPr>
                <w:rFonts w:ascii="Times New Roman" w:hAnsi="Times New Roman"/>
                <w:sz w:val="20"/>
                <w:szCs w:val="20"/>
              </w:rPr>
              <w:t>1.5. Atvieglināt jaunu, ilgtspējīgu biorafinēšanas iekārtu attīstību un apstiprināt tipu un gaidāmo potenciālu</w:t>
            </w:r>
            <w:r w:rsidR="00A84DA3" w:rsidRPr="0088409F">
              <w:rPr>
                <w:rStyle w:val="FootnoteReference"/>
                <w:rFonts w:ascii="Times New Roman" w:hAnsi="Times New Roman"/>
                <w:noProof/>
                <w:sz w:val="20"/>
                <w:szCs w:val="20"/>
              </w:rPr>
              <w:footnoteReference w:id="44"/>
            </w:r>
          </w:p>
        </w:tc>
        <w:tc>
          <w:tcPr>
            <w:tcW w:w="1547" w:type="pct"/>
            <w:tcBorders>
              <w:top w:val="nil"/>
              <w:left w:val="nil"/>
              <w:bottom w:val="nil"/>
              <w:right w:val="nil"/>
            </w:tcBorders>
            <w:shd w:val="clear" w:color="auto" w:fill="F2F2F2"/>
          </w:tcPr>
          <w:p w14:paraId="4B3EBEA8"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un dalībvalstis</w:t>
            </w:r>
          </w:p>
        </w:tc>
      </w:tr>
      <w:tr w:rsidR="0083515C" w:rsidRPr="0088409F" w14:paraId="056B12B9" w14:textId="77777777" w:rsidTr="00A84DA3">
        <w:tc>
          <w:tcPr>
            <w:tcW w:w="3453" w:type="pct"/>
            <w:tcBorders>
              <w:top w:val="nil"/>
              <w:left w:val="nil"/>
              <w:bottom w:val="nil"/>
              <w:right w:val="nil"/>
            </w:tcBorders>
            <w:shd w:val="clear" w:color="auto" w:fill="F2F2F2"/>
          </w:tcPr>
          <w:p w14:paraId="447743AD"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1.6. Ieguldīt pētniecībā un inovācijā, lai fosilajiem energoresursiem izveidotu aizstājējus, kas ir uz bioresursiem balstīti, pārstrādājami un bioloģiski noārdās jūras vidē, kā arī attīstītu bioloģiskās sanācijas metodes, mobilizējot galvenos dalībniekus attiecīgajās vērtības ķēdēs, ieskaitot plastmasas vērtības ķēdi, un veicināt no plastmasas atbrīvotu Eiropas jūru un okeānu veselību un produktivitāti.</w:t>
            </w:r>
          </w:p>
        </w:tc>
        <w:tc>
          <w:tcPr>
            <w:tcW w:w="1547" w:type="pct"/>
            <w:tcBorders>
              <w:top w:val="nil"/>
              <w:left w:val="nil"/>
              <w:bottom w:val="nil"/>
              <w:right w:val="nil"/>
            </w:tcBorders>
            <w:shd w:val="clear" w:color="auto" w:fill="F2F2F2"/>
          </w:tcPr>
          <w:p w14:paraId="2E6C2242"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ieinteresētās puses</w:t>
            </w:r>
          </w:p>
        </w:tc>
      </w:tr>
    </w:tbl>
    <w:p w14:paraId="77BA0764" w14:textId="77777777" w:rsidR="0083515C" w:rsidRPr="00DF28F7" w:rsidRDefault="0083515C" w:rsidP="001F2648">
      <w:pPr>
        <w:jc w:val="both"/>
        <w:rPr>
          <w:rFonts w:ascii="Times New Roman" w:eastAsia="Verdana" w:hAnsi="Times New Roman" w:cs="Verdana"/>
          <w:noProof/>
          <w:sz w:val="24"/>
          <w:szCs w:val="20"/>
        </w:rPr>
      </w:pPr>
    </w:p>
    <w:p w14:paraId="36BA6C68" w14:textId="77777777" w:rsidR="00A84DA3" w:rsidRDefault="00A84DA3">
      <w:pPr>
        <w:rPr>
          <w:rFonts w:ascii="Times New Roman" w:eastAsia="Verdana" w:hAnsi="Times New Roman" w:cs="Verdana"/>
          <w:noProof/>
          <w:sz w:val="24"/>
          <w:szCs w:val="20"/>
        </w:rPr>
      </w:pPr>
      <w:r>
        <w:br w:type="page"/>
      </w:r>
    </w:p>
    <w:p w14:paraId="28DDACF9" w14:textId="77777777" w:rsidR="0083515C" w:rsidRPr="00DF28F7" w:rsidRDefault="0083515C" w:rsidP="001F2648">
      <w:pPr>
        <w:jc w:val="both"/>
        <w:rPr>
          <w:rFonts w:ascii="Times New Roman" w:eastAsia="Times New Roman" w:hAnsi="Times New Roman" w:cs="Times New Roman"/>
          <w:noProof/>
          <w:sz w:val="24"/>
          <w:szCs w:val="25"/>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6306"/>
        <w:gridCol w:w="2822"/>
      </w:tblGrid>
      <w:tr w:rsidR="0083515C" w:rsidRPr="00DF28F7" w14:paraId="7400715A" w14:textId="77777777" w:rsidTr="00A84DA3">
        <w:trPr>
          <w:trHeight w:val="684"/>
        </w:trPr>
        <w:tc>
          <w:tcPr>
            <w:tcW w:w="3454" w:type="pct"/>
            <w:tcBorders>
              <w:top w:val="nil"/>
              <w:left w:val="nil"/>
              <w:bottom w:val="nil"/>
              <w:right w:val="nil"/>
            </w:tcBorders>
            <w:shd w:val="clear" w:color="auto" w:fill="00AEEF"/>
            <w:vAlign w:val="center"/>
          </w:tcPr>
          <w:p w14:paraId="5B41821B" w14:textId="77777777" w:rsidR="0083515C" w:rsidRPr="00A84DA3" w:rsidRDefault="0083515C" w:rsidP="00A84DA3">
            <w:pPr>
              <w:pStyle w:val="TableParagraph"/>
              <w:rPr>
                <w:rFonts w:ascii="Times New Roman" w:hAnsi="Times New Roman"/>
                <w:b/>
                <w:bCs/>
                <w:noProof/>
                <w:color w:val="FFFFFF"/>
                <w:sz w:val="24"/>
              </w:rPr>
            </w:pPr>
            <w:r>
              <w:rPr>
                <w:rFonts w:ascii="Times New Roman" w:hAnsi="Times New Roman"/>
                <w:b/>
                <w:color w:val="FFFFFF"/>
                <w:sz w:val="24"/>
              </w:rPr>
              <w:t>Darbības nosaukums</w:t>
            </w:r>
          </w:p>
        </w:tc>
        <w:tc>
          <w:tcPr>
            <w:tcW w:w="1546" w:type="pct"/>
            <w:tcBorders>
              <w:top w:val="nil"/>
              <w:left w:val="nil"/>
              <w:bottom w:val="nil"/>
              <w:right w:val="nil"/>
            </w:tcBorders>
            <w:shd w:val="clear" w:color="auto" w:fill="00AEEF"/>
            <w:vAlign w:val="center"/>
          </w:tcPr>
          <w:p w14:paraId="7B2921BE" w14:textId="77777777" w:rsidR="0083515C" w:rsidRPr="00A84DA3" w:rsidRDefault="0083515C" w:rsidP="00A84DA3">
            <w:pPr>
              <w:pStyle w:val="TableParagraph"/>
              <w:rPr>
                <w:rFonts w:ascii="Times New Roman" w:hAnsi="Times New Roman"/>
                <w:b/>
                <w:bCs/>
                <w:noProof/>
                <w:color w:val="FFFFFF"/>
                <w:sz w:val="24"/>
              </w:rPr>
            </w:pPr>
            <w:r>
              <w:rPr>
                <w:rFonts w:ascii="Times New Roman" w:hAnsi="Times New Roman"/>
                <w:b/>
                <w:color w:val="FFFFFF"/>
                <w:sz w:val="24"/>
              </w:rPr>
              <w:t>Veicējs</w:t>
            </w:r>
          </w:p>
        </w:tc>
      </w:tr>
      <w:tr w:rsidR="0083515C" w:rsidRPr="00DF28F7" w14:paraId="18E50F57" w14:textId="77777777" w:rsidTr="00A84DA3">
        <w:trPr>
          <w:trHeight w:val="382"/>
        </w:trPr>
        <w:tc>
          <w:tcPr>
            <w:tcW w:w="5000" w:type="pct"/>
            <w:gridSpan w:val="2"/>
            <w:tcBorders>
              <w:top w:val="nil"/>
              <w:left w:val="nil"/>
              <w:bottom w:val="nil"/>
              <w:right w:val="nil"/>
            </w:tcBorders>
            <w:shd w:val="clear" w:color="auto" w:fill="F2F2F2"/>
          </w:tcPr>
          <w:p w14:paraId="5009894C" w14:textId="77777777" w:rsidR="0083515C" w:rsidRPr="0088409F" w:rsidRDefault="0083515C" w:rsidP="001F2648">
            <w:pPr>
              <w:pStyle w:val="TableParagraph"/>
              <w:jc w:val="both"/>
              <w:rPr>
                <w:rFonts w:ascii="Times New Roman" w:hAnsi="Times New Roman"/>
                <w:b/>
                <w:bCs/>
                <w:noProof/>
                <w:sz w:val="20"/>
                <w:szCs w:val="20"/>
              </w:rPr>
            </w:pPr>
            <w:r w:rsidRPr="0088409F">
              <w:rPr>
                <w:rFonts w:ascii="Times New Roman" w:hAnsi="Times New Roman"/>
                <w:b/>
                <w:sz w:val="20"/>
                <w:szCs w:val="20"/>
              </w:rPr>
              <w:t>2. Vietējās bioekonomikas strauja izvēršana Eiropā</w:t>
            </w:r>
          </w:p>
        </w:tc>
      </w:tr>
      <w:tr w:rsidR="0083515C" w:rsidRPr="00DF28F7" w14:paraId="5C9F02B8" w14:textId="77777777" w:rsidTr="00A84DA3">
        <w:trPr>
          <w:trHeight w:val="896"/>
        </w:trPr>
        <w:tc>
          <w:tcPr>
            <w:tcW w:w="3454" w:type="pct"/>
            <w:tcBorders>
              <w:top w:val="nil"/>
              <w:left w:val="nil"/>
              <w:bottom w:val="nil"/>
              <w:right w:val="nil"/>
            </w:tcBorders>
            <w:shd w:val="clear" w:color="auto" w:fill="F2F2F2"/>
          </w:tcPr>
          <w:p w14:paraId="268A3135"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2.1. Stratēģiskās ieviešanas programma ilgtspējīgu pārtikas un lauksaimniecības sistēmu mežsaimniecības un uz bioresursiem balstītas ražošanas izveidei aprites bioekonomikā</w:t>
            </w:r>
          </w:p>
        </w:tc>
        <w:tc>
          <w:tcPr>
            <w:tcW w:w="1546" w:type="pct"/>
            <w:tcBorders>
              <w:top w:val="nil"/>
              <w:left w:val="nil"/>
              <w:bottom w:val="nil"/>
              <w:right w:val="nil"/>
            </w:tcBorders>
            <w:shd w:val="clear" w:color="auto" w:fill="F2F2F2"/>
          </w:tcPr>
          <w:p w14:paraId="1E8E855D"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dalībvalstis, privātais sektors, ieinteresētās puses</w:t>
            </w:r>
          </w:p>
        </w:tc>
      </w:tr>
      <w:tr w:rsidR="0083515C" w:rsidRPr="00DF28F7" w14:paraId="47DDD00B" w14:textId="77777777" w:rsidTr="00A84DA3">
        <w:trPr>
          <w:trHeight w:val="1110"/>
        </w:trPr>
        <w:tc>
          <w:tcPr>
            <w:tcW w:w="3454" w:type="pct"/>
            <w:tcBorders>
              <w:top w:val="nil"/>
              <w:left w:val="nil"/>
              <w:bottom w:val="nil"/>
              <w:right w:val="nil"/>
            </w:tcBorders>
            <w:shd w:val="clear" w:color="auto" w:fill="F2F2F2"/>
          </w:tcPr>
          <w:p w14:paraId="5B38470D"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2.2. Izmēģinājuma darbības vietējās (lauku, piekrastes, pilsētu) bioekonomikas izvēršanas atbalstam ar Komisijas instrumentiem un programmām</w:t>
            </w:r>
          </w:p>
        </w:tc>
        <w:tc>
          <w:tcPr>
            <w:tcW w:w="1546" w:type="pct"/>
            <w:tcBorders>
              <w:top w:val="nil"/>
              <w:left w:val="nil"/>
              <w:bottom w:val="nil"/>
              <w:right w:val="nil"/>
            </w:tcBorders>
            <w:shd w:val="clear" w:color="auto" w:fill="F2F2F2"/>
          </w:tcPr>
          <w:p w14:paraId="190AA161"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dalībvalstis, reģioni, pašvaldības un citas ieinteresētās puses</w:t>
            </w:r>
          </w:p>
        </w:tc>
      </w:tr>
      <w:tr w:rsidR="0083515C" w:rsidRPr="00DF28F7" w14:paraId="73433099" w14:textId="77777777" w:rsidTr="00A84DA3">
        <w:trPr>
          <w:trHeight w:val="661"/>
        </w:trPr>
        <w:tc>
          <w:tcPr>
            <w:tcW w:w="3454" w:type="pct"/>
            <w:tcBorders>
              <w:top w:val="nil"/>
              <w:left w:val="nil"/>
              <w:bottom w:val="nil"/>
              <w:right w:val="nil"/>
            </w:tcBorders>
            <w:shd w:val="clear" w:color="auto" w:fill="F2F2F2"/>
          </w:tcPr>
          <w:p w14:paraId="23830C9E"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2.3. Izveidot ES Bioekonomikas politikas atbalsta instrumentu un Eiropas Bioekonomikas forumu dalībvalstīm</w:t>
            </w:r>
          </w:p>
        </w:tc>
        <w:tc>
          <w:tcPr>
            <w:tcW w:w="1546" w:type="pct"/>
            <w:tcBorders>
              <w:top w:val="nil"/>
              <w:left w:val="nil"/>
              <w:bottom w:val="nil"/>
              <w:right w:val="nil"/>
            </w:tcBorders>
            <w:shd w:val="clear" w:color="auto" w:fill="F2F2F2"/>
          </w:tcPr>
          <w:p w14:paraId="7587BBF9"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un dalībvalstis</w:t>
            </w:r>
          </w:p>
        </w:tc>
      </w:tr>
      <w:tr w:rsidR="0083515C" w:rsidRPr="00DF28F7" w14:paraId="4A293CDF" w14:textId="77777777" w:rsidTr="00A84DA3">
        <w:tc>
          <w:tcPr>
            <w:tcW w:w="3454" w:type="pct"/>
            <w:tcBorders>
              <w:top w:val="nil"/>
              <w:left w:val="nil"/>
              <w:bottom w:val="nil"/>
              <w:right w:val="nil"/>
            </w:tcBorders>
            <w:shd w:val="clear" w:color="auto" w:fill="F2F2F2"/>
          </w:tcPr>
          <w:p w14:paraId="73AC4235"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2.4. Veicināt izglītību, apmācību un prasmes visā bioekonomikā</w:t>
            </w:r>
          </w:p>
        </w:tc>
        <w:tc>
          <w:tcPr>
            <w:tcW w:w="1546" w:type="pct"/>
            <w:tcBorders>
              <w:top w:val="nil"/>
              <w:left w:val="nil"/>
              <w:bottom w:val="nil"/>
              <w:right w:val="nil"/>
            </w:tcBorders>
            <w:shd w:val="clear" w:color="auto" w:fill="F2F2F2"/>
          </w:tcPr>
          <w:p w14:paraId="3274E95C" w14:textId="77777777" w:rsidR="0083515C" w:rsidRPr="0088409F" w:rsidRDefault="0083515C" w:rsidP="0088409F">
            <w:pPr>
              <w:pStyle w:val="TableParagraph"/>
              <w:ind w:left="218"/>
              <w:jc w:val="both"/>
              <w:rPr>
                <w:rFonts w:ascii="Times New Roman" w:hAnsi="Times New Roman"/>
                <w:noProof/>
                <w:sz w:val="20"/>
                <w:szCs w:val="20"/>
              </w:rPr>
            </w:pPr>
            <w:r w:rsidRPr="0088409F">
              <w:rPr>
                <w:rFonts w:ascii="Times New Roman" w:hAnsi="Times New Roman"/>
                <w:sz w:val="20"/>
                <w:szCs w:val="20"/>
              </w:rPr>
              <w:t>Komisija un dalībvalstis</w:t>
            </w:r>
          </w:p>
        </w:tc>
      </w:tr>
    </w:tbl>
    <w:p w14:paraId="2B1117AC" w14:textId="77777777" w:rsidR="0083515C" w:rsidRPr="00DF28F7" w:rsidRDefault="0083515C" w:rsidP="001F2648">
      <w:pPr>
        <w:jc w:val="both"/>
        <w:rPr>
          <w:rFonts w:ascii="Times New Roman" w:eastAsia="Times New Roman" w:hAnsi="Times New Roman" w:cs="Times New Roman"/>
          <w:noProof/>
          <w:sz w:val="24"/>
          <w:szCs w:val="20"/>
        </w:rPr>
      </w:pPr>
    </w:p>
    <w:p w14:paraId="49C5E119" w14:textId="77777777" w:rsidR="0083515C" w:rsidRPr="00DF28F7" w:rsidRDefault="0083515C" w:rsidP="001F2648">
      <w:pPr>
        <w:jc w:val="both"/>
        <w:rPr>
          <w:rFonts w:ascii="Times New Roman" w:eastAsia="Times New Roman" w:hAnsi="Times New Roman" w:cs="Times New Roman"/>
          <w:noProof/>
          <w:sz w:val="24"/>
          <w:szCs w:val="20"/>
        </w:rPr>
      </w:pPr>
    </w:p>
    <w:p w14:paraId="47595E17" w14:textId="77777777" w:rsidR="0083515C" w:rsidRPr="00DF28F7" w:rsidRDefault="0083515C" w:rsidP="001F2648">
      <w:pPr>
        <w:jc w:val="both"/>
        <w:rPr>
          <w:rFonts w:ascii="Times New Roman" w:eastAsia="Times New Roman" w:hAnsi="Times New Roman" w:cs="Times New Roman"/>
          <w:noProof/>
          <w:sz w:val="24"/>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6317"/>
        <w:gridCol w:w="2811"/>
      </w:tblGrid>
      <w:tr w:rsidR="0083515C" w:rsidRPr="00DF28F7" w14:paraId="4F0E6F4F" w14:textId="77777777" w:rsidTr="00A84DA3">
        <w:trPr>
          <w:trHeight w:val="775"/>
        </w:trPr>
        <w:tc>
          <w:tcPr>
            <w:tcW w:w="3460" w:type="pct"/>
            <w:tcBorders>
              <w:top w:val="nil"/>
              <w:left w:val="nil"/>
              <w:bottom w:val="nil"/>
              <w:right w:val="nil"/>
            </w:tcBorders>
            <w:shd w:val="clear" w:color="auto" w:fill="00AEEF"/>
            <w:vAlign w:val="center"/>
          </w:tcPr>
          <w:p w14:paraId="4A7B624F" w14:textId="77777777" w:rsidR="0083515C" w:rsidRPr="00A84DA3" w:rsidRDefault="0083515C" w:rsidP="00A84DA3">
            <w:pPr>
              <w:pStyle w:val="TableParagraph"/>
              <w:rPr>
                <w:rFonts w:ascii="Times New Roman" w:hAnsi="Times New Roman"/>
                <w:b/>
                <w:bCs/>
                <w:noProof/>
                <w:color w:val="FFFFFF"/>
                <w:sz w:val="24"/>
              </w:rPr>
            </w:pPr>
            <w:r>
              <w:rPr>
                <w:rFonts w:ascii="Times New Roman" w:hAnsi="Times New Roman"/>
                <w:b/>
                <w:color w:val="FFFFFF"/>
                <w:sz w:val="24"/>
              </w:rPr>
              <w:t>Darbības nosaukums</w:t>
            </w:r>
          </w:p>
        </w:tc>
        <w:tc>
          <w:tcPr>
            <w:tcW w:w="1540" w:type="pct"/>
            <w:tcBorders>
              <w:top w:val="nil"/>
              <w:left w:val="nil"/>
              <w:bottom w:val="nil"/>
              <w:right w:val="nil"/>
            </w:tcBorders>
            <w:shd w:val="clear" w:color="auto" w:fill="00AEEF"/>
            <w:vAlign w:val="center"/>
          </w:tcPr>
          <w:p w14:paraId="7A775540" w14:textId="77777777" w:rsidR="0083515C" w:rsidRPr="00A84DA3" w:rsidRDefault="0083515C" w:rsidP="00A84DA3">
            <w:pPr>
              <w:pStyle w:val="TableParagraph"/>
              <w:rPr>
                <w:rFonts w:ascii="Times New Roman" w:hAnsi="Times New Roman"/>
                <w:b/>
                <w:bCs/>
                <w:noProof/>
                <w:color w:val="FFFFFF"/>
                <w:sz w:val="24"/>
              </w:rPr>
            </w:pPr>
            <w:r>
              <w:rPr>
                <w:rFonts w:ascii="Times New Roman" w:hAnsi="Times New Roman"/>
                <w:b/>
                <w:color w:val="FFFFFF"/>
                <w:sz w:val="24"/>
              </w:rPr>
              <w:t>Veicējs</w:t>
            </w:r>
          </w:p>
        </w:tc>
      </w:tr>
      <w:tr w:rsidR="0083515C" w:rsidRPr="00DF28F7" w14:paraId="2C1F2D2A" w14:textId="77777777" w:rsidTr="00A84DA3">
        <w:trPr>
          <w:trHeight w:val="439"/>
        </w:trPr>
        <w:tc>
          <w:tcPr>
            <w:tcW w:w="5000" w:type="pct"/>
            <w:gridSpan w:val="2"/>
            <w:tcBorders>
              <w:top w:val="nil"/>
              <w:left w:val="nil"/>
              <w:bottom w:val="nil"/>
              <w:right w:val="nil"/>
            </w:tcBorders>
            <w:shd w:val="clear" w:color="auto" w:fill="F2F2F2"/>
          </w:tcPr>
          <w:p w14:paraId="77D11BA9" w14:textId="77777777" w:rsidR="0083515C" w:rsidRPr="0088409F" w:rsidRDefault="0083515C" w:rsidP="001F2648">
            <w:pPr>
              <w:pStyle w:val="TableParagraph"/>
              <w:jc w:val="both"/>
              <w:rPr>
                <w:rFonts w:ascii="Times New Roman" w:hAnsi="Times New Roman"/>
                <w:b/>
                <w:bCs/>
                <w:noProof/>
                <w:sz w:val="20"/>
                <w:szCs w:val="20"/>
              </w:rPr>
            </w:pPr>
            <w:r w:rsidRPr="0088409F">
              <w:rPr>
                <w:rFonts w:ascii="Times New Roman" w:hAnsi="Times New Roman"/>
                <w:b/>
                <w:sz w:val="20"/>
                <w:szCs w:val="20"/>
              </w:rPr>
              <w:t>3. Bioekonomikas ekoloģisko robežu izprašana</w:t>
            </w:r>
          </w:p>
        </w:tc>
      </w:tr>
      <w:tr w:rsidR="0083515C" w:rsidRPr="00DF28F7" w14:paraId="06F39D2F" w14:textId="77777777" w:rsidTr="00A84DA3">
        <w:trPr>
          <w:trHeight w:val="1252"/>
        </w:trPr>
        <w:tc>
          <w:tcPr>
            <w:tcW w:w="3460" w:type="pct"/>
            <w:tcBorders>
              <w:top w:val="nil"/>
              <w:left w:val="nil"/>
              <w:bottom w:val="nil"/>
              <w:right w:val="nil"/>
            </w:tcBorders>
            <w:shd w:val="clear" w:color="auto" w:fill="F2F2F2"/>
          </w:tcPr>
          <w:p w14:paraId="43146705"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3.1. Uzlabot zināšanas par bioekonomiku, arī par bioloģisko daudzveidību un ekosistēmām, izvērst to drošās ekoloģiskās robežās un darīt to pieejamu, izmantojot Bioekonomikas zināšanu centru</w:t>
            </w:r>
          </w:p>
        </w:tc>
        <w:tc>
          <w:tcPr>
            <w:tcW w:w="1540" w:type="pct"/>
            <w:tcBorders>
              <w:top w:val="nil"/>
              <w:left w:val="nil"/>
              <w:bottom w:val="nil"/>
              <w:right w:val="nil"/>
            </w:tcBorders>
            <w:shd w:val="clear" w:color="auto" w:fill="F2F2F2"/>
          </w:tcPr>
          <w:p w14:paraId="00C0FE97" w14:textId="77777777" w:rsidR="0083515C" w:rsidRPr="0088409F" w:rsidRDefault="0083515C" w:rsidP="0088409F">
            <w:pPr>
              <w:pStyle w:val="TableParagraph"/>
              <w:ind w:left="200"/>
              <w:jc w:val="both"/>
              <w:rPr>
                <w:rFonts w:ascii="Times New Roman" w:hAnsi="Times New Roman"/>
                <w:noProof/>
                <w:sz w:val="20"/>
                <w:szCs w:val="20"/>
              </w:rPr>
            </w:pPr>
            <w:r w:rsidRPr="0088409F">
              <w:rPr>
                <w:rFonts w:ascii="Times New Roman" w:hAnsi="Times New Roman"/>
                <w:sz w:val="20"/>
                <w:szCs w:val="20"/>
              </w:rPr>
              <w:t xml:space="preserve">Komisija, dalībvalstis, starptautiskās organizācijas, </w:t>
            </w:r>
            <w:r w:rsidRPr="0088409F">
              <w:rPr>
                <w:rFonts w:ascii="Times New Roman" w:hAnsi="Times New Roman"/>
                <w:i/>
                <w:iCs/>
                <w:sz w:val="20"/>
                <w:szCs w:val="20"/>
              </w:rPr>
              <w:t>IPBES</w:t>
            </w:r>
          </w:p>
        </w:tc>
      </w:tr>
      <w:tr w:rsidR="0083515C" w:rsidRPr="00DF28F7" w14:paraId="789DCB26" w14:textId="77777777" w:rsidTr="00A84DA3">
        <w:trPr>
          <w:trHeight w:val="1212"/>
        </w:trPr>
        <w:tc>
          <w:tcPr>
            <w:tcW w:w="3460" w:type="pct"/>
            <w:tcBorders>
              <w:top w:val="nil"/>
              <w:left w:val="nil"/>
              <w:bottom w:val="nil"/>
              <w:right w:val="nil"/>
            </w:tcBorders>
            <w:shd w:val="clear" w:color="auto" w:fill="F2F2F2"/>
          </w:tcPr>
          <w:p w14:paraId="4AE1BBA3"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3.2. Palielināt novērošanas, mērīšanas, pārraudzīšanas un ziņošanas spējas un izveidot ES mēroga starptautiski saskanīgu novērošanas sistēmu, lai izsekotu ekonomisko, vides un sociālo attīstību virzībā uz ilgtspējīgu bioekonomiku</w:t>
            </w:r>
          </w:p>
        </w:tc>
        <w:tc>
          <w:tcPr>
            <w:tcW w:w="1540" w:type="pct"/>
            <w:tcBorders>
              <w:top w:val="nil"/>
              <w:left w:val="nil"/>
              <w:bottom w:val="nil"/>
              <w:right w:val="nil"/>
            </w:tcBorders>
            <w:shd w:val="clear" w:color="auto" w:fill="F2F2F2"/>
          </w:tcPr>
          <w:p w14:paraId="50E83DF5" w14:textId="77777777" w:rsidR="0083515C" w:rsidRPr="0088409F" w:rsidRDefault="0083515C" w:rsidP="0088409F">
            <w:pPr>
              <w:pStyle w:val="TableParagraph"/>
              <w:ind w:left="200"/>
              <w:jc w:val="both"/>
              <w:rPr>
                <w:rFonts w:ascii="Times New Roman" w:hAnsi="Times New Roman"/>
                <w:noProof/>
                <w:sz w:val="20"/>
                <w:szCs w:val="20"/>
              </w:rPr>
            </w:pPr>
            <w:r w:rsidRPr="0088409F">
              <w:rPr>
                <w:rFonts w:ascii="Times New Roman" w:hAnsi="Times New Roman"/>
                <w:sz w:val="20"/>
                <w:szCs w:val="20"/>
              </w:rPr>
              <w:t>Komisija, dalībvalstis, privātais sektors</w:t>
            </w:r>
          </w:p>
        </w:tc>
      </w:tr>
      <w:tr w:rsidR="0083515C" w:rsidRPr="00DF28F7" w14:paraId="3159DB88" w14:textId="77777777" w:rsidTr="00A84DA3">
        <w:trPr>
          <w:trHeight w:val="619"/>
        </w:trPr>
        <w:tc>
          <w:tcPr>
            <w:tcW w:w="3460" w:type="pct"/>
            <w:tcBorders>
              <w:top w:val="nil"/>
              <w:left w:val="nil"/>
              <w:bottom w:val="nil"/>
              <w:right w:val="nil"/>
            </w:tcBorders>
            <w:shd w:val="clear" w:color="auto" w:fill="F2F2F2"/>
          </w:tcPr>
          <w:p w14:paraId="58876744"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3.3. Fakultatīvi norādījumi par bioekonomikas darbību drošās ekoloģiskās robežās</w:t>
            </w:r>
          </w:p>
        </w:tc>
        <w:tc>
          <w:tcPr>
            <w:tcW w:w="1540" w:type="pct"/>
            <w:tcBorders>
              <w:top w:val="nil"/>
              <w:left w:val="nil"/>
              <w:bottom w:val="nil"/>
              <w:right w:val="nil"/>
            </w:tcBorders>
            <w:shd w:val="clear" w:color="auto" w:fill="F2F2F2"/>
          </w:tcPr>
          <w:p w14:paraId="5D917C49" w14:textId="77777777" w:rsidR="0083515C" w:rsidRPr="0088409F" w:rsidRDefault="0083515C" w:rsidP="0088409F">
            <w:pPr>
              <w:pStyle w:val="TableParagraph"/>
              <w:ind w:left="200"/>
              <w:jc w:val="both"/>
              <w:rPr>
                <w:rFonts w:ascii="Times New Roman" w:hAnsi="Times New Roman"/>
                <w:noProof/>
                <w:sz w:val="20"/>
                <w:szCs w:val="20"/>
              </w:rPr>
            </w:pPr>
            <w:r w:rsidRPr="0088409F">
              <w:rPr>
                <w:rFonts w:ascii="Times New Roman" w:hAnsi="Times New Roman"/>
                <w:sz w:val="20"/>
                <w:szCs w:val="20"/>
              </w:rPr>
              <w:t>Komisija</w:t>
            </w:r>
          </w:p>
        </w:tc>
      </w:tr>
      <w:tr w:rsidR="0083515C" w:rsidRPr="00DF28F7" w14:paraId="5DCBE963" w14:textId="77777777" w:rsidTr="00A84DA3">
        <w:tc>
          <w:tcPr>
            <w:tcW w:w="3460" w:type="pct"/>
            <w:tcBorders>
              <w:top w:val="nil"/>
              <w:left w:val="nil"/>
              <w:bottom w:val="nil"/>
              <w:right w:val="nil"/>
            </w:tcBorders>
            <w:shd w:val="clear" w:color="auto" w:fill="F2F2F2"/>
          </w:tcPr>
          <w:p w14:paraId="5F47B02B" w14:textId="77777777" w:rsidR="0083515C" w:rsidRPr="0088409F" w:rsidRDefault="0083515C" w:rsidP="001F2648">
            <w:pPr>
              <w:pStyle w:val="TableParagraph"/>
              <w:jc w:val="both"/>
              <w:rPr>
                <w:rFonts w:ascii="Times New Roman" w:hAnsi="Times New Roman"/>
                <w:noProof/>
                <w:sz w:val="20"/>
                <w:szCs w:val="20"/>
              </w:rPr>
            </w:pPr>
            <w:r w:rsidRPr="0088409F">
              <w:rPr>
                <w:rFonts w:ascii="Times New Roman" w:hAnsi="Times New Roman"/>
                <w:sz w:val="20"/>
                <w:szCs w:val="20"/>
              </w:rPr>
              <w:t>3.4. Labāk integrēt ieguvumu no biodaudzveidīgām ekosistēmām primārajā ražošanā ar īpašu atbalstu agroekoloģijai, mikrobiomā balstītu risinājumu izstrādei un jauniem līdzekļiem apputeksnētāju integrēšanai piegādes vērtības ķēdēs</w:t>
            </w:r>
          </w:p>
        </w:tc>
        <w:tc>
          <w:tcPr>
            <w:tcW w:w="1540" w:type="pct"/>
            <w:tcBorders>
              <w:top w:val="nil"/>
              <w:left w:val="nil"/>
              <w:bottom w:val="nil"/>
              <w:right w:val="nil"/>
            </w:tcBorders>
            <w:shd w:val="clear" w:color="auto" w:fill="F2F2F2"/>
          </w:tcPr>
          <w:p w14:paraId="5C3E5190" w14:textId="77777777" w:rsidR="0083515C" w:rsidRPr="0088409F" w:rsidRDefault="0083515C" w:rsidP="0088409F">
            <w:pPr>
              <w:pStyle w:val="TableParagraph"/>
              <w:ind w:left="200"/>
              <w:jc w:val="both"/>
              <w:rPr>
                <w:rFonts w:ascii="Times New Roman" w:hAnsi="Times New Roman"/>
                <w:noProof/>
                <w:sz w:val="20"/>
                <w:szCs w:val="20"/>
              </w:rPr>
            </w:pPr>
            <w:r w:rsidRPr="0088409F">
              <w:rPr>
                <w:rFonts w:ascii="Times New Roman" w:hAnsi="Times New Roman"/>
                <w:sz w:val="20"/>
                <w:szCs w:val="20"/>
              </w:rPr>
              <w:t>Komisija, dalībvalstis, privātās ieinteresētās puses</w:t>
            </w:r>
          </w:p>
        </w:tc>
      </w:tr>
    </w:tbl>
    <w:p w14:paraId="72C56044" w14:textId="77777777" w:rsidR="00CF10CD" w:rsidRPr="00DF28F7" w:rsidRDefault="00CF10CD" w:rsidP="001F2648">
      <w:pPr>
        <w:jc w:val="both"/>
        <w:rPr>
          <w:rFonts w:ascii="Times New Roman" w:eastAsia="Verdana" w:hAnsi="Times New Roman" w:cs="Verdana"/>
          <w:noProof/>
          <w:sz w:val="24"/>
          <w:szCs w:val="14"/>
        </w:rPr>
      </w:pPr>
    </w:p>
    <w:p w14:paraId="190B00B9" w14:textId="77777777" w:rsidR="00A84DA3" w:rsidRDefault="00A84DA3">
      <w:pPr>
        <w:rPr>
          <w:rFonts w:ascii="Times New Roman" w:eastAsia="Times New Roman" w:hAnsi="Times New Roman" w:cs="Times New Roman"/>
          <w:noProof/>
          <w:sz w:val="24"/>
          <w:szCs w:val="17"/>
        </w:rPr>
      </w:pPr>
      <w:r>
        <w:br w:type="page"/>
      </w:r>
    </w:p>
    <w:p w14:paraId="562781F6" w14:textId="4CB1BA12" w:rsidR="0083515C" w:rsidRDefault="0083515C" w:rsidP="001F2648">
      <w:pPr>
        <w:jc w:val="both"/>
        <w:rPr>
          <w:rFonts w:ascii="Times New Roman" w:eastAsia="Times New Roman" w:hAnsi="Times New Roman" w:cs="Times New Roman"/>
          <w:noProof/>
          <w:sz w:val="24"/>
          <w:szCs w:val="25"/>
        </w:rPr>
      </w:pPr>
    </w:p>
    <w:p w14:paraId="593C2A11" w14:textId="7426ACBC" w:rsidR="0088409F" w:rsidRDefault="0088409F" w:rsidP="001F2648">
      <w:pPr>
        <w:jc w:val="both"/>
        <w:rPr>
          <w:rFonts w:ascii="Times New Roman" w:eastAsia="Times New Roman" w:hAnsi="Times New Roman" w:cs="Times New Roman"/>
          <w:noProof/>
          <w:sz w:val="24"/>
          <w:szCs w:val="25"/>
        </w:rPr>
      </w:pPr>
    </w:p>
    <w:p w14:paraId="0ABD8AFB" w14:textId="73D88019" w:rsidR="0088409F" w:rsidRDefault="0088409F" w:rsidP="001F2648">
      <w:pPr>
        <w:jc w:val="both"/>
        <w:rPr>
          <w:rFonts w:ascii="Times New Roman" w:eastAsia="Times New Roman" w:hAnsi="Times New Roman" w:cs="Times New Roman"/>
          <w:noProof/>
          <w:sz w:val="24"/>
          <w:szCs w:val="25"/>
        </w:rPr>
      </w:pPr>
    </w:p>
    <w:p w14:paraId="53B73804" w14:textId="53FFF023" w:rsidR="0088409F" w:rsidRDefault="0088409F" w:rsidP="001F2648">
      <w:pPr>
        <w:jc w:val="both"/>
        <w:rPr>
          <w:rFonts w:ascii="Times New Roman" w:eastAsia="Times New Roman" w:hAnsi="Times New Roman" w:cs="Times New Roman"/>
          <w:noProof/>
          <w:sz w:val="24"/>
          <w:szCs w:val="25"/>
        </w:rPr>
      </w:pPr>
    </w:p>
    <w:p w14:paraId="1CAC5DE9" w14:textId="1F38E02A" w:rsidR="0088409F" w:rsidRDefault="0088409F" w:rsidP="001F2648">
      <w:pPr>
        <w:jc w:val="both"/>
        <w:rPr>
          <w:rFonts w:ascii="Times New Roman" w:eastAsia="Times New Roman" w:hAnsi="Times New Roman" w:cs="Times New Roman"/>
          <w:noProof/>
          <w:sz w:val="24"/>
          <w:szCs w:val="25"/>
        </w:rPr>
      </w:pPr>
    </w:p>
    <w:p w14:paraId="63FC70CA" w14:textId="73E97623" w:rsidR="0088409F" w:rsidRDefault="0088409F" w:rsidP="001F2648">
      <w:pPr>
        <w:jc w:val="both"/>
        <w:rPr>
          <w:rFonts w:ascii="Times New Roman" w:eastAsia="Times New Roman" w:hAnsi="Times New Roman" w:cs="Times New Roman"/>
          <w:noProof/>
          <w:sz w:val="24"/>
          <w:szCs w:val="25"/>
        </w:rPr>
      </w:pPr>
    </w:p>
    <w:p w14:paraId="5E660A1C" w14:textId="12A1C14C" w:rsidR="0088409F" w:rsidRDefault="0088409F" w:rsidP="001F2648">
      <w:pPr>
        <w:jc w:val="both"/>
        <w:rPr>
          <w:rFonts w:ascii="Times New Roman" w:eastAsia="Times New Roman" w:hAnsi="Times New Roman" w:cs="Times New Roman"/>
          <w:noProof/>
          <w:sz w:val="24"/>
          <w:szCs w:val="25"/>
        </w:rPr>
      </w:pPr>
    </w:p>
    <w:p w14:paraId="62814DEF" w14:textId="1B5E85FD" w:rsidR="0088409F" w:rsidRDefault="0088409F" w:rsidP="001F2648">
      <w:pPr>
        <w:jc w:val="both"/>
        <w:rPr>
          <w:rFonts w:ascii="Times New Roman" w:eastAsia="Times New Roman" w:hAnsi="Times New Roman" w:cs="Times New Roman"/>
          <w:noProof/>
          <w:sz w:val="24"/>
          <w:szCs w:val="25"/>
        </w:rPr>
      </w:pPr>
    </w:p>
    <w:p w14:paraId="1446ED0A" w14:textId="0A0897E4" w:rsidR="0088409F" w:rsidRDefault="0088409F" w:rsidP="001F2648">
      <w:pPr>
        <w:jc w:val="both"/>
        <w:rPr>
          <w:rFonts w:ascii="Times New Roman" w:eastAsia="Times New Roman" w:hAnsi="Times New Roman" w:cs="Times New Roman"/>
          <w:noProof/>
          <w:sz w:val="24"/>
          <w:szCs w:val="25"/>
        </w:rPr>
      </w:pPr>
    </w:p>
    <w:p w14:paraId="06B7ABAC" w14:textId="77777777" w:rsidR="0088409F" w:rsidRPr="00DF28F7" w:rsidRDefault="0088409F" w:rsidP="001F2648">
      <w:pPr>
        <w:jc w:val="both"/>
        <w:rPr>
          <w:rFonts w:ascii="Times New Roman" w:eastAsia="Times New Roman" w:hAnsi="Times New Roman" w:cs="Times New Roman"/>
          <w:noProof/>
          <w:sz w:val="24"/>
          <w:szCs w:val="25"/>
        </w:rPr>
      </w:pPr>
    </w:p>
    <w:p w14:paraId="44B1A284" w14:textId="77777777" w:rsidR="0083515C" w:rsidRPr="0088409F" w:rsidRDefault="0083515C" w:rsidP="00A84DA3">
      <w:pPr>
        <w:pStyle w:val="Heading1"/>
        <w:ind w:left="0" w:firstLine="0"/>
        <w:jc w:val="center"/>
        <w:rPr>
          <w:bCs/>
          <w:noProof/>
          <w:sz w:val="32"/>
          <w:szCs w:val="52"/>
        </w:rPr>
      </w:pPr>
      <w:bookmarkStart w:id="15" w:name="_Toc63672634"/>
      <w:r w:rsidRPr="0088409F">
        <w:rPr>
          <w:bCs/>
          <w:sz w:val="32"/>
          <w:szCs w:val="52"/>
        </w:rPr>
        <w:t>KOMISIJAS DIENESTU DARBA DOKUMENTS</w:t>
      </w:r>
      <w:bookmarkEnd w:id="15"/>
    </w:p>
    <w:p w14:paraId="6DB48E39" w14:textId="77777777" w:rsidR="00A84DA3" w:rsidRPr="0088409F" w:rsidRDefault="00A84DA3" w:rsidP="00A84DA3">
      <w:pPr>
        <w:jc w:val="center"/>
        <w:rPr>
          <w:rFonts w:ascii="Times New Roman" w:hAnsi="Times New Roman"/>
          <w:b/>
          <w:bCs/>
          <w:noProof/>
          <w:sz w:val="32"/>
          <w:szCs w:val="28"/>
        </w:rPr>
      </w:pPr>
    </w:p>
    <w:p w14:paraId="42C10C9B" w14:textId="77777777" w:rsidR="0083515C" w:rsidRPr="0088409F" w:rsidRDefault="0083515C" w:rsidP="00A84DA3">
      <w:pPr>
        <w:jc w:val="center"/>
        <w:rPr>
          <w:rFonts w:ascii="Times New Roman" w:hAnsi="Times New Roman"/>
          <w:b/>
          <w:bCs/>
          <w:noProof/>
          <w:sz w:val="32"/>
          <w:szCs w:val="28"/>
        </w:rPr>
      </w:pPr>
      <w:r w:rsidRPr="0088409F">
        <w:rPr>
          <w:rFonts w:ascii="Times New Roman" w:hAnsi="Times New Roman"/>
          <w:b/>
          <w:sz w:val="32"/>
          <w:szCs w:val="28"/>
        </w:rPr>
        <w:t>2018. gada rīcības plāns</w:t>
      </w:r>
    </w:p>
    <w:p w14:paraId="030D5F5E" w14:textId="77777777" w:rsidR="00055324" w:rsidRDefault="00055324">
      <w:pPr>
        <w:rPr>
          <w:rFonts w:ascii="Times New Roman" w:eastAsia="Times New Roman" w:hAnsi="Times New Roman" w:cs="Times New Roman"/>
          <w:noProof/>
          <w:sz w:val="24"/>
          <w:szCs w:val="36"/>
        </w:rPr>
      </w:pPr>
      <w:r>
        <w:br w:type="page"/>
      </w:r>
    </w:p>
    <w:p w14:paraId="33105072" w14:textId="77777777" w:rsidR="00CF10CD" w:rsidRPr="00DF28F7" w:rsidRDefault="00CF10CD" w:rsidP="001F2648">
      <w:pPr>
        <w:jc w:val="both"/>
        <w:rPr>
          <w:rFonts w:ascii="Times New Roman" w:eastAsia="Times New Roman" w:hAnsi="Times New Roman" w:cs="Times New Roman"/>
          <w:noProof/>
          <w:sz w:val="24"/>
          <w:szCs w:val="36"/>
        </w:rPr>
      </w:pPr>
    </w:p>
    <w:p w14:paraId="13EB0135" w14:textId="77777777" w:rsidR="0083515C" w:rsidRPr="00055324" w:rsidRDefault="00055324" w:rsidP="000A3BB7">
      <w:pPr>
        <w:pStyle w:val="Heading2"/>
        <w:tabs>
          <w:tab w:val="left" w:pos="669"/>
        </w:tabs>
        <w:ind w:left="0" w:firstLine="0"/>
        <w:jc w:val="both"/>
        <w:rPr>
          <w:rFonts w:cs="Times New Roman"/>
          <w:b/>
          <w:bCs/>
          <w:noProof/>
          <w:sz w:val="24"/>
          <w:szCs w:val="16"/>
        </w:rPr>
      </w:pPr>
      <w:bookmarkStart w:id="16" w:name="_Toc63672635"/>
      <w:r>
        <w:rPr>
          <w:b/>
          <w:sz w:val="24"/>
        </w:rPr>
        <w:t>1. DIENESTU DARBA DOKUMENTA MĒRĶIS</w:t>
      </w:r>
      <w:bookmarkEnd w:id="16"/>
    </w:p>
    <w:p w14:paraId="399A05ED" w14:textId="77777777" w:rsidR="0083515C" w:rsidRPr="00DF28F7" w:rsidRDefault="0083515C" w:rsidP="001F2648">
      <w:pPr>
        <w:jc w:val="both"/>
        <w:rPr>
          <w:rFonts w:ascii="Times New Roman" w:eastAsia="Times New Roman" w:hAnsi="Times New Roman" w:cs="Times New Roman"/>
          <w:noProof/>
          <w:sz w:val="24"/>
          <w:szCs w:val="20"/>
        </w:rPr>
      </w:pPr>
    </w:p>
    <w:p w14:paraId="64E22D5C"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Šis dienestu darba dokuments ir pievienots Eiropas Komisijas paziņojumam “Ilgtspējīga bioekonomika Eiropai. Ekonomikas, sabiedrības un vides saistības stiprināšana” (turpmāk tekstā – Paziņojums), kas adresēts Eiropas Parlamentam, Padomei, Eiropas Ekonomikas un sociālo lietu komitejai un Reģionu komitejai. Paziņojumā iepazīstina ar atjaunināto Eiropas Bioekonomikas stratēģiju un Rīcības plānu (turpmāk tekstā – Stratēģija), kura mērķis ir veicināt redzējumu par pilnīgu ilgtspējīgas un aprites bioekonomikas ieviešanu Eiropā. Tādējādi ar Stratēģiju stiprina ekonomikas, sabiedrības un vides saistību, pēc iespējas palielinot ilgtspējīgas bioekonomikas devumu Komisijas prioritāšu īstenošanā un vairāku tās politikas mērķu sasniegšanā. Tas jo īpaši attiecas uz atjaunoto rūpniecības politiku</w:t>
      </w:r>
      <w:r w:rsidR="00055324">
        <w:rPr>
          <w:rStyle w:val="FootnoteReference"/>
          <w:rFonts w:ascii="Times New Roman" w:hAnsi="Times New Roman"/>
          <w:noProof/>
          <w:sz w:val="24"/>
        </w:rPr>
        <w:footnoteReference w:id="45"/>
      </w:r>
      <w:r>
        <w:rPr>
          <w:rFonts w:ascii="Times New Roman" w:hAnsi="Times New Roman"/>
          <w:sz w:val="24"/>
        </w:rPr>
        <w:t>, aprites ekonomiku</w:t>
      </w:r>
      <w:r w:rsidR="00055324">
        <w:rPr>
          <w:rStyle w:val="FootnoteReference"/>
          <w:rFonts w:ascii="Times New Roman" w:hAnsi="Times New Roman"/>
          <w:noProof/>
          <w:sz w:val="24"/>
        </w:rPr>
        <w:footnoteReference w:id="46"/>
      </w:r>
      <w:r>
        <w:rPr>
          <w:rFonts w:ascii="Times New Roman" w:hAnsi="Times New Roman"/>
          <w:sz w:val="24"/>
        </w:rPr>
        <w:t xml:space="preserve"> un pasākumu kopumu “Tīru enerģiju ikvienam Eiropā”</w:t>
      </w:r>
      <w:r w:rsidR="00055324">
        <w:rPr>
          <w:rStyle w:val="FootnoteReference"/>
          <w:rFonts w:ascii="Times New Roman" w:hAnsi="Times New Roman"/>
          <w:noProof/>
          <w:sz w:val="24"/>
        </w:rPr>
        <w:footnoteReference w:id="47"/>
      </w:r>
      <w:r>
        <w:rPr>
          <w:rFonts w:ascii="Times New Roman" w:hAnsi="Times New Roman"/>
          <w:sz w:val="24"/>
        </w:rPr>
        <w:t>, jo tajos akcentē nepieciešamību nodrošināt ilgtspējīgu un aprites bioekonomiku, lai sasniegtu izvirzītos mērķus. Ilgtspējīga bioekonomika būs arī atjauninātās kopējās lauksaimniecības politikas un kopējās zivsaimniecības politikas pamatā, kā arī Rīcības plāna dabai, cilvēkam un ekonomikai, ES meža stratēģijas, bioloģiskās daudzveidības stratēģijas, stratēģijas attiecībā uz plastmasu un augsnes tematiskās stratēģijas pamatā (sk. 2.1. punktu). Visu iepriekš minēto mērķu un politikas virzienu īstenošana vēl vairāk pastiprinās ES bioekonomikas ieguldījumu 2030. gada programmā un tās ilgtspējīgas attīstības mērķos, ES saistību izpildē saskaņā ar Parīzes nolīgumu un klimata un enerģētikas politikas satvarā 2030. gadam izvirzīto mērķu sasniegšanā.</w:t>
      </w:r>
      <w:r w:rsidR="00055324">
        <w:rPr>
          <w:rStyle w:val="FootnoteReference"/>
          <w:rFonts w:ascii="Times New Roman" w:hAnsi="Times New Roman"/>
          <w:noProof/>
          <w:sz w:val="24"/>
        </w:rPr>
        <w:footnoteReference w:id="48"/>
      </w:r>
    </w:p>
    <w:p w14:paraId="53F32193" w14:textId="77777777" w:rsidR="0083515C" w:rsidRPr="00DF28F7" w:rsidRDefault="0083515C" w:rsidP="001F2648">
      <w:pPr>
        <w:jc w:val="both"/>
        <w:rPr>
          <w:rFonts w:ascii="Times New Roman" w:eastAsia="Verdana" w:hAnsi="Times New Roman" w:cs="Verdana"/>
          <w:noProof/>
          <w:sz w:val="24"/>
          <w:szCs w:val="19"/>
        </w:rPr>
      </w:pPr>
    </w:p>
    <w:p w14:paraId="315BE79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Dienestu darba dokumenta 2. punktā izklāstīta pamatinformācija, kā arī sniegti atbalsta dati, kas ir saistīti ar Eiropas Bioekonomikas stratēģiju un bioekonomikas pašreizējo stāvokli Eiropā. Dienestu darba dokumenta 3. punktā izvērstāk aprakstīts Paziņojuma rīcības plānā ierosināto darbību pamatojums un paredzamā ietekme.</w:t>
      </w:r>
    </w:p>
    <w:p w14:paraId="2DD11208" w14:textId="77777777" w:rsidR="0083515C" w:rsidRPr="00DF28F7" w:rsidRDefault="0083515C" w:rsidP="001F2648">
      <w:pPr>
        <w:jc w:val="both"/>
        <w:rPr>
          <w:rFonts w:ascii="Times New Roman" w:eastAsia="Verdana" w:hAnsi="Times New Roman" w:cs="Verdana"/>
          <w:noProof/>
          <w:sz w:val="24"/>
          <w:szCs w:val="18"/>
        </w:rPr>
      </w:pPr>
    </w:p>
    <w:p w14:paraId="48AD85E3" w14:textId="77777777" w:rsidR="0083515C" w:rsidRPr="00DF28F7" w:rsidRDefault="0083515C" w:rsidP="001F2648">
      <w:pPr>
        <w:jc w:val="both"/>
        <w:rPr>
          <w:rFonts w:ascii="Times New Roman" w:eastAsia="Verdana" w:hAnsi="Times New Roman" w:cs="Verdana"/>
          <w:noProof/>
          <w:sz w:val="24"/>
          <w:szCs w:val="23"/>
        </w:rPr>
      </w:pPr>
    </w:p>
    <w:p w14:paraId="43F62C28" w14:textId="77777777" w:rsidR="0083515C" w:rsidRPr="007C18AA" w:rsidRDefault="007C18AA" w:rsidP="000A3BB7">
      <w:pPr>
        <w:pStyle w:val="Heading2"/>
        <w:tabs>
          <w:tab w:val="left" w:pos="669"/>
        </w:tabs>
        <w:ind w:left="0" w:firstLine="0"/>
        <w:jc w:val="both"/>
        <w:rPr>
          <w:rFonts w:cs="Times New Roman"/>
          <w:b/>
          <w:bCs/>
          <w:noProof/>
          <w:sz w:val="24"/>
          <w:szCs w:val="16"/>
        </w:rPr>
      </w:pPr>
      <w:bookmarkStart w:id="17" w:name="_Toc63672636"/>
      <w:r>
        <w:rPr>
          <w:b/>
          <w:sz w:val="24"/>
        </w:rPr>
        <w:t>2. ES BIOEKONOMIKAS STĀVOKLIS</w:t>
      </w:r>
      <w:bookmarkEnd w:id="17"/>
    </w:p>
    <w:p w14:paraId="5608DA70" w14:textId="77777777" w:rsidR="0083515C" w:rsidRPr="00DF28F7" w:rsidRDefault="0083515C" w:rsidP="001F2648">
      <w:pPr>
        <w:jc w:val="both"/>
        <w:rPr>
          <w:rFonts w:ascii="Times New Roman" w:eastAsia="Times New Roman" w:hAnsi="Times New Roman" w:cs="Times New Roman"/>
          <w:noProof/>
          <w:sz w:val="24"/>
          <w:szCs w:val="21"/>
        </w:rPr>
      </w:pPr>
    </w:p>
    <w:p w14:paraId="2CB0E7B6" w14:textId="77777777" w:rsidR="0083515C" w:rsidRPr="007C18AA" w:rsidRDefault="007C18AA" w:rsidP="007C18AA">
      <w:pPr>
        <w:pStyle w:val="Heading2"/>
        <w:tabs>
          <w:tab w:val="left" w:pos="692"/>
        </w:tabs>
        <w:ind w:left="0" w:firstLine="0"/>
        <w:jc w:val="both"/>
        <w:rPr>
          <w:i/>
          <w:iCs/>
          <w:noProof/>
          <w:sz w:val="24"/>
        </w:rPr>
      </w:pPr>
      <w:bookmarkStart w:id="18" w:name="_Toc63672637"/>
      <w:r>
        <w:rPr>
          <w:i/>
          <w:sz w:val="24"/>
        </w:rPr>
        <w:t>2.1. Eiropas Bioekonomikas stratēģija</w:t>
      </w:r>
      <w:bookmarkEnd w:id="18"/>
    </w:p>
    <w:p w14:paraId="19B5EF9C" w14:textId="77777777" w:rsidR="0083515C" w:rsidRPr="00DF28F7" w:rsidRDefault="0083515C" w:rsidP="001F2648">
      <w:pPr>
        <w:jc w:val="both"/>
        <w:rPr>
          <w:rFonts w:ascii="Times New Roman" w:eastAsia="Times New Roman" w:hAnsi="Times New Roman" w:cs="Times New Roman"/>
          <w:noProof/>
          <w:sz w:val="24"/>
          <w:szCs w:val="21"/>
        </w:rPr>
      </w:pPr>
    </w:p>
    <w:p w14:paraId="73B5F9E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Eiropas Bioekonomikas stratēģija un tās rīcības plāns</w:t>
      </w:r>
      <w:r w:rsidR="00055324">
        <w:rPr>
          <w:rStyle w:val="FootnoteReference"/>
          <w:rFonts w:ascii="Times New Roman" w:hAnsi="Times New Roman"/>
          <w:noProof/>
          <w:sz w:val="24"/>
        </w:rPr>
        <w:footnoteReference w:id="49"/>
      </w:r>
      <w:r>
        <w:rPr>
          <w:rFonts w:ascii="Times New Roman" w:hAnsi="Times New Roman"/>
          <w:sz w:val="24"/>
        </w:rPr>
        <w:t xml:space="preserve"> tika izstrādāti 2012. gadā, balstoties uz stratēģijas “ES 2020” pamatiniciatīvām “Inovācijas savienība”</w:t>
      </w:r>
      <w:r w:rsidR="00055324">
        <w:rPr>
          <w:rStyle w:val="FootnoteReference"/>
          <w:rFonts w:ascii="Times New Roman" w:hAnsi="Times New Roman"/>
          <w:noProof/>
          <w:sz w:val="24"/>
        </w:rPr>
        <w:footnoteReference w:id="50"/>
      </w:r>
      <w:r>
        <w:rPr>
          <w:rFonts w:ascii="Times New Roman" w:hAnsi="Times New Roman"/>
          <w:sz w:val="24"/>
        </w:rPr>
        <w:t xml:space="preserve"> un “Resursu ziņā efektīva Eiropa”</w:t>
      </w:r>
      <w:r w:rsidR="00055324">
        <w:rPr>
          <w:rStyle w:val="FootnoteReference"/>
          <w:rFonts w:ascii="Times New Roman" w:hAnsi="Times New Roman"/>
          <w:noProof/>
          <w:sz w:val="24"/>
        </w:rPr>
        <w:footnoteReference w:id="51"/>
      </w:r>
      <w:r>
        <w:rPr>
          <w:rFonts w:ascii="Times New Roman" w:hAnsi="Times New Roman"/>
          <w:sz w:val="24"/>
        </w:rPr>
        <w:t xml:space="preserve">, apzinoties, ka bioekonomikai, kas šobrīd rada 2,3 triljonu </w:t>
      </w:r>
      <w:r>
        <w:rPr>
          <w:rFonts w:ascii="Times New Roman" w:hAnsi="Times New Roman"/>
          <w:i/>
          <w:iCs/>
          <w:sz w:val="24"/>
        </w:rPr>
        <w:t>euro</w:t>
      </w:r>
      <w:r>
        <w:rPr>
          <w:rFonts w:ascii="Times New Roman" w:hAnsi="Times New Roman"/>
          <w:sz w:val="24"/>
        </w:rPr>
        <w:t xml:space="preserve"> apgrozījumu un nodrošina 8,2 % ES darbaspēka</w:t>
      </w:r>
      <w:r w:rsidR="002E30B3">
        <w:rPr>
          <w:rStyle w:val="FootnoteReference"/>
          <w:rFonts w:ascii="Times New Roman" w:hAnsi="Times New Roman"/>
          <w:noProof/>
          <w:sz w:val="24"/>
        </w:rPr>
        <w:footnoteReference w:id="52"/>
      </w:r>
      <w:r>
        <w:rPr>
          <w:rFonts w:ascii="Times New Roman" w:hAnsi="Times New Roman"/>
          <w:sz w:val="24"/>
        </w:rPr>
        <w:t>, ir svarīga loma vairāku būtisku savstarpēji saistītu problēmu risināšanā. Stratēģijas nozīmība Eiropai un tās iestādēm, ES dalībvalstīm un to reģioniem ir atkārtoti norādīta jau vairākkārt.</w:t>
      </w:r>
      <w:r w:rsidR="002E30B3">
        <w:rPr>
          <w:rStyle w:val="FootnoteReference"/>
          <w:rFonts w:ascii="Times New Roman" w:hAnsi="Times New Roman"/>
          <w:noProof/>
          <w:sz w:val="24"/>
        </w:rPr>
        <w:footnoteReference w:id="53"/>
      </w:r>
      <w:r>
        <w:rPr>
          <w:rFonts w:ascii="Times New Roman" w:hAnsi="Times New Roman"/>
          <w:sz w:val="24"/>
        </w:rPr>
        <w:t xml:space="preserve"> Minētās 2012. gada stratēģijas mērķis bija </w:t>
      </w:r>
      <w:r>
        <w:rPr>
          <w:rFonts w:ascii="Times New Roman" w:hAnsi="Times New Roman"/>
          <w:sz w:val="24"/>
        </w:rPr>
        <w:lastRenderedPageBreak/>
        <w:t>“</w:t>
      </w:r>
      <w:r>
        <w:rPr>
          <w:rFonts w:ascii="Times New Roman" w:hAnsi="Times New Roman"/>
          <w:i/>
          <w:iCs/>
          <w:sz w:val="24"/>
        </w:rPr>
        <w:t>bruģēt ceļu inovatīvākas, resursefektīvākas un konkurētspējīgākas sabiedrības veidošanai, kurā nodrošinātība ar pārtiku nav pretrunā atjaunojamo resursu ilgtspējīgai rūpnieciskai izmantošanai un vides aizsardzības nodrošināšanai</w:t>
      </w:r>
      <w:r>
        <w:rPr>
          <w:rFonts w:ascii="Times New Roman" w:hAnsi="Times New Roman"/>
          <w:sz w:val="24"/>
        </w:rPr>
        <w:t>”. 2012. gada stratēģijā bija uzsvērts, ka bioekonomikas starpnozaru būtība sniedz unikālu iespēju visaptveroši risināt savstarpēji saistītas sabiedrības problēmas, un tajā identificēja piecus mērķus, kuru īstenošanā Stratēģijai un tās rīcības plānam vajadzēja palīdzēt: 1) garantēt pārtikas nodrošinājumu, 2) ilgtspējīgi apsaimniekot dabas resursus, 3) samazināt atkarību no neatjaunojamiem resursiem, 4) mazināt klimata pārmaiņas un pielāgoties tām, kā arī 5) radīt darbavietas un saglabāt ES konkurētspēju.</w:t>
      </w:r>
    </w:p>
    <w:p w14:paraId="27400E26" w14:textId="77777777" w:rsidR="0083515C" w:rsidRPr="00DF28F7" w:rsidRDefault="0083515C" w:rsidP="001F2648">
      <w:pPr>
        <w:jc w:val="both"/>
        <w:rPr>
          <w:rFonts w:ascii="Times New Roman" w:hAnsi="Times New Roman"/>
          <w:noProof/>
          <w:sz w:val="24"/>
        </w:rPr>
      </w:pPr>
    </w:p>
    <w:p w14:paraId="5F6B8060" w14:textId="77777777" w:rsidR="0083515C" w:rsidRPr="002E30B3" w:rsidRDefault="0083515C" w:rsidP="001F2648">
      <w:pPr>
        <w:pStyle w:val="BodyText"/>
        <w:ind w:left="0"/>
        <w:jc w:val="both"/>
        <w:rPr>
          <w:rFonts w:ascii="Times New Roman" w:hAnsi="Times New Roman"/>
          <w:noProof/>
          <w:sz w:val="24"/>
        </w:rPr>
      </w:pPr>
      <w:r>
        <w:rPr>
          <w:rFonts w:ascii="Times New Roman" w:hAnsi="Times New Roman"/>
          <w:sz w:val="24"/>
        </w:rPr>
        <w:t>Ar neatkarīgu ārējo ekspertu atbalstu 2017. gadā Bioekonomikas stratēģija tika pārskatīta</w:t>
      </w:r>
      <w:r w:rsidR="002E30B3">
        <w:rPr>
          <w:rStyle w:val="FootnoteReference"/>
          <w:rFonts w:ascii="Times New Roman" w:hAnsi="Times New Roman"/>
          <w:noProof/>
          <w:sz w:val="24"/>
        </w:rPr>
        <w:footnoteReference w:id="54"/>
      </w:r>
      <w:r>
        <w:rPr>
          <w:rFonts w:ascii="Times New Roman" w:hAnsi="Times New Roman"/>
          <w:sz w:val="24"/>
        </w:rPr>
        <w:t xml:space="preserve"> (turpmāk tekstā – Pārskats).</w:t>
      </w:r>
      <w:r w:rsidR="002E30B3">
        <w:rPr>
          <w:rStyle w:val="FootnoteReference"/>
          <w:rFonts w:ascii="Times New Roman" w:hAnsi="Times New Roman"/>
          <w:noProof/>
          <w:sz w:val="24"/>
        </w:rPr>
        <w:footnoteReference w:id="55"/>
      </w:r>
      <w:r>
        <w:rPr>
          <w:rFonts w:ascii="Times New Roman" w:hAnsi="Times New Roman"/>
          <w:sz w:val="24"/>
        </w:rPr>
        <w:t xml:space="preserve"> Pārskatā secināja, ka pēdējo gadu laikā Eiropas Bioekonomikas stratēģija ir būtiski palīdzējusi sasniegt izvirzītos mērķus, paredzot virkni dažādu darbību, sākot no ES pētniecības un inovācijas pamatprogrammām līdz Biorūpniecības kopuzņēmuma darbības (</w:t>
      </w:r>
      <w:r>
        <w:rPr>
          <w:rFonts w:ascii="Times New Roman" w:hAnsi="Times New Roman"/>
          <w:i/>
          <w:iCs/>
          <w:sz w:val="24"/>
        </w:rPr>
        <w:t>BBI JU</w:t>
      </w:r>
      <w:r>
        <w:rPr>
          <w:rFonts w:ascii="Times New Roman" w:hAnsi="Times New Roman"/>
          <w:sz w:val="24"/>
        </w:rPr>
        <w:t>) uzsākšanas</w:t>
      </w:r>
      <w:r w:rsidR="002E30B3">
        <w:rPr>
          <w:rStyle w:val="FootnoteReference"/>
          <w:rFonts w:ascii="Times New Roman" w:hAnsi="Times New Roman"/>
          <w:noProof/>
          <w:sz w:val="24"/>
        </w:rPr>
        <w:footnoteReference w:id="56"/>
      </w:r>
      <w:r>
        <w:rPr>
          <w:rFonts w:ascii="Times New Roman" w:hAnsi="Times New Roman"/>
          <w:sz w:val="24"/>
        </w:rPr>
        <w:t xml:space="preserve">, kā rezultātā tika radītas jaunas uz bioresursiem balstītas vērtības ķēdes, izstrādātas vairākas valstu bioekonomikas stratēģijas un mērķtiecīgas reģionālās platformas, kā arī izveidotas ieinteresēto pušu grupas, un tas viss veicina vietējās bioekonomikas attīstību, augstu vērtējot vietējos resursus un pielāgojoties vietējām vajadzībām. Jo īpaši Stratēģija sekmēja pētniecības un inovācijas finansējuma mobilizēšanu bioekonomikā, a) divkāršojot bioekonomikai paredzēto ES pētniecības un inovācijas finansējumu saskaņā ar programmu “Apvārsnis 2020”, b) palielinot privātās investīcijas, kā arī publiskā un privātā sektora partnerību atbalstu, uzsākot </w:t>
      </w:r>
      <w:r>
        <w:rPr>
          <w:rFonts w:ascii="Times New Roman" w:hAnsi="Times New Roman"/>
          <w:i/>
          <w:iCs/>
          <w:sz w:val="24"/>
        </w:rPr>
        <w:t>BBI JU </w:t>
      </w:r>
      <w:r>
        <w:rPr>
          <w:rFonts w:ascii="Times New Roman" w:hAnsi="Times New Roman"/>
          <w:sz w:val="24"/>
        </w:rPr>
        <w:t>darbību, kā arī c) veicinot investīcijas pētniecībā un inovācijā dalībvalstīs. Turklāt viens no galvenajiem Eiropas Bioekonomikas stratēģijas rezultātiem bija tas, ka valstu un reģionālie politikas veidotāji pievērsa uzmanību bioekonomikas principiem un starpnozaru mērķiem, par ko liecina to valstu skaits, kuras kopš 2012. gada ir pieņēmušas bioekonomikas politiku.</w:t>
      </w:r>
      <w:r w:rsidR="002E30B3">
        <w:rPr>
          <w:rStyle w:val="FootnoteReference"/>
          <w:rFonts w:ascii="Times New Roman" w:hAnsi="Times New Roman"/>
          <w:noProof/>
          <w:sz w:val="24"/>
        </w:rPr>
        <w:footnoteReference w:id="57"/>
      </w:r>
      <w:r>
        <w:rPr>
          <w:rFonts w:ascii="Times New Roman" w:hAnsi="Times New Roman"/>
          <w:sz w:val="24"/>
        </w:rPr>
        <w:t xml:space="preserve"> Arī ievērojams skaits Eiropas reģionu savās pētniecības un inovācijas stratēģijās pārdomātai specializācijai ir iekļāvuši ar bioekonomiku saistītas prioritātes.</w:t>
      </w:r>
      <w:r w:rsidR="002E30B3">
        <w:rPr>
          <w:rStyle w:val="FootnoteReference"/>
          <w:rFonts w:ascii="Times New Roman" w:hAnsi="Times New Roman"/>
          <w:noProof/>
          <w:sz w:val="24"/>
        </w:rPr>
        <w:footnoteReference w:id="58"/>
      </w:r>
      <w:r>
        <w:rPr>
          <w:rFonts w:ascii="Times New Roman" w:hAnsi="Times New Roman"/>
          <w:sz w:val="24"/>
        </w:rPr>
        <w:t xml:space="preserve"> Reģionālo bioekonomikas stratēģiju, lauku atdzimšanas un dabas resursu ilgtspējīgas apsaimniekošanas nozīme ir arī viens no bioekonomikas nozares ieinteresēto pušu manifesta punktiem, kas ir vēl viens nozīmīgs 2012. gada stratēģijas sasniegums.</w:t>
      </w:r>
      <w:r w:rsidR="002E30B3">
        <w:rPr>
          <w:rStyle w:val="FootnoteReference"/>
          <w:rFonts w:ascii="Times New Roman" w:hAnsi="Times New Roman"/>
          <w:noProof/>
          <w:sz w:val="24"/>
        </w:rPr>
        <w:footnoteReference w:id="59"/>
      </w:r>
    </w:p>
    <w:p w14:paraId="3A28C209" w14:textId="77777777" w:rsidR="0083515C" w:rsidRPr="00DF28F7" w:rsidRDefault="0083515C" w:rsidP="001F2648">
      <w:pPr>
        <w:jc w:val="both"/>
        <w:rPr>
          <w:rFonts w:ascii="Times New Roman" w:eastAsia="Verdana" w:hAnsi="Times New Roman" w:cs="Verdana"/>
          <w:noProof/>
          <w:sz w:val="24"/>
          <w:szCs w:val="19"/>
        </w:rPr>
      </w:pPr>
    </w:p>
    <w:p w14:paraId="48A8A0F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Neraugoties uz pozitīvo rezultātu, pārskatā tika apzinātas vairākas jomas, kurās nepieciešami turpmāki stratēģijas un rīcības plāna uzlabojumi, proti:</w:t>
      </w:r>
    </w:p>
    <w:p w14:paraId="083431CC" w14:textId="77777777" w:rsidR="0083515C" w:rsidRPr="00DF28F7" w:rsidRDefault="0083515C" w:rsidP="001F2648">
      <w:pPr>
        <w:jc w:val="both"/>
        <w:rPr>
          <w:rFonts w:ascii="Times New Roman" w:eastAsia="Verdana" w:hAnsi="Times New Roman" w:cs="Verdana"/>
          <w:noProof/>
          <w:sz w:val="24"/>
          <w:szCs w:val="19"/>
        </w:rPr>
      </w:pPr>
    </w:p>
    <w:p w14:paraId="55672192" w14:textId="77777777" w:rsidR="0083515C" w:rsidRPr="00DF28F7" w:rsidRDefault="002E30B3" w:rsidP="002E30B3">
      <w:pPr>
        <w:pStyle w:val="BodyText"/>
        <w:tabs>
          <w:tab w:val="left" w:pos="396"/>
        </w:tabs>
        <w:ind w:left="0"/>
        <w:jc w:val="both"/>
        <w:rPr>
          <w:rFonts w:ascii="Times New Roman" w:hAnsi="Times New Roman"/>
          <w:noProof/>
          <w:sz w:val="24"/>
        </w:rPr>
      </w:pPr>
      <w:r>
        <w:rPr>
          <w:rFonts w:ascii="Times New Roman" w:hAnsi="Times New Roman"/>
          <w:sz w:val="24"/>
        </w:rPr>
        <w:t>a) investīciju papildu piesaiste, tostarp no privātā sektora;</w:t>
      </w:r>
    </w:p>
    <w:p w14:paraId="707FBC4C" w14:textId="77777777" w:rsidR="0083515C" w:rsidRPr="00DF28F7" w:rsidRDefault="002E30B3" w:rsidP="002E30B3">
      <w:pPr>
        <w:pStyle w:val="BodyText"/>
        <w:tabs>
          <w:tab w:val="left" w:pos="396"/>
        </w:tabs>
        <w:ind w:left="0"/>
        <w:jc w:val="both"/>
        <w:rPr>
          <w:rFonts w:ascii="Times New Roman" w:hAnsi="Times New Roman"/>
          <w:noProof/>
          <w:sz w:val="24"/>
        </w:rPr>
      </w:pPr>
      <w:r>
        <w:rPr>
          <w:rFonts w:ascii="Times New Roman" w:hAnsi="Times New Roman"/>
          <w:sz w:val="24"/>
        </w:rPr>
        <w:t>b) labāka normatīvās vides paredzamība, lai veicinātu turpmākas investīcijas;</w:t>
      </w:r>
    </w:p>
    <w:p w14:paraId="6F679CC7" w14:textId="77777777" w:rsidR="0083515C" w:rsidRPr="00DF28F7" w:rsidRDefault="002E30B3" w:rsidP="002E30B3">
      <w:pPr>
        <w:pStyle w:val="BodyText"/>
        <w:tabs>
          <w:tab w:val="left" w:pos="396"/>
        </w:tabs>
        <w:ind w:left="0"/>
        <w:jc w:val="both"/>
        <w:rPr>
          <w:rFonts w:ascii="Times New Roman" w:hAnsi="Times New Roman"/>
          <w:noProof/>
          <w:sz w:val="24"/>
        </w:rPr>
      </w:pPr>
      <w:r>
        <w:rPr>
          <w:rFonts w:ascii="Times New Roman" w:hAnsi="Times New Roman"/>
          <w:sz w:val="24"/>
        </w:rPr>
        <w:t>c) lielāka attiecīgo ES politikas virzienu saskanība;</w:t>
      </w:r>
    </w:p>
    <w:p w14:paraId="74F67128" w14:textId="77777777" w:rsidR="0083515C" w:rsidRPr="00DF28F7" w:rsidRDefault="002E30B3" w:rsidP="002E30B3">
      <w:pPr>
        <w:pStyle w:val="BodyText"/>
        <w:tabs>
          <w:tab w:val="left" w:pos="396"/>
        </w:tabs>
        <w:ind w:left="0"/>
        <w:jc w:val="both"/>
        <w:rPr>
          <w:rFonts w:ascii="Times New Roman" w:hAnsi="Times New Roman"/>
          <w:noProof/>
          <w:sz w:val="24"/>
        </w:rPr>
      </w:pPr>
      <w:r>
        <w:rPr>
          <w:rFonts w:ascii="Times New Roman" w:hAnsi="Times New Roman"/>
          <w:sz w:val="24"/>
        </w:rPr>
        <w:t>d) plašāka dalībvalstu, reģionu un pilsētu iesaistīšana;</w:t>
      </w:r>
    </w:p>
    <w:p w14:paraId="2D5FF6E8" w14:textId="77777777" w:rsidR="0083515C" w:rsidRPr="00DF28F7" w:rsidRDefault="002E30B3" w:rsidP="002E30B3">
      <w:pPr>
        <w:pStyle w:val="BodyText"/>
        <w:tabs>
          <w:tab w:val="left" w:pos="396"/>
        </w:tabs>
        <w:ind w:left="0"/>
        <w:jc w:val="both"/>
        <w:rPr>
          <w:rFonts w:ascii="Times New Roman" w:hAnsi="Times New Roman"/>
          <w:noProof/>
          <w:sz w:val="24"/>
        </w:rPr>
      </w:pPr>
      <w:r>
        <w:rPr>
          <w:rFonts w:ascii="Times New Roman" w:hAnsi="Times New Roman"/>
          <w:sz w:val="24"/>
        </w:rPr>
        <w:t>e) mazāka skaita koncentrētu darbību iekļaušana, lai realizētu aprites bioekonomiku;</w:t>
      </w:r>
    </w:p>
    <w:p w14:paraId="558FE0FF" w14:textId="77777777" w:rsidR="0083515C" w:rsidRPr="00DF28F7" w:rsidRDefault="002E30B3" w:rsidP="002E30B3">
      <w:pPr>
        <w:pStyle w:val="BodyText"/>
        <w:tabs>
          <w:tab w:val="left" w:pos="396"/>
        </w:tabs>
        <w:ind w:left="0"/>
        <w:jc w:val="both"/>
        <w:rPr>
          <w:rFonts w:ascii="Times New Roman" w:hAnsi="Times New Roman"/>
          <w:noProof/>
          <w:sz w:val="24"/>
        </w:rPr>
      </w:pPr>
      <w:r>
        <w:rPr>
          <w:rFonts w:ascii="Times New Roman" w:hAnsi="Times New Roman"/>
          <w:sz w:val="24"/>
        </w:rPr>
        <w:lastRenderedPageBreak/>
        <w:t>f) labāka visas bioekonomikas un pašas stratēģijas progresa uzraudzība, tostarp atbilstīgi rādītāji;</w:t>
      </w:r>
    </w:p>
    <w:p w14:paraId="0BB771C1" w14:textId="77777777" w:rsidR="0083515C" w:rsidRPr="00DF28F7" w:rsidRDefault="002E30B3" w:rsidP="002E30B3">
      <w:pPr>
        <w:pStyle w:val="BodyText"/>
        <w:tabs>
          <w:tab w:val="left" w:pos="396"/>
        </w:tabs>
        <w:ind w:left="0"/>
        <w:jc w:val="both"/>
        <w:rPr>
          <w:rFonts w:ascii="Times New Roman" w:hAnsi="Times New Roman"/>
          <w:noProof/>
          <w:sz w:val="24"/>
        </w:rPr>
      </w:pPr>
      <w:r>
        <w:rPr>
          <w:rFonts w:ascii="Times New Roman" w:hAnsi="Times New Roman"/>
          <w:sz w:val="24"/>
        </w:rPr>
        <w:t>g) atjaunināts saskaņojums ar jaunākajām ES un globālajām politikas tendencēm.</w:t>
      </w:r>
    </w:p>
    <w:p w14:paraId="1793A7CC" w14:textId="77777777" w:rsidR="0083515C" w:rsidRPr="00DF28F7" w:rsidRDefault="0083515C" w:rsidP="001F2648">
      <w:pPr>
        <w:jc w:val="both"/>
        <w:rPr>
          <w:rFonts w:ascii="Times New Roman" w:eastAsia="Verdana" w:hAnsi="Times New Roman" w:cs="Verdana"/>
          <w:noProof/>
          <w:sz w:val="24"/>
          <w:szCs w:val="19"/>
        </w:rPr>
      </w:pPr>
    </w:p>
    <w:p w14:paraId="1698F6C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Attiecībā uz pēdējo punktu pārskatā tika secināts, ka “(..) </w:t>
      </w:r>
      <w:r>
        <w:rPr>
          <w:rFonts w:ascii="Times New Roman" w:hAnsi="Times New Roman"/>
          <w:i/>
          <w:iCs/>
          <w:sz w:val="24"/>
        </w:rPr>
        <w:t>Pašreizējais politiskais konteksts akcentē nepieciešamību nodrošināt ilgtspējīgu un aprites bioekonomiku</w:t>
      </w:r>
      <w:r>
        <w:rPr>
          <w:rFonts w:ascii="Times New Roman" w:hAnsi="Times New Roman"/>
          <w:sz w:val="24"/>
        </w:rPr>
        <w:t>.</w:t>
      </w:r>
      <w:r>
        <w:rPr>
          <w:rFonts w:ascii="Times New Roman" w:hAnsi="Times New Roman"/>
          <w:i/>
          <w:sz w:val="24"/>
        </w:rPr>
        <w:t xml:space="preserve"> Kopš 2012. gada, ņemot vērā politikas norises ES un pasaules mērogā, piemēram, ES Aprites ekonomiku, ES Enerģētikas savienību, Parīzes klimata nolīgumu un Ilgtspējīgas attīstības programmu 2030. gadam, ir būtiski mainījies politiskais konteksts, kurā tiek īstenota bioekonomika. Tāpēc vairākas ieinteresētās puses ierosina izmantot ilgtspējīgas, aprites bioekonomikas jēdzienu. </w:t>
      </w:r>
      <w:r>
        <w:rPr>
          <w:rFonts w:ascii="Times New Roman" w:hAnsi="Times New Roman"/>
          <w:i/>
          <w:iCs/>
          <w:sz w:val="24"/>
        </w:rPr>
        <w:t>2012. gada stratēģijas un rīcības plāna darbības joma, kā arī tās mērķu un darbību atbilstība un prioritātes ir jāaplūko, ņemot vērā minētās tendences</w:t>
      </w:r>
      <w:r>
        <w:rPr>
          <w:rFonts w:ascii="Times New Roman" w:hAnsi="Times New Roman"/>
          <w:sz w:val="24"/>
        </w:rPr>
        <w:t>.”</w:t>
      </w:r>
    </w:p>
    <w:p w14:paraId="0541116F" w14:textId="77777777" w:rsidR="0083515C" w:rsidRPr="00DF28F7" w:rsidRDefault="0083515C" w:rsidP="001F2648">
      <w:pPr>
        <w:jc w:val="both"/>
        <w:rPr>
          <w:rFonts w:ascii="Times New Roman" w:eastAsia="Verdana" w:hAnsi="Times New Roman" w:cs="Verdana"/>
          <w:noProof/>
          <w:sz w:val="24"/>
          <w:szCs w:val="17"/>
        </w:rPr>
      </w:pPr>
    </w:p>
    <w:p w14:paraId="2C46859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Ilgtspējas panākšana ir Komisijas politisko prioritāšu pamatā</w:t>
      </w:r>
      <w:r w:rsidR="002E30B3">
        <w:rPr>
          <w:rStyle w:val="FootnoteReference"/>
          <w:rFonts w:ascii="Times New Roman" w:hAnsi="Times New Roman"/>
          <w:noProof/>
          <w:sz w:val="24"/>
        </w:rPr>
        <w:footnoteReference w:id="60"/>
      </w:r>
      <w:r>
        <w:rPr>
          <w:rFonts w:ascii="Times New Roman" w:hAnsi="Times New Roman"/>
          <w:sz w:val="24"/>
        </w:rPr>
        <w:t>, tā ir atkarīga no mūsu rūpniecības, ekonomikas un enerģētikas sistēmu atjaunošanas, tāpēc ir būtiska ar dažādiem bioekonomikas aspektiem saistītajiem ES politikas virzieniem, piemēram, tiesību akta priekšlikumiem par kopējo lauksaimniecības politiku (KLP)</w:t>
      </w:r>
      <w:r w:rsidR="002E30B3">
        <w:rPr>
          <w:rStyle w:val="FootnoteReference"/>
          <w:rFonts w:ascii="Times New Roman" w:hAnsi="Times New Roman"/>
          <w:noProof/>
          <w:sz w:val="24"/>
        </w:rPr>
        <w:footnoteReference w:id="61"/>
      </w:r>
      <w:r>
        <w:rPr>
          <w:rFonts w:ascii="Times New Roman" w:hAnsi="Times New Roman"/>
          <w:sz w:val="24"/>
        </w:rPr>
        <w:t>, stratēģiskajai pieejai attiecībā uz ES pētniecību un inovāciju lauksaimniecībā</w:t>
      </w:r>
      <w:r w:rsidR="002E30B3">
        <w:rPr>
          <w:rStyle w:val="FootnoteReference"/>
          <w:rFonts w:ascii="Times New Roman" w:hAnsi="Times New Roman"/>
          <w:noProof/>
          <w:sz w:val="24"/>
        </w:rPr>
        <w:footnoteReference w:id="62"/>
      </w:r>
      <w:r>
        <w:rPr>
          <w:rFonts w:ascii="Times New Roman" w:hAnsi="Times New Roman"/>
          <w:sz w:val="24"/>
        </w:rPr>
        <w:t>, ES rīcības plāna pārejai uz aprites ekonomiku</w:t>
      </w:r>
      <w:r w:rsidR="002E30B3">
        <w:rPr>
          <w:rStyle w:val="FootnoteReference"/>
          <w:rFonts w:ascii="Times New Roman" w:hAnsi="Times New Roman"/>
          <w:noProof/>
          <w:sz w:val="24"/>
        </w:rPr>
        <w:footnoteReference w:id="63"/>
      </w:r>
      <w:r>
        <w:rPr>
          <w:rFonts w:ascii="Times New Roman" w:hAnsi="Times New Roman"/>
          <w:sz w:val="24"/>
        </w:rPr>
        <w:t xml:space="preserve"> pašreizējai īstenošanai un jaunajiem tiesību aktiem atkritumu jomā</w:t>
      </w:r>
      <w:r w:rsidR="002E30B3">
        <w:rPr>
          <w:rStyle w:val="FootnoteReference"/>
          <w:rFonts w:ascii="Times New Roman" w:hAnsi="Times New Roman"/>
          <w:noProof/>
          <w:sz w:val="24"/>
        </w:rPr>
        <w:footnoteReference w:id="64"/>
      </w:r>
      <w:r>
        <w:rPr>
          <w:rFonts w:ascii="Times New Roman" w:hAnsi="Times New Roman"/>
          <w:sz w:val="24"/>
        </w:rPr>
        <w:t xml:space="preserve">, </w:t>
      </w:r>
      <w:r>
        <w:rPr>
          <w:rFonts w:ascii="Times New Roman" w:hAnsi="Times New Roman"/>
          <w:i/>
          <w:iCs/>
          <w:sz w:val="24"/>
        </w:rPr>
        <w:t>FOOD</w:t>
      </w:r>
      <w:r>
        <w:rPr>
          <w:rFonts w:ascii="Times New Roman" w:hAnsi="Times New Roman"/>
          <w:sz w:val="24"/>
        </w:rPr>
        <w:t> 2030 pētniecības un inovācijas darba plūsmai</w:t>
      </w:r>
      <w:r w:rsidR="002E30B3">
        <w:rPr>
          <w:rStyle w:val="FootnoteReference"/>
          <w:rFonts w:ascii="Times New Roman" w:hAnsi="Times New Roman"/>
          <w:noProof/>
          <w:sz w:val="24"/>
        </w:rPr>
        <w:footnoteReference w:id="65"/>
      </w:r>
      <w:r>
        <w:rPr>
          <w:rFonts w:ascii="Times New Roman" w:hAnsi="Times New Roman"/>
          <w:sz w:val="24"/>
        </w:rPr>
        <w:t>, atjaunotajai ES Rūpniecības politikas stratēģijai</w:t>
      </w:r>
      <w:r w:rsidR="002E30B3">
        <w:rPr>
          <w:rStyle w:val="FootnoteReference"/>
          <w:rFonts w:ascii="Times New Roman" w:hAnsi="Times New Roman"/>
          <w:noProof/>
          <w:sz w:val="24"/>
        </w:rPr>
        <w:footnoteReference w:id="66"/>
      </w:r>
      <w:r>
        <w:rPr>
          <w:rFonts w:ascii="Times New Roman" w:hAnsi="Times New Roman"/>
          <w:sz w:val="24"/>
        </w:rPr>
        <w:t>, Komisijas darba programmai 2018.–2020. gadam,</w:t>
      </w:r>
      <w:r w:rsidR="00BF460B">
        <w:rPr>
          <w:rStyle w:val="FootnoteReference"/>
          <w:rFonts w:ascii="Times New Roman" w:hAnsi="Times New Roman"/>
          <w:noProof/>
          <w:sz w:val="24"/>
        </w:rPr>
        <w:footnoteReference w:id="67"/>
      </w:r>
      <w:r>
        <w:rPr>
          <w:rFonts w:ascii="Times New Roman" w:hAnsi="Times New Roman"/>
          <w:sz w:val="24"/>
        </w:rPr>
        <w:t>, ES Paziņojumam “Paātrināt inovāciju tīras enerģijas jomā”</w:t>
      </w:r>
      <w:r w:rsidR="00BF460B">
        <w:rPr>
          <w:rStyle w:val="FootnoteReference"/>
          <w:rFonts w:ascii="Times New Roman" w:hAnsi="Times New Roman"/>
          <w:noProof/>
          <w:sz w:val="24"/>
        </w:rPr>
        <w:footnoteReference w:id="68"/>
      </w:r>
      <w:r>
        <w:rPr>
          <w:rFonts w:ascii="Times New Roman" w:hAnsi="Times New Roman"/>
          <w:sz w:val="24"/>
        </w:rPr>
        <w:t>, Enerģētikas savienības pamatstratēģijai</w:t>
      </w:r>
      <w:r w:rsidR="00BF460B">
        <w:rPr>
          <w:rStyle w:val="FootnoteReference"/>
          <w:rFonts w:ascii="Times New Roman" w:hAnsi="Times New Roman"/>
          <w:noProof/>
          <w:sz w:val="24"/>
        </w:rPr>
        <w:footnoteReference w:id="69"/>
      </w:r>
      <w:r>
        <w:rPr>
          <w:rFonts w:ascii="Times New Roman" w:hAnsi="Times New Roman"/>
          <w:sz w:val="24"/>
        </w:rPr>
        <w:t>, tostarp Direktīvai par atjaunojamo enerģiju</w:t>
      </w:r>
      <w:r w:rsidR="00BF460B">
        <w:rPr>
          <w:rStyle w:val="FootnoteReference"/>
          <w:rFonts w:ascii="Times New Roman" w:hAnsi="Times New Roman"/>
          <w:noProof/>
          <w:sz w:val="24"/>
        </w:rPr>
        <w:footnoteReference w:id="70"/>
      </w:r>
      <w:r>
        <w:rPr>
          <w:rFonts w:ascii="Times New Roman" w:hAnsi="Times New Roman"/>
          <w:sz w:val="24"/>
        </w:rPr>
        <w:t>, Konvencijai par bioloģisko daudzveidību</w:t>
      </w:r>
      <w:r w:rsidR="00BF460B">
        <w:rPr>
          <w:rStyle w:val="FootnoteReference"/>
          <w:rFonts w:ascii="Times New Roman" w:hAnsi="Times New Roman"/>
          <w:noProof/>
          <w:sz w:val="24"/>
        </w:rPr>
        <w:footnoteReference w:id="71"/>
      </w:r>
      <w:r>
        <w:rPr>
          <w:rFonts w:ascii="Times New Roman" w:hAnsi="Times New Roman"/>
          <w:sz w:val="24"/>
        </w:rPr>
        <w:t xml:space="preserve"> un ES Bioloģiskās daudzveidības stratēģijai</w:t>
      </w:r>
      <w:r w:rsidR="00BF460B">
        <w:rPr>
          <w:rStyle w:val="FootnoteReference"/>
          <w:rFonts w:ascii="Times New Roman" w:hAnsi="Times New Roman"/>
          <w:noProof/>
          <w:sz w:val="24"/>
        </w:rPr>
        <w:footnoteReference w:id="72"/>
      </w:r>
      <w:r>
        <w:rPr>
          <w:rFonts w:ascii="Times New Roman" w:hAnsi="Times New Roman"/>
          <w:sz w:val="24"/>
        </w:rPr>
        <w:t>, Kopējai zivsaimniecības politikai</w:t>
      </w:r>
      <w:r w:rsidR="00BF460B">
        <w:rPr>
          <w:rStyle w:val="FootnoteReference"/>
          <w:rFonts w:ascii="Times New Roman" w:hAnsi="Times New Roman"/>
          <w:noProof/>
          <w:sz w:val="24"/>
        </w:rPr>
        <w:footnoteReference w:id="73"/>
      </w:r>
      <w:r>
        <w:rPr>
          <w:rFonts w:ascii="Times New Roman" w:hAnsi="Times New Roman"/>
          <w:sz w:val="24"/>
        </w:rPr>
        <w:t>, ES mežu stratēģijai</w:t>
      </w:r>
      <w:r w:rsidR="00BF460B">
        <w:rPr>
          <w:rStyle w:val="FootnoteReference"/>
          <w:rFonts w:ascii="Times New Roman" w:hAnsi="Times New Roman"/>
          <w:noProof/>
          <w:sz w:val="24"/>
        </w:rPr>
        <w:footnoteReference w:id="74"/>
      </w:r>
      <w:r>
        <w:rPr>
          <w:rFonts w:ascii="Times New Roman" w:hAnsi="Times New Roman"/>
          <w:sz w:val="24"/>
        </w:rPr>
        <w:t>, Plānam uz koksnes resursiem balstītai ES rūpniecībai</w:t>
      </w:r>
      <w:r w:rsidR="00BF460B">
        <w:rPr>
          <w:rStyle w:val="FootnoteReference"/>
          <w:rFonts w:ascii="Times New Roman" w:hAnsi="Times New Roman"/>
          <w:noProof/>
          <w:sz w:val="24"/>
        </w:rPr>
        <w:footnoteReference w:id="75"/>
      </w:r>
      <w:r>
        <w:rPr>
          <w:rFonts w:ascii="Times New Roman" w:hAnsi="Times New Roman"/>
          <w:sz w:val="24"/>
        </w:rPr>
        <w:t>, Jūras nozaru izaugsmes stratēģijai</w:t>
      </w:r>
      <w:r w:rsidR="00BF460B">
        <w:rPr>
          <w:rStyle w:val="FootnoteReference"/>
          <w:rFonts w:ascii="Times New Roman" w:hAnsi="Times New Roman"/>
          <w:noProof/>
          <w:sz w:val="24"/>
        </w:rPr>
        <w:footnoteReference w:id="76"/>
      </w:r>
      <w:r>
        <w:rPr>
          <w:rFonts w:ascii="Times New Roman" w:hAnsi="Times New Roman"/>
          <w:sz w:val="24"/>
        </w:rPr>
        <w:t>, Eiropas Komisijas Paziņojumam par starptautisku okeānu pārvaldību</w:t>
      </w:r>
      <w:r w:rsidR="00BF460B">
        <w:rPr>
          <w:rStyle w:val="FootnoteReference"/>
          <w:rFonts w:ascii="Times New Roman" w:hAnsi="Times New Roman"/>
          <w:noProof/>
          <w:sz w:val="24"/>
        </w:rPr>
        <w:footnoteReference w:id="77"/>
      </w:r>
      <w:r>
        <w:rPr>
          <w:rFonts w:ascii="Times New Roman" w:hAnsi="Times New Roman"/>
          <w:sz w:val="24"/>
        </w:rPr>
        <w:t xml:space="preserve"> un ES Rīcības plānam dabai, cilvēkam un ekonomikai</w:t>
      </w:r>
      <w:r w:rsidR="00BF460B">
        <w:rPr>
          <w:rStyle w:val="FootnoteReference"/>
          <w:rFonts w:ascii="Times New Roman" w:hAnsi="Times New Roman"/>
          <w:noProof/>
          <w:sz w:val="24"/>
        </w:rPr>
        <w:footnoteReference w:id="78"/>
      </w:r>
      <w:r>
        <w:rPr>
          <w:rFonts w:ascii="Times New Roman" w:hAnsi="Times New Roman"/>
          <w:sz w:val="24"/>
        </w:rPr>
        <w:t xml:space="preserve"> (1. tabula).</w:t>
      </w:r>
    </w:p>
    <w:p w14:paraId="287F1F5C" w14:textId="05EB35E3" w:rsidR="0088409F" w:rsidRDefault="0088409F">
      <w:pPr>
        <w:rPr>
          <w:rFonts w:ascii="Times New Roman" w:eastAsia="Verdana" w:hAnsi="Times New Roman" w:cs="Verdana"/>
          <w:noProof/>
          <w:sz w:val="24"/>
          <w:szCs w:val="19"/>
        </w:rPr>
      </w:pPr>
      <w:r>
        <w:rPr>
          <w:rFonts w:ascii="Times New Roman" w:eastAsia="Verdana" w:hAnsi="Times New Roman" w:cs="Verdana"/>
          <w:noProof/>
          <w:sz w:val="24"/>
          <w:szCs w:val="19"/>
        </w:rPr>
        <w:br w:type="page"/>
      </w:r>
    </w:p>
    <w:p w14:paraId="2FE2E6C9" w14:textId="77777777" w:rsidR="00150DA1" w:rsidRPr="00DF28F7" w:rsidRDefault="00150DA1" w:rsidP="001F2648">
      <w:pPr>
        <w:jc w:val="both"/>
        <w:rPr>
          <w:rFonts w:ascii="Times New Roman" w:eastAsia="Verdana" w:hAnsi="Times New Roman" w:cs="Verdana"/>
          <w:noProof/>
          <w:sz w:val="24"/>
          <w:szCs w:val="19"/>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309"/>
        <w:gridCol w:w="31"/>
        <w:gridCol w:w="42"/>
        <w:gridCol w:w="6746"/>
      </w:tblGrid>
      <w:tr w:rsidR="0083515C" w:rsidRPr="00DF28F7" w14:paraId="11E4B3B8" w14:textId="77777777" w:rsidTr="0088409F">
        <w:tc>
          <w:tcPr>
            <w:tcW w:w="5000" w:type="pct"/>
            <w:gridSpan w:val="4"/>
            <w:shd w:val="clear" w:color="auto" w:fill="00AFEF"/>
          </w:tcPr>
          <w:p w14:paraId="2EBC891C" w14:textId="77777777" w:rsidR="0083515C" w:rsidRPr="00E35DB2" w:rsidRDefault="0083515C" w:rsidP="001F2648">
            <w:pPr>
              <w:pStyle w:val="TableParagraph"/>
              <w:jc w:val="both"/>
              <w:rPr>
                <w:rFonts w:ascii="Times New Roman" w:hAnsi="Times New Roman"/>
                <w:b/>
                <w:bCs/>
                <w:noProof/>
                <w:color w:val="FFFFFF"/>
                <w:sz w:val="24"/>
              </w:rPr>
            </w:pPr>
            <w:r>
              <w:rPr>
                <w:rFonts w:ascii="Times New Roman" w:hAnsi="Times New Roman"/>
                <w:b/>
                <w:color w:val="FFFFFF"/>
                <w:sz w:val="24"/>
              </w:rPr>
              <w:t>Ar bioekonomiku saistītās stratēģijas</w:t>
            </w:r>
          </w:p>
        </w:tc>
      </w:tr>
      <w:tr w:rsidR="00E35DB2" w:rsidRPr="00DF28F7" w14:paraId="52DA2960" w14:textId="77777777" w:rsidTr="0088409F">
        <w:tc>
          <w:tcPr>
            <w:tcW w:w="1265" w:type="pct"/>
            <w:shd w:val="clear" w:color="auto" w:fill="F2F2F2"/>
          </w:tcPr>
          <w:p w14:paraId="0DCF4455" w14:textId="77777777" w:rsidR="00E35DB2" w:rsidRPr="0088409F" w:rsidRDefault="00E35DB2" w:rsidP="001F2648">
            <w:pPr>
              <w:pStyle w:val="TableParagraph"/>
              <w:tabs>
                <w:tab w:val="left" w:pos="2135"/>
                <w:tab w:val="left" w:pos="2560"/>
              </w:tabs>
              <w:jc w:val="both"/>
              <w:rPr>
                <w:rFonts w:ascii="Times New Roman" w:eastAsia="Times New Roman" w:hAnsi="Times New Roman" w:cs="Times New Roman"/>
                <w:b/>
                <w:bCs/>
                <w:noProof/>
                <w:sz w:val="20"/>
                <w:szCs w:val="18"/>
              </w:rPr>
            </w:pPr>
            <w:r w:rsidRPr="0088409F">
              <w:rPr>
                <w:rFonts w:ascii="Times New Roman" w:hAnsi="Times New Roman"/>
                <w:b/>
                <w:sz w:val="20"/>
                <w:szCs w:val="18"/>
              </w:rPr>
              <w:t>Tikai bioekonomika</w:t>
            </w:r>
          </w:p>
        </w:tc>
        <w:tc>
          <w:tcPr>
            <w:tcW w:w="3735" w:type="pct"/>
            <w:gridSpan w:val="3"/>
            <w:shd w:val="clear" w:color="auto" w:fill="F2F2F2"/>
          </w:tcPr>
          <w:p w14:paraId="637D23FA" w14:textId="77777777" w:rsidR="00E35DB2" w:rsidRPr="0088409F" w:rsidRDefault="00E35DB2"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Komisijas paziņojums “Inovācijas ilgtspējīgai izaugsmei: Eiropas bioekonomika” (EK, 2012a)</w:t>
            </w:r>
          </w:p>
        </w:tc>
      </w:tr>
      <w:tr w:rsidR="0083515C" w:rsidRPr="00DF28F7" w14:paraId="3689785D" w14:textId="77777777" w:rsidTr="0088409F">
        <w:tc>
          <w:tcPr>
            <w:tcW w:w="5000" w:type="pct"/>
            <w:gridSpan w:val="4"/>
            <w:shd w:val="clear" w:color="auto" w:fill="00AFEF"/>
          </w:tcPr>
          <w:p w14:paraId="167235DF" w14:textId="77777777" w:rsidR="0083515C" w:rsidRPr="00E35DB2" w:rsidRDefault="0083515C" w:rsidP="001F2648">
            <w:pPr>
              <w:pStyle w:val="TableParagraph"/>
              <w:jc w:val="both"/>
              <w:rPr>
                <w:rFonts w:ascii="Times New Roman" w:hAnsi="Times New Roman"/>
                <w:b/>
                <w:bCs/>
                <w:noProof/>
                <w:color w:val="FFFFFF"/>
                <w:sz w:val="24"/>
              </w:rPr>
            </w:pPr>
            <w:r>
              <w:rPr>
                <w:rFonts w:ascii="Times New Roman" w:hAnsi="Times New Roman"/>
                <w:b/>
                <w:color w:val="FFFFFF"/>
                <w:sz w:val="24"/>
              </w:rPr>
              <w:t>Nozares, kuras galvenokārt nodrošina biomasu</w:t>
            </w:r>
          </w:p>
        </w:tc>
      </w:tr>
      <w:tr w:rsidR="0083515C" w:rsidRPr="00DF28F7" w14:paraId="6A9DDD41" w14:textId="77777777" w:rsidTr="0088409F">
        <w:tc>
          <w:tcPr>
            <w:tcW w:w="1305" w:type="pct"/>
            <w:gridSpan w:val="3"/>
            <w:shd w:val="clear" w:color="auto" w:fill="F2F2F2"/>
          </w:tcPr>
          <w:p w14:paraId="52DB6525" w14:textId="77777777" w:rsidR="0083515C" w:rsidRPr="0088409F" w:rsidRDefault="0083515C" w:rsidP="001F2648">
            <w:pPr>
              <w:pStyle w:val="TableParagraph"/>
              <w:jc w:val="both"/>
              <w:rPr>
                <w:rFonts w:ascii="Times New Roman" w:hAnsi="Times New Roman"/>
                <w:b/>
                <w:bCs/>
                <w:noProof/>
                <w:sz w:val="20"/>
                <w:szCs w:val="18"/>
              </w:rPr>
            </w:pPr>
            <w:r w:rsidRPr="0088409F">
              <w:rPr>
                <w:rFonts w:ascii="Times New Roman" w:hAnsi="Times New Roman"/>
                <w:b/>
                <w:sz w:val="20"/>
                <w:szCs w:val="18"/>
              </w:rPr>
              <w:t>Lauksaimniecība</w:t>
            </w:r>
          </w:p>
        </w:tc>
        <w:tc>
          <w:tcPr>
            <w:tcW w:w="3695" w:type="pct"/>
            <w:shd w:val="clear" w:color="auto" w:fill="F2F2F2"/>
          </w:tcPr>
          <w:p w14:paraId="45C422B8"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Komisijas paziņojumi: tiesību aktu priekšlikumi par kopējo lauksaimniecības politiku (KLP) pēc 2020. gada (COM/2018/392 final; COM/2018/393 final; COM/2018/394 final/2)</w:t>
            </w:r>
          </w:p>
          <w:p w14:paraId="1074C45D"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Komisijas paziņojums “Tematiskā stratēģija augsnes aizsardzībai” (SEC(2006)620)</w:t>
            </w:r>
          </w:p>
        </w:tc>
      </w:tr>
      <w:tr w:rsidR="0083515C" w:rsidRPr="00DF28F7" w14:paraId="6E105A8B" w14:textId="77777777" w:rsidTr="0088409F">
        <w:tc>
          <w:tcPr>
            <w:tcW w:w="1305" w:type="pct"/>
            <w:gridSpan w:val="3"/>
            <w:shd w:val="clear" w:color="auto" w:fill="F2F2F2"/>
          </w:tcPr>
          <w:p w14:paraId="453DECAA" w14:textId="77777777" w:rsidR="0083515C" w:rsidRPr="0088409F" w:rsidRDefault="0083515C" w:rsidP="001F2648">
            <w:pPr>
              <w:pStyle w:val="TableParagraph"/>
              <w:jc w:val="both"/>
              <w:rPr>
                <w:rFonts w:ascii="Times New Roman" w:hAnsi="Times New Roman"/>
                <w:b/>
                <w:bCs/>
                <w:noProof/>
                <w:sz w:val="20"/>
                <w:szCs w:val="18"/>
              </w:rPr>
            </w:pPr>
            <w:r w:rsidRPr="0088409F">
              <w:rPr>
                <w:rFonts w:ascii="Times New Roman" w:hAnsi="Times New Roman"/>
                <w:b/>
                <w:sz w:val="20"/>
                <w:szCs w:val="18"/>
              </w:rPr>
              <w:t>Uz koksnes resursiem balstītā nozare</w:t>
            </w:r>
          </w:p>
        </w:tc>
        <w:tc>
          <w:tcPr>
            <w:tcW w:w="3695" w:type="pct"/>
            <w:shd w:val="clear" w:color="auto" w:fill="F2F2F2"/>
          </w:tcPr>
          <w:p w14:paraId="73AD1EBB"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Komisijas paziņojums “Jauna ES meža stratēģija mežiem un uz koksnes resursiem balstītai rūpniecībai” (EK, 2013a)</w:t>
            </w:r>
          </w:p>
          <w:p w14:paraId="5380D821"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Komisijas dienestu darba dokuments par jaunās ES meža stratēģijas daudzgadu īstenošanas plānu (EK, 2015a)</w:t>
            </w:r>
          </w:p>
          <w:p w14:paraId="10F04EEB"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hAnsi="Times New Roman"/>
                <w:noProof/>
                <w:sz w:val="20"/>
                <w:szCs w:val="18"/>
              </w:rPr>
            </w:pPr>
            <w:r w:rsidRPr="0088409F">
              <w:rPr>
                <w:rFonts w:ascii="Times New Roman" w:hAnsi="Times New Roman"/>
                <w:sz w:val="20"/>
                <w:szCs w:val="18"/>
              </w:rPr>
              <w:t>Uz koksnes resursiem balstītās ES nozares plāns (SWD(2013)343)</w:t>
            </w:r>
          </w:p>
        </w:tc>
      </w:tr>
      <w:tr w:rsidR="0083515C" w:rsidRPr="00DF28F7" w14:paraId="6D2F69BC" w14:textId="77777777" w:rsidTr="0088409F">
        <w:tc>
          <w:tcPr>
            <w:tcW w:w="1305" w:type="pct"/>
            <w:gridSpan w:val="3"/>
            <w:shd w:val="clear" w:color="auto" w:fill="F2F2F2"/>
          </w:tcPr>
          <w:p w14:paraId="046E8A26" w14:textId="77777777" w:rsidR="0083515C" w:rsidRPr="0088409F" w:rsidRDefault="0083515C" w:rsidP="001F2648">
            <w:pPr>
              <w:pStyle w:val="TableParagraph"/>
              <w:jc w:val="both"/>
              <w:rPr>
                <w:rFonts w:ascii="Times New Roman" w:hAnsi="Times New Roman"/>
                <w:b/>
                <w:bCs/>
                <w:noProof/>
                <w:sz w:val="20"/>
                <w:szCs w:val="18"/>
              </w:rPr>
            </w:pPr>
            <w:r w:rsidRPr="0088409F">
              <w:rPr>
                <w:rFonts w:ascii="Times New Roman" w:hAnsi="Times New Roman"/>
                <w:b/>
                <w:sz w:val="20"/>
                <w:szCs w:val="18"/>
              </w:rPr>
              <w:t>Zivsaimniecība, akvakultūra un aļģes</w:t>
            </w:r>
          </w:p>
        </w:tc>
        <w:tc>
          <w:tcPr>
            <w:tcW w:w="3695" w:type="pct"/>
            <w:shd w:val="clear" w:color="auto" w:fill="F2F2F2"/>
          </w:tcPr>
          <w:p w14:paraId="1FB68CD4"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Kopējās zivsaimniecības politikas pamatregula (ES) Nr. 1380/2013</w:t>
            </w:r>
          </w:p>
          <w:p w14:paraId="39455D42"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Komisijas paziņojums “Jūras nozaru izaugsme un izaugsmes noturību veicinošās iespējas” (EK, 2012e)</w:t>
            </w:r>
          </w:p>
          <w:p w14:paraId="35178851"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Ziņojums par Jūras nozaru izaugsmes stratēģiju “Ceļā uz ilgtspējīgāku izaugsmi un darbvietu izveidi jūras nozaru un jūrlietu ekonomikā”, SWD(2017) 128 final</w:t>
            </w:r>
          </w:p>
          <w:p w14:paraId="62D54F02"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Komisijas paziņojums “Stratēģiskās vadlīnijas ES akvakultūras ilgtspējīgai attīstībai” (EK, 2013e)</w:t>
            </w:r>
          </w:p>
          <w:p w14:paraId="2C44F9C9"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18"/>
              </w:rPr>
            </w:pPr>
            <w:r w:rsidRPr="0088409F">
              <w:rPr>
                <w:rFonts w:ascii="Times New Roman" w:hAnsi="Times New Roman"/>
                <w:sz w:val="20"/>
                <w:szCs w:val="18"/>
              </w:rPr>
              <w:t>Kopīgs paziņojums “Starptautiskā okeānu pārvaldība – okeānu nākotnes veidošanas darba kārtība” (EK, 2016)</w:t>
            </w:r>
          </w:p>
        </w:tc>
      </w:tr>
      <w:tr w:rsidR="0083515C" w:rsidRPr="00DF28F7" w14:paraId="2CDFE59E" w14:textId="77777777" w:rsidTr="0088409F">
        <w:tc>
          <w:tcPr>
            <w:tcW w:w="1305" w:type="pct"/>
            <w:gridSpan w:val="3"/>
            <w:shd w:val="clear" w:color="auto" w:fill="F2F2F2"/>
          </w:tcPr>
          <w:p w14:paraId="4EF849B5" w14:textId="77777777" w:rsidR="0083515C" w:rsidRPr="0088409F" w:rsidRDefault="0083515C" w:rsidP="001F2648">
            <w:pPr>
              <w:pStyle w:val="TableParagraph"/>
              <w:jc w:val="both"/>
              <w:rPr>
                <w:rFonts w:ascii="Times New Roman" w:hAnsi="Times New Roman"/>
                <w:b/>
                <w:bCs/>
                <w:noProof/>
                <w:sz w:val="20"/>
                <w:szCs w:val="18"/>
              </w:rPr>
            </w:pPr>
            <w:r w:rsidRPr="0088409F">
              <w:rPr>
                <w:rFonts w:ascii="Times New Roman" w:hAnsi="Times New Roman"/>
                <w:b/>
                <w:sz w:val="20"/>
                <w:szCs w:val="18"/>
              </w:rPr>
              <w:t>Atkritumi</w:t>
            </w:r>
          </w:p>
        </w:tc>
        <w:tc>
          <w:tcPr>
            <w:tcW w:w="3695" w:type="pct"/>
            <w:shd w:val="clear" w:color="auto" w:fill="F2F2F2"/>
          </w:tcPr>
          <w:p w14:paraId="26307AB3" w14:textId="77777777" w:rsidR="0083515C" w:rsidRPr="0088409F" w:rsidRDefault="0083515C" w:rsidP="00E35DB2">
            <w:pPr>
              <w:pStyle w:val="TableParagraph"/>
              <w:numPr>
                <w:ilvl w:val="0"/>
                <w:numId w:val="68"/>
              </w:numPr>
              <w:tabs>
                <w:tab w:val="left" w:pos="2135"/>
                <w:tab w:val="left" w:pos="2560"/>
              </w:tabs>
              <w:ind w:left="385"/>
              <w:jc w:val="both"/>
              <w:rPr>
                <w:rFonts w:ascii="Times New Roman" w:hAnsi="Times New Roman"/>
                <w:noProof/>
                <w:sz w:val="20"/>
                <w:szCs w:val="18"/>
              </w:rPr>
            </w:pPr>
            <w:r w:rsidRPr="0088409F">
              <w:rPr>
                <w:rFonts w:ascii="Times New Roman" w:hAnsi="Times New Roman"/>
                <w:sz w:val="20"/>
                <w:szCs w:val="18"/>
              </w:rPr>
              <w:t>Skatīt starpnozaru politikas virzienus (turpmāk tekstā)</w:t>
            </w:r>
          </w:p>
        </w:tc>
      </w:tr>
      <w:tr w:rsidR="0083515C" w:rsidRPr="00DF28F7" w14:paraId="43CE2A06" w14:textId="77777777" w:rsidTr="0088409F">
        <w:tc>
          <w:tcPr>
            <w:tcW w:w="5000" w:type="pct"/>
            <w:gridSpan w:val="4"/>
            <w:shd w:val="clear" w:color="auto" w:fill="00AFEF"/>
          </w:tcPr>
          <w:p w14:paraId="2478A7E8" w14:textId="77777777" w:rsidR="0083515C" w:rsidRPr="00E35DB2" w:rsidRDefault="0083515C" w:rsidP="001F2648">
            <w:pPr>
              <w:pStyle w:val="TableParagraph"/>
              <w:jc w:val="both"/>
              <w:rPr>
                <w:rFonts w:ascii="Times New Roman" w:hAnsi="Times New Roman"/>
                <w:b/>
                <w:bCs/>
                <w:noProof/>
                <w:color w:val="FFFFFF"/>
                <w:sz w:val="24"/>
              </w:rPr>
            </w:pPr>
            <w:r>
              <w:rPr>
                <w:rFonts w:ascii="Times New Roman" w:hAnsi="Times New Roman"/>
                <w:b/>
                <w:color w:val="FFFFFF"/>
                <w:sz w:val="24"/>
              </w:rPr>
              <w:t>Nozares, kuras galvenokārt izmanto biomasu</w:t>
            </w:r>
          </w:p>
        </w:tc>
      </w:tr>
      <w:tr w:rsidR="00E35DB2" w:rsidRPr="00DF28F7" w14:paraId="10D8DC2D" w14:textId="77777777" w:rsidTr="0088409F">
        <w:tc>
          <w:tcPr>
            <w:tcW w:w="1282" w:type="pct"/>
            <w:gridSpan w:val="2"/>
            <w:shd w:val="clear" w:color="auto" w:fill="F2F2F2"/>
          </w:tcPr>
          <w:p w14:paraId="572F119A" w14:textId="77777777" w:rsidR="00E35DB2" w:rsidRPr="0088409F" w:rsidRDefault="00E35DB2" w:rsidP="00E35DB2">
            <w:pPr>
              <w:pStyle w:val="TableParagraph"/>
              <w:tabs>
                <w:tab w:val="left" w:pos="690"/>
                <w:tab w:val="left" w:pos="1199"/>
                <w:tab w:val="left" w:pos="2135"/>
                <w:tab w:val="left" w:pos="2560"/>
              </w:tabs>
              <w:jc w:val="both"/>
              <w:rPr>
                <w:rFonts w:ascii="Times New Roman" w:eastAsia="Times New Roman" w:hAnsi="Times New Roman" w:cs="Times New Roman"/>
                <w:b/>
                <w:bCs/>
                <w:noProof/>
                <w:sz w:val="20"/>
                <w:szCs w:val="20"/>
              </w:rPr>
            </w:pPr>
            <w:r w:rsidRPr="0088409F">
              <w:rPr>
                <w:rFonts w:ascii="Times New Roman" w:hAnsi="Times New Roman"/>
                <w:b/>
                <w:sz w:val="20"/>
                <w:szCs w:val="20"/>
              </w:rPr>
              <w:t>Pārtika un uzturs</w:t>
            </w:r>
          </w:p>
        </w:tc>
        <w:tc>
          <w:tcPr>
            <w:tcW w:w="3718" w:type="pct"/>
            <w:gridSpan w:val="2"/>
            <w:shd w:val="clear" w:color="auto" w:fill="F2F2F2"/>
          </w:tcPr>
          <w:p w14:paraId="43C33097" w14:textId="77777777" w:rsidR="00E35DB2" w:rsidRPr="0088409F" w:rsidRDefault="00E35DB2"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“ES politikas programma jaunattīstības valstu atbalstīšanai, risinot ar pārtikas nodrošinājumu saistītās problēmas” (EK, 2010e)</w:t>
            </w:r>
          </w:p>
          <w:p w14:paraId="322BDD0F" w14:textId="77777777" w:rsidR="00E35DB2" w:rsidRPr="0088409F" w:rsidRDefault="00E35DB2"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“ES attīstības politikas ietekmes palielināšana: pārmaiņu programma” (EK, 2011c)</w:t>
            </w:r>
          </w:p>
          <w:p w14:paraId="57CC57DF" w14:textId="77777777" w:rsidR="00E35DB2" w:rsidRPr="0088409F" w:rsidRDefault="00E35DB2"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“Māšu un bērnu uztura uzlabošana ārējā palīdzībā – ES politikas satvars” (EK, 2013b)</w:t>
            </w:r>
          </w:p>
          <w:p w14:paraId="5553F488" w14:textId="77777777" w:rsidR="00E35DB2" w:rsidRPr="0088409F" w:rsidRDefault="00E35DB2"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“ES nostāja attiecībā uz noturību: pārtikas nodrošinājuma krīžu sniegtā mācība” (EK, 2012c)</w:t>
            </w:r>
          </w:p>
        </w:tc>
      </w:tr>
      <w:tr w:rsidR="00E35DB2" w:rsidRPr="00DF28F7" w14:paraId="3BC38C11" w14:textId="77777777" w:rsidTr="0088409F">
        <w:tc>
          <w:tcPr>
            <w:tcW w:w="1282" w:type="pct"/>
            <w:gridSpan w:val="2"/>
            <w:shd w:val="clear" w:color="auto" w:fill="F2F2F2"/>
          </w:tcPr>
          <w:p w14:paraId="6A836ADC" w14:textId="77777777" w:rsidR="00E35DB2" w:rsidRPr="0088409F" w:rsidRDefault="00F93705" w:rsidP="00E35DB2">
            <w:pPr>
              <w:pStyle w:val="TableParagraph"/>
              <w:tabs>
                <w:tab w:val="left" w:pos="690"/>
                <w:tab w:val="left" w:pos="1199"/>
                <w:tab w:val="left" w:pos="2135"/>
                <w:tab w:val="left" w:pos="2560"/>
              </w:tabs>
              <w:jc w:val="both"/>
              <w:rPr>
                <w:rFonts w:ascii="Times New Roman" w:eastAsia="Times New Roman" w:hAnsi="Times New Roman" w:cs="Times New Roman"/>
                <w:b/>
                <w:bCs/>
                <w:noProof/>
                <w:sz w:val="20"/>
                <w:szCs w:val="20"/>
              </w:rPr>
            </w:pPr>
            <w:r w:rsidRPr="0088409F">
              <w:rPr>
                <w:rFonts w:ascii="Times New Roman" w:hAnsi="Times New Roman"/>
                <w:b/>
                <w:sz w:val="20"/>
                <w:szCs w:val="20"/>
              </w:rPr>
              <w:t>Enerģētika</w:t>
            </w:r>
          </w:p>
        </w:tc>
        <w:tc>
          <w:tcPr>
            <w:tcW w:w="3718" w:type="pct"/>
            <w:gridSpan w:val="2"/>
            <w:shd w:val="clear" w:color="auto" w:fill="F2F2F2"/>
          </w:tcPr>
          <w:p w14:paraId="4EA762D2" w14:textId="77777777" w:rsidR="00E35DB2"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ES Direktīva par atjaunojamajiem energoresursiem (2009/28/EK)</w:t>
            </w:r>
          </w:p>
          <w:p w14:paraId="0686F785"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“Enerģētikas politika Eiropai” (EK, 2007a)</w:t>
            </w:r>
          </w:p>
          <w:p w14:paraId="02D26C02"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“Eiropas energotehnoloģiju stratēģiskais plāns (ETS plāns) “Ceļā uz zemas oglekļa emisijas nākotni”” (EK, 2007b)</w:t>
            </w:r>
          </w:p>
          <w:p w14:paraId="5D862F2A"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“Globālo klimata pārmaiņu ierobežošana līdz 2 grādiem pēc Celsija. Līdz 2020. gadam un pēc tam īstenojamie pasākumi” (EK, 2007c)</w:t>
            </w:r>
          </w:p>
          <w:p w14:paraId="7FCC3F10"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“Enerģētika 2020 – Konkurētspējīgas, ilgtspējīgas un drošas enerģētikas stratēģija” [</w:t>
            </w:r>
            <w:r w:rsidRPr="0088409F">
              <w:rPr>
                <w:rFonts w:ascii="Times New Roman" w:hAnsi="Times New Roman"/>
                <w:i/>
                <w:iCs/>
                <w:sz w:val="20"/>
                <w:szCs w:val="20"/>
              </w:rPr>
              <w:t>“Energy 2020 – A strategy for competitive, sustainable and secure energy”</w:t>
            </w:r>
            <w:r w:rsidRPr="0088409F">
              <w:rPr>
                <w:rFonts w:ascii="Times New Roman" w:hAnsi="Times New Roman"/>
                <w:sz w:val="20"/>
                <w:szCs w:val="20"/>
              </w:rPr>
              <w:t>] (EK, 2010f)</w:t>
            </w:r>
          </w:p>
          <w:p w14:paraId="599C53BA"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“Enerģētikas ceļvedis 2050” (EK, 2011d)</w:t>
            </w:r>
          </w:p>
          <w:p w14:paraId="5D44FDC8"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“Klimata un enerģētikas politikas satvars laikposmam no 2020. gada līdz 2030. gadam” (EK, 2014a)</w:t>
            </w:r>
          </w:p>
          <w:p w14:paraId="3AC8BB1F"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“Paātrināta pāreja uz mazoglekļa ekonomiku Eiropā” (EK, 2016k)</w:t>
            </w:r>
          </w:p>
          <w:p w14:paraId="41BF6975"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Pakete “Tīru enerģiju ikvienam Eiropā” (2016. gads)</w:t>
            </w:r>
          </w:p>
          <w:p w14:paraId="673D7522" w14:textId="77777777" w:rsidR="00F93705" w:rsidRPr="0088409F" w:rsidRDefault="00F9370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“Atkritumu pārvēršanas enerģijā loma aprites ekonomikā” (EK, 2017a)</w:t>
            </w:r>
          </w:p>
        </w:tc>
      </w:tr>
      <w:tr w:rsidR="00E35DB2" w:rsidRPr="00DF28F7" w14:paraId="5B5901E5" w14:textId="77777777" w:rsidTr="0088409F">
        <w:tc>
          <w:tcPr>
            <w:tcW w:w="1282" w:type="pct"/>
            <w:gridSpan w:val="2"/>
            <w:shd w:val="clear" w:color="auto" w:fill="F2F2F2"/>
          </w:tcPr>
          <w:p w14:paraId="57E14589" w14:textId="77777777" w:rsidR="00E35DB2" w:rsidRPr="0088409F" w:rsidRDefault="00F93705" w:rsidP="00E35DB2">
            <w:pPr>
              <w:pStyle w:val="TableParagraph"/>
              <w:tabs>
                <w:tab w:val="left" w:pos="690"/>
                <w:tab w:val="left" w:pos="1199"/>
                <w:tab w:val="left" w:pos="2135"/>
                <w:tab w:val="left" w:pos="2560"/>
              </w:tabs>
              <w:jc w:val="both"/>
              <w:rPr>
                <w:rFonts w:ascii="Times New Roman" w:eastAsia="Times New Roman" w:hAnsi="Times New Roman" w:cs="Times New Roman"/>
                <w:b/>
                <w:bCs/>
                <w:noProof/>
                <w:sz w:val="20"/>
                <w:szCs w:val="20"/>
              </w:rPr>
            </w:pPr>
            <w:r w:rsidRPr="0088409F">
              <w:rPr>
                <w:rFonts w:ascii="Times New Roman" w:hAnsi="Times New Roman"/>
                <w:b/>
                <w:sz w:val="20"/>
                <w:szCs w:val="20"/>
              </w:rPr>
              <w:t>Biorūpniecība</w:t>
            </w:r>
          </w:p>
        </w:tc>
        <w:tc>
          <w:tcPr>
            <w:tcW w:w="3718" w:type="pct"/>
            <w:gridSpan w:val="2"/>
            <w:shd w:val="clear" w:color="auto" w:fill="F2F2F2"/>
          </w:tcPr>
          <w:p w14:paraId="78357F0B" w14:textId="77777777" w:rsidR="00E35DB2" w:rsidRPr="0088409F" w:rsidRDefault="0090425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“Vadošā tirgus iniciatīva Eiropai” (EK, 2007d)</w:t>
            </w:r>
          </w:p>
          <w:p w14:paraId="3757C6E0"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“Gatavojoties nākotnei: kopējas stratēģijas izstrādāšana svarīgām pamattehnoloģijām ES” (EK, 2009)</w:t>
            </w:r>
          </w:p>
          <w:p w14:paraId="3D755F35"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 xml:space="preserve">Komisijas paziņojums “Spēcīgāka Eiropas rūpniecība izaugsmei un </w:t>
            </w:r>
            <w:r w:rsidRPr="0088409F">
              <w:rPr>
                <w:rFonts w:ascii="Times New Roman" w:hAnsi="Times New Roman"/>
                <w:sz w:val="20"/>
                <w:szCs w:val="20"/>
              </w:rPr>
              <w:lastRenderedPageBreak/>
              <w:t>ekonomikas atveseļošanai” (EK, 2012d)</w:t>
            </w:r>
          </w:p>
          <w:p w14:paraId="5AD25A4E"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Komisijas paziņojums “Eiropas rūpniecības atdzimšana” (EK, 2014f)</w:t>
            </w:r>
          </w:p>
          <w:p w14:paraId="52DF4B4F"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hAnsi="Times New Roman"/>
                <w:noProof/>
                <w:sz w:val="20"/>
                <w:szCs w:val="20"/>
              </w:rPr>
            </w:pPr>
            <w:r w:rsidRPr="0088409F">
              <w:rPr>
                <w:rFonts w:ascii="Times New Roman" w:hAnsi="Times New Roman"/>
                <w:sz w:val="20"/>
                <w:szCs w:val="20"/>
              </w:rPr>
              <w:t>“Nākotnes stratēģija plastmasas izmantošanas, atkārtotas izmantošanas un pārstrādes jautājumā” [</w:t>
            </w:r>
            <w:r w:rsidRPr="0088409F">
              <w:rPr>
                <w:rFonts w:ascii="Times New Roman" w:hAnsi="Times New Roman"/>
                <w:i/>
                <w:iCs/>
                <w:sz w:val="20"/>
                <w:szCs w:val="20"/>
              </w:rPr>
              <w:t>“Future strategy on plastics use, reuse and recycling”</w:t>
            </w:r>
            <w:r w:rsidRPr="0088409F">
              <w:rPr>
                <w:rFonts w:ascii="Times New Roman" w:hAnsi="Times New Roman"/>
                <w:sz w:val="20"/>
                <w:szCs w:val="20"/>
              </w:rPr>
              <w:t>] (EK, 2016l)</w:t>
            </w:r>
          </w:p>
        </w:tc>
      </w:tr>
      <w:tr w:rsidR="00904255" w:rsidRPr="00DF28F7" w14:paraId="2ADAD971" w14:textId="77777777" w:rsidTr="0088409F">
        <w:tc>
          <w:tcPr>
            <w:tcW w:w="5000" w:type="pct"/>
            <w:gridSpan w:val="4"/>
            <w:shd w:val="clear" w:color="auto" w:fill="00AFEF"/>
          </w:tcPr>
          <w:p w14:paraId="00AA9320" w14:textId="77777777" w:rsidR="00904255" w:rsidRPr="00904255" w:rsidRDefault="00904255" w:rsidP="00904255">
            <w:pPr>
              <w:pStyle w:val="TableParagraph"/>
              <w:tabs>
                <w:tab w:val="left" w:pos="2135"/>
                <w:tab w:val="left" w:pos="2560"/>
              </w:tabs>
              <w:jc w:val="both"/>
              <w:rPr>
                <w:rFonts w:ascii="Times New Roman" w:eastAsia="Verdana" w:hAnsi="Times New Roman" w:cs="Verdana"/>
                <w:b/>
                <w:bCs/>
                <w:noProof/>
                <w:sz w:val="24"/>
                <w:szCs w:val="14"/>
              </w:rPr>
            </w:pPr>
            <w:r>
              <w:rPr>
                <w:rFonts w:ascii="Times New Roman" w:hAnsi="Times New Roman"/>
                <w:b/>
                <w:color w:val="FFFFFF"/>
                <w:sz w:val="24"/>
              </w:rPr>
              <w:lastRenderedPageBreak/>
              <w:t>Starpnozaru politikas virzieni, kas attiecas uz bioekonomiku</w:t>
            </w:r>
          </w:p>
        </w:tc>
      </w:tr>
      <w:tr w:rsidR="00904255" w:rsidRPr="00DF28F7" w14:paraId="396E4ED1" w14:textId="77777777" w:rsidTr="0088409F">
        <w:tc>
          <w:tcPr>
            <w:tcW w:w="1282" w:type="pct"/>
            <w:gridSpan w:val="2"/>
            <w:shd w:val="clear" w:color="auto" w:fill="F2F2F2"/>
          </w:tcPr>
          <w:p w14:paraId="28D47AFA" w14:textId="77777777" w:rsidR="00904255" w:rsidRPr="0088409F" w:rsidRDefault="00904255" w:rsidP="00E35DB2">
            <w:pPr>
              <w:pStyle w:val="TableParagraph"/>
              <w:tabs>
                <w:tab w:val="left" w:pos="690"/>
                <w:tab w:val="left" w:pos="1199"/>
                <w:tab w:val="left" w:pos="2135"/>
                <w:tab w:val="left" w:pos="2560"/>
              </w:tabs>
              <w:jc w:val="both"/>
              <w:rPr>
                <w:rFonts w:ascii="Times New Roman" w:hAnsi="Times New Roman"/>
                <w:b/>
                <w:bCs/>
                <w:noProof/>
                <w:sz w:val="20"/>
                <w:szCs w:val="20"/>
              </w:rPr>
            </w:pPr>
            <w:r w:rsidRPr="0088409F">
              <w:rPr>
                <w:rFonts w:ascii="Times New Roman" w:hAnsi="Times New Roman"/>
                <w:b/>
                <w:sz w:val="20"/>
                <w:szCs w:val="20"/>
              </w:rPr>
              <w:t>Vides aizsardzība un klimata pārmaiņas</w:t>
            </w:r>
          </w:p>
        </w:tc>
        <w:tc>
          <w:tcPr>
            <w:tcW w:w="3718" w:type="pct"/>
            <w:gridSpan w:val="2"/>
            <w:shd w:val="clear" w:color="auto" w:fill="F2F2F2"/>
          </w:tcPr>
          <w:p w14:paraId="7A7E8D44"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ES Rīcības plāns dabai, cilvēkam un ekonomikai (COM(2017) 0198 final)</w:t>
            </w:r>
          </w:p>
          <w:p w14:paraId="63FE53FD"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ES Bioloģiskās daudzveidības stratēģija (COM/2011/0244 final)</w:t>
            </w:r>
          </w:p>
          <w:p w14:paraId="2EE8F0E5"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Pielāgošanās klimata pārmaiņām: ES stratēģija (COM/2013/0216 final)</w:t>
            </w:r>
          </w:p>
        </w:tc>
      </w:tr>
      <w:tr w:rsidR="00904255" w:rsidRPr="00DF28F7" w14:paraId="61725617" w14:textId="77777777" w:rsidTr="0088409F">
        <w:tc>
          <w:tcPr>
            <w:tcW w:w="1282" w:type="pct"/>
            <w:gridSpan w:val="2"/>
            <w:shd w:val="clear" w:color="auto" w:fill="F2F2F2"/>
          </w:tcPr>
          <w:p w14:paraId="57D288A8" w14:textId="77777777" w:rsidR="00904255" w:rsidRPr="0088409F" w:rsidRDefault="00904255" w:rsidP="00E35DB2">
            <w:pPr>
              <w:pStyle w:val="TableParagraph"/>
              <w:tabs>
                <w:tab w:val="left" w:pos="690"/>
                <w:tab w:val="left" w:pos="1199"/>
                <w:tab w:val="left" w:pos="2135"/>
                <w:tab w:val="left" w:pos="2560"/>
              </w:tabs>
              <w:jc w:val="both"/>
              <w:rPr>
                <w:rFonts w:ascii="Times New Roman" w:hAnsi="Times New Roman"/>
                <w:b/>
                <w:bCs/>
                <w:noProof/>
                <w:sz w:val="20"/>
                <w:szCs w:val="20"/>
              </w:rPr>
            </w:pPr>
            <w:r w:rsidRPr="0088409F">
              <w:rPr>
                <w:rFonts w:ascii="Times New Roman" w:hAnsi="Times New Roman"/>
                <w:b/>
                <w:sz w:val="20"/>
                <w:szCs w:val="20"/>
              </w:rPr>
              <w:t>Aprites ekonomika – atkritumi</w:t>
            </w:r>
          </w:p>
        </w:tc>
        <w:tc>
          <w:tcPr>
            <w:tcW w:w="3718" w:type="pct"/>
            <w:gridSpan w:val="2"/>
            <w:shd w:val="clear" w:color="auto" w:fill="F2F2F2"/>
          </w:tcPr>
          <w:p w14:paraId="42D181FA"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“Ceļā uz aprites ekonomiku: bezatkritumu saimniekošanas programma Eiropai” (EK, 2014e)</w:t>
            </w:r>
          </w:p>
          <w:p w14:paraId="7A7431B4"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“Noslēgt aprites loku – ES rīcības plāns pārejai uz aprites ekonomiku” (EK, 2015b)</w:t>
            </w:r>
          </w:p>
          <w:p w14:paraId="56A3B715" w14:textId="77777777" w:rsidR="00904255" w:rsidRPr="0088409F" w:rsidRDefault="00904255"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“Atkritumu pārvēršanas enerģijā loma aprites ekonomikā” (EK, 2017a)</w:t>
            </w:r>
          </w:p>
          <w:p w14:paraId="61B381A9" w14:textId="77777777" w:rsidR="00904255"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“Nākotnes stratēģija plastmasas izmantošanas, atkārtotas izmantošanas un pārstrādes jautājumā” [</w:t>
            </w:r>
            <w:r w:rsidRPr="0088409F">
              <w:rPr>
                <w:rFonts w:ascii="Times New Roman" w:hAnsi="Times New Roman"/>
                <w:i/>
                <w:iCs/>
                <w:sz w:val="20"/>
                <w:szCs w:val="20"/>
              </w:rPr>
              <w:t>“Future strategy on plastics use, reuse and recycling”</w:t>
            </w:r>
            <w:r w:rsidRPr="0088409F">
              <w:rPr>
                <w:rFonts w:ascii="Times New Roman" w:hAnsi="Times New Roman"/>
                <w:sz w:val="20"/>
                <w:szCs w:val="20"/>
              </w:rPr>
              <w:t>] (EK, 2016l)</w:t>
            </w:r>
          </w:p>
          <w:p w14:paraId="3E8212DA" w14:textId="77777777" w:rsidR="007C18AA"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2018. gada pakete atkritumu jomā</w:t>
            </w:r>
          </w:p>
          <w:p w14:paraId="1F1A0299" w14:textId="77777777" w:rsidR="007C18AA"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Mēslošanas līdzekļu regulējums (Regula (EK) Nr. 2003/2003)</w:t>
            </w:r>
          </w:p>
          <w:p w14:paraId="43E27369" w14:textId="77777777" w:rsidR="007C18AA"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Eiropas stratēģija attiecībā uz plastmasu aprites ekonomikā (EK, 2018)</w:t>
            </w:r>
          </w:p>
        </w:tc>
      </w:tr>
      <w:tr w:rsidR="00904255" w:rsidRPr="00DF28F7" w14:paraId="0DD1166F" w14:textId="77777777" w:rsidTr="0088409F">
        <w:tc>
          <w:tcPr>
            <w:tcW w:w="1282" w:type="pct"/>
            <w:gridSpan w:val="2"/>
            <w:shd w:val="clear" w:color="auto" w:fill="F2F2F2"/>
          </w:tcPr>
          <w:p w14:paraId="7A5D8D1D" w14:textId="77777777" w:rsidR="00904255" w:rsidRPr="0088409F" w:rsidRDefault="007C18AA" w:rsidP="00E35DB2">
            <w:pPr>
              <w:pStyle w:val="TableParagraph"/>
              <w:tabs>
                <w:tab w:val="left" w:pos="690"/>
                <w:tab w:val="left" w:pos="1199"/>
                <w:tab w:val="left" w:pos="2135"/>
                <w:tab w:val="left" w:pos="2560"/>
              </w:tabs>
              <w:jc w:val="both"/>
              <w:rPr>
                <w:rFonts w:ascii="Times New Roman" w:hAnsi="Times New Roman"/>
                <w:b/>
                <w:bCs/>
                <w:noProof/>
                <w:sz w:val="20"/>
                <w:szCs w:val="20"/>
              </w:rPr>
            </w:pPr>
            <w:r w:rsidRPr="0088409F">
              <w:rPr>
                <w:rFonts w:ascii="Times New Roman" w:hAnsi="Times New Roman"/>
                <w:b/>
                <w:sz w:val="20"/>
                <w:szCs w:val="20"/>
              </w:rPr>
              <w:t>Reģionālā politika – pārdomāta specializācija</w:t>
            </w:r>
          </w:p>
        </w:tc>
        <w:tc>
          <w:tcPr>
            <w:tcW w:w="3718" w:type="pct"/>
            <w:gridSpan w:val="2"/>
            <w:shd w:val="clear" w:color="auto" w:fill="F2F2F2"/>
          </w:tcPr>
          <w:p w14:paraId="71FB8CCA" w14:textId="77777777" w:rsidR="00904255"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“Reģionālās politikas ieguldījums stratēģijā “Eiropa 2020” paredzētajā gudrā izaugsmē” (EK, 2010g)</w:t>
            </w:r>
          </w:p>
          <w:p w14:paraId="5A5519F1" w14:textId="77777777" w:rsidR="007C18AA"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“Inovācijas nostiprināšana Eiropas reģionos: stratēģijas noturībai, iekļaujošai un ilgtspējīgai izaugsmei” (EK, 2017)</w:t>
            </w:r>
          </w:p>
        </w:tc>
      </w:tr>
      <w:tr w:rsidR="00904255" w:rsidRPr="00DF28F7" w14:paraId="0D4E94BA" w14:textId="77777777" w:rsidTr="0088409F">
        <w:tc>
          <w:tcPr>
            <w:tcW w:w="1282" w:type="pct"/>
            <w:gridSpan w:val="2"/>
            <w:shd w:val="clear" w:color="auto" w:fill="F2F2F2"/>
          </w:tcPr>
          <w:p w14:paraId="295658AC" w14:textId="77777777" w:rsidR="00904255" w:rsidRPr="0088409F" w:rsidRDefault="007C18AA" w:rsidP="00E35DB2">
            <w:pPr>
              <w:pStyle w:val="TableParagraph"/>
              <w:tabs>
                <w:tab w:val="left" w:pos="690"/>
                <w:tab w:val="left" w:pos="1199"/>
                <w:tab w:val="left" w:pos="2135"/>
                <w:tab w:val="left" w:pos="2560"/>
              </w:tabs>
              <w:jc w:val="both"/>
              <w:rPr>
                <w:rFonts w:ascii="Times New Roman" w:hAnsi="Times New Roman"/>
                <w:b/>
                <w:bCs/>
                <w:noProof/>
                <w:sz w:val="20"/>
                <w:szCs w:val="20"/>
              </w:rPr>
            </w:pPr>
            <w:r w:rsidRPr="0088409F">
              <w:rPr>
                <w:rFonts w:ascii="Times New Roman" w:hAnsi="Times New Roman"/>
                <w:b/>
                <w:sz w:val="20"/>
                <w:szCs w:val="20"/>
              </w:rPr>
              <w:t>Pētniecība un inovācija</w:t>
            </w:r>
          </w:p>
        </w:tc>
        <w:tc>
          <w:tcPr>
            <w:tcW w:w="3718" w:type="pct"/>
            <w:gridSpan w:val="2"/>
            <w:shd w:val="clear" w:color="auto" w:fill="F2F2F2"/>
          </w:tcPr>
          <w:p w14:paraId="709488BC" w14:textId="77777777" w:rsidR="00904255"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“Stratēģijas “Eiropa 2020” pamatiniciatīva “Inovācijas savienība”” (EK, 2010a)</w:t>
            </w:r>
          </w:p>
        </w:tc>
      </w:tr>
      <w:tr w:rsidR="00904255" w:rsidRPr="00DF28F7" w14:paraId="48ABE67D" w14:textId="77777777" w:rsidTr="0088409F">
        <w:tc>
          <w:tcPr>
            <w:tcW w:w="1282" w:type="pct"/>
            <w:gridSpan w:val="2"/>
            <w:shd w:val="clear" w:color="auto" w:fill="F2F2F2"/>
          </w:tcPr>
          <w:p w14:paraId="1AAC63F0" w14:textId="77777777" w:rsidR="00904255" w:rsidRPr="0088409F" w:rsidRDefault="007C18AA" w:rsidP="00E35DB2">
            <w:pPr>
              <w:pStyle w:val="TableParagraph"/>
              <w:tabs>
                <w:tab w:val="left" w:pos="690"/>
                <w:tab w:val="left" w:pos="1199"/>
                <w:tab w:val="left" w:pos="2135"/>
                <w:tab w:val="left" w:pos="2560"/>
              </w:tabs>
              <w:jc w:val="both"/>
              <w:rPr>
                <w:rFonts w:ascii="Times New Roman" w:hAnsi="Times New Roman"/>
                <w:b/>
                <w:bCs/>
                <w:noProof/>
                <w:sz w:val="20"/>
                <w:szCs w:val="20"/>
              </w:rPr>
            </w:pPr>
            <w:r w:rsidRPr="0088409F">
              <w:rPr>
                <w:rFonts w:ascii="Times New Roman" w:hAnsi="Times New Roman"/>
                <w:b/>
                <w:sz w:val="20"/>
                <w:szCs w:val="20"/>
              </w:rPr>
              <w:t>Rūpniecības politika</w:t>
            </w:r>
          </w:p>
        </w:tc>
        <w:tc>
          <w:tcPr>
            <w:tcW w:w="3718" w:type="pct"/>
            <w:gridSpan w:val="2"/>
            <w:shd w:val="clear" w:color="auto" w:fill="F2F2F2"/>
          </w:tcPr>
          <w:p w14:paraId="6282A2C9" w14:textId="77777777" w:rsidR="00904255" w:rsidRPr="0088409F" w:rsidRDefault="007C18AA" w:rsidP="00E35DB2">
            <w:pPr>
              <w:pStyle w:val="TableParagraph"/>
              <w:numPr>
                <w:ilvl w:val="0"/>
                <w:numId w:val="68"/>
              </w:numPr>
              <w:tabs>
                <w:tab w:val="left" w:pos="2135"/>
                <w:tab w:val="left" w:pos="2560"/>
              </w:tabs>
              <w:ind w:left="385"/>
              <w:jc w:val="both"/>
              <w:rPr>
                <w:rFonts w:ascii="Times New Roman" w:eastAsia="Verdana" w:hAnsi="Times New Roman" w:cs="Verdana"/>
                <w:noProof/>
                <w:sz w:val="20"/>
                <w:szCs w:val="20"/>
              </w:rPr>
            </w:pPr>
            <w:r w:rsidRPr="0088409F">
              <w:rPr>
                <w:rFonts w:ascii="Times New Roman" w:hAnsi="Times New Roman"/>
                <w:sz w:val="20"/>
                <w:szCs w:val="20"/>
              </w:rPr>
              <w:t>Komisijas paziņojums “Investīcijas gudrā, novatoriskā un ilgtspējīgā rūpniecībā. Atjauninātā ES rūpniecības politikas stratēģija” (COM/2017/0479 final)</w:t>
            </w:r>
          </w:p>
        </w:tc>
      </w:tr>
    </w:tbl>
    <w:p w14:paraId="05B631B7" w14:textId="77777777" w:rsidR="00BF460B" w:rsidRPr="00DF28F7" w:rsidRDefault="00BF460B" w:rsidP="001F2648">
      <w:pPr>
        <w:jc w:val="both"/>
        <w:rPr>
          <w:rFonts w:ascii="Times New Roman" w:eastAsia="Verdana" w:hAnsi="Times New Roman" w:cs="Verdana"/>
          <w:noProof/>
          <w:sz w:val="24"/>
          <w:szCs w:val="5"/>
        </w:rPr>
      </w:pPr>
    </w:p>
    <w:p w14:paraId="399DE6F6" w14:textId="77777777" w:rsidR="0083515C" w:rsidRPr="00DF28F7" w:rsidRDefault="00A824E5" w:rsidP="001F2648">
      <w:pPr>
        <w:jc w:val="both"/>
        <w:rPr>
          <w:rFonts w:ascii="Times New Roman" w:hAnsi="Times New Roman"/>
          <w:noProof/>
          <w:sz w:val="24"/>
        </w:rPr>
      </w:pPr>
      <w:r>
        <w:rPr>
          <w:rFonts w:ascii="Times New Roman" w:hAnsi="Times New Roman"/>
          <w:sz w:val="24"/>
        </w:rPr>
        <w:pict w14:anchorId="00098886">
          <v:group id="_x0000_s3801" style="position:absolute;left:0;text-align:left;margin-left:157.2pt;margin-top:-282.7pt;width:269.65pt;height:218.9pt;z-index:-251617280;mso-position-horizontal-relative:page" coordorigin="3144,-5654" coordsize="5393,4378">
            <v:group id="_x0000_s3802" style="position:absolute;left:3144;top:-5654;width:5393;height:236" coordorigin="3144,-5654" coordsize="5393,236">
              <v:shape id="_x0000_s3803" style="position:absolute;left:3144;top:-5654;width:5393;height:236" coordorigin="3144,-5654" coordsize="5393,236" path="m3144,-5654r5393,l8537,-5419r-5393,l3144,-5654xe" fillcolor="#f2f2f2" stroked="f">
                <v:path arrowok="t"/>
              </v:shape>
            </v:group>
            <v:group id="_x0000_s3804" style="position:absolute;left:3144;top:-5419;width:5393;height:236" coordorigin="3144,-5419" coordsize="5393,236">
              <v:shape id="_x0000_s3805" style="position:absolute;left:3144;top:-5419;width:5393;height:236" coordorigin="3144,-5419" coordsize="5393,236" path="m3144,-5419r5393,l8537,-5183r-5393,l3144,-5419xe" fillcolor="#f2f2f2" stroked="f">
                <v:path arrowok="t"/>
              </v:shape>
            </v:group>
            <v:group id="_x0000_s3806" style="position:absolute;left:3144;top:-5183;width:5393;height:236" coordorigin="3144,-5183" coordsize="5393,236">
              <v:shape id="_x0000_s3807" style="position:absolute;left:3144;top:-5183;width:5393;height:236" coordorigin="3144,-5183" coordsize="5393,236" path="m3144,-5183r5393,l8537,-4948r-5393,l3144,-5183xe" fillcolor="#f2f2f2" stroked="f">
                <v:path arrowok="t"/>
              </v:shape>
            </v:group>
            <v:group id="_x0000_s3808" style="position:absolute;left:3144;top:-4948;width:5393;height:238" coordorigin="3144,-4948" coordsize="5393,238">
              <v:shape id="_x0000_s3809" style="position:absolute;left:3144;top:-4948;width:5393;height:238" coordorigin="3144,-4948" coordsize="5393,238" path="m3144,-4948r5393,l8537,-4711r-5393,l3144,-4948xe" fillcolor="#f2f2f2" stroked="f">
                <v:path arrowok="t"/>
              </v:shape>
            </v:group>
            <v:group id="_x0000_s3810" style="position:absolute;left:3144;top:-4682;width:5393;height:236" coordorigin="3144,-4682" coordsize="5393,236">
              <v:shape id="_x0000_s3811" style="position:absolute;left:3144;top:-4682;width:5393;height:236" coordorigin="3144,-4682" coordsize="5393,236" path="m3144,-4682r5393,l8537,-4447r-5393,l3144,-4682xe" fillcolor="#f2f2f2" stroked="f">
                <v:path arrowok="t"/>
              </v:shape>
            </v:group>
            <v:group id="_x0000_s3812" style="position:absolute;left:3144;top:-4447;width:5393;height:236" coordorigin="3144,-4447" coordsize="5393,236">
              <v:shape id="_x0000_s3813" style="position:absolute;left:3144;top:-4447;width:5393;height:236" coordorigin="3144,-4447" coordsize="5393,236" path="m3144,-4447r5393,l8537,-4211r-5393,l3144,-4447xe" fillcolor="#f2f2f2" stroked="f">
                <v:path arrowok="t"/>
              </v:shape>
            </v:group>
            <v:group id="_x0000_s3814" style="position:absolute;left:3144;top:-4211;width:5393;height:197" coordorigin="3144,-4211" coordsize="5393,197">
              <v:shape id="_x0000_s3815" style="position:absolute;left:3144;top:-4211;width:5393;height:197" coordorigin="3144,-4211" coordsize="5393,197" path="m3144,-4211r5393,l8537,-4015r-5393,l3144,-4211xe" fillcolor="#f2f2f2" stroked="f">
                <v:path arrowok="t"/>
              </v:shape>
            </v:group>
            <v:group id="_x0000_s3816" style="position:absolute;left:3144;top:-4015;width:5393;height:236" coordorigin="3144,-4015" coordsize="5393,236">
              <v:shape id="_x0000_s3817" style="position:absolute;left:3144;top:-4015;width:5393;height:236" coordorigin="3144,-4015" coordsize="5393,236" path="m3144,-4015r5393,l8537,-3779r-5393,l3144,-4015xe" fillcolor="#f2f2f2" stroked="f">
                <v:path arrowok="t"/>
              </v:shape>
            </v:group>
            <v:group id="_x0000_s3818" style="position:absolute;left:3144;top:-3779;width:5393;height:197" coordorigin="3144,-3779" coordsize="5393,197">
              <v:shape id="_x0000_s3819" style="position:absolute;left:3144;top:-3779;width:5393;height:197" coordorigin="3144,-3779" coordsize="5393,197" path="m3144,-3779r5393,l8537,-3583r-5393,l3144,-3779xe" fillcolor="#f2f2f2" stroked="f">
                <v:path arrowok="t"/>
              </v:shape>
            </v:group>
            <v:group id="_x0000_s3820" style="position:absolute;left:3144;top:-3583;width:5393;height:236" coordorigin="3144,-3583" coordsize="5393,236">
              <v:shape id="_x0000_s3821" style="position:absolute;left:3144;top:-3583;width:5393;height:236" coordorigin="3144,-3583" coordsize="5393,236" path="m3144,-3583r5393,l8537,-3347r-5393,l3144,-3583xe" fillcolor="#f2f2f2" stroked="f">
                <v:path arrowok="t"/>
              </v:shape>
            </v:group>
            <v:group id="_x0000_s3822" style="position:absolute;left:3144;top:-3347;width:5393;height:236" coordorigin="3144,-3347" coordsize="5393,236">
              <v:shape id="_x0000_s3823" style="position:absolute;left:3144;top:-3347;width:5393;height:236" coordorigin="3144,-3347" coordsize="5393,236" path="m3144,-3347r5393,l8537,-3112r-5393,l3144,-3347xe" fillcolor="#f2f2f2" stroked="f">
                <v:path arrowok="t"/>
              </v:shape>
            </v:group>
            <v:group id="_x0000_s3824" style="position:absolute;left:3144;top:-3112;width:5393;height:236" coordorigin="3144,-3112" coordsize="5393,236">
              <v:shape id="_x0000_s3825" style="position:absolute;left:3144;top:-3112;width:5393;height:236" coordorigin="3144,-3112" coordsize="5393,236" path="m3144,-3112r5393,l8537,-2877r-5393,l3144,-3112xe" fillcolor="#f2f2f2" stroked="f">
                <v:path arrowok="t"/>
              </v:shape>
            </v:group>
            <v:group id="_x0000_s3826" style="position:absolute;left:3144;top:-2877;width:5393;height:236" coordorigin="3144,-2877" coordsize="5393,236">
              <v:shape id="_x0000_s3827" style="position:absolute;left:3144;top:-2877;width:5393;height:236" coordorigin="3144,-2877" coordsize="5393,236" path="m3144,-2877r5393,l8537,-2642r-5393,l3144,-2877xe" fillcolor="#f2f2f2" stroked="f">
                <v:path arrowok="t"/>
              </v:shape>
            </v:group>
            <v:group id="_x0000_s3828" style="position:absolute;left:3144;top:-2642;width:5393;height:238" coordorigin="3144,-2642" coordsize="5393,238">
              <v:shape id="_x0000_s3829" style="position:absolute;left:3144;top:-2642;width:5393;height:238" coordorigin="3144,-2642" coordsize="5393,238" path="m3144,-2642r5393,l8537,-2404r-5393,l3144,-2642xe" fillcolor="#f2f2f2" stroked="f">
                <v:path arrowok="t"/>
              </v:shape>
            </v:group>
            <v:group id="_x0000_s3830" style="position:absolute;left:3144;top:-2375;width:5393;height:236" coordorigin="3144,-2375" coordsize="5393,236">
              <v:shape id="_x0000_s3831" style="position:absolute;left:3144;top:-2375;width:5393;height:236" coordorigin="3144,-2375" coordsize="5393,236" path="m3144,-2375r5393,l8537,-2140r-5393,l3144,-2375xe" fillcolor="#f2f2f2" stroked="f">
                <v:path arrowok="t"/>
              </v:shape>
            </v:group>
            <v:group id="_x0000_s3832" style="position:absolute;left:3144;top:-2140;width:5393;height:238" coordorigin="3144,-2140" coordsize="5393,238">
              <v:shape id="_x0000_s3833" style="position:absolute;left:3144;top:-2140;width:5393;height:238" coordorigin="3144,-2140" coordsize="5393,238" path="m3144,-2140r5393,l8537,-1903r-5393,l3144,-2140xe" fillcolor="#f2f2f2" stroked="f">
                <v:path arrowok="t"/>
              </v:shape>
            </v:group>
            <v:group id="_x0000_s3834" style="position:absolute;left:3144;top:-1903;width:5393;height:195" coordorigin="3144,-1903" coordsize="5393,195">
              <v:shape id="_x0000_s3835" style="position:absolute;left:3144;top:-1903;width:5393;height:195" coordorigin="3144,-1903" coordsize="5393,195" path="m3144,-1903r5393,l8537,-1708r-5393,l3144,-1903xe" fillcolor="#f2f2f2" stroked="f">
                <v:path arrowok="t"/>
              </v:shape>
            </v:group>
            <v:group id="_x0000_s3836" style="position:absolute;left:3144;top:-1708;width:5393;height:197" coordorigin="3144,-1708" coordsize="5393,197">
              <v:shape id="_x0000_s3837" style="position:absolute;left:3144;top:-1708;width:5393;height:197" coordorigin="3144,-1708" coordsize="5393,197" path="m3144,-1708r5393,l8537,-1511r-5393,l3144,-1708xe" fillcolor="#f2f2f2" stroked="f">
                <v:path arrowok="t"/>
              </v:shape>
            </v:group>
            <v:group id="_x0000_s3838" style="position:absolute;left:3144;top:-1511;width:5393;height:236" coordorigin="3144,-1511" coordsize="5393,236">
              <v:shape id="_x0000_s3839" style="position:absolute;left:3144;top:-1511;width:5393;height:236" coordorigin="3144,-1511" coordsize="5393,236" path="m3144,-1511r5393,l8537,-1276r-5393,l3144,-1511xe" fillcolor="#f2f2f2" stroked="f">
                <v:path arrowok="t"/>
              </v:shape>
            </v:group>
            <w10:wrap anchorx="page"/>
          </v:group>
        </w:pict>
      </w:r>
      <w:r w:rsidR="00AD05D6">
        <w:rPr>
          <w:rFonts w:ascii="Times New Roman" w:hAnsi="Times New Roman"/>
          <w:sz w:val="24"/>
        </w:rPr>
        <w:t>1. tabula. Ar bioekonomiku saistītie ES politikas virzieni.</w:t>
      </w:r>
    </w:p>
    <w:p w14:paraId="79B24F05" w14:textId="6A355E1A" w:rsidR="00CF10CD" w:rsidRDefault="00CF10CD" w:rsidP="001F2648">
      <w:pPr>
        <w:jc w:val="both"/>
        <w:rPr>
          <w:rFonts w:ascii="Times New Roman" w:eastAsia="Verdana" w:hAnsi="Times New Roman" w:cs="Verdana"/>
          <w:noProof/>
          <w:sz w:val="24"/>
          <w:szCs w:val="14"/>
        </w:rPr>
      </w:pPr>
    </w:p>
    <w:p w14:paraId="1C6802F5" w14:textId="77777777" w:rsidR="0088409F" w:rsidRPr="00DF28F7" w:rsidRDefault="0088409F" w:rsidP="001F2648">
      <w:pPr>
        <w:jc w:val="both"/>
        <w:rPr>
          <w:rFonts w:ascii="Times New Roman" w:eastAsia="Verdana" w:hAnsi="Times New Roman" w:cs="Verdana"/>
          <w:noProof/>
          <w:sz w:val="24"/>
          <w:szCs w:val="14"/>
        </w:rPr>
      </w:pPr>
    </w:p>
    <w:p w14:paraId="488E62F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Bioekonomikas stratēģija nodrošina saskaņotu struktūru, kas aptver dažādas nozares un politikas virzienus, ļaujot veidot sinerģijas (t. i., pakalpojuma izmantošana, kura rezultātā uzlabojas cita pakalpojuma sniegšana), risināt kompromisa jautājumus (t. i., pakalpojuma izmantošana, kaitējot citam pakalpojumam) un nodrošināt ilgtspēju dažādu politikas un nozaru mērķu starpā. Jo īpaši atjaunotā rūpniecības politikas stratēģija, aprites ekonomikas rīcības plāns un inovācijas paātrināšana tīras enerģijas jomā norāda uz bioekonomiku kā galveno faktoru, kas ļauj paātrināt virzību uz aprites mazoglekļa ekonomiku.</w:t>
      </w:r>
    </w:p>
    <w:p w14:paraId="1978343E" w14:textId="77777777" w:rsidR="0083515C" w:rsidRPr="00DF28F7" w:rsidRDefault="0083515C" w:rsidP="001F2648">
      <w:pPr>
        <w:jc w:val="both"/>
        <w:rPr>
          <w:rFonts w:ascii="Times New Roman" w:eastAsia="Verdana" w:hAnsi="Times New Roman" w:cs="Verdana"/>
          <w:noProof/>
          <w:sz w:val="24"/>
          <w:szCs w:val="19"/>
        </w:rPr>
      </w:pPr>
    </w:p>
    <w:p w14:paraId="3378E81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Tāpēc Eiropas Komisija atjaunina Eiropas Bioekonomikas stratēģiju, reaģējot uz pašreizējām politikas prioritārajām vajadzībām. Saskaņā ar jaunajiem ES politikas virzieniem atjauninātās Eiropas Bioekonomikas stratēģijas jaunie mērķi ir šādi:</w:t>
      </w:r>
    </w:p>
    <w:p w14:paraId="406BC132" w14:textId="77777777" w:rsidR="0083515C" w:rsidRPr="00DF28F7" w:rsidRDefault="0083515C" w:rsidP="001F2648">
      <w:pPr>
        <w:jc w:val="both"/>
        <w:rPr>
          <w:rFonts w:ascii="Times New Roman" w:eastAsia="Verdana" w:hAnsi="Times New Roman" w:cs="Verdana"/>
          <w:noProof/>
          <w:sz w:val="24"/>
          <w:szCs w:val="19"/>
        </w:rPr>
      </w:pPr>
    </w:p>
    <w:p w14:paraId="00DF8006" w14:textId="77777777" w:rsidR="0083515C" w:rsidRPr="00DF28F7" w:rsidRDefault="007C18AA" w:rsidP="007C18AA">
      <w:pPr>
        <w:pStyle w:val="BodyText"/>
        <w:tabs>
          <w:tab w:val="left" w:pos="833"/>
        </w:tabs>
        <w:ind w:left="426"/>
        <w:jc w:val="both"/>
        <w:rPr>
          <w:rFonts w:ascii="Times New Roman" w:hAnsi="Times New Roman"/>
          <w:noProof/>
          <w:sz w:val="24"/>
          <w:szCs w:val="12"/>
        </w:rPr>
      </w:pPr>
      <w:r>
        <w:rPr>
          <w:rFonts w:ascii="Times New Roman" w:hAnsi="Times New Roman"/>
          <w:sz w:val="24"/>
        </w:rPr>
        <w:t xml:space="preserve">1. </w:t>
      </w:r>
      <w:r>
        <w:rPr>
          <w:rFonts w:ascii="Times New Roman" w:hAnsi="Times New Roman"/>
          <w:i/>
          <w:iCs/>
          <w:sz w:val="24"/>
        </w:rPr>
        <w:t>Pārtikas nodrošinājuma garantēšana.</w:t>
      </w:r>
      <w:r>
        <w:rPr>
          <w:rFonts w:ascii="Times New Roman" w:hAnsi="Times New Roman"/>
          <w:sz w:val="24"/>
        </w:rPr>
        <w:t xml:space="preserve"> Pārtikas un lauksaimniecības sistēmas ir būtiska bioekonomikas sastāvdaļa, bet, ņemot vērā pieaugošo pasaules iedzīvotāju skaitu, klimata pārmaiņas un citas vides problēmas, tostarp ūdens trūkumu, kā arī bioloģiskās daudzveidības un produktīvās zemes samazināšanos, minētās sistēmas ir steidzami jāpārveido, lai tās kļūtu ilgtspējīgākas, uzturvērtīgākas, noturīgas un iekļaujošas;</w:t>
      </w:r>
      <w:r>
        <w:rPr>
          <w:rStyle w:val="FootnoteReference"/>
          <w:rFonts w:ascii="Times New Roman" w:hAnsi="Times New Roman"/>
          <w:noProof/>
          <w:sz w:val="24"/>
        </w:rPr>
        <w:footnoteReference w:id="79"/>
      </w:r>
    </w:p>
    <w:p w14:paraId="193F0607" w14:textId="77777777" w:rsidR="0083515C" w:rsidRPr="00DF28F7" w:rsidRDefault="007C18AA" w:rsidP="007C18AA">
      <w:pPr>
        <w:pStyle w:val="BodyText"/>
        <w:tabs>
          <w:tab w:val="left" w:pos="833"/>
        </w:tabs>
        <w:ind w:left="426"/>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Dabas resursu ilgtspējīga apsaimniekošana</w:t>
      </w:r>
      <w:r>
        <w:rPr>
          <w:rFonts w:ascii="Times New Roman" w:hAnsi="Times New Roman"/>
          <w:sz w:val="24"/>
        </w:rPr>
        <w:t xml:space="preserve"> ir būtisks priekšnoteikums bioekonomikas </w:t>
      </w:r>
      <w:r>
        <w:rPr>
          <w:rFonts w:ascii="Times New Roman" w:hAnsi="Times New Roman"/>
          <w:sz w:val="24"/>
        </w:rPr>
        <w:lastRenderedPageBreak/>
        <w:t>īstenošanai, jo tās aspektu savstarpējā saistība aizvien pieaug. Ņemot vērā pieaugošo pieprasījumu pēc biomasas, aprites bioekonomika vairāk nekā jebkad agrāk ir atkarīga no bioloģisko resursu efektīvas un ilgtspējīgas izmantošanas. Eiropas Bioekonomikas stratēģijas mērķis ir atjaunot un uzlabot ekosistēmas, piemēram, pievēršoties pasaules okeānu veselības pasliktināšanās un bioloģiskās daudzveidības sabrukuma pamatcēloņiem;</w:t>
      </w:r>
    </w:p>
    <w:p w14:paraId="21D6F597" w14:textId="77777777" w:rsidR="0083515C" w:rsidRPr="00DF28F7" w:rsidRDefault="007C18AA" w:rsidP="007C18AA">
      <w:pPr>
        <w:pStyle w:val="BodyText"/>
        <w:tabs>
          <w:tab w:val="left" w:pos="833"/>
        </w:tabs>
        <w:ind w:left="426"/>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Atkarības samazināšana no neatjaunojamiem resursiem</w:t>
      </w:r>
      <w:r>
        <w:rPr>
          <w:rFonts w:ascii="Times New Roman" w:hAnsi="Times New Roman"/>
          <w:sz w:val="24"/>
        </w:rPr>
        <w:t>, tostarp fosilā kurināmā aizstāšana. Mūsdienās bioenerģija ir lielākais ES atjaunojamās enerģijas avots, un paredzams, ka arī 2030. gadā tā būs svarīgs energoresursu struktūras elements.</w:t>
      </w:r>
      <w:r>
        <w:rPr>
          <w:rStyle w:val="FootnoteReference"/>
          <w:rFonts w:ascii="Times New Roman" w:hAnsi="Times New Roman"/>
          <w:noProof/>
          <w:sz w:val="24"/>
        </w:rPr>
        <w:footnoteReference w:id="80"/>
      </w:r>
      <w:r>
        <w:rPr>
          <w:rFonts w:ascii="Times New Roman" w:hAnsi="Times New Roman"/>
          <w:sz w:val="24"/>
        </w:rPr>
        <w:t xml:space="preserve"> Turklāt, nodrošinot paplašinātu un stiprinātu uz bioresursiem balstīto nozari, var paveikt vairāk, nekā aizstājot neatjaunojamos resursus – tā var atbalstīt ES rūpniecības bāzes atjaunošanu; tā var veicināt rūpniecības ražojumu ekoloģiskumu; tā var palīdzēt sistemātiski pārvērst bioatkritumus un izmetumus vērtībā, tādējādi panākot atbilstību aprites principiem;</w:t>
      </w:r>
    </w:p>
    <w:p w14:paraId="4E9865ED" w14:textId="77777777" w:rsidR="0083515C" w:rsidRPr="00DF28F7" w:rsidRDefault="007C18AA" w:rsidP="007C18AA">
      <w:pPr>
        <w:pStyle w:val="BodyText"/>
        <w:tabs>
          <w:tab w:val="left" w:pos="833"/>
        </w:tabs>
        <w:ind w:left="426"/>
        <w:jc w:val="both"/>
        <w:rPr>
          <w:rFonts w:ascii="Times New Roman" w:hAnsi="Times New Roman"/>
          <w:noProof/>
          <w:sz w:val="24"/>
          <w:szCs w:val="12"/>
        </w:rPr>
      </w:pPr>
      <w:r>
        <w:rPr>
          <w:rFonts w:ascii="Times New Roman" w:hAnsi="Times New Roman"/>
          <w:sz w:val="24"/>
        </w:rPr>
        <w:t xml:space="preserve">4. </w:t>
      </w:r>
      <w:r>
        <w:rPr>
          <w:rFonts w:ascii="Times New Roman" w:hAnsi="Times New Roman"/>
          <w:i/>
          <w:iCs/>
          <w:sz w:val="24"/>
        </w:rPr>
        <w:t>Klimata pārmaiņu mazināšana un pielāgošanās tām</w:t>
      </w:r>
      <w:r>
        <w:rPr>
          <w:rFonts w:ascii="Times New Roman" w:hAnsi="Times New Roman"/>
          <w:sz w:val="24"/>
        </w:rPr>
        <w:t>, apvienojot uzlabotus ekosistēmu pakalpojumus un atjaunotu uz bioresursiem balstīto industriālo bāzi, tādējādi samazinot enerģijas pieprasījumu un emisijas, kā arī nodrošinot resursu ziņā efektīvāku un ilgtspējīgāku primāro ražošanu uz sauszemes un jūrā. Ilgtspējīgai bioekonomikai ir galvenā loma spiediena samazināšanā uz galvenajām ekosistēmām, piemēram, okeāniem, mežiem un augsni, līdz tādam līmenim, kas atbilst visām planētas robežām, un tā atbalsta šo ekosistēmu galveno lomu līdzsvarotu barības vielu aprites ciklu nodrošināšanā un oglekļa piesaistīšanā;</w:t>
      </w:r>
      <w:r>
        <w:rPr>
          <w:rStyle w:val="FootnoteReference"/>
          <w:rFonts w:ascii="Times New Roman" w:hAnsi="Times New Roman"/>
          <w:noProof/>
          <w:sz w:val="24"/>
        </w:rPr>
        <w:footnoteReference w:id="81"/>
      </w:r>
    </w:p>
    <w:p w14:paraId="478B22E8" w14:textId="77777777" w:rsidR="0083515C" w:rsidRPr="00DF28F7" w:rsidRDefault="0083515C" w:rsidP="007C18AA">
      <w:pPr>
        <w:pStyle w:val="BodyText"/>
        <w:ind w:left="426"/>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Darba vietu radīšana un Eiropas konkurētspējas stiprināšana.</w:t>
      </w:r>
      <w:r>
        <w:rPr>
          <w:rFonts w:ascii="Times New Roman" w:hAnsi="Times New Roman"/>
          <w:sz w:val="24"/>
        </w:rPr>
        <w:t xml:space="preserve"> Bioekonomikas nozarēs 2015. gadā tika nodarbināts gandrīz katrs desmitais darba ņēmējs Eiropas Savienībā – 18 miljoni iedzīvotāju –, un tās radīja 2,3 triljonu EUR apgrozījumu.</w:t>
      </w:r>
      <w:r w:rsidR="00576316">
        <w:rPr>
          <w:rStyle w:val="FootnoteReference"/>
          <w:rFonts w:ascii="Times New Roman" w:hAnsi="Times New Roman"/>
          <w:noProof/>
          <w:sz w:val="24"/>
        </w:rPr>
        <w:footnoteReference w:id="82"/>
      </w:r>
      <w:r>
        <w:rPr>
          <w:rFonts w:ascii="Times New Roman" w:hAnsi="Times New Roman"/>
          <w:sz w:val="24"/>
        </w:rPr>
        <w:t xml:space="preserve"> Ilgtspējīgas bioekonomikas ieviešana veicinās dažu no ES nozīmīgāko sektoru un nozaru konkurētspēju, izmantojot augstos sasniegumus dzīvības zinātnēs un biotehnoloģijās, kā arī inovācijas, kas sapludina fizisko, digitālo un bioloģisko pasauli. Konkurētspējīgas un ilgtspējīgas bioekonomikas ieguvumu samērīgāka sadale starp primārajiem ražotājiem varētu sekmēt darbavietu radīšanu vietējā līmenī.</w:t>
      </w:r>
    </w:p>
    <w:p w14:paraId="3FC6EC5B" w14:textId="77777777" w:rsidR="0083515C" w:rsidRPr="00DF28F7" w:rsidRDefault="0083515C" w:rsidP="001F2648">
      <w:pPr>
        <w:jc w:val="both"/>
        <w:rPr>
          <w:rFonts w:ascii="Times New Roman" w:hAnsi="Times New Roman"/>
          <w:noProof/>
          <w:sz w:val="24"/>
        </w:rPr>
      </w:pPr>
    </w:p>
    <w:p w14:paraId="4D66433D"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 xml:space="preserve">Ar šo Stratēģiju un Rīcības plānu Eiropas Komisija vēl vairāk apliecina savu apņemšanos “(..) </w:t>
      </w:r>
      <w:r>
        <w:rPr>
          <w:rFonts w:ascii="Times New Roman" w:hAnsi="Times New Roman"/>
          <w:i/>
          <w:iCs/>
          <w:sz w:val="24"/>
        </w:rPr>
        <w:t>iestrādāt ilgtspējīgas attīstības mērķus ES politikā un iniciatīvās, nosakot ilgtspējīgu attīstību kā būtisku vadošo principu visās politikas jomās</w:t>
      </w:r>
      <w:r>
        <w:rPr>
          <w:rFonts w:ascii="Times New Roman" w:hAnsi="Times New Roman"/>
          <w:sz w:val="24"/>
        </w:rPr>
        <w:t>”.</w:t>
      </w:r>
      <w:r w:rsidR="00576316">
        <w:rPr>
          <w:rStyle w:val="FootnoteReference"/>
          <w:rFonts w:ascii="Times New Roman" w:hAnsi="Times New Roman"/>
          <w:noProof/>
          <w:sz w:val="24"/>
        </w:rPr>
        <w:footnoteReference w:id="83"/>
      </w:r>
      <w:r>
        <w:rPr>
          <w:rFonts w:ascii="Times New Roman" w:hAnsi="Times New Roman"/>
          <w:sz w:val="24"/>
          <w:vertAlign w:val="superscript"/>
        </w:rPr>
        <w:t>,</w:t>
      </w:r>
      <w:r w:rsidR="00576316">
        <w:rPr>
          <w:rStyle w:val="FootnoteReference"/>
          <w:rFonts w:ascii="Times New Roman" w:hAnsi="Times New Roman"/>
          <w:noProof/>
          <w:sz w:val="24"/>
        </w:rPr>
        <w:footnoteReference w:id="84"/>
      </w:r>
      <w:r>
        <w:rPr>
          <w:rFonts w:ascii="Times New Roman" w:hAnsi="Times New Roman"/>
          <w:sz w:val="24"/>
        </w:rPr>
        <w:t xml:space="preserve"> Tā tiecas panākt arī labāku bioekonomikas integrāciju ar aprites ekonomiku, kā savā ziņojumā par kohēziju un aprites ekonomiku norādījis Eiropas Parlaments.</w:t>
      </w:r>
      <w:r w:rsidR="00576316">
        <w:rPr>
          <w:rStyle w:val="FootnoteReference"/>
          <w:rFonts w:ascii="Times New Roman" w:hAnsi="Times New Roman"/>
          <w:noProof/>
          <w:sz w:val="24"/>
        </w:rPr>
        <w:footnoteReference w:id="85"/>
      </w:r>
    </w:p>
    <w:p w14:paraId="672E4F61" w14:textId="77777777" w:rsidR="0083515C" w:rsidRPr="00DF28F7" w:rsidRDefault="0083515C" w:rsidP="001F2648">
      <w:pPr>
        <w:jc w:val="both"/>
        <w:rPr>
          <w:rFonts w:ascii="Times New Roman" w:eastAsia="Verdana" w:hAnsi="Times New Roman" w:cs="Verdana"/>
          <w:noProof/>
          <w:sz w:val="24"/>
        </w:rPr>
      </w:pPr>
    </w:p>
    <w:p w14:paraId="76A81C5E" w14:textId="77777777" w:rsidR="0083515C" w:rsidRPr="00DF28F7" w:rsidRDefault="0083515C" w:rsidP="001F2648">
      <w:pPr>
        <w:jc w:val="both"/>
        <w:rPr>
          <w:rFonts w:ascii="Times New Roman" w:eastAsia="Verdana" w:hAnsi="Times New Roman" w:cs="Verdana"/>
          <w:noProof/>
          <w:sz w:val="24"/>
        </w:rPr>
      </w:pPr>
    </w:p>
    <w:p w14:paraId="2A554413" w14:textId="77777777" w:rsidR="0083515C" w:rsidRPr="00576316" w:rsidRDefault="0083515C" w:rsidP="001F2648">
      <w:pPr>
        <w:pStyle w:val="Heading2"/>
        <w:ind w:left="0" w:firstLine="0"/>
        <w:jc w:val="both"/>
        <w:rPr>
          <w:i/>
          <w:iCs/>
          <w:noProof/>
          <w:sz w:val="24"/>
        </w:rPr>
      </w:pPr>
      <w:bookmarkStart w:id="19" w:name="_TOC_250001"/>
      <w:bookmarkStart w:id="20" w:name="_Toc63672638"/>
      <w:r>
        <w:rPr>
          <w:i/>
          <w:sz w:val="24"/>
        </w:rPr>
        <w:t>2.2. ES Bioekonomika</w:t>
      </w:r>
      <w:bookmarkEnd w:id="19"/>
      <w:bookmarkEnd w:id="20"/>
    </w:p>
    <w:p w14:paraId="2421658B" w14:textId="77777777" w:rsidR="0083515C" w:rsidRPr="00DF28F7" w:rsidRDefault="0083515C" w:rsidP="001F2648">
      <w:pPr>
        <w:jc w:val="both"/>
        <w:rPr>
          <w:rFonts w:ascii="Times New Roman" w:eastAsia="Times New Roman" w:hAnsi="Times New Roman" w:cs="Times New Roman"/>
          <w:noProof/>
          <w:sz w:val="24"/>
          <w:szCs w:val="20"/>
        </w:rPr>
      </w:pPr>
    </w:p>
    <w:p w14:paraId="30415AC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Bioekonomika aptver visas nozares un sistēmas, kas balstās uz bioloģiskajiem resursiem </w:t>
      </w:r>
      <w:r>
        <w:rPr>
          <w:rFonts w:ascii="Times New Roman" w:hAnsi="Times New Roman"/>
          <w:sz w:val="24"/>
        </w:rPr>
        <w:lastRenderedPageBreak/>
        <w:t>(dzīvnieki, augi, mikroorganismi un no tiem iegūta biomasa, ieskaitot organiskos atkritumus), to funkcijām un principiem. Tā aptver un sasaista sauszemes un jūras ekosistēmas un to sniegtos pakalpojumus, visas primārās ražošanas nozares, kas izmanto un ražo bioloģiskos resursus (t. i., lauksaimniecību, mežsaimniecību, zivsaimniecību un akvakultūru), un visas ekonomikas un rūpniecības nozares, kas izmanto bioloģiskos resursus un procesus pārtikas, lopbarības, bioproduktu, enerģijas un pakalpojumu ražošanai. Tā skar minētās nozares un sistēmas, savstarpēji saistot tās un radot sinerģijas. Lai gan uz bioresursiem balstīto procesu pamatā ir biotehnoloģijas, bioekonomikas definīcija neietver veselības biotehnoloģijas un biomedicīnu.</w:t>
      </w:r>
    </w:p>
    <w:p w14:paraId="5643DFCD" w14:textId="77777777" w:rsidR="0083515C" w:rsidRPr="00DF28F7" w:rsidRDefault="0083515C" w:rsidP="001F2648">
      <w:pPr>
        <w:jc w:val="both"/>
        <w:rPr>
          <w:rFonts w:ascii="Times New Roman" w:eastAsia="Verdana" w:hAnsi="Times New Roman" w:cs="Verdana"/>
          <w:noProof/>
          <w:sz w:val="24"/>
          <w:szCs w:val="20"/>
        </w:rPr>
      </w:pPr>
    </w:p>
    <w:p w14:paraId="04EDAA1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Pastāv uzskats, ka pasākumi ilgtspējīgas bioekonomikas jomā ir svarīgi ilgtspējīgas attīstības mērķu sasniegšanai (1. attēls) – no pārtikas un uztura nodrošinātības līdz enerģijas pieejamības un veselības nodrošināšanai.</w:t>
      </w:r>
      <w:r w:rsidR="00576316">
        <w:rPr>
          <w:rStyle w:val="FootnoteReference"/>
          <w:rFonts w:ascii="Times New Roman" w:hAnsi="Times New Roman"/>
          <w:noProof/>
          <w:sz w:val="24"/>
        </w:rPr>
        <w:footnoteReference w:id="86"/>
      </w:r>
      <w:r>
        <w:rPr>
          <w:rFonts w:ascii="Times New Roman" w:hAnsi="Times New Roman"/>
          <w:sz w:val="24"/>
        </w:rPr>
        <w:t xml:space="preserve"> Turpmāk sniegts bioekonomikas ekonomiskās, sociālās un vides dimensijas pārskats, kā arī tās paredzamā ietekme virzībā uz 2030. gadu.</w:t>
      </w:r>
    </w:p>
    <w:p w14:paraId="2CA22BEA" w14:textId="77777777" w:rsidR="0083515C" w:rsidRPr="00DF28F7" w:rsidRDefault="0083515C" w:rsidP="001F2648">
      <w:pPr>
        <w:jc w:val="both"/>
        <w:rPr>
          <w:rFonts w:ascii="Times New Roman" w:eastAsia="Verdana" w:hAnsi="Times New Roman" w:cs="Verdana"/>
          <w:noProof/>
          <w:sz w:val="24"/>
          <w:szCs w:val="19"/>
        </w:rPr>
      </w:pPr>
    </w:p>
    <w:p w14:paraId="647B6C66" w14:textId="54BA5489" w:rsidR="0083515C" w:rsidRPr="00DF28F7" w:rsidRDefault="0088409F" w:rsidP="00576316">
      <w:pPr>
        <w:jc w:val="center"/>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0B49F98B" wp14:editId="2FF700F2">
            <wp:extent cx="5448300" cy="3805162"/>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4828" cy="3809721"/>
                    </a:xfrm>
                    <a:prstGeom prst="rect">
                      <a:avLst/>
                    </a:prstGeom>
                    <a:noFill/>
                    <a:ln>
                      <a:noFill/>
                    </a:ln>
                  </pic:spPr>
                </pic:pic>
              </a:graphicData>
            </a:graphic>
          </wp:inline>
        </w:drawing>
      </w:r>
    </w:p>
    <w:p w14:paraId="39FD853B" w14:textId="77777777" w:rsidR="00576316" w:rsidRPr="00DF28F7" w:rsidRDefault="00576316" w:rsidP="001F2648">
      <w:pPr>
        <w:jc w:val="both"/>
        <w:rPr>
          <w:rFonts w:ascii="Times New Roman" w:eastAsia="Verdana" w:hAnsi="Times New Roman" w:cs="Verdana"/>
          <w:noProof/>
          <w:sz w:val="24"/>
          <w:szCs w:val="21"/>
        </w:rPr>
      </w:pPr>
    </w:p>
    <w:p w14:paraId="4DED002D" w14:textId="77777777" w:rsidR="0083515C" w:rsidRPr="0088409F" w:rsidRDefault="0083515C" w:rsidP="001F2648">
      <w:pPr>
        <w:jc w:val="both"/>
        <w:rPr>
          <w:rFonts w:ascii="Times New Roman" w:eastAsia="Verdana" w:hAnsi="Times New Roman" w:cs="Verdana"/>
          <w:noProof/>
          <w:sz w:val="20"/>
          <w:szCs w:val="20"/>
        </w:rPr>
      </w:pPr>
      <w:r w:rsidRPr="0088409F">
        <w:rPr>
          <w:rFonts w:ascii="Times New Roman" w:hAnsi="Times New Roman"/>
          <w:sz w:val="20"/>
          <w:szCs w:val="20"/>
        </w:rPr>
        <w:t xml:space="preserve">1. attēls. Ilgtspējīgas attīstības mērķu “kāzu torte”. Avots: </w:t>
      </w:r>
      <w:r w:rsidRPr="0088409F">
        <w:rPr>
          <w:rFonts w:ascii="Times New Roman" w:hAnsi="Times New Roman"/>
          <w:i/>
          <w:iCs/>
          <w:sz w:val="20"/>
          <w:szCs w:val="20"/>
        </w:rPr>
        <w:t>Azote Images</w:t>
      </w:r>
      <w:r w:rsidRPr="0088409F">
        <w:rPr>
          <w:rFonts w:ascii="Times New Roman" w:hAnsi="Times New Roman"/>
          <w:sz w:val="20"/>
          <w:szCs w:val="20"/>
        </w:rPr>
        <w:t xml:space="preserve"> </w:t>
      </w:r>
      <w:r w:rsidRPr="0088409F">
        <w:rPr>
          <w:rFonts w:ascii="Times New Roman" w:hAnsi="Times New Roman"/>
          <w:i/>
          <w:iCs/>
          <w:sz w:val="20"/>
          <w:szCs w:val="20"/>
        </w:rPr>
        <w:t>Stockholm Resilience Centre.</w:t>
      </w:r>
    </w:p>
    <w:p w14:paraId="182C8CBA" w14:textId="77777777" w:rsidR="0083515C" w:rsidRPr="00DF28F7" w:rsidRDefault="0083515C" w:rsidP="001F2648">
      <w:pPr>
        <w:jc w:val="both"/>
        <w:rPr>
          <w:rFonts w:ascii="Times New Roman" w:eastAsia="Verdana" w:hAnsi="Times New Roman" w:cs="Verdana"/>
          <w:noProof/>
          <w:sz w:val="24"/>
          <w:szCs w:val="14"/>
        </w:rPr>
      </w:pPr>
    </w:p>
    <w:p w14:paraId="001F6EE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lastRenderedPageBreak/>
        <w:t>Saskaņā ar Eiropas Komisijas Kopīgā pētniecības centra (</w:t>
      </w:r>
      <w:r>
        <w:rPr>
          <w:rFonts w:ascii="Times New Roman" w:hAnsi="Times New Roman"/>
          <w:i/>
          <w:iCs/>
          <w:sz w:val="24"/>
        </w:rPr>
        <w:t>JRC</w:t>
      </w:r>
      <w:r>
        <w:rPr>
          <w:rFonts w:ascii="Times New Roman" w:hAnsi="Times New Roman"/>
          <w:sz w:val="24"/>
        </w:rPr>
        <w:t>) veikto darbu</w:t>
      </w:r>
      <w:r w:rsidR="00576316">
        <w:rPr>
          <w:rStyle w:val="FootnoteReference"/>
          <w:rFonts w:ascii="Times New Roman" w:hAnsi="Times New Roman"/>
          <w:noProof/>
          <w:sz w:val="24"/>
        </w:rPr>
        <w:footnoteReference w:id="87"/>
      </w:r>
      <w:r>
        <w:rPr>
          <w:rFonts w:ascii="Times New Roman" w:hAnsi="Times New Roman"/>
          <w:sz w:val="24"/>
        </w:rPr>
        <w:t xml:space="preserve"> 2015. gadā Eiropas Savienības 28 dalībvalstu bioekonomika radīja aptuveni 2,3 triljonus EUR apgrozījumu</w:t>
      </w:r>
      <w:r w:rsidR="00576316">
        <w:rPr>
          <w:rStyle w:val="FootnoteReference"/>
          <w:rFonts w:ascii="Times New Roman" w:hAnsi="Times New Roman"/>
          <w:noProof/>
          <w:sz w:val="24"/>
        </w:rPr>
        <w:footnoteReference w:id="88"/>
      </w:r>
      <w:r>
        <w:rPr>
          <w:rFonts w:ascii="Times New Roman" w:hAnsi="Times New Roman"/>
          <w:sz w:val="24"/>
        </w:rPr>
        <w:t>, kas ir par 5 % vairāk salīdzinājumā ar iepriekšējo gadu. Tajā pašā gadā bioekonomika radīja 621 miljarda EUR lielu pievienoto vērtību Eiropas Savienībā (2. attēls), kas ir 4,2 % no ES iekšzemes kopprodukta, un tajā ir nodarbināti vairāk nekā 18 miljoni ES iedzīvotāju</w:t>
      </w:r>
      <w:r w:rsidR="00576316">
        <w:rPr>
          <w:rStyle w:val="FootnoteReference"/>
          <w:rFonts w:ascii="Times New Roman" w:hAnsi="Times New Roman"/>
          <w:noProof/>
          <w:sz w:val="24"/>
        </w:rPr>
        <w:footnoteReference w:id="89"/>
      </w:r>
      <w:r>
        <w:rPr>
          <w:rFonts w:ascii="Times New Roman" w:hAnsi="Times New Roman"/>
          <w:sz w:val="24"/>
        </w:rPr>
        <w:t xml:space="preserve"> – galvenokārt lauksaimniecībā, kā arī pārtikas un dzērienu ražošanā (kopā 76 % no bioekonomikas jomā nodarbinātajiem). 2015. gadā visaugstākais pievienotās vērtības gada pieaugums bija novērojams uz bioresursiem balstīto ķīmisko vielu (izņemot biodegvielu) ražošanā (+26 %), bioelektroenerģijas ražošanā (+15 %), kā arī gumijas un uz bioresursiem balstītas plastmasas ražošanā (+13 %), kas kopumā radīja papildu pievienoto vērtību 3,5 miljardu EUR apmērā salīdzinājumā ar iepriekšējo gadu.</w:t>
      </w:r>
    </w:p>
    <w:p w14:paraId="50EE314A" w14:textId="77777777" w:rsidR="0083515C" w:rsidRPr="00DF28F7" w:rsidRDefault="0083515C" w:rsidP="001F2648">
      <w:pPr>
        <w:jc w:val="both"/>
        <w:rPr>
          <w:rFonts w:ascii="Times New Roman" w:eastAsia="Verdana" w:hAnsi="Times New Roman" w:cs="Verdana"/>
          <w:noProof/>
          <w:sz w:val="24"/>
          <w:szCs w:val="19"/>
        </w:rPr>
      </w:pPr>
    </w:p>
    <w:p w14:paraId="5CE5C584" w14:textId="619C22AF" w:rsidR="0083515C" w:rsidRPr="00DF28F7" w:rsidRDefault="00157B80" w:rsidP="00576316">
      <w:pPr>
        <w:jc w:val="center"/>
        <w:rPr>
          <w:rFonts w:ascii="Times New Roman" w:eastAsia="Verdana" w:hAnsi="Times New Roman" w:cs="Verdana"/>
          <w:noProof/>
          <w:sz w:val="24"/>
          <w:szCs w:val="20"/>
        </w:rPr>
      </w:pPr>
      <w:r>
        <w:rPr>
          <w:rFonts w:ascii="Times New Roman" w:eastAsia="Verdana" w:hAnsi="Times New Roman" w:cs="Verdana"/>
          <w:noProof/>
          <w:sz w:val="24"/>
          <w:szCs w:val="20"/>
        </w:rPr>
        <w:lastRenderedPageBreak/>
        <w:drawing>
          <wp:inline distT="0" distB="0" distL="0" distR="0" wp14:anchorId="333A83D4" wp14:editId="5A03DF58">
            <wp:extent cx="5760720" cy="59734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973445"/>
                    </a:xfrm>
                    <a:prstGeom prst="rect">
                      <a:avLst/>
                    </a:prstGeom>
                    <a:noFill/>
                    <a:ln>
                      <a:noFill/>
                    </a:ln>
                  </pic:spPr>
                </pic:pic>
              </a:graphicData>
            </a:graphic>
          </wp:inline>
        </w:drawing>
      </w:r>
    </w:p>
    <w:p w14:paraId="52BF91B7" w14:textId="77777777" w:rsidR="00576316" w:rsidRDefault="00576316" w:rsidP="001F2648">
      <w:pPr>
        <w:jc w:val="both"/>
        <w:rPr>
          <w:rFonts w:ascii="Times New Roman" w:hAnsi="Times New Roman"/>
          <w:noProof/>
          <w:sz w:val="24"/>
        </w:rPr>
      </w:pPr>
    </w:p>
    <w:p w14:paraId="1A45F306" w14:textId="77777777" w:rsidR="0083515C" w:rsidRPr="00157B80" w:rsidRDefault="0083515C" w:rsidP="001F2648">
      <w:pPr>
        <w:jc w:val="both"/>
        <w:rPr>
          <w:rFonts w:ascii="Times New Roman" w:hAnsi="Times New Roman"/>
          <w:noProof/>
          <w:sz w:val="20"/>
          <w:szCs w:val="20"/>
        </w:rPr>
      </w:pPr>
      <w:r w:rsidRPr="00157B80">
        <w:rPr>
          <w:rFonts w:ascii="Times New Roman" w:hAnsi="Times New Roman"/>
          <w:sz w:val="20"/>
          <w:szCs w:val="20"/>
        </w:rPr>
        <w:t>2. attēls. Apgrozījums (miljardi EUR), pievienotā vērtība (miljardi EUR) un nodarbinātība (miljoni iedzīvotāju) Eiropas Savienības 28 dalībvalstīs 2015. gadā, iedalīts atbilstoši bioekonomikas nozarēm.</w:t>
      </w:r>
      <w:r w:rsidR="0074628B" w:rsidRPr="00157B80">
        <w:rPr>
          <w:rStyle w:val="FootnoteReference"/>
          <w:rFonts w:ascii="Times New Roman" w:hAnsi="Times New Roman"/>
          <w:noProof/>
          <w:sz w:val="20"/>
          <w:szCs w:val="20"/>
        </w:rPr>
        <w:footnoteReference w:id="90"/>
      </w:r>
      <w:r w:rsidRPr="00157B80">
        <w:rPr>
          <w:rFonts w:ascii="Times New Roman" w:hAnsi="Times New Roman"/>
          <w:sz w:val="20"/>
          <w:szCs w:val="20"/>
        </w:rPr>
        <w:t xml:space="preserve"> Pārņemts no Eiropas Komisijas Bioekonomikas zināšanu centra (2018. gads), Informācija par darbavietām un bioekonomikas izaugsmi 2009.–2015. gadā. doi:10.2760/157298, JRC112875.</w:t>
      </w:r>
    </w:p>
    <w:p w14:paraId="0888E2FB" w14:textId="3DEB8D1C" w:rsidR="00CF10CD" w:rsidRDefault="00CF10CD" w:rsidP="001F2648">
      <w:pPr>
        <w:jc w:val="both"/>
        <w:rPr>
          <w:rFonts w:ascii="Times New Roman" w:eastAsia="Verdana" w:hAnsi="Times New Roman" w:cs="Verdana"/>
          <w:noProof/>
          <w:sz w:val="24"/>
          <w:szCs w:val="13"/>
        </w:rPr>
      </w:pPr>
    </w:p>
    <w:p w14:paraId="1091367A" w14:textId="77777777" w:rsidR="00157B80" w:rsidRPr="00DF28F7" w:rsidRDefault="00157B80" w:rsidP="001F2648">
      <w:pPr>
        <w:jc w:val="both"/>
        <w:rPr>
          <w:rFonts w:ascii="Times New Roman" w:eastAsia="Verdana" w:hAnsi="Times New Roman" w:cs="Verdana"/>
          <w:noProof/>
          <w:sz w:val="24"/>
          <w:szCs w:val="13"/>
        </w:rPr>
      </w:pPr>
    </w:p>
    <w:p w14:paraId="06787AB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Vācija, Francija, Itālija, Apvienotā Karaliste un Spānija radīja 64 % no kopējās ES bioekonomikas pievienotās vērtības 2015. gadā. Turklāt var novērot konkrētas valstu bioekonomikas iezīmes.</w:t>
      </w:r>
      <w:r w:rsidR="0074628B">
        <w:rPr>
          <w:rStyle w:val="FootnoteReference"/>
          <w:rFonts w:ascii="Times New Roman" w:hAnsi="Times New Roman"/>
          <w:noProof/>
          <w:sz w:val="24"/>
        </w:rPr>
        <w:footnoteReference w:id="91"/>
      </w:r>
      <w:r>
        <w:rPr>
          <w:rFonts w:ascii="Times New Roman" w:hAnsi="Times New Roman"/>
          <w:sz w:val="24"/>
        </w:rPr>
        <w:t xml:space="preserve"> Piemēram, Somijā, Zviedrijā, Igaunijā un Latvijā bioekonomika ir vērsta uz nozari, kas balstīta uz koksnes resursiem (t. i. uz mežsaimniecību un uz koksnes resursiem balstīto nozari, tostarp koksnes un papīra ražošanu). Itālijā un Portugālē attiecīgi 14 % un 16 % bioekonomikas pievienotās vērtības rada uz bioresursiem balstītu tekstilpreču ražošana. Somijā un Zviedrijā attiecīgi 25 % un 20 % bioekonomikas pievienoto vērtību </w:t>
      </w:r>
      <w:r>
        <w:rPr>
          <w:rFonts w:ascii="Times New Roman" w:hAnsi="Times New Roman"/>
          <w:sz w:val="24"/>
        </w:rPr>
        <w:lastRenderedPageBreak/>
        <w:t>nodrošina papīra ražošana. Savukārt Īrijā (36 %) un Dānijā (35 %) pievienoto vērtību bioekonomikā nodrošina uz bioresursiem balstītu ķīmisku vielu, farmaceitisko līdzekļu, plastmasas un gumijas ražošana. Tas nozīmē, ka Eiropā nav viena bioekonomika, bet ir vairāki bioekonomikas virzieni, kas ir pielāgoti vietējiem apstākļiem.</w:t>
      </w:r>
    </w:p>
    <w:p w14:paraId="5707CB64" w14:textId="77777777" w:rsidR="0083515C" w:rsidRPr="00DF28F7" w:rsidRDefault="0083515C" w:rsidP="001F2648">
      <w:pPr>
        <w:jc w:val="both"/>
        <w:rPr>
          <w:rFonts w:ascii="Times New Roman" w:hAnsi="Times New Roman"/>
          <w:noProof/>
          <w:sz w:val="24"/>
        </w:rPr>
      </w:pPr>
    </w:p>
    <w:p w14:paraId="6112952A"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Laikā no 2009. līdz 2015. gadam ir palielinājies nodarbināto skaits uz bioresursiem balstītu ķīmisko vielu, uz bioresursiem balstītu farmaceitisko līdzekļu, uz bioresursiem balstītas plastmasas un uz bioresursiem balstītas gumijas ražošanas nozarēs, neraugoties uz Eiropas Savienībā vispārējo darbaspēka samazināšanos lauksaimniecībā, kā dēļ proporcionāli samazinājās darbavietu skaits ES bioekonomikā (3. attēls).</w:t>
      </w:r>
      <w:r w:rsidR="0074628B">
        <w:rPr>
          <w:rStyle w:val="FootnoteReference"/>
          <w:rFonts w:ascii="Times New Roman" w:hAnsi="Times New Roman"/>
          <w:noProof/>
          <w:sz w:val="24"/>
        </w:rPr>
        <w:footnoteReference w:id="92"/>
      </w:r>
      <w:r>
        <w:rPr>
          <w:rFonts w:ascii="Times New Roman" w:hAnsi="Times New Roman"/>
          <w:sz w:val="24"/>
        </w:rPr>
        <w:t xml:space="preserve"> Paredzams, ka šāda nodarbinātības attīstības tendence turpināsies līdz 2030. gadam.</w:t>
      </w:r>
      <w:r w:rsidR="0074628B">
        <w:rPr>
          <w:rStyle w:val="FootnoteReference"/>
          <w:rFonts w:ascii="Times New Roman" w:hAnsi="Times New Roman"/>
          <w:noProof/>
          <w:sz w:val="24"/>
        </w:rPr>
        <w:footnoteReference w:id="93"/>
      </w:r>
      <w:r>
        <w:rPr>
          <w:rFonts w:ascii="Times New Roman" w:hAnsi="Times New Roman"/>
          <w:sz w:val="24"/>
        </w:rPr>
        <w:t xml:space="preserve"> Decentralizēti modeļi, kuros vismaz pirmā biomasas pārveide notiek pēc iespējas tuvāk biomasas nodrošinājuma zonām, proti, lauku apgabaliem (lauksaimniecība, mežsaimniecība), piekrastes rajoniem (ūdens) vai pilsētām un piepilsētām (bioatkritumi un notekūdeņi), sniedz iespējas vietējās ekonomikas atveseļošanai, radot kvalificētas “zaļās” darbavietas. Biomasas izmantošana materiālu ražošanā var tieši veicināt 5–10 reizes lielāku nodarbinātību un radīt 4–9 reizes lielāku pievienoto vērtību nekā enerģijas izmantošana – galvenokārt tāpēc, ka materiālu izmantošanai ir garākas, sarežģītākas piegādes ķēdes.</w:t>
      </w:r>
      <w:r w:rsidR="0074628B">
        <w:rPr>
          <w:rStyle w:val="FootnoteReference"/>
          <w:rFonts w:ascii="Times New Roman" w:hAnsi="Times New Roman"/>
          <w:noProof/>
          <w:sz w:val="24"/>
        </w:rPr>
        <w:footnoteReference w:id="94"/>
      </w:r>
    </w:p>
    <w:p w14:paraId="20F1644C" w14:textId="77777777" w:rsidR="0083515C" w:rsidRPr="00DF28F7" w:rsidRDefault="0083515C" w:rsidP="001F2648">
      <w:pPr>
        <w:jc w:val="both"/>
        <w:rPr>
          <w:rFonts w:ascii="Times New Roman" w:eastAsia="Verdana" w:hAnsi="Times New Roman" w:cs="Verdana"/>
          <w:noProof/>
          <w:sz w:val="24"/>
          <w:szCs w:val="19"/>
        </w:rPr>
      </w:pPr>
    </w:p>
    <w:p w14:paraId="67A16AA2" w14:textId="37EFBCA5" w:rsidR="0083515C" w:rsidRDefault="00157B80" w:rsidP="0074628B">
      <w:pPr>
        <w:jc w:val="center"/>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34165775" wp14:editId="4B4F2FF6">
            <wp:extent cx="5676265" cy="29451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265" cy="2945130"/>
                    </a:xfrm>
                    <a:prstGeom prst="rect">
                      <a:avLst/>
                    </a:prstGeom>
                    <a:noFill/>
                    <a:ln>
                      <a:noFill/>
                    </a:ln>
                  </pic:spPr>
                </pic:pic>
              </a:graphicData>
            </a:graphic>
          </wp:inline>
        </w:drawing>
      </w:r>
    </w:p>
    <w:p w14:paraId="1AA3178D" w14:textId="77777777" w:rsidR="0083515C" w:rsidRPr="00DF28F7" w:rsidRDefault="0083515C" w:rsidP="001F2648">
      <w:pPr>
        <w:jc w:val="both"/>
        <w:rPr>
          <w:rFonts w:ascii="Times New Roman" w:eastAsia="Verdana" w:hAnsi="Times New Roman" w:cs="Verdana"/>
          <w:noProof/>
          <w:sz w:val="24"/>
          <w:szCs w:val="20"/>
        </w:rPr>
      </w:pPr>
    </w:p>
    <w:p w14:paraId="7DCB2F9F" w14:textId="77777777" w:rsidR="0083515C" w:rsidRPr="00157B80" w:rsidRDefault="0083515C" w:rsidP="001F2648">
      <w:pPr>
        <w:jc w:val="both"/>
        <w:rPr>
          <w:rFonts w:ascii="Times New Roman" w:hAnsi="Times New Roman"/>
          <w:noProof/>
          <w:sz w:val="20"/>
          <w:szCs w:val="18"/>
        </w:rPr>
      </w:pPr>
      <w:r w:rsidRPr="00157B80">
        <w:rPr>
          <w:rFonts w:ascii="Times New Roman" w:hAnsi="Times New Roman"/>
          <w:sz w:val="20"/>
          <w:szCs w:val="18"/>
        </w:rPr>
        <w:t>3. attēls. Darba vietu skaita izmaiņas ES bioekonomikā laikā no 2009. līdz 2015. gadam, iedalīts atbilstoši nozarēm (logaritmiskā skala). Avots: Kopīgais pētniecības centrs, https://datam.jrc.ec.europa.eu/datam/mashup/BIOECONOMICS.</w:t>
      </w:r>
    </w:p>
    <w:p w14:paraId="76EED7D3" w14:textId="301258EF" w:rsidR="0074628B" w:rsidRDefault="0074628B" w:rsidP="001F2648">
      <w:pPr>
        <w:jc w:val="both"/>
        <w:rPr>
          <w:rFonts w:ascii="Times New Roman" w:eastAsia="Verdana" w:hAnsi="Times New Roman" w:cs="Verdana"/>
          <w:noProof/>
          <w:sz w:val="24"/>
          <w:szCs w:val="13"/>
        </w:rPr>
      </w:pPr>
    </w:p>
    <w:p w14:paraId="4AEA9793" w14:textId="77777777" w:rsidR="00157B80" w:rsidRPr="00DF28F7" w:rsidRDefault="00157B80" w:rsidP="001F2648">
      <w:pPr>
        <w:jc w:val="both"/>
        <w:rPr>
          <w:rFonts w:ascii="Times New Roman" w:eastAsia="Verdana" w:hAnsi="Times New Roman" w:cs="Verdana"/>
          <w:noProof/>
          <w:sz w:val="24"/>
          <w:szCs w:val="13"/>
        </w:rPr>
      </w:pPr>
    </w:p>
    <w:p w14:paraId="43DABD9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Primāro nozaru relatīvais ieguldījums ES bioekonomikā ir krietni mazāks pievienotās vērtības izteiksmē (33 %) nekā nodarbināto personu skaita ziņā (55 %). Tas skaidri redzams arī valstu līmenī, jo vairākās ES valstīs ir liels nodarbinātības īpatsvars bioekonomikā, tomēr salīdzinoši zema iegūtā pievienotā vērtība (4. attēls) – galvenokārt tāpēc, ka nodarbinātība lielākoties vērojama mazāk ražojošajās nozarēs.</w:t>
      </w:r>
      <w:r w:rsidR="000C1401">
        <w:rPr>
          <w:rStyle w:val="FootnoteReference"/>
          <w:rFonts w:ascii="Times New Roman" w:hAnsi="Times New Roman"/>
          <w:noProof/>
          <w:sz w:val="24"/>
        </w:rPr>
        <w:footnoteReference w:id="95"/>
      </w:r>
      <w:r>
        <w:rPr>
          <w:rFonts w:ascii="Times New Roman" w:hAnsi="Times New Roman"/>
          <w:sz w:val="24"/>
        </w:rPr>
        <w:t xml:space="preserve"> Turpmāk 4. attēlā atspoguļots diezgan neviendabīgs </w:t>
      </w:r>
      <w:r>
        <w:rPr>
          <w:rFonts w:ascii="Times New Roman" w:hAnsi="Times New Roman"/>
          <w:sz w:val="24"/>
        </w:rPr>
        <w:lastRenderedPageBreak/>
        <w:t>ģeogrāfiskais ieguldījums ES bioekonomikā dalībvalstu līmenī. Jo īpaši zema bioekonomikas pievienotā vērtība Centrāleiropas un Austrumeiropas valstīs neatbilst to lielajam un, salīdzinot ar citiem Eiropas reģioniem, vēl nepietiekami izmantotajam biomasas potenciālam.</w:t>
      </w:r>
      <w:r w:rsidR="000C1401">
        <w:rPr>
          <w:rStyle w:val="FootnoteReference"/>
          <w:rFonts w:ascii="Times New Roman" w:hAnsi="Times New Roman"/>
          <w:noProof/>
          <w:sz w:val="24"/>
        </w:rPr>
        <w:footnoteReference w:id="96"/>
      </w:r>
      <w:r>
        <w:rPr>
          <w:rFonts w:ascii="Times New Roman" w:hAnsi="Times New Roman"/>
          <w:sz w:val="24"/>
        </w:rPr>
        <w:t xml:space="preserve"> Lai novērstu šo plaisu, iniciatīvas </w:t>
      </w:r>
      <w:r>
        <w:rPr>
          <w:rFonts w:ascii="Times New Roman" w:hAnsi="Times New Roman"/>
          <w:i/>
          <w:iCs/>
          <w:sz w:val="24"/>
        </w:rPr>
        <w:t>BIOEAST</w:t>
      </w:r>
      <w:r>
        <w:rPr>
          <w:rFonts w:ascii="Times New Roman" w:hAnsi="Times New Roman"/>
          <w:sz w:val="24"/>
        </w:rPr>
        <w:t xml:space="preserve"> uzdevums</w:t>
      </w:r>
      <w:r w:rsidR="000C1401">
        <w:rPr>
          <w:rStyle w:val="FootnoteReference"/>
          <w:rFonts w:ascii="Times New Roman" w:hAnsi="Times New Roman"/>
          <w:noProof/>
          <w:sz w:val="24"/>
        </w:rPr>
        <w:footnoteReference w:id="97"/>
      </w:r>
      <w:r>
        <w:rPr>
          <w:rFonts w:ascii="Times New Roman" w:hAnsi="Times New Roman"/>
          <w:sz w:val="24"/>
        </w:rPr>
        <w:t xml:space="preserve"> ir palīdzēt Centrāleiropas un Austrumeiropas valstīm īstenot to bioekonomikas redzējumu 2030. gadam</w:t>
      </w:r>
      <w:r w:rsidR="000C1401">
        <w:rPr>
          <w:rStyle w:val="FootnoteReference"/>
          <w:rFonts w:ascii="Times New Roman" w:hAnsi="Times New Roman"/>
          <w:noProof/>
          <w:sz w:val="24"/>
        </w:rPr>
        <w:footnoteReference w:id="98"/>
      </w:r>
      <w:r>
        <w:rPr>
          <w:rFonts w:ascii="Times New Roman" w:hAnsi="Times New Roman"/>
          <w:sz w:val="24"/>
        </w:rPr>
        <w:t>, piedāvājot iespējas ilgtspējīgam biomasas ražošanas pieaugumam, pieejamās biomasas aprites apstrādei un dzīvotspējīgiem lauku rajoniem.</w:t>
      </w:r>
    </w:p>
    <w:p w14:paraId="39A891D7" w14:textId="77777777" w:rsidR="0083515C" w:rsidRPr="00DF28F7" w:rsidRDefault="0083515C" w:rsidP="001F2648">
      <w:pPr>
        <w:jc w:val="both"/>
        <w:rPr>
          <w:rFonts w:ascii="Times New Roman" w:eastAsia="Verdana" w:hAnsi="Times New Roman" w:cs="Verdana"/>
          <w:noProof/>
          <w:sz w:val="24"/>
          <w:szCs w:val="19"/>
        </w:rPr>
      </w:pPr>
    </w:p>
    <w:p w14:paraId="12EFB73B" w14:textId="6780762A" w:rsidR="0083515C" w:rsidRDefault="001869CD" w:rsidP="0074628B">
      <w:pPr>
        <w:jc w:val="center"/>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464225A4" wp14:editId="5DC30D09">
            <wp:extent cx="5760720" cy="347472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474720"/>
                    </a:xfrm>
                    <a:prstGeom prst="rect">
                      <a:avLst/>
                    </a:prstGeom>
                    <a:noFill/>
                    <a:ln>
                      <a:noFill/>
                    </a:ln>
                  </pic:spPr>
                </pic:pic>
              </a:graphicData>
            </a:graphic>
          </wp:inline>
        </w:drawing>
      </w:r>
    </w:p>
    <w:p w14:paraId="7006D506" w14:textId="77777777" w:rsidR="0083515C" w:rsidRPr="00DF28F7" w:rsidRDefault="0083515C" w:rsidP="001F2648">
      <w:pPr>
        <w:jc w:val="both"/>
        <w:rPr>
          <w:rFonts w:ascii="Times New Roman" w:eastAsia="Verdana" w:hAnsi="Times New Roman" w:cs="Verdana"/>
          <w:noProof/>
          <w:sz w:val="24"/>
          <w:szCs w:val="18"/>
        </w:rPr>
      </w:pPr>
    </w:p>
    <w:p w14:paraId="51274A9A" w14:textId="77777777" w:rsidR="0083515C" w:rsidRPr="001869CD" w:rsidRDefault="0083515C" w:rsidP="001F2648">
      <w:pPr>
        <w:jc w:val="both"/>
        <w:rPr>
          <w:rFonts w:ascii="Times New Roman" w:eastAsia="Verdana" w:hAnsi="Times New Roman" w:cs="Verdana"/>
          <w:noProof/>
          <w:sz w:val="20"/>
          <w:szCs w:val="20"/>
        </w:rPr>
      </w:pPr>
      <w:r w:rsidRPr="001869CD">
        <w:rPr>
          <w:rFonts w:ascii="Times New Roman" w:hAnsi="Times New Roman"/>
          <w:sz w:val="20"/>
          <w:szCs w:val="20"/>
        </w:rPr>
        <w:t>4. attēls. Kreisajā pusē: bioekonomikas pievienotās vērtības ģeogrāfiskais sadalījums starp ES dalībvalstīm (miljonos EUR, 2015. gads). Labajā pusē: bioekonomikas atrašanās vietas faktoru ģeogrāfiskais sadalījums starp ES dalībvalstīm (miljonos EUR, 2015. gads). Atrašanās vietas faktors jeb darbavietu koncentrācijas faktors ir rādītājs, ar kuru parasti mēra nozares “koncentrāciju” dalībvalstī salīdzinājumā ar ES, t. i., dalībvalsts nodarbinātības daļa bioekonomikā (vai konkrētā bioekonomikas nozarē), kas dalīta ar ES nodarbinātības daļu bioekonomikā (vai tajā pašā konkrētajā nozarē). Avots: Kopīgais pētniecības centrs, https://datam.jrc.ec.europa.eu/datam/mashup/BIOECONOMICS.</w:t>
      </w:r>
    </w:p>
    <w:p w14:paraId="6B65E6DC" w14:textId="6C528C20" w:rsidR="0083515C" w:rsidRDefault="0083515C" w:rsidP="001F2648">
      <w:pPr>
        <w:jc w:val="both"/>
        <w:rPr>
          <w:rFonts w:ascii="Times New Roman" w:eastAsia="Verdana" w:hAnsi="Times New Roman" w:cs="Verdana"/>
          <w:noProof/>
          <w:sz w:val="24"/>
          <w:szCs w:val="20"/>
        </w:rPr>
      </w:pPr>
    </w:p>
    <w:p w14:paraId="35D6AB33" w14:textId="77777777" w:rsidR="001869CD" w:rsidRPr="00DF28F7" w:rsidRDefault="001869CD" w:rsidP="001F2648">
      <w:pPr>
        <w:jc w:val="both"/>
        <w:rPr>
          <w:rFonts w:ascii="Times New Roman" w:eastAsia="Verdana" w:hAnsi="Times New Roman" w:cs="Verdana"/>
          <w:noProof/>
          <w:sz w:val="24"/>
          <w:szCs w:val="20"/>
        </w:rPr>
      </w:pPr>
    </w:p>
    <w:p w14:paraId="3F567BD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Ņemot vērā savu labvēlīgo ietekmi, bioekonomika var veicināt galveno rūpniecības nozaru defosilizāciju, piemēram, enerģētikas un transporta nozares, ķīmiskās rūpniecības (piemēram, plastmasas) un būvniecības nozares defosilizāciju (piemēram, būvniecībā izmanto koksni un tās kompozītus ar citiem materiāliem, tādējādi aizstājot neatjaunojamos būvmateriālus – tēraudu un betonu, turklāt, iespējams, radot mazāku enerģijas patēriņu un siltumnīcefekta </w:t>
      </w:r>
      <w:r>
        <w:rPr>
          <w:rFonts w:ascii="Times New Roman" w:hAnsi="Times New Roman"/>
          <w:sz w:val="24"/>
        </w:rPr>
        <w:lastRenderedPageBreak/>
        <w:t>gāzu emisijas). Lai gan arī bioloģisko atjaunojamo resursu ražošana rada siltumnīcefekta gāzu emisijas</w:t>
      </w:r>
      <w:r w:rsidR="00D05A91">
        <w:rPr>
          <w:rStyle w:val="FootnoteReference"/>
          <w:rFonts w:ascii="Times New Roman" w:hAnsi="Times New Roman"/>
          <w:noProof/>
          <w:sz w:val="24"/>
        </w:rPr>
        <w:footnoteReference w:id="99"/>
      </w:r>
      <w:r>
        <w:rPr>
          <w:rFonts w:ascii="Times New Roman" w:hAnsi="Times New Roman"/>
          <w:sz w:val="24"/>
        </w:rPr>
        <w:t>, resursu patēriņu un citus vides riskus</w:t>
      </w:r>
      <w:r w:rsidR="00D05A91">
        <w:rPr>
          <w:rStyle w:val="FootnoteReference"/>
          <w:rFonts w:ascii="Times New Roman" w:hAnsi="Times New Roman"/>
          <w:noProof/>
          <w:sz w:val="24"/>
        </w:rPr>
        <w:footnoteReference w:id="100"/>
      </w:r>
      <w:r>
        <w:rPr>
          <w:rFonts w:ascii="Times New Roman" w:hAnsi="Times New Roman"/>
          <w:sz w:val="24"/>
        </w:rPr>
        <w:t>, tomēr aizvien pieaug izpratne par to, ka dziļa defosilizācija un palikšana zem 2 °C robežas nebūs iespējama, ja netiks veikti pasākumi ilgtspējīgas bioekonomikas jomā, ņemot vērā tās potenciālu piesaistīt oglekli un aizstāt fosilos resursus ar ilgtspējīgiem, uz biomasu balstītiem resursiem, kā arī tās lielo potenciālu samazināt siltumnīcefekta gāzu emisijas, izvēloties resursu ziņā efektīvākus un ilgtspējīgākus ražošanas veidus.</w:t>
      </w:r>
      <w:r w:rsidR="00C66DBD">
        <w:rPr>
          <w:rStyle w:val="FootnoteReference"/>
          <w:rFonts w:ascii="Times New Roman" w:hAnsi="Times New Roman"/>
          <w:noProof/>
          <w:sz w:val="24"/>
        </w:rPr>
        <w:footnoteReference w:id="101"/>
      </w:r>
      <w:r>
        <w:rPr>
          <w:rFonts w:ascii="Times New Roman" w:hAnsi="Times New Roman"/>
          <w:sz w:val="24"/>
        </w:rPr>
        <w:t xml:space="preserve"> Piemēram, pretēji tādiem būvmateriāliem kā betons koka izstrādājumi visā ražojuma dzīves ciklā (ieskaitot izmantošanu un likvidēšanu) rada ievērojami mazāk siltumnīcefekta gāzu emisiju nekā uz fosilajiem materiāliem balstītie alternatīvie risinājumi,  proti, vidēji 1,5 līdz 3,5 tonnas oglekļa dioksīda emisiju ietaupījumu uz 1 tonnu izmantoto koka izstrādājumu.</w:t>
      </w:r>
      <w:r w:rsidR="00C66DBD">
        <w:rPr>
          <w:rStyle w:val="FootnoteReference"/>
          <w:rFonts w:ascii="Times New Roman" w:hAnsi="Times New Roman"/>
          <w:noProof/>
          <w:sz w:val="24"/>
        </w:rPr>
        <w:footnoteReference w:id="102"/>
      </w:r>
      <w:r>
        <w:rPr>
          <w:rFonts w:ascii="Times New Roman" w:hAnsi="Times New Roman"/>
          <w:sz w:val="24"/>
        </w:rPr>
        <w:t xml:space="preserve"> Turklāt rūpnieciskās biotehnoloģijas apvienojums ar progresīvo ķīmiju var palielināt pašreizējo ražošanas procesu efektivitāti.</w:t>
      </w:r>
    </w:p>
    <w:p w14:paraId="73DA7D29" w14:textId="77777777" w:rsidR="0083515C" w:rsidRPr="00DF28F7" w:rsidRDefault="0083515C" w:rsidP="001F2648">
      <w:pPr>
        <w:jc w:val="both"/>
        <w:rPr>
          <w:rFonts w:ascii="Times New Roman" w:eastAsia="Verdana" w:hAnsi="Times New Roman" w:cs="Verdana"/>
          <w:noProof/>
          <w:sz w:val="24"/>
          <w:szCs w:val="20"/>
        </w:rPr>
      </w:pPr>
    </w:p>
    <w:p w14:paraId="200090B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Neraugoties uz plaši pieejamo informāciju, joprojām trūkst ievērojami daudz datu, tāpēc ir grūti pilnībā novērtēt bioekonomikas dažādos ietekmes veidus. Jāņem vērā, ka vēl joprojām trūkst informācijas par pieejamās biomasas apmēru, ko varētu ilgtspējīgi izmantot, un par to, cik daudz biomasas un kādiem mērķiem tiek izmantots, kā arī par to, kā pastiprināto spiedienu uz dabas resursiem var saskaņot ar vides, ekonomikas un sociālo ilgtspējību Eiropā un pasaulē. Iespējamā konkurējošā biomasas pieprasījuma piemēri ir izklāstīti Lauksaimniecības zinātniskās pētniecības pastāvīgās komitejas</w:t>
      </w:r>
      <w:r w:rsidR="00C66DBD">
        <w:rPr>
          <w:rStyle w:val="FootnoteReference"/>
          <w:rFonts w:ascii="Times New Roman" w:hAnsi="Times New Roman"/>
          <w:noProof/>
          <w:sz w:val="24"/>
        </w:rPr>
        <w:footnoteReference w:id="103"/>
      </w:r>
      <w:r>
        <w:rPr>
          <w:rFonts w:ascii="Times New Roman" w:hAnsi="Times New Roman"/>
          <w:sz w:val="24"/>
        </w:rPr>
        <w:t xml:space="preserve"> ceturtajās (un jaunākajās) prognozēs.</w:t>
      </w:r>
      <w:r w:rsidR="00C66DBD">
        <w:rPr>
          <w:rStyle w:val="FootnoteReference"/>
          <w:rFonts w:ascii="Times New Roman" w:hAnsi="Times New Roman"/>
          <w:noProof/>
          <w:sz w:val="24"/>
        </w:rPr>
        <w:footnoteReference w:id="104"/>
      </w:r>
      <w:r>
        <w:rPr>
          <w:rFonts w:ascii="Times New Roman" w:hAnsi="Times New Roman"/>
          <w:sz w:val="24"/>
        </w:rPr>
        <w:t xml:space="preserve"> Piemēram, lai gan pārtikas ražošanas ziņā Eiropa ir pašpietiekama, pasaules mērogā viens no svarīgākajam jautājumiem ir jautājums par pietiekama pārtikas apjoma ražošanu pieaugošajam iedzīvotāju skaitam, un tas nozīmē, ka nākotnē būs neizbēgami jāpalielina augkopības platības uz mežu rēķina (sk. 2.2.1. punktu). Turklāt pārtika, ko ražo tieši cilvēkiem, un barība, ko ražo dzīvniekiem nolūkā pabarot cilvēkus, konkurē par aramzemi. Industriālajās valstīs vairāk nekā 40 % no kopējās zemes platības izmanto lopbarības ražošanai. Turklāt, tā kā pakāpeniski tiek izskausti fosilie resursi, tad kultūraugi, kurus audzē biodegvielas un bioenerģijas, kā arī materiālu ražošanai, varētu aizņemt zemi un samazināt kaloriju saturu cilvēku uzturā, radot pārtikas preču cenu pieauguma risku.</w:t>
      </w:r>
    </w:p>
    <w:p w14:paraId="50BCC260" w14:textId="77777777" w:rsidR="0083515C" w:rsidRPr="00DF28F7" w:rsidRDefault="0083515C" w:rsidP="001F2648">
      <w:pPr>
        <w:jc w:val="both"/>
        <w:rPr>
          <w:rFonts w:ascii="Times New Roman" w:eastAsia="Verdana" w:hAnsi="Times New Roman" w:cs="Verdana"/>
          <w:noProof/>
          <w:sz w:val="24"/>
          <w:szCs w:val="20"/>
        </w:rPr>
      </w:pPr>
    </w:p>
    <w:p w14:paraId="7479CD6A"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Lai palīdzētu novērst šo zināšanu trūkumu, Eiropas Komisijas Kopīgā pētniecības centra (</w:t>
      </w:r>
      <w:r>
        <w:rPr>
          <w:rFonts w:ascii="Times New Roman" w:hAnsi="Times New Roman"/>
          <w:i/>
          <w:iCs/>
          <w:sz w:val="24"/>
        </w:rPr>
        <w:t>JRC</w:t>
      </w:r>
      <w:r>
        <w:rPr>
          <w:rFonts w:ascii="Times New Roman" w:hAnsi="Times New Roman"/>
          <w:sz w:val="24"/>
        </w:rPr>
        <w:t>) uzdevums ir nodrošināt datus, modeļus un analīzi par ES un pasaules biomasas potenciālu, piedāvājumu, pieprasījumu un ilgtspējību ilgtermiņā.</w:t>
      </w:r>
      <w:r w:rsidR="00C66DBD">
        <w:rPr>
          <w:rStyle w:val="FootnoteReference"/>
          <w:rFonts w:ascii="Times New Roman" w:hAnsi="Times New Roman"/>
          <w:noProof/>
          <w:sz w:val="24"/>
        </w:rPr>
        <w:footnoteReference w:id="105"/>
      </w:r>
      <w:r>
        <w:rPr>
          <w:rFonts w:ascii="Times New Roman" w:hAnsi="Times New Roman"/>
          <w:sz w:val="24"/>
        </w:rPr>
        <w:t xml:space="preserve"> Šis darbs sasaistās ar </w:t>
      </w:r>
      <w:r>
        <w:rPr>
          <w:rFonts w:ascii="Times New Roman" w:hAnsi="Times New Roman"/>
          <w:sz w:val="24"/>
        </w:rPr>
        <w:lastRenderedPageBreak/>
        <w:t>starptautiskajiem centieniem, jo – neņemot vērā globālo kontekstu, jo īpaši strauji augošo pārtikas pieprasījumu valstīs, kas nav ESAO valstis, – biomasas piedāvājuma un pieprasījuma izpētē nevarētu pietiekami novērtēt turpmāko konkurenci attiecībā uz resursiem, tās ietekmi uz tirgu, kā arī iespējamās globālās ģeopolitiskās un vides sekas, kas varētu ietekmēt vietējo bioekonomiku ES.</w:t>
      </w:r>
      <w:r w:rsidR="00C66DBD">
        <w:rPr>
          <w:rStyle w:val="FootnoteReference"/>
          <w:rFonts w:ascii="Times New Roman" w:hAnsi="Times New Roman"/>
          <w:noProof/>
          <w:sz w:val="24"/>
        </w:rPr>
        <w:footnoteReference w:id="106"/>
      </w:r>
    </w:p>
    <w:p w14:paraId="7FCA54F7" w14:textId="77777777" w:rsidR="0083515C" w:rsidRPr="00DF28F7" w:rsidRDefault="0083515C" w:rsidP="001F2648">
      <w:pPr>
        <w:jc w:val="both"/>
        <w:rPr>
          <w:rFonts w:ascii="Times New Roman" w:eastAsia="Verdana" w:hAnsi="Times New Roman" w:cs="Verdana"/>
          <w:noProof/>
          <w:sz w:val="24"/>
          <w:szCs w:val="19"/>
        </w:rPr>
      </w:pPr>
    </w:p>
    <w:p w14:paraId="102A728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Turklāt ir jāprognozē nākotnes tendences, lai virzītu investīcijas pētniecībā un inovācijās, nodrošinātu saskaņotu politikas pieeju, ar ko koordinē dažādu nozaru pieprasījumu pēc biomasas, un nodrošinātu optimālu bioekonomikas ieguldījumu ceļos uz defosilizāciju.</w:t>
      </w:r>
    </w:p>
    <w:p w14:paraId="4777928F" w14:textId="77777777" w:rsidR="0083515C" w:rsidRPr="00DF28F7" w:rsidRDefault="0083515C" w:rsidP="001F2648">
      <w:pPr>
        <w:jc w:val="both"/>
        <w:rPr>
          <w:rFonts w:ascii="Times New Roman" w:eastAsia="Verdana" w:hAnsi="Times New Roman" w:cs="Verdana"/>
          <w:noProof/>
          <w:sz w:val="24"/>
          <w:szCs w:val="18"/>
        </w:rPr>
      </w:pPr>
    </w:p>
    <w:p w14:paraId="513E4DAB" w14:textId="77777777" w:rsidR="0083515C" w:rsidRPr="00DF28F7" w:rsidRDefault="0083515C" w:rsidP="001F2648">
      <w:pPr>
        <w:jc w:val="both"/>
        <w:rPr>
          <w:rFonts w:ascii="Times New Roman" w:eastAsia="Verdana" w:hAnsi="Times New Roman" w:cs="Verdana"/>
          <w:noProof/>
          <w:sz w:val="24"/>
          <w:szCs w:val="18"/>
        </w:rPr>
      </w:pPr>
    </w:p>
    <w:p w14:paraId="5E366B2B" w14:textId="77777777" w:rsidR="0083515C" w:rsidRPr="00C66DBD" w:rsidRDefault="00C66DBD" w:rsidP="00C66DBD">
      <w:pPr>
        <w:tabs>
          <w:tab w:val="left" w:pos="965"/>
        </w:tabs>
        <w:jc w:val="both"/>
        <w:rPr>
          <w:rFonts w:ascii="Times New Roman" w:hAnsi="Times New Roman"/>
          <w:i/>
          <w:iCs/>
          <w:noProof/>
          <w:sz w:val="24"/>
        </w:rPr>
      </w:pPr>
      <w:r>
        <w:rPr>
          <w:rFonts w:ascii="Times New Roman" w:hAnsi="Times New Roman"/>
          <w:i/>
          <w:sz w:val="24"/>
        </w:rPr>
        <w:t>2.2.1. Ekosistēmas un to sniegtie pakalpojumi</w:t>
      </w:r>
    </w:p>
    <w:p w14:paraId="68BA267D" w14:textId="77777777" w:rsidR="0083515C" w:rsidRPr="00DF28F7" w:rsidRDefault="0083515C" w:rsidP="001F2648">
      <w:pPr>
        <w:jc w:val="both"/>
        <w:rPr>
          <w:rFonts w:ascii="Times New Roman" w:eastAsia="Times New Roman" w:hAnsi="Times New Roman" w:cs="Times New Roman"/>
          <w:noProof/>
          <w:sz w:val="24"/>
          <w:szCs w:val="20"/>
        </w:rPr>
      </w:pPr>
    </w:p>
    <w:p w14:paraId="48636965"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Kopš 2012. gada klimata pārmaiņas notiek straujāk, tāpēc šis jautājums ir kļuvis aktuālāks nekā jebkad agrāk</w:t>
      </w:r>
      <w:r w:rsidR="00C66DBD">
        <w:rPr>
          <w:rStyle w:val="FootnoteReference"/>
          <w:rFonts w:ascii="Times New Roman" w:hAnsi="Times New Roman"/>
          <w:noProof/>
          <w:sz w:val="24"/>
        </w:rPr>
        <w:footnoteReference w:id="107"/>
      </w:r>
      <w:r>
        <w:rPr>
          <w:rFonts w:ascii="Times New Roman" w:hAnsi="Times New Roman"/>
          <w:sz w:val="24"/>
        </w:rPr>
        <w:t>. Vienlaikus bioloģiskās daudzveidības zudums un zemes degradācija rada klimata pārmaiņām līdzvērtīgi nopietnus draudus</w:t>
      </w:r>
      <w:r w:rsidR="00C66DBD">
        <w:rPr>
          <w:rStyle w:val="FootnoteReference"/>
          <w:rFonts w:ascii="Times New Roman" w:hAnsi="Times New Roman"/>
          <w:noProof/>
          <w:sz w:val="24"/>
        </w:rPr>
        <w:footnoteReference w:id="108"/>
      </w:r>
      <w:r>
        <w:rPr>
          <w:rFonts w:ascii="Times New Roman" w:hAnsi="Times New Roman"/>
          <w:sz w:val="24"/>
        </w:rPr>
        <w:t>.</w:t>
      </w:r>
    </w:p>
    <w:p w14:paraId="28CF1552" w14:textId="77777777" w:rsidR="0083515C" w:rsidRPr="00DF28F7" w:rsidRDefault="0083515C" w:rsidP="001F2648">
      <w:pPr>
        <w:jc w:val="both"/>
        <w:rPr>
          <w:rFonts w:ascii="Times New Roman" w:eastAsia="Verdana" w:hAnsi="Times New Roman" w:cs="Verdana"/>
          <w:noProof/>
          <w:sz w:val="24"/>
          <w:szCs w:val="19"/>
        </w:rPr>
      </w:pPr>
    </w:p>
    <w:p w14:paraId="2B71A52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Dažādo bioekonomikas jomu pamatā ir bioloģiskie resursi, to ekosistēmu vitalitāte, kurās tie ir sastopami, un bioloģiskā daudzveidība. Veselīgas ekosistēmas ir būtiski svarīgas cilvēku labklājībai; tās sniedz pakalpojumus, tostarp nodrošina biotopu aizsardzību, pārtikas un biomasas ražošanas uzturēšanu, apputeksnēšanu, saldūdens daudzuma un kvalitātes regulēšanu, augsnes veidošanos, līdzsvarotu barības vielu ciklu un plūdu regulēšanu, kā arī klimata regulēšanas pakalpojumus, kas ir būtiski arī sauszemes un jūras pakalpojumu sniegšanai. Augsne ir būtisks faktors pārejā uz ilgtspējīgu bioekonomiku, jo sabiedrība ir atkarīga no auglīgām zemēm un to uzturēšanas ilgtermiņā, ņemot vērā ar tām saistītos ekosistēmu pakalpojumus.</w:t>
      </w:r>
      <w:r w:rsidR="00C66DBD">
        <w:rPr>
          <w:rStyle w:val="FootnoteReference"/>
          <w:rFonts w:ascii="Times New Roman" w:hAnsi="Times New Roman"/>
          <w:noProof/>
          <w:sz w:val="24"/>
        </w:rPr>
        <w:footnoteReference w:id="109"/>
      </w:r>
      <w:r>
        <w:rPr>
          <w:rFonts w:ascii="Times New Roman" w:hAnsi="Times New Roman"/>
          <w:sz w:val="24"/>
        </w:rPr>
        <w:t xml:space="preserve"> Bioloģiskā daudzveidība ir stabila ekosistēmas stāvokļa un funkcionalitātes pamatā, kas savukārt nodrošina nepārtrauktu un uzticamu pakalpojumu plūsmu.</w:t>
      </w:r>
    </w:p>
    <w:p w14:paraId="41D9DC7A" w14:textId="77777777" w:rsidR="0083515C" w:rsidRPr="00DF28F7" w:rsidRDefault="0083515C" w:rsidP="001F2648">
      <w:pPr>
        <w:jc w:val="both"/>
        <w:rPr>
          <w:rFonts w:ascii="Times New Roman" w:eastAsia="Verdana" w:hAnsi="Times New Roman" w:cs="Verdana"/>
          <w:noProof/>
          <w:sz w:val="24"/>
          <w:szCs w:val="20"/>
        </w:rPr>
      </w:pPr>
    </w:p>
    <w:p w14:paraId="5DEC1234"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Tomēr cilvēku īstenotās darbības rada arvien lielāku spiedienu uz augsni, okeāniem, ūdeni, gaisu, bioloģisko daudzveidību, klimatu un citiem dabas resursiem.</w:t>
      </w:r>
      <w:r w:rsidR="00C66DBD">
        <w:rPr>
          <w:rStyle w:val="FootnoteReference"/>
          <w:rFonts w:ascii="Times New Roman" w:hAnsi="Times New Roman"/>
          <w:noProof/>
          <w:sz w:val="24"/>
        </w:rPr>
        <w:footnoteReference w:id="110"/>
      </w:r>
      <w:r>
        <w:rPr>
          <w:rFonts w:ascii="Times New Roman" w:hAnsi="Times New Roman"/>
          <w:sz w:val="24"/>
        </w:rPr>
        <w:t xml:space="preserve"> Ir pierādīts, ka bioloģiskā daudzveidība ir galvenais produktivitāti noteicošais faktors, tikpat svarīgs kā uzturvielas un klimats, un bioloģiskās daudzveidības zudums mazina ekosistēmu produktivitāti un stabilitāti.</w:t>
      </w:r>
      <w:r w:rsidR="00C66DBD">
        <w:rPr>
          <w:rStyle w:val="FootnoteReference"/>
          <w:rFonts w:ascii="Times New Roman" w:hAnsi="Times New Roman"/>
          <w:noProof/>
          <w:sz w:val="24"/>
        </w:rPr>
        <w:footnoteReference w:id="111"/>
      </w:r>
      <w:r>
        <w:rPr>
          <w:rFonts w:ascii="Times New Roman" w:hAnsi="Times New Roman"/>
          <w:sz w:val="24"/>
        </w:rPr>
        <w:t xml:space="preserve"> Dabas pakalpojumi cilvēcei ir apdraudēti, jo bioloģiskā daudzveidība turpina izzust, kas pēdējās desmitgadēs ir negatīvi ietekmējis daudzu ekosistēmu pakalpojumu sniegšanu – tika lēsts, ka 2008. gadā ar sauszemes bioloģiskās daudzveidības zudumu saistītās izmaksas pasaules mērogā būs gandrīz 1 % no 2010. gada iekšzemes kopprodukta. Šīs izmaksas pieaug, un tiek prognozēts, ka līdz 2050. gadam tās būs 7 % no pasaules patēriņa.</w:t>
      </w:r>
      <w:r w:rsidR="00C66DBD">
        <w:rPr>
          <w:rStyle w:val="FootnoteReference"/>
          <w:rFonts w:ascii="Times New Roman" w:hAnsi="Times New Roman"/>
          <w:noProof/>
          <w:sz w:val="24"/>
        </w:rPr>
        <w:footnoteReference w:id="112"/>
      </w:r>
      <w:r>
        <w:rPr>
          <w:rFonts w:ascii="Times New Roman" w:hAnsi="Times New Roman"/>
          <w:sz w:val="24"/>
        </w:rPr>
        <w:t xml:space="preserve"> Cilvēku īstenoto darbību izraisītā zemes virsmas degradācija </w:t>
      </w:r>
      <w:r>
        <w:rPr>
          <w:rFonts w:ascii="Times New Roman" w:hAnsi="Times New Roman"/>
          <w:sz w:val="24"/>
        </w:rPr>
        <w:lastRenderedPageBreak/>
        <w:t>negatīvi ietekmē vismaz 3,2 miljardiem cilvēku labklājību, un tās izmaksas ir aptuveni 10 % apmērā no 2010. gada pasaules ikgadējā kopprodukta, jo tiek zaudēta bioloģiskā daudzveidība un ekosistēmu pakalpojumi.</w:t>
      </w:r>
      <w:r w:rsidR="00C66DBD">
        <w:rPr>
          <w:rStyle w:val="FootnoteReference"/>
          <w:rFonts w:ascii="Times New Roman" w:hAnsi="Times New Roman"/>
          <w:noProof/>
          <w:sz w:val="24"/>
        </w:rPr>
        <w:footnoteReference w:id="113"/>
      </w:r>
    </w:p>
    <w:p w14:paraId="44834595" w14:textId="77777777" w:rsidR="0083515C" w:rsidRPr="00DF28F7" w:rsidRDefault="0083515C" w:rsidP="001F2648">
      <w:pPr>
        <w:jc w:val="both"/>
        <w:rPr>
          <w:rFonts w:ascii="Times New Roman" w:hAnsi="Times New Roman"/>
          <w:noProof/>
          <w:sz w:val="24"/>
          <w:szCs w:val="12"/>
        </w:rPr>
      </w:pPr>
    </w:p>
    <w:p w14:paraId="7B11462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Pasaules mērogā šāda lejupslīde ir daļēji notikusi intensīvas lauksaimniecības un mežsaimniecības prakses dēļ.</w:t>
      </w:r>
    </w:p>
    <w:p w14:paraId="60BD7559" w14:textId="77777777" w:rsidR="0083515C" w:rsidRPr="00DF28F7" w:rsidRDefault="0083515C" w:rsidP="001F2648">
      <w:pPr>
        <w:jc w:val="both"/>
        <w:rPr>
          <w:rFonts w:ascii="Times New Roman" w:eastAsia="Verdana" w:hAnsi="Times New Roman" w:cs="Verdana"/>
          <w:noProof/>
          <w:sz w:val="24"/>
          <w:szCs w:val="19"/>
        </w:rPr>
      </w:pPr>
    </w:p>
    <w:p w14:paraId="5F4BCB3F"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Galvenās ekosistēmas, piemēram, okeāni, meži un augsne, ir būtiski oglekļa piesaistītāji, bez kuriem nevar panākt līdzsvaru starp siltumnīcefekta gāzu emisijām un piesaisti, kā norādīts Parīzes nolīgumā. Okeāni absorbē līdz pat 30 % no cilvēku darbību izraisītā oglekļa dioksīda gada emisijām, palīdzot mazināt siltumnīcefekta gāzu emisiju pieaugumu.</w:t>
      </w:r>
      <w:r w:rsidR="00C66DBD">
        <w:rPr>
          <w:rStyle w:val="FootnoteReference"/>
          <w:rFonts w:ascii="Times New Roman" w:hAnsi="Times New Roman"/>
          <w:noProof/>
          <w:sz w:val="24"/>
        </w:rPr>
        <w:footnoteReference w:id="114"/>
      </w:r>
      <w:r>
        <w:rPr>
          <w:rFonts w:ascii="Times New Roman" w:hAnsi="Times New Roman"/>
          <w:sz w:val="24"/>
        </w:rPr>
        <w:t xml:space="preserve"> Tomēr šim ieguvumam ir krasas ekoloģiskās izmaksas – absorbētais oglekļa dioksīds maina karbonātu daudzumu ūdenī, palielinot jūras ūdens skābumu. Pētījumi atklātā okeānā un piekrastes teritorijās visā pasaulē liecina, ka pašreizējais jūras skābuma līmenis kopš industriālās revolūcijas sākuma ir palielinājies vidēji par aptuveni 26 % (pH samazinājums ir 0,1) un ka jūras flora un fauna ir pakļauta apstākļiem, kas ir ārpus iepriekš pieredzētās dabiskās mainības.</w:t>
      </w:r>
      <w:r w:rsidR="00C66DBD">
        <w:rPr>
          <w:rStyle w:val="FootnoteReference"/>
          <w:rFonts w:ascii="Times New Roman" w:hAnsi="Times New Roman"/>
          <w:noProof/>
          <w:sz w:val="24"/>
        </w:rPr>
        <w:footnoteReference w:id="115"/>
      </w:r>
    </w:p>
    <w:p w14:paraId="79C109A6" w14:textId="77777777" w:rsidR="0083515C" w:rsidRPr="00DF28F7" w:rsidRDefault="0083515C" w:rsidP="001F2648">
      <w:pPr>
        <w:jc w:val="both"/>
        <w:rPr>
          <w:rFonts w:ascii="Times New Roman" w:eastAsia="Verdana" w:hAnsi="Times New Roman" w:cs="Verdana"/>
          <w:noProof/>
          <w:sz w:val="24"/>
          <w:szCs w:val="20"/>
        </w:rPr>
      </w:pPr>
    </w:p>
    <w:p w14:paraId="7D9C165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Pasaules mērogā laikā no 2010. līdz 2015. gadam dabiskā meža platība ir samazinājusies par neto 6,5 miljoniem hektāru gadā.</w:t>
      </w:r>
      <w:r w:rsidR="00C66DBD">
        <w:rPr>
          <w:rStyle w:val="FootnoteReference"/>
          <w:rFonts w:ascii="Times New Roman" w:hAnsi="Times New Roman"/>
          <w:noProof/>
          <w:sz w:val="24"/>
        </w:rPr>
        <w:footnoteReference w:id="116"/>
      </w:r>
      <w:r>
        <w:rPr>
          <w:rFonts w:ascii="Times New Roman" w:hAnsi="Times New Roman"/>
          <w:sz w:val="24"/>
        </w:rPr>
        <w:t xml:space="preserve"> Apmežošana un mežu dabiskā izplešanās nekompensē šo zaudējumu, un nemitīgais mežu zemes vispārējais zudums veicina ūdens trūkumu, pavasara plūdu seku nemazināšanos un klimata pārmaiņas. Tomēr, par spīti šai tendencei, dabisko mežu platība Eiropā palielinās, jo notiek dabiska atjaunošanās, meža atjaunošana un apmežošana. Turklāt palielinās augošo koku krāja, jo mežistrādes apmēri ir mazāki par gada pieaugumu.</w:t>
      </w:r>
      <w:r w:rsidR="00C66DBD">
        <w:rPr>
          <w:rStyle w:val="FootnoteReference"/>
          <w:rFonts w:ascii="Times New Roman" w:hAnsi="Times New Roman"/>
          <w:noProof/>
          <w:sz w:val="24"/>
        </w:rPr>
        <w:footnoteReference w:id="117"/>
      </w:r>
      <w:r>
        <w:rPr>
          <w:rFonts w:ascii="Times New Roman" w:hAnsi="Times New Roman"/>
          <w:sz w:val="24"/>
        </w:rPr>
        <w:t xml:space="preserve"> Tāpēc Eiropas meži ir vērā ņemama oglekli absorbējoša ekosistēma, kur oglekļa sekvestrācija vidēji samazina aptuveni 9 % no siltumnīcefekta gāzu emisiju kopējā gada apjoma ES</w:t>
      </w:r>
      <w:r w:rsidR="00C66DBD">
        <w:rPr>
          <w:rStyle w:val="FootnoteReference"/>
          <w:rFonts w:ascii="Times New Roman" w:hAnsi="Times New Roman"/>
          <w:noProof/>
          <w:sz w:val="24"/>
        </w:rPr>
        <w:footnoteReference w:id="118"/>
      </w:r>
      <w:r>
        <w:rPr>
          <w:rFonts w:ascii="Times New Roman" w:hAnsi="Times New Roman"/>
          <w:sz w:val="24"/>
        </w:rPr>
        <w:t>, un tā tas ir noticis pēdējās desmitgadēs.</w:t>
      </w:r>
    </w:p>
    <w:p w14:paraId="68131818" w14:textId="77777777" w:rsidR="0083515C" w:rsidRPr="00DF28F7" w:rsidRDefault="0083515C" w:rsidP="001F2648">
      <w:pPr>
        <w:jc w:val="both"/>
        <w:rPr>
          <w:rFonts w:ascii="Times New Roman" w:eastAsia="Verdana" w:hAnsi="Times New Roman" w:cs="Verdana"/>
          <w:noProof/>
          <w:sz w:val="24"/>
          <w:szCs w:val="20"/>
        </w:rPr>
      </w:pPr>
    </w:p>
    <w:p w14:paraId="3F904BFA"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Noteiktu ekosistēmu sniegto pakalpojumu izmantošana var radīt neparedzētas sekas uz vidi visā “ekosistēmu sniegto pakalpojumu piegādes ķēdē”. Tāpēc ir rūpīgi jāanalizē kompromisi un sinerģija pakalpojumu sniegšanas jomā.</w:t>
      </w:r>
      <w:r w:rsidR="00C66DBD">
        <w:rPr>
          <w:rStyle w:val="FootnoteReference"/>
          <w:rFonts w:ascii="Times New Roman" w:hAnsi="Times New Roman"/>
          <w:noProof/>
          <w:sz w:val="24"/>
        </w:rPr>
        <w:footnoteReference w:id="119"/>
      </w:r>
    </w:p>
    <w:p w14:paraId="1DBF87F2" w14:textId="77777777" w:rsidR="0083515C" w:rsidRPr="00DF28F7" w:rsidRDefault="0083515C" w:rsidP="001F2648">
      <w:pPr>
        <w:jc w:val="both"/>
        <w:rPr>
          <w:rFonts w:ascii="Times New Roman" w:eastAsia="Verdana" w:hAnsi="Times New Roman" w:cs="Verdana"/>
          <w:noProof/>
          <w:sz w:val="24"/>
        </w:rPr>
      </w:pPr>
    </w:p>
    <w:p w14:paraId="57CF0563" w14:textId="77777777" w:rsidR="0083515C" w:rsidRPr="00DF28F7" w:rsidRDefault="0083515C" w:rsidP="001F2648">
      <w:pPr>
        <w:jc w:val="both"/>
        <w:rPr>
          <w:rFonts w:ascii="Times New Roman" w:eastAsia="Verdana" w:hAnsi="Times New Roman" w:cs="Verdana"/>
          <w:noProof/>
          <w:sz w:val="24"/>
        </w:rPr>
      </w:pPr>
    </w:p>
    <w:p w14:paraId="3C0E82D4" w14:textId="77777777" w:rsidR="0083515C" w:rsidRPr="00C66DBD" w:rsidRDefault="00C66DBD" w:rsidP="00C66DBD">
      <w:pPr>
        <w:tabs>
          <w:tab w:val="left" w:pos="903"/>
        </w:tabs>
        <w:jc w:val="both"/>
        <w:rPr>
          <w:rFonts w:ascii="Times New Roman" w:hAnsi="Times New Roman"/>
          <w:i/>
          <w:iCs/>
          <w:noProof/>
          <w:sz w:val="24"/>
        </w:rPr>
      </w:pPr>
      <w:r>
        <w:rPr>
          <w:rFonts w:ascii="Times New Roman" w:hAnsi="Times New Roman"/>
          <w:i/>
          <w:sz w:val="24"/>
        </w:rPr>
        <w:t>2.2.2. Primārās nozares un biomasas plūsmas</w:t>
      </w:r>
    </w:p>
    <w:p w14:paraId="13BDCD05" w14:textId="77777777" w:rsidR="0083515C" w:rsidRPr="00DF28F7" w:rsidRDefault="0083515C" w:rsidP="001F2648">
      <w:pPr>
        <w:jc w:val="both"/>
        <w:rPr>
          <w:rFonts w:ascii="Times New Roman" w:eastAsia="Times New Roman" w:hAnsi="Times New Roman" w:cs="Times New Roman"/>
          <w:noProof/>
          <w:sz w:val="24"/>
          <w:szCs w:val="20"/>
        </w:rPr>
      </w:pPr>
    </w:p>
    <w:p w14:paraId="736EEFA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Lauksaimniecības, mežu un jūras nozares (galvenokārt akvakultūra un zivsaimniecība) ir galvenie biomasas primārie ražotāji/nodrošinātāji.</w:t>
      </w:r>
      <w:r w:rsidR="00C66DBD">
        <w:rPr>
          <w:rStyle w:val="FootnoteReference"/>
          <w:rFonts w:ascii="Times New Roman" w:hAnsi="Times New Roman"/>
          <w:noProof/>
          <w:sz w:val="24"/>
        </w:rPr>
        <w:footnoteReference w:id="120"/>
      </w:r>
      <w:r>
        <w:rPr>
          <w:rFonts w:ascii="Times New Roman" w:hAnsi="Times New Roman"/>
          <w:sz w:val="24"/>
        </w:rPr>
        <w:t xml:space="preserve"> Eiropas Savienības 28 dalībvalstīs vidējais iekšzemes biomasas ražošanas rādītājs no zemes izmantošanas nozarēm (mežsaimniecība un lauksaimniecība, izņemot ganības) gadā ir 1466 megatonnas sausnas (virs zemes). Sadalījums pa precēm un nozarēm ir atspoguļots 5. attēlā.</w:t>
      </w:r>
    </w:p>
    <w:p w14:paraId="01ED251A" w14:textId="77777777" w:rsidR="0083515C" w:rsidRPr="00DF28F7" w:rsidRDefault="0083515C" w:rsidP="001F2648">
      <w:pPr>
        <w:jc w:val="both"/>
        <w:rPr>
          <w:rFonts w:ascii="Times New Roman" w:hAnsi="Times New Roman"/>
          <w:noProof/>
          <w:sz w:val="24"/>
        </w:rPr>
      </w:pPr>
    </w:p>
    <w:p w14:paraId="01B50FEB" w14:textId="19EF72E7" w:rsidR="0083515C" w:rsidRPr="00DF28F7" w:rsidRDefault="001869CD" w:rsidP="00C66DBD">
      <w:pPr>
        <w:jc w:val="center"/>
        <w:rPr>
          <w:rFonts w:ascii="Times New Roman" w:eastAsia="Verdana" w:hAnsi="Times New Roman" w:cs="Verdana"/>
          <w:noProof/>
          <w:sz w:val="24"/>
          <w:szCs w:val="20"/>
        </w:rPr>
      </w:pPr>
      <w:r>
        <w:rPr>
          <w:rFonts w:ascii="Times New Roman" w:eastAsia="Verdana" w:hAnsi="Times New Roman" w:cs="Verdana"/>
          <w:noProof/>
          <w:sz w:val="24"/>
          <w:szCs w:val="20"/>
        </w:rPr>
        <w:lastRenderedPageBreak/>
        <w:drawing>
          <wp:inline distT="0" distB="0" distL="0" distR="0" wp14:anchorId="1217C37D" wp14:editId="7CA075C9">
            <wp:extent cx="5760720" cy="356616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566160"/>
                    </a:xfrm>
                    <a:prstGeom prst="rect">
                      <a:avLst/>
                    </a:prstGeom>
                    <a:noFill/>
                    <a:ln>
                      <a:noFill/>
                    </a:ln>
                  </pic:spPr>
                </pic:pic>
              </a:graphicData>
            </a:graphic>
          </wp:inline>
        </w:drawing>
      </w:r>
    </w:p>
    <w:p w14:paraId="4676F8E1" w14:textId="77777777" w:rsidR="00C66DBD" w:rsidRDefault="00C66DBD" w:rsidP="001F2648">
      <w:pPr>
        <w:jc w:val="both"/>
        <w:rPr>
          <w:rFonts w:ascii="Times New Roman" w:eastAsia="Verdana" w:hAnsi="Times New Roman" w:cs="Verdana"/>
          <w:noProof/>
          <w:sz w:val="24"/>
          <w:szCs w:val="13"/>
        </w:rPr>
      </w:pPr>
    </w:p>
    <w:p w14:paraId="5D36B590" w14:textId="77777777" w:rsidR="0083515C" w:rsidRPr="001869CD" w:rsidRDefault="0083515C" w:rsidP="001F2648">
      <w:pPr>
        <w:jc w:val="both"/>
        <w:rPr>
          <w:rFonts w:ascii="Times New Roman" w:hAnsi="Times New Roman"/>
          <w:noProof/>
          <w:sz w:val="20"/>
          <w:szCs w:val="20"/>
        </w:rPr>
      </w:pPr>
      <w:r w:rsidRPr="001869CD">
        <w:rPr>
          <w:rFonts w:ascii="Times New Roman" w:hAnsi="Times New Roman"/>
          <w:sz w:val="20"/>
          <w:szCs w:val="20"/>
        </w:rPr>
        <w:t xml:space="preserve">5. attēls. Eiropas Savienības 28 dalībvalstu ikgadējā biomasas ražošana sauszemes nozarēs, izņemot ganības (10 gadu vidējais rādītājs 2006.–2015. gadā, megatonnas sausnā). Pārņemts no </w:t>
      </w:r>
      <w:r w:rsidRPr="001869CD">
        <w:rPr>
          <w:rFonts w:ascii="Times New Roman" w:hAnsi="Times New Roman"/>
          <w:i/>
          <w:iCs/>
          <w:sz w:val="20"/>
          <w:szCs w:val="20"/>
        </w:rPr>
        <w:t>Camia</w:t>
      </w:r>
      <w:r w:rsidRPr="001869CD">
        <w:rPr>
          <w:rFonts w:ascii="Times New Roman" w:hAnsi="Times New Roman"/>
          <w:sz w:val="20"/>
          <w:szCs w:val="20"/>
        </w:rPr>
        <w:t xml:space="preserve"> u. c. (2018. gads). Kopīgais pētniecības centrs,</w:t>
      </w:r>
      <w:r w:rsidRPr="001869CD">
        <w:rPr>
          <w:rFonts w:ascii="Times New Roman" w:hAnsi="Times New Roman"/>
          <w:i/>
          <w:iCs/>
          <w:sz w:val="20"/>
          <w:szCs w:val="20"/>
        </w:rPr>
        <w:t xml:space="preserve"> JRC Science for Policy Report</w:t>
      </w:r>
      <w:r w:rsidRPr="001869CD">
        <w:rPr>
          <w:rFonts w:ascii="Times New Roman" w:hAnsi="Times New Roman"/>
          <w:sz w:val="20"/>
          <w:szCs w:val="20"/>
        </w:rPr>
        <w:t>, doi:10.2760/181536, JRC109869.</w:t>
      </w:r>
    </w:p>
    <w:p w14:paraId="16E04FC0" w14:textId="77777777" w:rsidR="0083515C" w:rsidRDefault="0083515C" w:rsidP="001F2648">
      <w:pPr>
        <w:jc w:val="both"/>
        <w:rPr>
          <w:rFonts w:ascii="Times New Roman" w:eastAsia="Verdana" w:hAnsi="Times New Roman" w:cs="Verdana"/>
          <w:noProof/>
          <w:sz w:val="24"/>
          <w:szCs w:val="20"/>
        </w:rPr>
      </w:pPr>
    </w:p>
    <w:p w14:paraId="36602495" w14:textId="77777777" w:rsidR="00D3377A" w:rsidRPr="00DF28F7" w:rsidRDefault="00D3377A" w:rsidP="001F2648">
      <w:pPr>
        <w:jc w:val="both"/>
        <w:rPr>
          <w:rFonts w:ascii="Times New Roman" w:eastAsia="Verdana" w:hAnsi="Times New Roman" w:cs="Verdana"/>
          <w:noProof/>
          <w:sz w:val="24"/>
          <w:szCs w:val="20"/>
        </w:rPr>
      </w:pPr>
    </w:p>
    <w:p w14:paraId="21684BF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Lauksaimniecība 2015. gadā aizņēma aptuveni pusi no Eiropas Savienības zemes platības</w:t>
      </w:r>
      <w:r w:rsidR="00D3377A">
        <w:rPr>
          <w:rStyle w:val="FootnoteReference"/>
          <w:rFonts w:ascii="Times New Roman" w:hAnsi="Times New Roman"/>
          <w:noProof/>
          <w:sz w:val="24"/>
        </w:rPr>
        <w:footnoteReference w:id="121"/>
      </w:r>
      <w:r>
        <w:rPr>
          <w:rFonts w:ascii="Times New Roman" w:hAnsi="Times New Roman"/>
          <w:sz w:val="24"/>
        </w:rPr>
        <w:t>, un tajā bija nodarbināti 4,2 % no ES-28 strādājošajiem iedzīvotājiem.</w:t>
      </w:r>
      <w:r w:rsidR="00D3377A">
        <w:rPr>
          <w:rStyle w:val="FootnoteReference"/>
          <w:rFonts w:ascii="Times New Roman" w:hAnsi="Times New Roman"/>
          <w:noProof/>
          <w:sz w:val="24"/>
        </w:rPr>
        <w:footnoteReference w:id="122"/>
      </w:r>
      <w:r>
        <w:rPr>
          <w:rFonts w:ascii="Times New Roman" w:hAnsi="Times New Roman"/>
          <w:sz w:val="24"/>
        </w:rPr>
        <w:t xml:space="preserve"> Lauksaimniecība nodrošina Eiropas ekonomikai tādu būtisku produktu un pakalpojumu dažādību kā pārtika, barība, materiāli, enerģija un atpūta.</w:t>
      </w:r>
    </w:p>
    <w:p w14:paraId="3935E791" w14:textId="77777777" w:rsidR="0083515C" w:rsidRPr="00DF28F7" w:rsidRDefault="0083515C" w:rsidP="001F2648">
      <w:pPr>
        <w:jc w:val="both"/>
        <w:rPr>
          <w:rFonts w:ascii="Times New Roman" w:eastAsia="Verdana" w:hAnsi="Times New Roman" w:cs="Verdana"/>
          <w:noProof/>
          <w:sz w:val="24"/>
          <w:szCs w:val="19"/>
        </w:rPr>
      </w:pPr>
    </w:p>
    <w:p w14:paraId="6401740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Saskaņā ar vidēja termiņa prognozēm attiecībā uz lauksaimniecību līdz 2030. gadam sagaidāms, ka ES izmantotā lauksaimniecības zemes platība turpinās samazināties.</w:t>
      </w:r>
      <w:r w:rsidR="00D3377A">
        <w:rPr>
          <w:rStyle w:val="FootnoteReference"/>
          <w:rFonts w:ascii="Times New Roman" w:hAnsi="Times New Roman"/>
          <w:noProof/>
          <w:sz w:val="24"/>
        </w:rPr>
        <w:footnoteReference w:id="123"/>
      </w:r>
      <w:r>
        <w:rPr>
          <w:rFonts w:ascii="Times New Roman" w:hAnsi="Times New Roman"/>
          <w:sz w:val="24"/>
        </w:rPr>
        <w:t xml:space="preserve"> Tuvojoties 2030. gadam, paredzams, ka ES gaļas patēriņš uz vienu iedzīvotāju samazināsies līdz pašreizējam līmenim – pēc pieauguma 2017.–2030. gada prognožu perioda pirmajā daļā. Tomēr, tā kā pieaugs mājputnu gaļas un piena produktu ražošana, kā arī pastiprināsies liellopu gaļas ražošana, ir sagaidāms arī barības izmantojuma pieaugums Eiropas Savienībā. Paredzams, ka līdz 2030. gadam samazināsies lauksaimniecības radītās siltumnīcefekta gāzu emisijas. Tehnoloģiju attīstība, inovācijas un digitalizācija (piemēram, precīzā lauksaimniecība, ar dabu saistīti risinājumi, pavairošana) ievērojami vairo resursu efektivitātes potenciālu, samazina ietekmi uz vidi un klimatu, palielina noturību un samazina izmaksas.</w:t>
      </w:r>
      <w:r w:rsidR="00D3377A">
        <w:rPr>
          <w:rStyle w:val="FootnoteReference"/>
          <w:rFonts w:ascii="Times New Roman" w:hAnsi="Times New Roman"/>
          <w:noProof/>
          <w:sz w:val="24"/>
        </w:rPr>
        <w:footnoteReference w:id="124"/>
      </w:r>
      <w:r>
        <w:rPr>
          <w:rFonts w:ascii="Times New Roman" w:hAnsi="Times New Roman"/>
          <w:sz w:val="24"/>
        </w:rPr>
        <w:t xml:space="preserve"> Tomēr, mainoties ekoloģiskajiem un ekonomiskajiem apstākļiem, ir svarīgi pārveidot sistēmu, lai sasniegtu optimālus rezultātus.</w:t>
      </w:r>
      <w:r w:rsidR="00D3377A">
        <w:rPr>
          <w:rStyle w:val="FootnoteReference"/>
          <w:rFonts w:ascii="Times New Roman" w:hAnsi="Times New Roman"/>
          <w:noProof/>
          <w:sz w:val="24"/>
        </w:rPr>
        <w:footnoteReference w:id="125"/>
      </w:r>
      <w:r>
        <w:rPr>
          <w:rFonts w:ascii="Times New Roman" w:hAnsi="Times New Roman"/>
          <w:sz w:val="24"/>
        </w:rPr>
        <w:t xml:space="preserve"> Lai gan paredzams, ka prognožu </w:t>
      </w:r>
      <w:r>
        <w:rPr>
          <w:rFonts w:ascii="Times New Roman" w:hAnsi="Times New Roman"/>
          <w:sz w:val="24"/>
        </w:rPr>
        <w:lastRenderedPageBreak/>
        <w:t>periodā kopējie lauksaimniecības ieņēmumi reālā izteiksmē ievērojami samazināsies, ienākumi uz vienu darba ņēmēju nedaudz palielināsies, jo tiks īstenotas strukturālas pārmaiņas un cilvēki pametīs lauksaimniecību.</w:t>
      </w:r>
    </w:p>
    <w:p w14:paraId="26CDF06A" w14:textId="77777777" w:rsidR="0083515C" w:rsidRPr="00DF28F7" w:rsidRDefault="0083515C" w:rsidP="001F2648">
      <w:pPr>
        <w:jc w:val="both"/>
        <w:rPr>
          <w:rFonts w:ascii="Times New Roman" w:eastAsia="Verdana" w:hAnsi="Times New Roman" w:cs="Verdana"/>
          <w:noProof/>
          <w:sz w:val="24"/>
          <w:szCs w:val="20"/>
        </w:rPr>
      </w:pPr>
    </w:p>
    <w:p w14:paraId="458CD63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Meži un citas meža zemes aizņem aptuveni 43 % no ES zemes un nodrošina gan koksni, gan citus ar koksni nesaistītus produktus, piedāvājot plašu ekosistēmu pakalpojumu klāstu, piemēram, oglekļa uzkrāšanu un sekvestrāciju, biotopu nodrošināšanu un ūdens regulēšanu.</w:t>
      </w:r>
      <w:r w:rsidR="00D3377A">
        <w:rPr>
          <w:rStyle w:val="FootnoteReference"/>
          <w:rFonts w:ascii="Times New Roman" w:hAnsi="Times New Roman"/>
          <w:noProof/>
          <w:sz w:val="24"/>
        </w:rPr>
        <w:footnoteReference w:id="126"/>
      </w:r>
      <w:r>
        <w:rPr>
          <w:rFonts w:ascii="Times New Roman" w:hAnsi="Times New Roman"/>
          <w:sz w:val="24"/>
        </w:rPr>
        <w:t xml:space="preserve"> Oglekļa uzkrājuma palielināšana esošajos mežos ir izmaksu ziņā efektīvs ietekmes mazināšanas pasākums, tomēr pēdējos gados ir novērotas pazīmes, kas liecina par oglekļa uzkrājuma samazināšanos galvenokārt saistībā ar ES mežu vecuma struktūras maiņu.</w:t>
      </w:r>
      <w:r w:rsidR="00D3377A">
        <w:rPr>
          <w:rStyle w:val="FootnoteReference"/>
          <w:rFonts w:ascii="Times New Roman" w:hAnsi="Times New Roman"/>
          <w:noProof/>
          <w:sz w:val="24"/>
        </w:rPr>
        <w:footnoteReference w:id="127"/>
      </w:r>
      <w:r>
        <w:rPr>
          <w:rFonts w:ascii="Times New Roman" w:hAnsi="Times New Roman"/>
          <w:sz w:val="24"/>
        </w:rPr>
        <w:t xml:space="preserve"> Eiropas mežu oglekļa uzkrājumu var palielināt, īstenojot ilgtspējīgu meža apsaimniekošanu.</w:t>
      </w:r>
    </w:p>
    <w:p w14:paraId="4703EA28" w14:textId="77777777" w:rsidR="0083515C" w:rsidRPr="00DF28F7" w:rsidRDefault="0083515C" w:rsidP="001F2648">
      <w:pPr>
        <w:jc w:val="both"/>
        <w:rPr>
          <w:rFonts w:ascii="Times New Roman" w:eastAsia="Verdana" w:hAnsi="Times New Roman" w:cs="Verdana"/>
          <w:noProof/>
          <w:sz w:val="24"/>
          <w:szCs w:val="19"/>
        </w:rPr>
      </w:pPr>
    </w:p>
    <w:p w14:paraId="7C3ACE0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Uzskata, ka apmēram 84 % no ES mežu platības ir potenciāli pieejami koksnes piegādei. Šajā teritorijā ik gadu aug 444 megatonnas koksnes (koksnes neto gada pieaugums, t. i., izņemot zaudējumus, ko rada dabiska koku mirstība). ES vidējais koksnes izciršanas apmērs ir aptuveni 65 % no koksnes neto gada pieauguma, lai gan dalībvalstīs šie rādītāji ir ļoti atšķirīgi. Tāpēc daudzos gadījumos laika gaitā pieaug no meža iegūtas koksnes biomasas izejvielas</w:t>
      </w:r>
      <w:r w:rsidR="00C8141B">
        <w:rPr>
          <w:rStyle w:val="FootnoteReference"/>
          <w:rFonts w:ascii="Times New Roman" w:hAnsi="Times New Roman"/>
          <w:noProof/>
          <w:sz w:val="24"/>
        </w:rPr>
        <w:footnoteReference w:id="128"/>
      </w:r>
      <w:r>
        <w:rPr>
          <w:rFonts w:ascii="Times New Roman" w:hAnsi="Times New Roman"/>
          <w:sz w:val="24"/>
        </w:rPr>
        <w:t xml:space="preserve"> (aptuveni 100 megatonnu oglekļa gadā un aptuveni 9 % no Eiropas fosilā kurināmā emisijām). Tomēr ziņotā mežizstrāde, visticamāk, pastāvīgi novērtēta nepietiekami augstu, pat līdz 20 % apmēram, kas nozīmē, ka biomasas pieejamība faktiski ir lielāka par statistiski reģistrēto.</w:t>
      </w:r>
    </w:p>
    <w:p w14:paraId="76FDF585" w14:textId="77777777" w:rsidR="0083515C" w:rsidRPr="00DF28F7" w:rsidRDefault="0083515C" w:rsidP="001F2648">
      <w:pPr>
        <w:jc w:val="both"/>
        <w:rPr>
          <w:rFonts w:ascii="Times New Roman" w:hAnsi="Times New Roman"/>
          <w:noProof/>
          <w:sz w:val="24"/>
        </w:rPr>
      </w:pPr>
    </w:p>
    <w:p w14:paraId="07C0E49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Kā norādīts Plānā uz koksnes resursiem balstītai rūpniecībai</w:t>
      </w:r>
      <w:r w:rsidR="00C8141B">
        <w:rPr>
          <w:rStyle w:val="FootnoteReference"/>
          <w:rFonts w:ascii="Times New Roman" w:hAnsi="Times New Roman"/>
          <w:noProof/>
          <w:sz w:val="24"/>
        </w:rPr>
        <w:footnoteReference w:id="129"/>
      </w:r>
      <w:r>
        <w:rPr>
          <w:rFonts w:ascii="Times New Roman" w:hAnsi="Times New Roman"/>
          <w:sz w:val="24"/>
        </w:rPr>
        <w:t>, vairāk nekā 95 % apaļkoku, ko izmanto ES kokapstrādes nozarē, tiek iegūti ES mežos. Pastāv iespēja palielināt mežizstrādes apmēru un koksnes mobilizāciju, lai nodrošinātu koksnes biomasas papildu apmēru (to atbalsta dažas ieinteresētās puses</w:t>
      </w:r>
      <w:r w:rsidR="00C8141B">
        <w:rPr>
          <w:rStyle w:val="FootnoteReference"/>
          <w:rFonts w:ascii="Times New Roman" w:hAnsi="Times New Roman"/>
          <w:noProof/>
          <w:sz w:val="24"/>
        </w:rPr>
        <w:footnoteReference w:id="130"/>
      </w:r>
      <w:r>
        <w:rPr>
          <w:rFonts w:ascii="Times New Roman" w:hAnsi="Times New Roman"/>
          <w:sz w:val="24"/>
        </w:rPr>
        <w:t>), nepārsniedzot kopējo ikgadējo pieaugumu, lai saglabātu ES koksnes iekšzemes piegādi esošajām kokapstrādes nozarēm, kā arī apmierinātu augošo pieprasījumu pēc biomateriāliem un produktiem bioekonomikā. Tomēr rūpīgi jāizvērtē kompromisi ar citiem meža ekosistēmu pakalpojumiem, piemēram, oglekļa uzkrāšanu, dabas aizsardzību, rekreāciju, augsni un aizsardzību pret plūdiem. Īstenojot ilgtspējīgas mežu apsaimniekošanas principus, kā noteikts ES Mežu stratēģijā, ir jānodrošina ilgtspējīga koksnes mobilizācija ES.</w:t>
      </w:r>
    </w:p>
    <w:p w14:paraId="0E0DE5F3" w14:textId="77777777" w:rsidR="0083515C" w:rsidRPr="00DF28F7" w:rsidRDefault="0083515C" w:rsidP="001F2648">
      <w:pPr>
        <w:jc w:val="both"/>
        <w:rPr>
          <w:rFonts w:ascii="Times New Roman" w:hAnsi="Times New Roman"/>
          <w:noProof/>
          <w:sz w:val="24"/>
        </w:rPr>
      </w:pPr>
    </w:p>
    <w:p w14:paraId="6B717D7B" w14:textId="34C0EA9E"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Vēl viens būtisks biomasas avots, kura nozīmība turklāt aizvien pieaug, jo sauszemes ekosistēmas tiek pakļautas aizvien lielākam spiedienam, ir biomasa, kas iegūta zivsaimniecībā, akvakultūrā un jūras un okeānu izmantošanā citu biomasas veidu (piemēram, aļģu) iegūšanai. Zivsaimniecība un akvakultūra ir svarīgi pārtikas un uztura avoti un var sniegt būtisku ieguldījumu pārtikas nodrošinājumā un pilnvērtīga uztura līmeņa nodrošināšanā pasaules iedzīvotājiem, kuru skaits</w:t>
      </w:r>
      <w:r w:rsidR="001869CD">
        <w:rPr>
          <w:rFonts w:ascii="Times New Roman" w:hAnsi="Times New Roman"/>
          <w:sz w:val="24"/>
        </w:rPr>
        <w:t xml:space="preserve"> </w:t>
      </w:r>
      <w:r>
        <w:rPr>
          <w:rFonts w:ascii="Times New Roman" w:hAnsi="Times New Roman"/>
          <w:sz w:val="24"/>
        </w:rPr>
        <w:t>līdz 2050. gadam varētu pieaugt līdz 9,7 miljardiem.</w:t>
      </w:r>
      <w:r w:rsidR="00C8141B">
        <w:rPr>
          <w:rStyle w:val="FootnoteReference"/>
          <w:rFonts w:ascii="Times New Roman" w:hAnsi="Times New Roman"/>
          <w:noProof/>
          <w:sz w:val="24"/>
        </w:rPr>
        <w:footnoteReference w:id="131"/>
      </w:r>
      <w:r>
        <w:rPr>
          <w:rFonts w:ascii="Times New Roman" w:hAnsi="Times New Roman"/>
          <w:sz w:val="24"/>
        </w:rPr>
        <w:t xml:space="preserve"> </w:t>
      </w:r>
      <w:r>
        <w:rPr>
          <w:rFonts w:ascii="Times New Roman" w:hAnsi="Times New Roman"/>
          <w:sz w:val="24"/>
        </w:rPr>
        <w:lastRenderedPageBreak/>
        <w:t>Turklāt šīs nozares ir svarīgs ienākumu avots un nodrošina iztiku simtiem miljonu cilvēku visā pasaulē.</w:t>
      </w:r>
      <w:r w:rsidR="00C8141B">
        <w:rPr>
          <w:rStyle w:val="FootnoteReference"/>
          <w:rFonts w:ascii="Times New Roman" w:hAnsi="Times New Roman"/>
          <w:noProof/>
          <w:sz w:val="24"/>
        </w:rPr>
        <w:footnoteReference w:id="132"/>
      </w:r>
      <w:r>
        <w:rPr>
          <w:rFonts w:ascii="Times New Roman" w:hAnsi="Times New Roman"/>
          <w:sz w:val="24"/>
        </w:rPr>
        <w:t xml:space="preserve"> Akvakultūra ir visstraujāk augošā dzīvnieku barības ražošanas nozare pasaulē, un tās ieguldījums pārtikas piegādei pasaulē un ekonomiskajai izaugsmei kļūst aizvien būtiskāks.</w:t>
      </w:r>
      <w:r w:rsidR="00C8141B">
        <w:rPr>
          <w:rStyle w:val="FootnoteReference"/>
          <w:rFonts w:ascii="Times New Roman" w:hAnsi="Times New Roman"/>
          <w:noProof/>
          <w:sz w:val="24"/>
        </w:rPr>
        <w:footnoteReference w:id="133"/>
      </w:r>
      <w:r>
        <w:rPr>
          <w:rFonts w:ascii="Times New Roman" w:hAnsi="Times New Roman"/>
          <w:sz w:val="24"/>
        </w:rPr>
        <w:t xml:space="preserve"> Ražošana šajā nozare ir pieaugusi par 76 % kopš 2004. gada un vairāk nekā četras reizes kopš 1990. gada. Tomēr pasaules mērogā ES joprojām ir salīdzinoši maza tirgus dalībniece (6. attēls). Tā kā pastāv konkurence attiecībā uz telpu un tirgiem, kā arī administratīvi ierobežojumi, ilgtspējīgai akvakultūrai Eiropas Savienībā ir jāpārvar īpašas problēmas.</w:t>
      </w:r>
      <w:r w:rsidR="00C8141B">
        <w:rPr>
          <w:rStyle w:val="FootnoteReference"/>
          <w:rFonts w:ascii="Times New Roman" w:hAnsi="Times New Roman"/>
          <w:noProof/>
          <w:sz w:val="24"/>
        </w:rPr>
        <w:footnoteReference w:id="134"/>
      </w:r>
    </w:p>
    <w:p w14:paraId="7BE7D99B" w14:textId="77777777" w:rsidR="0083515C" w:rsidRPr="00DF28F7" w:rsidRDefault="0083515C" w:rsidP="001F2648">
      <w:pPr>
        <w:jc w:val="both"/>
        <w:rPr>
          <w:rFonts w:ascii="Times New Roman" w:eastAsia="Verdana" w:hAnsi="Times New Roman" w:cs="Verdana"/>
          <w:noProof/>
          <w:sz w:val="24"/>
          <w:szCs w:val="20"/>
        </w:rPr>
      </w:pPr>
    </w:p>
    <w:p w14:paraId="08940E51" w14:textId="0BC61B4B" w:rsidR="0083515C" w:rsidRPr="00DF28F7" w:rsidRDefault="00856A0D" w:rsidP="00C8141B">
      <w:pPr>
        <w:jc w:val="center"/>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4A11D59A" wp14:editId="293C481E">
            <wp:extent cx="5727700" cy="2389505"/>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2389505"/>
                    </a:xfrm>
                    <a:prstGeom prst="rect">
                      <a:avLst/>
                    </a:prstGeom>
                    <a:noFill/>
                    <a:ln>
                      <a:noFill/>
                    </a:ln>
                  </pic:spPr>
                </pic:pic>
              </a:graphicData>
            </a:graphic>
          </wp:inline>
        </w:drawing>
      </w:r>
    </w:p>
    <w:p w14:paraId="14B6A0FA" w14:textId="77777777" w:rsidR="0083515C" w:rsidRPr="00DF28F7" w:rsidRDefault="0083515C" w:rsidP="001F2648">
      <w:pPr>
        <w:jc w:val="both"/>
        <w:rPr>
          <w:rFonts w:ascii="Times New Roman" w:eastAsia="Calibri" w:hAnsi="Times New Roman" w:cs="Calibri"/>
          <w:noProof/>
          <w:sz w:val="24"/>
          <w:szCs w:val="20"/>
        </w:rPr>
      </w:pPr>
    </w:p>
    <w:p w14:paraId="3D4A5D54" w14:textId="77777777" w:rsidR="0083515C" w:rsidRPr="00856A0D" w:rsidRDefault="0083515C" w:rsidP="001F2648">
      <w:pPr>
        <w:jc w:val="both"/>
        <w:rPr>
          <w:rFonts w:ascii="Times New Roman" w:hAnsi="Times New Roman"/>
          <w:noProof/>
          <w:sz w:val="20"/>
          <w:szCs w:val="18"/>
        </w:rPr>
      </w:pPr>
      <w:r w:rsidRPr="00856A0D">
        <w:rPr>
          <w:rFonts w:ascii="Times New Roman" w:hAnsi="Times New Roman"/>
          <w:sz w:val="20"/>
          <w:szCs w:val="18"/>
        </w:rPr>
        <w:t>6. attēls. Jūras velšu ražošana (nozvejošana un akvakultūra) pasaulē un ES-28 no 1990. līdz 2014. gadam, izteikts megatonnās. Avots: ANO Pārtikas un lauksaimniecības organizācija, 2016. gads.</w:t>
      </w:r>
    </w:p>
    <w:p w14:paraId="68EB366E" w14:textId="77777777" w:rsidR="0083515C" w:rsidRPr="00DF28F7" w:rsidRDefault="0083515C" w:rsidP="001F2648">
      <w:pPr>
        <w:jc w:val="both"/>
        <w:rPr>
          <w:rFonts w:ascii="Times New Roman" w:eastAsia="Verdana" w:hAnsi="Times New Roman" w:cs="Verdana"/>
          <w:noProof/>
          <w:sz w:val="24"/>
          <w:szCs w:val="14"/>
        </w:rPr>
      </w:pPr>
    </w:p>
    <w:p w14:paraId="22940EC7" w14:textId="77777777" w:rsidR="0083515C" w:rsidRPr="00DF28F7" w:rsidRDefault="0083515C" w:rsidP="001F2648">
      <w:pPr>
        <w:jc w:val="both"/>
        <w:rPr>
          <w:rFonts w:ascii="Times New Roman" w:eastAsia="Verdana" w:hAnsi="Times New Roman" w:cs="Verdana"/>
          <w:noProof/>
          <w:sz w:val="24"/>
          <w:szCs w:val="19"/>
        </w:rPr>
      </w:pPr>
    </w:p>
    <w:p w14:paraId="2507A29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Vēl viens biomasas avots, kura nozīme kļūst aizvien lielāka, ir bioloģiskie atlikumi, ko iegūst no lauksaimniecības, meža un zivsaimniecības nozarēm, kā arī atkritumi un sekundārās plūsmas no citiem avotiem, piemēram, mājsaimniecībām, pārtikas ražošanas un citas biomasas ražošanas (sk. 2.3. punktu).</w:t>
      </w:r>
    </w:p>
    <w:p w14:paraId="30F53A79" w14:textId="77777777" w:rsidR="0083515C" w:rsidRPr="00DF28F7" w:rsidRDefault="0083515C" w:rsidP="001F2648">
      <w:pPr>
        <w:jc w:val="both"/>
        <w:rPr>
          <w:rFonts w:ascii="Times New Roman" w:eastAsia="Verdana" w:hAnsi="Times New Roman" w:cs="Verdana"/>
          <w:noProof/>
          <w:sz w:val="24"/>
          <w:szCs w:val="19"/>
        </w:rPr>
      </w:pPr>
    </w:p>
    <w:p w14:paraId="4AD0EF9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Analizējot biomasas pieprasījumu, šobrīd Eiropas Savienībā aptuveni 50 % no biomasas izmanto lopbarībai un pakaišiem, no kuriem ievērojama daļa ir vajadzīga lopkopībai (7. attēls).</w:t>
      </w:r>
    </w:p>
    <w:p w14:paraId="4C84B0E6" w14:textId="77777777" w:rsidR="0083515C" w:rsidRPr="00DF28F7" w:rsidRDefault="0083515C" w:rsidP="001F2648">
      <w:pPr>
        <w:jc w:val="both"/>
        <w:rPr>
          <w:rFonts w:ascii="Times New Roman" w:eastAsia="Verdana" w:hAnsi="Times New Roman" w:cs="Verdana"/>
          <w:noProof/>
          <w:sz w:val="24"/>
          <w:szCs w:val="19"/>
        </w:rPr>
      </w:pPr>
    </w:p>
    <w:p w14:paraId="19834C1C" w14:textId="55BEC62B" w:rsidR="0083515C" w:rsidRPr="00DF28F7" w:rsidRDefault="00856A0D" w:rsidP="00C8141B">
      <w:pPr>
        <w:jc w:val="center"/>
        <w:rPr>
          <w:rFonts w:ascii="Times New Roman" w:eastAsia="Verdana" w:hAnsi="Times New Roman" w:cs="Verdana"/>
          <w:noProof/>
          <w:sz w:val="24"/>
          <w:szCs w:val="20"/>
        </w:rPr>
      </w:pPr>
      <w:r>
        <w:rPr>
          <w:rFonts w:ascii="Times New Roman" w:eastAsia="Verdana" w:hAnsi="Times New Roman" w:cs="Verdana"/>
          <w:noProof/>
          <w:sz w:val="24"/>
          <w:szCs w:val="20"/>
        </w:rPr>
        <w:lastRenderedPageBreak/>
        <w:drawing>
          <wp:inline distT="0" distB="0" distL="0" distR="0" wp14:anchorId="702F0013" wp14:editId="36AAE923">
            <wp:extent cx="5710555" cy="33299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0555" cy="3329940"/>
                    </a:xfrm>
                    <a:prstGeom prst="rect">
                      <a:avLst/>
                    </a:prstGeom>
                    <a:noFill/>
                    <a:ln>
                      <a:noFill/>
                    </a:ln>
                  </pic:spPr>
                </pic:pic>
              </a:graphicData>
            </a:graphic>
          </wp:inline>
        </w:drawing>
      </w:r>
    </w:p>
    <w:p w14:paraId="14E61231" w14:textId="77777777" w:rsidR="00C8141B" w:rsidRPr="00DF28F7" w:rsidRDefault="00C8141B" w:rsidP="001F2648">
      <w:pPr>
        <w:jc w:val="both"/>
        <w:rPr>
          <w:rFonts w:ascii="Times New Roman" w:eastAsia="Verdana" w:hAnsi="Times New Roman" w:cs="Verdana"/>
          <w:noProof/>
          <w:sz w:val="24"/>
          <w:szCs w:val="18"/>
        </w:rPr>
      </w:pPr>
    </w:p>
    <w:p w14:paraId="5954A409" w14:textId="77777777" w:rsidR="0083515C" w:rsidRPr="00856A0D" w:rsidRDefault="0083515C" w:rsidP="001F2648">
      <w:pPr>
        <w:jc w:val="both"/>
        <w:rPr>
          <w:rFonts w:ascii="Times New Roman" w:hAnsi="Times New Roman"/>
          <w:noProof/>
          <w:sz w:val="20"/>
          <w:szCs w:val="20"/>
        </w:rPr>
      </w:pPr>
      <w:r w:rsidRPr="00856A0D">
        <w:rPr>
          <w:rFonts w:ascii="Times New Roman" w:hAnsi="Times New Roman"/>
          <w:sz w:val="20"/>
          <w:szCs w:val="20"/>
        </w:rPr>
        <w:t xml:space="preserve">7. attēls. Biomasas izmantojums Eiropas Savienības 28 dalībvalstīs 2015. gadā. Pārņemts no </w:t>
      </w:r>
      <w:r w:rsidRPr="00856A0D">
        <w:rPr>
          <w:rFonts w:ascii="Times New Roman" w:hAnsi="Times New Roman"/>
          <w:i/>
          <w:iCs/>
          <w:sz w:val="20"/>
          <w:szCs w:val="20"/>
        </w:rPr>
        <w:t>Camia</w:t>
      </w:r>
      <w:r w:rsidRPr="00856A0D">
        <w:rPr>
          <w:rFonts w:ascii="Times New Roman" w:hAnsi="Times New Roman"/>
          <w:sz w:val="20"/>
          <w:szCs w:val="20"/>
        </w:rPr>
        <w:t xml:space="preserve"> u. c. (2018. gads), Kopīgais pētniecības centrs,</w:t>
      </w:r>
      <w:r w:rsidRPr="00856A0D">
        <w:rPr>
          <w:rFonts w:ascii="Times New Roman" w:hAnsi="Times New Roman"/>
          <w:i/>
          <w:iCs/>
          <w:sz w:val="20"/>
          <w:szCs w:val="20"/>
        </w:rPr>
        <w:t xml:space="preserve"> JRC Science for Policy Report</w:t>
      </w:r>
      <w:r w:rsidRPr="00856A0D">
        <w:rPr>
          <w:rFonts w:ascii="Times New Roman" w:hAnsi="Times New Roman"/>
          <w:sz w:val="20"/>
          <w:szCs w:val="20"/>
        </w:rPr>
        <w:t>, doi:10.2760/181536, JRC109869.</w:t>
      </w:r>
    </w:p>
    <w:p w14:paraId="1F25DCFD" w14:textId="77777777" w:rsidR="0083515C" w:rsidRPr="00DF28F7" w:rsidRDefault="0083515C" w:rsidP="001F2648">
      <w:pPr>
        <w:jc w:val="both"/>
        <w:rPr>
          <w:rFonts w:ascii="Times New Roman" w:eastAsia="Verdana" w:hAnsi="Times New Roman" w:cs="Verdana"/>
          <w:noProof/>
          <w:sz w:val="24"/>
          <w:szCs w:val="14"/>
        </w:rPr>
      </w:pPr>
    </w:p>
    <w:p w14:paraId="0A9BA916" w14:textId="77777777" w:rsidR="0083515C" w:rsidRPr="00DF28F7" w:rsidRDefault="0083515C" w:rsidP="001F2648">
      <w:pPr>
        <w:jc w:val="both"/>
        <w:rPr>
          <w:rFonts w:ascii="Times New Roman" w:eastAsia="Verdana" w:hAnsi="Times New Roman" w:cs="Verdana"/>
          <w:noProof/>
          <w:sz w:val="24"/>
          <w:szCs w:val="19"/>
        </w:rPr>
      </w:pPr>
    </w:p>
    <w:p w14:paraId="10B255E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Saskaņā ar Lauksaimniecības zinātniskās pētniecības pastāvīgās komitejas prognozēm par ilgtspējīgu lauksaimniecību, mežsaimniecību un zivsaimniecību bioekonomikā, </w:t>
      </w:r>
      <w:r>
        <w:rPr>
          <w:rFonts w:ascii="Times New Roman" w:hAnsi="Times New Roman"/>
          <w:i/>
          <w:iCs/>
          <w:sz w:val="24"/>
        </w:rPr>
        <w:t>BIO-BOOM</w:t>
      </w:r>
      <w:r>
        <w:rPr>
          <w:rFonts w:ascii="Times New Roman" w:hAnsi="Times New Roman"/>
          <w:sz w:val="24"/>
        </w:rPr>
        <w:t xml:space="preserve"> scenārijs paredz, ka biomasas apjoms, ko pasaules mērogā izmanto biomateriāliem un ķīmiskajām vielām, varētu pieaugt no 1,24 miljardiem tonnu 2012. gadā līdz 5,7 miljardiem tonnu</w:t>
      </w:r>
    </w:p>
    <w:p w14:paraId="24977A5B" w14:textId="77777777" w:rsidR="00CF10CD" w:rsidRPr="00DF28F7" w:rsidRDefault="00CF10CD" w:rsidP="001F2648">
      <w:pPr>
        <w:jc w:val="both"/>
        <w:rPr>
          <w:rFonts w:ascii="Times New Roman" w:hAnsi="Times New Roman"/>
          <w:noProof/>
          <w:sz w:val="24"/>
        </w:rPr>
      </w:pPr>
    </w:p>
    <w:p w14:paraId="623DC84D"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2050. gadā</w:t>
      </w:r>
      <w:r w:rsidR="00C8141B">
        <w:rPr>
          <w:rStyle w:val="FootnoteReference"/>
          <w:rFonts w:ascii="Times New Roman" w:hAnsi="Times New Roman"/>
          <w:noProof/>
          <w:sz w:val="24"/>
        </w:rPr>
        <w:footnoteReference w:id="135"/>
      </w:r>
      <w:r>
        <w:rPr>
          <w:rFonts w:ascii="Times New Roman" w:hAnsi="Times New Roman"/>
          <w:sz w:val="24"/>
        </w:rPr>
        <w:t xml:space="preserve">, savukārt </w:t>
      </w:r>
      <w:r>
        <w:rPr>
          <w:rFonts w:ascii="Times New Roman" w:hAnsi="Times New Roman"/>
          <w:i/>
          <w:iCs/>
          <w:sz w:val="24"/>
        </w:rPr>
        <w:t>BIO-MODESTY</w:t>
      </w:r>
      <w:r>
        <w:rPr>
          <w:rFonts w:ascii="Times New Roman" w:hAnsi="Times New Roman"/>
          <w:sz w:val="24"/>
        </w:rPr>
        <w:t xml:space="preserve"> scenārijā pieņem, ka biomasas pieprasījuma pieaugums materiāliem un enerģijai būs salīdzinoši zems. Atbilstoši ilgtspējīgas attīstības 12. mērķim, lai nodrošinātu ilgtspējīgu biomasas piedāvājuma un pieprasījuma sistēmu, ir nepieciešams, lai arī patēriņa modeļi būtu ilgtspējīgi. Tomēr šobrīd tā ne vienmēr notiek.</w:t>
      </w:r>
      <w:r w:rsidR="00C8141B">
        <w:rPr>
          <w:rStyle w:val="FootnoteReference"/>
          <w:rFonts w:ascii="Times New Roman" w:hAnsi="Times New Roman"/>
          <w:noProof/>
          <w:sz w:val="24"/>
        </w:rPr>
        <w:footnoteReference w:id="136"/>
      </w:r>
      <w:r>
        <w:rPr>
          <w:rFonts w:ascii="Times New Roman" w:hAnsi="Times New Roman"/>
          <w:sz w:val="24"/>
        </w:rPr>
        <w:t xml:space="preserve"> Piemēram, pasaules mērogā lopkopība pašlaik aizņem vienu trešdaļu no pasaules aramzemes izmantojuma un rada septiņus procentus no kopējām siltumnīcefekta gāzu emisijām</w:t>
      </w:r>
      <w:r w:rsidR="00C8141B">
        <w:rPr>
          <w:rStyle w:val="FootnoteReference"/>
          <w:rFonts w:ascii="Times New Roman" w:hAnsi="Times New Roman"/>
          <w:noProof/>
          <w:sz w:val="24"/>
        </w:rPr>
        <w:footnoteReference w:id="137"/>
      </w:r>
      <w:r>
        <w:rPr>
          <w:rFonts w:ascii="Times New Roman" w:hAnsi="Times New Roman"/>
          <w:sz w:val="24"/>
        </w:rPr>
        <w:t>, turklāt patērē nozīmīgu ūdens daļu gan pasaules, gan ES līmenī.</w:t>
      </w:r>
      <w:r w:rsidR="00C8141B">
        <w:rPr>
          <w:rStyle w:val="FootnoteReference"/>
          <w:rFonts w:ascii="Times New Roman" w:hAnsi="Times New Roman"/>
          <w:noProof/>
          <w:sz w:val="24"/>
        </w:rPr>
        <w:footnoteReference w:id="138"/>
      </w:r>
      <w:r>
        <w:rPr>
          <w:rFonts w:ascii="Times New Roman" w:hAnsi="Times New Roman"/>
          <w:sz w:val="24"/>
        </w:rPr>
        <w:t xml:space="preserve"> Ņemot vērā gaidāmo pasaules iedzīvotāju skaita pieaugumu, paredzams, ka līdz 2050. gadam pieprasījums pēc dzīvnieku izcelsmes produktiem palielināsies par 70 %</w:t>
      </w:r>
      <w:r w:rsidR="00C8141B">
        <w:rPr>
          <w:rStyle w:val="FootnoteReference"/>
          <w:rFonts w:ascii="Times New Roman" w:hAnsi="Times New Roman"/>
          <w:noProof/>
          <w:sz w:val="24"/>
        </w:rPr>
        <w:footnoteReference w:id="139"/>
      </w:r>
      <w:r>
        <w:rPr>
          <w:rFonts w:ascii="Times New Roman" w:hAnsi="Times New Roman"/>
          <w:sz w:val="24"/>
        </w:rPr>
        <w:t>, kas varētu pastiprināt spiedienu uz vidi un negatīvi ietekmēt klimata pārmaiņu mazināšanas pasākumus.</w:t>
      </w:r>
      <w:r w:rsidR="00C8141B">
        <w:rPr>
          <w:rStyle w:val="FootnoteReference"/>
          <w:rFonts w:ascii="Times New Roman" w:hAnsi="Times New Roman"/>
          <w:noProof/>
          <w:sz w:val="24"/>
        </w:rPr>
        <w:footnoteReference w:id="140"/>
      </w:r>
    </w:p>
    <w:p w14:paraId="773A2A9B" w14:textId="77777777" w:rsidR="0083515C" w:rsidRPr="00DF28F7" w:rsidRDefault="0083515C" w:rsidP="001F2648">
      <w:pPr>
        <w:jc w:val="both"/>
        <w:rPr>
          <w:rFonts w:ascii="Times New Roman" w:eastAsia="Verdana" w:hAnsi="Times New Roman" w:cs="Verdana"/>
          <w:noProof/>
          <w:sz w:val="24"/>
        </w:rPr>
      </w:pPr>
    </w:p>
    <w:p w14:paraId="0D816716" w14:textId="77777777" w:rsidR="0083515C" w:rsidRPr="00DF28F7" w:rsidRDefault="0083515C" w:rsidP="001F2648">
      <w:pPr>
        <w:jc w:val="both"/>
        <w:rPr>
          <w:rFonts w:ascii="Times New Roman" w:eastAsia="Verdana" w:hAnsi="Times New Roman" w:cs="Verdana"/>
          <w:noProof/>
          <w:sz w:val="24"/>
        </w:rPr>
      </w:pPr>
    </w:p>
    <w:p w14:paraId="385C6453" w14:textId="77777777" w:rsidR="0083515C" w:rsidRPr="00C8141B" w:rsidRDefault="0083515C" w:rsidP="001F2648">
      <w:pPr>
        <w:jc w:val="both"/>
        <w:rPr>
          <w:rFonts w:ascii="Times New Roman" w:eastAsia="Times New Roman" w:hAnsi="Times New Roman" w:cs="Times New Roman"/>
          <w:i/>
          <w:iCs/>
          <w:noProof/>
          <w:sz w:val="24"/>
          <w:szCs w:val="18"/>
        </w:rPr>
      </w:pPr>
      <w:r>
        <w:rPr>
          <w:rFonts w:ascii="Times New Roman" w:hAnsi="Times New Roman"/>
          <w:i/>
          <w:sz w:val="24"/>
        </w:rPr>
        <w:lastRenderedPageBreak/>
        <w:t>2.2.3. Okeāni un zilā bioekonomika</w:t>
      </w:r>
    </w:p>
    <w:p w14:paraId="4B8199DF" w14:textId="77777777" w:rsidR="0083515C" w:rsidRPr="00DF28F7" w:rsidRDefault="0083515C" w:rsidP="001F2648">
      <w:pPr>
        <w:jc w:val="both"/>
        <w:rPr>
          <w:rFonts w:ascii="Times New Roman" w:eastAsia="Times New Roman" w:hAnsi="Times New Roman" w:cs="Times New Roman"/>
          <w:noProof/>
          <w:sz w:val="24"/>
          <w:szCs w:val="20"/>
        </w:rPr>
      </w:pPr>
    </w:p>
    <w:p w14:paraId="45F8D20F"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Okeāni aizņem vairāk nekā divas trešdaļas Zemes virsmas un satur 97 % planētas ūdens.</w:t>
      </w:r>
      <w:r w:rsidR="00C8141B">
        <w:rPr>
          <w:rStyle w:val="FootnoteReference"/>
          <w:rFonts w:ascii="Times New Roman" w:hAnsi="Times New Roman"/>
          <w:noProof/>
          <w:sz w:val="24"/>
        </w:rPr>
        <w:footnoteReference w:id="141"/>
      </w:r>
      <w:r>
        <w:rPr>
          <w:rFonts w:ascii="Times New Roman" w:hAnsi="Times New Roman"/>
          <w:sz w:val="24"/>
        </w:rPr>
        <w:t xml:space="preserve"> Globālā okeānu ekonomika ievērojami veicina ekonomikas rezultātus un nodarbinātību. Ekonomiskās sadarbības un attīstības organizācija (ESAO) 2010. gadā aprēķināja, ka pievienotā vērtība ir 1,5 triljoni ASV dolāru jeb aptuveni 2,5 % no pasaules bruto pievienotās vērtības.</w:t>
      </w:r>
      <w:r w:rsidR="00EE3CF1">
        <w:rPr>
          <w:rStyle w:val="FootnoteReference"/>
          <w:rFonts w:ascii="Times New Roman" w:hAnsi="Times New Roman"/>
          <w:noProof/>
          <w:sz w:val="24"/>
        </w:rPr>
        <w:footnoteReference w:id="142"/>
      </w:r>
      <w:r>
        <w:rPr>
          <w:rFonts w:ascii="Times New Roman" w:hAnsi="Times New Roman"/>
          <w:sz w:val="24"/>
        </w:rPr>
        <w:t xml:space="preserve"> Turklāt tā identificēja jaunas okeānu nozares, kurām ir īpaši liels potenciāls attiecībā uz izaugsmi, inovāciju un ieguldījuma nodrošināšanu tādu globālu problēmu risināšanā kā energoapgādes drošība, vide, klimata pārmaiņas un pārtikas nodrošinājums. Tradicionāli pasākumi var veicināt arī jūras ekonomikas ilgtspējīgu izaugsmi, ja vien tie tiek īstenoti ilgtspējīgā veidā.</w:t>
      </w:r>
      <w:r w:rsidR="00EE3CF1">
        <w:rPr>
          <w:rStyle w:val="FootnoteReference"/>
          <w:rFonts w:ascii="Times New Roman" w:hAnsi="Times New Roman"/>
          <w:noProof/>
          <w:sz w:val="24"/>
        </w:rPr>
        <w:footnoteReference w:id="143"/>
      </w:r>
    </w:p>
    <w:p w14:paraId="759F5F50" w14:textId="77777777" w:rsidR="0083515C" w:rsidRPr="00DF28F7" w:rsidRDefault="0083515C" w:rsidP="001F2648">
      <w:pPr>
        <w:jc w:val="both"/>
        <w:rPr>
          <w:rFonts w:ascii="Times New Roman" w:eastAsia="Verdana" w:hAnsi="Times New Roman" w:cs="Verdana"/>
          <w:noProof/>
          <w:sz w:val="24"/>
          <w:szCs w:val="20"/>
        </w:rPr>
      </w:pPr>
    </w:p>
    <w:p w14:paraId="7E188668" w14:textId="77777777" w:rsidR="0083515C" w:rsidRPr="00EE3CF1" w:rsidRDefault="0083515C" w:rsidP="001F2648">
      <w:pPr>
        <w:pStyle w:val="BodyText"/>
        <w:ind w:left="0"/>
        <w:jc w:val="both"/>
        <w:rPr>
          <w:rFonts w:ascii="Times New Roman" w:hAnsi="Times New Roman"/>
          <w:noProof/>
          <w:sz w:val="24"/>
        </w:rPr>
      </w:pPr>
      <w:r>
        <w:rPr>
          <w:rFonts w:ascii="Times New Roman" w:hAnsi="Times New Roman"/>
          <w:sz w:val="24"/>
        </w:rPr>
        <w:t>Jūras un saldūdens apgabaliem būs izšķiroša nozīme, lai apmierinātu pieprasījumu pēc pārtikas, ko rada strauji augošais pasaules iedzīvotāju skaits. Jūras resursi jau tagad ir nozīmīgs proteīnu avots visā pasaulē, tomēr Eiropas Savienībā tos neizmanto optimāli, jo cilvēku uzturā galvenā uzmanība tiek pievērsta nelielam skaitam augstāko plēsēju sugu, bet citi lietojumi nav plaši izplatīti.</w:t>
      </w:r>
      <w:r w:rsidR="00EE3CF1">
        <w:rPr>
          <w:rStyle w:val="FootnoteReference"/>
          <w:rFonts w:ascii="Times New Roman" w:hAnsi="Times New Roman"/>
          <w:noProof/>
          <w:sz w:val="24"/>
        </w:rPr>
        <w:footnoteReference w:id="144"/>
      </w:r>
      <w:r>
        <w:rPr>
          <w:rFonts w:ascii="Times New Roman" w:hAnsi="Times New Roman"/>
          <w:sz w:val="24"/>
        </w:rPr>
        <w:t xml:space="preserve"> Tādējādi netiek izmantots ne zemāko trofisko līmeņu, ne dažādu atkritumproduktu potenciāls. Attiecībā uz pēdējo minēto aspektu ir aprēķināts, ka uz katru apēsto zivju tonnu līdzvērtīgs daudzums zivju materiāla tiek izmests kā atkritumi vai kā mazvērtīgs blakusprodukts.</w:t>
      </w:r>
      <w:r w:rsidR="00EE3CF1">
        <w:rPr>
          <w:rStyle w:val="FootnoteReference"/>
          <w:rFonts w:ascii="Times New Roman" w:hAnsi="Times New Roman"/>
          <w:noProof/>
          <w:sz w:val="24"/>
        </w:rPr>
        <w:footnoteReference w:id="145"/>
      </w:r>
      <w:r>
        <w:rPr>
          <w:rFonts w:ascii="Times New Roman" w:hAnsi="Times New Roman"/>
          <w:sz w:val="24"/>
        </w:rPr>
        <w:t xml:space="preserve"> Tāpēc Eiropas Bioekonomikas stratēģijā ir nepārprotami izvirzīti tādi mērķi kā jūrsaimniecības nodrošināšana un tās resursu efektīva ieguve. Ņemot vērā pasākumus dabas aizsardzības jomā un zinātniski pamatotus apsaimniekošanas plānus, dažās teritorijās, piemēram, Atlantijas okeāna ziemeļaustrumu daļā, laika gaitā palielinās aizsardzības līmenis un uzlabojas ekspluatācijas līmenis, tuvojoties ilgtspējas nodrošināšanai. Tomēr daudzi krājumi joprojām tiek pārzvejoti (40 % 2016. gadā) un/vai ir pakļauti bioloģiskajam riskam (35 % 2016. gadā). Progress, lai panāktu ilgtspējīgu optimālu izmantošanu nolūkā nodrošināt, ka visi krājumi līdz 2020. gadam atbilst ES politikas mērķiem, šķiet pārāk lēns. Situācija Vidusjūrā ir vēl sliktāka, jo tur tiek pārzvejoti 93 % zivju krājumu. Atbilstoši Kopējās zivsaimniecības politikas darbības jomai Zivsaimniecības zinātnes, tehnikas un ekonomikas komiteja kopā ar Eiropas Komisijas Kopīgo pētniecības centru uzrauga zivju krājumu stāvokli un kopējās zivsaimniecības politikas izpildi (Regulas (ES) 1380/2013 50. pants), lai sniegtu nepieciešamos zinātniskos ieteikumus ilgtspējīgas zivsaimniecības nodrošināšanai, tādējādi palīdzot mainīt tendences un atjaunot okeāna veselību.</w:t>
      </w:r>
      <w:r w:rsidR="00AD05D6">
        <w:rPr>
          <w:rStyle w:val="FootnoteReference"/>
          <w:rFonts w:ascii="Times New Roman" w:hAnsi="Times New Roman"/>
          <w:noProof/>
          <w:sz w:val="24"/>
        </w:rPr>
        <w:footnoteReference w:id="146"/>
      </w:r>
    </w:p>
    <w:p w14:paraId="0DE937D9" w14:textId="77777777" w:rsidR="0083515C" w:rsidRPr="00DF28F7" w:rsidRDefault="0083515C" w:rsidP="001F2648">
      <w:pPr>
        <w:jc w:val="both"/>
        <w:rPr>
          <w:rFonts w:ascii="Times New Roman" w:eastAsia="Verdana" w:hAnsi="Times New Roman" w:cs="Verdana"/>
          <w:noProof/>
          <w:sz w:val="24"/>
          <w:szCs w:val="19"/>
        </w:rPr>
      </w:pPr>
    </w:p>
    <w:p w14:paraId="4710413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Līdzās zivīm aizvien nozīmīgāka kļūst aļģu biomasas ieguve, jo sagaidāms, ka šis avots būs efektīvs alternatīvs risinājums Eiropas biomasas ražošanas potenciāla palielināšanai, jo īpaši olbaltumvielu ražošanai. Pašlaik aļģes izmanto galvenokārt pārtikas un ķīmiskajā rūpniecībā kā izejvielas hidrokoloīdu un cilvēku uztura produktu ieguvei. Būtiski veikt aizvien lielākas investīcijas aļģu ilgtspējīgā audzēšanā, jo īpaši attiecībā uz komerciāli nozīmīgām sugām, kurām ir apstiprināta uzņēmība pret pastāvošajiem stresoriem. Eiropas Savienībā aļģu audzēšana joprojām ir agrīnā stadijā, lai gan laikā no 2005. līdz 2014. gadam ir novērojams pieaugums par 66 % (avots: </w:t>
      </w:r>
      <w:r>
        <w:rPr>
          <w:rFonts w:ascii="Times New Roman" w:hAnsi="Times New Roman"/>
          <w:i/>
          <w:iCs/>
          <w:sz w:val="24"/>
        </w:rPr>
        <w:t>FAO</w:t>
      </w:r>
      <w:r>
        <w:rPr>
          <w:rFonts w:ascii="Times New Roman" w:hAnsi="Times New Roman"/>
          <w:sz w:val="24"/>
        </w:rPr>
        <w:t xml:space="preserve"> </w:t>
      </w:r>
      <w:r>
        <w:rPr>
          <w:rFonts w:ascii="Times New Roman" w:hAnsi="Times New Roman"/>
          <w:i/>
          <w:iCs/>
          <w:sz w:val="24"/>
        </w:rPr>
        <w:t>fishstat</w:t>
      </w:r>
      <w:r>
        <w:rPr>
          <w:rFonts w:ascii="Times New Roman" w:hAnsi="Times New Roman"/>
          <w:sz w:val="24"/>
        </w:rPr>
        <w:t>). Ir nepieciešama turpmāka attīstība tehnoloģiskajā, operatīvajā, bioloģisko zināšanu un ekonomiskajā līmenī.</w:t>
      </w:r>
    </w:p>
    <w:p w14:paraId="55A3D751" w14:textId="77777777" w:rsidR="0083515C" w:rsidRPr="00DF28F7" w:rsidRDefault="0083515C" w:rsidP="001F2648">
      <w:pPr>
        <w:jc w:val="both"/>
        <w:rPr>
          <w:rFonts w:ascii="Times New Roman" w:eastAsia="Verdana" w:hAnsi="Times New Roman" w:cs="Verdana"/>
          <w:noProof/>
          <w:sz w:val="24"/>
          <w:szCs w:val="19"/>
        </w:rPr>
      </w:pPr>
    </w:p>
    <w:p w14:paraId="09881891" w14:textId="77777777" w:rsidR="0083515C" w:rsidRPr="00AD05D6" w:rsidRDefault="0083515C" w:rsidP="001F2648">
      <w:pPr>
        <w:pStyle w:val="BodyText"/>
        <w:ind w:left="0"/>
        <w:jc w:val="both"/>
        <w:rPr>
          <w:rFonts w:ascii="Times New Roman" w:hAnsi="Times New Roman"/>
          <w:noProof/>
          <w:sz w:val="24"/>
        </w:rPr>
      </w:pPr>
      <w:r>
        <w:rPr>
          <w:rFonts w:ascii="Times New Roman" w:hAnsi="Times New Roman"/>
          <w:sz w:val="24"/>
        </w:rPr>
        <w:lastRenderedPageBreak/>
        <w:t>Būtiski norādīt, ka visas zilās bioekonomikas darbības ir atkarīgas no plašākas makroekonomiskās vides, kā arī sarežģītās un neskaidrās mijiedarbības ar pārējām jūrniecības un jūrlietu darbībām. Kā norāda Pasaules Dabas Fonds, līdz pat 70 % no gada vērtības, ko rada darbība pasaules okeānos, ir atkarīgi no okeānu veselības</w:t>
      </w:r>
      <w:r w:rsidR="00AD05D6">
        <w:rPr>
          <w:rStyle w:val="FootnoteReference"/>
          <w:rFonts w:ascii="Times New Roman" w:hAnsi="Times New Roman"/>
          <w:noProof/>
          <w:sz w:val="24"/>
        </w:rPr>
        <w:footnoteReference w:id="147"/>
      </w:r>
      <w:r>
        <w:rPr>
          <w:rFonts w:ascii="Times New Roman" w:hAnsi="Times New Roman"/>
          <w:sz w:val="24"/>
        </w:rPr>
        <w:t>, bet tradicionālās uzņēmējdarbības scenārijā pašreizējais spiediens iznīcinātu okeānu resursus. Būtiska nenoteiktība ir saistīta ar novēroto okeānu veselības pasliktināšanos, kas klimata pārmaiņu dēļ, šķiet, notiek straujāk. Apvienoto Nāciju Organizācijas Vispārējās konvencijas par klimata pārmaiņām 21. Pušu konferencē tika uzsvērts, ka klimats un okeāni ir nešķirami un savā ziņā ir vēl izpētāmi un izprotami. Kopš industriālās revolūcijas sākuma laikā no 1971. līdz 2010. gadam okeāni absorbēja aptuveni 93 % no siltumnīcefekta gāzu radītā papildu siltuma un 26 % no antropogēnajām oglekļa dioksīda emisijām. Jūras temperatūras paaugstināšanās, jūras līmeņa celšanās un jūras paskābināšanās (tā dēvētā “cita oglekļa dioksīda izraisītā problēma”)</w:t>
      </w:r>
      <w:r w:rsidR="00AD05D6">
        <w:rPr>
          <w:rStyle w:val="FootnoteReference"/>
          <w:rFonts w:ascii="Times New Roman" w:hAnsi="Times New Roman"/>
          <w:noProof/>
          <w:sz w:val="24"/>
        </w:rPr>
        <w:footnoteReference w:id="148"/>
      </w:r>
      <w:r>
        <w:rPr>
          <w:rFonts w:ascii="Times New Roman" w:hAnsi="Times New Roman"/>
          <w:sz w:val="24"/>
          <w:vertAlign w:val="superscript"/>
        </w:rPr>
        <w:t>,</w:t>
      </w:r>
      <w:r w:rsidR="00AD05D6">
        <w:rPr>
          <w:rStyle w:val="FootnoteReference"/>
          <w:rFonts w:ascii="Times New Roman" w:hAnsi="Times New Roman"/>
          <w:noProof/>
          <w:sz w:val="24"/>
          <w:szCs w:val="12"/>
        </w:rPr>
        <w:footnoteReference w:id="149"/>
      </w:r>
      <w:r>
        <w:rPr>
          <w:rFonts w:ascii="Times New Roman" w:hAnsi="Times New Roman"/>
          <w:sz w:val="24"/>
        </w:rPr>
        <w:t xml:space="preserve"> var radīt nepanesamu slogu jūras kapitālam. Tomēr tikai 4,1 % okeāna klasificē kā aizsargātus okeānus, un tikai daļu no tiem pārvalda efektīvi.</w:t>
      </w:r>
      <w:r w:rsidR="00AD05D6">
        <w:rPr>
          <w:rStyle w:val="FootnoteReference"/>
          <w:rFonts w:ascii="Times New Roman" w:hAnsi="Times New Roman"/>
          <w:noProof/>
          <w:sz w:val="24"/>
        </w:rPr>
        <w:footnoteReference w:id="150"/>
      </w:r>
      <w:r>
        <w:rPr>
          <w:rFonts w:ascii="Times New Roman" w:hAnsi="Times New Roman"/>
          <w:sz w:val="24"/>
        </w:rPr>
        <w:t xml:space="preserve"> </w:t>
      </w:r>
      <w:r>
        <w:rPr>
          <w:rFonts w:ascii="Times New Roman" w:hAnsi="Times New Roman"/>
          <w:i/>
          <w:iCs/>
          <w:sz w:val="24"/>
        </w:rPr>
        <w:t>Ellen McArthur</w:t>
      </w:r>
      <w:r>
        <w:rPr>
          <w:rFonts w:ascii="Times New Roman" w:hAnsi="Times New Roman"/>
          <w:sz w:val="24"/>
        </w:rPr>
        <w:t xml:space="preserve"> fonds un Pasaules ekonomikas forums norādīja, ka, turpinoties pašreizējai tendencei, līdz 2050. gadam jūras un okeāni svara ziņā varētu saturēt vairāk plastmasas nekā zivis.</w:t>
      </w:r>
      <w:r w:rsidR="00AD05D6">
        <w:rPr>
          <w:rStyle w:val="FootnoteReference"/>
          <w:rFonts w:ascii="Times New Roman" w:hAnsi="Times New Roman"/>
          <w:noProof/>
          <w:sz w:val="24"/>
        </w:rPr>
        <w:footnoteReference w:id="151"/>
      </w:r>
      <w:r>
        <w:rPr>
          <w:rFonts w:ascii="Times New Roman" w:hAnsi="Times New Roman"/>
          <w:sz w:val="24"/>
        </w:rPr>
        <w:t xml:space="preserve"> Nesen eksperti no Alfrēda Vēgenera institūta, kas ietilpst Helmholca polārās un jūras pētniecības centra struktūrā, arktiskās jūras ledū konstatēja lielāku mikroplastmasas daudzumu nekā jebkad agrāk.</w:t>
      </w:r>
      <w:r w:rsidR="00AD05D6">
        <w:rPr>
          <w:rStyle w:val="FootnoteReference"/>
          <w:rFonts w:ascii="Times New Roman" w:hAnsi="Times New Roman"/>
          <w:noProof/>
          <w:sz w:val="24"/>
        </w:rPr>
        <w:footnoteReference w:id="152"/>
      </w:r>
    </w:p>
    <w:p w14:paraId="452339DC" w14:textId="77777777" w:rsidR="0083515C" w:rsidRPr="00DF28F7" w:rsidRDefault="0083515C" w:rsidP="001F2648">
      <w:pPr>
        <w:jc w:val="both"/>
        <w:rPr>
          <w:rFonts w:ascii="Times New Roman" w:eastAsia="Verdana" w:hAnsi="Times New Roman" w:cs="Verdana"/>
          <w:noProof/>
          <w:sz w:val="24"/>
          <w:szCs w:val="19"/>
        </w:rPr>
      </w:pPr>
    </w:p>
    <w:p w14:paraId="736F75D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Zilās bioekonomikas uzplaukums ir iespējams tikai tad, ja to pārvalda ilgtspējīgi. Tomēr mūsu zināšanas par iespējām zem jūras virsmas joprojām ir ierobežotas, jo īpaši salīdzinājumā ar to, ko zinām par sauszemi. Tāpēc ir jāīsteno pasākumi, tostarp jāveic zinātniskie pētījumi, lai labāk izprastu ar jūru saistīto darbību ietekmi uz jūras ekosistēmām. Lai liktu pamatu pārdomātai politikai, ir jāgūst labāka izpratne par okeānu resursiem un jūras vidi, kas turklāt ļaus labāk novērtēt un izsvērt ar jūras bioekonomikas darbībām saistītos risinājumus un iespējamos riskus. Valdošais zināšanu trūkums par jūras vidi kavē izmantot tās sniegto vērtību pašreizējo globālo problēmu risināšanai.</w:t>
      </w:r>
    </w:p>
    <w:p w14:paraId="160815BE" w14:textId="77777777" w:rsidR="0083515C" w:rsidRPr="00DF28F7" w:rsidRDefault="0083515C" w:rsidP="001F2648">
      <w:pPr>
        <w:jc w:val="both"/>
        <w:rPr>
          <w:rFonts w:ascii="Times New Roman" w:eastAsia="Verdana" w:hAnsi="Times New Roman" w:cs="Verdana"/>
          <w:noProof/>
          <w:sz w:val="24"/>
          <w:szCs w:val="19"/>
        </w:rPr>
      </w:pPr>
    </w:p>
    <w:p w14:paraId="4F36D7B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ES atbalsta pasākumus, ar ko nodrošina labākas zināšanas, uz ekosistēmām balstītu pārrobežu un integrētu teritoriālo plānošanu, pārvaldību un uzraudzību. Jūras nozaru izaugsmes stratēģija un aprites ekonomika sniedz iespējas pārdomāt izaugsmes modeļus un labāk izmantot mūsu ierobežotos resursus. Pētniecība un inovācijas virzās uz to, lai izpētītu labākos iespējamos veidus, kā okeāns var gan saglabāt veselību, gan būt produktīva dzīvības atbalsta sistēma. Daudzas ieviestās zinātniskās iniciatīvas veicinās zināšanas un palīdzēs vairāk uzmanības pievērst okeāniem un jūrām, lai uzlabotu pārvaldību un politikas veidošanu, kā arī maksimāli izmantotu jūras resursus. Attiecībā uz jūras dzīvo atjaunojamo resursu pārvaldību prasība pēc “labākajiem pieejamajiem zinātniskajiem ieteikumiem”, kas noteikta kopējās zivsaimniecības politikas pamatregulā, varētu būt kā paradigma citās jomās, lai nodrošinātu zinātnisko zināšanu integrēšanu politikā un lēmumu pieņemšanā.</w:t>
      </w:r>
    </w:p>
    <w:p w14:paraId="05FD6796" w14:textId="77777777" w:rsidR="0083515C" w:rsidRPr="00DF28F7" w:rsidRDefault="0083515C" w:rsidP="001F2648">
      <w:pPr>
        <w:jc w:val="both"/>
        <w:rPr>
          <w:rFonts w:ascii="Times New Roman" w:eastAsia="Verdana" w:hAnsi="Times New Roman" w:cs="Verdana"/>
          <w:noProof/>
          <w:sz w:val="24"/>
          <w:szCs w:val="18"/>
        </w:rPr>
      </w:pPr>
    </w:p>
    <w:p w14:paraId="657BA781" w14:textId="77777777" w:rsidR="0083515C" w:rsidRPr="00DF28F7" w:rsidRDefault="0083515C" w:rsidP="001F2648">
      <w:pPr>
        <w:jc w:val="both"/>
        <w:rPr>
          <w:rFonts w:ascii="Times New Roman" w:eastAsia="Verdana" w:hAnsi="Times New Roman" w:cs="Verdana"/>
          <w:noProof/>
          <w:sz w:val="24"/>
        </w:rPr>
      </w:pPr>
    </w:p>
    <w:p w14:paraId="53D5DAAD" w14:textId="77777777" w:rsidR="0083515C" w:rsidRPr="00DF28F7" w:rsidRDefault="0083515C" w:rsidP="001F2648">
      <w:pPr>
        <w:jc w:val="both"/>
        <w:rPr>
          <w:rFonts w:ascii="Times New Roman" w:hAnsi="Times New Roman"/>
          <w:noProof/>
          <w:sz w:val="24"/>
        </w:rPr>
      </w:pPr>
      <w:r>
        <w:rPr>
          <w:rFonts w:ascii="Times New Roman" w:hAnsi="Times New Roman"/>
          <w:sz w:val="24"/>
        </w:rPr>
        <w:t>2.2.4. Uz bioresursiem balstītās nozares</w:t>
      </w:r>
    </w:p>
    <w:p w14:paraId="4E32FE61" w14:textId="77777777" w:rsidR="0083515C" w:rsidRPr="00DF28F7" w:rsidRDefault="0083515C" w:rsidP="001F2648">
      <w:pPr>
        <w:jc w:val="both"/>
        <w:rPr>
          <w:rFonts w:ascii="Times New Roman" w:eastAsia="Verdana" w:hAnsi="Times New Roman" w:cs="Verdana"/>
          <w:noProof/>
          <w:sz w:val="24"/>
          <w:szCs w:val="19"/>
        </w:rPr>
      </w:pPr>
    </w:p>
    <w:p w14:paraId="1555BFC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Uz bioresursiem balstītajās nozarēs ražo un izmanto atjaunojamos bioloģiskos resursus un/vai ievēro novatoriskus bioloģiskos procesus un principus, lai sniegtu bioproduktus, procesus un pakalpojumus. Ir ierasti bioprodukti, ko tradicionāli ražo no biomasas (piemēram, koksne, korķis, dabiskais kaučuks, papīrs, tekstilpreces, koka celtniecības materiāli), kā arī nesen attīstīti ražojumi, piemēram, uz bioresursiem balstītas ķīmiskās vielas, bioplastmasa u. c. Arī biodegviela ir bioprodukts, tomēr to izmanto enerģijas iegūšanai, tāpēc par to vairāk rakstīts 2.2.6. punktā.</w:t>
      </w:r>
    </w:p>
    <w:p w14:paraId="15AB2EC1" w14:textId="77777777" w:rsidR="0083515C" w:rsidRPr="00DF28F7" w:rsidRDefault="0083515C" w:rsidP="001F2648">
      <w:pPr>
        <w:jc w:val="both"/>
        <w:rPr>
          <w:rFonts w:ascii="Times New Roman" w:eastAsia="Verdana" w:hAnsi="Times New Roman" w:cs="Verdana"/>
          <w:noProof/>
          <w:sz w:val="24"/>
          <w:szCs w:val="19"/>
        </w:rPr>
      </w:pPr>
    </w:p>
    <w:p w14:paraId="632D667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Ar bioproduktiem var aizstāt uz fosilajiem energoresursiem balstītus ražojumus. Tie var būt identiski uz fosilajām izejvielām balstītajai alternatīvai (“uzrašanās”) vai būt jauni produkti ar pilnībā jaunām funkcijām un potenciālu jauniem tirgiem (piemēram, uz celulozi balstīti produkti vai uz bioresursiem balstīta plastmasa, kas ir piemērota rūpnieciskai kompostēšanai un bioloģiski noārdās dabiskajā vidē, vai “zaļās” ķīmiskās vielas). Bioproduktus var izmantot ne tikai biomasas apstrādei. Tiem izmanto līdz šim nepieredzētus sasniegumus dzīvības zinātnēs un biotehnoloģijā (tostarp mikrobioloģijā, mikrobioma un enzīmu tehnoloģijās), kas apvienojumā ar digitālo revolūciju ļauj izmantot dabas “bioloģiskos aktīvus” (bioķimikālijas un biomateriālus) un “biomimētiskos aktīvus” (funkcijas un procesus), lai radītu būtiskus jaunus ekonomiskās vērtības un nākotnes ieņēmumu avotus.</w:t>
      </w:r>
    </w:p>
    <w:p w14:paraId="5FC0166D" w14:textId="77777777" w:rsidR="0083515C" w:rsidRPr="00DF28F7" w:rsidRDefault="0083515C" w:rsidP="001F2648">
      <w:pPr>
        <w:jc w:val="both"/>
        <w:rPr>
          <w:rFonts w:ascii="Times New Roman" w:eastAsia="Verdana" w:hAnsi="Times New Roman" w:cs="Verdana"/>
          <w:noProof/>
          <w:sz w:val="24"/>
          <w:szCs w:val="19"/>
        </w:rPr>
      </w:pPr>
    </w:p>
    <w:p w14:paraId="67294CD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Uz bioresursiem balstītiem procesiem raksturīga augsta selektivitāte, turklāt tie noris saudzīgākos un videi nekaitīgākos apstākļos nekā tradicionālie procesi, piemēram, B2 vitamīna ražošana uz mikrobu bāzes (viena posma process, nevis ķīmiskā ražošana sešās pakāpēs), ar ko samazina neatjaunojamo izejvielu izmantojumu par 75 %, gaistošu organisko savienojumu emisijas gaisā un ūdenī par 50 % un ražošanas izmaksas par 50 %.</w:t>
      </w:r>
    </w:p>
    <w:p w14:paraId="36755D2C" w14:textId="77777777" w:rsidR="0083515C" w:rsidRPr="00DF28F7" w:rsidRDefault="0083515C" w:rsidP="001F2648">
      <w:pPr>
        <w:jc w:val="both"/>
        <w:rPr>
          <w:rFonts w:ascii="Times New Roman" w:eastAsia="Verdana" w:hAnsi="Times New Roman" w:cs="Verdana"/>
          <w:noProof/>
          <w:sz w:val="24"/>
          <w:szCs w:val="20"/>
        </w:rPr>
      </w:pPr>
    </w:p>
    <w:p w14:paraId="4F843A00"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Biomasas pārstrādes uzņēmumos biomasa tiek pārveidota par bioproduktu. Ja iekārta biomasu pārvērš produktu klāstā, to sauc par biorafinēšanu.</w:t>
      </w:r>
      <w:r w:rsidR="00AD05D6">
        <w:rPr>
          <w:rStyle w:val="FootnoteReference"/>
          <w:rFonts w:ascii="Times New Roman" w:hAnsi="Times New Roman"/>
          <w:noProof/>
          <w:sz w:val="24"/>
        </w:rPr>
        <w:footnoteReference w:id="153"/>
      </w:r>
    </w:p>
    <w:p w14:paraId="1EB1E3C0" w14:textId="77777777" w:rsidR="0083515C" w:rsidRPr="00DF28F7" w:rsidRDefault="0083515C" w:rsidP="001F2648">
      <w:pPr>
        <w:jc w:val="both"/>
        <w:rPr>
          <w:rFonts w:ascii="Times New Roman" w:eastAsia="Verdana" w:hAnsi="Times New Roman" w:cs="Verdana"/>
          <w:noProof/>
          <w:sz w:val="24"/>
          <w:szCs w:val="19"/>
        </w:rPr>
      </w:pPr>
    </w:p>
    <w:p w14:paraId="297AF6BF" w14:textId="6CB1145D" w:rsidR="0083515C" w:rsidRPr="00DF28F7" w:rsidRDefault="00855CC0" w:rsidP="001F2648">
      <w:pPr>
        <w:jc w:val="both"/>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606731AA" wp14:editId="71E92697">
            <wp:extent cx="5753735" cy="1518285"/>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1518285"/>
                    </a:xfrm>
                    <a:prstGeom prst="rect">
                      <a:avLst/>
                    </a:prstGeom>
                    <a:noFill/>
                    <a:ln>
                      <a:noFill/>
                    </a:ln>
                  </pic:spPr>
                </pic:pic>
              </a:graphicData>
            </a:graphic>
          </wp:inline>
        </w:drawing>
      </w:r>
    </w:p>
    <w:p w14:paraId="264FDB62" w14:textId="77777777" w:rsidR="00AD05D6" w:rsidRDefault="00AD05D6" w:rsidP="001F2648">
      <w:pPr>
        <w:jc w:val="both"/>
        <w:rPr>
          <w:rFonts w:ascii="Times New Roman" w:eastAsia="Verdana" w:hAnsi="Times New Roman" w:cs="Verdana"/>
          <w:noProof/>
          <w:sz w:val="24"/>
          <w:szCs w:val="18"/>
        </w:rPr>
      </w:pPr>
    </w:p>
    <w:p w14:paraId="60A0171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Pēdējos gados uz bioresursiem balstītā nozare ir spērusi lielus soļus. Interese par pāreju no fosilajiem produktiem uz bioproduktiem ir atdzīvinājusi tradicionālās nozares, sniedzot iespējas dažādot to piedāvāto produktu klāstu. Inovācijā pielieto prasmes izmantot dažādu biomasu uz bioresursiem balstītajā ražošanā tradicionālajās nozarēs, piemēram, celulozes, kokapstrādes, tekstilrūpniecības un uz koksni balstītas būvniecības nozarēs.</w:t>
      </w:r>
    </w:p>
    <w:p w14:paraId="78A2BB0C" w14:textId="77777777" w:rsidR="0083515C" w:rsidRPr="00DF28F7" w:rsidRDefault="0083515C" w:rsidP="001F2648">
      <w:pPr>
        <w:jc w:val="both"/>
        <w:rPr>
          <w:rFonts w:ascii="Times New Roman" w:eastAsia="Verdana" w:hAnsi="Times New Roman" w:cs="Verdana"/>
          <w:noProof/>
          <w:sz w:val="24"/>
          <w:szCs w:val="19"/>
        </w:rPr>
      </w:pPr>
    </w:p>
    <w:p w14:paraId="15EEB89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Celuloze, papīrs un kartons nodrošināja jaunus celulozes pielietojumus, ar ko var aizstāt uz fosilajiem energoresursiem balstītas tekstilpreces un plastmasu, veicināt nanofibrilus lietojumus uz bioresursiem balstītos adhezīvos, laminātos, 3D drukāšanā un elastīgā elektronikā, kā arī izmantot salokāmu gofrētu kartonu liela mēroga iepakošanas uzņēmumos produktu pārdošanai internetā. Atdzīvinot celulozes, papīra un kartona nozari, ir rasts risinājums arī tam, kā labāk izmantot to sekundārās plūsmas biodegvielas ražošanā, turklāt tagad tas aizvien vairāk vērojams arī tirgos, kas ietver tīrās un preču ķimikālijas, veselības aprūpi, autotransportu, patēriņa preces, būvniecību utt. Dažiem zemo tehnoloģiju produktiem, piemēram, kompozītiem, iesaiņojuma materiāliem u. c., ir zemāka pievienotā vērtība, bet arī zemākas izmaksas un risks, tāpēc par tiem ir interese, jo tos var sekmīgi atveidot dažādos reģionos un kontekstos.</w:t>
      </w:r>
    </w:p>
    <w:p w14:paraId="022B5A3D" w14:textId="77777777" w:rsidR="0083515C" w:rsidRPr="00DF28F7" w:rsidRDefault="0083515C" w:rsidP="001F2648">
      <w:pPr>
        <w:jc w:val="both"/>
        <w:rPr>
          <w:rFonts w:ascii="Times New Roman" w:eastAsia="Verdana" w:hAnsi="Times New Roman" w:cs="Verdana"/>
          <w:noProof/>
          <w:sz w:val="24"/>
          <w:szCs w:val="19"/>
        </w:rPr>
      </w:pPr>
    </w:p>
    <w:p w14:paraId="5431752E"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Vēl viens jauna bioprodukta piemērs ir tekstilšķiedras, kas izgatavotas no mikrofibrilētas celulozes, kura mehāniskās apstrādes procesā iegūta no koksnes, neizmantojot kaitīgas ķīmiskās vielas. Tekstilizstrādājumu nozarē līdz 2050. gadam paredzams tekstilšķiedru deficīts 180 miljonu tonnu apmērā, un to varētu aizpildīt galvenokārt ar mākslīgajām celulozes šķiedrām, uz bioresursiem balstītām polimēru šķiedrām vai naftas ķīmijas šķiedrām – atkarībā no politiskā un ekonomiskā regulējuma.</w:t>
      </w:r>
      <w:r w:rsidR="00886EF6">
        <w:rPr>
          <w:rStyle w:val="FootnoteReference"/>
          <w:rFonts w:ascii="Times New Roman" w:hAnsi="Times New Roman"/>
          <w:noProof/>
          <w:sz w:val="24"/>
        </w:rPr>
        <w:footnoteReference w:id="154"/>
      </w:r>
    </w:p>
    <w:p w14:paraId="08694733" w14:textId="77777777" w:rsidR="0083515C" w:rsidRPr="00DF28F7" w:rsidRDefault="0083515C" w:rsidP="001F2648">
      <w:pPr>
        <w:jc w:val="both"/>
        <w:rPr>
          <w:rFonts w:ascii="Times New Roman" w:eastAsia="Verdana" w:hAnsi="Times New Roman" w:cs="Verdana"/>
          <w:noProof/>
          <w:sz w:val="24"/>
          <w:szCs w:val="20"/>
        </w:rPr>
      </w:pPr>
    </w:p>
    <w:p w14:paraId="49DD1FB5"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Nodarbinātības un apgrozījuma pieauguma ziņā uz bioresursiem balstītā nozare ir ļoti dinamiska bioekonomikas daļa.</w:t>
      </w:r>
      <w:r w:rsidR="00886EF6">
        <w:rPr>
          <w:rStyle w:val="FootnoteReference"/>
          <w:rFonts w:ascii="Times New Roman" w:hAnsi="Times New Roman"/>
          <w:noProof/>
          <w:sz w:val="24"/>
        </w:rPr>
        <w:footnoteReference w:id="155"/>
      </w:r>
      <w:r>
        <w:rPr>
          <w:rFonts w:ascii="Times New Roman" w:hAnsi="Times New Roman"/>
          <w:sz w:val="24"/>
        </w:rPr>
        <w:t xml:space="preserve"> Laikā no 2009. līdz 2015. gadam Eiropas Savienībā uz bioresursiem balstītajās nozarēs pievienotās vērtības kopējais pieaugums bija 14 % attiecībā uz koksnes un koka izstrādājumu ražošanu un 23 % attiecībā uz celulozes, papīra un kartona ražošanu. Tajā pašā laikposmā kopējais ES pievienotās vērtības pieauguma temps attiecībā uz ķīmiskām vielām, farmaceitiskiem līdzekļiem, plastmasām un gumiju, kas ir uz biomateriāliem balstīta, bija 17 %.</w:t>
      </w:r>
      <w:r w:rsidR="00886EF6">
        <w:rPr>
          <w:rStyle w:val="FootnoteReference"/>
          <w:rFonts w:ascii="Times New Roman" w:hAnsi="Times New Roman"/>
          <w:noProof/>
          <w:sz w:val="24"/>
        </w:rPr>
        <w:footnoteReference w:id="156"/>
      </w:r>
    </w:p>
    <w:p w14:paraId="431634BA" w14:textId="77777777" w:rsidR="0083515C" w:rsidRPr="00DF28F7" w:rsidRDefault="0083515C" w:rsidP="001F2648">
      <w:pPr>
        <w:jc w:val="both"/>
        <w:rPr>
          <w:rFonts w:ascii="Times New Roman" w:eastAsia="Verdana" w:hAnsi="Times New Roman" w:cs="Verdana"/>
          <w:noProof/>
          <w:sz w:val="24"/>
          <w:szCs w:val="19"/>
        </w:rPr>
      </w:pPr>
    </w:p>
    <w:p w14:paraId="45F1927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Uz bioresursiem balstītas ķīmiskās vielas, kas iegūtas biomasas pārstrādē, ir svarīgs uz bioresursiem balstītās nozares segments. Uz bioresursiem balstīto ķīmisko vielu rūpniecības nozare 2015. gadā ir radījusi vislielāko darbavietu skaitu no visām bioekonomikas nozarēm (sk. 2.2. punktu). Saskaņā ar gaidāmā Kopīgā pētniecības centra 2018. gada pētījuma provizoriskajiem rezultātiem ES uz bioresursiem balstīto ķīmisko vielu tirgus ir daudzveidīgs, un pastāv lielas atšķirības starp produktu kategorijām. Piemēram, gan attiecībā uz bioloģiskajiem šķīdinātājiem, kas ir balstīti uz biomateriāliem, gan attiecībā uz platformas ķīmiskajām vielām uz bioresursiem balstīto izejvielu procentuālā daļa ir ļoti maza, savukārt attiecībā uz virsmaktīvajām vielām un kosmētikas līdzekļiem tā jau ir lielāka. Atšķirības ir lielas pat kategorijās ar līdzīgu uz bioresursiem balstīto izejvielu īpatsvaru, jo paredzams, ka turpmākajos gados strauji pieaugs platformas uz bioresursiem balstīto ķīmisko vielu skaits, bet uz bioresursiem balstīto šķīdinātāju skaita pieaugums būs krietni lēnāks.</w:t>
      </w:r>
    </w:p>
    <w:p w14:paraId="5F8CE9B2" w14:textId="77777777" w:rsidR="0083515C" w:rsidRPr="00DF28F7" w:rsidRDefault="0083515C" w:rsidP="001F2648">
      <w:pPr>
        <w:jc w:val="both"/>
        <w:rPr>
          <w:rFonts w:ascii="Times New Roman" w:eastAsia="Verdana" w:hAnsi="Times New Roman" w:cs="Verdana"/>
          <w:noProof/>
          <w:sz w:val="24"/>
          <w:szCs w:val="19"/>
        </w:rPr>
      </w:pPr>
    </w:p>
    <w:p w14:paraId="3BEE454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Eiropas koksnes produktu tirgus daļas 1 % pieaugums pasaules būvniecības, tekstilpreču un plastmasas tirgū varētu radīt ieņēmumus Eiropas koksnes bioekonomikai no 10 līdz 60 miljardiem EUR (atkarībā no izdarītajiem pieņēmumiem – sk. 2. tabulu). Tie būtu 3 %–20 % no ES meža nozares pašreizējā kopējā apgrozījuma. Attiecībā uz papildu apaļkoku lietkoksnes izmantošanu minētais 1 % pieaugums būtu vismaz 83 miljoni kubikmetru, tātad 23 % no kopējās apaļkoku lietkoksnes ražošanas ES 2016. gadā (355 miljoni kubikmetru, </w:t>
      </w:r>
      <w:r>
        <w:rPr>
          <w:rFonts w:ascii="Times New Roman" w:hAnsi="Times New Roman"/>
          <w:i/>
          <w:iCs/>
          <w:sz w:val="24"/>
        </w:rPr>
        <w:lastRenderedPageBreak/>
        <w:t xml:space="preserve">FAOSTAT </w:t>
      </w:r>
      <w:r>
        <w:rPr>
          <w:rFonts w:ascii="Times New Roman" w:hAnsi="Times New Roman"/>
          <w:sz w:val="24"/>
        </w:rPr>
        <w:t>dati).</w:t>
      </w:r>
      <w:r w:rsidR="00886EF6">
        <w:rPr>
          <w:rStyle w:val="FootnoteReference"/>
          <w:rFonts w:ascii="Times New Roman" w:hAnsi="Times New Roman"/>
          <w:noProof/>
          <w:sz w:val="24"/>
        </w:rPr>
        <w:footnoteReference w:id="157"/>
      </w:r>
      <w:r>
        <w:rPr>
          <w:rFonts w:ascii="Times New Roman" w:hAnsi="Times New Roman"/>
          <w:sz w:val="24"/>
        </w:rPr>
        <w:t xml:space="preserve"> Tomēr, lai gan gada raža joprojām būtu mazāka par neto gada pieaugumu, šāds apaļkoku izmantošanas pieaugums Eiropas Savienībā samazinātu oglekli absorbējošo ekosistēmu ES, tāpēc ir rūpīgi jāapsver visās bioekonomikas jomās panāktie kompromisi.</w:t>
      </w:r>
    </w:p>
    <w:p w14:paraId="3EE4990C" w14:textId="432C368D" w:rsidR="0083515C" w:rsidRDefault="0083515C" w:rsidP="001F2648">
      <w:pPr>
        <w:jc w:val="both"/>
        <w:rPr>
          <w:rFonts w:ascii="Times New Roman" w:eastAsia="Verdana" w:hAnsi="Times New Roman" w:cs="Verdana"/>
          <w:noProof/>
          <w:sz w:val="24"/>
          <w:szCs w:val="7"/>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825"/>
        <w:gridCol w:w="1825"/>
        <w:gridCol w:w="1826"/>
        <w:gridCol w:w="1826"/>
        <w:gridCol w:w="1826"/>
      </w:tblGrid>
      <w:tr w:rsidR="00855CC0" w:rsidRPr="009A78AF" w14:paraId="662D52F7" w14:textId="77777777" w:rsidTr="00901F08">
        <w:tc>
          <w:tcPr>
            <w:tcW w:w="1000" w:type="pct"/>
            <w:shd w:val="clear" w:color="auto" w:fill="0070C0"/>
          </w:tcPr>
          <w:p w14:paraId="7A76C843" w14:textId="77777777" w:rsidR="00855CC0" w:rsidRPr="009A78AF" w:rsidRDefault="00855CC0" w:rsidP="00901F08">
            <w:pPr>
              <w:jc w:val="center"/>
              <w:rPr>
                <w:rFonts w:ascii="Times New Roman" w:eastAsia="Verdana" w:hAnsi="Times New Roman" w:cs="Verdana"/>
                <w:noProof/>
                <w:color w:val="FFFFFF" w:themeColor="background1"/>
                <w:sz w:val="20"/>
                <w:szCs w:val="20"/>
              </w:rPr>
            </w:pPr>
            <w:r w:rsidRPr="009A78AF">
              <w:rPr>
                <w:rFonts w:ascii="Times New Roman" w:hAnsi="Times New Roman"/>
                <w:b/>
                <w:bCs/>
                <w:color w:val="FFFFFF" w:themeColor="background1"/>
                <w:sz w:val="20"/>
                <w:szCs w:val="20"/>
              </w:rPr>
              <w:t>Tirgus</w:t>
            </w:r>
          </w:p>
        </w:tc>
        <w:tc>
          <w:tcPr>
            <w:tcW w:w="1000" w:type="pct"/>
            <w:shd w:val="clear" w:color="auto" w:fill="0070C0"/>
          </w:tcPr>
          <w:p w14:paraId="39EDB58A" w14:textId="77777777" w:rsidR="00855CC0" w:rsidRPr="009A78AF" w:rsidRDefault="00855CC0" w:rsidP="00901F08">
            <w:pPr>
              <w:jc w:val="center"/>
              <w:rPr>
                <w:rFonts w:ascii="Times New Roman" w:eastAsia="Verdana" w:hAnsi="Times New Roman" w:cs="Verdana"/>
                <w:b/>
                <w:bCs/>
                <w:noProof/>
                <w:color w:val="FFFFFF" w:themeColor="background1"/>
                <w:sz w:val="20"/>
                <w:szCs w:val="20"/>
              </w:rPr>
            </w:pPr>
            <w:r w:rsidRPr="009A78AF">
              <w:rPr>
                <w:rFonts w:ascii="Times New Roman" w:hAnsi="Times New Roman"/>
                <w:b/>
                <w:bCs/>
                <w:color w:val="FFFFFF" w:themeColor="background1"/>
                <w:sz w:val="20"/>
                <w:szCs w:val="20"/>
              </w:rPr>
              <w:t>Būvniecība</w:t>
            </w:r>
          </w:p>
          <w:p w14:paraId="6F5A4B11" w14:textId="77777777" w:rsidR="00855CC0" w:rsidRPr="009A78AF" w:rsidRDefault="00855CC0" w:rsidP="00901F08">
            <w:pPr>
              <w:jc w:val="center"/>
              <w:rPr>
                <w:rFonts w:ascii="Times New Roman" w:eastAsia="Verdana" w:hAnsi="Times New Roman" w:cs="Verdana"/>
                <w:noProof/>
                <w:color w:val="FFFFFF" w:themeColor="background1"/>
                <w:sz w:val="20"/>
                <w:szCs w:val="20"/>
              </w:rPr>
            </w:pPr>
            <w:r w:rsidRPr="009A78AF">
              <w:rPr>
                <w:rFonts w:ascii="Times New Roman" w:hAnsi="Times New Roman"/>
                <w:i/>
                <w:iCs/>
                <w:color w:val="FFFFFF" w:themeColor="background1"/>
                <w:sz w:val="20"/>
                <w:szCs w:val="20"/>
              </w:rPr>
              <w:t>(cements/betons)</w:t>
            </w:r>
          </w:p>
        </w:tc>
        <w:tc>
          <w:tcPr>
            <w:tcW w:w="1000" w:type="pct"/>
            <w:shd w:val="clear" w:color="auto" w:fill="0070C0"/>
          </w:tcPr>
          <w:p w14:paraId="75FEC681" w14:textId="77777777" w:rsidR="00855CC0" w:rsidRPr="009A78AF" w:rsidRDefault="00855CC0" w:rsidP="00901F08">
            <w:pPr>
              <w:jc w:val="center"/>
              <w:rPr>
                <w:rFonts w:ascii="Times New Roman" w:eastAsia="Verdana" w:hAnsi="Times New Roman" w:cs="Verdana"/>
                <w:noProof/>
                <w:color w:val="FFFFFF" w:themeColor="background1"/>
                <w:sz w:val="20"/>
                <w:szCs w:val="20"/>
              </w:rPr>
            </w:pPr>
            <w:r w:rsidRPr="009A78AF">
              <w:rPr>
                <w:rFonts w:ascii="Times New Roman" w:hAnsi="Times New Roman"/>
                <w:b/>
                <w:bCs/>
                <w:color w:val="FFFFFF" w:themeColor="background1"/>
                <w:sz w:val="20"/>
                <w:szCs w:val="20"/>
              </w:rPr>
              <w:t>Plastmasa</w:t>
            </w:r>
          </w:p>
        </w:tc>
        <w:tc>
          <w:tcPr>
            <w:tcW w:w="1000" w:type="pct"/>
            <w:shd w:val="clear" w:color="auto" w:fill="0070C0"/>
          </w:tcPr>
          <w:p w14:paraId="4A124277" w14:textId="77777777" w:rsidR="00855CC0" w:rsidRPr="009A78AF" w:rsidRDefault="00855CC0" w:rsidP="00901F08">
            <w:pPr>
              <w:jc w:val="center"/>
              <w:rPr>
                <w:rFonts w:ascii="Times New Roman" w:eastAsia="Verdana" w:hAnsi="Times New Roman" w:cs="Verdana"/>
                <w:noProof/>
                <w:color w:val="FFFFFF" w:themeColor="background1"/>
                <w:sz w:val="20"/>
                <w:szCs w:val="20"/>
              </w:rPr>
            </w:pPr>
            <w:r w:rsidRPr="009A78AF">
              <w:rPr>
                <w:rFonts w:ascii="Times New Roman" w:hAnsi="Times New Roman"/>
                <w:b/>
                <w:bCs/>
                <w:color w:val="FFFFFF" w:themeColor="background1"/>
                <w:sz w:val="20"/>
                <w:szCs w:val="20"/>
              </w:rPr>
              <w:t>Tekstilpreces</w:t>
            </w:r>
          </w:p>
        </w:tc>
        <w:tc>
          <w:tcPr>
            <w:tcW w:w="1000" w:type="pct"/>
            <w:shd w:val="clear" w:color="auto" w:fill="0070C0"/>
          </w:tcPr>
          <w:p w14:paraId="398CB5F5" w14:textId="77777777" w:rsidR="00855CC0" w:rsidRPr="009A78AF" w:rsidRDefault="00855CC0" w:rsidP="00901F08">
            <w:pPr>
              <w:jc w:val="center"/>
              <w:rPr>
                <w:rFonts w:ascii="Times New Roman" w:eastAsia="Verdana" w:hAnsi="Times New Roman" w:cs="Verdana"/>
                <w:noProof/>
                <w:color w:val="FFFFFF" w:themeColor="background1"/>
                <w:sz w:val="20"/>
                <w:szCs w:val="20"/>
              </w:rPr>
            </w:pPr>
            <w:r w:rsidRPr="009A78AF">
              <w:rPr>
                <w:rFonts w:ascii="Times New Roman" w:hAnsi="Times New Roman"/>
                <w:b/>
                <w:bCs/>
                <w:color w:val="FFFFFF" w:themeColor="background1"/>
                <w:sz w:val="20"/>
                <w:szCs w:val="20"/>
              </w:rPr>
              <w:t>KOPĀ</w:t>
            </w:r>
          </w:p>
        </w:tc>
      </w:tr>
      <w:tr w:rsidR="00855CC0" w:rsidRPr="009A78AF" w14:paraId="542EC8A8" w14:textId="77777777" w:rsidTr="00901F08">
        <w:tc>
          <w:tcPr>
            <w:tcW w:w="1000" w:type="pct"/>
          </w:tcPr>
          <w:p w14:paraId="73D4BB33"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Pasaules tirgus lielums 2050. gadā</w:t>
            </w:r>
          </w:p>
        </w:tc>
        <w:tc>
          <w:tcPr>
            <w:tcW w:w="1000" w:type="pct"/>
          </w:tcPr>
          <w:p w14:paraId="431E7BD4"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&gt; 5000 Mt</w:t>
            </w:r>
          </w:p>
        </w:tc>
        <w:tc>
          <w:tcPr>
            <w:tcW w:w="1000" w:type="pct"/>
          </w:tcPr>
          <w:p w14:paraId="038147DD"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1124 Mt</w:t>
            </w:r>
          </w:p>
        </w:tc>
        <w:tc>
          <w:tcPr>
            <w:tcW w:w="1000" w:type="pct"/>
          </w:tcPr>
          <w:p w14:paraId="11AEA694"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250 Mt</w:t>
            </w:r>
          </w:p>
        </w:tc>
        <w:tc>
          <w:tcPr>
            <w:tcW w:w="1000" w:type="pct"/>
          </w:tcPr>
          <w:p w14:paraId="74394591"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6374 Mt</w:t>
            </w:r>
          </w:p>
        </w:tc>
      </w:tr>
      <w:tr w:rsidR="00855CC0" w:rsidRPr="009A78AF" w14:paraId="63BAE477" w14:textId="77777777" w:rsidTr="00901F08">
        <w:tc>
          <w:tcPr>
            <w:tcW w:w="1000" w:type="pct"/>
          </w:tcPr>
          <w:p w14:paraId="21D4ADF9"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 xml:space="preserve">Pieauguma tempa </w:t>
            </w:r>
            <w:r w:rsidRPr="009A78AF">
              <w:rPr>
                <w:rFonts w:ascii="Times New Roman" w:hAnsi="Times New Roman"/>
                <w:i/>
                <w:iCs/>
                <w:sz w:val="20"/>
                <w:szCs w:val="20"/>
              </w:rPr>
              <w:t>pieņēmums</w:t>
            </w:r>
          </w:p>
        </w:tc>
        <w:tc>
          <w:tcPr>
            <w:tcW w:w="1000" w:type="pct"/>
          </w:tcPr>
          <w:p w14:paraId="7722F43C"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Drīz sasniegs virsotni</w:t>
            </w:r>
          </w:p>
        </w:tc>
        <w:tc>
          <w:tcPr>
            <w:tcW w:w="1000" w:type="pct"/>
          </w:tcPr>
          <w:p w14:paraId="13008647"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4x līdz 2050. gadam</w:t>
            </w:r>
          </w:p>
        </w:tc>
        <w:tc>
          <w:tcPr>
            <w:tcW w:w="1000" w:type="pct"/>
          </w:tcPr>
          <w:p w14:paraId="162C1B9A"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4x līdz 2050. gadam</w:t>
            </w:r>
          </w:p>
        </w:tc>
        <w:tc>
          <w:tcPr>
            <w:tcW w:w="1000" w:type="pct"/>
          </w:tcPr>
          <w:p w14:paraId="352B9333" w14:textId="77777777" w:rsidR="00855CC0" w:rsidRPr="009A78AF" w:rsidRDefault="00855CC0" w:rsidP="00901F08">
            <w:pPr>
              <w:jc w:val="both"/>
              <w:rPr>
                <w:rFonts w:ascii="Times New Roman" w:eastAsia="Verdana" w:hAnsi="Times New Roman" w:cs="Verdana"/>
                <w:noProof/>
                <w:sz w:val="20"/>
                <w:szCs w:val="20"/>
              </w:rPr>
            </w:pPr>
          </w:p>
        </w:tc>
      </w:tr>
      <w:tr w:rsidR="00855CC0" w:rsidRPr="009A78AF" w14:paraId="6D50E509" w14:textId="77777777" w:rsidTr="00901F08">
        <w:tc>
          <w:tcPr>
            <w:tcW w:w="1000" w:type="pct"/>
          </w:tcPr>
          <w:p w14:paraId="13DB9A60"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Cena*</w:t>
            </w:r>
          </w:p>
          <w:p w14:paraId="6ABE12FD"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i/>
                <w:iCs/>
                <w:sz w:val="20"/>
                <w:szCs w:val="20"/>
              </w:rPr>
              <w:t>(vienas vienības vērtība)</w:t>
            </w:r>
          </w:p>
        </w:tc>
        <w:tc>
          <w:tcPr>
            <w:tcW w:w="1000" w:type="pct"/>
          </w:tcPr>
          <w:p w14:paraId="18EB6401"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80–2650 EUR/tonna</w:t>
            </w:r>
          </w:p>
        </w:tc>
        <w:tc>
          <w:tcPr>
            <w:tcW w:w="1000" w:type="pct"/>
          </w:tcPr>
          <w:p w14:paraId="19684A04"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650–1580 EUR/tonna</w:t>
            </w:r>
          </w:p>
        </w:tc>
        <w:tc>
          <w:tcPr>
            <w:tcW w:w="1000" w:type="pct"/>
          </w:tcPr>
          <w:p w14:paraId="50EC3226"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600–23 000 EUR/tonna</w:t>
            </w:r>
          </w:p>
        </w:tc>
        <w:tc>
          <w:tcPr>
            <w:tcW w:w="1000" w:type="pct"/>
          </w:tcPr>
          <w:p w14:paraId="104CCC93" w14:textId="77777777" w:rsidR="00855CC0" w:rsidRPr="009A78AF" w:rsidRDefault="00855CC0" w:rsidP="00901F08">
            <w:pPr>
              <w:jc w:val="both"/>
              <w:rPr>
                <w:rFonts w:ascii="Times New Roman" w:eastAsia="Verdana" w:hAnsi="Times New Roman" w:cs="Verdana"/>
                <w:noProof/>
                <w:sz w:val="20"/>
                <w:szCs w:val="20"/>
              </w:rPr>
            </w:pPr>
          </w:p>
        </w:tc>
      </w:tr>
      <w:tr w:rsidR="00855CC0" w:rsidRPr="009A78AF" w14:paraId="376E4C30" w14:textId="77777777" w:rsidTr="00901F08">
        <w:tc>
          <w:tcPr>
            <w:tcW w:w="5000" w:type="pct"/>
            <w:gridSpan w:val="5"/>
            <w:shd w:val="clear" w:color="auto" w:fill="00B050"/>
          </w:tcPr>
          <w:p w14:paraId="536F8EF7" w14:textId="77777777" w:rsidR="00855CC0" w:rsidRPr="009A78AF" w:rsidRDefault="00855CC0" w:rsidP="00901F08">
            <w:pPr>
              <w:jc w:val="center"/>
              <w:rPr>
                <w:rFonts w:ascii="Times New Roman" w:eastAsia="Verdana" w:hAnsi="Times New Roman" w:cs="Verdana"/>
                <w:b/>
                <w:bCs/>
                <w:noProof/>
                <w:color w:val="FFFFFF" w:themeColor="background1"/>
                <w:sz w:val="20"/>
                <w:szCs w:val="20"/>
              </w:rPr>
            </w:pPr>
            <w:r w:rsidRPr="009A78AF">
              <w:rPr>
                <w:rFonts w:ascii="Times New Roman" w:hAnsi="Times New Roman"/>
                <w:b/>
                <w:bCs/>
                <w:color w:val="FFFFFF" w:themeColor="background1"/>
                <w:sz w:val="20"/>
                <w:szCs w:val="20"/>
              </w:rPr>
              <w:t>Uz koksnes resursiem balstīts 1 % risinājums</w:t>
            </w:r>
          </w:p>
          <w:p w14:paraId="79CC8DF1" w14:textId="77777777" w:rsidR="00855CC0" w:rsidRPr="009A78AF" w:rsidRDefault="00855CC0" w:rsidP="00901F08">
            <w:pPr>
              <w:jc w:val="center"/>
              <w:rPr>
                <w:rFonts w:ascii="Times New Roman" w:eastAsia="Verdana" w:hAnsi="Times New Roman" w:cs="Verdana"/>
                <w:noProof/>
                <w:sz w:val="20"/>
                <w:szCs w:val="20"/>
              </w:rPr>
            </w:pPr>
            <w:r w:rsidRPr="009A78AF">
              <w:rPr>
                <w:rFonts w:ascii="Times New Roman" w:hAnsi="Times New Roman"/>
                <w:i/>
                <w:iCs/>
                <w:color w:val="FFFFFF" w:themeColor="background1"/>
                <w:sz w:val="20"/>
                <w:szCs w:val="20"/>
              </w:rPr>
              <w:t>(Eiropas meža izejvielu pieaugums 1 % apmērā no pasaules tirgus apjoma)</w:t>
            </w:r>
          </w:p>
        </w:tc>
      </w:tr>
      <w:tr w:rsidR="00855CC0" w:rsidRPr="009A78AF" w14:paraId="60BA0133" w14:textId="77777777" w:rsidTr="00901F08">
        <w:tc>
          <w:tcPr>
            <w:tcW w:w="1000" w:type="pct"/>
          </w:tcPr>
          <w:p w14:paraId="1D6DAE2C"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Ražošana</w:t>
            </w:r>
          </w:p>
        </w:tc>
        <w:tc>
          <w:tcPr>
            <w:tcW w:w="1000" w:type="pct"/>
          </w:tcPr>
          <w:p w14:paraId="13BF9492"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13,7 Mt**</w:t>
            </w:r>
          </w:p>
        </w:tc>
        <w:tc>
          <w:tcPr>
            <w:tcW w:w="1000" w:type="pct"/>
          </w:tcPr>
          <w:p w14:paraId="37B35C90"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11,2 Mt</w:t>
            </w:r>
          </w:p>
        </w:tc>
        <w:tc>
          <w:tcPr>
            <w:tcW w:w="1000" w:type="pct"/>
          </w:tcPr>
          <w:p w14:paraId="76F2CAA3"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2,5 Mt</w:t>
            </w:r>
          </w:p>
        </w:tc>
        <w:tc>
          <w:tcPr>
            <w:tcW w:w="1000" w:type="pct"/>
          </w:tcPr>
          <w:p w14:paraId="5B54D69C"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27,4 Mt</w:t>
            </w:r>
          </w:p>
        </w:tc>
      </w:tr>
      <w:tr w:rsidR="00855CC0" w:rsidRPr="009A78AF" w14:paraId="7D5FAED3" w14:textId="77777777" w:rsidTr="00901F08">
        <w:tc>
          <w:tcPr>
            <w:tcW w:w="1000" w:type="pct"/>
          </w:tcPr>
          <w:p w14:paraId="5ACCFC42"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Ieņēmumi</w:t>
            </w:r>
          </w:p>
        </w:tc>
        <w:tc>
          <w:tcPr>
            <w:tcW w:w="1000" w:type="pct"/>
          </w:tcPr>
          <w:p w14:paraId="04F65E0D"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- 1–36 miljardi EUR</w:t>
            </w:r>
          </w:p>
        </w:tc>
        <w:tc>
          <w:tcPr>
            <w:tcW w:w="1000" w:type="pct"/>
          </w:tcPr>
          <w:p w14:paraId="7A82C5AD"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- 7–18 miljardi EUR</w:t>
            </w:r>
          </w:p>
        </w:tc>
        <w:tc>
          <w:tcPr>
            <w:tcW w:w="1000" w:type="pct"/>
          </w:tcPr>
          <w:p w14:paraId="05E67D74"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- 1,5–6 miljardi EUR</w:t>
            </w:r>
          </w:p>
        </w:tc>
        <w:tc>
          <w:tcPr>
            <w:tcW w:w="1000" w:type="pct"/>
          </w:tcPr>
          <w:p w14:paraId="76678B80"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- 10–60 miljardi EUR</w:t>
            </w:r>
          </w:p>
        </w:tc>
      </w:tr>
      <w:tr w:rsidR="00855CC0" w:rsidRPr="009A78AF" w14:paraId="0002B21C" w14:textId="77777777" w:rsidTr="00901F08">
        <w:tc>
          <w:tcPr>
            <w:tcW w:w="1000" w:type="pct"/>
          </w:tcPr>
          <w:p w14:paraId="5AC2C245"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Koksnes izmantojums</w:t>
            </w:r>
          </w:p>
        </w:tc>
        <w:tc>
          <w:tcPr>
            <w:tcW w:w="1000" w:type="pct"/>
          </w:tcPr>
          <w:p w14:paraId="7CA3C760"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60 Mm</w:t>
            </w:r>
            <w:r w:rsidRPr="009A78AF">
              <w:rPr>
                <w:rFonts w:ascii="Times New Roman" w:hAnsi="Times New Roman"/>
                <w:sz w:val="20"/>
                <w:szCs w:val="20"/>
                <w:vertAlign w:val="superscript"/>
              </w:rPr>
              <w:t>3</w:t>
            </w:r>
          </w:p>
        </w:tc>
        <w:tc>
          <w:tcPr>
            <w:tcW w:w="1000" w:type="pct"/>
          </w:tcPr>
          <w:p w14:paraId="3224A6CF"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i/>
                <w:iCs/>
                <w:sz w:val="20"/>
                <w:szCs w:val="20"/>
              </w:rPr>
              <w:t>(nav primāra izmantojuma – balstīts uz sekundārajām straumēm)</w:t>
            </w:r>
          </w:p>
        </w:tc>
        <w:tc>
          <w:tcPr>
            <w:tcW w:w="1000" w:type="pct"/>
          </w:tcPr>
          <w:p w14:paraId="432033A2"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15 Mm</w:t>
            </w:r>
            <w:r w:rsidRPr="009A78AF">
              <w:rPr>
                <w:rFonts w:ascii="Times New Roman" w:hAnsi="Times New Roman"/>
                <w:sz w:val="20"/>
                <w:szCs w:val="20"/>
                <w:vertAlign w:val="superscript"/>
              </w:rPr>
              <w:t>3</w:t>
            </w:r>
          </w:p>
        </w:tc>
        <w:tc>
          <w:tcPr>
            <w:tcW w:w="1000" w:type="pct"/>
          </w:tcPr>
          <w:p w14:paraId="45699EED" w14:textId="77777777" w:rsidR="00855CC0" w:rsidRPr="009A78AF" w:rsidRDefault="00855CC0" w:rsidP="00901F08">
            <w:pPr>
              <w:jc w:val="both"/>
              <w:rPr>
                <w:rFonts w:ascii="Times New Roman" w:eastAsia="Verdana" w:hAnsi="Times New Roman" w:cs="Verdana"/>
                <w:noProof/>
                <w:sz w:val="20"/>
                <w:szCs w:val="20"/>
              </w:rPr>
            </w:pPr>
            <w:r w:rsidRPr="009A78AF">
              <w:rPr>
                <w:rFonts w:ascii="Times New Roman" w:hAnsi="Times New Roman"/>
                <w:sz w:val="20"/>
                <w:szCs w:val="20"/>
              </w:rPr>
              <w:t>&gt; 83 Mm</w:t>
            </w:r>
            <w:r w:rsidRPr="009A78AF">
              <w:rPr>
                <w:rFonts w:ascii="Times New Roman" w:hAnsi="Times New Roman"/>
                <w:sz w:val="20"/>
                <w:szCs w:val="20"/>
                <w:vertAlign w:val="superscript"/>
              </w:rPr>
              <w:t>3</w:t>
            </w:r>
          </w:p>
        </w:tc>
      </w:tr>
    </w:tbl>
    <w:p w14:paraId="12359BE9" w14:textId="677BF724" w:rsidR="00855CC0" w:rsidRDefault="00855CC0" w:rsidP="001F2648">
      <w:pPr>
        <w:jc w:val="both"/>
        <w:rPr>
          <w:rFonts w:ascii="Times New Roman" w:eastAsia="Verdana" w:hAnsi="Times New Roman" w:cs="Verdana"/>
          <w:noProof/>
          <w:sz w:val="24"/>
          <w:szCs w:val="7"/>
        </w:rPr>
      </w:pPr>
    </w:p>
    <w:p w14:paraId="6941A9E2" w14:textId="77777777" w:rsidR="00371E5F" w:rsidRPr="009A78AF" w:rsidRDefault="00371E5F" w:rsidP="00371E5F">
      <w:pPr>
        <w:jc w:val="both"/>
        <w:rPr>
          <w:rFonts w:ascii="Times New Roman" w:eastAsia="Verdana" w:hAnsi="Times New Roman" w:cs="Verdana"/>
          <w:noProof/>
          <w:sz w:val="20"/>
          <w:szCs w:val="20"/>
        </w:rPr>
      </w:pPr>
      <w:r w:rsidRPr="009A78AF">
        <w:rPr>
          <w:rFonts w:ascii="Times New Roman" w:hAnsi="Times New Roman"/>
          <w:sz w:val="20"/>
          <w:szCs w:val="20"/>
        </w:rPr>
        <w:t xml:space="preserve">Tabula ir pārveidota no nepublicēta manuskripta, autors </w:t>
      </w:r>
      <w:r w:rsidRPr="009A78AF">
        <w:rPr>
          <w:rFonts w:ascii="Times New Roman" w:hAnsi="Times New Roman"/>
          <w:i/>
          <w:iCs/>
          <w:sz w:val="20"/>
          <w:szCs w:val="20"/>
        </w:rPr>
        <w:t>Hurmekoski</w:t>
      </w:r>
      <w:r w:rsidRPr="009A78AF">
        <w:rPr>
          <w:rFonts w:ascii="Times New Roman" w:hAnsi="Times New Roman"/>
          <w:sz w:val="20"/>
          <w:szCs w:val="20"/>
        </w:rPr>
        <w:t xml:space="preserve"> et al. (2017. gads), “Jaunu koksnes produktu tirgi”, Eiropas Meža institūts.</w:t>
      </w:r>
    </w:p>
    <w:p w14:paraId="171F4255" w14:textId="77777777" w:rsidR="00371E5F" w:rsidRPr="009A78AF" w:rsidRDefault="00371E5F" w:rsidP="00371E5F">
      <w:pPr>
        <w:jc w:val="both"/>
        <w:rPr>
          <w:rFonts w:ascii="Times New Roman" w:eastAsia="Verdana" w:hAnsi="Times New Roman" w:cs="Verdana"/>
          <w:noProof/>
          <w:sz w:val="20"/>
          <w:szCs w:val="20"/>
        </w:rPr>
      </w:pPr>
      <w:r w:rsidRPr="009A78AF">
        <w:rPr>
          <w:rFonts w:ascii="Times New Roman" w:hAnsi="Times New Roman"/>
          <w:sz w:val="20"/>
          <w:szCs w:val="20"/>
        </w:rPr>
        <w:t>* Balstoties uz somu muitas dienestu statistikas datiem; ** Koksnes blīvums (500 kg/m</w:t>
      </w:r>
      <w:r w:rsidRPr="009A78AF">
        <w:rPr>
          <w:rFonts w:ascii="Times New Roman" w:hAnsi="Times New Roman"/>
          <w:sz w:val="20"/>
          <w:szCs w:val="20"/>
          <w:vertAlign w:val="superscript"/>
        </w:rPr>
        <w:t>3</w:t>
      </w:r>
      <w:r w:rsidRPr="009A78AF">
        <w:rPr>
          <w:rFonts w:ascii="Times New Roman" w:hAnsi="Times New Roman"/>
          <w:sz w:val="20"/>
          <w:szCs w:val="20"/>
        </w:rPr>
        <w:t>) atšķiras no betona blīvuma (1850 kg/m</w:t>
      </w:r>
      <w:r w:rsidRPr="009A78AF">
        <w:rPr>
          <w:rFonts w:ascii="Times New Roman" w:hAnsi="Times New Roman"/>
          <w:sz w:val="20"/>
          <w:szCs w:val="20"/>
          <w:vertAlign w:val="superscript"/>
        </w:rPr>
        <w:t>3</w:t>
      </w:r>
      <w:r w:rsidRPr="009A78AF">
        <w:rPr>
          <w:rFonts w:ascii="Times New Roman" w:hAnsi="Times New Roman"/>
          <w:sz w:val="20"/>
          <w:szCs w:val="20"/>
        </w:rPr>
        <w:t>) – vajag 3–4 reizes mazāk (tonnas) koksnes, lai aizstātu tādu pašu daudzumu betona (m</w:t>
      </w:r>
      <w:r w:rsidRPr="009A78AF">
        <w:rPr>
          <w:rFonts w:ascii="Times New Roman" w:hAnsi="Times New Roman"/>
          <w:sz w:val="20"/>
          <w:szCs w:val="20"/>
          <w:vertAlign w:val="superscript"/>
        </w:rPr>
        <w:t>3</w:t>
      </w:r>
      <w:r w:rsidRPr="009A78AF">
        <w:rPr>
          <w:rFonts w:ascii="Times New Roman" w:hAnsi="Times New Roman"/>
          <w:sz w:val="20"/>
          <w:szCs w:val="20"/>
        </w:rPr>
        <w:t>).</w:t>
      </w:r>
    </w:p>
    <w:p w14:paraId="2A6A04B1" w14:textId="77777777" w:rsidR="00886EF6" w:rsidRPr="00DF28F7" w:rsidRDefault="00886EF6" w:rsidP="001F2648">
      <w:pPr>
        <w:jc w:val="both"/>
        <w:rPr>
          <w:rFonts w:ascii="Times New Roman" w:eastAsia="Verdana" w:hAnsi="Times New Roman" w:cs="Verdana"/>
          <w:noProof/>
          <w:sz w:val="24"/>
          <w:szCs w:val="13"/>
        </w:rPr>
      </w:pPr>
    </w:p>
    <w:p w14:paraId="4042C78D" w14:textId="77777777" w:rsidR="0083515C" w:rsidRPr="00371E5F" w:rsidRDefault="0083515C" w:rsidP="001F2648">
      <w:pPr>
        <w:jc w:val="both"/>
        <w:rPr>
          <w:rFonts w:ascii="Times New Roman" w:hAnsi="Times New Roman"/>
          <w:noProof/>
          <w:sz w:val="20"/>
          <w:szCs w:val="20"/>
        </w:rPr>
      </w:pPr>
      <w:r w:rsidRPr="00371E5F">
        <w:rPr>
          <w:rFonts w:ascii="Times New Roman" w:hAnsi="Times New Roman"/>
          <w:sz w:val="20"/>
          <w:szCs w:val="20"/>
        </w:rPr>
        <w:t>2. tabula Hipotētisks piemērs par 1 % tirgus daļu attiecībā uz meža nozares produktiem dažādās nozarēs.</w:t>
      </w:r>
    </w:p>
    <w:p w14:paraId="5CEE507A" w14:textId="73091F94" w:rsidR="00D84900" w:rsidRDefault="00D84900" w:rsidP="001F2648">
      <w:pPr>
        <w:pStyle w:val="BodyText"/>
        <w:ind w:left="0"/>
        <w:jc w:val="both"/>
        <w:rPr>
          <w:rFonts w:ascii="Times New Roman" w:hAnsi="Times New Roman"/>
          <w:noProof/>
          <w:sz w:val="24"/>
        </w:rPr>
      </w:pPr>
    </w:p>
    <w:p w14:paraId="400D6AD3" w14:textId="77777777" w:rsidR="00371E5F" w:rsidRDefault="00371E5F" w:rsidP="001F2648">
      <w:pPr>
        <w:pStyle w:val="BodyText"/>
        <w:ind w:left="0"/>
        <w:jc w:val="both"/>
        <w:rPr>
          <w:rFonts w:ascii="Times New Roman" w:hAnsi="Times New Roman"/>
          <w:noProof/>
          <w:sz w:val="24"/>
        </w:rPr>
      </w:pPr>
    </w:p>
    <w:p w14:paraId="3D92338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Patiesībā uz bioresursiem balstītā nozare ne tikai veicina izaugsmi un nodarbinātību, bet var palīdzēt arī piesaistīt oglekli, nodrošinot ilgstošu tā uzglabāšanu, piemēram, koksnes un koksnes biomasas produktos. Turklāt galveno tautsaimniecības nozaru – tostarp lauksaimniecības un pārtikas nozares, ķīmiskās rūpniecības un koka būvniecības nozares – atbilstība aprites principiem un defosilizācija sniedz iespējas nodrošināt ilgtermiņa oglekļa uzkrāšanos un īstenot mazoglekļa ekonomiku. Tomēr meži nav aizsargāti pret klimata pārmaiņām, tāpēc ir svarīgi palielināt to noturību un pielāgošanās spējas, lai ilgtermiņā nodrošinātu primāro materiālu piegādi un ekosistēmu pakalpojumus. Turklāt oglekļa uztveršanas, uzglabāšanas vai izmantošanas (</w:t>
      </w:r>
      <w:r>
        <w:rPr>
          <w:rFonts w:ascii="Times New Roman" w:hAnsi="Times New Roman"/>
          <w:i/>
          <w:iCs/>
          <w:sz w:val="24"/>
        </w:rPr>
        <w:t>CCS/U</w:t>
      </w:r>
      <w:r>
        <w:rPr>
          <w:rFonts w:ascii="Times New Roman" w:hAnsi="Times New Roman"/>
          <w:sz w:val="24"/>
        </w:rPr>
        <w:t>) tehnoloģiju turpmāka attīstība un integrācija rūpnieciskajās darbībās, kurās izmanto biomasu, var dot iespēju radīt negatīvās emisijas, tomēr vispirms jāveic ievērojamas investīcijas infrastruktūrā.</w:t>
      </w:r>
    </w:p>
    <w:p w14:paraId="2CCEDE3D" w14:textId="77777777" w:rsidR="0083515C" w:rsidRPr="00DF28F7" w:rsidRDefault="0083515C" w:rsidP="001F2648">
      <w:pPr>
        <w:jc w:val="both"/>
        <w:rPr>
          <w:rFonts w:ascii="Times New Roman" w:eastAsia="Verdana" w:hAnsi="Times New Roman" w:cs="Verdana"/>
          <w:noProof/>
          <w:sz w:val="24"/>
          <w:szCs w:val="19"/>
        </w:rPr>
      </w:pPr>
    </w:p>
    <w:p w14:paraId="1730A61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Ķīmiskajā un naftas ķīmiskajā rūpniecībā biomasu daļēji izmanto kā izejvielu. Svarīgs virzītājspēks, kas veicina biomasas izmantošanu kā izejvielu, ir mērķis samazināt siltumnīcefekta gāzu emisijas šajā nozarē, jo tā rada 7 % no visas rūpniecības nozares siltumnīcefekta gāzu emisijām.</w:t>
      </w:r>
      <w:r w:rsidR="00D84900">
        <w:rPr>
          <w:rStyle w:val="FootnoteReference"/>
          <w:rFonts w:ascii="Times New Roman" w:hAnsi="Times New Roman"/>
          <w:noProof/>
          <w:sz w:val="24"/>
        </w:rPr>
        <w:footnoteReference w:id="158"/>
      </w:r>
      <w:r>
        <w:rPr>
          <w:rFonts w:ascii="Times New Roman" w:hAnsi="Times New Roman"/>
          <w:sz w:val="24"/>
        </w:rPr>
        <w:t xml:space="preserve"> Kā liecina Eiropas Ķīmiskās rūpniecības padomes (</w:t>
      </w:r>
      <w:r>
        <w:rPr>
          <w:rFonts w:ascii="Times New Roman" w:hAnsi="Times New Roman"/>
          <w:i/>
          <w:iCs/>
          <w:sz w:val="24"/>
        </w:rPr>
        <w:t>CEFIC</w:t>
      </w:r>
      <w:r>
        <w:rPr>
          <w:rFonts w:ascii="Times New Roman" w:hAnsi="Times New Roman"/>
          <w:sz w:val="24"/>
        </w:rPr>
        <w:t xml:space="preserve">) </w:t>
      </w:r>
      <w:r>
        <w:rPr>
          <w:rFonts w:ascii="Times New Roman" w:hAnsi="Times New Roman"/>
          <w:sz w:val="24"/>
        </w:rPr>
        <w:lastRenderedPageBreak/>
        <w:t>aplēses, kopējais ķīmiskajā rūpniecībā izmantoto organisko izejvielu apjoms 2015. gadā bija 77,7 megatonnas, no kurām apmēram 10 % (7,8 megatonnas) bija atjaunojamie resursi.</w:t>
      </w:r>
      <w:r w:rsidR="00D84900">
        <w:rPr>
          <w:rStyle w:val="FootnoteReference"/>
          <w:rFonts w:ascii="Times New Roman" w:hAnsi="Times New Roman"/>
          <w:noProof/>
          <w:sz w:val="24"/>
        </w:rPr>
        <w:footnoteReference w:id="159"/>
      </w:r>
      <w:r>
        <w:rPr>
          <w:rFonts w:ascii="Times New Roman" w:hAnsi="Times New Roman"/>
          <w:sz w:val="24"/>
        </w:rPr>
        <w:t xml:space="preserve"> No atjaunojamām izejvielām gandrīz divas trešdaļas minētā daudzuma ir ogļhidrāti (cukurs un ciete), augu eļļas, dabiskais kaučuks un etil-terc-butilētera bioetanols. Citi svarīgi materiāli ir dzīvnieku tauki, ķīmiskā pulpa, taleļļa, glicerīns un citas vielas.</w:t>
      </w:r>
    </w:p>
    <w:p w14:paraId="4060E20D" w14:textId="77777777" w:rsidR="0083515C" w:rsidRPr="00DF28F7" w:rsidRDefault="0083515C" w:rsidP="001F2648">
      <w:pPr>
        <w:jc w:val="both"/>
        <w:rPr>
          <w:rFonts w:ascii="Times New Roman" w:hAnsi="Times New Roman"/>
          <w:noProof/>
          <w:sz w:val="24"/>
        </w:rPr>
      </w:pPr>
    </w:p>
    <w:p w14:paraId="5FCCE5D0" w14:textId="77777777" w:rsidR="0083515C" w:rsidRPr="00D84900" w:rsidRDefault="0083515C" w:rsidP="001F2648">
      <w:pPr>
        <w:pStyle w:val="BodyText"/>
        <w:ind w:left="0"/>
        <w:jc w:val="both"/>
        <w:rPr>
          <w:rFonts w:ascii="Times New Roman" w:hAnsi="Times New Roman"/>
          <w:noProof/>
          <w:sz w:val="24"/>
        </w:rPr>
      </w:pPr>
      <w:r>
        <w:rPr>
          <w:rFonts w:ascii="Times New Roman" w:hAnsi="Times New Roman"/>
          <w:sz w:val="24"/>
        </w:rPr>
        <w:t>Būvniecības nozarē plašāk izmantojot koksni un tādējādi aizstājot energoietilpīgākus neatjaunojamos būvmateriālus, var samazināt siltumnīcefekta gāzu emisijas.</w:t>
      </w:r>
      <w:r w:rsidR="00D84900">
        <w:rPr>
          <w:rStyle w:val="FootnoteReference"/>
          <w:rFonts w:ascii="Times New Roman" w:hAnsi="Times New Roman"/>
          <w:noProof/>
          <w:sz w:val="24"/>
        </w:rPr>
        <w:footnoteReference w:id="160"/>
      </w:r>
      <w:r>
        <w:rPr>
          <w:rFonts w:ascii="Times New Roman" w:hAnsi="Times New Roman"/>
          <w:sz w:val="24"/>
        </w:rPr>
        <w:t xml:space="preserve"> Kā norādīts ANO Pārtikas un lauksaimniecības organizācijas (</w:t>
      </w:r>
      <w:r>
        <w:rPr>
          <w:rFonts w:ascii="Times New Roman" w:hAnsi="Times New Roman"/>
          <w:i/>
          <w:iCs/>
          <w:sz w:val="24"/>
        </w:rPr>
        <w:t>FAO</w:t>
      </w:r>
      <w:r>
        <w:rPr>
          <w:rFonts w:ascii="Times New Roman" w:hAnsi="Times New Roman"/>
          <w:sz w:val="24"/>
        </w:rPr>
        <w:t>) ziņojumā</w:t>
      </w:r>
      <w:r w:rsidR="00D84900">
        <w:rPr>
          <w:rStyle w:val="FootnoteReference"/>
          <w:rFonts w:ascii="Times New Roman" w:hAnsi="Times New Roman"/>
          <w:noProof/>
          <w:sz w:val="24"/>
        </w:rPr>
        <w:footnoteReference w:id="161"/>
      </w:r>
      <w:r>
        <w:rPr>
          <w:rFonts w:ascii="Times New Roman" w:hAnsi="Times New Roman"/>
          <w:sz w:val="24"/>
        </w:rPr>
        <w:t>, 21 pētījuma analīze par koksnes izmantošanas potenciālu mazināt klimata pārmaiņu ietekmi ēkās un aprīkojumā liecina, ka vairumā pētījumu tika secināts, ka visā ražojuma dzīves ciklā (ieskaitot izmantošanu un likvidēšanu) koka izstrādājumi rada mazāk siltumnīcefekta gāzu emisiju nekā alternatīvi ražojumi. Metaanalīze par vidējo ietekmi saistībā ar koka izmantošanu betona vietā liecina, ka oglekļa dioksīda emisiju samazinājums uz 1 tonnu izmantoto koka izstrādājumu ir vidēji 2,1 tonna.</w:t>
      </w:r>
      <w:r w:rsidR="00D84900">
        <w:rPr>
          <w:rStyle w:val="FootnoteReference"/>
          <w:rFonts w:ascii="Times New Roman" w:hAnsi="Times New Roman"/>
          <w:noProof/>
          <w:sz w:val="24"/>
        </w:rPr>
        <w:footnoteReference w:id="162"/>
      </w:r>
    </w:p>
    <w:p w14:paraId="52993547" w14:textId="77777777" w:rsidR="0083515C" w:rsidRPr="00DF28F7" w:rsidRDefault="0083515C" w:rsidP="001F2648">
      <w:pPr>
        <w:jc w:val="both"/>
        <w:rPr>
          <w:rFonts w:ascii="Times New Roman" w:eastAsia="Verdana" w:hAnsi="Times New Roman" w:cs="Verdana"/>
          <w:noProof/>
          <w:sz w:val="24"/>
          <w:szCs w:val="19"/>
        </w:rPr>
      </w:pPr>
    </w:p>
    <w:p w14:paraId="5A9DC10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Sasniegumi uz bioresursiem balstītajās inovācijās veicina uz bioresursiem balstīto nozaru un visas bioekonomikas atbilstību aprites principiem, jo nodrošina iespēju veikt sekundāro plūsmu, atlieku un atkritumu pārstrādi produktos. Piemēram, gan kokapstrādes rūpniecības, gan celulozes, papīra un kartona ražošanas sekundārās plūsmas var pārveidot daudzos un dažādos jaunos uz bioresursiem balstītos izstrādājumos ar jaunām funkcijām (piemēram, nanocelulozē, oglekļa nanošķiedrās, adhezīvos, parastajās un viedajās tekstilprecēs, elastīgajā elektronikā, 3D drukāšanas lietojumprogrammās). Turklāt minētās tehnoloģijas ļauj lauku saimniecību un meža nozares, kā arī pilsētu vai pārtikas nozares radītos bioatkritumus un atliekas pārveidot bioproduktos, piemēram, ķīmiskās vielās, organiskajā mēslojumā, biodegvielā un galu galā – siltumenerģijā un elektroenerģijā, ja vien nav iespējams aprites principiem atbilstošāks izmantojums. Piemēram, pārtikas rūpniecības nozarē pēta iespējas pārvērst atliekas tādos bioproduktos kā ķīmiskās vielas un biodegviela. Svarīgi rast jaunus un/vai efektīvākus biomasas pārstrādes, frakcionēšanas un ekstrakcijas veidus, lai no biomasas izgūtu sarežģītas molekulas (piemēram, polimērus – celuloze, hemiceluloze un lignīna atvasinājumi) jaunām produktu vērtības ķēdēm un lai novērstu vērtības zudumu, ko izraisa sarežģītu biomolekulu šķelšanās. Izmantojot efektīvas savākšanas, šķirošanas un pārveides tehnoloģijas un sistēmas, kā arī izstrādājot attiecīgas otrreizējās pārstrādes tehnoloģijas, var arī palielināt nenovēršamu bioloģisko atkritumu un atlieku vērtību.</w:t>
      </w:r>
    </w:p>
    <w:p w14:paraId="71031A62" w14:textId="77777777" w:rsidR="0083515C" w:rsidRPr="00DF28F7" w:rsidRDefault="0083515C" w:rsidP="001F2648">
      <w:pPr>
        <w:jc w:val="both"/>
        <w:rPr>
          <w:rFonts w:ascii="Times New Roman" w:eastAsia="Verdana" w:hAnsi="Times New Roman" w:cs="Verdana"/>
          <w:noProof/>
          <w:sz w:val="24"/>
          <w:szCs w:val="18"/>
        </w:rPr>
      </w:pPr>
    </w:p>
    <w:p w14:paraId="1F18109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Daudzproduktu biorafinēšanas iekārtas</w:t>
      </w:r>
      <w:r w:rsidR="00D01959">
        <w:rPr>
          <w:rStyle w:val="FootnoteReference"/>
          <w:rFonts w:ascii="Times New Roman" w:hAnsi="Times New Roman"/>
          <w:noProof/>
          <w:sz w:val="24"/>
        </w:rPr>
        <w:footnoteReference w:id="163"/>
      </w:r>
      <w:r>
        <w:rPr>
          <w:rFonts w:ascii="Times New Roman" w:hAnsi="Times New Roman"/>
          <w:sz w:val="24"/>
        </w:rPr>
        <w:t xml:space="preserve"> var uzlabot biomasas izmantošanas efektivitāti, aizvien vairāk paralēli izmantojot sekundārās plūsmas, samazinot un/vai reģenerējot atkritumus un atliekas, tādējādi palielinot resursu efektivitāti un mazinot atkritumu veidošanos, kā arī veicinot otrreizēju pārstrādi un atbilstību aprites principiem. Atkritumu un atlieku pārveidošana izstrādājumos ar augstāku pievienoto vērtību vēl vairāk sasaistīs dažādus biomasas avotus (lauksaimniecības/meža nozares atliekas; kokapstrādes, kā arī celulozes un </w:t>
      </w:r>
      <w:r>
        <w:rPr>
          <w:rFonts w:ascii="Times New Roman" w:hAnsi="Times New Roman"/>
          <w:sz w:val="24"/>
        </w:rPr>
        <w:lastRenderedPageBreak/>
        <w:t>papīra pārstrādes sekundārās plūsmas, pārtikas ražošanas un mājsaimniecību “bioloģiski noārdāmos atkritumus”; ūdens resursus) ar tādu dažādu produktu ražošanu kā pārtika, barība, bioloģiskas izcelsmes tekstilpreces, biopolimēri, ķīmiskās vielas, bioplastmasa un arī bioenerģija/biodegviela, tādējādi palielinot vērtības radīšanu un darbavietu skaitu, kā arī veicinot konkurētspēju, biomasas ražošanas un izmantošanas ilgtspējību un vērtības radīšanu. Tā kā biomasa ir masīva un to ir dārgi transportēt, šie jaunie pārveides procesi ideālā gadījumā jāievieš tuvu primārajām ražotnēm, tādējādi radot jaunu pievienoto vērtību lauku apvidos.</w:t>
      </w:r>
    </w:p>
    <w:p w14:paraId="79408B53" w14:textId="77777777" w:rsidR="00CF10CD" w:rsidRPr="00DF28F7" w:rsidRDefault="00CF10CD" w:rsidP="001F2648">
      <w:pPr>
        <w:jc w:val="both"/>
        <w:rPr>
          <w:rFonts w:ascii="Times New Roman" w:eastAsia="Verdana" w:hAnsi="Times New Roman" w:cs="Verdana"/>
          <w:noProof/>
          <w:sz w:val="24"/>
          <w:szCs w:val="13"/>
        </w:rPr>
      </w:pPr>
    </w:p>
    <w:p w14:paraId="3C2DEAA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Biorafinēšanas iekārtu attīstību un izvēršanu lielā mērā ietekmēs bioproduktu peļņas norma un jaunu tehnoloģiju sekmīga izstrāde un komercializācija, kā arī vietējo un/vai reģionālo izejvielu pieejamība par konkurētspējīgām cenām, piemērotas infrastruktūras, tostarp loģistikas, pieejamība un kvalificēts personāls, kā arī privātā un valsts atbalsta pakalpojumu pieejamība, tostarp komunālo pakalpojumu uzņēmumi, kas atvieglo finansēšanu un atļauju piešķiršanu; turklāt to ietekmēs atbalstošas politikas īstenošana un veicinošas normatīvās vides nodrošināšana. Mazāk attīstītu tehnoloģiju</w:t>
      </w:r>
      <w:r w:rsidR="00D01959">
        <w:rPr>
          <w:rStyle w:val="FootnoteReference"/>
          <w:rFonts w:ascii="Times New Roman" w:hAnsi="Times New Roman"/>
          <w:noProof/>
          <w:sz w:val="24"/>
        </w:rPr>
        <w:footnoteReference w:id="164"/>
      </w:r>
      <w:r>
        <w:rPr>
          <w:rFonts w:ascii="Times New Roman" w:hAnsi="Times New Roman"/>
          <w:sz w:val="24"/>
        </w:rPr>
        <w:t xml:space="preserve"> (piemēram, lignīna un lignosulfonāta izmantošana, ko šobrīd pārvērš galvenokārt enerģijā) komercializācija un plaša izvēršana sniedz milzīgas iespējas, piemēram, vieglo materiālu izvēršanai vai uz fenolu balstītai aromātisko savienojumu ķīmijai, lai šim sekundārajam visizplatītākajam bioloģiskajam resursam radītu papildu vērtību, kas nav tikai tā pašreizējā izmantošana enerģijas ieguvei.</w:t>
      </w:r>
    </w:p>
    <w:p w14:paraId="488F2FE1" w14:textId="77777777" w:rsidR="0083515C" w:rsidRPr="00DF28F7" w:rsidRDefault="0083515C" w:rsidP="001F2648">
      <w:pPr>
        <w:jc w:val="both"/>
        <w:rPr>
          <w:rFonts w:ascii="Times New Roman" w:hAnsi="Times New Roman"/>
          <w:noProof/>
          <w:sz w:val="24"/>
        </w:rPr>
      </w:pPr>
    </w:p>
    <w:p w14:paraId="382C9B3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Lai uz bioresursiem balstītās nozares dotu labumu visiem reģioniem un dalībnieku grupām, kā arī garantētu to sniegto ieguvumu līdzsvarotu sadali, ir jāizstrādā dažādas tehnoloģijas un uzņēmējdarbības modeļi, piedāvājot alternatīvu risinājumu klāstu. Runa ir gan par lielām un/vai kompleksām biorafinēšanas iekārtām, gan mazākām un vienkāršākām iekārtām ar lielu atkārtošanas potenciālu. Turklāt ir jāievieš stingras aprites cikla novērtēšanas metodes, lai nodrošinātu augstus vides standartus (tostarp resursu efektivitāti) attiecībā uz procesiem un izstrādājumiem biorūpniecībā.</w:t>
      </w:r>
    </w:p>
    <w:p w14:paraId="224B439B" w14:textId="77777777" w:rsidR="0083515C" w:rsidRPr="00DF28F7" w:rsidRDefault="0083515C" w:rsidP="001F2648">
      <w:pPr>
        <w:jc w:val="both"/>
        <w:rPr>
          <w:rFonts w:ascii="Times New Roman" w:eastAsia="Verdana" w:hAnsi="Times New Roman" w:cs="Verdana"/>
          <w:noProof/>
          <w:sz w:val="24"/>
          <w:szCs w:val="18"/>
        </w:rPr>
      </w:pPr>
    </w:p>
    <w:p w14:paraId="3C6D54BF" w14:textId="77777777" w:rsidR="0083515C" w:rsidRPr="00DF28F7" w:rsidRDefault="0083515C" w:rsidP="001F2648">
      <w:pPr>
        <w:jc w:val="both"/>
        <w:rPr>
          <w:rFonts w:ascii="Times New Roman" w:eastAsia="Verdana" w:hAnsi="Times New Roman" w:cs="Verdana"/>
          <w:noProof/>
          <w:sz w:val="24"/>
        </w:rPr>
      </w:pPr>
    </w:p>
    <w:p w14:paraId="4958E925" w14:textId="77777777" w:rsidR="0083515C" w:rsidRPr="00D01959" w:rsidRDefault="00D01959" w:rsidP="00D01959">
      <w:pPr>
        <w:tabs>
          <w:tab w:val="left" w:pos="965"/>
        </w:tabs>
        <w:jc w:val="both"/>
        <w:rPr>
          <w:rFonts w:ascii="Times New Roman" w:hAnsi="Times New Roman"/>
          <w:i/>
          <w:iCs/>
          <w:noProof/>
          <w:sz w:val="24"/>
        </w:rPr>
      </w:pPr>
      <w:r>
        <w:rPr>
          <w:rFonts w:ascii="Times New Roman" w:hAnsi="Times New Roman"/>
          <w:i/>
          <w:sz w:val="24"/>
        </w:rPr>
        <w:t>2.2.5. Pārtikas sistēmas</w:t>
      </w:r>
    </w:p>
    <w:p w14:paraId="72F50E66" w14:textId="77777777" w:rsidR="0083515C" w:rsidRPr="00DF28F7" w:rsidRDefault="0083515C" w:rsidP="001F2648">
      <w:pPr>
        <w:jc w:val="both"/>
        <w:rPr>
          <w:rFonts w:ascii="Times New Roman" w:eastAsia="Times New Roman" w:hAnsi="Times New Roman" w:cs="Times New Roman"/>
          <w:noProof/>
          <w:sz w:val="24"/>
          <w:szCs w:val="18"/>
        </w:rPr>
      </w:pPr>
    </w:p>
    <w:p w14:paraId="3E3656B7"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Eiropas pārtikas un lauksaimniecības sistēma uz sauszemes un jūrā</w:t>
      </w:r>
      <w:r w:rsidR="00D01959">
        <w:rPr>
          <w:rStyle w:val="FootnoteReference"/>
          <w:rFonts w:ascii="Times New Roman" w:hAnsi="Times New Roman"/>
          <w:noProof/>
          <w:sz w:val="24"/>
        </w:rPr>
        <w:footnoteReference w:id="165"/>
      </w:r>
      <w:r>
        <w:rPr>
          <w:rFonts w:ascii="Times New Roman" w:hAnsi="Times New Roman"/>
          <w:sz w:val="24"/>
        </w:rPr>
        <w:t>, no primārās ražošanas līdz patēriņam un likvidēšanai ir attīstīta gadsimtu gaitā un ietver savstarpēji cieši saistītas valstu un pat vietēja mēroga pārtikas un lauksaimniecības sistēmas, kas ir iekļautas globālā sistēmā. Tomēr Eiropas dimensija ir svarīga, jo lielā mērā daudzas attiecīgās politikas jomas, regulējumus un publiskā atbalsta mehānismus nosaka ES līmenī. Gan Eiropas zivsaimniecības, gan lauksaimniecības pārtikas sistēmām raksturīga liela dažādība ražošanas, apjoma, intensitātes, darbaspēka ieguldījuma un piegādes ķēžu ziņā. Eiropas lauksaimniecības pārtikas sistēma ir īpaši balstīta uz lielu skaitu maza apjoma ģimenes ražotāju, mazumtirgotāju un pārtikas pakalpojumu veikalu, kas darbojas līdzās liela mēroga globalizētiem uzņēmumiem.</w:t>
      </w:r>
      <w:r w:rsidR="00D01959">
        <w:rPr>
          <w:rStyle w:val="FootnoteReference"/>
          <w:rFonts w:ascii="Times New Roman" w:hAnsi="Times New Roman"/>
          <w:noProof/>
          <w:sz w:val="24"/>
        </w:rPr>
        <w:footnoteReference w:id="166"/>
      </w:r>
    </w:p>
    <w:p w14:paraId="45A98777" w14:textId="77777777" w:rsidR="0083515C" w:rsidRPr="00DF28F7" w:rsidRDefault="0083515C" w:rsidP="001F2648">
      <w:pPr>
        <w:jc w:val="both"/>
        <w:rPr>
          <w:rFonts w:ascii="Times New Roman" w:eastAsia="Verdana" w:hAnsi="Times New Roman" w:cs="Verdana"/>
          <w:noProof/>
          <w:sz w:val="24"/>
          <w:szCs w:val="19"/>
        </w:rPr>
      </w:pPr>
    </w:p>
    <w:p w14:paraId="13BECA0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Lauksaimniecība nodrošina pamatu pārtikas un citu bioproduktu ražošanai dažādos apstākļos. To darot, lauksaimnieki arī veicina attīstību lauku apvidos, ietekmē ekoloģiskos pakalpojumus un sniedz plašākus sabiedriskos labumus. Šīs daudzās funkcijas tiek </w:t>
      </w:r>
      <w:r>
        <w:rPr>
          <w:rFonts w:ascii="Times New Roman" w:hAnsi="Times New Roman"/>
          <w:sz w:val="24"/>
        </w:rPr>
        <w:lastRenderedPageBreak/>
        <w:t>nodrošinātas lielu tādu demogrāfisko, ekonomisko un vides problēmu kontekstā, kas maina pārtikas un citu uz bioresursiem balstīto sistēmu vidi, kurā notiek primārā ražošana uz sauszemes.</w:t>
      </w:r>
    </w:p>
    <w:p w14:paraId="19595AAB" w14:textId="77777777" w:rsidR="00CF10CD" w:rsidRPr="00DF28F7" w:rsidRDefault="00CF10CD" w:rsidP="001F2648">
      <w:pPr>
        <w:jc w:val="both"/>
        <w:rPr>
          <w:rFonts w:ascii="Times New Roman" w:eastAsia="Verdana" w:hAnsi="Times New Roman" w:cs="Verdana"/>
          <w:noProof/>
          <w:sz w:val="24"/>
          <w:szCs w:val="13"/>
        </w:rPr>
      </w:pPr>
    </w:p>
    <w:p w14:paraId="13F809B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Nodarbinātības, apgrozījuma un pievienotās vērtības ziņā viena no lielākajām ražošanas nozarēm ES ir pārtikas un dzērienu rūpniecība.</w:t>
      </w:r>
      <w:r w:rsidR="00D01959">
        <w:rPr>
          <w:rStyle w:val="FootnoteReference"/>
          <w:rFonts w:ascii="Times New Roman" w:hAnsi="Times New Roman"/>
          <w:noProof/>
          <w:sz w:val="24"/>
        </w:rPr>
        <w:footnoteReference w:id="167"/>
      </w:r>
      <w:r>
        <w:rPr>
          <w:rFonts w:ascii="Times New Roman" w:hAnsi="Times New Roman"/>
          <w:sz w:val="24"/>
        </w:rPr>
        <w:t xml:space="preserve"> Attiecībā uz loģistiku, apriti un izplatīšanu ES pārtikas sistēmā būtiska nozīme ir vairumtirgotājiem, transporta uzņēmumiem un mazumtirgotājiem. Kopā ar pārtikas un dzērienu patēriņa pakalpojumu uzņēmumiem (restorāniem, bāriem utt.) tie nodrošina apmēram divreiz lielāku nodarbinātību nekā pārtikas un dzērienu rūpniecības nozare.</w:t>
      </w:r>
    </w:p>
    <w:p w14:paraId="2D99A924" w14:textId="77777777" w:rsidR="0083515C" w:rsidRPr="00DF28F7" w:rsidRDefault="0083515C" w:rsidP="001F2648">
      <w:pPr>
        <w:jc w:val="both"/>
        <w:rPr>
          <w:rFonts w:ascii="Times New Roman" w:hAnsi="Times New Roman"/>
          <w:noProof/>
          <w:sz w:val="24"/>
        </w:rPr>
      </w:pPr>
    </w:p>
    <w:p w14:paraId="7AFAA6FC"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Lielākā daļa Eiropas Savienībā patērētās pārtikas joprojām tiek ražota Eiropas Savienībā, un lielākā daļa ES pārtikas un dzērienu produktu tirdzniecības notiek starp ES valstīm. ES ir pārtikas un dzērienu neto eksportētāja ar pozitīvu tirdzniecības bilanci 30,1 miljarda EUR apmērā.</w:t>
      </w:r>
      <w:r w:rsidR="00D01959">
        <w:rPr>
          <w:rStyle w:val="FootnoteReference"/>
          <w:rFonts w:ascii="Times New Roman" w:hAnsi="Times New Roman"/>
          <w:noProof/>
          <w:sz w:val="24"/>
        </w:rPr>
        <w:footnoteReference w:id="168"/>
      </w:r>
      <w:r>
        <w:rPr>
          <w:rFonts w:ascii="Times New Roman" w:hAnsi="Times New Roman"/>
          <w:sz w:val="24"/>
        </w:rPr>
        <w:t xml:space="preserve"> Eiropa ir tādu preču neto importētāja kā tropiskie augļi, kafija, tēja, kakao, sojas produkti un palmu eļļa, ko izmanto pārtikā un barībā. ES ir arī pasaulē lielākā jūras velšu un zivju produktu importētāja. Kopš 2008. gada tās spēja apmierināt pieprasījumu pēc zivju un akvakultūras produktiem no saviem ūdeņiem ir aptuveni 45 %.</w:t>
      </w:r>
      <w:r w:rsidR="00D01959">
        <w:rPr>
          <w:rStyle w:val="FootnoteReference"/>
          <w:rFonts w:ascii="Times New Roman" w:hAnsi="Times New Roman"/>
          <w:noProof/>
          <w:sz w:val="24"/>
        </w:rPr>
        <w:footnoteReference w:id="169"/>
      </w:r>
    </w:p>
    <w:p w14:paraId="7CE51ABD" w14:textId="77777777" w:rsidR="0083515C" w:rsidRPr="00DF28F7" w:rsidRDefault="0083515C" w:rsidP="001F2648">
      <w:pPr>
        <w:jc w:val="both"/>
        <w:rPr>
          <w:rFonts w:ascii="Times New Roman" w:eastAsia="Verdana" w:hAnsi="Times New Roman" w:cs="Verdana"/>
          <w:noProof/>
          <w:sz w:val="24"/>
          <w:szCs w:val="19"/>
        </w:rPr>
      </w:pPr>
    </w:p>
    <w:p w14:paraId="7C3FB4F9" w14:textId="1F3313A4" w:rsidR="0083515C" w:rsidRPr="00DF28F7" w:rsidRDefault="00371E5F" w:rsidP="001F2648">
      <w:pPr>
        <w:jc w:val="both"/>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058546B6" wp14:editId="64F65635">
            <wp:extent cx="5719445" cy="7505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9445" cy="750570"/>
                    </a:xfrm>
                    <a:prstGeom prst="rect">
                      <a:avLst/>
                    </a:prstGeom>
                    <a:noFill/>
                    <a:ln>
                      <a:noFill/>
                    </a:ln>
                  </pic:spPr>
                </pic:pic>
              </a:graphicData>
            </a:graphic>
          </wp:inline>
        </w:drawing>
      </w:r>
    </w:p>
    <w:p w14:paraId="7E93CD73" w14:textId="77777777" w:rsidR="00D01959" w:rsidRPr="00DF28F7" w:rsidRDefault="00D01959" w:rsidP="001F2648">
      <w:pPr>
        <w:jc w:val="both"/>
        <w:rPr>
          <w:rFonts w:ascii="Times New Roman" w:eastAsia="Verdana" w:hAnsi="Times New Roman" w:cs="Verdana"/>
          <w:noProof/>
          <w:sz w:val="24"/>
          <w:szCs w:val="11"/>
        </w:rPr>
      </w:pPr>
    </w:p>
    <w:p w14:paraId="073DAC8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ES lauksaimniecības pārtikas sistēma nodrošina 60 % no visa biomasas pieprasījuma ES.</w:t>
      </w:r>
      <w:r w:rsidR="00D01959">
        <w:rPr>
          <w:rStyle w:val="FootnoteReference"/>
          <w:rFonts w:ascii="Times New Roman" w:hAnsi="Times New Roman"/>
          <w:noProof/>
          <w:sz w:val="24"/>
        </w:rPr>
        <w:footnoteReference w:id="170"/>
      </w:r>
      <w:r>
        <w:rPr>
          <w:rFonts w:ascii="Times New Roman" w:hAnsi="Times New Roman"/>
          <w:sz w:val="24"/>
        </w:rPr>
        <w:t xml:space="preserve"> Tomēr tiek lēsts, ka Eiropas Savienībā ik gadus izmet aptuveni 88 megatonnas pārtikas – aptuveni 20 % no visas saražotās pārtikas, un ar to saistītās izmaksas tiek lēstas 143 miljardu EUR apmērā.</w:t>
      </w:r>
      <w:r w:rsidR="00D01959">
        <w:rPr>
          <w:rStyle w:val="FootnoteReference"/>
          <w:rFonts w:ascii="Times New Roman" w:hAnsi="Times New Roman"/>
          <w:noProof/>
          <w:sz w:val="24"/>
        </w:rPr>
        <w:footnoteReference w:id="171"/>
      </w:r>
      <w:r>
        <w:rPr>
          <w:rFonts w:ascii="Times New Roman" w:hAnsi="Times New Roman"/>
          <w:sz w:val="24"/>
        </w:rPr>
        <w:t xml:space="preserve"> Lai ražotu, apstrādātu, iepakotu un nogādātu pārtiku uz Eiropas iedzīvotāju galdiem, tiek patērēti 17 % no ES bruto enerģijas patēriņa, kas atbilst aptuveni 26 % no ES enerģijas galapatēriņa 2013. gadā.</w:t>
      </w:r>
      <w:r w:rsidR="00D01959">
        <w:rPr>
          <w:rStyle w:val="FootnoteReference"/>
          <w:rFonts w:ascii="Times New Roman" w:hAnsi="Times New Roman"/>
          <w:noProof/>
          <w:sz w:val="24"/>
        </w:rPr>
        <w:footnoteReference w:id="172"/>
      </w:r>
      <w:r>
        <w:rPr>
          <w:rFonts w:ascii="Times New Roman" w:hAnsi="Times New Roman"/>
          <w:sz w:val="24"/>
        </w:rPr>
        <w:t xml:space="preserve"> Lai gan kopš 2005. gada par gandrīz 9 % ir pieaudzis lauksaimniecības nozares ražīgums, turklāt kopš 1990. gada par 21 % ir samazinājies siltumnīcefekta gāzu emisiju apmērs un mēslošanas līdzekļu izmantojums, tā joprojām ir lielākais siltumnīcefekta gāzu – metāna un slāpekļa oksīda – avots.</w:t>
      </w:r>
      <w:r w:rsidR="00D01959">
        <w:rPr>
          <w:rStyle w:val="FootnoteReference"/>
          <w:rFonts w:ascii="Times New Roman" w:hAnsi="Times New Roman"/>
          <w:noProof/>
          <w:sz w:val="24"/>
        </w:rPr>
        <w:footnoteReference w:id="173"/>
      </w:r>
      <w:r>
        <w:rPr>
          <w:rFonts w:ascii="Times New Roman" w:hAnsi="Times New Roman"/>
          <w:sz w:val="24"/>
        </w:rPr>
        <w:t xml:space="preserve"> Tātad pastāv iespējas vēl vairāk izmantot atjaunojamos energoresursus un samazināt siltumnīcefekta gāzu un piesārņojuma emisijas, kā arī integrēti skatīt jautājumu par lauksaimniecību, mežsaimniecību, dabas resursu vides aizsardzību un klimata pārmaiņām.</w:t>
      </w:r>
    </w:p>
    <w:p w14:paraId="6410019E" w14:textId="77777777" w:rsidR="0083515C" w:rsidRPr="00DF28F7" w:rsidRDefault="0083515C" w:rsidP="001F2648">
      <w:pPr>
        <w:jc w:val="both"/>
        <w:rPr>
          <w:rFonts w:ascii="Times New Roman" w:eastAsia="Verdana" w:hAnsi="Times New Roman" w:cs="Verdana"/>
          <w:noProof/>
          <w:sz w:val="24"/>
          <w:szCs w:val="19"/>
        </w:rPr>
      </w:pPr>
    </w:p>
    <w:p w14:paraId="551AF70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Turklāt jūras un saldūdens īpašas piekļuves apgabaliem būs izšķiroša nozīme, lai apmierinātu pieprasījumu pēc pārtikas, ko rada strauji augošais pasaules iedzīvotāju skaits. Jūrsaimniecības un okeānsaimniecības potenciāls šā pieprasījuma apmierināšanai ir aplūkots 2.2.3. punktā.</w:t>
      </w:r>
    </w:p>
    <w:p w14:paraId="06844960" w14:textId="77777777" w:rsidR="0083515C" w:rsidRPr="00DF28F7" w:rsidRDefault="0083515C" w:rsidP="001F2648">
      <w:pPr>
        <w:jc w:val="both"/>
        <w:rPr>
          <w:rFonts w:ascii="Times New Roman" w:eastAsia="Verdana" w:hAnsi="Times New Roman" w:cs="Verdana"/>
          <w:noProof/>
          <w:sz w:val="24"/>
          <w:szCs w:val="19"/>
        </w:rPr>
      </w:pPr>
    </w:p>
    <w:p w14:paraId="1BFF9C54" w14:textId="77777777" w:rsidR="0083515C" w:rsidRPr="00D01959" w:rsidRDefault="0083515C" w:rsidP="001F2648">
      <w:pPr>
        <w:pStyle w:val="BodyText"/>
        <w:ind w:left="0"/>
        <w:jc w:val="both"/>
        <w:rPr>
          <w:rFonts w:ascii="Times New Roman" w:hAnsi="Times New Roman"/>
          <w:noProof/>
          <w:sz w:val="24"/>
        </w:rPr>
      </w:pPr>
      <w:r>
        <w:rPr>
          <w:rFonts w:ascii="Times New Roman" w:hAnsi="Times New Roman"/>
          <w:sz w:val="24"/>
        </w:rPr>
        <w:lastRenderedPageBreak/>
        <w:t>Pašlaik visās ES dalībvalstīs visās vecuma grupās pieaug to iedzīvotāju īpatsvars, kuriem ir liekais svars, tostarp pirmsskolas un sākumskolas vecuma bērniem. Tā rezultātā varētu pieaugt ar sabiedrības veselības aprūpi saistītās izmaksas. Lielākajā daļā Eiropas valstu ir izstrādāti uztura ieteikumi veselīgu ēšanas paradumu veicināšanai.</w:t>
      </w:r>
      <w:r w:rsidR="00D01959">
        <w:rPr>
          <w:rStyle w:val="FootnoteReference"/>
          <w:rFonts w:ascii="Times New Roman" w:hAnsi="Times New Roman"/>
          <w:noProof/>
          <w:sz w:val="24"/>
        </w:rPr>
        <w:footnoteReference w:id="174"/>
      </w:r>
    </w:p>
    <w:p w14:paraId="381CFBB0" w14:textId="77777777" w:rsidR="0083515C" w:rsidRPr="00DF28F7" w:rsidRDefault="0083515C" w:rsidP="001F2648">
      <w:pPr>
        <w:jc w:val="both"/>
        <w:rPr>
          <w:rFonts w:ascii="Times New Roman" w:eastAsia="Verdana" w:hAnsi="Times New Roman" w:cs="Verdana"/>
          <w:noProof/>
          <w:sz w:val="24"/>
          <w:szCs w:val="19"/>
        </w:rPr>
      </w:pPr>
    </w:p>
    <w:p w14:paraId="4AF0591E"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Publiskā un privātā sektora dalībnieku investīcijas pētniecībā un inovācijās sekmē pāreju no tradicionālā patēriņa un masveida ražošanas modeļa uz tādu pārtikas sistēmu, kas nodrošina ilgtspējīgu pārtikas un uztura nodrošinājumu visiem. Lauksaimniecības pārtikas sistēmā lielāku uzsvaru liek uz agroekoloģijas principu ievērošanu un atbalstu lauksaimniecības sistēmām, kurās efektīvi izmanto ekosistēmu sniegtos pakalpojumus (piemēram, bioloģiskā lauksaimniecība, jaukta lauksaimniecība, agromežsaimniecība).</w:t>
      </w:r>
      <w:r w:rsidR="00D01959">
        <w:rPr>
          <w:rStyle w:val="FootnoteReference"/>
          <w:rFonts w:ascii="Times New Roman" w:hAnsi="Times New Roman"/>
          <w:noProof/>
          <w:sz w:val="24"/>
        </w:rPr>
        <w:footnoteReference w:id="175"/>
      </w:r>
      <w:r>
        <w:rPr>
          <w:rFonts w:ascii="Times New Roman" w:hAnsi="Times New Roman"/>
          <w:sz w:val="24"/>
        </w:rPr>
        <w:t xml:space="preserve"> Tajā aicina arī izstrādāt individualizētāku un pielāgotāku pārtikas patēriņa modeli, vienlaikus uzlabojot ilgtspējību, drošību, noturību un resursu efektivitāti pārtikas ražošanā uz sauszemes un jūrā. Šīs investīcijas palīdz rast risinājumus, piemēram, attiecībā uz personalizētu uzturu, viedo iepakošanu, precīzo lauksaimniecību vai viedajām vietējām pārtikas sistēmām. Tajā pašā laikā pārtikas sistēmas dalībnieki arvien vairāk atzīst, ka viņiem ir ciešāk jāsadarbojas ar iedzīvotājiem, lai izstrādātu jaunus risinājumus un atjaunotu uzticību pārtikas sistēmām.</w:t>
      </w:r>
      <w:r w:rsidR="00D01959">
        <w:rPr>
          <w:rStyle w:val="FootnoteReference"/>
          <w:rFonts w:ascii="Times New Roman" w:hAnsi="Times New Roman"/>
          <w:noProof/>
          <w:sz w:val="24"/>
        </w:rPr>
        <w:footnoteReference w:id="176"/>
      </w:r>
    </w:p>
    <w:p w14:paraId="0197A700" w14:textId="77777777" w:rsidR="0083515C" w:rsidRPr="00DF28F7" w:rsidRDefault="0083515C" w:rsidP="001F2648">
      <w:pPr>
        <w:jc w:val="both"/>
        <w:rPr>
          <w:rFonts w:ascii="Times New Roman" w:eastAsia="Verdana" w:hAnsi="Times New Roman" w:cs="Verdana"/>
          <w:noProof/>
          <w:sz w:val="24"/>
          <w:szCs w:val="19"/>
        </w:rPr>
      </w:pPr>
    </w:p>
    <w:p w14:paraId="31EE48F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ES lauksaimniecības pārtikas nozare ir galvenais nodarbinātības un ienākumu avots daudzos lauku apvidos un attālos reģionos, un tās pamatā ir lauksaimniecība, kas spēj nodrošināt izejvielu vienmērīgu piegādi. Eiropas lauksaimniecības sistēmām ir raksturīga sadrumstalota struktūra un tāds ražotāju ienākumu līmenis, kas joprojām ir ievērojami zemāks par ienākumu līmeni pārējā ekonomikā, turklāt šajās sistēmās veic ievērojamus strukturālos pielāgojumus. Tāpēc lauksaimniecības ekonomiskā dzīvotspēja un pievilcība jaunās paaudzes acīs ir priekšnoteikums nodrošinātībai ar pārtiku. Jaunas pārtikas un uz bioresursiem balstītas vērtības ķēdes sniedz papildu iespējas lauksaimnieciskajai un mežsaimnieciskajai ražošanai un darbībai lauku ekonomikā. Lai šīs iespējas izmantotu ilgtspējīgi, nedrīkst radīt papildu spiedienu uz resursiem.</w:t>
      </w:r>
    </w:p>
    <w:p w14:paraId="1D72451D" w14:textId="77777777" w:rsidR="0083515C" w:rsidRPr="00DF28F7" w:rsidRDefault="0083515C" w:rsidP="001F2648">
      <w:pPr>
        <w:jc w:val="both"/>
        <w:rPr>
          <w:rFonts w:ascii="Times New Roman" w:eastAsia="Verdana" w:hAnsi="Times New Roman" w:cs="Verdana"/>
          <w:noProof/>
          <w:sz w:val="24"/>
          <w:szCs w:val="19"/>
        </w:rPr>
      </w:pPr>
    </w:p>
    <w:p w14:paraId="43D2218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Būtiska nozīme ir arī lauksaimniecības pārtikas sistēmu teritoriālajai dimensijai. Lauku apvidos, kur kopumā joprojām ir nodrošināti 55 % ES darbavietu un kur tiek radīti 46 % no bruto pievienotās vērtības</w:t>
      </w:r>
      <w:r w:rsidR="00D01959">
        <w:rPr>
          <w:rStyle w:val="FootnoteReference"/>
          <w:rFonts w:ascii="Times New Roman" w:hAnsi="Times New Roman"/>
          <w:noProof/>
          <w:sz w:val="24"/>
        </w:rPr>
        <w:footnoteReference w:id="177"/>
      </w:r>
      <w:r>
        <w:rPr>
          <w:rFonts w:ascii="Times New Roman" w:hAnsi="Times New Roman"/>
          <w:sz w:val="24"/>
        </w:rPr>
        <w:t>, notiek pamatīgas ekonomiskās, demogrāfiskās un institucionālās pārmaiņas. Globalizācija, decentralizācija, urbanizācija, migrācijas tendences, kā arī jaunu produktu un pakalpojumu tirgu parādīšanās rada jaunus izaicinājumus un iespējas. Neraugoties uz lauku apvidu ilgtspējīgu izaugsmi, starp pilsētām un starpteritorijām ir joprojām vērojama plaisa. Tomēr jaunākie pētījumi liecina par pozitīvu tendenci attiecībā uz lauku attīstību un būtiskajām atšķirībām lauku teritoriju starpā. Viens no ES galvenajiem mērķiem ir veicināt kohēziju un konverģenci starp dažādiem reģioniem. Lai sasniegtu Eiropas Komisijas izvirzīto mērķi “nodarbinātība, izaugsme un investīcijas”, ir nepieciešama ilgtspējīga izaugsme un līdzsvarota teritoriālā attīstība. Darba apstākļi lauku saimniecībās un meža īpašumos pastāvīgi attīstās, un sociālajiem apstākļiem lauksaimniecības nozarē ir jāpievērš pienācīga uzmanība.</w:t>
      </w:r>
    </w:p>
    <w:p w14:paraId="6F5DB5EF" w14:textId="550B5287" w:rsidR="00371E5F" w:rsidRDefault="00371E5F">
      <w:pPr>
        <w:rPr>
          <w:rFonts w:ascii="Times New Roman" w:hAnsi="Times New Roman"/>
          <w:noProof/>
          <w:sz w:val="24"/>
        </w:rPr>
      </w:pPr>
      <w:r>
        <w:rPr>
          <w:rFonts w:ascii="Times New Roman" w:hAnsi="Times New Roman"/>
          <w:noProof/>
          <w:sz w:val="24"/>
        </w:rPr>
        <w:br w:type="page"/>
      </w:r>
    </w:p>
    <w:p w14:paraId="791991A6" w14:textId="77777777" w:rsidR="00CF10CD" w:rsidRPr="00DF28F7" w:rsidRDefault="00CF10CD" w:rsidP="001F2648">
      <w:pPr>
        <w:jc w:val="both"/>
        <w:rPr>
          <w:rFonts w:ascii="Times New Roman" w:eastAsia="Verdana" w:hAnsi="Times New Roman" w:cs="Verdana"/>
          <w:noProof/>
          <w:sz w:val="24"/>
          <w:szCs w:val="13"/>
        </w:rPr>
      </w:pPr>
    </w:p>
    <w:p w14:paraId="64F58902" w14:textId="77777777" w:rsidR="0083515C" w:rsidRPr="00D01959" w:rsidRDefault="00D01959" w:rsidP="00D01959">
      <w:pPr>
        <w:tabs>
          <w:tab w:val="left" w:pos="965"/>
        </w:tabs>
        <w:jc w:val="both"/>
        <w:rPr>
          <w:rFonts w:ascii="Times New Roman" w:hAnsi="Times New Roman"/>
          <w:i/>
          <w:iCs/>
          <w:noProof/>
          <w:sz w:val="24"/>
        </w:rPr>
      </w:pPr>
      <w:r>
        <w:rPr>
          <w:rFonts w:ascii="Times New Roman" w:hAnsi="Times New Roman"/>
          <w:i/>
          <w:sz w:val="24"/>
        </w:rPr>
        <w:t>2.2.6. Bioenerģija</w:t>
      </w:r>
    </w:p>
    <w:p w14:paraId="3A960DBC" w14:textId="77777777" w:rsidR="0083515C" w:rsidRPr="00DF28F7" w:rsidRDefault="0083515C" w:rsidP="001F2648">
      <w:pPr>
        <w:jc w:val="both"/>
        <w:rPr>
          <w:rFonts w:ascii="Times New Roman" w:eastAsia="Times New Roman" w:hAnsi="Times New Roman" w:cs="Times New Roman"/>
          <w:noProof/>
          <w:sz w:val="24"/>
          <w:szCs w:val="20"/>
        </w:rPr>
      </w:pPr>
    </w:p>
    <w:p w14:paraId="2999B06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Eiropas Komisijas “Pamatstratēģija spēcīgai Enerģētikas savienībai ar tālredzīgu klimata pārmaiņu politiku”</w:t>
      </w:r>
      <w:r w:rsidR="00C92C69">
        <w:rPr>
          <w:rStyle w:val="FootnoteReference"/>
          <w:rFonts w:ascii="Times New Roman" w:hAnsi="Times New Roman"/>
          <w:noProof/>
          <w:sz w:val="24"/>
        </w:rPr>
        <w:footnoteReference w:id="178"/>
      </w:r>
      <w:r>
        <w:rPr>
          <w:rFonts w:ascii="Times New Roman" w:hAnsi="Times New Roman"/>
          <w:sz w:val="24"/>
        </w:rPr>
        <w:t xml:space="preserve"> ir vērsta uz to, lai īstenotu pāreju uz mazoglekļa ekonomiku, kas ir droša un konkurētspējīga. Enerģētikas savienības galvenais uzdevums ir veicināt pāreju uz mazoglekļa ekonomiku, kas balstīta uz mazākām siltumnīcefekta gāzu emisijām, lielāku energoefektivitāti un atjaunojamo resursu enerģiju, tostarp bioenerģiju.</w:t>
      </w:r>
    </w:p>
    <w:p w14:paraId="08102CDE" w14:textId="77777777" w:rsidR="0083515C" w:rsidRPr="00DF28F7" w:rsidRDefault="0083515C" w:rsidP="001F2648">
      <w:pPr>
        <w:jc w:val="both"/>
        <w:rPr>
          <w:rFonts w:ascii="Times New Roman" w:hAnsi="Times New Roman"/>
          <w:noProof/>
          <w:sz w:val="24"/>
        </w:rPr>
      </w:pPr>
    </w:p>
    <w:p w14:paraId="6F95F9E4"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Bioenerģija</w:t>
      </w:r>
      <w:r w:rsidR="00C92C69">
        <w:rPr>
          <w:rStyle w:val="FootnoteReference"/>
          <w:rFonts w:ascii="Times New Roman" w:hAnsi="Times New Roman"/>
          <w:noProof/>
          <w:sz w:val="24"/>
        </w:rPr>
        <w:footnoteReference w:id="179"/>
      </w:r>
      <w:r>
        <w:rPr>
          <w:rFonts w:ascii="Times New Roman" w:hAnsi="Times New Roman"/>
          <w:sz w:val="24"/>
        </w:rPr>
        <w:t xml:space="preserve"> ir lielākais ES atjaunojamās enerģijas avots (tai seko hidroenerģija, vēja enerģija, saules enerģija un ģeotermālā enerģija) un apmierina 12 % no ES galīgā enerģijas pieprasījuma, kā arī tai ir nozīmīga loma 2020. un 2030. gada enerģētikas un klimata mērķu sasniegšanā.</w:t>
      </w:r>
      <w:r w:rsidR="00C92C69">
        <w:rPr>
          <w:rStyle w:val="FootnoteReference"/>
          <w:rFonts w:ascii="Times New Roman" w:hAnsi="Times New Roman"/>
          <w:noProof/>
          <w:sz w:val="24"/>
        </w:rPr>
        <w:footnoteReference w:id="180"/>
      </w:r>
      <w:r>
        <w:rPr>
          <w:rFonts w:ascii="Times New Roman" w:hAnsi="Times New Roman"/>
          <w:sz w:val="24"/>
        </w:rPr>
        <w:t xml:space="preserve"> Bioenerģijai var būt vairākas priekšrocības energoapgādes drošības, izaugsmes un darbavietu radīšanas ziņā, jo īpaši lauku attīstības jomā.</w:t>
      </w:r>
      <w:r w:rsidR="00C92C69">
        <w:rPr>
          <w:rStyle w:val="FootnoteReference"/>
          <w:rFonts w:ascii="Times New Roman" w:hAnsi="Times New Roman"/>
          <w:noProof/>
          <w:sz w:val="24"/>
        </w:rPr>
        <w:footnoteReference w:id="181"/>
      </w:r>
      <w:r>
        <w:rPr>
          <w:rFonts w:ascii="Times New Roman" w:hAnsi="Times New Roman"/>
          <w:sz w:val="24"/>
        </w:rPr>
        <w:t xml:space="preserve"> Piemēram, no visiem atjaunojamās enerģijas avotiem tā nodrošina vislielāko tiešo un netiešo darbavietu skaitu ES (489 000 – 2015. gadā). Paredzams, ka bioenerģijas ražošanai būs liela nozīme defosilizācijas nodrošināšanai visos “Enerģētikas ceļvedis 2050” scenārijos, un tās potenciālā investīcija būs starp 10,1 EJ un 12,6 EJ.</w:t>
      </w:r>
      <w:r w:rsidR="00C92C69">
        <w:rPr>
          <w:rStyle w:val="FootnoteReference"/>
          <w:rFonts w:ascii="Times New Roman" w:hAnsi="Times New Roman"/>
          <w:noProof/>
          <w:sz w:val="24"/>
        </w:rPr>
        <w:footnoteReference w:id="182"/>
      </w:r>
    </w:p>
    <w:p w14:paraId="67A09756" w14:textId="77777777" w:rsidR="0083515C" w:rsidRPr="00DF28F7" w:rsidRDefault="0083515C" w:rsidP="001F2648">
      <w:pPr>
        <w:jc w:val="both"/>
        <w:rPr>
          <w:rFonts w:ascii="Times New Roman" w:eastAsia="Verdana" w:hAnsi="Times New Roman" w:cs="Verdana"/>
          <w:noProof/>
          <w:sz w:val="24"/>
          <w:szCs w:val="20"/>
        </w:rPr>
      </w:pPr>
    </w:p>
    <w:p w14:paraId="16DAB3A8"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Ja bioenerģiju ražo ilgtspējīgi un izmanto efektīvi, tā var būtiski palīdzēt mazināt siltumnīcefekta gāzu emisijas (sk. 2.3. punktu par enerģijas reģenerēšanu no atkritumiem un atliekām).</w:t>
      </w:r>
      <w:r w:rsidR="00C92C69">
        <w:rPr>
          <w:rStyle w:val="FootnoteReference"/>
          <w:rFonts w:ascii="Times New Roman" w:hAnsi="Times New Roman"/>
          <w:noProof/>
          <w:sz w:val="24"/>
        </w:rPr>
        <w:footnoteReference w:id="183"/>
      </w:r>
      <w:r>
        <w:rPr>
          <w:rFonts w:ascii="Times New Roman" w:hAnsi="Times New Roman"/>
          <w:sz w:val="24"/>
        </w:rPr>
        <w:t xml:space="preserve"> Tomēr bioenerģijas ražošana un izmantošana var radīt arī neparedzētu ietekmi uz vidi, kas ir efektīvi jāmazina, ieviešot regulējumu un labu praksi pasaules un uzņēmumu līmenī. Minētā ietekme tika rūpīgi analizēta novērtējumā par ietekmi uz bioenerģijas ilgtspējību</w:t>
      </w:r>
      <w:r w:rsidR="00C92C69">
        <w:rPr>
          <w:rStyle w:val="FootnoteReference"/>
          <w:rFonts w:ascii="Times New Roman" w:hAnsi="Times New Roman"/>
          <w:noProof/>
          <w:sz w:val="24"/>
        </w:rPr>
        <w:footnoteReference w:id="184"/>
      </w:r>
      <w:r>
        <w:rPr>
          <w:rFonts w:ascii="Times New Roman" w:hAnsi="Times New Roman"/>
          <w:sz w:val="24"/>
        </w:rPr>
        <w:t>, kas pievienots pārskatītajai Atjaunojamo energoresursu direktīvai</w:t>
      </w:r>
      <w:r w:rsidR="00C92C69">
        <w:rPr>
          <w:rStyle w:val="FootnoteReference"/>
          <w:rFonts w:ascii="Times New Roman" w:hAnsi="Times New Roman"/>
          <w:noProof/>
          <w:sz w:val="24"/>
        </w:rPr>
        <w:footnoteReference w:id="185"/>
      </w:r>
      <w:r>
        <w:rPr>
          <w:rFonts w:ascii="Times New Roman" w:hAnsi="Times New Roman"/>
          <w:sz w:val="24"/>
        </w:rPr>
        <w:t xml:space="preserve"> laikposmam pēc 2020. gada.</w:t>
      </w:r>
      <w:r w:rsidR="00C92C69">
        <w:rPr>
          <w:rStyle w:val="FootnoteReference"/>
          <w:rFonts w:ascii="Times New Roman" w:hAnsi="Times New Roman"/>
          <w:noProof/>
          <w:sz w:val="24"/>
        </w:rPr>
        <w:footnoteReference w:id="186"/>
      </w:r>
    </w:p>
    <w:p w14:paraId="5F2AFFB5" w14:textId="77777777" w:rsidR="0083515C" w:rsidRPr="00DF28F7" w:rsidRDefault="0083515C" w:rsidP="001F2648">
      <w:pPr>
        <w:jc w:val="both"/>
        <w:rPr>
          <w:rFonts w:ascii="Times New Roman" w:eastAsia="Verdana" w:hAnsi="Times New Roman" w:cs="Verdana"/>
          <w:noProof/>
          <w:sz w:val="24"/>
          <w:szCs w:val="20"/>
        </w:rPr>
      </w:pPr>
    </w:p>
    <w:p w14:paraId="0FA0AE2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Ņemot vērā iepriekš minēto, ES bioenerģijas ilgtspējas regulējums ir būtiski nostiprināts saskaņā ar atjaunināto Atjaunojamo energoresursu direktīvu, kuras galīgo tekstu Padome un Eiropas Parlaments politiskā līmenī saskaņoja 2018. gada 14. jūnijā. Laikposmā pēc 2020. gada ES ilgtspējības kritērijus piemēros ne tikai biodegvielai un bioloģiskajam šķidrajam kurināmajam, bet arī cietajai biomasai un biogāzei, ko izmanto siltuma un elektroenerģijas ražošanai. Lauksaimniecības biomasai piemērojamie ilgtspējības kritēriji tika vairāk nostiprināti, lai aizsargātu bioloģiski daudzveidīgo mežu un augsnes kvalitāti, kā arī augsnes oglekli. Tika izvirzīti īpaši jauni ilgtspējības kritēriji attiecībā uz meža biomasu, lai novērstu neilgtspējīgu mežizstrādi un aizsargātu oglekļa uzkrājumu mežos. Turklāt lielām bioelektroenerģijas iekārtām pēc 2020. gada būs jāievēro stingri strāvas lietderības koeficientu standarti. Papildus minētajam valstu atjaunojamās enerģijas politikā būs pienācīgi jāņem vērā atkritumu hierarhijas principi. Visbeidzot, dalībvalstis vairs nedrīkstēs atbalstīt organisko </w:t>
      </w:r>
      <w:r>
        <w:rPr>
          <w:rFonts w:ascii="Times New Roman" w:hAnsi="Times New Roman"/>
          <w:sz w:val="24"/>
        </w:rPr>
        <w:lastRenderedPageBreak/>
        <w:t>atkritumu sadedzināšanu bioenerģijas ražošanas nolūkos, ja tās neievēros Atkritumu pamatdirektīvā 2008/98/EK noteiktās atkritumu šķirošanas prasības.</w:t>
      </w:r>
    </w:p>
    <w:p w14:paraId="2244E6A1" w14:textId="77777777" w:rsidR="0083515C" w:rsidRPr="00DF28F7" w:rsidRDefault="0083515C" w:rsidP="001F2648">
      <w:pPr>
        <w:jc w:val="both"/>
        <w:rPr>
          <w:rFonts w:ascii="Times New Roman" w:eastAsia="Verdana" w:hAnsi="Times New Roman" w:cs="Verdana"/>
          <w:noProof/>
          <w:sz w:val="24"/>
          <w:szCs w:val="18"/>
        </w:rPr>
      </w:pPr>
    </w:p>
    <w:p w14:paraId="485082A2" w14:textId="77777777" w:rsidR="0083515C" w:rsidRPr="00DF28F7" w:rsidRDefault="0083515C" w:rsidP="001F2648">
      <w:pPr>
        <w:jc w:val="both"/>
        <w:rPr>
          <w:rFonts w:ascii="Times New Roman" w:eastAsia="Verdana" w:hAnsi="Times New Roman" w:cs="Verdana"/>
          <w:noProof/>
          <w:sz w:val="24"/>
          <w:szCs w:val="23"/>
        </w:rPr>
      </w:pPr>
    </w:p>
    <w:p w14:paraId="53B05A04" w14:textId="77777777" w:rsidR="0083515C" w:rsidRPr="00C92C69" w:rsidRDefault="0083515C" w:rsidP="001F2648">
      <w:pPr>
        <w:pStyle w:val="Heading2"/>
        <w:tabs>
          <w:tab w:val="left" w:pos="650"/>
        </w:tabs>
        <w:ind w:left="0" w:firstLine="0"/>
        <w:jc w:val="both"/>
        <w:rPr>
          <w:i/>
          <w:iCs/>
          <w:noProof/>
          <w:sz w:val="24"/>
        </w:rPr>
      </w:pPr>
      <w:bookmarkStart w:id="21" w:name="_Toc63672639"/>
      <w:r>
        <w:rPr>
          <w:i/>
          <w:sz w:val="24"/>
        </w:rPr>
        <w:t>2.3. Bioekonomika un aprites ekonomika – bioatkritumu, blakusproduktu un resursu plūsmu vērtības palielināšana</w:t>
      </w:r>
      <w:bookmarkEnd w:id="21"/>
    </w:p>
    <w:p w14:paraId="2F7A2B23" w14:textId="77777777" w:rsidR="0083515C" w:rsidRPr="00DF28F7" w:rsidRDefault="0083515C" w:rsidP="001F2648">
      <w:pPr>
        <w:jc w:val="both"/>
        <w:rPr>
          <w:rFonts w:ascii="Times New Roman" w:eastAsia="Times New Roman" w:hAnsi="Times New Roman" w:cs="Times New Roman"/>
          <w:noProof/>
          <w:sz w:val="24"/>
          <w:szCs w:val="16"/>
        </w:rPr>
      </w:pPr>
    </w:p>
    <w:p w14:paraId="7CD5B5D4"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 xml:space="preserve">Atbilstība aprites principiem ir būtisks elements Eiropas Komisijas redzējumā par ES bioekonomiku. Aprites ekonomika ir ekonomikas sistēma, kurā “(..) </w:t>
      </w:r>
      <w:r>
        <w:rPr>
          <w:rFonts w:ascii="Times New Roman" w:hAnsi="Times New Roman"/>
          <w:i/>
          <w:iCs/>
          <w:sz w:val="24"/>
        </w:rPr>
        <w:t>produktu, materiālu un resursu vērtība tiek saglabāta ekonomikā pēc iespējas ilgāk un līdz minimumam samazināta atkritumu ražošana</w:t>
      </w:r>
      <w:r>
        <w:rPr>
          <w:rFonts w:ascii="Times New Roman" w:hAnsi="Times New Roman"/>
          <w:sz w:val="24"/>
        </w:rPr>
        <w:t>”.</w:t>
      </w:r>
      <w:r w:rsidR="00C92C69">
        <w:rPr>
          <w:rStyle w:val="FootnoteReference"/>
          <w:rFonts w:ascii="Times New Roman" w:hAnsi="Times New Roman"/>
          <w:noProof/>
          <w:sz w:val="24"/>
        </w:rPr>
        <w:footnoteReference w:id="187"/>
      </w:r>
      <w:r>
        <w:rPr>
          <w:rFonts w:ascii="Times New Roman" w:hAnsi="Times New Roman"/>
          <w:sz w:val="24"/>
        </w:rPr>
        <w:t xml:space="preserve"> Aprites ekonomikas un bioekonomikas darbības jomas krustojas, jo tās vieno kopējs mērķis, proti, pievienot vērtību bioloģiskajiem atkritumiem un atliekām. Aprites ekonomikas mērķis ir pēc iespējas ilgāk saglabāt dažādu resursu (ne tikai bioloģisko) vērtību ekonomikas attīstības ciklā, tostarp, bet ne tikai, atjaunojamo bioloģisko resursu vērtību, pievēršot uzmanību tam, kā produkti un materiāli tiek izstrādāti, ražoti, izmantoti un iznīcināti. Bioekonomika ietver papildu darbības, kas nav tās, ar kurām pievieno vērtību bioloģiskajiem atkritumiem un atlieku plūsmām, piemēram, tā ietver gan tādu bioloģisko resursu pārveidošanu augstākas vērtības produktos, kas nav atliekas, gan arī atjaunojamo bioloģisko resursu efektīvu ražošanu.</w:t>
      </w:r>
      <w:r w:rsidR="00C92C69">
        <w:rPr>
          <w:rStyle w:val="FootnoteReference"/>
          <w:rFonts w:ascii="Times New Roman" w:hAnsi="Times New Roman"/>
          <w:noProof/>
          <w:sz w:val="24"/>
        </w:rPr>
        <w:footnoteReference w:id="188"/>
      </w:r>
      <w:r>
        <w:rPr>
          <w:rFonts w:ascii="Times New Roman" w:hAnsi="Times New Roman"/>
          <w:sz w:val="24"/>
        </w:rPr>
        <w:t xml:space="preserve"> Bioekonomikas ieguldījums aprites ekonomikā ir novērtēts un atzīts par ļoti nozīmīgu.</w:t>
      </w:r>
      <w:r w:rsidR="00C92C69">
        <w:rPr>
          <w:rStyle w:val="FootnoteReference"/>
          <w:rFonts w:ascii="Times New Roman" w:hAnsi="Times New Roman"/>
          <w:noProof/>
          <w:sz w:val="24"/>
        </w:rPr>
        <w:footnoteReference w:id="189"/>
      </w:r>
    </w:p>
    <w:p w14:paraId="2DAD773C" w14:textId="77777777" w:rsidR="0083515C" w:rsidRPr="00DF28F7" w:rsidRDefault="0083515C" w:rsidP="001F2648">
      <w:pPr>
        <w:jc w:val="both"/>
        <w:rPr>
          <w:rFonts w:ascii="Times New Roman" w:eastAsia="Verdana" w:hAnsi="Times New Roman" w:cs="Verdana"/>
          <w:noProof/>
          <w:sz w:val="24"/>
          <w:szCs w:val="19"/>
        </w:rPr>
      </w:pPr>
    </w:p>
    <w:p w14:paraId="72C3FDF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Bioloģiski noārdāmie atkritumi (vai bioatkritumi) var būt nozīmīgs biomasas avots, kura potenciāli saimniecisko vērtību sāk atzīt vairākas nozares (piemēram, lauksaimniecības, meža, ķīmijas un enerģētikas nozare). Attīstoties bioekonomikai, šo sekundāro produktu pieprasījums, visticamāk, palielināsies, tādējādi mainot ražošanas ekonomiskos nosacījumus.</w:t>
      </w:r>
    </w:p>
    <w:p w14:paraId="63F26C94" w14:textId="77777777" w:rsidR="0083515C" w:rsidRPr="00DF28F7" w:rsidRDefault="0083515C" w:rsidP="001F2648">
      <w:pPr>
        <w:jc w:val="both"/>
        <w:rPr>
          <w:rFonts w:ascii="Times New Roman" w:eastAsia="Verdana" w:hAnsi="Times New Roman" w:cs="Verdana"/>
          <w:noProof/>
          <w:sz w:val="24"/>
          <w:szCs w:val="20"/>
        </w:rPr>
      </w:pPr>
    </w:p>
    <w:p w14:paraId="663C5C2E" w14:textId="77777777" w:rsidR="0083515C" w:rsidRPr="00C92C69" w:rsidRDefault="0083515C" w:rsidP="001F2648">
      <w:pPr>
        <w:pStyle w:val="BodyText"/>
        <w:ind w:left="0"/>
        <w:jc w:val="both"/>
        <w:rPr>
          <w:rFonts w:ascii="Times New Roman" w:hAnsi="Times New Roman"/>
          <w:noProof/>
          <w:sz w:val="24"/>
        </w:rPr>
      </w:pPr>
      <w:r>
        <w:rPr>
          <w:rFonts w:ascii="Times New Roman" w:hAnsi="Times New Roman"/>
          <w:sz w:val="24"/>
        </w:rPr>
        <w:t>Tā kā trūkst standartizētu definīciju, ir grūti patiesi novērtēt apjomu dažādām atkritumu</w:t>
      </w:r>
      <w:r w:rsidR="00C92C69">
        <w:rPr>
          <w:rStyle w:val="FootnoteReference"/>
          <w:rFonts w:ascii="Times New Roman" w:hAnsi="Times New Roman"/>
          <w:noProof/>
          <w:sz w:val="24"/>
        </w:rPr>
        <w:footnoteReference w:id="190"/>
      </w:r>
      <w:r>
        <w:rPr>
          <w:rFonts w:ascii="Times New Roman" w:hAnsi="Times New Roman"/>
          <w:sz w:val="24"/>
        </w:rPr>
        <w:t xml:space="preserve"> un atlieku plūsmām, kuras pašlaik netiek izmantotas, bet kuras varētu pienācīgi mobilizēt. Tiek lēsts, ka visā pasaulē ik gadu no sešām svarīgākajām kultūrām, proti, miežiem, kukurūzas, rīsiem, sojas pupām, cukurniedrēm un kviešiem, iegūst vairāk nekā 3300 megatonnu biomasas.</w:t>
      </w:r>
      <w:r w:rsidR="00C92C69">
        <w:rPr>
          <w:rStyle w:val="FootnoteReference"/>
          <w:rFonts w:ascii="Times New Roman" w:hAnsi="Times New Roman"/>
          <w:noProof/>
          <w:sz w:val="24"/>
        </w:rPr>
        <w:footnoteReference w:id="191"/>
      </w:r>
      <w:r>
        <w:rPr>
          <w:rFonts w:ascii="Times New Roman" w:hAnsi="Times New Roman"/>
          <w:sz w:val="24"/>
        </w:rPr>
        <w:t xml:space="preserve"> Jau Eiropā vien katru gadu iegūst 900 megatonnu makulatūras, pārtikas un augu materiāla.</w:t>
      </w:r>
      <w:r w:rsidR="00E61945">
        <w:rPr>
          <w:rStyle w:val="FootnoteReference"/>
          <w:rFonts w:ascii="Times New Roman" w:hAnsi="Times New Roman"/>
          <w:noProof/>
          <w:sz w:val="24"/>
        </w:rPr>
        <w:footnoteReference w:id="192"/>
      </w:r>
      <w:r>
        <w:rPr>
          <w:rFonts w:ascii="Times New Roman" w:hAnsi="Times New Roman"/>
          <w:sz w:val="24"/>
        </w:rPr>
        <w:t xml:space="preserve"> Zivsaimniecības nozarē komerciālās zvejas laikā katru gadu var izmest pat 40 megatonnas zivju.</w:t>
      </w:r>
      <w:r w:rsidR="00E61945">
        <w:rPr>
          <w:rStyle w:val="FootnoteReference"/>
          <w:rFonts w:ascii="Times New Roman" w:hAnsi="Times New Roman"/>
          <w:noProof/>
          <w:sz w:val="24"/>
        </w:rPr>
        <w:footnoteReference w:id="193"/>
      </w:r>
      <w:r>
        <w:rPr>
          <w:rFonts w:ascii="Times New Roman" w:hAnsi="Times New Roman"/>
          <w:sz w:val="24"/>
        </w:rPr>
        <w:t xml:space="preserve"> Citas aplēses par zivsaimniecībā un akvakultūrā radītajiem atkritumiem liecina par 130 megatonnu apjomu un līdz pat 50 miljardiem USD ikgadējo zaudējumu, kas radušies saistībā ar nepietiekamu jūras velšu resursu pārvaldību.</w:t>
      </w:r>
      <w:r w:rsidR="00E61945">
        <w:rPr>
          <w:rStyle w:val="FootnoteReference"/>
          <w:rFonts w:ascii="Times New Roman" w:hAnsi="Times New Roman"/>
          <w:noProof/>
          <w:sz w:val="24"/>
        </w:rPr>
        <w:footnoteReference w:id="194"/>
      </w:r>
      <w:r>
        <w:rPr>
          <w:rFonts w:ascii="Times New Roman" w:hAnsi="Times New Roman"/>
          <w:sz w:val="24"/>
          <w:vertAlign w:val="superscript"/>
        </w:rPr>
        <w:t>,</w:t>
      </w:r>
      <w:r w:rsidR="00E61945">
        <w:rPr>
          <w:rStyle w:val="FootnoteReference"/>
          <w:rFonts w:ascii="Times New Roman" w:hAnsi="Times New Roman"/>
          <w:noProof/>
          <w:sz w:val="24"/>
        </w:rPr>
        <w:footnoteReference w:id="195"/>
      </w:r>
      <w:r>
        <w:rPr>
          <w:rFonts w:ascii="Times New Roman" w:hAnsi="Times New Roman"/>
          <w:sz w:val="24"/>
        </w:rPr>
        <w:t xml:space="preserve"> </w:t>
      </w:r>
      <w:r>
        <w:rPr>
          <w:rFonts w:ascii="Times New Roman" w:hAnsi="Times New Roman"/>
          <w:sz w:val="24"/>
        </w:rPr>
        <w:lastRenderedPageBreak/>
        <w:t>Aprēķināts, ka mežsaimniecībā koksnes biomasas atliekas, piemēram, zari un koku galotnes, ir 5100 megatonnu gadā visā pasaulē, no kurām ES-28 valstīs meža izstrādes atliekas, zari un koku galotnes ir 87 megatonnas.</w:t>
      </w:r>
      <w:r w:rsidR="00E61945">
        <w:rPr>
          <w:rStyle w:val="FootnoteReference"/>
          <w:rFonts w:ascii="Times New Roman" w:hAnsi="Times New Roman"/>
          <w:noProof/>
          <w:sz w:val="24"/>
        </w:rPr>
        <w:footnoteReference w:id="196"/>
      </w:r>
    </w:p>
    <w:p w14:paraId="34A93890" w14:textId="77777777" w:rsidR="0083515C" w:rsidRPr="00DF28F7" w:rsidRDefault="0083515C" w:rsidP="001F2648">
      <w:pPr>
        <w:jc w:val="both"/>
        <w:rPr>
          <w:rFonts w:ascii="Times New Roman" w:eastAsia="Verdana" w:hAnsi="Times New Roman" w:cs="Verdana"/>
          <w:noProof/>
          <w:sz w:val="24"/>
          <w:szCs w:val="20"/>
        </w:rPr>
      </w:pPr>
    </w:p>
    <w:p w14:paraId="5AEBBCB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Katru gadu Eiropas Savienībā rada gandrīz 300 megatonnu bioloģiski noārdāmo sadzīves atkritumu un mājsaimniecību atkritumiem līdzīgu atkritumu, rūpniecisko atkritumu un citu atkritumu, un tie lielākoties netiek izmantoti. No tiem 140 megatonnas (90 megatonnas sausnā) ir sadzīves atkritumi.</w:t>
      </w:r>
      <w:r w:rsidR="00E61945">
        <w:rPr>
          <w:rStyle w:val="FootnoteReference"/>
          <w:rFonts w:ascii="Times New Roman" w:hAnsi="Times New Roman"/>
          <w:noProof/>
          <w:sz w:val="24"/>
        </w:rPr>
        <w:footnoteReference w:id="197"/>
      </w:r>
      <w:r>
        <w:rPr>
          <w:rFonts w:ascii="Times New Roman" w:hAnsi="Times New Roman"/>
          <w:sz w:val="24"/>
        </w:rPr>
        <w:t xml:space="preserve"> Apmēram 82 % no sadzīves cietajiem atkritumiem rada mājsaimniecības, pārējo – tirdzniecības un pārdošanas jomas, mazie uzņēmumi, pagalmu un dārzu atkritumi utt. (</w:t>
      </w:r>
      <w:r>
        <w:rPr>
          <w:rFonts w:ascii="Times New Roman" w:hAnsi="Times New Roman"/>
          <w:i/>
          <w:iCs/>
          <w:sz w:val="24"/>
        </w:rPr>
        <w:t>Eurostat</w:t>
      </w:r>
      <w:r>
        <w:rPr>
          <w:rFonts w:ascii="Times New Roman" w:hAnsi="Times New Roman"/>
          <w:sz w:val="24"/>
        </w:rPr>
        <w:t>, 2003. gads.)</w:t>
      </w:r>
    </w:p>
    <w:p w14:paraId="20B36823" w14:textId="77777777" w:rsidR="0083515C" w:rsidRPr="00DF28F7" w:rsidRDefault="0083515C" w:rsidP="001F2648">
      <w:pPr>
        <w:jc w:val="both"/>
        <w:rPr>
          <w:rFonts w:ascii="Times New Roman" w:hAnsi="Times New Roman"/>
          <w:noProof/>
          <w:sz w:val="24"/>
        </w:rPr>
      </w:pPr>
    </w:p>
    <w:p w14:paraId="1DAECE46"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Aprites ekonomikas tiesību aktu paketē iekļauto juridisko pienākumu</w:t>
      </w:r>
      <w:r w:rsidR="00E61945">
        <w:rPr>
          <w:rStyle w:val="FootnoteReference"/>
          <w:rFonts w:ascii="Times New Roman" w:hAnsi="Times New Roman"/>
          <w:noProof/>
          <w:sz w:val="24"/>
        </w:rPr>
        <w:footnoteReference w:id="198"/>
      </w:r>
      <w:r>
        <w:rPr>
          <w:rFonts w:ascii="Times New Roman" w:hAnsi="Times New Roman"/>
          <w:sz w:val="24"/>
        </w:rPr>
        <w:t xml:space="preserve"> mērķis ir palielināt sekundāro materiālu (barības sastāvdaļu, bioatkritumu) pieejamību turpmākai izmantošanai, izvēloties tradicionālās tehnoloģijas (piemēram, kompostēšanu un anaerobo noārdīšanos), un, kas ir vēl svarīgāk, rast novatoriskus veidus vērtīgu vielu vai molekulu ieguvei pirms atlieku galīgās izmešanas, turklāt, ja iespējams, izmantojot tām piemītošo enerģiju. Ņemot to vērā, paredzams, ka inovācija sekmēs bioproduktu tirgu attīstību, veidojot barības sastāvdaļu rūpniecisko simbiozi (vienas nozares atkritumi kļūst par izejvielu citai nozarei). Kā piemēru var minēt augu atlieku, piemēram, kviešu salmu vai kukurūzas stublāju, izmantošanu biomateriāliem</w:t>
      </w:r>
      <w:r w:rsidR="00E61945">
        <w:rPr>
          <w:rStyle w:val="FootnoteReference"/>
          <w:rFonts w:ascii="Times New Roman" w:hAnsi="Times New Roman"/>
          <w:noProof/>
          <w:sz w:val="24"/>
        </w:rPr>
        <w:footnoteReference w:id="199"/>
      </w:r>
      <w:r>
        <w:rPr>
          <w:rFonts w:ascii="Times New Roman" w:hAnsi="Times New Roman"/>
          <w:sz w:val="24"/>
        </w:rPr>
        <w:t xml:space="preserve"> vai atkritumu un atlieku apstrādi enerģijas ražošanai, tostarp biogāzes ražošanai, izmantojot bioatkritumu un notekūdeņu anaerobo noārdīšanos, kā arī izvēloties ķīmisko produktu un bioenerģijas integrētu ražošanu biorafinēšanas iekārtās. Pārtikas pārstrādes rūpniecības nozare pēta iespējas atgūt enerģiju no ēdienu atliekām uz vietas, ražojot biogāzi vai izmantojot īpašas koģenerācijas stacijas.</w:t>
      </w:r>
      <w:r w:rsidR="00E61945">
        <w:rPr>
          <w:rStyle w:val="FootnoteReference"/>
          <w:rFonts w:ascii="Times New Roman" w:hAnsi="Times New Roman"/>
          <w:noProof/>
          <w:sz w:val="24"/>
        </w:rPr>
        <w:footnoteReference w:id="200"/>
      </w:r>
    </w:p>
    <w:p w14:paraId="562C18D0" w14:textId="77777777" w:rsidR="00CF10CD" w:rsidRPr="00DF28F7" w:rsidRDefault="00CF10CD" w:rsidP="001F2648">
      <w:pPr>
        <w:jc w:val="both"/>
        <w:rPr>
          <w:rFonts w:ascii="Times New Roman" w:eastAsia="Verdana" w:hAnsi="Times New Roman" w:cs="Verdana"/>
          <w:noProof/>
          <w:sz w:val="24"/>
          <w:szCs w:val="13"/>
        </w:rPr>
      </w:pPr>
    </w:p>
    <w:p w14:paraId="74C0C50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Attiecībā uz bioloģiski noārdāmiem atkritumiem, īstenojot Direktīvā par atkritumu poligoniem</w:t>
      </w:r>
      <w:r w:rsidR="007F4F65">
        <w:rPr>
          <w:rStyle w:val="FootnoteReference"/>
          <w:rFonts w:ascii="Times New Roman" w:hAnsi="Times New Roman"/>
          <w:noProof/>
          <w:sz w:val="24"/>
        </w:rPr>
        <w:footnoteReference w:id="201"/>
      </w:r>
      <w:r>
        <w:rPr>
          <w:rFonts w:ascii="Times New Roman" w:hAnsi="Times New Roman"/>
          <w:sz w:val="24"/>
        </w:rPr>
        <w:t xml:space="preserve"> noteiktās prasības un ievērojot ierosinātos jaunos noteikumus nodrošināt bioatkritumu dalītu savākšanu, jāsekmē šā resursa plašāka izmantošana, lai ražotu atkritumu izcelsmes produktus un enerģiju. Šī tendence jāatbalsta ar ierosinātajām izmaiņām ES Mēslošanas līdzekļu regulējumā, atverot vienoto tirgu atkritumu izcelsmes mēslošanas līdzekļiem.</w:t>
      </w:r>
    </w:p>
    <w:p w14:paraId="22541CE7" w14:textId="77777777" w:rsidR="0083515C" w:rsidRPr="00DF28F7" w:rsidRDefault="0083515C" w:rsidP="001F2648">
      <w:pPr>
        <w:jc w:val="both"/>
        <w:rPr>
          <w:rFonts w:ascii="Times New Roman" w:hAnsi="Times New Roman"/>
          <w:noProof/>
          <w:sz w:val="24"/>
        </w:rPr>
      </w:pPr>
    </w:p>
    <w:p w14:paraId="0FE57E9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FAO</w:t>
      </w:r>
      <w:r>
        <w:rPr>
          <w:rFonts w:ascii="Times New Roman" w:hAnsi="Times New Roman"/>
          <w:sz w:val="24"/>
        </w:rPr>
        <w:t xml:space="preserve"> datiem viena trešā daļa pārtikas, kas ražota lietošanai uzturā, tiek izmesta atkritumos vai zaudēta; tas ir aptuveni 1300 megatonnas gadā, kas papildina 3300 megatonnas CO</w:t>
      </w:r>
      <w:r>
        <w:rPr>
          <w:rFonts w:ascii="Times New Roman" w:hAnsi="Times New Roman"/>
          <w:sz w:val="24"/>
          <w:vertAlign w:val="subscript"/>
        </w:rPr>
        <w:t>2</w:t>
      </w:r>
      <w:r>
        <w:rPr>
          <w:rFonts w:ascii="Times New Roman" w:hAnsi="Times New Roman"/>
          <w:sz w:val="24"/>
        </w:rPr>
        <w:t xml:space="preserve"> ekvivalenta SEG, ko emitē planētas atmosfērā (trešais lielākais emitētājs pēc ASV un Ķīnas).</w:t>
      </w:r>
      <w:r w:rsidR="007F4F65">
        <w:rPr>
          <w:rStyle w:val="FootnoteReference"/>
          <w:rFonts w:ascii="Times New Roman" w:hAnsi="Times New Roman"/>
          <w:noProof/>
          <w:sz w:val="24"/>
        </w:rPr>
        <w:footnoteReference w:id="202"/>
      </w:r>
      <w:r>
        <w:rPr>
          <w:rFonts w:ascii="Times New Roman" w:hAnsi="Times New Roman"/>
          <w:sz w:val="24"/>
        </w:rPr>
        <w:t xml:space="preserve"> Pārtikas atkritumi rodas visā pārtikas sistēmā, lai gan nav skaidru aplēšu par dažādiem posmiem, tostarp ražošanu un pārstrādi.</w:t>
      </w:r>
      <w:r w:rsidR="007F4F65">
        <w:rPr>
          <w:rStyle w:val="FootnoteReference"/>
          <w:rFonts w:ascii="Times New Roman" w:hAnsi="Times New Roman"/>
          <w:noProof/>
          <w:sz w:val="24"/>
        </w:rPr>
        <w:footnoteReference w:id="203"/>
      </w:r>
      <w:r>
        <w:rPr>
          <w:rFonts w:ascii="Times New Roman" w:hAnsi="Times New Roman"/>
          <w:sz w:val="24"/>
        </w:rPr>
        <w:t xml:space="preserve"> Tomēr pārtikas blakusproduktu turpmāka izmantošana un pārtikas atkritumu pārveidošana joprojām ir ierobežota. Tas saistīts ar pastāvošajiem kvantitatīvās noteikšanas ierobežojumiem visā pārtikas piegādes ķēdē, </w:t>
      </w:r>
      <w:r>
        <w:rPr>
          <w:rFonts w:ascii="Times New Roman" w:hAnsi="Times New Roman"/>
          <w:sz w:val="24"/>
        </w:rPr>
        <w:lastRenderedPageBreak/>
        <w:t>ierobežotajiem datiem par kvalitāti un viendabīguma pakāpi, kā arī atšķirībām tajā, kā dalībvalstis īsteno tiesību aktus atkritumu jomā.</w:t>
      </w:r>
    </w:p>
    <w:p w14:paraId="72365B4B" w14:textId="77777777" w:rsidR="0083515C" w:rsidRPr="00DF28F7" w:rsidRDefault="0083515C" w:rsidP="001F2648">
      <w:pPr>
        <w:jc w:val="both"/>
        <w:rPr>
          <w:rFonts w:ascii="Times New Roman" w:hAnsi="Times New Roman"/>
          <w:noProof/>
          <w:sz w:val="24"/>
        </w:rPr>
      </w:pPr>
    </w:p>
    <w:p w14:paraId="2A59306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Arī cilvēku radītie atkritumi, piemēram, atkritumi, kas ir reģenerējami notekūdeņu attīrīšanas procesā, ir potenciāli ļoti vērtīgs un plaša mēroga enerģijas, mēslošanas līdzekļu un ķīmisko vielu avots.</w:t>
      </w:r>
    </w:p>
    <w:p w14:paraId="3AA399E5" w14:textId="77777777" w:rsidR="0083515C" w:rsidRPr="00DF28F7" w:rsidRDefault="0083515C" w:rsidP="001F2648">
      <w:pPr>
        <w:jc w:val="both"/>
        <w:rPr>
          <w:rFonts w:ascii="Times New Roman" w:eastAsia="Verdana" w:hAnsi="Times New Roman" w:cs="Verdana"/>
          <w:noProof/>
          <w:sz w:val="24"/>
          <w:szCs w:val="19"/>
        </w:rPr>
      </w:pPr>
    </w:p>
    <w:p w14:paraId="3153A6E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ES aprites ekonomikas rīcības plānā un ES atkritumu apsaimniekošanas hierarhijā uzskata, ka ir svarīgi pēc iespējas ilgāk saglabāt produktu, materiālu un resursu vērtību ekonomikā un līdz minimumam samazināt atkritumu ražošanu. Atkritumu apsaimniekošanas hierarhija ir ES politikas un tiesību aktu stūrakmens atkritumu jomā</w:t>
      </w:r>
      <w:r w:rsidR="007F4F65">
        <w:rPr>
          <w:rStyle w:val="FootnoteReference"/>
          <w:rFonts w:ascii="Times New Roman" w:hAnsi="Times New Roman"/>
          <w:noProof/>
          <w:sz w:val="24"/>
        </w:rPr>
        <w:footnoteReference w:id="204"/>
      </w:r>
      <w:r>
        <w:rPr>
          <w:rFonts w:ascii="Times New Roman" w:hAnsi="Times New Roman"/>
          <w:sz w:val="24"/>
        </w:rPr>
        <w:t>, kā arī svarīgs aspekts pārejā uz aprites ekonomiku. Tās galvenais mērķis ir noteikt prioritāru kārtību nelabvēlīgās ietekmes uz vidi samazināšanai un resursu efektivitātes optimizēšanai attiecībā uz atkritumu rašanās novēršanu un apsaimniekošanu. Šiem procesiem ir atšķirīga ietekme uz vidi, un tiem ir atšķirīga vieta atkritumu apsaimniekošanas hierarhijā. Ja izvēlas procesus, kas saistīti ar enerģijas ieguvi no atkritumiem, piemēram, sadedzināšanai tradicionāli izmanto koksnes atkritumus, ir jāizmanto visefektīvākās metodes – tas palielina to ieguldījumu ES klimata un enerģētikas mērķu sasniegšanā.</w:t>
      </w:r>
      <w:r w:rsidR="007F4F65">
        <w:rPr>
          <w:rStyle w:val="FootnoteReference"/>
          <w:rFonts w:ascii="Times New Roman" w:hAnsi="Times New Roman"/>
          <w:noProof/>
          <w:sz w:val="24"/>
        </w:rPr>
        <w:footnoteReference w:id="205"/>
      </w:r>
      <w:r>
        <w:rPr>
          <w:rFonts w:ascii="Times New Roman" w:hAnsi="Times New Roman"/>
          <w:sz w:val="24"/>
        </w:rPr>
        <w:t xml:space="preserve"> Patiesībā procesi saistībā ar enerģijas ieguvi no atkritumiem ietver ļoti dažādas atkritumu apstrādes darbības, sākot no “likvidēšanas” un “reģenerācijas” līdz “otrreizējai pārstrādei”. Piemēram, ES tiesību aktos atkritumu apsaimniekošanas jomā uzskata, ka anaerobā noārdīšanās, kā rezultātā tiek ražota biogāze un hidrolizāts, ir otrreizējās pārstrādes darbība. Savukārt atkritumu sadedzināšanu, kas nodrošina ierobežotu enerģijas atgūšanu, uzskata par likvidēšanu. Svarīgi uzsvērt, ka atkritumu apsaimniekošanas hierarhijā kopumā atspoguļo arī vēlamo vides risinājumu – parasti apglabāšana poligonos vai sadedzināšana ar nelielu enerģijas atguvi vai bez tās ir visneizdevīgākais risinājums siltumnīcefekta gāzu emisiju samazināšanai, savukārt atkritumu veidošanās novēršanai, atkārtotai izmantošanai un otrreizējai pārstrādei ir vislielākais potenciāls samazināt siltumnīcefekta gāzu emisijas.</w:t>
      </w:r>
    </w:p>
    <w:p w14:paraId="7137CFE6" w14:textId="77777777" w:rsidR="00CF10CD" w:rsidRPr="00DF28F7" w:rsidRDefault="00CF10CD" w:rsidP="001F2648">
      <w:pPr>
        <w:jc w:val="both"/>
        <w:rPr>
          <w:rFonts w:ascii="Times New Roman" w:eastAsia="Verdana" w:hAnsi="Times New Roman" w:cs="Verdana"/>
          <w:noProof/>
          <w:sz w:val="24"/>
          <w:szCs w:val="13"/>
        </w:rPr>
      </w:pPr>
    </w:p>
    <w:p w14:paraId="052FA9C9"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Eiropas Bioekonomikas 2012. gada stratēģijā un tai pievienotajā Dienestu darba dokumentā</w:t>
      </w:r>
      <w:r w:rsidR="00DD0BE3">
        <w:rPr>
          <w:rStyle w:val="FootnoteReference"/>
          <w:rFonts w:ascii="Times New Roman" w:hAnsi="Times New Roman"/>
          <w:noProof/>
          <w:sz w:val="24"/>
        </w:rPr>
        <w:footnoteReference w:id="206"/>
      </w:r>
      <w:r>
        <w:rPr>
          <w:rFonts w:ascii="Times New Roman" w:hAnsi="Times New Roman"/>
          <w:sz w:val="24"/>
        </w:rPr>
        <w:t xml:space="preserve"> jau tika uzsvērts, ka ir svarīgi nodrošināt biomasas izmantojumu pēc kaskādes principa. Ja to piemēro atbilstoši Direktīvai 2015/1513, turklāt ņemot vērā reģionālos un vietējos ekonomiskos un tehnoloģiskos apstākļus, nepieciešamību uzturēt oglekļa uzkrājumu augsnē, kā arī augsnes un ekosistēmu kvalitāti, tad kaskādes princips var veicināt resursu efektivitāti.</w:t>
      </w:r>
      <w:r w:rsidR="00DD0BE3">
        <w:rPr>
          <w:rStyle w:val="FootnoteReference"/>
          <w:rFonts w:ascii="Times New Roman" w:hAnsi="Times New Roman"/>
          <w:noProof/>
          <w:sz w:val="24"/>
        </w:rPr>
        <w:footnoteReference w:id="207"/>
      </w:r>
      <w:r>
        <w:rPr>
          <w:rFonts w:ascii="Times New Roman" w:hAnsi="Times New Roman"/>
          <w:sz w:val="24"/>
        </w:rPr>
        <w:t xml:space="preserve"> Aprites ekonomika veicina atjaunojamo resursu kaskādveida izmantošanu, nodrošinot, ja nepieciešams, vairākus atkārtotas izmantošanas vai otrreizējas pārstrādes ciklus. Vispārīgi, atbilstoši pārvaldot biomasu, jānodrošina tās izmantošana tā, lai veicinātu rūpniecisko simbiozi. Lai gan pastāv veidi pārveidei uz produktiem ar pievienoto vērtību, jo īpaši izmantojot viendabīgus blakusproduktus, kā arī lauksaimniecības, mežsaimniecības, jūras un lauksaimniecības pārtikas rūpniecības nozaru radītos atkritumus, tomēr, lai nodrošinātu to rentabilitāti, ir jāveic tehnoloģiski ekonomiskā analīze un jāmazina kompromisi, piemēram, līdz minimumam jāsamazina ietekme uz vidi un ārējā ietekme, ko rada loģistika.</w:t>
      </w:r>
      <w:r w:rsidR="00DD0BE3">
        <w:rPr>
          <w:rStyle w:val="FootnoteReference"/>
          <w:rFonts w:ascii="Times New Roman" w:hAnsi="Times New Roman"/>
          <w:noProof/>
          <w:sz w:val="24"/>
        </w:rPr>
        <w:footnoteReference w:id="208"/>
      </w:r>
    </w:p>
    <w:p w14:paraId="109147FC" w14:textId="77777777" w:rsidR="0083515C" w:rsidRPr="00DF28F7" w:rsidRDefault="0083515C" w:rsidP="001F2648">
      <w:pPr>
        <w:jc w:val="both"/>
        <w:rPr>
          <w:rFonts w:ascii="Times New Roman" w:eastAsia="Verdana" w:hAnsi="Times New Roman" w:cs="Verdana"/>
          <w:noProof/>
          <w:sz w:val="24"/>
        </w:rPr>
      </w:pPr>
    </w:p>
    <w:p w14:paraId="3083385C" w14:textId="77777777" w:rsidR="0083515C" w:rsidRPr="00DF28F7" w:rsidRDefault="0083515C" w:rsidP="001F2648">
      <w:pPr>
        <w:jc w:val="both"/>
        <w:rPr>
          <w:rFonts w:ascii="Times New Roman" w:eastAsia="Verdana" w:hAnsi="Times New Roman" w:cs="Verdana"/>
          <w:noProof/>
          <w:sz w:val="24"/>
        </w:rPr>
      </w:pPr>
    </w:p>
    <w:p w14:paraId="3515E289" w14:textId="77777777" w:rsidR="0083515C" w:rsidRPr="00DD0BE3" w:rsidRDefault="0083515C" w:rsidP="000A3BB7">
      <w:pPr>
        <w:pStyle w:val="Heading2"/>
        <w:tabs>
          <w:tab w:val="left" w:pos="669"/>
        </w:tabs>
        <w:ind w:left="0" w:firstLine="0"/>
        <w:jc w:val="both"/>
        <w:rPr>
          <w:rFonts w:cs="Times New Roman"/>
          <w:b/>
          <w:bCs/>
          <w:noProof/>
          <w:sz w:val="24"/>
          <w:szCs w:val="16"/>
        </w:rPr>
      </w:pPr>
      <w:bookmarkStart w:id="22" w:name="_Toc63672640"/>
      <w:r>
        <w:rPr>
          <w:b/>
          <w:sz w:val="24"/>
        </w:rPr>
        <w:lastRenderedPageBreak/>
        <w:t>3. RĪCĪBAS PLĀNS. CEĻĀ UZ ILGTSPĒJĪGU APRITES BIOEKONOMIKU</w:t>
      </w:r>
      <w:bookmarkEnd w:id="22"/>
    </w:p>
    <w:p w14:paraId="23A075B1" w14:textId="77777777" w:rsidR="0083515C" w:rsidRPr="00DF28F7" w:rsidRDefault="0083515C" w:rsidP="001F2648">
      <w:pPr>
        <w:jc w:val="both"/>
        <w:rPr>
          <w:rFonts w:ascii="Times New Roman" w:eastAsia="Times New Roman" w:hAnsi="Times New Roman" w:cs="Times New Roman"/>
          <w:noProof/>
          <w:sz w:val="24"/>
          <w:szCs w:val="15"/>
        </w:rPr>
      </w:pPr>
    </w:p>
    <w:p w14:paraId="5DCFCB8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Eiropas Komisija 2018. gada februārī/martā publicēja ceļvedi paziņojumam, ar ko pārskata 2012. gada Eiropas Bioekonomikas stratēģiju.</w:t>
      </w:r>
      <w:r w:rsidR="00DD0BE3">
        <w:rPr>
          <w:rStyle w:val="FootnoteReference"/>
          <w:rFonts w:ascii="Times New Roman" w:hAnsi="Times New Roman"/>
          <w:noProof/>
          <w:sz w:val="24"/>
        </w:rPr>
        <w:footnoteReference w:id="209"/>
      </w:r>
      <w:r>
        <w:rPr>
          <w:rFonts w:ascii="Times New Roman" w:hAnsi="Times New Roman"/>
          <w:sz w:val="24"/>
        </w:rPr>
        <w:t xml:space="preserve"> Ceļveža sabiedriskajā apspriešanā svarīgs mērķis bija saņemt atsauksmes par pārskata tvērumu un ierosinātajiem darbību orientējošajiem virzieniem. Tika saņemtas 92 publiskas atbildes gan no valsts, gan privātā sektora, gan asociācijām un privātpersonām. Kopumā atbildes liecināja, ka ieinteresētās puses un pilsoniskā sabiedrība atzinīgi vērtētu Eiropas Bioekonomikas stratēģijas pārskatīšanu.</w:t>
      </w:r>
    </w:p>
    <w:p w14:paraId="07C11900" w14:textId="77777777" w:rsidR="0083515C" w:rsidRPr="00DF28F7" w:rsidRDefault="0083515C" w:rsidP="001F2648">
      <w:pPr>
        <w:jc w:val="both"/>
        <w:rPr>
          <w:rFonts w:ascii="Times New Roman" w:hAnsi="Times New Roman"/>
          <w:noProof/>
          <w:sz w:val="24"/>
        </w:rPr>
      </w:pPr>
    </w:p>
    <w:p w14:paraId="15E8C5A2" w14:textId="77777777" w:rsidR="0083515C" w:rsidRPr="00DD0BE3" w:rsidRDefault="0083515C" w:rsidP="001F2648">
      <w:pPr>
        <w:pStyle w:val="BodyText"/>
        <w:ind w:left="0"/>
        <w:jc w:val="both"/>
        <w:rPr>
          <w:rFonts w:ascii="Times New Roman" w:eastAsia="Times New Roman" w:hAnsi="Times New Roman" w:cs="Times New Roman"/>
          <w:noProof/>
          <w:sz w:val="24"/>
        </w:rPr>
      </w:pPr>
      <w:r>
        <w:rPr>
          <w:rFonts w:ascii="Times New Roman" w:hAnsi="Times New Roman"/>
          <w:sz w:val="24"/>
        </w:rPr>
        <w:t>Daudzi respondenti norādīja, ka Eiropas Bioekonomikas stratēģijā un rīcības plānā vēl vairāk jāatbalsta stratēģiskie pētījumi un inovācija. Īpaši inovācijai ir izšķiroša nozīme, lai rastu risinājumus šā laika problēmām. Tā īsteno pilsoņu prioritātes, kā paredz Ilgtspējīgas attīstības mērķi un Parīzes nolīgums par cīņu pret klimata pārmaiņām</w:t>
      </w:r>
      <w:r w:rsidR="00DD0BE3">
        <w:rPr>
          <w:rStyle w:val="FootnoteReference"/>
          <w:rFonts w:ascii="Times New Roman" w:hAnsi="Times New Roman"/>
          <w:noProof/>
          <w:sz w:val="24"/>
        </w:rPr>
        <w:footnoteReference w:id="210"/>
      </w:r>
      <w:r>
        <w:rPr>
          <w:rFonts w:ascii="Times New Roman" w:hAnsi="Times New Roman"/>
          <w:sz w:val="24"/>
        </w:rPr>
        <w:t>, attiecībā uz izaugsmi un nodarbinātību un risina pasaules mēroga problēmas, ar kurām saskaramies šodien un saskarsimies rīt. Turklāt pētniecība un inovācijas nosaka mūsu ekonomikas ražīgumu un konkurētspēju – pēdējās desmitgadēs inovācijas sekmēja aptuveni divas trešdaļas Eiropas ekonomikas izaugsmes.</w:t>
      </w:r>
      <w:r w:rsidR="00DD0BE3">
        <w:rPr>
          <w:rStyle w:val="FootnoteReference"/>
          <w:rFonts w:ascii="Times New Roman" w:hAnsi="Times New Roman"/>
          <w:noProof/>
          <w:sz w:val="24"/>
        </w:rPr>
        <w:footnoteReference w:id="211"/>
      </w:r>
      <w:r>
        <w:rPr>
          <w:rFonts w:ascii="Times New Roman" w:hAnsi="Times New Roman"/>
          <w:sz w:val="24"/>
        </w:rPr>
        <w:t xml:space="preserve"> Stratēģijas 2017. gada pārskatā tika secināts, ka “</w:t>
      </w:r>
      <w:r>
        <w:rPr>
          <w:rFonts w:ascii="Times New Roman" w:hAnsi="Times New Roman"/>
          <w:i/>
          <w:iCs/>
          <w:sz w:val="24"/>
        </w:rPr>
        <w:t>2012. gada rīcības plāna tiešais rezultāts ir vairāk nekā divas reizes lielāks ES finansējums bioekonomikai saskaņā ar programmu “Apvārsnis 2020” (..) salīdzinājumā ar 7. pamatprogrammu (..).</w:t>
      </w:r>
      <w:r>
        <w:rPr>
          <w:rFonts w:ascii="Times New Roman" w:hAnsi="Times New Roman"/>
          <w:i/>
          <w:sz w:val="24"/>
        </w:rPr>
        <w:t xml:space="preserve"> </w:t>
      </w:r>
      <w:r>
        <w:rPr>
          <w:rFonts w:ascii="Times New Roman" w:hAnsi="Times New Roman"/>
          <w:i/>
          <w:iCs/>
          <w:sz w:val="24"/>
        </w:rPr>
        <w:t>Šis finansējums varētu pārsniegt 7 miljardus EUR, ja ņemtu vērā arī citas pamatprogrammas “Apvārsnis 2020” darbības, kas nav apzīmētas kā “bioekonomika” per se un kas netieši atbalsta bioekonomikas attīstību</w:t>
      </w:r>
      <w:r>
        <w:rPr>
          <w:rFonts w:ascii="Times New Roman" w:hAnsi="Times New Roman"/>
          <w:sz w:val="24"/>
        </w:rPr>
        <w:t>.” Lai gan, ņemot vērā pētniecības un inovācijas ilgtermiņa būtību, pašlaik var veikt tikai iepriekšēju novērtēšanu par finansējuma ietekmi, 2017. gada pārskatā teikts, ka “</w:t>
      </w:r>
      <w:r>
        <w:rPr>
          <w:rFonts w:ascii="Times New Roman" w:hAnsi="Times New Roman"/>
          <w:i/>
          <w:iCs/>
          <w:sz w:val="24"/>
        </w:rPr>
        <w:t>jau šobrīd ir agrīna norāde, ka saskaņā ar ES pamatprogrammām finansētie projekti rada atbilstošus izcilus un daudznozaru pētījumus (..).</w:t>
      </w:r>
      <w:r>
        <w:rPr>
          <w:rFonts w:ascii="Times New Roman" w:hAnsi="Times New Roman"/>
          <w:i/>
          <w:sz w:val="24"/>
        </w:rPr>
        <w:t xml:space="preserve"> </w:t>
      </w:r>
      <w:r>
        <w:rPr>
          <w:rFonts w:ascii="Times New Roman" w:hAnsi="Times New Roman"/>
          <w:i/>
          <w:iCs/>
          <w:sz w:val="24"/>
        </w:rPr>
        <w:t>Tāpat projektos gūtie pierādījumi liecina, ka tiek izstrādātas noderīgas inovācijas, kuru mērķis ir, piemēram, samazināt pārtikas pārstrādes ietekmi uz vidi, radīt pārtikas kultūras, kas ir resursefektīvas un satur daudz olbaltumvielu, veidot zemes un ūdens biomasu uz bioresursiem balstītam izmantojumam, uzlabot zemūdens novērošanu, lai uzraudzītu jūras vidi, zivju krājumus un piesārņojumu.</w:t>
      </w:r>
      <w:r>
        <w:rPr>
          <w:rFonts w:ascii="Times New Roman" w:hAnsi="Times New Roman"/>
          <w:sz w:val="24"/>
        </w:rPr>
        <w:t>”</w:t>
      </w:r>
    </w:p>
    <w:p w14:paraId="1DF286E9" w14:textId="77777777" w:rsidR="0083515C" w:rsidRPr="00DF28F7" w:rsidRDefault="0083515C" w:rsidP="001F2648">
      <w:pPr>
        <w:jc w:val="both"/>
        <w:rPr>
          <w:rFonts w:ascii="Times New Roman" w:eastAsia="Verdana" w:hAnsi="Times New Roman" w:cs="Verdana"/>
          <w:noProof/>
          <w:sz w:val="24"/>
          <w:szCs w:val="19"/>
        </w:rPr>
      </w:pPr>
    </w:p>
    <w:p w14:paraId="7C2E4ED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Tas, ka Eiropa ir divkāršojusi pētniecības un inovāciju investīcijas bioekonomikā (no 1,9 miljardiem EUR 7. pamatprogrammā</w:t>
      </w:r>
      <w:r w:rsidR="00DD0BE3">
        <w:rPr>
          <w:rStyle w:val="FootnoteReference"/>
          <w:rFonts w:ascii="Times New Roman" w:hAnsi="Times New Roman"/>
          <w:noProof/>
          <w:sz w:val="24"/>
        </w:rPr>
        <w:footnoteReference w:id="212"/>
      </w:r>
      <w:r>
        <w:rPr>
          <w:rFonts w:ascii="Times New Roman" w:hAnsi="Times New Roman"/>
          <w:sz w:val="24"/>
        </w:rPr>
        <w:t xml:space="preserve"> 2007.–2013. gadam līdz 3,85 miljardiem EUR pamatprogrammā “Apvārsnis 2020”</w:t>
      </w:r>
      <w:r w:rsidR="00DD0BE3">
        <w:rPr>
          <w:rStyle w:val="FootnoteReference"/>
          <w:rFonts w:ascii="Times New Roman" w:hAnsi="Times New Roman"/>
          <w:noProof/>
          <w:sz w:val="24"/>
        </w:rPr>
        <w:footnoteReference w:id="213"/>
      </w:r>
      <w:r>
        <w:rPr>
          <w:rFonts w:ascii="Times New Roman" w:hAnsi="Times New Roman"/>
          <w:sz w:val="24"/>
        </w:rPr>
        <w:t xml:space="preserve"> 2014.–2020. gadam), ir pavēris tai jaunas iespējas un devis jaunus risinājumus ilgtspējības nodrošināšanai. Tomēr ir nepieciešama turpmāka ES un dalībvalstu investīciju mobilizēšana pētniecībā un inovācijā, lai risinātu turpmākās ar ilgtspējīgu bioekonomiku saistītās problēmas un lai tās varētu gūt labumu no lielākas sinerģijas, partnerības un sviras efekta. Pamatprogrammā “Apvārsnis 2020” rit pēdējie izšķirošie gadi, kad tiks izmantoti gūtie rezultāti un pēc iespējas palielināta to ietekme uz Eiropas sabiedrību un ekonomiku. Turklāt nākamajam 2021.–2027. gada periodam ES </w:t>
      </w:r>
      <w:r>
        <w:rPr>
          <w:rFonts w:ascii="Times New Roman" w:hAnsi="Times New Roman"/>
          <w:sz w:val="24"/>
        </w:rPr>
        <w:lastRenderedPageBreak/>
        <w:t>budžetā ir paredzēti 10 miljardi EUR pētniecībai un inovācijai pārtikas, lauksaimniecības, lauku attīstības un bioekonomikas jomās</w:t>
      </w:r>
      <w:r w:rsidR="00DD0BE3">
        <w:rPr>
          <w:rStyle w:val="FootnoteReference"/>
          <w:rFonts w:ascii="Times New Roman" w:hAnsi="Times New Roman"/>
          <w:noProof/>
          <w:sz w:val="24"/>
        </w:rPr>
        <w:footnoteReference w:id="214"/>
      </w:r>
      <w:r>
        <w:rPr>
          <w:rFonts w:ascii="Times New Roman" w:hAnsi="Times New Roman"/>
          <w:sz w:val="24"/>
        </w:rPr>
        <w:t xml:space="preserve"> salīdzinājumā ar pašreizējiem 3,85 miljardiem EUR, kas atvēlēti programmas “Apvārsnis 2020” sabiedrības problēmu 2. programmai (pārtika, ilgtspējīga lauksaimniecība un mežsaimniecība, jūra, jūras un iekšējo ūdeņu izpēte un bioekonomika). Šim iepriekš nepieredzētajam saistību līmenim ir nepieciešams līdzvērtīgs atbildības līmenis, lai nodrošinātu, ka šīs investīcijas garantē ilgtspējīgu bioekonomiku visā ES. Šīs ES investīcijas cieši saskaņos un ideālā gadījumā papildinās ar Eiropas Reģionālās attīstības fondu un līdzīgiem pasākumiem valsts un reģionālā līmenī, kā arī ar valsts un privāto sektoru. Svarīgi, ka rīcības plāns veicinās ieinteresēto pušu iesaistīšanu visā vērtības ķēdē pētniecībā un inovācijās, lai nodrošinātu, ka pētniecība un inovācijas tiek veidotas kopā ar tiem, kuri nākotnē izmantos tajās gūtos rezultātus.</w:t>
      </w:r>
    </w:p>
    <w:p w14:paraId="17928E48" w14:textId="77777777" w:rsidR="0083515C" w:rsidRPr="00DF28F7" w:rsidRDefault="0083515C" w:rsidP="001F2648">
      <w:pPr>
        <w:jc w:val="both"/>
        <w:rPr>
          <w:rFonts w:ascii="Times New Roman" w:hAnsi="Times New Roman"/>
          <w:noProof/>
          <w:sz w:val="24"/>
        </w:rPr>
      </w:pPr>
    </w:p>
    <w:p w14:paraId="6C69186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Daudzas ieinteresētās puses norādīja, ka Eiropas Bioekonomikas stratēģijai un rīcības plānam jāturpina atbalstīt kvalificēta darbaspēka apmācība visās bioekonomikas jomās. Investīciju mobilizēšana tika uzskatīta par būtisku soli. Daudzi respondenti aicināja iegūt labākus datus un vairāk zināšanu par bioekonomikas vides, sociālo un ekonomisko ietekmi, kas būtu pamats iespējamo kompromisu vērtēšanai. Ņemot vērā reģionālo bioekonomikas stratēģiju izstrādi, tika akcentēts starpreģionālās sadarbības potenciāls. Lielā mērā tika uzsvērta nepieciešamība nodrošināt Eiropas Bioekonomikas stratēģijas saskaņotību ar citām ES politikas jomām, jo īpaši aprites ekonomikas, lauksaimniecības, mežsaimniecības, enerģētikas un klimata jomu.</w:t>
      </w:r>
    </w:p>
    <w:p w14:paraId="16DAF740" w14:textId="77777777" w:rsidR="0083515C" w:rsidRPr="00DF28F7" w:rsidRDefault="0083515C" w:rsidP="001F2648">
      <w:pPr>
        <w:jc w:val="both"/>
        <w:rPr>
          <w:rFonts w:ascii="Times New Roman" w:eastAsia="Verdana" w:hAnsi="Times New Roman" w:cs="Verdana"/>
          <w:noProof/>
          <w:sz w:val="24"/>
          <w:szCs w:val="19"/>
        </w:rPr>
      </w:pPr>
    </w:p>
    <w:p w14:paraId="694C0A3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Tika gūta vienprātība par to, ka bioekonomikas tālākās attīstības nolūkos ir ļoti svarīgi vairot sabiedrības informētību un plašāk iesaistīt ieinteresētās puses. Bija skaidrs arī tas, ka ir nepieciešama telpa regulārai un stratēģiskai starptautiskai sadarbībai vairāku partneru līmenī, galveno uzmanību pievēršot politikas saskaņotības veidošanai un sinerģijas izmantošanai starp valstīm un reģioniem, ņemot vērā esošos mehānismus. Tādēļ Eiropas Komisija 2017. gadā izveidoja Starptautisko bioekonomikas forumu. Paredzams, ka Starptautiskajā bioekonomikas forumā, īstenojot starptautisku sadarbību, tiks veidots globāls politiskais dialogs par atsevišķi izvēlētiem bioekonomikas aspektiem, lai pasaules bioekonomikā saskaņoti, kopīgi un efektīvi īstenotu ilgtspējīgas attīstības mērķus, saskaņotu pētniecības finansēšanas programmas un palielinātu sadarbību pētniecības un inovācijas jomā, kā arī vairotu starptautisko izpratni par bioekonomikas centrālo lomu.</w:t>
      </w:r>
    </w:p>
    <w:p w14:paraId="2530FA7C" w14:textId="77777777" w:rsidR="0083515C" w:rsidRPr="00DF28F7" w:rsidRDefault="0083515C" w:rsidP="001F2648">
      <w:pPr>
        <w:jc w:val="both"/>
        <w:rPr>
          <w:rFonts w:ascii="Times New Roman" w:eastAsia="Verdana" w:hAnsi="Times New Roman" w:cs="Verdana"/>
          <w:noProof/>
          <w:sz w:val="24"/>
          <w:szCs w:val="20"/>
        </w:rPr>
      </w:pPr>
    </w:p>
    <w:p w14:paraId="63062F5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Stratēģijas 2017. gada pārskatā tika uzsvērta arī aprites ekonomikas un bioekonomikas savstarpējā papildināmība. Tomēr tajā arī norādīja, ka saikne, sinerģija un saskaņotība to starpā nav pilnībā izveidota (sk. 2.1. punktu). Šīs 2012. gada bioekonomikas stratēģijas atjaunināšanas mērķis ir risināt minētās problēmas, īstenojot 14 konkrētas darbības, kas sāksies ne vēlāk kā 2019. gadā.</w:t>
      </w:r>
      <w:r w:rsidR="00DD0BE3">
        <w:rPr>
          <w:rStyle w:val="FootnoteReference"/>
          <w:rFonts w:ascii="Times New Roman" w:hAnsi="Times New Roman"/>
          <w:noProof/>
          <w:sz w:val="24"/>
        </w:rPr>
        <w:footnoteReference w:id="215"/>
      </w:r>
      <w:r>
        <w:rPr>
          <w:rFonts w:ascii="Times New Roman" w:hAnsi="Times New Roman"/>
          <w:sz w:val="24"/>
        </w:rPr>
        <w:t xml:space="preserve"> Šīs darbības atspoguļo 2017. gada pārskata secinājumus.</w:t>
      </w:r>
    </w:p>
    <w:p w14:paraId="7F537465" w14:textId="77777777" w:rsidR="0083515C" w:rsidRPr="00DF28F7" w:rsidRDefault="0083515C" w:rsidP="001F2648">
      <w:pPr>
        <w:jc w:val="both"/>
        <w:rPr>
          <w:rFonts w:ascii="Times New Roman" w:eastAsia="Verdana" w:hAnsi="Times New Roman" w:cs="Verdana"/>
          <w:noProof/>
          <w:sz w:val="24"/>
        </w:rPr>
      </w:pPr>
    </w:p>
    <w:p w14:paraId="3FA54BB1" w14:textId="77777777" w:rsidR="0083515C" w:rsidRPr="00DF28F7" w:rsidRDefault="0083515C" w:rsidP="001F2648">
      <w:pPr>
        <w:jc w:val="both"/>
        <w:rPr>
          <w:rFonts w:ascii="Times New Roman" w:eastAsia="Verdana" w:hAnsi="Times New Roman" w:cs="Verdana"/>
          <w:noProof/>
          <w:sz w:val="24"/>
        </w:rPr>
      </w:pPr>
    </w:p>
    <w:p w14:paraId="435588A9" w14:textId="77777777" w:rsidR="0083515C" w:rsidRPr="00166CA6" w:rsidRDefault="00166CA6" w:rsidP="00166CA6">
      <w:pPr>
        <w:pStyle w:val="Heading2"/>
        <w:tabs>
          <w:tab w:val="left" w:pos="692"/>
        </w:tabs>
        <w:ind w:left="0" w:firstLine="0"/>
        <w:jc w:val="both"/>
        <w:rPr>
          <w:i/>
          <w:iCs/>
          <w:noProof/>
          <w:sz w:val="24"/>
        </w:rPr>
      </w:pPr>
      <w:bookmarkStart w:id="23" w:name="_Toc63672641"/>
      <w:r>
        <w:rPr>
          <w:i/>
          <w:sz w:val="24"/>
        </w:rPr>
        <w:t>3.1. Uz bioresursiem balstīto nozaru stiprināšana, investīciju un tirgu atraisīšana</w:t>
      </w:r>
      <w:bookmarkEnd w:id="23"/>
    </w:p>
    <w:p w14:paraId="4368A08C" w14:textId="77777777" w:rsidR="0083515C" w:rsidRPr="00DF28F7" w:rsidRDefault="0083515C" w:rsidP="001F2648">
      <w:pPr>
        <w:jc w:val="both"/>
        <w:rPr>
          <w:rFonts w:ascii="Times New Roman" w:eastAsia="Times New Roman" w:hAnsi="Times New Roman" w:cs="Times New Roman"/>
          <w:noProof/>
          <w:sz w:val="24"/>
          <w:szCs w:val="16"/>
        </w:rPr>
      </w:pPr>
    </w:p>
    <w:p w14:paraId="1FE3FCF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Stratēģijas 2017. gada pārskatā tika secināts, ka “</w:t>
      </w:r>
      <w:r>
        <w:rPr>
          <w:rFonts w:ascii="Times New Roman" w:hAnsi="Times New Roman"/>
          <w:i/>
          <w:iCs/>
          <w:sz w:val="24"/>
        </w:rPr>
        <w:t>(..) joprojām ir nepieciešama turpmāka investīciju mobilizēšana, tāpēc ir vajadzīga stabila normatīvā vide</w:t>
      </w:r>
      <w:r>
        <w:rPr>
          <w:rFonts w:ascii="Times New Roman" w:hAnsi="Times New Roman"/>
          <w:sz w:val="24"/>
        </w:rPr>
        <w:t>”, un ka “</w:t>
      </w:r>
      <w:r>
        <w:rPr>
          <w:rFonts w:ascii="Times New Roman" w:hAnsi="Times New Roman"/>
          <w:i/>
          <w:iCs/>
          <w:sz w:val="24"/>
        </w:rPr>
        <w:t>(..) pašreizējie ES instrumenti neatbalsta augsta riska investīciju finansēšanu</w:t>
      </w:r>
      <w:r>
        <w:rPr>
          <w:rFonts w:ascii="Times New Roman" w:hAnsi="Times New Roman"/>
          <w:sz w:val="24"/>
        </w:rPr>
        <w:t>”.</w:t>
      </w:r>
    </w:p>
    <w:p w14:paraId="086B7A7A" w14:textId="77777777" w:rsidR="0083515C" w:rsidRPr="00DF28F7" w:rsidRDefault="0083515C" w:rsidP="001F2648">
      <w:pPr>
        <w:jc w:val="both"/>
        <w:rPr>
          <w:rFonts w:ascii="Times New Roman" w:eastAsia="Verdana" w:hAnsi="Times New Roman" w:cs="Verdana"/>
          <w:noProof/>
          <w:sz w:val="24"/>
          <w:szCs w:val="19"/>
        </w:rPr>
      </w:pPr>
    </w:p>
    <w:p w14:paraId="1E465464"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lastRenderedPageBreak/>
        <w:t>ES ilgtspējīgas bioekonomikas finansējuma vajadzību apmierināšana lielā mērā ir atkarīga no privātām investīcijām, kas ir jāmobilizē.</w:t>
      </w:r>
      <w:r w:rsidR="00CF68EB">
        <w:rPr>
          <w:rStyle w:val="FootnoteReference"/>
          <w:rFonts w:ascii="Times New Roman" w:hAnsi="Times New Roman"/>
          <w:noProof/>
          <w:sz w:val="24"/>
        </w:rPr>
        <w:footnoteReference w:id="216"/>
      </w:r>
      <w:r>
        <w:rPr>
          <w:rFonts w:ascii="Times New Roman" w:hAnsi="Times New Roman"/>
          <w:sz w:val="24"/>
        </w:rPr>
        <w:t xml:space="preserve"> Uzskatāmam piemēram – saskaņā ar dažām aplēsēm Eiropā līdz 2030. gadam būs jāizvieto aptuveni 300 biorafinēšanas iekārtas, lai apmierinātu pieaugošo ES tirgus pieprasījumu šajā nozarē.</w:t>
      </w:r>
      <w:r w:rsidR="00CF68EB">
        <w:rPr>
          <w:rStyle w:val="FootnoteReference"/>
          <w:rFonts w:ascii="Times New Roman" w:hAnsi="Times New Roman"/>
          <w:noProof/>
          <w:sz w:val="24"/>
        </w:rPr>
        <w:footnoteReference w:id="217"/>
      </w:r>
    </w:p>
    <w:p w14:paraId="0B205167" w14:textId="77777777" w:rsidR="00CF10CD" w:rsidRPr="00DF28F7" w:rsidRDefault="00CF10CD" w:rsidP="001F2648">
      <w:pPr>
        <w:jc w:val="both"/>
        <w:rPr>
          <w:rFonts w:ascii="Times New Roman" w:eastAsia="Verdana" w:hAnsi="Times New Roman" w:cs="Verdana"/>
          <w:noProof/>
          <w:sz w:val="24"/>
          <w:szCs w:val="13"/>
        </w:rPr>
      </w:pPr>
    </w:p>
    <w:p w14:paraId="71DFA46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Pašlaik notiek darbs pie esošo biorafinēšanas iekārtu skaita un atrašanās vietu noteikšanas ES. Sākotnējā pētījumā tika identificētas 224 biorafinēšanas iekārtas, kuras ES darbojās 2017. gada beigās, kā arī tika sniegtas ziņas par vēl vairākiem desmitiem biorafinēšanas iekārtu, kuras tiek būvētas.</w:t>
      </w:r>
      <w:r w:rsidR="00CF68EB">
        <w:rPr>
          <w:rStyle w:val="FootnoteReference"/>
          <w:rFonts w:ascii="Times New Roman" w:hAnsi="Times New Roman"/>
          <w:noProof/>
          <w:sz w:val="24"/>
        </w:rPr>
        <w:footnoteReference w:id="218"/>
      </w:r>
      <w:r>
        <w:rPr>
          <w:rFonts w:ascii="Times New Roman" w:hAnsi="Times New Roman"/>
          <w:sz w:val="24"/>
        </w:rPr>
        <w:t xml:space="preserve"> Izejvielas un galvenais galaprodukts atšķiras atkarībā no atrašanās vietas un tirgus prioritātēm. Savukārt Kopīgais pētniecības centrs (8. attēls) kartēja vairāk nekā 800 iekārtu, kurās ražo bioproduktus, un no tām vairāk nekā 500 ir paredzētas bioloģiskas izcelsmes ķīmisko vielu ražošanai. Nesakritība ir radusies tāpēc, ka attiecīgajos pētījumos pielieto atšķirīgas biorafinēšanas iekārtu definīcijas.</w:t>
      </w:r>
    </w:p>
    <w:p w14:paraId="2BB3B26E" w14:textId="77777777" w:rsidR="0083515C" w:rsidRPr="00DF28F7" w:rsidRDefault="0083515C" w:rsidP="001F2648">
      <w:pPr>
        <w:jc w:val="both"/>
        <w:rPr>
          <w:rFonts w:ascii="Times New Roman" w:hAnsi="Times New Roman"/>
          <w:noProof/>
          <w:sz w:val="24"/>
        </w:rPr>
      </w:pPr>
    </w:p>
    <w:p w14:paraId="27D0EEB8" w14:textId="3573FE7D" w:rsidR="0083515C" w:rsidRPr="00DF28F7" w:rsidRDefault="00371E5F" w:rsidP="001F2648">
      <w:pPr>
        <w:jc w:val="both"/>
        <w:rPr>
          <w:rFonts w:ascii="Times New Roman" w:hAnsi="Times New Roman"/>
          <w:noProof/>
          <w:sz w:val="24"/>
        </w:rPr>
      </w:pPr>
      <w:r>
        <w:rPr>
          <w:rFonts w:ascii="Times New Roman" w:hAnsi="Times New Roman"/>
          <w:noProof/>
          <w:sz w:val="24"/>
        </w:rPr>
        <w:lastRenderedPageBreak/>
        <w:drawing>
          <wp:inline distT="0" distB="0" distL="0" distR="0" wp14:anchorId="4F148370" wp14:editId="166ED87D">
            <wp:extent cx="5760720" cy="70364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7036435"/>
                    </a:xfrm>
                    <a:prstGeom prst="rect">
                      <a:avLst/>
                    </a:prstGeom>
                    <a:noFill/>
                    <a:ln>
                      <a:noFill/>
                    </a:ln>
                  </pic:spPr>
                </pic:pic>
              </a:graphicData>
            </a:graphic>
          </wp:inline>
        </w:drawing>
      </w:r>
    </w:p>
    <w:p w14:paraId="156985CD" w14:textId="77777777" w:rsidR="0083515C" w:rsidRPr="00DF28F7" w:rsidRDefault="0083515C" w:rsidP="001F2648">
      <w:pPr>
        <w:jc w:val="both"/>
        <w:rPr>
          <w:rFonts w:ascii="Times New Roman" w:hAnsi="Times New Roman"/>
          <w:noProof/>
          <w:sz w:val="24"/>
        </w:rPr>
      </w:pPr>
    </w:p>
    <w:p w14:paraId="0C3EBB27" w14:textId="77777777" w:rsidR="0083515C" w:rsidRPr="00371E5F" w:rsidRDefault="0083515C" w:rsidP="001F2648">
      <w:pPr>
        <w:jc w:val="both"/>
        <w:rPr>
          <w:rFonts w:ascii="Times New Roman" w:hAnsi="Times New Roman"/>
          <w:noProof/>
          <w:sz w:val="20"/>
          <w:szCs w:val="20"/>
        </w:rPr>
      </w:pPr>
      <w:r w:rsidRPr="00371E5F">
        <w:rPr>
          <w:rFonts w:ascii="Times New Roman" w:hAnsi="Times New Roman"/>
          <w:sz w:val="20"/>
          <w:szCs w:val="20"/>
        </w:rPr>
        <w:t>8. attēls. Biorafinēšanas iekārtu izplatība Eiropas Savienībā 2018. gada martā. Violetie punkti norāda visas biorafinēšanas iekārtas (kopā 803), zilie punkti norāda 507 biorafinēšanas iekārtas, kurās ražo uz bioresursiem balstītas ķīmiskās vielas, dzeltenie punkti norāda 363 biorafinēšanas iekārtas, kurās ražo šķidro biodegvielu, savukārt zaļie punkti norāda 141 biorafinēšanas iekārtu, kur ražo uz bioresursiem balstītus kompozītus un šķiedras. Jāatzīmē, ka dažās biorafinēšanas iekārtās ražo vairākas produktu kategorijas, tāpēc tās atzīmētas vairākās kartēs. Pēdējos trīs attēlos redzamie gaišākas krāsas punkti norāda iekārtas, kuras šobrīd netiek aktīvi izmantotas (lai gan šāds statuss var nebūt pastāvīgs). Lielākā daļa biorafinēšanas iekārtu atbilst ķīmiskās rūpniecības klasteru un ostu izvietojumam. Vislielākais iekārtu blīvums ir Beļģijā, Nīderlandē un dažos ļoti industrializētos Vācijas, Francijas un Itālijas reģionos. Avots: Parisi, C. 2018. gads. Izpētes ziņojums par biorafinēšanas iekārtu sadali ES. Kopīgais pētniecības centrs.</w:t>
      </w:r>
    </w:p>
    <w:p w14:paraId="5D9E8B0D" w14:textId="77777777" w:rsidR="00CF10CD" w:rsidRDefault="00CF10CD" w:rsidP="001F2648">
      <w:pPr>
        <w:jc w:val="both"/>
        <w:rPr>
          <w:rFonts w:ascii="Times New Roman" w:eastAsia="Verdana" w:hAnsi="Times New Roman" w:cs="Verdana"/>
          <w:noProof/>
          <w:sz w:val="24"/>
          <w:szCs w:val="14"/>
        </w:rPr>
      </w:pPr>
    </w:p>
    <w:p w14:paraId="2649614B" w14:textId="77777777" w:rsidR="00166CA6" w:rsidRDefault="00166CA6" w:rsidP="001F2648">
      <w:pPr>
        <w:pStyle w:val="BodyText"/>
        <w:ind w:left="0"/>
        <w:jc w:val="both"/>
        <w:rPr>
          <w:rFonts w:ascii="Times New Roman" w:hAnsi="Times New Roman"/>
          <w:noProof/>
          <w:sz w:val="24"/>
        </w:rPr>
      </w:pPr>
    </w:p>
    <w:p w14:paraId="68263F7A"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 xml:space="preserve">Tomēr privātie ieguldītāji bieži vien nevēlas ieguldīt līdzekļus pētniecības un inovācijas projektos bioekonomikā, jo pastāv neskaidrības un riski saistībā ar regulējumu un politiku, tehnoloģiju un tirgus pieprasījumu, kā arī ar izejvielu piegādes jautājumiem. Piemēram, liels trūkums ir lielās kapitālieguldījumu izmaksas, kas nepieciešamas atsevišķiem bioekonomikas projektiem, piemēram, jaunām biorafinēšanas iekārtām. Lai risinātu šo jautājumu, Eiropas Komisija izveidos bioekonomikai paredzētu finanšu instrumentu – aprites bioekonomikas tematisko investīciju platformu, kas būs paredzēts sinerģijas un papildināmības veicināšanai starp dažādām ES finansējuma shēmām, kuras ir pieejamas inovāciju atbalstam bioekonomikā, piemēram, kopējā lauksaimniecības politika (pēc reformas), </w:t>
      </w:r>
      <w:r>
        <w:rPr>
          <w:rFonts w:ascii="Times New Roman" w:hAnsi="Times New Roman"/>
          <w:i/>
          <w:iCs/>
          <w:sz w:val="24"/>
        </w:rPr>
        <w:t>InvestEU</w:t>
      </w:r>
      <w:r>
        <w:rPr>
          <w:rFonts w:ascii="Times New Roman" w:hAnsi="Times New Roman"/>
          <w:sz w:val="24"/>
        </w:rPr>
        <w:t xml:space="preserve"> programma, nākamā Eiropas Inovāciju padome un ETS Inovācijas fonds.</w:t>
      </w:r>
      <w:r w:rsidR="009F370B">
        <w:rPr>
          <w:rStyle w:val="FootnoteReference"/>
          <w:rFonts w:ascii="Times New Roman" w:hAnsi="Times New Roman"/>
          <w:noProof/>
          <w:sz w:val="24"/>
        </w:rPr>
        <w:footnoteReference w:id="219"/>
      </w:r>
    </w:p>
    <w:p w14:paraId="1E5E253B" w14:textId="77777777" w:rsidR="0083515C" w:rsidRPr="00DF28F7" w:rsidRDefault="0083515C" w:rsidP="001F2648">
      <w:pPr>
        <w:jc w:val="both"/>
        <w:rPr>
          <w:rFonts w:ascii="Times New Roman" w:eastAsia="Verdana" w:hAnsi="Times New Roman" w:cs="Verdana"/>
          <w:noProof/>
          <w:sz w:val="24"/>
          <w:szCs w:val="19"/>
        </w:rPr>
      </w:pPr>
    </w:p>
    <w:p w14:paraId="1CC7103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Lielas, kompleksas biorafinēšanas iekārtas ir dzīvotspējīgas tikai noteiktos apstākļos un noteiktās vietās, turklāt tikai ierobežots dalībnieku skaits spēj tās popularizēt un ekspluatēt. Lai panāktu ilgtspējīgu uz bioresursiem balstītu vērtības ķēžu plašu izvēršanu, ir jāizstrādā paralēli uzņēmējdarbības modeļi, kurus var atveidot un pielāgot dažādām atrašanās vietām un kontekstiem, kuriem ir zemāks investīciju līmenis, mazāki riski un tehniskā sarežģītība un ar ko var papildināt jau ieviestās pārtikas un uz bioresursiem balstītās vērtības ķēdes, vai ir jāstimulē jauni alternatīvi risinājumi, izmantojot konkrētās atrašanās vietas priekšrocības (resursu pieejamība, sociālekonomiskie faktori utt.). Jāiesaista plašāks dalībnieku loks, tostarp lauksaimnieki un mežu īpašnieki (vieni paši vai apvienībās), mazie uzņēmumi utt. Vietējā/reģionālā līmenī šie modeļi veicinās arī aprites pieeju īstenošanu izmantojumu starpā un nozarēs. Šo mērķu sasniegšanai vispiemērotākie šķiet maza vai vidēja mēroga risinājumi. Ir jāizstrādā arī novatoriski organizatoriskie modeļi, lai veicinātu sadarbību primārajā sektorā un ārpus tā.</w:t>
      </w:r>
    </w:p>
    <w:p w14:paraId="1BC5E846" w14:textId="77777777" w:rsidR="0083515C" w:rsidRPr="00DF28F7" w:rsidRDefault="0083515C" w:rsidP="001F2648">
      <w:pPr>
        <w:jc w:val="both"/>
        <w:rPr>
          <w:rFonts w:ascii="Times New Roman" w:eastAsia="Verdana" w:hAnsi="Times New Roman" w:cs="Verdana"/>
          <w:noProof/>
          <w:sz w:val="24"/>
          <w:szCs w:val="20"/>
        </w:rPr>
      </w:pPr>
    </w:p>
    <w:p w14:paraId="126C743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ES uz bioresursiem balstītā nozare ir jānostiprina, lai varētu izmantot tās potenciālu siltumnīcefekta gāzu emisiju ietaupījumos, aprites ekonomikā, reindustrializācijā un decentralizētā ražošanā.</w:t>
      </w:r>
      <w:r w:rsidR="009F370B">
        <w:rPr>
          <w:rStyle w:val="FootnoteReference"/>
          <w:rFonts w:ascii="Times New Roman" w:hAnsi="Times New Roman"/>
          <w:noProof/>
          <w:sz w:val="24"/>
        </w:rPr>
        <w:footnoteReference w:id="220"/>
      </w:r>
      <w:r>
        <w:rPr>
          <w:rFonts w:ascii="Times New Roman" w:hAnsi="Times New Roman"/>
          <w:sz w:val="24"/>
        </w:rPr>
        <w:t xml:space="preserve"> Pēdējais minētais aspekts ir īpaši svarīgs, lai saglabātu Eiropas kokapstrādes, celulozes, papīra un kartona, kā arī uz bioresursiem balstītas ķīmiskās rūpniecības konkurētspēju starptautiskā līmenī</w:t>
      </w:r>
      <w:r w:rsidR="009F370B">
        <w:rPr>
          <w:rStyle w:val="FootnoteReference"/>
          <w:rFonts w:ascii="Times New Roman" w:hAnsi="Times New Roman"/>
          <w:noProof/>
          <w:sz w:val="24"/>
        </w:rPr>
        <w:footnoteReference w:id="221"/>
      </w:r>
      <w:r>
        <w:rPr>
          <w:rFonts w:ascii="Times New Roman" w:hAnsi="Times New Roman"/>
          <w:sz w:val="24"/>
        </w:rPr>
        <w:t>, modernizējot to uzņēmējdarbības modeļus un partnerus, tehnoloģisko bāzi, samazinot siltumnīcefekta gāzu emisijas un ražojot ilgtspējīgākus produktus, izpētot iespējas izmantot alternatīvas ilgtspējīgas izejvielas, rūpniecisko simbiozi un tīrās tehnoloģijas.</w:t>
      </w:r>
      <w:r w:rsidR="009F370B">
        <w:rPr>
          <w:rStyle w:val="FootnoteReference"/>
          <w:rFonts w:ascii="Times New Roman" w:hAnsi="Times New Roman"/>
          <w:noProof/>
          <w:sz w:val="24"/>
        </w:rPr>
        <w:footnoteReference w:id="222"/>
      </w:r>
      <w:r>
        <w:rPr>
          <w:rFonts w:ascii="Times New Roman" w:hAnsi="Times New Roman"/>
          <w:sz w:val="24"/>
        </w:rPr>
        <w:t xml:space="preserve"> Šajā ziņā ES reģioni ir galvenie dalībnieki, kas decentralizēti palīdz apvienot rūpniecisko modernizāciju un ilgtspējību, kā arī nodrošina darbavietas laukos. Tiem ir būtiska nozīme kokapstrādes, celulozes, papīra un kartona, kā arī ķīmisko vielu rūpniecības saglabāšanā Eiropā un to izaugsmes veicināšanā, jo tie var atbalstīt (reģionālu un vietēju) inovatīvu vērtības ķēžu izveidi un vislabāk izmantot vietējā mērogā pieejamās izejvielas (no lauksaimniecības, lauksaimniecības pārtikas, mežsaimniecības nozares, atlikumiem un sekundārajām plūsmām utt.), kas var veicināt uz bioresursiem balstītu ekonomiku. Turklāt reģionos var sekmīgi piesaistīt investīcijas ar vietējo demonstrējumu vai pamatprojektu palīdzību, izmantojot kohēzijas politikas fondus, tādējādi radot darbavietas, ekonomisko izaugsmi un jaunas iespējas primārajai nozarei.</w:t>
      </w:r>
    </w:p>
    <w:p w14:paraId="65B21619" w14:textId="77777777" w:rsidR="0083515C" w:rsidRPr="00DF28F7" w:rsidRDefault="0083515C" w:rsidP="001F2648">
      <w:pPr>
        <w:jc w:val="both"/>
        <w:rPr>
          <w:rFonts w:ascii="Times New Roman" w:eastAsia="Verdana" w:hAnsi="Times New Roman" w:cs="Verdana"/>
          <w:noProof/>
          <w:sz w:val="24"/>
          <w:szCs w:val="20"/>
        </w:rPr>
      </w:pPr>
    </w:p>
    <w:p w14:paraId="7C06B3EA"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Lai izmantotu esošās iespējas un paplašinātos, uz bioresursiem balstītajai nozarei ir jābūt vienlīdzīgiem konkurences apstākļiem tirgū un regulatīvajiem nosacījumiem attiecībā pret nozarēm, kurās izmanto fosilos energoresursus. Daži svarīgi ESAO paziņojumi par bioekonomikas politikas problēmām ir minēti turpmāk:</w:t>
      </w:r>
      <w:r w:rsidR="009F370B">
        <w:rPr>
          <w:rStyle w:val="FootnoteReference"/>
          <w:rFonts w:ascii="Times New Roman" w:hAnsi="Times New Roman"/>
          <w:noProof/>
          <w:sz w:val="24"/>
        </w:rPr>
        <w:footnoteReference w:id="223"/>
      </w:r>
    </w:p>
    <w:p w14:paraId="28311B5C" w14:textId="77777777" w:rsidR="0083515C" w:rsidRPr="00DF28F7" w:rsidRDefault="0083515C" w:rsidP="001F2648">
      <w:pPr>
        <w:jc w:val="both"/>
        <w:rPr>
          <w:rFonts w:ascii="Times New Roman" w:eastAsia="Verdana" w:hAnsi="Times New Roman" w:cs="Verdana"/>
          <w:noProof/>
          <w:sz w:val="24"/>
          <w:szCs w:val="19"/>
        </w:rPr>
      </w:pPr>
    </w:p>
    <w:p w14:paraId="7EF35BEE" w14:textId="77777777" w:rsidR="0083515C" w:rsidRPr="00DF28F7" w:rsidRDefault="009F370B" w:rsidP="009F370B">
      <w:pPr>
        <w:pStyle w:val="BodyText"/>
        <w:tabs>
          <w:tab w:val="left" w:pos="426"/>
        </w:tabs>
        <w:ind w:left="0"/>
        <w:jc w:val="both"/>
        <w:rPr>
          <w:rFonts w:ascii="Times New Roman" w:hAnsi="Times New Roman"/>
          <w:noProof/>
          <w:sz w:val="24"/>
        </w:rPr>
      </w:pPr>
      <w:r>
        <w:rPr>
          <w:rFonts w:ascii="Times New Roman" w:hAnsi="Times New Roman"/>
          <w:sz w:val="24"/>
        </w:rPr>
        <w:t>1) bioekonomikas politikai jābūt stabilai un vērstai ilgtermiņā, lai privātajam sektoram būtu pārliecība veikt investīcijas;</w:t>
      </w:r>
    </w:p>
    <w:p w14:paraId="591AAC8D" w14:textId="77777777" w:rsidR="0083515C" w:rsidRPr="00DF28F7" w:rsidRDefault="0083515C" w:rsidP="001F2648">
      <w:pPr>
        <w:jc w:val="both"/>
        <w:rPr>
          <w:rFonts w:ascii="Times New Roman" w:eastAsia="Verdana" w:hAnsi="Times New Roman" w:cs="Verdana"/>
          <w:noProof/>
          <w:sz w:val="24"/>
          <w:szCs w:val="19"/>
        </w:rPr>
      </w:pPr>
    </w:p>
    <w:p w14:paraId="6F5A770F" w14:textId="77777777" w:rsidR="0083515C" w:rsidRPr="00DF28F7" w:rsidRDefault="009F370B" w:rsidP="009F370B">
      <w:pPr>
        <w:pStyle w:val="BodyText"/>
        <w:tabs>
          <w:tab w:val="left" w:pos="437"/>
        </w:tabs>
        <w:ind w:left="0"/>
        <w:jc w:val="both"/>
        <w:rPr>
          <w:rFonts w:ascii="Times New Roman" w:hAnsi="Times New Roman"/>
          <w:noProof/>
          <w:sz w:val="24"/>
        </w:rPr>
      </w:pPr>
      <w:r>
        <w:rPr>
          <w:rFonts w:ascii="Times New Roman" w:hAnsi="Times New Roman"/>
          <w:sz w:val="24"/>
        </w:rPr>
        <w:t>2) likvidējot fosilā kurināmā subsīdijas un atceļot cenu noteikšanu par minēto nozaru izdarīto kaitējumu videi, tiktu piešķirts pavisam cits raksturs to ekonomikai, turklāt radīti vienlīdzīgi konkurences apstākļi biorūpniecības nozarēm. Paziņojumā “Paātrināt inovāciju tīras enerģijas jomā” (2016. gada novembris) norādīts, ka 2012. gadā tiešās ikgadējās subsīdijas fosilajam kurināmajam bija aptuveni 41,9 miljardi EUR, pieaugot līdz 300 miljardiem EUR, ja iekļauj vides ārējās izmaksas;</w:t>
      </w:r>
    </w:p>
    <w:p w14:paraId="7C96727B" w14:textId="77777777" w:rsidR="0083515C" w:rsidRPr="00DF28F7" w:rsidRDefault="0083515C" w:rsidP="001F2648">
      <w:pPr>
        <w:jc w:val="both"/>
        <w:rPr>
          <w:rFonts w:ascii="Times New Roman" w:eastAsia="Verdana" w:hAnsi="Times New Roman" w:cs="Verdana"/>
          <w:noProof/>
          <w:sz w:val="24"/>
          <w:szCs w:val="19"/>
        </w:rPr>
      </w:pPr>
    </w:p>
    <w:p w14:paraId="32B2D896" w14:textId="77777777" w:rsidR="0083515C" w:rsidRPr="00DF28F7" w:rsidRDefault="00CC3F08" w:rsidP="00CC3F08">
      <w:pPr>
        <w:pStyle w:val="BodyText"/>
        <w:tabs>
          <w:tab w:val="left" w:pos="392"/>
        </w:tabs>
        <w:ind w:left="0"/>
        <w:jc w:val="both"/>
        <w:rPr>
          <w:rFonts w:ascii="Times New Roman" w:hAnsi="Times New Roman"/>
          <w:noProof/>
          <w:sz w:val="24"/>
        </w:rPr>
      </w:pPr>
      <w:r>
        <w:rPr>
          <w:rFonts w:ascii="Times New Roman" w:hAnsi="Times New Roman"/>
          <w:sz w:val="24"/>
        </w:rPr>
        <w:t>3) tiek ziņots, ka dažās nozarēs, kurās vēlas pārstrādāt dažus biomasas veidus materiālai un ķīmiskai izmantošanai, atbalsta pasākumi atjaunojamās enerģijas jomā rada problēmas. Pievienotā vērtība, nodarbinātība, inovācijas un daudzos gadījumos arī ekoloģiskās pēdas nospiedums liecina par labu tam, lai atbalstītu uz biomasu balstīto materiālu, produktu un ķīmisko vielu rūpniecisku izmantošanu tautsaimniecības nozaru lielākajā daļā.</w:t>
      </w:r>
    </w:p>
    <w:p w14:paraId="122BCEBB" w14:textId="77777777" w:rsidR="0083515C" w:rsidRPr="00DF28F7" w:rsidRDefault="0083515C" w:rsidP="001F2648">
      <w:pPr>
        <w:jc w:val="both"/>
        <w:rPr>
          <w:rFonts w:ascii="Times New Roman" w:eastAsia="Verdana" w:hAnsi="Times New Roman" w:cs="Verdana"/>
          <w:noProof/>
          <w:sz w:val="24"/>
          <w:szCs w:val="20"/>
        </w:rPr>
      </w:pPr>
    </w:p>
    <w:p w14:paraId="35A6A66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Standarti, sertifikācijas shēmas, marķējumi un publiskais iepirkums var būt kā papildu iedarbīgi instrumenti, lai atbalstītu jaunos inovatīvu produktu tirgus.</w:t>
      </w:r>
      <w:r w:rsidR="00CC3F08">
        <w:rPr>
          <w:rStyle w:val="FootnoteReference"/>
          <w:rFonts w:ascii="Times New Roman" w:hAnsi="Times New Roman"/>
          <w:noProof/>
          <w:sz w:val="24"/>
        </w:rPr>
        <w:footnoteReference w:id="224"/>
      </w:r>
      <w:r>
        <w:rPr>
          <w:rFonts w:ascii="Times New Roman" w:hAnsi="Times New Roman"/>
          <w:sz w:val="24"/>
        </w:rPr>
        <w:t xml:space="preserve"> Kā liecina tirgus pētījumi, produktiem, kuriem ir pievienota deklarācija par produkta ilgtspējību, tirgus pieauga par 7 %, savukārt produktiem, kuriem šāda deklarācija nebija pievienota, tirgus pieauga tikai par 1 %.</w:t>
      </w:r>
      <w:r w:rsidR="00CC3F08">
        <w:rPr>
          <w:rStyle w:val="FootnoteReference"/>
          <w:rFonts w:ascii="Times New Roman" w:hAnsi="Times New Roman"/>
          <w:noProof/>
          <w:sz w:val="24"/>
        </w:rPr>
        <w:footnoteReference w:id="225"/>
      </w:r>
      <w:r>
        <w:rPr>
          <w:rFonts w:ascii="Times New Roman" w:hAnsi="Times New Roman"/>
          <w:sz w:val="24"/>
        </w:rPr>
        <w:t xml:space="preserve"> Par spīti tam, ka tika uzsāktas vairākas standartizācijas, sertifikācijas, marķēšanas un publiskā iepirkuma iniciatīvas</w:t>
      </w:r>
      <w:r w:rsidR="00CC3F08">
        <w:rPr>
          <w:rStyle w:val="FootnoteReference"/>
          <w:rFonts w:ascii="Times New Roman" w:hAnsi="Times New Roman"/>
          <w:noProof/>
          <w:sz w:val="24"/>
        </w:rPr>
        <w:footnoteReference w:id="226"/>
      </w:r>
      <w:r>
        <w:rPr>
          <w:rFonts w:ascii="Times New Roman" w:hAnsi="Times New Roman"/>
          <w:sz w:val="24"/>
        </w:rPr>
        <w:t>, jautājumā par brīvprātīgu ieviešanu un par tiesisko regulējumu jaunu bioekonomikas tirgu attīstībai Eiropas Savienībā joprojām ir gūts neliels progress.</w:t>
      </w:r>
      <w:r w:rsidR="00CC3F08">
        <w:rPr>
          <w:rStyle w:val="FootnoteReference"/>
          <w:rFonts w:ascii="Times New Roman" w:hAnsi="Times New Roman"/>
          <w:noProof/>
          <w:sz w:val="24"/>
        </w:rPr>
        <w:footnoteReference w:id="227"/>
      </w:r>
      <w:r>
        <w:rPr>
          <w:rFonts w:ascii="Times New Roman" w:hAnsi="Times New Roman"/>
          <w:sz w:val="24"/>
        </w:rPr>
        <w:t xml:space="preserve"> Plašāka bioproduktiem izvirzīto pieejamo standartu piemērošana, piemēram, dzīves cikla analīze, tostarp oglekļa emisiju uzskaites instrumenti</w:t>
      </w:r>
      <w:r w:rsidR="00166CA6">
        <w:rPr>
          <w:rStyle w:val="FootnoteReference"/>
          <w:rFonts w:ascii="Times New Roman" w:hAnsi="Times New Roman"/>
          <w:noProof/>
          <w:sz w:val="24"/>
        </w:rPr>
        <w:footnoteReference w:id="228"/>
      </w:r>
      <w:r>
        <w:rPr>
          <w:rFonts w:ascii="Times New Roman" w:hAnsi="Times New Roman"/>
          <w:sz w:val="24"/>
        </w:rPr>
        <w:t>, ilgtspējības kritēriji</w:t>
      </w:r>
      <w:r w:rsidR="00166CA6">
        <w:rPr>
          <w:rStyle w:val="FootnoteReference"/>
          <w:rFonts w:ascii="Times New Roman" w:hAnsi="Times New Roman"/>
          <w:noProof/>
          <w:sz w:val="24"/>
        </w:rPr>
        <w:footnoteReference w:id="229"/>
      </w:r>
      <w:r>
        <w:rPr>
          <w:rFonts w:ascii="Times New Roman" w:hAnsi="Times New Roman"/>
          <w:sz w:val="24"/>
        </w:rPr>
        <w:t>, uzņēmumu savstarpējā saziņa, kā arī saziņa starp uzņēmumiem un patērētājiem</w:t>
      </w:r>
      <w:r w:rsidR="00166CA6">
        <w:rPr>
          <w:rStyle w:val="FootnoteReference"/>
          <w:rFonts w:ascii="Times New Roman" w:hAnsi="Times New Roman"/>
          <w:noProof/>
          <w:sz w:val="24"/>
        </w:rPr>
        <w:footnoteReference w:id="230"/>
      </w:r>
      <w:r>
        <w:rPr>
          <w:rFonts w:ascii="Times New Roman" w:hAnsi="Times New Roman"/>
          <w:sz w:val="24"/>
        </w:rPr>
        <w:t xml:space="preserve">, sekmēs sertifikāciju un marķēšanu. Tas var uzlabot bioproduktu pamanāmību, kā arī palīdzēt </w:t>
      </w:r>
      <w:r>
        <w:rPr>
          <w:rFonts w:ascii="Times New Roman" w:hAnsi="Times New Roman"/>
          <w:sz w:val="24"/>
        </w:rPr>
        <w:lastRenderedPageBreak/>
        <w:t>sabiedrībai izprast šo aspektu un pieņemt šādus produktus. Papildus, turklāt ņemot vērā, ka dažādu produktu grupu iepirkumā ir pieejami norādījumi un mācību materiāli par bioproduktiem</w:t>
      </w:r>
      <w:r w:rsidR="00166CA6">
        <w:rPr>
          <w:rStyle w:val="FootnoteReference"/>
          <w:rFonts w:ascii="Times New Roman" w:hAnsi="Times New Roman"/>
          <w:noProof/>
          <w:sz w:val="24"/>
        </w:rPr>
        <w:footnoteReference w:id="231"/>
      </w:r>
      <w:r>
        <w:rPr>
          <w:rFonts w:ascii="Times New Roman" w:hAnsi="Times New Roman"/>
          <w:sz w:val="24"/>
        </w:rPr>
        <w:t>, īpašas prasības biomateriālu un produktu popularizēšanai varētu iekļaut tādu ES ekomarķējuma un zaļā publiskā iepirkuma (</w:t>
      </w:r>
      <w:r>
        <w:rPr>
          <w:rFonts w:ascii="Times New Roman" w:hAnsi="Times New Roman"/>
          <w:i/>
          <w:iCs/>
          <w:sz w:val="24"/>
        </w:rPr>
        <w:t>GPP</w:t>
      </w:r>
      <w:r>
        <w:rPr>
          <w:rFonts w:ascii="Times New Roman" w:hAnsi="Times New Roman"/>
          <w:sz w:val="24"/>
        </w:rPr>
        <w:t>) kritēriju izstrādē, kas attiecas uz jaunām vai citām jau esošām produktu grupām, kurām vēl nav pievērsta uzmanība, kā arī turpmāku novatorisko iepirkuma darbību izstrādē.</w:t>
      </w:r>
    </w:p>
    <w:p w14:paraId="554AF91D" w14:textId="77777777" w:rsidR="0083515C" w:rsidRPr="00DF28F7" w:rsidRDefault="0083515C" w:rsidP="001F2648">
      <w:pPr>
        <w:jc w:val="both"/>
        <w:rPr>
          <w:rFonts w:ascii="Times New Roman" w:eastAsia="Verdana" w:hAnsi="Times New Roman" w:cs="Verdana"/>
          <w:noProof/>
          <w:sz w:val="24"/>
          <w:szCs w:val="19"/>
        </w:rPr>
      </w:pPr>
    </w:p>
    <w:p w14:paraId="3843A7C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Bioekonomika var palīdzēt atrisināt plastmasas piegružojuma problēmu jūrās un okeānos, atbalstot pētniecību un inovāciju nolūkā rast alternatīvus risinājumus uz fosilajiem energoresursiem balstītai plastmasai un bioremediācijas metodēm. Plastmasas aizstājēji varētu būt uz bioloģiskiem resursiem balstīti, pārstrādājami un/vai bioloģiski noārdāmi alternatīvi risinājumi. Turklāt ir ļoti svarīgi izstrādāt un popularizēt standartus (tostarp ar pētniecības un inovācijas pasākumiem, kas vērsti uz bioproduktu biosadalīšanos jūrā) un ar tiem saistīto marķēšanu.</w:t>
      </w:r>
    </w:p>
    <w:p w14:paraId="16873EE7" w14:textId="77777777" w:rsidR="0083515C" w:rsidRPr="00DF28F7" w:rsidRDefault="0083515C" w:rsidP="001F2648">
      <w:pPr>
        <w:jc w:val="both"/>
        <w:rPr>
          <w:rFonts w:ascii="Times New Roman" w:eastAsia="Verdana" w:hAnsi="Times New Roman" w:cs="Verdana"/>
          <w:noProof/>
          <w:sz w:val="24"/>
          <w:szCs w:val="19"/>
        </w:rPr>
      </w:pPr>
    </w:p>
    <w:p w14:paraId="5D84E8B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Šā pasākumu kopuma mērķis ir stiprināt un paplašināt uz bioresursiem balstīto nozari, lai sniegtu lielāku labumu videi un pievienoto vērtību, kā arī radītu darbavietas, mobilizējot ieinteresētās puses un investīcijas, kā arī atbalstot tirgu izveidi jauniem un ilgtspējīgiem bioproduktiem un procesiem, tostarp ievērojot pašreizējos un jaunos reglamentējošos noteikumus. Tas atbilst stratēģijas mērķiem samazināt atkarību no neatjaunojamiem resursiem, kā arī radīt darbavietas un saglabāt Eiropas konkurētspēju.</w:t>
      </w:r>
    </w:p>
    <w:p w14:paraId="4EE0117D" w14:textId="77777777" w:rsidR="0083515C" w:rsidRPr="00DF28F7" w:rsidRDefault="0083515C" w:rsidP="001F2648">
      <w:pPr>
        <w:jc w:val="both"/>
        <w:rPr>
          <w:rFonts w:ascii="Times New Roman" w:eastAsia="Verdana" w:hAnsi="Times New Roman" w:cs="Verdana"/>
          <w:noProof/>
          <w:sz w:val="24"/>
          <w:szCs w:val="20"/>
        </w:rPr>
      </w:pPr>
    </w:p>
    <w:p w14:paraId="050BC8EC" w14:textId="77777777" w:rsidR="0083515C" w:rsidRPr="00DF28F7" w:rsidRDefault="0083515C" w:rsidP="001F2648">
      <w:pPr>
        <w:jc w:val="both"/>
        <w:rPr>
          <w:rFonts w:ascii="Times New Roman" w:eastAsia="Verdana" w:hAnsi="Times New Roman" w:cs="Verdana"/>
          <w:noProof/>
          <w:sz w:val="24"/>
          <w:szCs w:val="20"/>
        </w:rPr>
      </w:pPr>
    </w:p>
    <w:p w14:paraId="3027B76A" w14:textId="77777777" w:rsidR="0083515C" w:rsidRPr="00166CA6" w:rsidRDefault="0083515C" w:rsidP="001F2648">
      <w:pPr>
        <w:jc w:val="both"/>
        <w:rPr>
          <w:rFonts w:ascii="Times New Roman" w:hAnsi="Times New Roman"/>
          <w:i/>
          <w:iCs/>
          <w:noProof/>
          <w:sz w:val="24"/>
        </w:rPr>
      </w:pPr>
      <w:r>
        <w:rPr>
          <w:rFonts w:ascii="Times New Roman" w:hAnsi="Times New Roman"/>
          <w:i/>
          <w:sz w:val="24"/>
        </w:rPr>
        <w:t>3.1.1. Mobilizēt publiskā un privātā sektora ieinteresētās puses uz ilgtspējīgu, iekļaujošu un aprites uz bioresursiem balstītu risinājumu izpēti, demonstrējumiem un ieviešanu</w:t>
      </w:r>
    </w:p>
    <w:p w14:paraId="7EB42164" w14:textId="77777777" w:rsidR="0083515C" w:rsidRDefault="0083515C" w:rsidP="001F2648">
      <w:pPr>
        <w:jc w:val="both"/>
        <w:rPr>
          <w:rFonts w:ascii="Times New Roman" w:eastAsia="Times New Roman" w:hAnsi="Times New Roman" w:cs="Times New Roman"/>
          <w:noProof/>
          <w:sz w:val="24"/>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166CA6" w14:paraId="5B8A3822" w14:textId="77777777" w:rsidTr="00166CA6">
        <w:tc>
          <w:tcPr>
            <w:tcW w:w="9288" w:type="dxa"/>
          </w:tcPr>
          <w:p w14:paraId="5F71E8E5" w14:textId="77777777" w:rsidR="00166CA6" w:rsidRDefault="00166CA6" w:rsidP="001F2648">
            <w:pPr>
              <w:jc w:val="both"/>
              <w:rPr>
                <w:rFonts w:ascii="Times New Roman" w:hAnsi="Times New Roman"/>
                <w:i/>
                <w:iCs/>
                <w:noProof/>
                <w:sz w:val="24"/>
              </w:rPr>
            </w:pPr>
            <w:r>
              <w:rPr>
                <w:rFonts w:ascii="Times New Roman" w:hAnsi="Times New Roman"/>
                <w:i/>
                <w:sz w:val="24"/>
              </w:rPr>
              <w:t>Īstenojot šo darbību, tiks stiprināta sadarbība ar ieinteresētajām pusēm (dalībvalstīm, reģionālajām iestādēm, biomasas primārajiem ražotājiem, privāto sektoru un plašāku sabiedrību) nolūkā saskaņot stratēģijas un redzējumus, lai vēl vairāk stiprinātu un paplašinātu uz bioresursiem balstītās nozares (kas attiecas uz vērtības ķēdēm, kas ir balstītas uz biomateriāliem, piemēram, lauksaimniecībā, mežsaimniecībā, jūrniecībā, bioatkritumos, pārtikā), tostarp izvērst novatoriskus risinājumus, kurus var izmantot nelielā mērogā un tieši pārņemt primārie ražotāji atsevišķi vai ar sadarbības uzņēmējdarbības modeļu starpniecību, izpētot dažādos pieejamos instrumentus, tostarp ES pētniecības un inovācijas pamatprogrammā pieejamos, kā arī izmantojot privātos fondus.</w:t>
            </w:r>
          </w:p>
          <w:p w14:paraId="300084DD" w14:textId="77777777" w:rsidR="00166CA6" w:rsidRDefault="00166CA6" w:rsidP="001F2648">
            <w:pPr>
              <w:jc w:val="both"/>
              <w:rPr>
                <w:rFonts w:ascii="Times New Roman" w:hAnsi="Times New Roman"/>
                <w:i/>
                <w:iCs/>
                <w:noProof/>
                <w:sz w:val="24"/>
              </w:rPr>
            </w:pPr>
          </w:p>
          <w:p w14:paraId="1EF5ECCD" w14:textId="77777777" w:rsidR="00166CA6" w:rsidRPr="00166CA6" w:rsidRDefault="00166CA6" w:rsidP="001F2648">
            <w:pPr>
              <w:jc w:val="both"/>
              <w:rPr>
                <w:rFonts w:ascii="Times New Roman" w:hAnsi="Times New Roman"/>
                <w:i/>
                <w:iCs/>
                <w:noProof/>
                <w:sz w:val="24"/>
              </w:rPr>
            </w:pPr>
            <w:r>
              <w:rPr>
                <w:rFonts w:ascii="Times New Roman" w:hAnsi="Times New Roman"/>
                <w:i/>
                <w:sz w:val="24"/>
              </w:rPr>
              <w:t>Rādītāji. To bioekonomikas projektu skaits un finansējuma apjoms, kuri izmanto finanšu konsultāciju atbalstu; to reģionu skaits, kas ir izstrādājuši pašnovērtējuma instrumentu, lai atbalstītu ES reģionu gatavību ieguldīt līdzekļus; visdaudzsološāko tehnoloģiju un inovāciju saraksts; demonstrējumu un informatīvo pasākumu ceļvedis; demonstrējumu projekti un publicitātes materiāli un pasākumi; to projektu skaits, kas ir saskaņoti ar potenciālajiem ieguldītājiem; EK kontaktu dibināšanas pasākumu skaits starp projektiem un ieguldītājiem; bioekonomikas iekļaušana pašreizējās EK iniciatīvās par sadalītās virsgrāmatas tehnoloģijām (DLT)/blokķēdēm (H2020, ES Blokķēžu novērošanas centrs un forums).</w:t>
            </w:r>
          </w:p>
        </w:tc>
      </w:tr>
    </w:tbl>
    <w:p w14:paraId="60984B03" w14:textId="77777777" w:rsidR="00166CA6" w:rsidRDefault="00166CA6" w:rsidP="001F2648">
      <w:pPr>
        <w:jc w:val="both"/>
        <w:rPr>
          <w:rFonts w:ascii="Times New Roman" w:eastAsia="Times New Roman" w:hAnsi="Times New Roman" w:cs="Times New Roman"/>
          <w:noProof/>
          <w:sz w:val="24"/>
          <w:szCs w:val="16"/>
        </w:rPr>
      </w:pPr>
    </w:p>
    <w:p w14:paraId="4D82AA0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Pēdējā laikā uz bioresursiem balstītajā nozarē ir vērojama paātrināta tehnoloģiju attīstība.</w:t>
      </w:r>
    </w:p>
    <w:p w14:paraId="28C28725" w14:textId="77777777" w:rsidR="0083515C" w:rsidRPr="00DF28F7" w:rsidRDefault="0083515C" w:rsidP="001F2648">
      <w:pPr>
        <w:jc w:val="both"/>
        <w:rPr>
          <w:rFonts w:ascii="Times New Roman" w:eastAsia="Verdana" w:hAnsi="Times New Roman" w:cs="Verdana"/>
          <w:noProof/>
          <w:sz w:val="24"/>
          <w:szCs w:val="20"/>
        </w:rPr>
      </w:pPr>
    </w:p>
    <w:p w14:paraId="49C768CA"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 xml:space="preserve">Biorūpniecības kopuzņēmums ir bijis noderīgs, lai uzsāktu vairāku pirmreizēju biorafinēšanas </w:t>
      </w:r>
      <w:r>
        <w:rPr>
          <w:rFonts w:ascii="Times New Roman" w:hAnsi="Times New Roman"/>
          <w:sz w:val="24"/>
        </w:rPr>
        <w:lastRenderedPageBreak/>
        <w:t>iekārtu un jaunu vērtību ķēžu demonstrēšanu un izvēršanu ES.</w:t>
      </w:r>
      <w:r w:rsidR="00166CA6">
        <w:rPr>
          <w:rStyle w:val="FootnoteReference"/>
          <w:rFonts w:ascii="Times New Roman" w:hAnsi="Times New Roman"/>
          <w:noProof/>
          <w:sz w:val="24"/>
        </w:rPr>
        <w:footnoteReference w:id="232"/>
      </w:r>
    </w:p>
    <w:p w14:paraId="020BD8C4" w14:textId="77777777" w:rsidR="0083515C" w:rsidRPr="00DF28F7" w:rsidRDefault="0083515C" w:rsidP="001F2648">
      <w:pPr>
        <w:jc w:val="both"/>
        <w:rPr>
          <w:rFonts w:ascii="Times New Roman" w:eastAsia="Verdana" w:hAnsi="Times New Roman" w:cs="Verdana"/>
          <w:noProof/>
          <w:sz w:val="24"/>
          <w:szCs w:val="19"/>
        </w:rPr>
      </w:pPr>
    </w:p>
    <w:p w14:paraId="1B87805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Tomēr joprojām ir nepieciešams: 1) panākt, lai investīciju iespējas uz bioresursiem balstītajā ekonomikā būtu pievilcīgākas, pārredzamākas, drošākas un ieguldītājiem pamanāmākas nolūkā mobilizēt investīcijas bioekonomikā, un, 2) izmantojot pieejamos instrumentus, palīdzēt ES reģioniem novērtēt līmeni to gatavībai veikt investīcijas ilgtspējīgāku ķīmisko vielu ražošanai, tostarp izmantot alternatīvas izejvielas to ražošanai.</w:t>
      </w:r>
    </w:p>
    <w:p w14:paraId="385358BC" w14:textId="77777777" w:rsidR="0083515C" w:rsidRPr="00DF28F7" w:rsidRDefault="0083515C" w:rsidP="001F2648">
      <w:pPr>
        <w:jc w:val="both"/>
        <w:rPr>
          <w:rFonts w:ascii="Times New Roman" w:eastAsia="Verdana" w:hAnsi="Times New Roman" w:cs="Verdana"/>
          <w:noProof/>
          <w:sz w:val="24"/>
          <w:szCs w:val="19"/>
        </w:rPr>
      </w:pPr>
    </w:p>
    <w:p w14:paraId="707FE79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Tāpēc šīs darbības mērķis ir izstrādāt risinājumu kopumu biomasas pārstrādei bioproduktos. Paredzēti šādi rezultāti:</w:t>
      </w:r>
    </w:p>
    <w:p w14:paraId="75E41D50" w14:textId="77777777" w:rsidR="0083515C" w:rsidRPr="00DF28F7" w:rsidRDefault="0083515C" w:rsidP="001F2648">
      <w:pPr>
        <w:jc w:val="both"/>
        <w:rPr>
          <w:rFonts w:ascii="Times New Roman" w:eastAsia="Verdana" w:hAnsi="Times New Roman" w:cs="Verdana"/>
          <w:noProof/>
          <w:sz w:val="24"/>
          <w:szCs w:val="19"/>
        </w:rPr>
      </w:pPr>
    </w:p>
    <w:p w14:paraId="4B456C57" w14:textId="77777777" w:rsidR="0083515C" w:rsidRPr="00DF28F7" w:rsidRDefault="00166CA6" w:rsidP="00166CA6">
      <w:pPr>
        <w:pStyle w:val="BodyText"/>
        <w:tabs>
          <w:tab w:val="left" w:pos="873"/>
        </w:tabs>
        <w:ind w:left="426"/>
        <w:jc w:val="both"/>
        <w:rPr>
          <w:rFonts w:ascii="Times New Roman" w:hAnsi="Times New Roman"/>
          <w:noProof/>
          <w:sz w:val="24"/>
        </w:rPr>
      </w:pPr>
      <w:r>
        <w:rPr>
          <w:rFonts w:ascii="Times New Roman" w:hAnsi="Times New Roman"/>
          <w:sz w:val="24"/>
        </w:rPr>
        <w:t>1) tālāka sadarbība ar ieinteresētajām pusēm, tostarp dalībvalstīm, privāto sektoru un plašāku sabiedrību, lai vēl vairāk saskaņotu stratēģijas un redzējumus attiecībā uz tādas nozares paplašināšanu, kas ir balstīta uz bioresursiem, izpētot dažādus instrumentus programmā “Apvārsnis Eiropa” un izmantojot pašreizējās ES finansētās iniciatīvas un privātos līdzekļus;</w:t>
      </w:r>
    </w:p>
    <w:p w14:paraId="415A1D32" w14:textId="77777777" w:rsidR="0083515C" w:rsidRPr="00DF28F7" w:rsidRDefault="0083515C" w:rsidP="00166CA6">
      <w:pPr>
        <w:ind w:left="426"/>
        <w:jc w:val="both"/>
        <w:rPr>
          <w:rFonts w:ascii="Times New Roman" w:eastAsia="Verdana" w:hAnsi="Times New Roman" w:cs="Verdana"/>
          <w:noProof/>
          <w:sz w:val="24"/>
          <w:szCs w:val="16"/>
        </w:rPr>
      </w:pPr>
    </w:p>
    <w:p w14:paraId="391EEDF7" w14:textId="77777777" w:rsidR="0083515C" w:rsidRPr="00DF28F7" w:rsidRDefault="00166CA6" w:rsidP="00166CA6">
      <w:pPr>
        <w:pStyle w:val="BodyText"/>
        <w:tabs>
          <w:tab w:val="left" w:pos="873"/>
        </w:tabs>
        <w:ind w:left="426"/>
        <w:jc w:val="both"/>
        <w:rPr>
          <w:rFonts w:ascii="Times New Roman" w:hAnsi="Times New Roman"/>
          <w:noProof/>
          <w:sz w:val="24"/>
        </w:rPr>
      </w:pPr>
      <w:r>
        <w:rPr>
          <w:rFonts w:ascii="Times New Roman" w:hAnsi="Times New Roman"/>
          <w:sz w:val="24"/>
        </w:rPr>
        <w:t>2) attiecībā uz mazajiem un vidējiem uz bioresursiem balstītiem risinājumiem laukos, balstoties uz pētniecībā un inovācijā gūtajiem rezultātiem, apzināt tehnoloģijas, kuras var atbilstoši izmantot mazā mērogā un kuras ir viegli kopējamas un/vai pielāgojamas vietējiem apstākļiem, un popularizēt demonstrējumu pasākumus. Pēc tam veiksmīgus demonstrējumu projektus varēs izvērst, ko atbalstīs, īstenojot darbības, kas norādītas Stratēģiskās ieviešanas programmā pārtikai, lauksaimniecībai, mežsaimniecībai un uz bioresursiem balstītai ražošanai aprites bioekonomikā. Tos varētu atbalstīt arī ar valsts vai reģionāliem instrumentiem vai ES finanšu instrumentiem (piemēram, 3.1.2. darbība) vai tos varētu ietvert EIP-AGRI darbībās (piemēram, 3.2.1. darbība);</w:t>
      </w:r>
    </w:p>
    <w:p w14:paraId="729BFEA9" w14:textId="77777777" w:rsidR="0083515C" w:rsidRPr="00DF28F7" w:rsidRDefault="0083515C" w:rsidP="00166CA6">
      <w:pPr>
        <w:ind w:left="426"/>
        <w:jc w:val="both"/>
        <w:rPr>
          <w:rFonts w:ascii="Times New Roman" w:eastAsia="Verdana" w:hAnsi="Times New Roman" w:cs="Verdana"/>
          <w:noProof/>
          <w:sz w:val="24"/>
          <w:szCs w:val="16"/>
        </w:rPr>
      </w:pPr>
    </w:p>
    <w:p w14:paraId="658582BE" w14:textId="77777777" w:rsidR="0083515C" w:rsidRPr="00DF28F7" w:rsidRDefault="00166CA6" w:rsidP="00166CA6">
      <w:pPr>
        <w:pStyle w:val="BodyText"/>
        <w:tabs>
          <w:tab w:val="left" w:pos="873"/>
        </w:tabs>
        <w:ind w:left="426"/>
        <w:jc w:val="both"/>
        <w:rPr>
          <w:rFonts w:ascii="Times New Roman" w:hAnsi="Times New Roman"/>
          <w:noProof/>
          <w:sz w:val="24"/>
        </w:rPr>
      </w:pPr>
      <w:r>
        <w:rPr>
          <w:rFonts w:ascii="Times New Roman" w:hAnsi="Times New Roman"/>
          <w:sz w:val="24"/>
        </w:rPr>
        <w:t>3) izpēte attiecībā uz to, kā palielināt ES finanšu konsultatīvo atbalstu pētniecības un inovācijas projektiem bioekonomikā, kā ieteikusi Eiropas Investīciju banka dokumentā “Nosacījumi finansējuma pieejamībai investīciju nodrošināšanai biorūpniecībā un jūras nozaru ekonomikā” [</w:t>
      </w:r>
      <w:r>
        <w:rPr>
          <w:rFonts w:ascii="Times New Roman" w:hAnsi="Times New Roman"/>
          <w:i/>
          <w:iCs/>
          <w:sz w:val="24"/>
        </w:rPr>
        <w:t>“Access-to-finance conditions for Investments in Bio-Based Industries and the Blue Economy”</w:t>
      </w:r>
      <w:r>
        <w:rPr>
          <w:rFonts w:ascii="Times New Roman" w:hAnsi="Times New Roman"/>
          <w:sz w:val="24"/>
        </w:rPr>
        <w:t>].</w:t>
      </w:r>
      <w:r>
        <w:rPr>
          <w:rStyle w:val="FootnoteReference"/>
          <w:rFonts w:ascii="Times New Roman" w:hAnsi="Times New Roman"/>
          <w:noProof/>
          <w:sz w:val="24"/>
        </w:rPr>
        <w:footnoteReference w:id="233"/>
      </w:r>
      <w:r>
        <w:rPr>
          <w:rFonts w:ascii="Times New Roman" w:hAnsi="Times New Roman"/>
          <w:sz w:val="24"/>
        </w:rPr>
        <w:t xml:space="preserve"> Šāds finanšu konsultatīvais atbalsts uzlabotu finansējuma pieejamību projektiem, piemēram, palīdzot tiem uzlabot rentabilitāti un gatavību veikt investīcijas, strukturējot to finansējumu un sadarbojoties ar privātiem ieguldītājiem;</w:t>
      </w:r>
    </w:p>
    <w:p w14:paraId="4DF59BD9" w14:textId="77777777" w:rsidR="0083515C" w:rsidRPr="00DF28F7" w:rsidRDefault="0083515C" w:rsidP="00166CA6">
      <w:pPr>
        <w:ind w:left="426"/>
        <w:jc w:val="both"/>
        <w:rPr>
          <w:rFonts w:ascii="Times New Roman" w:eastAsia="Verdana" w:hAnsi="Times New Roman" w:cs="Verdana"/>
          <w:noProof/>
          <w:sz w:val="24"/>
          <w:szCs w:val="16"/>
        </w:rPr>
      </w:pPr>
    </w:p>
    <w:p w14:paraId="6268B217" w14:textId="77777777" w:rsidR="0083515C" w:rsidRPr="00DF28F7" w:rsidRDefault="00166CA6" w:rsidP="00166CA6">
      <w:pPr>
        <w:pStyle w:val="BodyText"/>
        <w:tabs>
          <w:tab w:val="left" w:pos="876"/>
        </w:tabs>
        <w:ind w:left="426"/>
        <w:jc w:val="both"/>
        <w:rPr>
          <w:rFonts w:ascii="Times New Roman" w:hAnsi="Times New Roman"/>
          <w:noProof/>
          <w:sz w:val="24"/>
          <w:szCs w:val="12"/>
        </w:rPr>
      </w:pPr>
      <w:r>
        <w:rPr>
          <w:rFonts w:ascii="Times New Roman" w:hAnsi="Times New Roman"/>
          <w:sz w:val="24"/>
        </w:rPr>
        <w:t>4) izpēte saistībā ar galvenajām sadalītās virsgrāmatas tehnoloģiju (</w:t>
      </w:r>
      <w:r>
        <w:rPr>
          <w:rFonts w:ascii="Times New Roman" w:hAnsi="Times New Roman"/>
          <w:i/>
          <w:iCs/>
          <w:sz w:val="24"/>
        </w:rPr>
        <w:t>DLT</w:t>
      </w:r>
      <w:r>
        <w:rPr>
          <w:rFonts w:ascii="Times New Roman" w:hAnsi="Times New Roman"/>
          <w:sz w:val="24"/>
        </w:rPr>
        <w:t xml:space="preserve">/blokķēde) radītajām iespējām, problēmām, šķēršļiem, potenciāliem lietojumiem un lietošanas gadījumiem bioekonomikas nozarē, kā arī izpratnes vairošana un ar </w:t>
      </w:r>
      <w:r>
        <w:rPr>
          <w:rFonts w:ascii="Times New Roman" w:hAnsi="Times New Roman"/>
          <w:i/>
          <w:iCs/>
          <w:sz w:val="24"/>
        </w:rPr>
        <w:t>DLT</w:t>
      </w:r>
      <w:r>
        <w:rPr>
          <w:rFonts w:ascii="Times New Roman" w:hAnsi="Times New Roman"/>
          <w:sz w:val="24"/>
        </w:rPr>
        <w:t xml:space="preserve"> iespējamo ietekmi uz bioekonomiku saistīto ideju un pētījumu veicināšana. </w:t>
      </w:r>
      <w:r>
        <w:rPr>
          <w:rFonts w:ascii="Times New Roman" w:hAnsi="Times New Roman"/>
          <w:i/>
          <w:iCs/>
          <w:sz w:val="24"/>
        </w:rPr>
        <w:t>DLT</w:t>
      </w:r>
      <w:r>
        <w:rPr>
          <w:rFonts w:ascii="Times New Roman" w:hAnsi="Times New Roman"/>
          <w:sz w:val="24"/>
        </w:rPr>
        <w:t xml:space="preserve"> visā pasaulē piesaista ievērojamu uzmanību, resursus un investīcijas, un bioekonomikas nozare atrodas unikālā stāvoklī, lai izpētītu un gūtu labumu no </w:t>
      </w:r>
      <w:r>
        <w:rPr>
          <w:rFonts w:ascii="Times New Roman" w:hAnsi="Times New Roman"/>
          <w:i/>
          <w:iCs/>
          <w:sz w:val="24"/>
        </w:rPr>
        <w:t>DLT</w:t>
      </w:r>
      <w:r>
        <w:rPr>
          <w:rFonts w:ascii="Times New Roman" w:hAnsi="Times New Roman"/>
          <w:sz w:val="24"/>
        </w:rPr>
        <w:t xml:space="preserve"> potenciāla.</w:t>
      </w:r>
      <w:r>
        <w:rPr>
          <w:rStyle w:val="FootnoteReference"/>
          <w:rFonts w:ascii="Times New Roman" w:hAnsi="Times New Roman"/>
          <w:noProof/>
          <w:sz w:val="24"/>
        </w:rPr>
        <w:footnoteReference w:id="234"/>
      </w:r>
    </w:p>
    <w:p w14:paraId="65850986" w14:textId="77777777" w:rsidR="0083515C" w:rsidRPr="00DF28F7" w:rsidRDefault="0083515C" w:rsidP="001F2648">
      <w:pPr>
        <w:jc w:val="both"/>
        <w:rPr>
          <w:rFonts w:ascii="Times New Roman" w:eastAsia="Verdana" w:hAnsi="Times New Roman" w:cs="Verdana"/>
          <w:noProof/>
          <w:sz w:val="24"/>
          <w:szCs w:val="16"/>
        </w:rPr>
      </w:pPr>
    </w:p>
    <w:p w14:paraId="3BCB4C7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Visbeidzot, paredzams, ka investīcijas bioekonomikā sekmēs ieguldītājiem adresētais precizējums par tām saimnieciskajām darbībām, kuras pamatoti var plašāk uzskatīt par </w:t>
      </w:r>
      <w:r>
        <w:rPr>
          <w:rFonts w:ascii="Times New Roman" w:hAnsi="Times New Roman"/>
          <w:sz w:val="24"/>
        </w:rPr>
        <w:lastRenderedPageBreak/>
        <w:t>ilgtspējīgām klimata pārmaiņu un vides aizsardzības jomā.</w:t>
      </w:r>
      <w:r w:rsidR="00166CA6">
        <w:rPr>
          <w:rStyle w:val="FootnoteReference"/>
          <w:rFonts w:ascii="Times New Roman" w:hAnsi="Times New Roman"/>
          <w:noProof/>
          <w:sz w:val="24"/>
        </w:rPr>
        <w:footnoteReference w:id="235"/>
      </w:r>
      <w:r>
        <w:rPr>
          <w:rFonts w:ascii="Times New Roman" w:hAnsi="Times New Roman"/>
          <w:sz w:val="24"/>
        </w:rPr>
        <w:t xml:space="preserve"> Paredzams, ka Eiropas Komisijas rīcības plāna “Ilgtspējīgas izaugsmes finansēšana”</w:t>
      </w:r>
      <w:r w:rsidR="00166CA6">
        <w:rPr>
          <w:rStyle w:val="FootnoteReference"/>
          <w:rFonts w:ascii="Times New Roman" w:hAnsi="Times New Roman"/>
          <w:noProof/>
          <w:sz w:val="24"/>
        </w:rPr>
        <w:footnoteReference w:id="236"/>
      </w:r>
      <w:r>
        <w:rPr>
          <w:rFonts w:ascii="Times New Roman" w:hAnsi="Times New Roman"/>
          <w:sz w:val="24"/>
        </w:rPr>
        <w:t xml:space="preserve"> rezultātā tiks izveidota arī saskaņota ES vides pasākumu klasifikācijas sistēma (taksonomija), ko integrēs ES tiesību aktos, tādējādi veicinot investīcijas bioekonomikā.</w:t>
      </w:r>
    </w:p>
    <w:p w14:paraId="01417BED" w14:textId="77777777" w:rsidR="0083515C" w:rsidRDefault="0083515C" w:rsidP="001F2648">
      <w:pPr>
        <w:jc w:val="both"/>
        <w:rPr>
          <w:rFonts w:ascii="Times New Roman" w:eastAsia="Verdana" w:hAnsi="Times New Roman" w:cs="Verdana"/>
          <w:noProof/>
          <w:sz w:val="24"/>
          <w:szCs w:val="19"/>
        </w:rPr>
      </w:pPr>
    </w:p>
    <w:p w14:paraId="483BEEE4" w14:textId="77777777" w:rsidR="00166CA6" w:rsidRPr="00DF28F7" w:rsidRDefault="00166CA6" w:rsidP="001F2648">
      <w:pPr>
        <w:jc w:val="both"/>
        <w:rPr>
          <w:rFonts w:ascii="Times New Roman" w:eastAsia="Verdana" w:hAnsi="Times New Roman" w:cs="Verdana"/>
          <w:noProof/>
          <w:sz w:val="24"/>
          <w:szCs w:val="19"/>
        </w:rPr>
      </w:pPr>
    </w:p>
    <w:p w14:paraId="3E4878B8" w14:textId="77777777" w:rsidR="0083515C" w:rsidRPr="00166CA6" w:rsidRDefault="0083515C" w:rsidP="001F2648">
      <w:pPr>
        <w:jc w:val="both"/>
        <w:rPr>
          <w:rFonts w:ascii="Times New Roman" w:hAnsi="Times New Roman"/>
          <w:i/>
          <w:iCs/>
          <w:noProof/>
          <w:sz w:val="24"/>
        </w:rPr>
      </w:pPr>
      <w:r>
        <w:rPr>
          <w:rFonts w:ascii="Times New Roman" w:hAnsi="Times New Roman"/>
          <w:i/>
          <w:sz w:val="24"/>
        </w:rPr>
        <w:t>3.1.2. Aprites bioekonomikas tematiskās investīciju platformas ar 100 miljoniem euro iedarbināšana</w:t>
      </w:r>
    </w:p>
    <w:p w14:paraId="7D4C129E" w14:textId="77777777" w:rsidR="00150DA1" w:rsidRDefault="00150DA1"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166CA6" w14:paraId="27830534" w14:textId="77777777" w:rsidTr="00166CA6">
        <w:tc>
          <w:tcPr>
            <w:tcW w:w="9288" w:type="dxa"/>
          </w:tcPr>
          <w:p w14:paraId="6A732730" w14:textId="77777777" w:rsidR="00166CA6" w:rsidRPr="00166CA6" w:rsidRDefault="00166CA6" w:rsidP="00166CA6">
            <w:pPr>
              <w:jc w:val="both"/>
              <w:rPr>
                <w:rFonts w:ascii="Times New Roman" w:hAnsi="Times New Roman"/>
                <w:i/>
                <w:iCs/>
                <w:noProof/>
                <w:sz w:val="24"/>
              </w:rPr>
            </w:pPr>
            <w:r>
              <w:rPr>
                <w:rFonts w:ascii="Times New Roman" w:hAnsi="Times New Roman"/>
                <w:i/>
                <w:sz w:val="24"/>
              </w:rPr>
              <w:t>Šajā darbībā atbalstīs finanšu instrumentu, kas ir paredzēts aprites bioekonomikai saskaņā ar InnovFin shēmu (Apvārsnis 2020).</w:t>
            </w:r>
          </w:p>
          <w:p w14:paraId="5EB35CF0" w14:textId="77777777" w:rsidR="00166CA6" w:rsidRPr="00166CA6" w:rsidRDefault="00166CA6" w:rsidP="00166CA6">
            <w:pPr>
              <w:jc w:val="both"/>
              <w:rPr>
                <w:rFonts w:ascii="Times New Roman" w:eastAsia="Times New Roman" w:hAnsi="Times New Roman" w:cs="Times New Roman"/>
                <w:i/>
                <w:iCs/>
                <w:noProof/>
                <w:sz w:val="24"/>
                <w:szCs w:val="20"/>
              </w:rPr>
            </w:pPr>
          </w:p>
          <w:p w14:paraId="220150BC" w14:textId="77777777" w:rsidR="00166CA6" w:rsidRPr="00166CA6" w:rsidRDefault="00166CA6" w:rsidP="001F2648">
            <w:pPr>
              <w:jc w:val="both"/>
              <w:rPr>
                <w:rFonts w:ascii="Times New Roman" w:hAnsi="Times New Roman"/>
                <w:noProof/>
                <w:sz w:val="24"/>
              </w:rPr>
            </w:pPr>
            <w:r>
              <w:rPr>
                <w:rFonts w:ascii="Times New Roman" w:hAnsi="Times New Roman"/>
                <w:i/>
                <w:sz w:val="24"/>
              </w:rPr>
              <w:t>Rādītāji. No privātā sektora aizņemtie EUR līdzekļi Tematisko investīciju platformas finansētiem projektiem; to bioekonomikas projektu skaits un finansējuma apjoms, kam izmanto tematisko investīciju platformas finansējumu.</w:t>
            </w:r>
          </w:p>
        </w:tc>
      </w:tr>
    </w:tbl>
    <w:p w14:paraId="686B6B9D" w14:textId="77777777" w:rsidR="0083515C" w:rsidRPr="00DF28F7" w:rsidRDefault="0083515C" w:rsidP="001F2648">
      <w:pPr>
        <w:jc w:val="both"/>
        <w:rPr>
          <w:rFonts w:ascii="Times New Roman" w:eastAsia="Times New Roman" w:hAnsi="Times New Roman" w:cs="Times New Roman"/>
          <w:noProof/>
          <w:sz w:val="24"/>
          <w:szCs w:val="16"/>
        </w:rPr>
      </w:pPr>
    </w:p>
    <w:p w14:paraId="7C0C4A1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Darbības mērķis ir novērst finansējuma trūkumu, ko demonstrējumu un komerciālās attīstības posmos piedzīvo novatoriski bioekonomikas projekti, un izveidot jaunu ES tematisko finanšu instrumentu – aprites bioekonomikas tematisko investīciju platformu.</w:t>
      </w:r>
    </w:p>
    <w:p w14:paraId="7E823474" w14:textId="77777777" w:rsidR="0083515C" w:rsidRPr="00DF28F7" w:rsidRDefault="0083515C" w:rsidP="001F2648">
      <w:pPr>
        <w:jc w:val="both"/>
        <w:rPr>
          <w:rFonts w:ascii="Times New Roman" w:eastAsia="Verdana" w:hAnsi="Times New Roman" w:cs="Verdana"/>
          <w:noProof/>
          <w:sz w:val="24"/>
          <w:szCs w:val="19"/>
        </w:rPr>
      </w:pPr>
    </w:p>
    <w:p w14:paraId="6423550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Šo jauno ES tematisko finanšu instrumentu ievieš saskaņā ar Eiropas Investīciju bankas ieteikumu </w:t>
      </w:r>
      <w:r>
        <w:rPr>
          <w:rFonts w:ascii="Times New Roman" w:hAnsi="Times New Roman"/>
          <w:i/>
          <w:iCs/>
          <w:sz w:val="24"/>
        </w:rPr>
        <w:t>InnovFin</w:t>
      </w:r>
      <w:r>
        <w:rPr>
          <w:rFonts w:ascii="Times New Roman" w:hAnsi="Times New Roman"/>
          <w:sz w:val="24"/>
        </w:rPr>
        <w:t xml:space="preserve"> konsultatīvajā pētījumā par nosacījumiem attiecībā uz finansējuma pieejamību investīcijām divās galvenajās ES bioekonomikas jomās – biorūpniecībā un jūras nozares ekonomikā.</w:t>
      </w:r>
      <w:r w:rsidR="00726DD5">
        <w:rPr>
          <w:rStyle w:val="FootnoteReference"/>
          <w:rFonts w:ascii="Times New Roman" w:hAnsi="Times New Roman"/>
          <w:noProof/>
          <w:sz w:val="24"/>
        </w:rPr>
        <w:footnoteReference w:id="237"/>
      </w:r>
      <w:r>
        <w:rPr>
          <w:rFonts w:ascii="Times New Roman" w:hAnsi="Times New Roman"/>
          <w:sz w:val="24"/>
        </w:rPr>
        <w:t xml:space="preserve"> Pētījumā identificētas nepilnības attiecībā uz privātā kapitāla finansējumu tādiem projektiem šajās jomās, kurus paredzēts paplašināt no izmēģinājuma stadijas līdz demonstrējumu stadijai un no demonstrējumu stadijas līdz pamatdarbības stadijai un darbībai rūpnieciskā mērogā. Tas ir saistīts ar riskiem, kas raksturīgi investēšanai novatoriskos bioekonomikas projektos un bieži vien šādiem projektiem nepieciešamajām lielajām kapitālieguldījumu izmaksām. Tā kā finansējums nav pietiekami pieejams, ir grūti turpināt projektu tālāko attīstību, turklāt dažus projektus var turpināt īstenot pat ārpus ES.</w:t>
      </w:r>
    </w:p>
    <w:p w14:paraId="3A81D65E" w14:textId="77777777" w:rsidR="0083515C" w:rsidRPr="00DF28F7" w:rsidRDefault="0083515C" w:rsidP="001F2648">
      <w:pPr>
        <w:jc w:val="both"/>
        <w:rPr>
          <w:rFonts w:ascii="Times New Roman" w:hAnsi="Times New Roman"/>
          <w:noProof/>
          <w:sz w:val="24"/>
        </w:rPr>
      </w:pPr>
    </w:p>
    <w:p w14:paraId="2209B269"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Aprites bioekonomikas tematisko investīciju platformas uzdevums būs risināt šos jautājumus, kas saistīti ar finansējuma pieejamību, samazinot risku novatoriskiem projektiem attiecībā pret privātiem ieguldītājiem un piesaistot ES līdzekļus, lai palīdzētu mobilizēt privātās investīcijas šajos projektos. Papildus biorūpniecībai un jūras nozaru ekonomikai platformā pievērsīsies cieši saistītām nozarēm, piemēram, lauksaimniecībai un mežsaimniecībai. Paredzams, ka finansēto projektu izvēršana veicinās ilgtspējīgas attīstības mērķu sasniegšanu, kā arī ES prioritāšu īstenošanu klimata, aprites ekonomikas un ilgtspējīga finansējuma jomā. Tāpat paredzams, ka tas veicinās rūpniecisko, lauku apvidu, piekrastes rajonu un ārzonu attīstību, kā arī sniegs jaunas iespējas primārajam sektoram, radot darbavietas un izaugsmi ES.</w:t>
      </w:r>
      <w:r w:rsidR="00726DD5">
        <w:rPr>
          <w:rStyle w:val="FootnoteReference"/>
          <w:rFonts w:ascii="Times New Roman" w:hAnsi="Times New Roman"/>
          <w:noProof/>
          <w:sz w:val="24"/>
        </w:rPr>
        <w:footnoteReference w:id="238"/>
      </w:r>
    </w:p>
    <w:p w14:paraId="690E2CF3" w14:textId="77777777" w:rsidR="0083515C" w:rsidRPr="00DF28F7" w:rsidRDefault="0083515C" w:rsidP="001F2648">
      <w:pPr>
        <w:jc w:val="both"/>
        <w:rPr>
          <w:rFonts w:ascii="Times New Roman" w:eastAsia="Verdana" w:hAnsi="Times New Roman" w:cs="Verdana"/>
          <w:noProof/>
          <w:sz w:val="24"/>
          <w:szCs w:val="20"/>
        </w:rPr>
      </w:pPr>
    </w:p>
    <w:p w14:paraId="5FDF5911"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 xml:space="preserve">Šīs darbības mērķis ir nodrošināt finansējumu novatoriskiem bioekonomikas projektiem demonstrējumu un komerciālās attīstības posmos. Šā finanšu instrumenta darbība tiks sākta </w:t>
      </w:r>
      <w:r>
        <w:rPr>
          <w:rFonts w:ascii="Times New Roman" w:hAnsi="Times New Roman"/>
          <w:i/>
          <w:iCs/>
          <w:sz w:val="24"/>
        </w:rPr>
        <w:t>InnovFin</w:t>
      </w:r>
      <w:r>
        <w:rPr>
          <w:rFonts w:ascii="Times New Roman" w:hAnsi="Times New Roman"/>
          <w:sz w:val="24"/>
        </w:rPr>
        <w:t xml:space="preserve"> shēmas ietvaros, un tam piešķirs jau pieņemto ES budžetu 100 miljonu EUR apmērā </w:t>
      </w:r>
      <w:r>
        <w:rPr>
          <w:rFonts w:ascii="Times New Roman" w:hAnsi="Times New Roman"/>
          <w:sz w:val="24"/>
        </w:rPr>
        <w:lastRenderedPageBreak/>
        <w:t>no pamatprogrammas “Apvārsnis 2020”.</w:t>
      </w:r>
      <w:r w:rsidR="00726DD5">
        <w:rPr>
          <w:rStyle w:val="FootnoteReference"/>
          <w:rFonts w:ascii="Times New Roman" w:hAnsi="Times New Roman"/>
          <w:noProof/>
          <w:sz w:val="24"/>
        </w:rPr>
        <w:footnoteReference w:id="239"/>
      </w:r>
      <w:r>
        <w:rPr>
          <w:rFonts w:ascii="Times New Roman" w:hAnsi="Times New Roman"/>
          <w:sz w:val="24"/>
        </w:rPr>
        <w:t xml:space="preserve"> Galvenā uzmanība tiks pievērsta novatoriskiem aprites bioekonomikas projektiem, bet ne tikai. Ar šo finanšu instrumentu īsteno plašākās aprites ekonomikas finansēšanas platformas III pīlāru.</w:t>
      </w:r>
      <w:r w:rsidR="00726DD5">
        <w:rPr>
          <w:rStyle w:val="FootnoteReference"/>
          <w:rFonts w:ascii="Times New Roman" w:hAnsi="Times New Roman"/>
          <w:noProof/>
          <w:sz w:val="24"/>
        </w:rPr>
        <w:footnoteReference w:id="240"/>
      </w:r>
    </w:p>
    <w:p w14:paraId="1668C582" w14:textId="77777777" w:rsidR="00CF10CD" w:rsidRPr="00DF28F7" w:rsidRDefault="00CF10CD" w:rsidP="001F2648">
      <w:pPr>
        <w:jc w:val="both"/>
        <w:rPr>
          <w:rFonts w:ascii="Times New Roman" w:eastAsia="Verdana" w:hAnsi="Times New Roman" w:cs="Verdana"/>
          <w:noProof/>
          <w:sz w:val="24"/>
          <w:szCs w:val="20"/>
        </w:rPr>
      </w:pPr>
    </w:p>
    <w:p w14:paraId="4C6DC805" w14:textId="77777777" w:rsidR="0083515C" w:rsidRPr="00DF28F7" w:rsidRDefault="0083515C" w:rsidP="001F2648">
      <w:pPr>
        <w:jc w:val="both"/>
        <w:rPr>
          <w:rFonts w:ascii="Times New Roman" w:eastAsia="Verdana" w:hAnsi="Times New Roman" w:cs="Verdana"/>
          <w:noProof/>
          <w:sz w:val="24"/>
          <w:szCs w:val="19"/>
        </w:rPr>
      </w:pPr>
    </w:p>
    <w:p w14:paraId="2A9F3FB5" w14:textId="77777777" w:rsidR="0083515C" w:rsidRPr="00726DD5" w:rsidRDefault="0083515C" w:rsidP="001F2648">
      <w:pPr>
        <w:jc w:val="both"/>
        <w:rPr>
          <w:rFonts w:ascii="Times New Roman" w:hAnsi="Times New Roman"/>
          <w:i/>
          <w:iCs/>
          <w:noProof/>
          <w:sz w:val="24"/>
        </w:rPr>
      </w:pPr>
      <w:r>
        <w:rPr>
          <w:rFonts w:ascii="Times New Roman" w:hAnsi="Times New Roman"/>
          <w:i/>
          <w:sz w:val="24"/>
        </w:rPr>
        <w:t>3.1.3. Pētījums un analīze par veicinātājfaktoriem un vājajām vietām, fakultatīvi norādījumi par tādu jauninājumu ieviešanu, kas ir balstīti uz bioresursiem.</w:t>
      </w:r>
    </w:p>
    <w:p w14:paraId="3A5BDF11" w14:textId="77777777" w:rsidR="00CF10CD" w:rsidRDefault="00CF10CD"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26DD5" w14:paraId="34D611B6" w14:textId="77777777" w:rsidTr="00726DD5">
        <w:tc>
          <w:tcPr>
            <w:tcW w:w="9288" w:type="dxa"/>
          </w:tcPr>
          <w:p w14:paraId="7189609F" w14:textId="77777777" w:rsidR="00726DD5" w:rsidRPr="00726DD5" w:rsidRDefault="00726DD5" w:rsidP="00726DD5">
            <w:pPr>
              <w:jc w:val="both"/>
              <w:rPr>
                <w:rFonts w:ascii="Times New Roman" w:hAnsi="Times New Roman"/>
                <w:i/>
                <w:iCs/>
                <w:noProof/>
                <w:sz w:val="24"/>
              </w:rPr>
            </w:pPr>
            <w:r>
              <w:rPr>
                <w:rFonts w:ascii="Times New Roman" w:hAnsi="Times New Roman"/>
                <w:i/>
                <w:sz w:val="24"/>
              </w:rPr>
              <w:t>Sniegt norādes, identificēt vājās vietas, veicinātājfaktorus un nepilnības, kas ietekmē sinerģijas un uz bioresursiem balstīto jauninājumu ieviešanu.</w:t>
            </w:r>
          </w:p>
          <w:p w14:paraId="3E4C9E9C" w14:textId="77777777" w:rsidR="00726DD5" w:rsidRPr="00726DD5" w:rsidRDefault="00726DD5" w:rsidP="00726DD5">
            <w:pPr>
              <w:jc w:val="both"/>
              <w:rPr>
                <w:rFonts w:ascii="Times New Roman" w:eastAsia="Times New Roman" w:hAnsi="Times New Roman" w:cs="Times New Roman"/>
                <w:i/>
                <w:iCs/>
                <w:noProof/>
                <w:sz w:val="24"/>
                <w:szCs w:val="20"/>
              </w:rPr>
            </w:pPr>
          </w:p>
          <w:p w14:paraId="1C6DA16A" w14:textId="77777777" w:rsidR="00726DD5" w:rsidRPr="00726DD5" w:rsidRDefault="00726DD5" w:rsidP="001F2648">
            <w:pPr>
              <w:jc w:val="both"/>
              <w:rPr>
                <w:rFonts w:ascii="Times New Roman" w:hAnsi="Times New Roman"/>
                <w:i/>
                <w:iCs/>
                <w:noProof/>
                <w:sz w:val="24"/>
              </w:rPr>
            </w:pPr>
            <w:r>
              <w:rPr>
                <w:rFonts w:ascii="Times New Roman" w:hAnsi="Times New Roman"/>
                <w:i/>
                <w:sz w:val="24"/>
              </w:rPr>
              <w:t>Rādītāji. Ziņojums par nodrošināto regulatīvo vidi.</w:t>
            </w:r>
          </w:p>
        </w:tc>
      </w:tr>
    </w:tbl>
    <w:p w14:paraId="1372416C" w14:textId="77777777" w:rsidR="00726DD5" w:rsidRPr="00DF28F7" w:rsidRDefault="00726DD5" w:rsidP="001F2648">
      <w:pPr>
        <w:jc w:val="both"/>
        <w:rPr>
          <w:rFonts w:ascii="Times New Roman" w:eastAsia="Times New Roman" w:hAnsi="Times New Roman" w:cs="Times New Roman"/>
          <w:noProof/>
          <w:sz w:val="24"/>
          <w:szCs w:val="18"/>
        </w:rPr>
      </w:pPr>
    </w:p>
    <w:p w14:paraId="21447898" w14:textId="77777777" w:rsidR="0083515C" w:rsidRPr="00726DD5" w:rsidRDefault="0083515C" w:rsidP="001F2648">
      <w:pPr>
        <w:pStyle w:val="BodyText"/>
        <w:ind w:left="0"/>
        <w:jc w:val="both"/>
        <w:rPr>
          <w:rFonts w:ascii="Times New Roman" w:hAnsi="Times New Roman"/>
          <w:noProof/>
          <w:sz w:val="24"/>
        </w:rPr>
      </w:pPr>
      <w:r>
        <w:rPr>
          <w:rFonts w:ascii="Times New Roman" w:hAnsi="Times New Roman"/>
          <w:sz w:val="24"/>
        </w:rPr>
        <w:t>Uz bioresursiem balstītajā sektorā ir būtiski segmenti (piemēram, uz fosilajiem energoresursiem balstītajām ķīmiskajām vielām alternatīvi uz bioresursiem balstītie risinājumi, tekstilpreces, plastmasa, kompozīti utt.), kas tikai vēl attīstās, tāpēc joprojām ir sadrumstaloti. Kā norāda daži eksperti, regulējums un stimuli neatbilst tehnoloģiskās attīstības tempam.</w:t>
      </w:r>
      <w:r w:rsidR="00726DD5">
        <w:rPr>
          <w:rStyle w:val="FootnoteReference"/>
          <w:rFonts w:ascii="Times New Roman" w:hAnsi="Times New Roman"/>
          <w:noProof/>
          <w:sz w:val="24"/>
        </w:rPr>
        <w:footnoteReference w:id="241"/>
      </w:r>
      <w:r>
        <w:rPr>
          <w:rFonts w:ascii="Times New Roman" w:hAnsi="Times New Roman"/>
          <w:sz w:val="24"/>
        </w:rPr>
        <w:t xml:space="preserve"> Tāpēc vēl aizvien ir nepieciešams: 1) izvērtēt, plānot un identificēt pētniecību un inovāciju, kas vēl joprojām ir nepieciešama, lai pilnībā izmantotu uz bioresursiem balstītās nozares potenciālu; 2) identificēt vājās vietas, veicinātājfaktorus un nepilnības, kas kavē uz bioresursiem balstīto inovāciju ieviešanu tirgū un rūpniecisku izmantošanu, tostarp attiecīgajās ES politikas jomās, piemēram, pētniecībā un inovācijā, aprites ekonomikā, vides un cilvēku veselības aizsardzībā, būvniecībā, tekstilpreču nozarē, plastmasas, atkritumu vai mēslošanas līdzekļu jomā, KLP, rūpniecības politikā utt.</w:t>
      </w:r>
      <w:r w:rsidR="00726DD5">
        <w:rPr>
          <w:rStyle w:val="FootnoteReference"/>
          <w:rFonts w:ascii="Times New Roman" w:hAnsi="Times New Roman"/>
          <w:noProof/>
          <w:sz w:val="24"/>
        </w:rPr>
        <w:footnoteReference w:id="242"/>
      </w:r>
    </w:p>
    <w:p w14:paraId="5AD32713" w14:textId="77777777" w:rsidR="0083515C" w:rsidRPr="00DF28F7" w:rsidRDefault="0083515C" w:rsidP="001F2648">
      <w:pPr>
        <w:jc w:val="both"/>
        <w:rPr>
          <w:rFonts w:ascii="Times New Roman" w:eastAsia="Verdana" w:hAnsi="Times New Roman" w:cs="Verdana"/>
          <w:noProof/>
          <w:sz w:val="24"/>
          <w:szCs w:val="19"/>
        </w:rPr>
      </w:pPr>
    </w:p>
    <w:p w14:paraId="718EE52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u w:val="single"/>
        </w:rPr>
        <w:t>Līdz 2021. gadam šajā darbībā paredzēts</w:t>
      </w:r>
      <w:r>
        <w:rPr>
          <w:rFonts w:ascii="Times New Roman" w:hAnsi="Times New Roman"/>
          <w:sz w:val="24"/>
        </w:rPr>
        <w:t>:</w:t>
      </w:r>
    </w:p>
    <w:p w14:paraId="11FA26E5" w14:textId="77777777" w:rsidR="0083515C" w:rsidRPr="00DF28F7" w:rsidRDefault="0083515C" w:rsidP="001F2648">
      <w:pPr>
        <w:jc w:val="both"/>
        <w:rPr>
          <w:rFonts w:ascii="Times New Roman" w:eastAsia="Verdana" w:hAnsi="Times New Roman" w:cs="Verdana"/>
          <w:noProof/>
          <w:sz w:val="24"/>
          <w:szCs w:val="14"/>
        </w:rPr>
      </w:pPr>
    </w:p>
    <w:p w14:paraId="44B2E04E" w14:textId="77777777" w:rsidR="0083515C" w:rsidRPr="00DF28F7" w:rsidRDefault="00726DD5" w:rsidP="00726DD5">
      <w:pPr>
        <w:pStyle w:val="BodyText"/>
        <w:tabs>
          <w:tab w:val="left" w:pos="474"/>
        </w:tabs>
        <w:ind w:left="0"/>
        <w:jc w:val="both"/>
        <w:rPr>
          <w:rFonts w:ascii="Times New Roman" w:hAnsi="Times New Roman"/>
          <w:noProof/>
          <w:sz w:val="24"/>
        </w:rPr>
      </w:pPr>
      <w:r>
        <w:rPr>
          <w:rFonts w:ascii="Times New Roman" w:hAnsi="Times New Roman"/>
          <w:sz w:val="24"/>
        </w:rPr>
        <w:t>1) plānot visu iespējamo uz bioresursiem balstīto inovāciju klāstu lauksaimniecības, meža un jūras nozarē. Tas attieksies arī uz visu bioproduktu klāstu, piemēram, uz produktiem, kurus iegūst kokapstrādē, celulozes, papīra un kartona rūpniecībā un progresīvajās biorafinēšanas iekārtās, kā arī uz sekundārajām plūsmām un uz atkritumu bāzes veidotajiem produktiem, un uz to, kā ar tiem atbalstīt atbilstību aprites principiem, un tas attieksies arī uz klasiskajām nozarēm, piemēram, būvniecību, mēbelēm, tekstilprecēm utt.;</w:t>
      </w:r>
    </w:p>
    <w:p w14:paraId="1D53E442" w14:textId="77777777" w:rsidR="0083515C" w:rsidRPr="00DF28F7" w:rsidRDefault="0083515C" w:rsidP="001F2648">
      <w:pPr>
        <w:jc w:val="both"/>
        <w:rPr>
          <w:rFonts w:ascii="Times New Roman" w:eastAsia="Verdana" w:hAnsi="Times New Roman" w:cs="Verdana"/>
          <w:noProof/>
          <w:sz w:val="24"/>
          <w:szCs w:val="19"/>
        </w:rPr>
      </w:pPr>
    </w:p>
    <w:p w14:paraId="36687C3D" w14:textId="77777777" w:rsidR="0083515C" w:rsidRPr="00DF28F7" w:rsidRDefault="00726DD5" w:rsidP="00726DD5">
      <w:pPr>
        <w:pStyle w:val="BodyText"/>
        <w:tabs>
          <w:tab w:val="left" w:pos="474"/>
        </w:tabs>
        <w:ind w:left="0"/>
        <w:jc w:val="both"/>
        <w:rPr>
          <w:rFonts w:ascii="Times New Roman" w:hAnsi="Times New Roman"/>
          <w:noProof/>
          <w:sz w:val="24"/>
        </w:rPr>
      </w:pPr>
      <w:r>
        <w:rPr>
          <w:rFonts w:ascii="Times New Roman" w:hAnsi="Times New Roman"/>
          <w:sz w:val="24"/>
        </w:rPr>
        <w:t>2) noteikt, kādi pētījumi ir vajadzīgi, lai atraisītu inovācijas potenciālu šajās jomās, balstoties uz pašreizējiem ziņojumiem un analīzēm, tostarp ar procesiem saistītām inovācijām un sociāliem jauninājumiem, kā arī iespējamiem veicinātājfaktoriem un vājajiem punktiem uz bioresursiem balstītu inovāciju ienākšanai tirgū un rūpnieciskai izmantošanai, tostarp standartizācijas un marķēšanas nepilnībām un iespējām jaunajā uz bioresursiem balstītajā nozarē. Mērķis ir sniegt norādes, zināšanas un analīzi par to, kā iekļaut un ietvert bioekonomiku Eiropas Savienības politikas iniciatīvu sagatavošanā un pienācīgā īstenošanā, kā arī likumdošanas un programmu priekšlikumos.</w:t>
      </w:r>
    </w:p>
    <w:p w14:paraId="6172F5D7" w14:textId="77777777" w:rsidR="0083515C" w:rsidRPr="00DF28F7" w:rsidRDefault="0083515C" w:rsidP="001F2648">
      <w:pPr>
        <w:jc w:val="both"/>
        <w:rPr>
          <w:rFonts w:ascii="Times New Roman" w:eastAsia="Verdana" w:hAnsi="Times New Roman" w:cs="Verdana"/>
          <w:noProof/>
          <w:sz w:val="24"/>
          <w:szCs w:val="19"/>
        </w:rPr>
      </w:pPr>
    </w:p>
    <w:p w14:paraId="124E367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lastRenderedPageBreak/>
        <w:t>Šī darbība tiks īstenota ar publiskā iepirkuma pakalpojumu sniegšanas līgumu starpniecību.</w:t>
      </w:r>
    </w:p>
    <w:p w14:paraId="5D8C2249" w14:textId="77777777" w:rsidR="00CF10CD" w:rsidRPr="00DF28F7" w:rsidRDefault="00CF10CD" w:rsidP="001F2648">
      <w:pPr>
        <w:jc w:val="both"/>
        <w:rPr>
          <w:rFonts w:ascii="Times New Roman" w:eastAsia="Verdana" w:hAnsi="Times New Roman" w:cs="Verdana"/>
          <w:noProof/>
          <w:sz w:val="24"/>
          <w:szCs w:val="20"/>
        </w:rPr>
      </w:pPr>
    </w:p>
    <w:p w14:paraId="640C270E" w14:textId="77777777" w:rsidR="0083515C" w:rsidRPr="00DF28F7" w:rsidRDefault="0083515C" w:rsidP="001F2648">
      <w:pPr>
        <w:jc w:val="both"/>
        <w:rPr>
          <w:rFonts w:ascii="Times New Roman" w:eastAsia="Verdana" w:hAnsi="Times New Roman" w:cs="Verdana"/>
          <w:noProof/>
          <w:sz w:val="24"/>
          <w:szCs w:val="19"/>
        </w:rPr>
      </w:pPr>
    </w:p>
    <w:p w14:paraId="41432A70" w14:textId="77777777" w:rsidR="0083515C" w:rsidRPr="00726DD5" w:rsidRDefault="0083515C" w:rsidP="001F2648">
      <w:pPr>
        <w:jc w:val="both"/>
        <w:rPr>
          <w:rFonts w:ascii="Times New Roman" w:hAnsi="Times New Roman"/>
          <w:i/>
          <w:iCs/>
          <w:noProof/>
          <w:sz w:val="24"/>
        </w:rPr>
      </w:pPr>
      <w:r>
        <w:rPr>
          <w:rFonts w:ascii="Times New Roman" w:hAnsi="Times New Roman"/>
          <w:i/>
          <w:sz w:val="24"/>
        </w:rPr>
        <w:t>3.1.4. Veicināt un/vai izstrādāt standartus un topošiem tirgiem vajadzīgos stimulus un uzlabot bioproduktiem piemērojamo marķējumu, pamatojoties uz ticamiem un salīdzināmiem datiem par ekoloģiskajiem un klimata raksturlielumiem</w:t>
      </w:r>
    </w:p>
    <w:p w14:paraId="48BFE92C" w14:textId="77777777" w:rsidR="00CF10CD" w:rsidRPr="00DF28F7" w:rsidRDefault="00CF10CD"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26DD5" w14:paraId="573BBB87" w14:textId="77777777" w:rsidTr="00726DD5">
        <w:tc>
          <w:tcPr>
            <w:tcW w:w="9288" w:type="dxa"/>
          </w:tcPr>
          <w:p w14:paraId="056118B3" w14:textId="77777777" w:rsidR="00726DD5" w:rsidRPr="00726DD5" w:rsidRDefault="00726DD5" w:rsidP="00726DD5">
            <w:pPr>
              <w:jc w:val="both"/>
              <w:rPr>
                <w:rFonts w:ascii="Times New Roman" w:hAnsi="Times New Roman"/>
                <w:i/>
                <w:iCs/>
                <w:noProof/>
                <w:sz w:val="24"/>
              </w:rPr>
            </w:pPr>
            <w:r>
              <w:rPr>
                <w:rFonts w:ascii="Times New Roman" w:hAnsi="Times New Roman"/>
                <w:i/>
                <w:sz w:val="24"/>
              </w:rPr>
              <w:t>Šajā darbībā atbalstu nodrošinās, izmantojot attiecīgās finansējuma programmas (piemēram, LIFE, “Apvārsnis” vai citas programmas), lai sagatavotu valstīm atbilstošus dzīves cikla sarakstus, par prioritāti izvirzot bioekonomikai visbūtiskākos produktus. Komisija šos datus varētu izskatīt produktu politikas ietvaros, piemēram, saistībā ar ES ekomarķējumu un zaļo publisko iepirkumu, un tiem jāatbilst ekoloģiskās pēdas nospieduma noteikšanas metožu jaunākajai versijai un papildu norādījumiem attiecībā uz produktiem, pakalpojumiem un organizācijām. Dalībvalstis tiek aicinātas palīdzēt veidot, atjaunināt un uzturēt šādas datu kopas. Turklāt šajā darbībā tiks pētīts, kā izmantot informāciju par ekoloģiskajiem raksturlielumiem, lai veicinātu bioproduktu tirgu, iespējams, integrējot ekoloģiskās pēdas nospieduma noteikšanas metodes dažādos attiecīgos instrumentos.</w:t>
            </w:r>
          </w:p>
          <w:p w14:paraId="78FD4B16" w14:textId="77777777" w:rsidR="00726DD5" w:rsidRPr="00726DD5" w:rsidRDefault="00726DD5" w:rsidP="00726DD5">
            <w:pPr>
              <w:jc w:val="both"/>
              <w:rPr>
                <w:rFonts w:ascii="Times New Roman" w:eastAsia="Times New Roman" w:hAnsi="Times New Roman" w:cs="Times New Roman"/>
                <w:i/>
                <w:iCs/>
                <w:noProof/>
                <w:sz w:val="24"/>
                <w:szCs w:val="21"/>
              </w:rPr>
            </w:pPr>
          </w:p>
          <w:p w14:paraId="283696CF" w14:textId="77777777" w:rsidR="00726DD5" w:rsidRDefault="00726DD5" w:rsidP="001F2648">
            <w:pPr>
              <w:jc w:val="both"/>
              <w:rPr>
                <w:rFonts w:ascii="Times New Roman" w:hAnsi="Times New Roman"/>
                <w:i/>
                <w:iCs/>
                <w:noProof/>
                <w:sz w:val="24"/>
              </w:rPr>
            </w:pPr>
            <w:r>
              <w:rPr>
                <w:rFonts w:ascii="Times New Roman" w:hAnsi="Times New Roman"/>
                <w:i/>
                <w:sz w:val="24"/>
              </w:rPr>
              <w:t>Arī citi instrumenti, tostarp oglekļa uzskaite, sniegtu pierādījumus par bioproduktu un pakalpojumu devumu siltumnīcefekta gāzu emisiju samazināšanā daudzās nozarēs (lauksaimniecībā, pakalpojumu jomā, MVU, mājsaimniecību jomā).</w:t>
            </w:r>
          </w:p>
          <w:p w14:paraId="51445AF1" w14:textId="77777777" w:rsidR="00726DD5" w:rsidRDefault="00726DD5" w:rsidP="001F2648">
            <w:pPr>
              <w:jc w:val="both"/>
              <w:rPr>
                <w:rFonts w:ascii="Times New Roman" w:hAnsi="Times New Roman"/>
                <w:i/>
                <w:iCs/>
                <w:noProof/>
                <w:sz w:val="24"/>
              </w:rPr>
            </w:pPr>
          </w:p>
          <w:p w14:paraId="46619DED" w14:textId="77777777" w:rsidR="00726DD5" w:rsidRPr="00726DD5" w:rsidRDefault="00726DD5" w:rsidP="00726DD5">
            <w:pPr>
              <w:jc w:val="both"/>
              <w:rPr>
                <w:rFonts w:ascii="Times New Roman" w:hAnsi="Times New Roman"/>
                <w:i/>
                <w:iCs/>
                <w:noProof/>
                <w:sz w:val="24"/>
              </w:rPr>
            </w:pPr>
            <w:r>
              <w:rPr>
                <w:rFonts w:ascii="Times New Roman" w:hAnsi="Times New Roman"/>
                <w:i/>
                <w:sz w:val="24"/>
              </w:rPr>
              <w:t>Tādējādi šī darbība veicinās pašreizējo standartu un marķējumu izmantošanu un jaunus uz tirgu balstītus stimulus bioproduktiem.</w:t>
            </w:r>
          </w:p>
          <w:p w14:paraId="29F466CA" w14:textId="77777777" w:rsidR="00726DD5" w:rsidRPr="00726DD5" w:rsidRDefault="00726DD5" w:rsidP="00726DD5">
            <w:pPr>
              <w:jc w:val="both"/>
              <w:rPr>
                <w:rFonts w:ascii="Times New Roman" w:eastAsia="Verdana" w:hAnsi="Times New Roman" w:cs="Verdana"/>
                <w:i/>
                <w:iCs/>
                <w:noProof/>
                <w:sz w:val="24"/>
                <w:szCs w:val="19"/>
              </w:rPr>
            </w:pPr>
          </w:p>
          <w:p w14:paraId="2018171F" w14:textId="77777777" w:rsidR="00726DD5" w:rsidRPr="00726DD5" w:rsidRDefault="00726DD5" w:rsidP="001F2648">
            <w:pPr>
              <w:jc w:val="both"/>
              <w:rPr>
                <w:rFonts w:ascii="Times New Roman" w:eastAsia="Times New Roman" w:hAnsi="Times New Roman" w:cs="Times New Roman"/>
                <w:i/>
                <w:iCs/>
                <w:noProof/>
                <w:sz w:val="24"/>
                <w:szCs w:val="19"/>
              </w:rPr>
            </w:pPr>
            <w:r>
              <w:rPr>
                <w:rFonts w:ascii="Times New Roman" w:hAnsi="Times New Roman"/>
                <w:i/>
                <w:sz w:val="24"/>
              </w:rPr>
              <w:t>Rādītāji. Kvalitatīvas, ekoloģiskās pēdas nospiedumam atbilstīgas sekundāro dzīves ciklu sarakstu datu kopas, kas par biomateriāliem izstrādātas katrai ES dalībvalstij; šādu sekundāro datu un saistīto projektu attīstībā ieguldītie EUR; Produktu ekoloģiskās pēdas nospieduma kategoriju noteikumu (PEPNKN) izstrāde tām produktu grupām, kas ir būtiskas uz bioresursiem balstītajai ekonomikai. Esošo standartu izmantošana, lai ietvertu uz bioresursiem balstīta satura elementus.</w:t>
            </w:r>
          </w:p>
        </w:tc>
      </w:tr>
    </w:tbl>
    <w:p w14:paraId="29961DE2" w14:textId="77777777" w:rsidR="0083515C" w:rsidRPr="00DF28F7" w:rsidRDefault="0083515C" w:rsidP="001F2648">
      <w:pPr>
        <w:jc w:val="both"/>
        <w:rPr>
          <w:rFonts w:ascii="Times New Roman" w:eastAsia="Verdana" w:hAnsi="Times New Roman" w:cs="Verdana"/>
          <w:noProof/>
          <w:sz w:val="24"/>
          <w:szCs w:val="15"/>
        </w:rPr>
      </w:pPr>
    </w:p>
    <w:p w14:paraId="7F0539E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Lai uzlabotu ieviešanu tirgū un vairotu patērētāju uzticību, ir jāizmanto daudzveidīgi instrumenti, piemēram, informācija par ekoloģiskajiem raksturlielumiem, kuras pamatā ir uzticami un salīdzināmi, politikas instrumentos iekļauti pamatdati (piemēram, ES ekomarķējums un zaļais publiskais iepirkums) un ar bioproduktiem saistītie standarti, kas nodrošinās pārskatatbildību un veicinās patērētāju uzticību.</w:t>
      </w:r>
    </w:p>
    <w:p w14:paraId="068AFB62" w14:textId="77777777" w:rsidR="0083515C" w:rsidRPr="00DF28F7" w:rsidRDefault="0083515C" w:rsidP="001F2648">
      <w:pPr>
        <w:jc w:val="both"/>
        <w:rPr>
          <w:rFonts w:ascii="Times New Roman" w:eastAsia="Verdana" w:hAnsi="Times New Roman" w:cs="Verdana"/>
          <w:noProof/>
          <w:sz w:val="24"/>
          <w:szCs w:val="19"/>
        </w:rPr>
      </w:pPr>
    </w:p>
    <w:p w14:paraId="1CDA956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Uz vidi orientētiem produktu politikas instrumentiem, piemēram, zaļajam publiskajam iepirkumam (</w:t>
      </w:r>
      <w:r>
        <w:rPr>
          <w:rFonts w:ascii="Times New Roman" w:hAnsi="Times New Roman"/>
          <w:i/>
          <w:iCs/>
          <w:sz w:val="24"/>
        </w:rPr>
        <w:t>GPP</w:t>
      </w:r>
      <w:r>
        <w:rPr>
          <w:rFonts w:ascii="Times New Roman" w:hAnsi="Times New Roman"/>
          <w:sz w:val="24"/>
        </w:rPr>
        <w:t>) un ES ekomarķējumam, jāveicina bioproduktu un procesu plašāka ieviešana tirgū tikai tad, ja ir pierādīts, ka tie dod labumu arī vides ziņā. Viens no galvenajiem elementiem, lai noteiktu to iespējamo pārākumu, ir tas, ka to dzīves cikla ekoloģiskie raksturlielumi ir labāki par esošajām alternatīvām.</w:t>
      </w:r>
    </w:p>
    <w:p w14:paraId="08A15540" w14:textId="77777777" w:rsidR="0083515C" w:rsidRPr="00DF28F7" w:rsidRDefault="0083515C" w:rsidP="001F2648">
      <w:pPr>
        <w:jc w:val="both"/>
        <w:rPr>
          <w:rFonts w:ascii="Times New Roman" w:eastAsia="Verdana" w:hAnsi="Times New Roman" w:cs="Verdana"/>
          <w:noProof/>
          <w:sz w:val="24"/>
          <w:szCs w:val="19"/>
        </w:rPr>
      </w:pPr>
    </w:p>
    <w:p w14:paraId="305035C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Pastāv ES metodes dzīves cikla ekoloģisko raksturlielumu salīdzināmai mērīšanai – tās ir 2013. gadā Komisijas pieņemtās produktu un organizāciju ekoloģiskās pēdas nospieduma (attiecīgi PVPN un OEPN) metodes.</w:t>
      </w:r>
      <w:r w:rsidR="00726DD5">
        <w:rPr>
          <w:rStyle w:val="FootnoteReference"/>
          <w:rFonts w:ascii="Times New Roman" w:hAnsi="Times New Roman"/>
          <w:noProof/>
          <w:sz w:val="24"/>
        </w:rPr>
        <w:footnoteReference w:id="243"/>
      </w:r>
      <w:r>
        <w:rPr>
          <w:rFonts w:ascii="Times New Roman" w:hAnsi="Times New Roman"/>
          <w:sz w:val="24"/>
        </w:rPr>
        <w:t xml:space="preserve"> Tās tika izstrādātas, balstoties uz esošajiem standartiem, lai nodrošinātu, ka rezultāti ir salīdzināmi, reproducējami un ticami. Tās ietver </w:t>
      </w:r>
      <w:r>
        <w:rPr>
          <w:rFonts w:ascii="Times New Roman" w:hAnsi="Times New Roman"/>
          <w:sz w:val="24"/>
        </w:rPr>
        <w:lastRenderedPageBreak/>
        <w:t>plašāku attiecīgo ekoloģisko raksturlielumu kritēriju kopumu, kas ļauj saskaņoti aprēķināt 16 dažādas ietekmes (tostarp klimata pārmaiņas, tiešu zemes izmantojumu, ūdens izmantojumu, paskābināšanos, eitrofikāciju un resursu izmantojumu), ko rada produkts, pakalpojums vai organizācija, aplūkojot visu vērtības ķēdi (“no šūpuļa līdz kapam”). Metodes tika pārbaudītas dabiskos apstākļos sadarbībā ar dalībvalstīm, NVO un 25 rūpniecības nozarēm, tostarp 11 ar barību un pārtikas produktiem saistītiem pilotprojektiem.</w:t>
      </w:r>
      <w:r w:rsidR="00726DD5">
        <w:rPr>
          <w:rStyle w:val="FootnoteReference"/>
          <w:rFonts w:ascii="Times New Roman" w:hAnsi="Times New Roman"/>
          <w:noProof/>
          <w:sz w:val="24"/>
        </w:rPr>
        <w:footnoteReference w:id="244"/>
      </w:r>
      <w:r>
        <w:rPr>
          <w:rFonts w:ascii="Times New Roman" w:hAnsi="Times New Roman"/>
          <w:sz w:val="24"/>
        </w:rPr>
        <w:t xml:space="preserve"> Attiecībā uz šīm produktu grupām Eiropas Komisija nodrošināja brīvu pieejamību vairāk nekā diviem tūkstošiem dzīves cikla uzskaites datu, kuri ir piemēroti līdzīgu galaproduktu salīdzināšanai un kurus šādiem mērķiem izmanto kopā ar primārajiem datiem.</w:t>
      </w:r>
    </w:p>
    <w:p w14:paraId="102B7EEA" w14:textId="77777777" w:rsidR="0083515C" w:rsidRPr="00DF28F7" w:rsidRDefault="0083515C" w:rsidP="001F2648">
      <w:pPr>
        <w:jc w:val="both"/>
        <w:rPr>
          <w:rFonts w:ascii="Times New Roman" w:eastAsia="Verdana" w:hAnsi="Times New Roman" w:cs="Verdana"/>
          <w:noProof/>
          <w:sz w:val="24"/>
          <w:szCs w:val="19"/>
        </w:rPr>
      </w:pPr>
    </w:p>
    <w:p w14:paraId="6FB0A14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Tomēr šajos 11 pilotprojektos aptverto ražojumu klāsts nav plašs, turklāt trūkst alternatīvu risinājumu salīdzināšanai nepieciešamo datu vai arī tie nav pietiekami sīki. Šādiem datiem ir jābūt pieejamiem, iespējams, valstu līmenī, turklāt attiecībā uz dažām ietekmēm, piemēram, ūdens un zemes izmantojumu, tiem vajadzētu būt pieejamiem pat reģionālā/sateces baseina līmenī. Pašreizējās komerciālajās datubāzēs šādi kvalitatīvie dati nav pietiekami pieejami. Turklāt, ja ir jāsalīdzina bioprodukti un alternatīvi izstrādājumi, kas galvenokārt ir uz fosilajiem energoresursiem balstīti ražojumi, ir būtiski, lai visas izmantotās datu kopas atbilstu ekoloģiskās pēdas nospiedumam (</w:t>
      </w:r>
      <w:r>
        <w:rPr>
          <w:rFonts w:ascii="Times New Roman" w:hAnsi="Times New Roman"/>
          <w:i/>
          <w:iCs/>
          <w:sz w:val="24"/>
        </w:rPr>
        <w:t>EF</w:t>
      </w:r>
      <w:r>
        <w:rPr>
          <w:rFonts w:ascii="Times New Roman" w:hAnsi="Times New Roman"/>
          <w:sz w:val="24"/>
        </w:rPr>
        <w:t>) un oglekļa pēdas nospiedumam, jo tādējādi var garantēt pilnīgu sadarbspēju un rezultātu salīdzināmību.</w:t>
      </w:r>
    </w:p>
    <w:p w14:paraId="66276167" w14:textId="77777777" w:rsidR="0083515C" w:rsidRPr="00DF28F7" w:rsidRDefault="0083515C" w:rsidP="001F2648">
      <w:pPr>
        <w:jc w:val="both"/>
        <w:rPr>
          <w:rFonts w:ascii="Times New Roman" w:eastAsia="Verdana" w:hAnsi="Times New Roman" w:cs="Verdana"/>
          <w:noProof/>
          <w:sz w:val="24"/>
          <w:szCs w:val="20"/>
        </w:rPr>
      </w:pPr>
    </w:p>
    <w:p w14:paraId="0FD0932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Nesen tika veikta analīze ar mērķi salīdzināt bioproduktu un uz fosilajiem energoresursiem balstītu alternatīvu ražojumu ekoloģiskās pēdas nospiedumu (</w:t>
      </w:r>
      <w:r>
        <w:rPr>
          <w:rFonts w:ascii="Times New Roman" w:hAnsi="Times New Roman"/>
          <w:i/>
          <w:iCs/>
          <w:sz w:val="24"/>
        </w:rPr>
        <w:t>EF</w:t>
      </w:r>
      <w:r>
        <w:rPr>
          <w:rFonts w:ascii="Times New Roman" w:hAnsi="Times New Roman"/>
          <w:sz w:val="24"/>
        </w:rPr>
        <w:t xml:space="preserve">), un iegūtie rezultāti liecina, ka mūsdienās nav iespējams veikt novērtējumu, pilnībā ņemot vērā </w:t>
      </w:r>
      <w:r>
        <w:rPr>
          <w:rFonts w:ascii="Times New Roman" w:hAnsi="Times New Roman"/>
          <w:i/>
          <w:iCs/>
          <w:sz w:val="24"/>
        </w:rPr>
        <w:t>EF</w:t>
      </w:r>
      <w:r>
        <w:rPr>
          <w:rFonts w:ascii="Times New Roman" w:hAnsi="Times New Roman"/>
          <w:sz w:val="24"/>
        </w:rPr>
        <w:t xml:space="preserve"> prasībām atbilstošus datus, jo šādu datu daļēji trūkst</w:t>
      </w:r>
      <w:r w:rsidR="00726DD5">
        <w:rPr>
          <w:rStyle w:val="FootnoteReference"/>
          <w:rFonts w:ascii="Times New Roman" w:hAnsi="Times New Roman"/>
          <w:noProof/>
          <w:sz w:val="24"/>
        </w:rPr>
        <w:footnoteReference w:id="245"/>
      </w:r>
      <w:r>
        <w:rPr>
          <w:rFonts w:ascii="Times New Roman" w:hAnsi="Times New Roman"/>
          <w:sz w:val="24"/>
        </w:rPr>
        <w:t>. Turklāt trūkst arī saskanīgu datu par uz bioresursiem balstītu izejvielu radītu ietekmi uz netiešu zemes izmantošanas maiņu (</w:t>
      </w:r>
      <w:r>
        <w:rPr>
          <w:rFonts w:ascii="Times New Roman" w:hAnsi="Times New Roman"/>
          <w:i/>
          <w:iCs/>
          <w:sz w:val="24"/>
        </w:rPr>
        <w:t>ILUC</w:t>
      </w:r>
      <w:r>
        <w:rPr>
          <w:rFonts w:ascii="Times New Roman" w:hAnsi="Times New Roman"/>
          <w:sz w:val="24"/>
        </w:rPr>
        <w:t>). Pētījumā arī secināja, ka uzticamāku un pārredzamāku salīdzinājumu veikšanai būtu nepieciešami pārredzamāki dati par ražojumiem, kas iegūti no fosilajiem energoresursiem. Šī nepilnība, kas saistīta ar ražojumiem no fosilajiem energoresursiem, ir skatīta sekundārajos datos, kas ir pieejami ekoloģiskās pēdas nospieduma izmēģinājuma stadijā.</w:t>
      </w:r>
    </w:p>
    <w:p w14:paraId="4FA9CD67" w14:textId="77777777" w:rsidR="0083515C" w:rsidRPr="00DF28F7" w:rsidRDefault="0083515C" w:rsidP="001F2648">
      <w:pPr>
        <w:jc w:val="both"/>
        <w:rPr>
          <w:rFonts w:ascii="Times New Roman" w:hAnsi="Times New Roman"/>
          <w:noProof/>
          <w:sz w:val="24"/>
        </w:rPr>
      </w:pPr>
    </w:p>
    <w:p w14:paraId="4039D5E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Turklāt dažos gadījumos, veicot dažādu alternatīvu ražojumu pienācīgu salīdzinošu ekoloģiskās pēdas nospieduma analīzi, tiks pārvarēti arī daži no pašreizējiem ierobežojumiem, kas vērojami saistībā ar pašreizējiem dzīves cikla novērtējumiem un citām novērtēšanas metodēm</w:t>
      </w:r>
      <w:r w:rsidR="00726DD5">
        <w:rPr>
          <w:rStyle w:val="FootnoteReference"/>
          <w:rFonts w:ascii="Times New Roman" w:hAnsi="Times New Roman"/>
          <w:noProof/>
          <w:sz w:val="24"/>
        </w:rPr>
        <w:footnoteReference w:id="246"/>
      </w:r>
      <w:r>
        <w:rPr>
          <w:rFonts w:ascii="Times New Roman" w:hAnsi="Times New Roman"/>
          <w:sz w:val="24"/>
        </w:rPr>
        <w:t>, piemēram, saistībā ar biotisko resursu izmantošanu, ietekmi ārpus klimata pārmaiņām, kas radusies saistībā ar netiešu zemes izmantošanas maiņu (</w:t>
      </w:r>
      <w:r>
        <w:rPr>
          <w:rFonts w:ascii="Times New Roman" w:hAnsi="Times New Roman"/>
          <w:i/>
          <w:iCs/>
          <w:sz w:val="24"/>
        </w:rPr>
        <w:t>ILUC</w:t>
      </w:r>
      <w:r>
        <w:rPr>
          <w:rFonts w:ascii="Times New Roman" w:hAnsi="Times New Roman"/>
          <w:sz w:val="24"/>
        </w:rPr>
        <w:t>), toksiskumu, bioloģisko noārdīšanos vai noplūdēm. Komisijai ir jāveic pasākumi, lai pārvarētu šos ierobežojumus.</w:t>
      </w:r>
    </w:p>
    <w:p w14:paraId="05CF4DC5" w14:textId="77777777" w:rsidR="0083515C" w:rsidRPr="00DF28F7" w:rsidRDefault="0083515C" w:rsidP="001F2648">
      <w:pPr>
        <w:jc w:val="both"/>
        <w:rPr>
          <w:rFonts w:ascii="Times New Roman" w:hAnsi="Times New Roman"/>
          <w:noProof/>
          <w:sz w:val="24"/>
        </w:rPr>
      </w:pPr>
    </w:p>
    <w:p w14:paraId="7CE72C0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Šīs problēmas un nepilnības varētu novērst, saskaņojot rīcību starp ES un dalībvalstīm.</w:t>
      </w:r>
    </w:p>
    <w:p w14:paraId="4B91AC03" w14:textId="77777777" w:rsidR="0083515C" w:rsidRPr="00DF28F7" w:rsidRDefault="0083515C" w:rsidP="001F2648">
      <w:pPr>
        <w:jc w:val="both"/>
        <w:rPr>
          <w:rFonts w:ascii="Times New Roman" w:eastAsia="Verdana" w:hAnsi="Times New Roman" w:cs="Verdana"/>
          <w:noProof/>
          <w:sz w:val="24"/>
          <w:szCs w:val="19"/>
        </w:rPr>
      </w:pPr>
    </w:p>
    <w:p w14:paraId="2E80DF69"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Līdz 2025. gadam šajā darbībā paredzēts:</w:t>
      </w:r>
    </w:p>
    <w:p w14:paraId="21077D56" w14:textId="77777777" w:rsidR="0083515C" w:rsidRPr="00DF28F7" w:rsidRDefault="0083515C" w:rsidP="001F2648">
      <w:pPr>
        <w:jc w:val="both"/>
        <w:rPr>
          <w:rFonts w:ascii="Times New Roman" w:eastAsia="Verdana" w:hAnsi="Times New Roman" w:cs="Verdana"/>
          <w:noProof/>
          <w:sz w:val="24"/>
          <w:szCs w:val="14"/>
        </w:rPr>
      </w:pPr>
    </w:p>
    <w:p w14:paraId="37601CF1" w14:textId="77777777" w:rsidR="0083515C" w:rsidRPr="00DF28F7" w:rsidRDefault="00726DD5" w:rsidP="00726DD5">
      <w:pPr>
        <w:pStyle w:val="BodyText"/>
        <w:tabs>
          <w:tab w:val="left" w:pos="441"/>
        </w:tabs>
        <w:ind w:left="0"/>
        <w:jc w:val="both"/>
        <w:rPr>
          <w:rFonts w:ascii="Times New Roman" w:hAnsi="Times New Roman"/>
          <w:noProof/>
          <w:sz w:val="24"/>
        </w:rPr>
      </w:pPr>
      <w:r>
        <w:rPr>
          <w:rFonts w:ascii="Times New Roman" w:hAnsi="Times New Roman"/>
          <w:sz w:val="24"/>
        </w:rPr>
        <w:t xml:space="preserve">1) novērst metodoloģijas un datu problēmas, izmantojot ES fondus, piemēram, </w:t>
      </w:r>
      <w:r>
        <w:rPr>
          <w:rFonts w:ascii="Times New Roman" w:hAnsi="Times New Roman"/>
          <w:i/>
          <w:iCs/>
          <w:sz w:val="24"/>
        </w:rPr>
        <w:t>LIFE</w:t>
      </w:r>
      <w:r>
        <w:rPr>
          <w:rFonts w:ascii="Times New Roman" w:hAnsi="Times New Roman"/>
          <w:sz w:val="24"/>
        </w:rPr>
        <w:t xml:space="preserve">; šajā jautājumā palīdzētu “Apvārsnis” programmas un citas finansēšanas iespējas. Sedzot ar šīm norisēm saistītās izmaksas no ES līdzekļiem, tās varētu būt bez maksas pieejamas ikvienam </w:t>
      </w:r>
      <w:r>
        <w:rPr>
          <w:rFonts w:ascii="Times New Roman" w:hAnsi="Times New Roman"/>
          <w:sz w:val="24"/>
        </w:rPr>
        <w:lastRenderedPageBreak/>
        <w:t>lietotājam visā pasaulē, vēl vairāk samazinot lietotāju piekļuves izmaksas un stiprinot bioproduktu un to piegādes ķēdes vides novērtējumu. Dalībvalstīm jāpalīdz veidot, atjaunināt un uzturēt šādas datu kopas. Izstrādāto datu kopu skaits būs atkarīgs no to bioproduktu un to piegādes ķēžu veidiem, kuri tiks identificēti kā prioritāri. Tā kā biomasa ir nozīmīgs vides karstais punkts, tā varētu kļūt par vienu no prioritātēm datu izstrādei;</w:t>
      </w:r>
    </w:p>
    <w:p w14:paraId="7D431513" w14:textId="77777777" w:rsidR="0083515C" w:rsidRPr="00DF28F7" w:rsidRDefault="0083515C" w:rsidP="001F2648">
      <w:pPr>
        <w:jc w:val="both"/>
        <w:rPr>
          <w:rFonts w:ascii="Times New Roman" w:eastAsia="Verdana" w:hAnsi="Times New Roman" w:cs="Verdana"/>
          <w:noProof/>
          <w:sz w:val="24"/>
          <w:szCs w:val="20"/>
        </w:rPr>
      </w:pPr>
    </w:p>
    <w:p w14:paraId="118C7DB4" w14:textId="77777777" w:rsidR="0083515C" w:rsidRPr="00DF28F7" w:rsidRDefault="00726DD5" w:rsidP="00590FA6">
      <w:pPr>
        <w:pStyle w:val="BodyText"/>
        <w:tabs>
          <w:tab w:val="left" w:pos="462"/>
        </w:tabs>
        <w:ind w:left="0"/>
        <w:jc w:val="both"/>
        <w:rPr>
          <w:rFonts w:ascii="Times New Roman" w:hAnsi="Times New Roman"/>
          <w:noProof/>
          <w:sz w:val="24"/>
        </w:rPr>
      </w:pPr>
      <w:r>
        <w:rPr>
          <w:rFonts w:ascii="Times New Roman" w:hAnsi="Times New Roman"/>
          <w:sz w:val="24"/>
        </w:rPr>
        <w:t xml:space="preserve">2) ja nepieciešams un ir iespējams, ierosināt jaunu vai pastāvošo produktu grupu ES ekomarķējuma un </w:t>
      </w:r>
      <w:r>
        <w:rPr>
          <w:rFonts w:ascii="Times New Roman" w:hAnsi="Times New Roman"/>
          <w:i/>
          <w:iCs/>
          <w:sz w:val="24"/>
        </w:rPr>
        <w:t>GPP</w:t>
      </w:r>
      <w:r>
        <w:rPr>
          <w:rFonts w:ascii="Times New Roman" w:hAnsi="Times New Roman"/>
          <w:sz w:val="24"/>
        </w:rPr>
        <w:t xml:space="preserve"> kritēriju izstrādes laikā apsvērt iespēju iekļaut konkrētu prasību biomateriālu un produktu popularizēšanai saskaņā ar ekoloģiskās pēdas nospieduma</w:t>
      </w:r>
      <w:r w:rsidR="00590FA6">
        <w:rPr>
          <w:rStyle w:val="FootnoteReference"/>
          <w:rFonts w:ascii="Times New Roman" w:hAnsi="Times New Roman"/>
          <w:noProof/>
          <w:sz w:val="24"/>
        </w:rPr>
        <w:footnoteReference w:id="247"/>
      </w:r>
      <w:r>
        <w:rPr>
          <w:rFonts w:ascii="Times New Roman" w:hAnsi="Times New Roman"/>
          <w:sz w:val="24"/>
        </w:rPr>
        <w:t xml:space="preserve"> rezultātiem un atbilstoši pieejamajiem ES standartiem un tehniskajiem ziņojumiem</w:t>
      </w:r>
      <w:r w:rsidR="00590FA6">
        <w:rPr>
          <w:rStyle w:val="FootnoteReference"/>
          <w:rFonts w:ascii="Times New Roman" w:hAnsi="Times New Roman"/>
          <w:noProof/>
          <w:sz w:val="24"/>
        </w:rPr>
        <w:footnoteReference w:id="248"/>
      </w:r>
      <w:r>
        <w:rPr>
          <w:rFonts w:ascii="Times New Roman" w:hAnsi="Times New Roman"/>
          <w:sz w:val="24"/>
        </w:rPr>
        <w:t xml:space="preserve">, kā arī saskaņā ar stratēģisko pieeju ES ekomarķējumam un </w:t>
      </w:r>
      <w:r>
        <w:rPr>
          <w:rFonts w:ascii="Times New Roman" w:hAnsi="Times New Roman"/>
          <w:i/>
          <w:iCs/>
          <w:sz w:val="24"/>
        </w:rPr>
        <w:t>GPP</w:t>
      </w:r>
      <w:r>
        <w:rPr>
          <w:rFonts w:ascii="Times New Roman" w:hAnsi="Times New Roman"/>
          <w:sz w:val="24"/>
        </w:rPr>
        <w:t>. Šī darbība sekmēs aprites ekonomiku un, iespējams, stratēģijas izstrādi attiecībā uz plastmasu;</w:t>
      </w:r>
    </w:p>
    <w:p w14:paraId="55BF2959" w14:textId="77777777" w:rsidR="0083515C" w:rsidRPr="00DF28F7" w:rsidRDefault="0083515C" w:rsidP="001F2648">
      <w:pPr>
        <w:jc w:val="both"/>
        <w:rPr>
          <w:rFonts w:ascii="Times New Roman" w:eastAsia="Verdana" w:hAnsi="Times New Roman" w:cs="Verdana"/>
          <w:noProof/>
          <w:sz w:val="24"/>
          <w:szCs w:val="19"/>
        </w:rPr>
      </w:pPr>
    </w:p>
    <w:p w14:paraId="21A215B3" w14:textId="77777777" w:rsidR="0083515C" w:rsidRPr="00DF28F7" w:rsidRDefault="00590FA6" w:rsidP="00590FA6">
      <w:pPr>
        <w:pStyle w:val="BodyText"/>
        <w:tabs>
          <w:tab w:val="left" w:pos="520"/>
        </w:tabs>
        <w:ind w:left="0"/>
        <w:jc w:val="both"/>
        <w:rPr>
          <w:rFonts w:ascii="Times New Roman" w:hAnsi="Times New Roman"/>
          <w:noProof/>
          <w:sz w:val="24"/>
        </w:rPr>
      </w:pPr>
      <w:r>
        <w:rPr>
          <w:rFonts w:ascii="Times New Roman" w:hAnsi="Times New Roman"/>
          <w:sz w:val="24"/>
        </w:rPr>
        <w:t>3) popularizēt un/vai izstrādāt esošos standartus un marķējumus, kā arī jaunus uz tirgu balstītus stimulus bioproduktiem.</w:t>
      </w:r>
    </w:p>
    <w:p w14:paraId="622729C0" w14:textId="77777777" w:rsidR="0083515C" w:rsidRPr="00DF28F7" w:rsidRDefault="0083515C" w:rsidP="001F2648">
      <w:pPr>
        <w:jc w:val="both"/>
        <w:rPr>
          <w:rFonts w:ascii="Times New Roman" w:eastAsia="Verdana" w:hAnsi="Times New Roman" w:cs="Verdana"/>
          <w:noProof/>
          <w:sz w:val="24"/>
          <w:szCs w:val="19"/>
        </w:rPr>
      </w:pPr>
    </w:p>
    <w:p w14:paraId="13798DA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Šādi kombinēti pasākumi ļaus pilnībā izpētīt bioproduktu potenciālu, analizēt to ekoloģiskās pēdas nospiedumu salīdzinājumā ar alternatīviem, no fosilajiem energoresursiem iegūtiem ražojumiem, kā arī nodrošināt to popularizēšanu tirgos, vairojot patērētāju uzticību un iekļaujot tos tirgū.</w:t>
      </w:r>
    </w:p>
    <w:p w14:paraId="393C36E1" w14:textId="77777777" w:rsidR="00CF10CD" w:rsidRPr="00DF28F7" w:rsidRDefault="00CF10CD" w:rsidP="001F2648">
      <w:pPr>
        <w:jc w:val="both"/>
        <w:rPr>
          <w:rFonts w:ascii="Times New Roman" w:eastAsia="Verdana" w:hAnsi="Times New Roman" w:cs="Verdana"/>
          <w:noProof/>
          <w:sz w:val="24"/>
          <w:szCs w:val="20"/>
        </w:rPr>
      </w:pPr>
    </w:p>
    <w:p w14:paraId="56122F34" w14:textId="77777777" w:rsidR="0083515C" w:rsidRPr="00DF28F7" w:rsidRDefault="0083515C" w:rsidP="001F2648">
      <w:pPr>
        <w:jc w:val="both"/>
        <w:rPr>
          <w:rFonts w:ascii="Times New Roman" w:eastAsia="Verdana" w:hAnsi="Times New Roman" w:cs="Verdana"/>
          <w:noProof/>
          <w:sz w:val="24"/>
          <w:szCs w:val="19"/>
        </w:rPr>
      </w:pPr>
    </w:p>
    <w:p w14:paraId="12A9B316" w14:textId="77777777" w:rsidR="0083515C" w:rsidRPr="00590FA6" w:rsidRDefault="0083515C" w:rsidP="001F2648">
      <w:pPr>
        <w:jc w:val="both"/>
        <w:rPr>
          <w:rFonts w:ascii="Times New Roman" w:hAnsi="Times New Roman"/>
          <w:i/>
          <w:iCs/>
          <w:noProof/>
          <w:sz w:val="24"/>
        </w:rPr>
      </w:pPr>
      <w:r>
        <w:rPr>
          <w:rFonts w:ascii="Times New Roman" w:hAnsi="Times New Roman"/>
          <w:i/>
          <w:sz w:val="24"/>
        </w:rPr>
        <w:t>3.1.5. Atvieglināt jaunu, ilgtspējīgu biorafinēšanas iekārtu attīstību un apstiprināt tipu un gaidāmo potenciālu</w:t>
      </w:r>
    </w:p>
    <w:p w14:paraId="13481AA0" w14:textId="77777777" w:rsidR="00CF10CD" w:rsidRPr="00DF28F7" w:rsidRDefault="00CF10CD"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90FA6" w14:paraId="1ABE2CEE" w14:textId="77777777" w:rsidTr="00590FA6">
        <w:tc>
          <w:tcPr>
            <w:tcW w:w="9288" w:type="dxa"/>
          </w:tcPr>
          <w:p w14:paraId="5032387A" w14:textId="77777777" w:rsidR="00590FA6" w:rsidRPr="00590FA6" w:rsidRDefault="00590FA6" w:rsidP="00590FA6">
            <w:pPr>
              <w:jc w:val="both"/>
              <w:rPr>
                <w:rFonts w:ascii="Times New Roman" w:hAnsi="Times New Roman"/>
                <w:i/>
                <w:iCs/>
                <w:noProof/>
                <w:sz w:val="24"/>
              </w:rPr>
            </w:pPr>
            <w:r>
              <w:rPr>
                <w:rFonts w:ascii="Times New Roman" w:hAnsi="Times New Roman"/>
                <w:i/>
                <w:sz w:val="24"/>
              </w:rPr>
              <w:t>Šajā darbībā tiks vērtēti pasākumi, ar kuriem stimulēt privātās investīcijas biorafinēšanas iekārtu izvēršanā un bioproduktu (tostarp uz bioresursiem balstītu ķīmisko vielu) tirgus attīstību, vienlaikus nodrošinot biomasas piegādes ilgtspēju un sabiedrības atbalstu.</w:t>
            </w:r>
          </w:p>
          <w:p w14:paraId="31AD7DAF" w14:textId="77777777" w:rsidR="00590FA6" w:rsidRPr="00590FA6" w:rsidRDefault="00590FA6" w:rsidP="00590FA6">
            <w:pPr>
              <w:jc w:val="both"/>
              <w:rPr>
                <w:rFonts w:ascii="Times New Roman" w:eastAsia="Times New Roman" w:hAnsi="Times New Roman" w:cs="Times New Roman"/>
                <w:i/>
                <w:iCs/>
                <w:noProof/>
                <w:sz w:val="24"/>
                <w:szCs w:val="20"/>
              </w:rPr>
            </w:pPr>
          </w:p>
          <w:p w14:paraId="67BB627C" w14:textId="77777777" w:rsidR="00590FA6" w:rsidRPr="00590FA6" w:rsidRDefault="00590FA6" w:rsidP="001F2648">
            <w:pPr>
              <w:jc w:val="both"/>
              <w:rPr>
                <w:rFonts w:ascii="Times New Roman" w:hAnsi="Times New Roman"/>
                <w:i/>
                <w:iCs/>
                <w:noProof/>
                <w:sz w:val="24"/>
              </w:rPr>
            </w:pPr>
            <w:r>
              <w:rPr>
                <w:rFonts w:ascii="Times New Roman" w:hAnsi="Times New Roman"/>
                <w:i/>
                <w:sz w:val="24"/>
              </w:rPr>
              <w:t>Rādītāji. Mērķtiecīgi ar biorafinēšanu saistīti politiskie pasākumi un regulējums; biorafinēšanā veikto investīciju skaits un finansējuma apmērs; perspektīvas biorafinēšanas iekārtu izvēršanai ES; publiskie ziņojumi par labāko praksi; jaunu ilgtspējīgu biorafinēšanas iekārtu skaits; īstenoto darbsemināru/pasākumu skaits un dalībnieku skaits.</w:t>
            </w:r>
          </w:p>
        </w:tc>
      </w:tr>
    </w:tbl>
    <w:p w14:paraId="0CCE5FEF" w14:textId="77777777" w:rsidR="0083515C" w:rsidRPr="00DF28F7" w:rsidRDefault="0083515C" w:rsidP="001F2648">
      <w:pPr>
        <w:jc w:val="both"/>
        <w:rPr>
          <w:rFonts w:ascii="Times New Roman" w:eastAsia="Times New Roman" w:hAnsi="Times New Roman" w:cs="Times New Roman"/>
          <w:noProof/>
          <w:sz w:val="24"/>
          <w:szCs w:val="16"/>
        </w:rPr>
      </w:pPr>
    </w:p>
    <w:p w14:paraId="64431383"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Aprites vietējās bioekonomikas attīstība ir atkarīga no ilgtspējīgu izejvielu pieejamības, tostarp atlieku un pilsētas bioatkritumu pieejamības. Schieb et al. (2015. gads) norādīts, ka biorafinēšanas iekārtu skaits ir jāpalielina līdz 300–400 iekārtām gan Amerikas Savienotajās Valstīs, gan Eiropā, lai gūtu panākumus rūpnieciskajā bioekonomikā.</w:t>
      </w:r>
      <w:r w:rsidR="00590FA6">
        <w:rPr>
          <w:rStyle w:val="FootnoteReference"/>
          <w:rFonts w:ascii="Times New Roman" w:hAnsi="Times New Roman"/>
          <w:noProof/>
          <w:sz w:val="24"/>
        </w:rPr>
        <w:footnoteReference w:id="249"/>
      </w:r>
      <w:r>
        <w:rPr>
          <w:rFonts w:ascii="Times New Roman" w:hAnsi="Times New Roman"/>
          <w:sz w:val="24"/>
        </w:rPr>
        <w:t xml:space="preserve"> Tas nozīmē, ka ir jāveic ļoti lielas investīcijas, no kurām lielākajai daļai būs jānāk no privātā sektora.</w:t>
      </w:r>
      <w:r w:rsidR="00590FA6">
        <w:rPr>
          <w:rStyle w:val="FootnoteReference"/>
          <w:rFonts w:ascii="Times New Roman" w:hAnsi="Times New Roman"/>
          <w:noProof/>
          <w:sz w:val="24"/>
        </w:rPr>
        <w:footnoteReference w:id="250"/>
      </w:r>
      <w:r>
        <w:rPr>
          <w:rFonts w:ascii="Times New Roman" w:hAnsi="Times New Roman"/>
          <w:sz w:val="24"/>
        </w:rPr>
        <w:t xml:space="preserve"> Citu pētījumu aplēses liecina, ka līdz 2030. gadam varētu izmantot vairāk nekā 100 megatonnas neizmantotās biomasas, pieņemot, ka izejvielu un izstrādājumu ražošana ES apmierina visu tirgus pieprasījumu. Tādējādi ir aplēsts, ka mūsu tirgū pieprasījums ir pielīdzināms 185 otrās paaudzes etanola iekārtām, 50 uz bioresursiem balstītas reaktīvo dzinēju degvielas iekārtām, </w:t>
      </w:r>
      <w:r>
        <w:rPr>
          <w:rFonts w:ascii="Times New Roman" w:hAnsi="Times New Roman"/>
          <w:sz w:val="24"/>
        </w:rPr>
        <w:lastRenderedPageBreak/>
        <w:t>30 uz bioresursiem balstītas ķīmisko veidojošo elementu iekārtām un 45 uz bioresursiem balstītas plastmasas iekārtām.</w:t>
      </w:r>
      <w:r w:rsidR="00590FA6">
        <w:rPr>
          <w:rStyle w:val="FootnoteReference"/>
          <w:rFonts w:ascii="Times New Roman" w:hAnsi="Times New Roman"/>
          <w:noProof/>
          <w:sz w:val="24"/>
        </w:rPr>
        <w:footnoteReference w:id="251"/>
      </w:r>
    </w:p>
    <w:p w14:paraId="7C507190" w14:textId="77777777" w:rsidR="0083515C" w:rsidRPr="00DF28F7" w:rsidRDefault="0083515C" w:rsidP="001F2648">
      <w:pPr>
        <w:jc w:val="both"/>
        <w:rPr>
          <w:rFonts w:ascii="Times New Roman" w:eastAsia="Verdana" w:hAnsi="Times New Roman" w:cs="Verdana"/>
          <w:noProof/>
          <w:sz w:val="24"/>
          <w:szCs w:val="19"/>
        </w:rPr>
      </w:pPr>
    </w:p>
    <w:p w14:paraId="35218D8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Lēmumi par investīcijām progresīvā biorafinēšanas projektā lielā mērā ir atkarīgi no tehnoloģiskās gatavības līmeņa, tam raksturīgās efektivitātes, produktu tirgus nosacījumiem, kā arī izejvielu izmaksām un pieejamības – jo īpaši komercializācijas posmā. Būtisks priekšnoteikums ir sabiedrības izpratne un informētība par šādām investīcijām, un to ietekmē ilgtspējības datu uzticamība attiecībā uz visu vērtības ķēdi, tostarp uz bioproduktiem un ar tiem saistītajiem standartiem (sasaiste ar 3.1.4. darbību). Jau ir veikti konkrēti pasākumi, lai palīdzētu valsts reģionālajām iestādēm saprast, kā piesaistīt vairāk investīciju ķīmiskajā rūpniecībā, koncentrējoties uz biomasas un atkritumu izmantošanu nolūkā ražot ilgtspējīgas ķīmiskās vielas ar augstu vērtību (piemēram, pašnovērtējuma instruments ilgtspējīgai ķīmiskajai rūpniecībai)</w:t>
      </w:r>
      <w:r w:rsidR="00590FA6">
        <w:rPr>
          <w:rStyle w:val="FootnoteReference"/>
          <w:rFonts w:ascii="Times New Roman" w:hAnsi="Times New Roman"/>
          <w:noProof/>
          <w:sz w:val="24"/>
        </w:rPr>
        <w:footnoteReference w:id="252"/>
      </w:r>
      <w:r>
        <w:rPr>
          <w:rFonts w:ascii="Times New Roman" w:hAnsi="Times New Roman"/>
          <w:sz w:val="24"/>
        </w:rPr>
        <w:t>, bet šie pasākumi ir atkārtoti jāīsteno plašākā mērogā. Ir tieši svarīgi nodrošināt, ka jaunizveidotās biorafinēšanas iekārtas pilnībā atbilst vides, ekonomiskās un sociālās ilgtspējas, aprites ekonomikas un bezatkritumu koncepcijas mērķiem, turklāt nerada nevēlamu spiedienu uz vidi un neraisa sabiedrības noraidījumu.</w:t>
      </w:r>
    </w:p>
    <w:p w14:paraId="633E9927" w14:textId="77777777" w:rsidR="0083515C" w:rsidRPr="00DF28F7" w:rsidRDefault="0083515C" w:rsidP="001F2648">
      <w:pPr>
        <w:jc w:val="both"/>
        <w:rPr>
          <w:rFonts w:ascii="Times New Roman" w:hAnsi="Times New Roman"/>
          <w:noProof/>
          <w:sz w:val="24"/>
        </w:rPr>
      </w:pPr>
    </w:p>
    <w:p w14:paraId="738660B4"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Līdz 2024. gadam šajā darbībā paredzēts:</w:t>
      </w:r>
    </w:p>
    <w:p w14:paraId="0538DD0B" w14:textId="77777777" w:rsidR="0083515C" w:rsidRPr="00DF28F7" w:rsidRDefault="0083515C" w:rsidP="001F2648">
      <w:pPr>
        <w:jc w:val="both"/>
        <w:rPr>
          <w:rFonts w:ascii="Times New Roman" w:eastAsia="Verdana" w:hAnsi="Times New Roman" w:cs="Verdana"/>
          <w:noProof/>
          <w:sz w:val="24"/>
          <w:szCs w:val="14"/>
        </w:rPr>
      </w:pPr>
    </w:p>
    <w:p w14:paraId="7184A804" w14:textId="77777777" w:rsidR="0083515C" w:rsidRPr="00DF28F7" w:rsidRDefault="00590FA6" w:rsidP="00590FA6">
      <w:pPr>
        <w:pStyle w:val="BodyText"/>
        <w:tabs>
          <w:tab w:val="left" w:pos="562"/>
        </w:tabs>
        <w:ind w:left="0"/>
        <w:jc w:val="both"/>
        <w:rPr>
          <w:rFonts w:ascii="Times New Roman" w:hAnsi="Times New Roman"/>
          <w:noProof/>
          <w:sz w:val="24"/>
          <w:szCs w:val="12"/>
        </w:rPr>
      </w:pPr>
      <w:r>
        <w:rPr>
          <w:rFonts w:ascii="Times New Roman" w:hAnsi="Times New Roman"/>
          <w:sz w:val="24"/>
        </w:rPr>
        <w:t>1) izstrādāt perspektīvas un ceļvedi biorafinēšanas iekārtu izvēršanai Eiropā. Darbība aptver visus biomasas avotus un ir vērsta uz dabas resursu aktīvas un ilgtspējīgas apsaimniekošanas veicināšanu un attīstību, inovatīvu tehnoloģiju ieviešanu biomasas pārveidošanai ilgmūžīgos bioproduktos un to izmantošanu, lai palielinātu bioekonomikas ieguldījumu klimata pārmaiņu mazināšanā un pārejā uz atjaunojamo energoresursu izmantošanu. Tā ietver biorafinēšanu lauku vidē (sasaiste ar 3.2.2.ii darbību) ar mērķi veicināt vietējo atjaunojamo resursu izmantošanu un lauku atdzīvināšanu (sasaiste ar 3.2.1. darbību) un palīdzēt radīt pievilcīgas darba iespējas gan primārajiem ražotājiem, gan jauniem kvalificētiem uzņēmējiem lauku teritorijā. Turklāt tā atbalsta biomasas transportēšanas izmaksu samazināšanu, un sagaidāms, ka tā radīs mazāku ekoloģiskās pēdas nospiedumu (piemēram, zemu ūdens patēriņu);</w:t>
      </w:r>
      <w:r>
        <w:rPr>
          <w:rStyle w:val="FootnoteReference"/>
          <w:rFonts w:ascii="Times New Roman" w:hAnsi="Times New Roman"/>
          <w:noProof/>
          <w:sz w:val="24"/>
        </w:rPr>
        <w:footnoteReference w:id="253"/>
      </w:r>
    </w:p>
    <w:p w14:paraId="092E8410" w14:textId="77777777" w:rsidR="0083515C" w:rsidRPr="00DF28F7" w:rsidRDefault="0083515C" w:rsidP="001F2648">
      <w:pPr>
        <w:jc w:val="both"/>
        <w:rPr>
          <w:rFonts w:ascii="Times New Roman" w:eastAsia="Verdana" w:hAnsi="Times New Roman" w:cs="Verdana"/>
          <w:noProof/>
          <w:sz w:val="24"/>
          <w:szCs w:val="19"/>
        </w:rPr>
      </w:pPr>
    </w:p>
    <w:p w14:paraId="588D0EC9" w14:textId="77777777" w:rsidR="0083515C" w:rsidRPr="00DF28F7" w:rsidRDefault="00590FA6" w:rsidP="00590FA6">
      <w:pPr>
        <w:pStyle w:val="BodyText"/>
        <w:tabs>
          <w:tab w:val="left" w:pos="658"/>
        </w:tabs>
        <w:ind w:left="0"/>
        <w:rPr>
          <w:rFonts w:ascii="Times New Roman" w:hAnsi="Times New Roman"/>
          <w:noProof/>
          <w:sz w:val="24"/>
        </w:rPr>
      </w:pPr>
      <w:r>
        <w:rPr>
          <w:rFonts w:ascii="Times New Roman" w:hAnsi="Times New Roman"/>
          <w:sz w:val="24"/>
        </w:rPr>
        <w:t>2) izvērtēt veidus, kā palielināt ES politikas atbalstu biorafinēšanai, ņemot vērā bioekonomikas projektu vides, sociālos, ekonomiskos un tehniskos aspektus, lai veicinātu jaunu ilgtspējīgu biorafinēšanas iekārtu izvēršanu. To īstenos Eiropas Komisija, ņemot vērā ieguldījumu, ko sniedz biomasas vērtības ķēdē iesaistītās ieinteresētās puses, tostarp pilsoniskā sabiedrība, un darbības rezultātā tiks publicēti periodiski publiskie ziņojumi, kuros būs aprakstīta labākā prakse.</w:t>
      </w:r>
    </w:p>
    <w:p w14:paraId="367D1EF8" w14:textId="77777777" w:rsidR="00CF10CD" w:rsidRPr="00DF28F7" w:rsidRDefault="00CF10CD" w:rsidP="001F2648">
      <w:pPr>
        <w:jc w:val="both"/>
        <w:rPr>
          <w:rFonts w:ascii="Times New Roman" w:eastAsia="Verdana" w:hAnsi="Times New Roman" w:cs="Verdana"/>
          <w:noProof/>
          <w:sz w:val="24"/>
          <w:szCs w:val="20"/>
        </w:rPr>
      </w:pPr>
    </w:p>
    <w:p w14:paraId="7919E3C9" w14:textId="77777777" w:rsidR="0083515C" w:rsidRPr="00DF28F7" w:rsidRDefault="0083515C" w:rsidP="001F2648">
      <w:pPr>
        <w:jc w:val="both"/>
        <w:rPr>
          <w:rFonts w:ascii="Times New Roman" w:eastAsia="Verdana" w:hAnsi="Times New Roman" w:cs="Verdana"/>
          <w:noProof/>
          <w:sz w:val="24"/>
          <w:szCs w:val="19"/>
        </w:rPr>
      </w:pPr>
    </w:p>
    <w:p w14:paraId="71449219" w14:textId="77777777" w:rsidR="0083515C" w:rsidRPr="00590FA6" w:rsidRDefault="0083515C" w:rsidP="001F2648">
      <w:pPr>
        <w:jc w:val="both"/>
        <w:rPr>
          <w:rFonts w:ascii="Times New Roman" w:hAnsi="Times New Roman"/>
          <w:i/>
          <w:iCs/>
          <w:noProof/>
          <w:sz w:val="24"/>
        </w:rPr>
      </w:pPr>
      <w:r>
        <w:rPr>
          <w:rFonts w:ascii="Times New Roman" w:hAnsi="Times New Roman"/>
          <w:i/>
          <w:sz w:val="24"/>
        </w:rPr>
        <w:t>3.1.6. Ieguldīt pētniecībā un inovācijā, lai fosilajiem energoresursiem izveidotu aizstājējus, kas ir uz bioresursiem balstīti, pārstrādājami un bioloģiski noārdās jūras vidē, kā arī attīstītu bioloģiskās sanācijas metodes, mobilizējot galvenos dalībniekus attiecīgajās vērtības ķēdēs, ieskaitot plastmasas vērtības ķēdi, un veicināt no plastmasas atbrīvotu Eiropas jūru un okeānu veselību un produktivitāti.</w:t>
      </w:r>
    </w:p>
    <w:p w14:paraId="6EA5C17D" w14:textId="77777777" w:rsidR="00CF10CD" w:rsidRDefault="00CF10CD"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90FA6" w14:paraId="3B17EA75" w14:textId="77777777" w:rsidTr="00590FA6">
        <w:tc>
          <w:tcPr>
            <w:tcW w:w="9288" w:type="dxa"/>
          </w:tcPr>
          <w:p w14:paraId="67FCD4B7" w14:textId="77777777" w:rsidR="00590FA6" w:rsidRPr="00590FA6" w:rsidRDefault="00590FA6" w:rsidP="00590FA6">
            <w:pPr>
              <w:jc w:val="both"/>
              <w:rPr>
                <w:rFonts w:ascii="Times New Roman" w:eastAsia="Times New Roman" w:hAnsi="Times New Roman" w:cs="Times New Roman"/>
                <w:i/>
                <w:iCs/>
                <w:noProof/>
                <w:sz w:val="24"/>
                <w:szCs w:val="19"/>
              </w:rPr>
            </w:pPr>
            <w:r>
              <w:rPr>
                <w:rFonts w:ascii="Times New Roman" w:hAnsi="Times New Roman"/>
                <w:i/>
                <w:sz w:val="24"/>
              </w:rPr>
              <w:t xml:space="preserve">Šajā darbībā veicinās jūru un okeānu attīrīšanu no plastmasas, ar pamatprogrammas </w:t>
            </w:r>
            <w:r>
              <w:rPr>
                <w:rFonts w:ascii="Times New Roman" w:hAnsi="Times New Roman"/>
                <w:i/>
                <w:sz w:val="24"/>
              </w:rPr>
              <w:lastRenderedPageBreak/>
              <w:t>starpniecību atbalstot pētniecību un inovāciju šādiem savstarpēji saistītiem mērķiem: i) no fosilajiem energoresursiem iegūtas plastmasas aizstājēju izstrāde, jo īpaši tādu, kas vienlaikus ir uz bioresursiem balstīti, pārstrādājami un bioloģiski noārdās jūras vidē, un ii) tālāku bioloģiskās attīrīšanas metožu izstrāde.</w:t>
            </w:r>
          </w:p>
          <w:p w14:paraId="69795781" w14:textId="77777777" w:rsidR="00590FA6" w:rsidRPr="00590FA6" w:rsidRDefault="00590FA6" w:rsidP="00590FA6">
            <w:pPr>
              <w:jc w:val="both"/>
              <w:rPr>
                <w:rFonts w:ascii="Times New Roman" w:eastAsia="Times New Roman" w:hAnsi="Times New Roman" w:cs="Times New Roman"/>
                <w:i/>
                <w:iCs/>
                <w:noProof/>
                <w:sz w:val="24"/>
                <w:szCs w:val="20"/>
              </w:rPr>
            </w:pPr>
          </w:p>
          <w:p w14:paraId="6F1EE6B2" w14:textId="77777777" w:rsidR="00590FA6" w:rsidRPr="00590FA6" w:rsidRDefault="00590FA6" w:rsidP="00590FA6">
            <w:pPr>
              <w:jc w:val="both"/>
              <w:rPr>
                <w:rFonts w:ascii="Times New Roman" w:eastAsia="Times New Roman" w:hAnsi="Times New Roman" w:cs="Times New Roman"/>
                <w:i/>
                <w:iCs/>
                <w:noProof/>
                <w:sz w:val="24"/>
                <w:szCs w:val="19"/>
              </w:rPr>
            </w:pPr>
            <w:r>
              <w:rPr>
                <w:rFonts w:ascii="Times New Roman" w:hAnsi="Times New Roman"/>
                <w:i/>
                <w:sz w:val="24"/>
              </w:rPr>
              <w:t>Šajā darbībā mobilizēs galvenos dalībniekus plastmasas vērtības ķēdē, lai atbalstītu no fosilajiem energoresursiem iegūtai plastmasai alternatīvu risinājumu izstrādi un jaunu risinājumu rašanu plastmasas atkritumiem un piegružošanai. Tas palīdzēs nozarei īstenot Eiropas stratēģiju attiecībā uz plastmasu, tostarp direktīvu par vienreizlietojamiem plastmasas izstrādājumiem.</w:t>
            </w:r>
          </w:p>
          <w:p w14:paraId="0F853E04" w14:textId="77777777" w:rsidR="00590FA6" w:rsidRPr="00590FA6" w:rsidRDefault="00590FA6" w:rsidP="00590FA6">
            <w:pPr>
              <w:jc w:val="both"/>
              <w:rPr>
                <w:rFonts w:ascii="Times New Roman" w:eastAsia="Verdana" w:hAnsi="Times New Roman" w:cs="Verdana"/>
                <w:i/>
                <w:iCs/>
                <w:noProof/>
                <w:sz w:val="24"/>
                <w:szCs w:val="19"/>
              </w:rPr>
            </w:pPr>
          </w:p>
          <w:p w14:paraId="05A8E2F8" w14:textId="77777777" w:rsidR="00590FA6" w:rsidRPr="00590FA6" w:rsidRDefault="00590FA6" w:rsidP="001F2648">
            <w:pPr>
              <w:jc w:val="both"/>
              <w:rPr>
                <w:rFonts w:ascii="Times New Roman" w:eastAsia="Times New Roman" w:hAnsi="Times New Roman" w:cs="Times New Roman"/>
                <w:i/>
                <w:iCs/>
                <w:noProof/>
                <w:sz w:val="24"/>
                <w:szCs w:val="19"/>
              </w:rPr>
            </w:pPr>
            <w:r>
              <w:rPr>
                <w:rFonts w:ascii="Times New Roman" w:hAnsi="Times New Roman"/>
                <w:i/>
                <w:sz w:val="24"/>
              </w:rPr>
              <w:t>Rādītāji. Attiecīgos pētniecības un jauninājumu projektos ieguldītie EUR; nozares foruma ziņojums.</w:t>
            </w:r>
          </w:p>
        </w:tc>
      </w:tr>
    </w:tbl>
    <w:p w14:paraId="1F8A6458" w14:textId="77777777" w:rsidR="0083515C" w:rsidRPr="00DF28F7" w:rsidRDefault="0083515C" w:rsidP="001F2648">
      <w:pPr>
        <w:jc w:val="both"/>
        <w:rPr>
          <w:rFonts w:ascii="Times New Roman" w:eastAsia="Verdana" w:hAnsi="Times New Roman" w:cs="Verdana"/>
          <w:noProof/>
          <w:sz w:val="24"/>
          <w:szCs w:val="14"/>
        </w:rPr>
      </w:pPr>
    </w:p>
    <w:p w14:paraId="1B3855A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Visā pasaulē ik gadu jūrās un okeānos nonāk aptuveni 10 megatonnas piegružojuma, galvenokārt plastmasa, turklāt dažkārt ne tikai makroplastmasa, bet arī mikroplastmasa. Tiek lēsts, ka tikai 30 % paliek pie virsmas vai tās tuvumā</w:t>
      </w:r>
      <w:r w:rsidR="00A41502">
        <w:rPr>
          <w:rStyle w:val="FootnoteReference"/>
          <w:rFonts w:ascii="Times New Roman" w:hAnsi="Times New Roman"/>
          <w:noProof/>
          <w:sz w:val="24"/>
        </w:rPr>
        <w:footnoteReference w:id="254"/>
      </w:r>
      <w:r>
        <w:rPr>
          <w:rFonts w:ascii="Times New Roman" w:hAnsi="Times New Roman"/>
          <w:sz w:val="24"/>
        </w:rPr>
        <w:t xml:space="preserve"> un ka atklātā okeānā peldošā plastmasa veido mazāk nekā 1 % no kopējās masas, kas ir sasniegusi jūras un okeānus, kopš plastmasu sāka ražot.</w:t>
      </w:r>
      <w:r w:rsidR="00A41502">
        <w:rPr>
          <w:rStyle w:val="FootnoteReference"/>
          <w:rFonts w:ascii="Times New Roman" w:hAnsi="Times New Roman"/>
          <w:noProof/>
          <w:sz w:val="24"/>
        </w:rPr>
        <w:footnoteReference w:id="255"/>
      </w:r>
      <w:r>
        <w:rPr>
          <w:rFonts w:ascii="Times New Roman" w:hAnsi="Times New Roman"/>
          <w:sz w:val="24"/>
        </w:rPr>
        <w:t xml:space="preserve"> Plastmasa var saglabāties simtiem gadu, līdz tā pilnībā sadalās. Šajā laikā tā absorbē toksīnus, savācot tos vienkopus pirms nonākšanas pārtikas ķēdē un ietekmējot dzīvnieku un cilvēku veselību.</w:t>
      </w:r>
    </w:p>
    <w:p w14:paraId="5B3A4DF7" w14:textId="77777777" w:rsidR="0083515C" w:rsidRPr="00DF28F7" w:rsidRDefault="0083515C" w:rsidP="001F2648">
      <w:pPr>
        <w:jc w:val="both"/>
        <w:rPr>
          <w:rFonts w:ascii="Times New Roman" w:hAnsi="Times New Roman"/>
          <w:noProof/>
          <w:sz w:val="24"/>
        </w:rPr>
      </w:pPr>
    </w:p>
    <w:p w14:paraId="66CDF15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Saistībā ar plastmasas piesārņojumu jūrās ir palielinājies pieprasījums pēc jau esošajiem bioproduktiem, kas galvenokārt ir uz celulozi balstīti materiāli, un ir radušās šaubas par nepieciešamību izmantot pārāk daudz iepakojuma materiāla.</w:t>
      </w:r>
    </w:p>
    <w:p w14:paraId="05AFA28C" w14:textId="77777777" w:rsidR="0083515C" w:rsidRPr="00DF28F7" w:rsidRDefault="0083515C" w:rsidP="001F2648">
      <w:pPr>
        <w:jc w:val="both"/>
        <w:rPr>
          <w:rFonts w:ascii="Times New Roman" w:eastAsia="Verdana" w:hAnsi="Times New Roman" w:cs="Verdana"/>
          <w:noProof/>
          <w:sz w:val="24"/>
          <w:szCs w:val="19"/>
        </w:rPr>
      </w:pPr>
    </w:p>
    <w:p w14:paraId="3DFB7A7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Bioekonomika var sniegt dažādas iespējas, kā risināt šo būtisko problēmu, veicinot jau esošo funkcionālo aizstājēju izvēršanu, kā arī jaunu materiālu un procesu izstrādi, lai atvieglotu lielākās daļas plastmasas pārstrādi ilgtermiņa lietojumiem, nodrošinot kvalitātes standartiem atbilstošu atkritumu apsaimniekošanu. Komisijas tiesību akta priekšlikuma par vienreizlietojamiem plastmasas izstrādājumiem 15. pantā teikts, ka noteiktā termiņā jāiesniedz ziņojums, kurā norādīts, “vai ir panākts pietiekams zinātnes un tehnikas progress un ir izstrādāti kritēriji vai standarts par bionoārdāmību jūras vidē, kas piemērojami vienreizlietojamiem plastmasas izstrādājumiem, kuri ietilpst šīs direktīvas darbības jomā, un to vienreizlietojamiem aizstājējiem”. Šā mērķa sasniegšanā būtiska nozīme būs pētniecības un inovācijas pasākumiem visā inovācijas ķēdē. Darbības balstīsies uz 6R sistēmu: pārveidot-samazināt-likvidēt-atkārtoti izmantot-otrreiz pārstrādāt-reģenerēt [angļu valodā – </w:t>
      </w:r>
      <w:r>
        <w:rPr>
          <w:rFonts w:ascii="Times New Roman" w:hAnsi="Times New Roman"/>
          <w:i/>
          <w:iCs/>
          <w:sz w:val="24"/>
        </w:rPr>
        <w:t>redesign-reduce-remove-reuse-recycle-recover</w:t>
      </w:r>
      <w:r>
        <w:rPr>
          <w:rFonts w:ascii="Times New Roman" w:hAnsi="Times New Roman"/>
          <w:sz w:val="24"/>
        </w:rPr>
        <w:t>].</w:t>
      </w:r>
    </w:p>
    <w:p w14:paraId="739654D6" w14:textId="77777777" w:rsidR="0083515C" w:rsidRPr="00DF28F7" w:rsidRDefault="0083515C" w:rsidP="001F2648">
      <w:pPr>
        <w:jc w:val="both"/>
        <w:rPr>
          <w:rFonts w:ascii="Times New Roman" w:eastAsia="Verdana" w:hAnsi="Times New Roman" w:cs="Verdana"/>
          <w:noProof/>
          <w:sz w:val="24"/>
          <w:szCs w:val="18"/>
        </w:rPr>
      </w:pPr>
    </w:p>
    <w:p w14:paraId="6941909F" w14:textId="77777777" w:rsidR="0083515C" w:rsidRPr="00DF28F7" w:rsidRDefault="0083515C" w:rsidP="001F2648">
      <w:pPr>
        <w:jc w:val="both"/>
        <w:rPr>
          <w:rFonts w:ascii="Times New Roman" w:eastAsia="Verdana" w:hAnsi="Times New Roman" w:cs="Verdana"/>
          <w:noProof/>
          <w:sz w:val="24"/>
        </w:rPr>
      </w:pPr>
    </w:p>
    <w:p w14:paraId="13561FC5"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Šajā darbībā paredzēts:</w:t>
      </w:r>
    </w:p>
    <w:p w14:paraId="6A0D93A4" w14:textId="77777777" w:rsidR="0083515C" w:rsidRPr="00DF28F7" w:rsidRDefault="0083515C" w:rsidP="001F2648">
      <w:pPr>
        <w:jc w:val="both"/>
        <w:rPr>
          <w:rFonts w:ascii="Times New Roman" w:eastAsia="Verdana" w:hAnsi="Times New Roman" w:cs="Verdana"/>
          <w:noProof/>
          <w:sz w:val="24"/>
          <w:szCs w:val="14"/>
        </w:rPr>
      </w:pPr>
    </w:p>
    <w:p w14:paraId="25E5FAEF" w14:textId="77777777" w:rsidR="0083515C" w:rsidRPr="00DF28F7" w:rsidRDefault="00590FA6" w:rsidP="00590FA6">
      <w:pPr>
        <w:pStyle w:val="BodyText"/>
        <w:tabs>
          <w:tab w:val="left" w:pos="593"/>
        </w:tabs>
        <w:ind w:left="0"/>
        <w:jc w:val="both"/>
        <w:rPr>
          <w:rFonts w:ascii="Times New Roman" w:hAnsi="Times New Roman"/>
          <w:noProof/>
          <w:sz w:val="24"/>
        </w:rPr>
      </w:pPr>
      <w:r>
        <w:rPr>
          <w:rFonts w:ascii="Times New Roman" w:hAnsi="Times New Roman"/>
          <w:sz w:val="24"/>
        </w:rPr>
        <w:t>1) atbalstīt turpmākos pētniecības un inovācijas pasākumus, kas sekmē Eiropas (</w:t>
      </w:r>
      <w:r>
        <w:rPr>
          <w:rFonts w:ascii="Times New Roman" w:hAnsi="Times New Roman"/>
          <w:i/>
          <w:iCs/>
          <w:sz w:val="24"/>
        </w:rPr>
        <w:t>CEN</w:t>
      </w:r>
      <w:r>
        <w:rPr>
          <w:rFonts w:ascii="Times New Roman" w:hAnsi="Times New Roman"/>
          <w:sz w:val="24"/>
        </w:rPr>
        <w:t xml:space="preserve">) standartu izstrādi attiecībā uz bionoārdāmību jūras vidē, jo īpaši pirmsnormatīvo un kopnormatīvo pētniecību. Aizstājējmateriāliem jābūt kompostējamiem vai bioloģiski noārdāmiem jūras vidē, un to pamatā jābūt ilgtspējīgas ražošanas ciklam. Turklāt </w:t>
      </w:r>
      <w:r>
        <w:rPr>
          <w:rFonts w:ascii="Times New Roman" w:hAnsi="Times New Roman"/>
          <w:sz w:val="24"/>
        </w:rPr>
        <w:lastRenderedPageBreak/>
        <w:t>bioekonomika var sekmēt uz bioresursiem balstītu risinājumu izstrādi, lai pārstrādātu un atkārtoti izmantotu no okeāniem, jūrām un sauszemes ūdeņiem izgūto plastmasu;</w:t>
      </w:r>
    </w:p>
    <w:p w14:paraId="02D85C13" w14:textId="77777777" w:rsidR="0083515C" w:rsidRPr="00DF28F7" w:rsidRDefault="0083515C" w:rsidP="00590FA6">
      <w:pPr>
        <w:jc w:val="both"/>
        <w:rPr>
          <w:rFonts w:ascii="Times New Roman" w:eastAsia="Verdana" w:hAnsi="Times New Roman" w:cs="Verdana"/>
          <w:noProof/>
          <w:sz w:val="24"/>
          <w:szCs w:val="19"/>
        </w:rPr>
      </w:pPr>
    </w:p>
    <w:p w14:paraId="4150EFB0" w14:textId="77777777" w:rsidR="0083515C" w:rsidRPr="00DF28F7" w:rsidRDefault="00590FA6" w:rsidP="00590FA6">
      <w:pPr>
        <w:pStyle w:val="BodyText"/>
        <w:tabs>
          <w:tab w:val="left" w:pos="510"/>
        </w:tabs>
        <w:ind w:left="0"/>
        <w:jc w:val="both"/>
        <w:rPr>
          <w:rFonts w:ascii="Times New Roman" w:hAnsi="Times New Roman"/>
          <w:noProof/>
          <w:sz w:val="24"/>
        </w:rPr>
      </w:pPr>
      <w:r>
        <w:rPr>
          <w:rFonts w:ascii="Times New Roman" w:hAnsi="Times New Roman"/>
          <w:sz w:val="24"/>
        </w:rPr>
        <w:t>2) ietvert tādu aizstājēju izstrādi no fosiliem energoresursiem iegūtai plastmasai, kas vienlaikus ir uz bioresursiem balstīti, pārstrādājami un bioloģiski noārdās jūras vidē;</w:t>
      </w:r>
    </w:p>
    <w:p w14:paraId="590801EA" w14:textId="77777777" w:rsidR="00CF10CD" w:rsidRPr="00DF28F7" w:rsidRDefault="00CF10CD" w:rsidP="00590FA6">
      <w:pPr>
        <w:jc w:val="both"/>
        <w:rPr>
          <w:rFonts w:ascii="Times New Roman" w:eastAsia="Verdana" w:hAnsi="Times New Roman" w:cs="Verdana"/>
          <w:noProof/>
          <w:sz w:val="24"/>
          <w:szCs w:val="13"/>
        </w:rPr>
      </w:pPr>
    </w:p>
    <w:p w14:paraId="233E49B9" w14:textId="77777777" w:rsidR="0083515C" w:rsidRPr="00DF28F7" w:rsidRDefault="00A41502" w:rsidP="00A41502">
      <w:pPr>
        <w:pStyle w:val="BodyText"/>
        <w:tabs>
          <w:tab w:val="left" w:pos="396"/>
        </w:tabs>
        <w:ind w:left="0"/>
        <w:jc w:val="both"/>
        <w:rPr>
          <w:rFonts w:ascii="Times New Roman" w:hAnsi="Times New Roman"/>
          <w:noProof/>
          <w:sz w:val="24"/>
        </w:rPr>
      </w:pPr>
      <w:r>
        <w:rPr>
          <w:rFonts w:ascii="Times New Roman" w:hAnsi="Times New Roman"/>
          <w:sz w:val="24"/>
        </w:rPr>
        <w:t xml:space="preserve">3) izveidot skaidru sinerģiju ar daudzajām darbībām, kas saistītas ar aprites ekonomikas tiesību aktu kopumu, tiesību aktiem par vienreizlietojamiem plastmasas izstrādājumiem, Jūras stratēģijas pamatdirektīvu, Stratēģiju attiecībā uz plastmasu un starptautiskās sadarbības shēmām un darbībām, piemēram, ES starptautisko okeānu pārvaldību, Golvejas paziņojumu un Belenas deklarāciju, </w:t>
      </w:r>
      <w:r>
        <w:rPr>
          <w:rFonts w:ascii="Times New Roman" w:hAnsi="Times New Roman"/>
          <w:i/>
          <w:iCs/>
          <w:sz w:val="24"/>
        </w:rPr>
        <w:t>BLUEMED</w:t>
      </w:r>
      <w:r>
        <w:rPr>
          <w:rFonts w:ascii="Times New Roman" w:hAnsi="Times New Roman"/>
          <w:sz w:val="24"/>
        </w:rPr>
        <w:t>, G7 un G20 iniciatīvām.</w:t>
      </w:r>
    </w:p>
    <w:p w14:paraId="279EFE46" w14:textId="77777777" w:rsidR="0083515C" w:rsidRPr="00DF28F7" w:rsidRDefault="0083515C" w:rsidP="001F2648">
      <w:pPr>
        <w:jc w:val="both"/>
        <w:rPr>
          <w:rFonts w:ascii="Times New Roman" w:eastAsia="Verdana" w:hAnsi="Times New Roman" w:cs="Verdana"/>
          <w:noProof/>
          <w:sz w:val="24"/>
          <w:szCs w:val="18"/>
        </w:rPr>
      </w:pPr>
    </w:p>
    <w:p w14:paraId="198D8286" w14:textId="77777777" w:rsidR="0083515C" w:rsidRPr="00DF28F7" w:rsidRDefault="0083515C" w:rsidP="001F2648">
      <w:pPr>
        <w:jc w:val="both"/>
        <w:rPr>
          <w:rFonts w:ascii="Times New Roman" w:eastAsia="Verdana" w:hAnsi="Times New Roman" w:cs="Verdana"/>
          <w:noProof/>
          <w:sz w:val="24"/>
          <w:szCs w:val="23"/>
        </w:rPr>
      </w:pPr>
    </w:p>
    <w:p w14:paraId="64D4FFE8" w14:textId="77777777" w:rsidR="0083515C" w:rsidRPr="00A41502" w:rsidRDefault="00A41502" w:rsidP="00A41502">
      <w:pPr>
        <w:pStyle w:val="Heading2"/>
        <w:tabs>
          <w:tab w:val="left" w:pos="692"/>
        </w:tabs>
        <w:ind w:left="0" w:firstLine="0"/>
        <w:jc w:val="both"/>
        <w:rPr>
          <w:i/>
          <w:iCs/>
          <w:noProof/>
          <w:sz w:val="24"/>
        </w:rPr>
      </w:pPr>
      <w:bookmarkStart w:id="24" w:name="_Toc63672642"/>
      <w:r>
        <w:rPr>
          <w:i/>
          <w:sz w:val="24"/>
        </w:rPr>
        <w:t>3.2. Vietējās bioekonomikas strauja izvēršana Eiropā</w:t>
      </w:r>
      <w:bookmarkEnd w:id="24"/>
    </w:p>
    <w:p w14:paraId="5A6A4E15" w14:textId="77777777" w:rsidR="0083515C" w:rsidRPr="00DF28F7" w:rsidRDefault="0083515C" w:rsidP="001F2648">
      <w:pPr>
        <w:jc w:val="both"/>
        <w:rPr>
          <w:rFonts w:ascii="Times New Roman" w:eastAsia="Times New Roman" w:hAnsi="Times New Roman" w:cs="Times New Roman"/>
          <w:noProof/>
          <w:sz w:val="24"/>
          <w:szCs w:val="20"/>
        </w:rPr>
      </w:pPr>
    </w:p>
    <w:p w14:paraId="3B425D9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Viens no Eiropas Bioekonomikas stratēģijas mērķiem ir bioekonomikas izvēršana visā Eiropā, lai nodrošinātu, ka bioekonomika kopumā veicina iekļaujošu un ilgtspējīgu izaugsmi vietējā līmenī. Tas attiecas arī uz vietējo attīstību dalībvalstīs un to teritorijā, piemēram, reģionos, lauku apvidos, pilsētās un piekrastes zonās.</w:t>
      </w:r>
    </w:p>
    <w:p w14:paraId="7C0C204C" w14:textId="77777777" w:rsidR="0083515C" w:rsidRPr="00DF28F7" w:rsidRDefault="0083515C" w:rsidP="001F2648">
      <w:pPr>
        <w:jc w:val="both"/>
        <w:rPr>
          <w:rFonts w:ascii="Times New Roman" w:eastAsia="Verdana" w:hAnsi="Times New Roman" w:cs="Verdana"/>
          <w:noProof/>
          <w:sz w:val="24"/>
          <w:szCs w:val="19"/>
        </w:rPr>
      </w:pPr>
    </w:p>
    <w:p w14:paraId="783FEC4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Eiropas Bioekonomikas stratēģijas pārskatā, ko veica 2017. gadā, tika secināts, ka “(..) </w:t>
      </w:r>
      <w:r>
        <w:rPr>
          <w:rFonts w:ascii="Times New Roman" w:hAnsi="Times New Roman"/>
          <w:i/>
          <w:iCs/>
          <w:sz w:val="24"/>
        </w:rPr>
        <w:t>bioekonomikas sniegtās iespējas un Bioekonomikas stratēģijas koordinēšanas nozīmību aizvien vairāk atzīst ES dalībvalstis un reģioni.</w:t>
      </w:r>
      <w:r>
        <w:rPr>
          <w:rFonts w:ascii="Times New Roman" w:hAnsi="Times New Roman"/>
          <w:i/>
          <w:sz w:val="24"/>
        </w:rPr>
        <w:t xml:space="preserve"> </w:t>
      </w:r>
      <w:r>
        <w:rPr>
          <w:rFonts w:ascii="Times New Roman" w:hAnsi="Times New Roman"/>
          <w:sz w:val="24"/>
        </w:rPr>
        <w:t>(</w:t>
      </w:r>
      <w:r>
        <w:rPr>
          <w:rFonts w:ascii="Times New Roman" w:hAnsi="Times New Roman"/>
          <w:i/>
          <w:iCs/>
          <w:sz w:val="24"/>
        </w:rPr>
        <w:t>..</w:t>
      </w:r>
      <w:r>
        <w:rPr>
          <w:rFonts w:ascii="Times New Roman" w:hAnsi="Times New Roman"/>
          <w:sz w:val="24"/>
        </w:rPr>
        <w:t>)</w:t>
      </w:r>
      <w:r>
        <w:rPr>
          <w:rFonts w:ascii="Times New Roman" w:hAnsi="Times New Roman"/>
          <w:i/>
          <w:iCs/>
          <w:sz w:val="24"/>
        </w:rPr>
        <w:t xml:space="preserve"> Tomēr joprojām ir iespējama tālākā attīstība dalībvalstīs, turklāt arī pilsētu potenciālais devums bioekonomikā joprojām lielā mērā netiek izmantots.”</w:t>
      </w:r>
    </w:p>
    <w:p w14:paraId="47587CEB" w14:textId="77777777" w:rsidR="0083515C" w:rsidRPr="00DF28F7" w:rsidRDefault="0083515C" w:rsidP="001F2648">
      <w:pPr>
        <w:jc w:val="both"/>
        <w:rPr>
          <w:rFonts w:ascii="Times New Roman" w:eastAsia="Verdana" w:hAnsi="Times New Roman" w:cs="Verdana"/>
          <w:noProof/>
          <w:sz w:val="24"/>
          <w:szCs w:val="19"/>
        </w:rPr>
      </w:pPr>
    </w:p>
    <w:p w14:paraId="28BD197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Ieviešanas programma ilgtspējīgai pārtikas sistēmai, kā arī lauksaimniecības sistēmas, mežsaimniecība un uz bioresursiem balstītā ražošana aprites ekonomikā nodrošinās ilgtermiņa redzējumu par bioekonomiku un tās ilgtspējas attīstības iespējām. To papildinās atvērtas inovācijas telpas, kas īsākā termiņā ļaus vērtības ķēdēs integrēt dalībniekus, lai eksperimentētu un kopīgi strādātu pie jauniem risinājumiem, ar ko nodrošinās labāku ilgtspēju un atbilstību aprites principiem un kas būs pielāgoti vietējiem apstākļiem.</w:t>
      </w:r>
    </w:p>
    <w:p w14:paraId="7986B8C1" w14:textId="77777777" w:rsidR="0083515C" w:rsidRPr="00DF28F7" w:rsidRDefault="0083515C" w:rsidP="001F2648">
      <w:pPr>
        <w:jc w:val="both"/>
        <w:rPr>
          <w:rFonts w:ascii="Times New Roman" w:eastAsia="Verdana" w:hAnsi="Times New Roman" w:cs="Verdana"/>
          <w:noProof/>
          <w:sz w:val="24"/>
          <w:szCs w:val="19"/>
        </w:rPr>
      </w:pPr>
    </w:p>
    <w:p w14:paraId="406AABB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Tādējādi ieviešanas stratēģija var sniegt priekšrocības attiecībā uz turpmāk minēto:</w:t>
      </w:r>
    </w:p>
    <w:p w14:paraId="574B5397" w14:textId="77777777" w:rsidR="0083515C" w:rsidRPr="00DF28F7" w:rsidRDefault="0083515C" w:rsidP="001F2648">
      <w:pPr>
        <w:jc w:val="both"/>
        <w:rPr>
          <w:rFonts w:ascii="Times New Roman" w:eastAsia="Verdana" w:hAnsi="Times New Roman" w:cs="Verdana"/>
          <w:noProof/>
          <w:sz w:val="24"/>
          <w:szCs w:val="19"/>
        </w:rPr>
      </w:pPr>
    </w:p>
    <w:p w14:paraId="7FD2B133" w14:textId="77777777" w:rsidR="0083515C" w:rsidRPr="00DF28F7" w:rsidRDefault="0083515C" w:rsidP="00A41502">
      <w:pPr>
        <w:pStyle w:val="BodyText"/>
        <w:numPr>
          <w:ilvl w:val="2"/>
          <w:numId w:val="33"/>
        </w:numPr>
        <w:ind w:left="709" w:hanging="283"/>
        <w:jc w:val="both"/>
        <w:rPr>
          <w:rFonts w:ascii="Times New Roman" w:hAnsi="Times New Roman"/>
          <w:noProof/>
          <w:sz w:val="24"/>
        </w:rPr>
      </w:pPr>
      <w:r>
        <w:rPr>
          <w:rFonts w:ascii="Times New Roman" w:hAnsi="Times New Roman"/>
          <w:sz w:val="24"/>
        </w:rPr>
        <w:t>pārtikas un lauksaimniecības sistēmu (sauszemes un ūdens) pārskatīšana nākotnē, lai risinātu jautājumus, piemēram, par pārtikas atkritumiem, zudumu un blakusproduktiem (tostarp barības vielu otrreizēju pārstrādi), pārtikas produktu apjoma pieaugumu no okeāniem, ES akvakultūras produktu daļas pieaugumu un ienākšanu tirgū, kā arī pieaugošo aptaukošanās un nepietiekama uztura līmeni;</w:t>
      </w:r>
    </w:p>
    <w:p w14:paraId="50E50091" w14:textId="77777777" w:rsidR="0083515C" w:rsidRPr="00DF28F7" w:rsidRDefault="0083515C" w:rsidP="00A41502">
      <w:pPr>
        <w:ind w:left="709" w:hanging="283"/>
        <w:jc w:val="both"/>
        <w:rPr>
          <w:rFonts w:ascii="Times New Roman" w:eastAsia="Verdana" w:hAnsi="Times New Roman" w:cs="Verdana"/>
          <w:noProof/>
          <w:sz w:val="24"/>
          <w:szCs w:val="16"/>
        </w:rPr>
      </w:pPr>
    </w:p>
    <w:p w14:paraId="7C538B12" w14:textId="77777777" w:rsidR="0083515C" w:rsidRPr="00DF28F7" w:rsidRDefault="0083515C" w:rsidP="00A41502">
      <w:pPr>
        <w:pStyle w:val="BodyText"/>
        <w:numPr>
          <w:ilvl w:val="2"/>
          <w:numId w:val="33"/>
        </w:numPr>
        <w:ind w:left="709" w:hanging="283"/>
        <w:jc w:val="both"/>
        <w:rPr>
          <w:rFonts w:ascii="Times New Roman" w:hAnsi="Times New Roman"/>
          <w:noProof/>
          <w:sz w:val="24"/>
        </w:rPr>
      </w:pPr>
      <w:r>
        <w:rPr>
          <w:rFonts w:ascii="Times New Roman" w:hAnsi="Times New Roman"/>
          <w:sz w:val="24"/>
        </w:rPr>
        <w:t>uz bioresursiem balstītu inovāciju sniegtā potenciāla izmantošana, tostarp lauksaimniecības nozarēs. Jaunu produktu, procesu un vērtības ķēžu izstrāde bioproduktu tirgiem, kā arī jauni veidi tam, lai primārie ražotāji varētu attīstīt lauku un piekrastes teritorijas. Tas attiecas arī uz bioloģiskas izcelsmes ķīmiskām vielām un materiāliem ar augstu pievienoto vērtību, pārvēršot lauku saimniecību radītos atkritumus un jūras zāles vērtīgos bioproduktos vai izmantojot kultūraugu inovācijas materiālus;</w:t>
      </w:r>
    </w:p>
    <w:p w14:paraId="2C0B2DEC" w14:textId="77777777" w:rsidR="0083515C" w:rsidRPr="00DF28F7" w:rsidRDefault="0083515C" w:rsidP="00A41502">
      <w:pPr>
        <w:ind w:left="709" w:hanging="283"/>
        <w:jc w:val="both"/>
        <w:rPr>
          <w:rFonts w:ascii="Times New Roman" w:eastAsia="Verdana" w:hAnsi="Times New Roman" w:cs="Verdana"/>
          <w:noProof/>
          <w:sz w:val="24"/>
          <w:szCs w:val="16"/>
        </w:rPr>
      </w:pPr>
    </w:p>
    <w:p w14:paraId="43ED7E4A" w14:textId="77777777" w:rsidR="0083515C" w:rsidRPr="00DF28F7" w:rsidRDefault="0083515C" w:rsidP="00A41502">
      <w:pPr>
        <w:pStyle w:val="BodyText"/>
        <w:numPr>
          <w:ilvl w:val="2"/>
          <w:numId w:val="33"/>
        </w:numPr>
        <w:ind w:left="709" w:hanging="283"/>
        <w:jc w:val="both"/>
        <w:rPr>
          <w:rFonts w:ascii="Times New Roman" w:hAnsi="Times New Roman"/>
          <w:noProof/>
          <w:sz w:val="24"/>
        </w:rPr>
      </w:pPr>
      <w:r>
        <w:rPr>
          <w:rFonts w:ascii="Times New Roman" w:hAnsi="Times New Roman"/>
          <w:sz w:val="24"/>
        </w:rPr>
        <w:t xml:space="preserve">mežsaimniecības nozare piedāvā jaunas iespējas aizstāt mazāk ilgtspējīgus resursus būvniecībā un iepakošanā, kā arī nodrošināt jaunas, ilgtspējīgākas inovācijas </w:t>
      </w:r>
      <w:r>
        <w:rPr>
          <w:rFonts w:ascii="Times New Roman" w:hAnsi="Times New Roman"/>
          <w:sz w:val="24"/>
        </w:rPr>
        <w:lastRenderedPageBreak/>
        <w:t>tradicionālajās nozarēs, piemēram, tekstilrūpniecībā, mēbeļu rūpniecībā un ķīmisko vielu ražošanā;</w:t>
      </w:r>
    </w:p>
    <w:p w14:paraId="0912C8A2" w14:textId="77777777" w:rsidR="00CF10CD" w:rsidRPr="00DF28F7" w:rsidRDefault="00CF10CD" w:rsidP="00A41502">
      <w:pPr>
        <w:ind w:left="709" w:hanging="283"/>
        <w:jc w:val="both"/>
        <w:rPr>
          <w:rFonts w:ascii="Times New Roman" w:hAnsi="Times New Roman"/>
          <w:noProof/>
          <w:sz w:val="24"/>
        </w:rPr>
      </w:pPr>
    </w:p>
    <w:p w14:paraId="30A7A9F9" w14:textId="77777777" w:rsidR="0083515C" w:rsidRPr="00DF28F7" w:rsidRDefault="0083515C" w:rsidP="00A41502">
      <w:pPr>
        <w:pStyle w:val="BodyText"/>
        <w:numPr>
          <w:ilvl w:val="2"/>
          <w:numId w:val="33"/>
        </w:numPr>
        <w:ind w:left="709" w:hanging="283"/>
        <w:jc w:val="both"/>
        <w:rPr>
          <w:rFonts w:ascii="Times New Roman" w:hAnsi="Times New Roman"/>
          <w:noProof/>
          <w:sz w:val="24"/>
        </w:rPr>
      </w:pPr>
      <w:r>
        <w:rPr>
          <w:rFonts w:ascii="Times New Roman" w:hAnsi="Times New Roman"/>
          <w:sz w:val="24"/>
        </w:rPr>
        <w:t>okeānsaimniecības – aļģu un citu jūras resursu audzēšanas – potenciāla izmantošana ilgtspējīgai bioekonomikai, paplašinot jūras biorūpniecības nozares un ieviešot to produktus tirgos, kā arī produktu audzēšanas jūrā un uz sauszemes tālāka integrācija.</w:t>
      </w:r>
    </w:p>
    <w:p w14:paraId="4BE8FBEC" w14:textId="77777777" w:rsidR="0083515C" w:rsidRPr="00DF28F7" w:rsidRDefault="0083515C" w:rsidP="001F2648">
      <w:pPr>
        <w:jc w:val="both"/>
        <w:rPr>
          <w:rFonts w:ascii="Times New Roman" w:eastAsia="Verdana" w:hAnsi="Times New Roman" w:cs="Verdana"/>
          <w:noProof/>
          <w:sz w:val="24"/>
          <w:szCs w:val="19"/>
        </w:rPr>
      </w:pPr>
    </w:p>
    <w:p w14:paraId="4415711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Bioekonomikā jāizmanto iespējas uzlabot tās ilgtspēju un atbilstību aprites principiem, piemēram, jāizmanto uz bioresursiem balstītu tehnoloģiju attīstības sniegtās iespējas pārveidot atliekas un blakusproduktus jaunos un vērtīgos biomateriālos un enerģijā vai pārstrādāt uzturvielas. Pēdējos gados pētniecībā un inovācijā ES un dalībvalstu līmenī ir rasti svarīgi risinājumi, kas ļautu pienācīgi reaģēt uz šīm problēmām un izmantot minētās iespējas, tomēr šie risinājumi netiek izmantoti tik ātri, cik nepieciešams.</w:t>
      </w:r>
    </w:p>
    <w:p w14:paraId="059F54F9" w14:textId="77777777" w:rsidR="0083515C" w:rsidRPr="00DF28F7" w:rsidRDefault="0083515C" w:rsidP="001F2648">
      <w:pPr>
        <w:jc w:val="both"/>
        <w:rPr>
          <w:rFonts w:ascii="Times New Roman" w:eastAsia="Verdana" w:hAnsi="Times New Roman" w:cs="Verdana"/>
          <w:noProof/>
          <w:sz w:val="24"/>
          <w:szCs w:val="19"/>
        </w:rPr>
      </w:pPr>
    </w:p>
    <w:p w14:paraId="4C8B85F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Ar šo pasākumu kopumu paredzēts veicināt valstu un reģionālo bioekonomikas stratēģiju pieņemšanu, atjaunināšanu un saskaņotību visā Eiropā. Turklāt šie pasākumi palīdz ES piekrastes, lauku un pilsētu teritorijām izmantot bioekonomikas sniegtās iespējas. Ar tiem risina vajadzību nodrošināt ES bioekonomikas sniegto priekšrocību taisnīgu sadali, un tie ir saskaņā ar stratēģijas mērķi radīt darbavietas un palielināt Eiropas konkurētspēju. Tos īsteno, lai sekmētu bioekonomikas tālāku attīstību visos līmeņos.</w:t>
      </w:r>
    </w:p>
    <w:p w14:paraId="1F9FF0DC" w14:textId="77777777" w:rsidR="0083515C" w:rsidRPr="00DF28F7" w:rsidRDefault="0083515C" w:rsidP="001F2648">
      <w:pPr>
        <w:jc w:val="both"/>
        <w:rPr>
          <w:rFonts w:ascii="Times New Roman" w:eastAsia="Verdana" w:hAnsi="Times New Roman" w:cs="Verdana"/>
          <w:noProof/>
          <w:sz w:val="24"/>
          <w:szCs w:val="19"/>
        </w:rPr>
      </w:pPr>
    </w:p>
    <w:p w14:paraId="55E7F95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Ar stratēģiskās ieviešanas programmu un atvērtajām inovācijas telpām saistīto darbību mērķis ir izveidot sistēmu sinerģiju izmantošanai bioekonomikā, kā arī instrumentu un dalībnieku koordinēšanai ES, valstu un reģionālā līmenī, lai veidotu ilgtspējīgāku, aprites principiem atbilstošāku un noturīgāku bioekonomiku. Turklāt šie pasākumi palīdzēs veidot jaunus partnerības un sadarbības modeļus starp dažādām ieinteresētajām pusēm, tostarp iedzīvotājiem.</w:t>
      </w:r>
    </w:p>
    <w:p w14:paraId="3F5675FF" w14:textId="77777777" w:rsidR="0083515C" w:rsidRPr="00DF28F7" w:rsidRDefault="0083515C" w:rsidP="001F2648">
      <w:pPr>
        <w:jc w:val="both"/>
        <w:rPr>
          <w:rFonts w:ascii="Times New Roman" w:eastAsia="Verdana" w:hAnsi="Times New Roman" w:cs="Verdana"/>
          <w:noProof/>
          <w:sz w:val="24"/>
          <w:szCs w:val="19"/>
        </w:rPr>
      </w:pPr>
    </w:p>
    <w:p w14:paraId="72F9923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Tiks analizētas sauszemes un ūdens pārtikas un lauksaimniecības sistēmas, kā arī vērtēta okeānsaimniecības potenciāla izmantošana un novatorisku jūras bioproduktu (kosmētiskie līdzekļi, uzturs, tekstilpreces u. c.) ieviešana tirgū, tostarp uzlabojot jūras un sauszemes lauksaimniecības integrāciju vērtības ķēdēs. Tiks atbalstītas vides ziņā ilgtspējīgas, resursu ziņā efektīvas un konkurētspējīgas ar jūru saistītas darbības, lai palielinātu nodarbinātību un teritoriālo kohēziju piekrastes kopienās. Turklāt pilsētu aprites bioekonomikas stratēģijas izstrādē tiks sniegts finansiāls atbalsts tādai piecu ES pilsētu izmēģinājuma grupai, kuru ilgtermiņā paredzēts paplašināt līdz 30 bioekonomiku īstenojošām pilsētām visā Eiropā.</w:t>
      </w:r>
    </w:p>
    <w:p w14:paraId="6B6B85B2" w14:textId="77777777" w:rsidR="0083515C" w:rsidRPr="00DF28F7" w:rsidRDefault="0083515C" w:rsidP="001F2648">
      <w:pPr>
        <w:jc w:val="both"/>
        <w:rPr>
          <w:rFonts w:ascii="Times New Roman" w:eastAsia="Verdana" w:hAnsi="Times New Roman" w:cs="Verdana"/>
          <w:noProof/>
          <w:sz w:val="24"/>
          <w:szCs w:val="19"/>
        </w:rPr>
      </w:pPr>
    </w:p>
    <w:p w14:paraId="16F4FA9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Tiks izveidots ES atbalsta mehānisms dalībvalstīm, kuras izstrādā vai atjaunina savu valsts bioekonomikai veltīto stratēģiju. Turklāt tiks sekmēta foruma izveide, lai veicinātu sadarbību un savstarpēju mācīšanos starp dalībvalstīm, kuras plāno vai īsteno savu valsts bioekonomikai veltīto stratēģiju. Tāpat, īstenojot šos pasākumus, reaģēs uz nepieciešamību vairot sabiedrības informētību par iespējām, ko sniedz ilgtspējīga bioekonomika.</w:t>
      </w:r>
    </w:p>
    <w:p w14:paraId="4F3D8516" w14:textId="77777777" w:rsidR="0083515C" w:rsidRPr="00DF28F7" w:rsidRDefault="0083515C" w:rsidP="001F2648">
      <w:pPr>
        <w:jc w:val="both"/>
        <w:rPr>
          <w:rFonts w:ascii="Times New Roman" w:eastAsia="Verdana" w:hAnsi="Times New Roman" w:cs="Verdana"/>
          <w:noProof/>
          <w:sz w:val="24"/>
          <w:szCs w:val="19"/>
        </w:rPr>
      </w:pPr>
    </w:p>
    <w:p w14:paraId="4AE32EE8" w14:textId="0C25D489"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Visās bioekonomikas jomās būs vajadzīgi kvalificēti profesionāļi ar īpašām prasmēm vērtības ķēdēs. Izglītības un mācību programmas ir</w:t>
      </w:r>
      <w:r w:rsidR="00A824E5">
        <w:rPr>
          <w:rFonts w:ascii="Times New Roman" w:hAnsi="Times New Roman"/>
          <w:sz w:val="24"/>
        </w:rPr>
        <w:t xml:space="preserve"> </w:t>
      </w:r>
      <w:r>
        <w:rPr>
          <w:rFonts w:ascii="Times New Roman" w:hAnsi="Times New Roman"/>
          <w:sz w:val="24"/>
        </w:rPr>
        <w:t>jāpielāgo un jāizstrādā, lai darbaspēks varētu apgūt attiecīgās prasmes. Lai risinātu šīs problēmas, dalībvalstis tiks aicinātas partnerībā ar ES turpināt attīstīt bioekonomikas prasmes augstākās un profesionālās izglītības programmās, tostarp piesaistot ES mehānismus, piemēram, nozaru prasmju alianses, un visās ar bioekonomiku saistītajās jomās, ņemot vērā to dažādās vajadzības un ietverot arī apmācību uzņēmējdarbības jomā.</w:t>
      </w:r>
    </w:p>
    <w:p w14:paraId="088B5B04" w14:textId="77777777" w:rsidR="00CF10CD" w:rsidRPr="00DF28F7" w:rsidRDefault="00CF10CD" w:rsidP="001F2648">
      <w:pPr>
        <w:jc w:val="both"/>
        <w:rPr>
          <w:rFonts w:ascii="Times New Roman" w:eastAsia="Verdana" w:hAnsi="Times New Roman" w:cs="Verdana"/>
          <w:noProof/>
          <w:sz w:val="24"/>
          <w:szCs w:val="20"/>
        </w:rPr>
      </w:pPr>
    </w:p>
    <w:p w14:paraId="652F6F09" w14:textId="77777777" w:rsidR="0083515C" w:rsidRPr="00DF28F7" w:rsidRDefault="0083515C" w:rsidP="001F2648">
      <w:pPr>
        <w:jc w:val="both"/>
        <w:rPr>
          <w:rFonts w:ascii="Times New Roman" w:eastAsia="Verdana" w:hAnsi="Times New Roman" w:cs="Verdana"/>
          <w:noProof/>
          <w:sz w:val="24"/>
          <w:szCs w:val="19"/>
        </w:rPr>
      </w:pPr>
    </w:p>
    <w:p w14:paraId="67C38A27" w14:textId="77777777" w:rsidR="0083515C" w:rsidRPr="00A41502" w:rsidRDefault="0083515C" w:rsidP="001F2648">
      <w:pPr>
        <w:jc w:val="both"/>
        <w:rPr>
          <w:rFonts w:ascii="Times New Roman" w:hAnsi="Times New Roman"/>
          <w:i/>
          <w:iCs/>
          <w:noProof/>
          <w:sz w:val="24"/>
        </w:rPr>
      </w:pPr>
      <w:r>
        <w:rPr>
          <w:rFonts w:ascii="Times New Roman" w:hAnsi="Times New Roman"/>
          <w:i/>
          <w:sz w:val="24"/>
        </w:rPr>
        <w:t>3.2.1. Stratēģiskās ieviešanas programma ilgtspējīgu pārtikas un lauksaimniecības sistēmu, mežsaimniecības un uz bioresursiem balstītas ražošanas izveidei aprites bioekonomikā</w:t>
      </w:r>
    </w:p>
    <w:p w14:paraId="5397EADC" w14:textId="77777777" w:rsidR="00CF10CD" w:rsidRPr="00DF28F7" w:rsidRDefault="00CF10CD"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A41502" w14:paraId="0C75C9E1" w14:textId="77777777" w:rsidTr="00A41502">
        <w:tc>
          <w:tcPr>
            <w:tcW w:w="9288" w:type="dxa"/>
          </w:tcPr>
          <w:p w14:paraId="0619DAF5" w14:textId="77777777" w:rsidR="00A41502" w:rsidRPr="00A41502" w:rsidRDefault="00A41502" w:rsidP="00A41502">
            <w:pPr>
              <w:jc w:val="both"/>
              <w:rPr>
                <w:rFonts w:ascii="Times New Roman" w:hAnsi="Times New Roman"/>
                <w:i/>
                <w:iCs/>
                <w:noProof/>
                <w:sz w:val="24"/>
              </w:rPr>
            </w:pPr>
            <w:r>
              <w:rPr>
                <w:rFonts w:ascii="Times New Roman" w:hAnsi="Times New Roman"/>
                <w:i/>
                <w:sz w:val="24"/>
              </w:rPr>
              <w:t>Šīs darbības ietvaros sadarbībā ar dalībvalstīm un privāto sektoru tiks izstrādāta stratēģiskās ieviešanas programma (</w:t>
            </w:r>
            <w:r>
              <w:rPr>
                <w:rFonts w:ascii="Times New Roman" w:hAnsi="Times New Roman"/>
                <w:i/>
                <w:iCs/>
                <w:sz w:val="24"/>
              </w:rPr>
              <w:t xml:space="preserve">Strategic Deployment Agenda – </w:t>
            </w:r>
            <w:r>
              <w:rPr>
                <w:rFonts w:ascii="Times New Roman" w:hAnsi="Times New Roman"/>
                <w:i/>
                <w:sz w:val="24"/>
              </w:rPr>
              <w:t>SDA) ilgtspējīgu pārtikas un lauksaimniecības sistēmu, mežsaimniecības un uz bioresursiem balstītas ražošanas izveidei aprites bioekonomikā. Minētā SDA programma nodrošinās saskaņotu satvaru jaunu zināšanu, tehnoloģiju un prakses izvēršanai, lai sasaistītu minētās nozares sistēmiskā pieejā aprites un ilgtspējīgas bioekonomikas ietvaros.</w:t>
            </w:r>
          </w:p>
          <w:p w14:paraId="28F1A519" w14:textId="77777777" w:rsidR="00A41502" w:rsidRPr="00A41502" w:rsidRDefault="00A41502" w:rsidP="00A41502">
            <w:pPr>
              <w:jc w:val="both"/>
              <w:rPr>
                <w:rFonts w:ascii="Times New Roman" w:eastAsia="Times New Roman" w:hAnsi="Times New Roman" w:cs="Times New Roman"/>
                <w:i/>
                <w:iCs/>
                <w:noProof/>
                <w:sz w:val="24"/>
                <w:szCs w:val="20"/>
              </w:rPr>
            </w:pPr>
          </w:p>
          <w:p w14:paraId="59577D7B" w14:textId="77777777" w:rsidR="00A41502" w:rsidRPr="00A41502" w:rsidRDefault="00A41502" w:rsidP="001F2648">
            <w:pPr>
              <w:jc w:val="both"/>
              <w:rPr>
                <w:rFonts w:ascii="Times New Roman" w:eastAsia="Times New Roman" w:hAnsi="Times New Roman" w:cs="Times New Roman"/>
                <w:i/>
                <w:iCs/>
                <w:noProof/>
                <w:sz w:val="24"/>
                <w:szCs w:val="19"/>
              </w:rPr>
            </w:pPr>
            <w:r>
              <w:rPr>
                <w:rFonts w:ascii="Times New Roman" w:hAnsi="Times New Roman"/>
                <w:i/>
                <w:sz w:val="24"/>
              </w:rPr>
              <w:t>Rādītāji. Ceļveža izstrādē iesaistīto valsts un privāto partneru skaits; sviras efekts (izteikts EUR) ārpus ES pētniecības un inovācijas pamatprogrammas; inovācijas darbībās iesaistīto ieinteresēto pušu skaits; inovācijas pasākumu ģeogrāfiskais pārklājums; ieviesto novatorisko metožu/tehnoloģiju skaits; iesaistīto ieinteresēto pušu ziņotā ietekme.</w:t>
            </w:r>
          </w:p>
        </w:tc>
      </w:tr>
    </w:tbl>
    <w:p w14:paraId="1DCE6953" w14:textId="77777777" w:rsidR="0083515C" w:rsidRPr="00DF28F7" w:rsidRDefault="0083515C" w:rsidP="001F2648">
      <w:pPr>
        <w:jc w:val="both"/>
        <w:rPr>
          <w:rFonts w:ascii="Times New Roman" w:eastAsia="Times New Roman" w:hAnsi="Times New Roman" w:cs="Times New Roman"/>
          <w:noProof/>
          <w:sz w:val="24"/>
          <w:szCs w:val="16"/>
        </w:rPr>
      </w:pPr>
    </w:p>
    <w:p w14:paraId="12AB4B8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Šajā darbībā integrētā veidā risina ar aprites un ilgtspējīgām pārtikas sistēmām, primāro ražošanu un uz bioresursiem balstītajām nozarēm saistītās problēmas un iespējas. Tā nodrošinās saskaņotu satvaru jaunu zināšanu, tehnoloģiju un prakses izvēršanai, lai minētās nozares sasaistītu sistēmiskā pieejā aprites un ilgtspējīgas bioekonomikas ietvaros. Tajā tiks aplūkoti procesi un instrumenti, kā arī īstenota stratēģiskā pieeja tādu inovāciju ieviešanai, kas ir vērstas uz problēmām, pārvarot sadrumstalotību pētniecības un inovācijas plānošanā un ieviešanā nozarēs, politikas virzienos un teritorijās.</w:t>
      </w:r>
    </w:p>
    <w:p w14:paraId="507E351E" w14:textId="77777777" w:rsidR="0083515C" w:rsidRPr="00DF28F7" w:rsidRDefault="0083515C" w:rsidP="001F2648">
      <w:pPr>
        <w:jc w:val="both"/>
        <w:rPr>
          <w:rFonts w:ascii="Times New Roman" w:eastAsia="Verdana" w:hAnsi="Times New Roman" w:cs="Verdana"/>
          <w:noProof/>
          <w:sz w:val="24"/>
          <w:szCs w:val="19"/>
        </w:rPr>
      </w:pPr>
    </w:p>
    <w:p w14:paraId="14C8920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Tāpēc </w:t>
      </w:r>
      <w:r>
        <w:rPr>
          <w:rFonts w:ascii="Times New Roman" w:hAnsi="Times New Roman"/>
          <w:i/>
          <w:iCs/>
          <w:sz w:val="24"/>
        </w:rPr>
        <w:t xml:space="preserve">SDA </w:t>
      </w:r>
      <w:r>
        <w:rPr>
          <w:rFonts w:ascii="Times New Roman" w:hAnsi="Times New Roman"/>
          <w:sz w:val="24"/>
        </w:rPr>
        <w:t>programmā līdz 2021. gadam noteiks instrumentus un iniciatīvas, kas var palīdzēt izplatīt zināšanas un veicināt tehnoloģiju izvēršanu ES, valstu un reģionālā līmenī. ES līmenī tās ietvaros var arī optimizēt sinerģiju starp kopējo lauksaimniecības politiku (KLP) un kopējo zivsaimniecības politiku (KZP), kā arī tādiem instrumentiem kā Eiropas Jūrlietu un zivsaimniecības fonds (EJZF), programma “Apvārsnis 2020” un ierosinātā programma “Apvārsnis Eiropa”, Eiropas Lauksaimniecības fonds lauku attīstībai (ELFLA) un citi Eiropas strukturālie un investīciju fondi (ESI fondi). Tiks izpētīta arī saikne ar citiem politikas virzieniem (piemēram, izglītību) un instrumentiem (piemēram, finanšu instrumentiem). Svarīgi, ka tiks apzināti arī attiecīgie instrumenti un iniciatīvas valsts un reģionālā līmenī. Tiks analizēta iespējamā mijiedarbība un papildināmība un sniegts skaidrs un pilnīgs priekšstats par atbalsta sistēmu.</w:t>
      </w:r>
    </w:p>
    <w:p w14:paraId="6D96A6A6" w14:textId="77777777" w:rsidR="0083515C" w:rsidRPr="00DF28F7" w:rsidRDefault="0083515C" w:rsidP="001F2648">
      <w:pPr>
        <w:jc w:val="both"/>
        <w:rPr>
          <w:rFonts w:ascii="Times New Roman" w:eastAsia="Verdana" w:hAnsi="Times New Roman" w:cs="Verdana"/>
          <w:noProof/>
          <w:sz w:val="24"/>
          <w:szCs w:val="19"/>
        </w:rPr>
      </w:pPr>
    </w:p>
    <w:p w14:paraId="4784308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Balstoties uz pašreizējām platformām un iniciatīvām, piemēram, </w:t>
      </w:r>
      <w:r>
        <w:rPr>
          <w:rFonts w:ascii="Times New Roman" w:hAnsi="Times New Roman"/>
          <w:i/>
          <w:iCs/>
          <w:sz w:val="24"/>
        </w:rPr>
        <w:t>EIP-AGRI</w:t>
      </w:r>
      <w:r>
        <w:rPr>
          <w:rFonts w:ascii="Times New Roman" w:hAnsi="Times New Roman"/>
          <w:sz w:val="24"/>
        </w:rPr>
        <w:t>, šajā darbībā apvienos primāros ražotājus (lauksaimniekus un akvakultūru saimniekus, mežsaimniekus, zvejniekus), iedzīvotājus, novatorus, skolotājus, MVU, rūpniecību, valsts iestādes un citus dalībniekus, lai definētu vajadzības un ilgtermiņa pieeju [ar ilgtspēju, noturību un atbilstību aprites principiem saistītām sistēmiskām problēmām un iespējām], ar ko mobilizē zināšanas, pieejas, sociālās inovācijas un tehnoloģijas, kuras ir gatavas izvēršanai, kā arī attiecīgos tirgus mehānismus, investīcijas un noteikumus. Tajā tiks apzinātas vajadzības un ierosinātas izvēršanas iespējas, kas apvienos vispiemērotākos līdzekļus un instrumentus un izmantos sinerģijas. Tās ietvaros atbalstīs arī primāros ražotājus, MVU un citus dalībniekus, piedāvājot konsultāciju pakalpojumus, platformas un pamatnostādnes.</w:t>
      </w:r>
    </w:p>
    <w:p w14:paraId="35469F8F" w14:textId="77777777" w:rsidR="00CF10CD" w:rsidRPr="00DF28F7" w:rsidRDefault="00CF10CD" w:rsidP="001F2648">
      <w:pPr>
        <w:jc w:val="both"/>
        <w:rPr>
          <w:rFonts w:ascii="Times New Roman" w:eastAsia="Verdana" w:hAnsi="Times New Roman" w:cs="Verdana"/>
          <w:noProof/>
          <w:sz w:val="24"/>
          <w:szCs w:val="20"/>
        </w:rPr>
      </w:pPr>
    </w:p>
    <w:p w14:paraId="7163F5BB" w14:textId="77777777" w:rsidR="0083515C" w:rsidRPr="00DF28F7" w:rsidRDefault="0083515C" w:rsidP="001F2648">
      <w:pPr>
        <w:jc w:val="both"/>
        <w:rPr>
          <w:rFonts w:ascii="Times New Roman" w:eastAsia="Verdana" w:hAnsi="Times New Roman" w:cs="Verdana"/>
          <w:noProof/>
          <w:sz w:val="24"/>
          <w:szCs w:val="19"/>
        </w:rPr>
      </w:pPr>
    </w:p>
    <w:p w14:paraId="22D6FD66" w14:textId="77777777" w:rsidR="0083515C" w:rsidRPr="00A41502" w:rsidRDefault="0083515C" w:rsidP="00A824E5">
      <w:pPr>
        <w:keepNext/>
        <w:keepLines/>
        <w:jc w:val="both"/>
        <w:rPr>
          <w:rFonts w:ascii="Times New Roman" w:hAnsi="Times New Roman"/>
          <w:i/>
          <w:iCs/>
          <w:noProof/>
          <w:sz w:val="24"/>
        </w:rPr>
      </w:pPr>
      <w:r>
        <w:rPr>
          <w:rFonts w:ascii="Times New Roman" w:hAnsi="Times New Roman"/>
          <w:i/>
          <w:sz w:val="24"/>
        </w:rPr>
        <w:lastRenderedPageBreak/>
        <w:t>3.2.2. Izmēģinājuma darbības vietējās (lauku, piekrastes, pilsētu) bioekonomikas izvēršanas atbalstam ar Komisijas instrumentiem un programmām</w:t>
      </w:r>
    </w:p>
    <w:p w14:paraId="2CC3EC47" w14:textId="77777777" w:rsidR="00CF10CD" w:rsidRPr="00DF28F7" w:rsidRDefault="00CF10CD" w:rsidP="00A824E5">
      <w:pPr>
        <w:keepNext/>
        <w:keepLines/>
        <w:jc w:val="both"/>
        <w:rPr>
          <w:rFonts w:ascii="Times New Roman" w:eastAsia="Times New Roman" w:hAnsi="Times New Roman" w:cs="Times New Roman"/>
          <w:noProof/>
          <w:sz w:val="24"/>
          <w:szCs w:val="18"/>
        </w:rPr>
      </w:pPr>
    </w:p>
    <w:p w14:paraId="734C1870" w14:textId="77777777" w:rsidR="0083515C" w:rsidRPr="00A41502" w:rsidRDefault="00A41502" w:rsidP="00A824E5">
      <w:pPr>
        <w:pStyle w:val="BodyText"/>
        <w:keepNext/>
        <w:keepLines/>
        <w:tabs>
          <w:tab w:val="left" w:pos="316"/>
        </w:tabs>
        <w:ind w:left="0"/>
        <w:jc w:val="both"/>
        <w:rPr>
          <w:rFonts w:ascii="Times New Roman" w:hAnsi="Times New Roman"/>
          <w:i/>
          <w:iCs/>
          <w:noProof/>
          <w:sz w:val="24"/>
          <w:u w:val="single" w:color="000000"/>
        </w:rPr>
      </w:pPr>
      <w:r>
        <w:rPr>
          <w:rFonts w:ascii="Times New Roman" w:hAnsi="Times New Roman"/>
          <w:i/>
          <w:sz w:val="24"/>
          <w:u w:val="single" w:color="000000"/>
        </w:rPr>
        <w:t>i) Īstenojot jūras baseina stratēģijas, kā arī izmantojot Eiropas Jūrlietu un zivsaimniecības fondu un Zilās bioekonomikas forumu, atraisīt “zilās bioekonomikas” augsto potenciālu piekrastes apgabalos un salās</w:t>
      </w:r>
    </w:p>
    <w:p w14:paraId="495266D1"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A41502" w14:paraId="1DB89060" w14:textId="77777777" w:rsidTr="00A41502">
        <w:tc>
          <w:tcPr>
            <w:tcW w:w="9288" w:type="dxa"/>
          </w:tcPr>
          <w:p w14:paraId="793F2994" w14:textId="77777777" w:rsidR="00A41502" w:rsidRPr="00A41502" w:rsidRDefault="00A41502" w:rsidP="00A41502">
            <w:pPr>
              <w:jc w:val="both"/>
              <w:rPr>
                <w:rFonts w:ascii="Times New Roman" w:eastAsia="Times New Roman" w:hAnsi="Times New Roman" w:cs="Times New Roman"/>
                <w:i/>
                <w:iCs/>
                <w:noProof/>
                <w:sz w:val="24"/>
                <w:szCs w:val="19"/>
              </w:rPr>
            </w:pPr>
            <w:r>
              <w:rPr>
                <w:rFonts w:ascii="Times New Roman" w:hAnsi="Times New Roman"/>
                <w:i/>
                <w:sz w:val="24"/>
              </w:rPr>
              <w:t>Šajā darbībā tiks atbalstīta jūras bioekonomika, izmantojot Eiropas Jūrlietu un zivsaimniecības fonda nodrošinātās “Zilās ekonomikas dotācijas” un Zilās bioekonomikas forumu. Piekrastes attīstību veicinās, īstenojot jūras baseina stratēģijas, tostarp caur stratēģiskās pētniecības un inovācijas programmām, kas veltītas Vidusjūrai, Melnajai jūrai, Atlantijas okeānam un Baltijas jūrai, kā arī īstenojot publiskās partnerības starp Eiropas jūras baseiniem, lai atraisītu zilās bioekonomikas potenciālu (pētniecības un inovācijas pamatprogrammas). Dalībvalstis un reģioni tiek aicināti veicināt ilgtspējīgu piekrastes bioekonomiku, īstenojot pārdomātas specializācijas stratēģijas.</w:t>
            </w:r>
          </w:p>
          <w:p w14:paraId="072B01D0" w14:textId="77777777" w:rsidR="00A41502" w:rsidRPr="00A41502" w:rsidRDefault="00A41502" w:rsidP="00A41502">
            <w:pPr>
              <w:jc w:val="both"/>
              <w:rPr>
                <w:rFonts w:ascii="Times New Roman" w:eastAsia="Times New Roman" w:hAnsi="Times New Roman" w:cs="Times New Roman"/>
                <w:i/>
                <w:iCs/>
                <w:noProof/>
                <w:sz w:val="24"/>
                <w:szCs w:val="20"/>
              </w:rPr>
            </w:pPr>
          </w:p>
          <w:p w14:paraId="17F14389" w14:textId="77777777" w:rsidR="00A41502" w:rsidRPr="00A41502" w:rsidRDefault="00A41502" w:rsidP="001F2648">
            <w:pPr>
              <w:jc w:val="both"/>
              <w:rPr>
                <w:rFonts w:ascii="Times New Roman" w:hAnsi="Times New Roman"/>
                <w:i/>
                <w:iCs/>
                <w:noProof/>
                <w:sz w:val="24"/>
              </w:rPr>
            </w:pPr>
            <w:r>
              <w:rPr>
                <w:rFonts w:ascii="Times New Roman" w:hAnsi="Times New Roman"/>
                <w:i/>
                <w:sz w:val="24"/>
              </w:rPr>
              <w:t>Rādītāji. Pieņemto, īstenoto un pārskatīto jūras baseina stratēģiju skaits; finansēto attiecīgo projektu skaits; attiecīgajos projektos ieguldīto EUR apjoms.</w:t>
            </w:r>
          </w:p>
        </w:tc>
      </w:tr>
    </w:tbl>
    <w:p w14:paraId="4C876FCB" w14:textId="77777777" w:rsidR="0083515C" w:rsidRPr="00DF28F7" w:rsidRDefault="0083515C" w:rsidP="001F2648">
      <w:pPr>
        <w:jc w:val="both"/>
        <w:rPr>
          <w:rFonts w:ascii="Times New Roman" w:eastAsia="Times New Roman" w:hAnsi="Times New Roman" w:cs="Times New Roman"/>
          <w:noProof/>
          <w:sz w:val="24"/>
          <w:szCs w:val="16"/>
        </w:rPr>
      </w:pPr>
    </w:p>
    <w:p w14:paraId="02D88C1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Šīs darbības mērķi ir atbalstīt vides ziņā ilgtspējīgas, resursu ziņā efektīvas un konkurētspējīgas jūrniecības darbības, kā arī palielināt nodarbinātību un teritoriālo kohēziju piekrastes kopienās.</w:t>
      </w:r>
    </w:p>
    <w:p w14:paraId="488279C3" w14:textId="77777777" w:rsidR="0083515C" w:rsidRPr="00DF28F7" w:rsidRDefault="0083515C" w:rsidP="001F2648">
      <w:pPr>
        <w:jc w:val="both"/>
        <w:rPr>
          <w:rFonts w:ascii="Times New Roman" w:eastAsia="Verdana" w:hAnsi="Times New Roman" w:cs="Verdana"/>
          <w:noProof/>
          <w:sz w:val="24"/>
          <w:szCs w:val="20"/>
        </w:rPr>
      </w:pPr>
    </w:p>
    <w:p w14:paraId="508604E8"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Šajā darbībā tiecas atbalstīt piekrastes teritoriju attīstību, kā arī to zilās bioekonomikas attīstību. Piekrastes teritorijas atrodas sauszemes, jūras un gaisa ekosistēmu krustpunktā. Tās ir jaunās ārzonas ekonomikas balsts, kas sasaista okeānu ar sauszemes ekonomiku. Gandrīz puse ES iedzīvotāju dzīvo mazāk nekā 50 km no jūras; lielākā daļa koncentrējas pilsētu teritorijās gar krastu. Eiropas piekrastes reģionos 2011. gadā dzīvoja 206 miljoni cilvēku jeb 41 % ES iedzīvotāju.</w:t>
      </w:r>
      <w:r w:rsidR="00A41502">
        <w:rPr>
          <w:rStyle w:val="FootnoteReference"/>
          <w:rFonts w:ascii="Times New Roman" w:hAnsi="Times New Roman"/>
          <w:noProof/>
          <w:sz w:val="24"/>
        </w:rPr>
        <w:footnoteReference w:id="256"/>
      </w:r>
      <w:r>
        <w:rPr>
          <w:rFonts w:ascii="Times New Roman" w:hAnsi="Times New Roman"/>
          <w:sz w:val="24"/>
        </w:rPr>
        <w:t xml:space="preserve"> Piekrastes kopienas nodrošina lielāko daļu ar zvejas darbībām saistīto darbavietu un dažkārt ir diezgan atkarīgas no šādām darbībām</w:t>
      </w:r>
      <w:r w:rsidR="008A1720">
        <w:rPr>
          <w:rStyle w:val="FootnoteReference"/>
          <w:rFonts w:ascii="Times New Roman" w:hAnsi="Times New Roman"/>
          <w:noProof/>
          <w:sz w:val="24"/>
        </w:rPr>
        <w:footnoteReference w:id="257"/>
      </w:r>
      <w:r>
        <w:rPr>
          <w:rFonts w:ascii="Times New Roman" w:hAnsi="Times New Roman"/>
          <w:sz w:val="24"/>
        </w:rPr>
        <w:t>.</w:t>
      </w:r>
    </w:p>
    <w:p w14:paraId="40772BAC" w14:textId="77777777" w:rsidR="0083515C" w:rsidRPr="00DF28F7" w:rsidRDefault="0083515C" w:rsidP="001F2648">
      <w:pPr>
        <w:jc w:val="both"/>
        <w:rPr>
          <w:rFonts w:ascii="Times New Roman" w:eastAsia="Verdana" w:hAnsi="Times New Roman" w:cs="Verdana"/>
          <w:noProof/>
          <w:sz w:val="24"/>
          <w:szCs w:val="20"/>
        </w:rPr>
      </w:pPr>
    </w:p>
    <w:p w14:paraId="36D334D6"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Tomēr spiediens uz piekrastes teritoriju noturību ir gana liels, jo klimata pārmaiņu radīto galējo seku dēļ ceļas jūras līmenis un pieaug vētru skaits, turklāt, ņemot vērā koraļļu rifa pakāpenisko pasliktināšanos, samazinās arī okeāna nodrošinātā aizsardzība.</w:t>
      </w:r>
      <w:r w:rsidR="008A1720">
        <w:rPr>
          <w:rStyle w:val="FootnoteReference"/>
          <w:rFonts w:ascii="Times New Roman" w:hAnsi="Times New Roman"/>
          <w:noProof/>
          <w:sz w:val="24"/>
        </w:rPr>
        <w:footnoteReference w:id="258"/>
      </w:r>
    </w:p>
    <w:p w14:paraId="5F9EB6EE" w14:textId="77777777" w:rsidR="0083515C" w:rsidRPr="00DF28F7" w:rsidRDefault="0083515C" w:rsidP="001F2648">
      <w:pPr>
        <w:jc w:val="both"/>
        <w:rPr>
          <w:rFonts w:ascii="Times New Roman" w:eastAsia="Verdana" w:hAnsi="Times New Roman" w:cs="Verdana"/>
          <w:noProof/>
          <w:sz w:val="24"/>
          <w:szCs w:val="19"/>
        </w:rPr>
      </w:pPr>
    </w:p>
    <w:p w14:paraId="66DCA359"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Līdz 2024. gadam šajā darbībā paredzēts:</w:t>
      </w:r>
    </w:p>
    <w:p w14:paraId="397373D6" w14:textId="77777777" w:rsidR="00CF10CD" w:rsidRPr="00DF28F7" w:rsidRDefault="00CF10CD" w:rsidP="001F2648">
      <w:pPr>
        <w:jc w:val="both"/>
        <w:rPr>
          <w:rFonts w:ascii="Times New Roman" w:eastAsia="Verdana" w:hAnsi="Times New Roman" w:cs="Verdana"/>
          <w:noProof/>
          <w:sz w:val="24"/>
          <w:szCs w:val="13"/>
        </w:rPr>
      </w:pPr>
    </w:p>
    <w:p w14:paraId="1D2F9ECD" w14:textId="77777777" w:rsidR="0083515C" w:rsidRPr="00DF28F7" w:rsidRDefault="008A1720" w:rsidP="008A1720">
      <w:pPr>
        <w:pStyle w:val="BodyText"/>
        <w:tabs>
          <w:tab w:val="left" w:pos="561"/>
        </w:tabs>
        <w:ind w:left="0"/>
        <w:jc w:val="both"/>
        <w:rPr>
          <w:rFonts w:ascii="Times New Roman" w:hAnsi="Times New Roman"/>
          <w:noProof/>
          <w:sz w:val="24"/>
        </w:rPr>
      </w:pPr>
      <w:r>
        <w:rPr>
          <w:rFonts w:ascii="Times New Roman" w:hAnsi="Times New Roman"/>
          <w:sz w:val="24"/>
        </w:rPr>
        <w:t>1) nodrošināt finansējumu jūras bioekonomikai, izmantojot Eiropas Jūrlietu un zivsaimniecības fonda “Zilās ekonomikas dotācijas”.</w:t>
      </w:r>
      <w:r>
        <w:rPr>
          <w:rStyle w:val="FootnoteReference"/>
          <w:rFonts w:ascii="Times New Roman" w:hAnsi="Times New Roman"/>
          <w:noProof/>
          <w:sz w:val="24"/>
        </w:rPr>
        <w:footnoteReference w:id="259"/>
      </w:r>
      <w:r>
        <w:rPr>
          <w:rFonts w:ascii="Times New Roman" w:hAnsi="Times New Roman"/>
          <w:sz w:val="24"/>
        </w:rPr>
        <w:t xml:space="preserve"> Ar šīm dotācijām tostarp finansēs dzīvotspējīgus risinājumus piesārņojuma problēmas novēršanai jūrā, pievienotās vērtības produktu un pakalpojumu izstrādei no nepietiekami izmantotas biomasas, akvakultūras ekoloģiskuma palielināšanai, jūrniecības nozaru darbaspēka vajadzību risināšanai un plaisas novēršanai starp novatoriskiem risinājumiem, kā arī to ieviešanai tirgū;</w:t>
      </w:r>
    </w:p>
    <w:p w14:paraId="46EBF1F1" w14:textId="77777777" w:rsidR="0083515C" w:rsidRPr="00DF28F7" w:rsidRDefault="0083515C" w:rsidP="001F2648">
      <w:pPr>
        <w:jc w:val="both"/>
        <w:rPr>
          <w:rFonts w:ascii="Times New Roman" w:eastAsia="Verdana" w:hAnsi="Times New Roman" w:cs="Verdana"/>
          <w:noProof/>
          <w:sz w:val="24"/>
          <w:szCs w:val="19"/>
        </w:rPr>
      </w:pPr>
    </w:p>
    <w:p w14:paraId="64AD91BA" w14:textId="77777777" w:rsidR="0083515C" w:rsidRPr="00DF28F7" w:rsidRDefault="008A1720" w:rsidP="008A1720">
      <w:pPr>
        <w:pStyle w:val="BodyText"/>
        <w:tabs>
          <w:tab w:val="left" w:pos="561"/>
        </w:tabs>
        <w:ind w:left="0"/>
        <w:jc w:val="both"/>
        <w:rPr>
          <w:rFonts w:ascii="Times New Roman" w:hAnsi="Times New Roman"/>
          <w:noProof/>
          <w:sz w:val="24"/>
        </w:rPr>
      </w:pPr>
      <w:r>
        <w:rPr>
          <w:rFonts w:ascii="Times New Roman" w:hAnsi="Times New Roman"/>
          <w:sz w:val="24"/>
        </w:rPr>
        <w:t xml:space="preserve">2) atbalstīt zilās bioekonomikas foruma izveidi, apvienojot rūpniecības, valsts iestāžu, akadēmisko aprindu un finanšu pārstāvjus partnerībā, lai stiprinātu Eiropas konkurētspēju jaunajā zilajā bioekonomikā. Foruma uzdevums būs veidot kopīgu izpratni par jaunās zilās bioekonomikas pašreizējo stāvokli Eiropā un kopīgi apzināt stratēģiskās attīstības tendences, tirgus iespējas, atbilstošu finansiālo palīdzību, kā arī reglamentējošus pasākumus un pētniecības prioritātes zilās bioekonomikas veicināšanai Eiropā. Forumā centīsies izmantot sinerģijas starp zilās bioekonomikas nozarēm, kurās var inovatīvi izmantot ūdens biomasu. Tajā tiks aplūkots biomasas pakalpojumu pielietojums jauniem mērķiem, piemēram, dzīvnieku barībai un barības piedevām, pārtikas produktiem (funkcionāliem, fermentētiem vai ceptiem), farmaceitiskiem līdzekļiem vai kosmētiskiem līdzekļiem. Īpaša uzmanība tiek pievērsta arī atlieku izmantošanai un to vērtības palielināšanai citiem lietojumiem (piemēram, vērtības palielināšanai hitīnam, gliemežvākiem un citiem bioaktīviem komponentiem). Līdz 2019. gada beigām forumā tiks izstrādāts dzīvotspējīgu zilās bioekonomikas projektu atbalsta kanāls, kas palīdzēs tuvināt projektus investīcijām. Eiropas Komisija attiecībā uz šiem un citiem daudzsološiem zilās ekonomikas projektiem rīkos partneru meklēšanas pasākumus </w:t>
      </w:r>
      <w:r>
        <w:rPr>
          <w:rFonts w:ascii="Times New Roman" w:hAnsi="Times New Roman"/>
          <w:i/>
          <w:iCs/>
          <w:sz w:val="24"/>
        </w:rPr>
        <w:t>#BlueInvest</w:t>
      </w:r>
      <w:r>
        <w:rPr>
          <w:rFonts w:ascii="Times New Roman" w:hAnsi="Times New Roman"/>
          <w:sz w:val="24"/>
        </w:rPr>
        <w:t xml:space="preserve"> ietvaros;</w:t>
      </w:r>
    </w:p>
    <w:p w14:paraId="71BC6AFA" w14:textId="77777777" w:rsidR="0083515C" w:rsidRPr="00DF28F7" w:rsidRDefault="0083515C" w:rsidP="001F2648">
      <w:pPr>
        <w:jc w:val="both"/>
        <w:rPr>
          <w:rFonts w:ascii="Times New Roman" w:eastAsia="Verdana" w:hAnsi="Times New Roman" w:cs="Verdana"/>
          <w:noProof/>
          <w:sz w:val="24"/>
          <w:szCs w:val="19"/>
        </w:rPr>
      </w:pPr>
    </w:p>
    <w:p w14:paraId="6460F3ED" w14:textId="77777777" w:rsidR="0083515C" w:rsidRPr="00DF28F7" w:rsidRDefault="008A1720" w:rsidP="008A1720">
      <w:pPr>
        <w:pStyle w:val="BodyText"/>
        <w:tabs>
          <w:tab w:val="left" w:pos="510"/>
        </w:tabs>
        <w:ind w:left="0"/>
        <w:jc w:val="both"/>
        <w:rPr>
          <w:rFonts w:ascii="Times New Roman" w:hAnsi="Times New Roman"/>
          <w:noProof/>
          <w:sz w:val="24"/>
        </w:rPr>
      </w:pPr>
      <w:r>
        <w:rPr>
          <w:rFonts w:ascii="Times New Roman" w:hAnsi="Times New Roman"/>
          <w:sz w:val="24"/>
        </w:rPr>
        <w:t>3) izveidot, īstenot un pārskatīt jūras baseinu stratēģijas zilās ekonomikas attīstībai, kas ietver visas jūras uz bioresursiem balstītās nozares. Dalībvalstis un reģioni tiek mudināti veicināt piekrastes bioekonomikas attīstību, īstenojot pārdomātas specializācijas stratēģijas. Jūras baseinu stratēģijas tiks īstenotas, tostarp caur stratēģiskām pētniecības un inovācijas programmām, kas veltītas Vidusjūrai, Melnajai jūrai, Atlantijas okeānam un Baltijas jūrai, kā arī īstenojot publiskās partnerības starp Eiropas jūras baseiniem (ES pētniecības un inovācijas pamatprogrammas). Jūras baseinu stratēģijas ir strukturēta sadarbības sistēma, kas skar konkrētu ģeogrāfisko apgabalu un ko izstrādājušas ES iestādes, dalībvalstis, to reģioni un attiecīgā gadījumā trešās valstis, kurām ir kopīgs jūras baseins. Šajās stratēģijās ņem vērā jūras baseina ģeogrāfiskās, klimatiskās, ekonomiskās un politiskās īpatnības.</w:t>
      </w:r>
    </w:p>
    <w:p w14:paraId="767AB5B8" w14:textId="77777777" w:rsidR="0083515C" w:rsidRDefault="0083515C" w:rsidP="001F2648">
      <w:pPr>
        <w:jc w:val="both"/>
        <w:rPr>
          <w:rFonts w:ascii="Times New Roman" w:eastAsia="Verdana" w:hAnsi="Times New Roman" w:cs="Verdana"/>
          <w:noProof/>
          <w:sz w:val="24"/>
          <w:szCs w:val="19"/>
        </w:rPr>
      </w:pPr>
    </w:p>
    <w:p w14:paraId="5C9A3FE4" w14:textId="77777777" w:rsidR="008A1720" w:rsidRPr="00DF28F7" w:rsidRDefault="008A1720" w:rsidP="001F2648">
      <w:pPr>
        <w:jc w:val="both"/>
        <w:rPr>
          <w:rFonts w:ascii="Times New Roman" w:eastAsia="Verdana" w:hAnsi="Times New Roman" w:cs="Verdana"/>
          <w:noProof/>
          <w:sz w:val="24"/>
          <w:szCs w:val="19"/>
        </w:rPr>
      </w:pPr>
    </w:p>
    <w:p w14:paraId="2491E4F9" w14:textId="77777777" w:rsidR="0083515C" w:rsidRPr="008A1720" w:rsidRDefault="008A1720" w:rsidP="008A1720">
      <w:pPr>
        <w:pStyle w:val="BodyText"/>
        <w:tabs>
          <w:tab w:val="left" w:pos="386"/>
        </w:tabs>
        <w:ind w:left="0"/>
        <w:jc w:val="both"/>
        <w:rPr>
          <w:rFonts w:ascii="Times New Roman" w:hAnsi="Times New Roman"/>
          <w:i/>
          <w:iCs/>
          <w:noProof/>
          <w:sz w:val="24"/>
          <w:u w:val="single" w:color="000000"/>
        </w:rPr>
      </w:pPr>
      <w:r>
        <w:rPr>
          <w:rFonts w:ascii="Times New Roman" w:hAnsi="Times New Roman"/>
          <w:i/>
          <w:sz w:val="24"/>
          <w:u w:val="single" w:color="000000"/>
        </w:rPr>
        <w:t>ii) Atbalstīt iekļaujošas bioekonomikas izvēršanu lauku apvidos, izmantojot Eiropas Lauku attīstības fondu</w:t>
      </w:r>
    </w:p>
    <w:p w14:paraId="0C09E174" w14:textId="77777777" w:rsidR="0083515C" w:rsidRPr="00DF28F7" w:rsidRDefault="0083515C" w:rsidP="001F2648">
      <w:pPr>
        <w:jc w:val="both"/>
        <w:rPr>
          <w:rFonts w:ascii="Times New Roman" w:eastAsia="Times New Roman" w:hAnsi="Times New Roman" w:cs="Times New Roman"/>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8A1720" w14:paraId="116999AF" w14:textId="77777777" w:rsidTr="008A1720">
        <w:tc>
          <w:tcPr>
            <w:tcW w:w="9288" w:type="dxa"/>
          </w:tcPr>
          <w:p w14:paraId="721ACD12" w14:textId="77777777" w:rsidR="008A1720" w:rsidRPr="008A1720" w:rsidRDefault="008A1720" w:rsidP="008A1720">
            <w:pPr>
              <w:jc w:val="both"/>
              <w:rPr>
                <w:rFonts w:ascii="Times New Roman" w:eastAsia="Times New Roman" w:hAnsi="Times New Roman" w:cs="Times New Roman"/>
                <w:i/>
                <w:iCs/>
                <w:noProof/>
                <w:sz w:val="24"/>
                <w:szCs w:val="19"/>
              </w:rPr>
            </w:pPr>
            <w:r>
              <w:rPr>
                <w:rFonts w:ascii="Times New Roman" w:hAnsi="Times New Roman"/>
                <w:i/>
                <w:sz w:val="24"/>
              </w:rPr>
              <w:t>Šajā darbībā tiks veicināta izpratnes veidošana, labākā prakse un spēju veidošana, piedāvājot darbseminārus, seminārus vai sanāksmes ar dalībvalstīm, kā arī attiecīgajām privātajām un valsts ieinteresētajām pusēm. Papildus mērķim konkrēti atbalstīt ilgtspējīgu bioekonomikas uzņēmumu izveidi lauku apvidos šī darbība dod dalībvalstīm iespēju iestrādāt bioekonomiku to kopējās lauksaimniecības politikas stratēģiskajos plānos, pienācīgi integrējot primāros ražotājus.</w:t>
            </w:r>
          </w:p>
          <w:p w14:paraId="093A12A5" w14:textId="77777777" w:rsidR="008A1720" w:rsidRPr="008A1720" w:rsidRDefault="008A1720" w:rsidP="008A1720">
            <w:pPr>
              <w:jc w:val="both"/>
              <w:rPr>
                <w:rFonts w:ascii="Times New Roman" w:eastAsia="Verdana" w:hAnsi="Times New Roman" w:cs="Verdana"/>
                <w:i/>
                <w:iCs/>
                <w:noProof/>
                <w:sz w:val="24"/>
                <w:szCs w:val="19"/>
              </w:rPr>
            </w:pPr>
          </w:p>
          <w:p w14:paraId="13E9F506" w14:textId="77777777" w:rsidR="008A1720" w:rsidRPr="008A1720" w:rsidRDefault="008A1720" w:rsidP="001F2648">
            <w:pPr>
              <w:jc w:val="both"/>
              <w:rPr>
                <w:rFonts w:ascii="Times New Roman" w:eastAsia="Times New Roman" w:hAnsi="Times New Roman" w:cs="Times New Roman"/>
                <w:i/>
                <w:iCs/>
                <w:noProof/>
                <w:sz w:val="24"/>
                <w:szCs w:val="19"/>
              </w:rPr>
            </w:pPr>
            <w:r>
              <w:rPr>
                <w:rFonts w:ascii="Times New Roman" w:hAnsi="Times New Roman"/>
                <w:i/>
                <w:sz w:val="24"/>
              </w:rPr>
              <w:t>Rādītāji. Iniciatīvas, ar ko mudina dalībvalstis ieguldīt kopējās lauksaimniecības politikas līdzekļus bioekonomikā, piemēram, darbsemināri, sanāksmes ar valstu pārstāvjiem un ieinteresētajām pusēm; saistībā ar bioekonomikas potenciālu rīkoto pasākumu skaits, jo īpaši primārajiem ražotājiem un lauku reģioniem paredzētie; pasākumu dalībnieku skaits; bioekonomikas ieviešanas atbalsta pasākumu ietvaros dalībvalstīm nodrošināto materiālu skaits par pašreizējo labo praksi.</w:t>
            </w:r>
          </w:p>
        </w:tc>
      </w:tr>
    </w:tbl>
    <w:p w14:paraId="1B399263" w14:textId="77777777" w:rsidR="00150DA1" w:rsidRDefault="00150DA1" w:rsidP="001F2648">
      <w:pPr>
        <w:jc w:val="both"/>
        <w:rPr>
          <w:rFonts w:ascii="Times New Roman" w:eastAsia="Times New Roman" w:hAnsi="Times New Roman" w:cs="Times New Roman"/>
          <w:noProof/>
          <w:sz w:val="24"/>
          <w:szCs w:val="17"/>
        </w:rPr>
      </w:pPr>
    </w:p>
    <w:p w14:paraId="0AB1A23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Kopējās lauksaimniecības politikas pašreizējās reformas mērķis tostarp ir vēl vairāk vienkāršot tās īstenošanu, ļaujot dalībvalstīm brīvāk izvēlēties politikas intervences pasākumus iekļaušanai valstu kopējās lauksaimniecības politikas stratēģiskajos plānos. </w:t>
      </w:r>
      <w:r>
        <w:rPr>
          <w:rFonts w:ascii="Times New Roman" w:hAnsi="Times New Roman"/>
          <w:sz w:val="24"/>
        </w:rPr>
        <w:lastRenderedPageBreak/>
        <w:t>Tādējādi šajā darbībā racionalizē labu un labāko praksi attiecībā uz to, kā sekmīgāk integrēt bioekonomiku turpmākajos valstu kopējās lauksaimniecības politikas stratēģiskajos plānos, kas dalībvalstīm ir jāizstrādā, un izmantot kopējās lauksaimniecības politikas sniegtās iespējas atbalstīt bioekonomikas attīstību. Tā kā vairākas dalībvalstis vēl nav izstrādājušas valsts bioekonomikas stratēģiju, ir svarīgi vairot izpratni par bioekonomikas stratēģijas ieviešanu un tās nozīmi gan primārajiem ražotājiem, gan lauku reģioniem. Turklāt jāparedz plašāki spēju veidošanas pasākumi valsts pārvaldes iestādēs, lai turpmākajos valstu kopējās lauksaimniecības politikas stratēģiskajos plānos minētās iespējas tiktu atspoguļotas efektīvos intervences pasākumos. Sekmīgi īstenojot šo darbību, dalībvalstis savos turpmākajos kopējās lauksaimniecības politikas stratēģiskajos plānos varēs labāk atspoguļot bioekonomiku, pamatojoties arī uz informāciju par Eiropas Savienībā pastāvošo labo praksi. Tādējādi, sasaistot valstu bioekonomikas stratēģijas un valstu kopējās lauksaimniecības politikas stratēģiskos plānus, tiks panākta politikas saskaņotība.</w:t>
      </w:r>
    </w:p>
    <w:p w14:paraId="5BA86E3E" w14:textId="77777777" w:rsidR="0083515C" w:rsidRPr="00DF28F7" w:rsidRDefault="0083515C" w:rsidP="001F2648">
      <w:pPr>
        <w:jc w:val="both"/>
        <w:rPr>
          <w:rFonts w:ascii="Times New Roman" w:eastAsia="Verdana" w:hAnsi="Times New Roman" w:cs="Verdana"/>
          <w:noProof/>
          <w:sz w:val="24"/>
          <w:szCs w:val="19"/>
        </w:rPr>
      </w:pPr>
    </w:p>
    <w:p w14:paraId="679A3A0E"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Līdz 2024. gadam šajā darbībā paredzēts:</w:t>
      </w:r>
    </w:p>
    <w:p w14:paraId="22B21CC1" w14:textId="77777777" w:rsidR="0083515C" w:rsidRPr="00DF28F7" w:rsidRDefault="0083515C" w:rsidP="001F2648">
      <w:pPr>
        <w:jc w:val="both"/>
        <w:rPr>
          <w:rFonts w:ascii="Times New Roman" w:eastAsia="Verdana" w:hAnsi="Times New Roman" w:cs="Verdana"/>
          <w:noProof/>
          <w:sz w:val="24"/>
          <w:szCs w:val="14"/>
        </w:rPr>
      </w:pPr>
    </w:p>
    <w:p w14:paraId="2605E0A5" w14:textId="77777777" w:rsidR="0083515C" w:rsidRPr="00DF28F7" w:rsidRDefault="008A1720" w:rsidP="008A1720">
      <w:pPr>
        <w:pStyle w:val="BodyText"/>
        <w:tabs>
          <w:tab w:val="left" w:pos="514"/>
        </w:tabs>
        <w:ind w:left="0"/>
        <w:jc w:val="both"/>
        <w:rPr>
          <w:rFonts w:ascii="Times New Roman" w:hAnsi="Times New Roman"/>
          <w:noProof/>
          <w:sz w:val="24"/>
        </w:rPr>
      </w:pPr>
      <w:r>
        <w:rPr>
          <w:rFonts w:ascii="Times New Roman" w:hAnsi="Times New Roman"/>
          <w:sz w:val="24"/>
        </w:rPr>
        <w:t>1) ar mērķtiecīgu sanāksmju un augsta līmeņa diskusiju (piemēram, AGRI/FISH sanāksme Ministru padomē) starpniecību vairot dalībvalstu informētību par bioekonomikas nozīmi lauku apvidos. Tādēļ tiks veicināta kopējās lauksaimniecības politikas atbalsta un finanšu instrumentu izmantošana labas prakses racionalizēšanai ar mērķi veicināt bioekonomikas ieviešanu, dodot iespēju primārajiem ražotājiem un lauku apvidiem izmantot šīs iespējas;</w:t>
      </w:r>
    </w:p>
    <w:p w14:paraId="4A87ED30" w14:textId="77777777" w:rsidR="0083515C" w:rsidRPr="00DF28F7" w:rsidRDefault="0083515C" w:rsidP="001F2648">
      <w:pPr>
        <w:jc w:val="both"/>
        <w:rPr>
          <w:rFonts w:ascii="Times New Roman" w:eastAsia="Verdana" w:hAnsi="Times New Roman" w:cs="Verdana"/>
          <w:noProof/>
          <w:sz w:val="24"/>
          <w:szCs w:val="19"/>
        </w:rPr>
      </w:pPr>
    </w:p>
    <w:p w14:paraId="5BA31CB5" w14:textId="77777777" w:rsidR="0083515C" w:rsidRPr="00DF28F7" w:rsidRDefault="008A1720" w:rsidP="008A1720">
      <w:pPr>
        <w:pStyle w:val="BodyText"/>
        <w:tabs>
          <w:tab w:val="left" w:pos="557"/>
        </w:tabs>
        <w:ind w:left="0"/>
        <w:jc w:val="both"/>
        <w:rPr>
          <w:rFonts w:ascii="Times New Roman" w:hAnsi="Times New Roman"/>
          <w:noProof/>
          <w:sz w:val="24"/>
        </w:rPr>
      </w:pPr>
      <w:r>
        <w:rPr>
          <w:rFonts w:ascii="Times New Roman" w:hAnsi="Times New Roman"/>
          <w:sz w:val="24"/>
        </w:rPr>
        <w:t>2) racionalizēt labas prakses un labākās prakses apmaiņu ES dalībvalstu pārvaldes iestāžu un citu attiecīgo ieinteresēto pušu starpā, nodrošinot spēju veidošanas pasākumus (darbseminārus, seminārus, prezentācijas). Šajā apmaiņā jāietver arī pašreizējā labā prakse un iespējas izmantot finanšu instrumentus turpmāko kopējās lauksaimniecības politikas stratēģisko plānu, valstu shēmu un ES bioekonomikas shēmu ietvaros (finansē no Eiropas Investīciju bankas līdzekļiem).</w:t>
      </w:r>
    </w:p>
    <w:p w14:paraId="1B913687" w14:textId="77777777" w:rsidR="00CF10CD" w:rsidRDefault="00CF10CD" w:rsidP="001F2648">
      <w:pPr>
        <w:jc w:val="both"/>
        <w:rPr>
          <w:rFonts w:ascii="Times New Roman" w:hAnsi="Times New Roman"/>
          <w:noProof/>
          <w:sz w:val="24"/>
        </w:rPr>
      </w:pPr>
    </w:p>
    <w:p w14:paraId="2CE5ACAA" w14:textId="77777777" w:rsidR="008A1720" w:rsidRPr="00DF28F7" w:rsidRDefault="008A1720" w:rsidP="001F2648">
      <w:pPr>
        <w:jc w:val="both"/>
        <w:rPr>
          <w:rFonts w:ascii="Times New Roman" w:hAnsi="Times New Roman"/>
          <w:noProof/>
          <w:sz w:val="24"/>
        </w:rPr>
      </w:pPr>
    </w:p>
    <w:p w14:paraId="021DC483" w14:textId="77777777" w:rsidR="0083515C" w:rsidRPr="008A1720" w:rsidRDefault="008A1720" w:rsidP="008A1720">
      <w:pPr>
        <w:pStyle w:val="BodyText"/>
        <w:tabs>
          <w:tab w:val="left" w:pos="419"/>
        </w:tabs>
        <w:ind w:left="0"/>
        <w:jc w:val="both"/>
        <w:rPr>
          <w:rFonts w:ascii="Times New Roman" w:hAnsi="Times New Roman"/>
          <w:i/>
          <w:iCs/>
          <w:noProof/>
          <w:sz w:val="24"/>
          <w:u w:val="single" w:color="000000"/>
        </w:rPr>
      </w:pPr>
      <w:r>
        <w:rPr>
          <w:rFonts w:ascii="Times New Roman" w:hAnsi="Times New Roman"/>
          <w:i/>
          <w:sz w:val="24"/>
          <w:u w:val="single" w:color="000000"/>
        </w:rPr>
        <w:t>iii) Attīstīt pilsētu bioekonomiku ar izmēģinājuma aprites bioekonomikas pilsētu starpniecību, izmantojot programmu “Apvārsnis Eiropa”</w:t>
      </w:r>
    </w:p>
    <w:p w14:paraId="4B088565"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8A1720" w14:paraId="14C4B99F" w14:textId="77777777" w:rsidTr="008A1720">
        <w:tc>
          <w:tcPr>
            <w:tcW w:w="9288" w:type="dxa"/>
          </w:tcPr>
          <w:p w14:paraId="20F24930" w14:textId="77777777" w:rsidR="008A1720" w:rsidRPr="008A1720" w:rsidRDefault="008A1720" w:rsidP="008A1720">
            <w:pPr>
              <w:jc w:val="both"/>
              <w:rPr>
                <w:rFonts w:ascii="Times New Roman" w:hAnsi="Times New Roman"/>
                <w:i/>
                <w:iCs/>
                <w:noProof/>
                <w:sz w:val="24"/>
              </w:rPr>
            </w:pPr>
            <w:r>
              <w:rPr>
                <w:rFonts w:ascii="Times New Roman" w:hAnsi="Times New Roman"/>
                <w:i/>
                <w:sz w:val="24"/>
              </w:rPr>
              <w:t>Šajā darbībā atbalstīs izmēģinājuma grupu, kuru veido 5–10 ES pilsētas, kas ar pakalpojumu līguma starpniecību izstrādās pilsētu aprites bioekonomikas stratēģijas. Tiks arī atbalstīta sistēmas ieviešana, lai novērtētu katras stratēģijas īstenošanu un sekmes.</w:t>
            </w:r>
          </w:p>
          <w:p w14:paraId="09EE8A96" w14:textId="77777777" w:rsidR="008A1720" w:rsidRPr="008A1720" w:rsidRDefault="008A1720" w:rsidP="008A1720">
            <w:pPr>
              <w:jc w:val="both"/>
              <w:rPr>
                <w:rFonts w:ascii="Times New Roman" w:eastAsia="Times New Roman" w:hAnsi="Times New Roman" w:cs="Times New Roman"/>
                <w:i/>
                <w:iCs/>
                <w:noProof/>
                <w:sz w:val="24"/>
                <w:szCs w:val="20"/>
              </w:rPr>
            </w:pPr>
          </w:p>
          <w:p w14:paraId="1F474F4C" w14:textId="77777777" w:rsidR="008A1720" w:rsidRPr="008A1720" w:rsidRDefault="008A1720" w:rsidP="008A1720">
            <w:pPr>
              <w:jc w:val="both"/>
              <w:rPr>
                <w:rFonts w:ascii="Times New Roman" w:hAnsi="Times New Roman"/>
                <w:i/>
                <w:iCs/>
                <w:noProof/>
                <w:sz w:val="24"/>
              </w:rPr>
            </w:pPr>
            <w:r>
              <w:rPr>
                <w:rFonts w:ascii="Times New Roman" w:hAnsi="Times New Roman"/>
                <w:i/>
                <w:sz w:val="24"/>
              </w:rPr>
              <w:t>Šīs darbības ietvaros tiks veicināta arī degradētu teritoriju atjaunošana pilsētās un stimulēta uz dabu balstītu sanācijas risinājumu un zaļās infrastruktūras izmantošana, lai samazinātu pilsētu spiedienu uz lauksaimniecības un meža zemēm. Atjaunotajā zemē varētu ierīkot pilsētu saimniecības, pašvaldības dārzus vai zaļo infrastruktūru vai īstenot uz bioresursiem balstītu saimniecisko darbību. Šajā darbībā tiks apzināti iespējamie īstenošanas šķēršļi ES finansējuma izmantošanai sadarbībā ar valsts, reģionālās un vietējās varas iestādēm.</w:t>
            </w:r>
          </w:p>
          <w:p w14:paraId="0DB9CFEF" w14:textId="77777777" w:rsidR="008A1720" w:rsidRPr="008A1720" w:rsidRDefault="008A1720" w:rsidP="008A1720">
            <w:pPr>
              <w:jc w:val="both"/>
              <w:rPr>
                <w:rFonts w:ascii="Times New Roman" w:eastAsia="Times New Roman" w:hAnsi="Times New Roman" w:cs="Times New Roman"/>
                <w:i/>
                <w:iCs/>
                <w:noProof/>
                <w:sz w:val="24"/>
                <w:szCs w:val="21"/>
              </w:rPr>
            </w:pPr>
          </w:p>
          <w:p w14:paraId="2C6AB594" w14:textId="77777777" w:rsidR="008A1720" w:rsidRPr="008A1720" w:rsidRDefault="008A1720" w:rsidP="001F2648">
            <w:pPr>
              <w:jc w:val="both"/>
              <w:rPr>
                <w:rFonts w:ascii="Times New Roman" w:hAnsi="Times New Roman"/>
                <w:noProof/>
                <w:sz w:val="24"/>
              </w:rPr>
            </w:pPr>
            <w:r>
              <w:rPr>
                <w:rFonts w:ascii="Times New Roman" w:hAnsi="Times New Roman"/>
                <w:i/>
                <w:sz w:val="24"/>
              </w:rPr>
              <w:t>Rādītāji. Pieņemto pilsētu bioekonomikas stratēģiju skaits; īstenoto pilsētu bioekonomikas stratēģiju skaits.</w:t>
            </w:r>
          </w:p>
        </w:tc>
      </w:tr>
    </w:tbl>
    <w:p w14:paraId="5A11CDD8" w14:textId="77777777" w:rsidR="0083515C" w:rsidRPr="00DF28F7" w:rsidRDefault="0083515C" w:rsidP="001F2648">
      <w:pPr>
        <w:jc w:val="both"/>
        <w:rPr>
          <w:rFonts w:ascii="Times New Roman" w:eastAsia="Times New Roman" w:hAnsi="Times New Roman" w:cs="Times New Roman"/>
          <w:noProof/>
          <w:sz w:val="24"/>
          <w:szCs w:val="16"/>
        </w:rPr>
      </w:pPr>
    </w:p>
    <w:p w14:paraId="7812C37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Mūsdienās pilsētas gadā saražo aptuveni 1,3 miljardus tonnu cieto atkritumu. Aptuveni puse </w:t>
      </w:r>
      <w:r>
        <w:rPr>
          <w:rFonts w:ascii="Times New Roman" w:hAnsi="Times New Roman"/>
          <w:sz w:val="24"/>
        </w:rPr>
        <w:lastRenderedPageBreak/>
        <w:t>no tiem ir organiski.</w:t>
      </w:r>
      <w:r w:rsidR="008A1720">
        <w:rPr>
          <w:rStyle w:val="FootnoteReference"/>
          <w:rFonts w:ascii="Times New Roman" w:hAnsi="Times New Roman"/>
          <w:noProof/>
          <w:sz w:val="24"/>
        </w:rPr>
        <w:footnoteReference w:id="260"/>
      </w:r>
      <w:r>
        <w:rPr>
          <w:rFonts w:ascii="Times New Roman" w:hAnsi="Times New Roman"/>
          <w:sz w:val="24"/>
        </w:rPr>
        <w:t xml:space="preserve"> Bieži vien pilsētu bioatkritumus uzskata par apgrūtinājumu pilsētu programmu īstenošanā, jo tie var ietekmēt vidi un cilvēku veselību. Tajā pašā laikā bioatkritumu plūsmas pilsētās satur vielas, ko varētu izmantot bioproduktu, piemēram, ķīmisko vielu, plastmasas, barības vielu u. c. ražošanai. Amsterdamā ir aprēķināts, ka augstas vērtības organisko atlieku plūsmu labāka pārstrāde varētu radīt 150 miljonus </w:t>
      </w:r>
      <w:r>
        <w:rPr>
          <w:rFonts w:ascii="Times New Roman" w:hAnsi="Times New Roman"/>
          <w:i/>
          <w:iCs/>
          <w:sz w:val="24"/>
        </w:rPr>
        <w:t>euro</w:t>
      </w:r>
      <w:r>
        <w:rPr>
          <w:rFonts w:ascii="Times New Roman" w:hAnsi="Times New Roman"/>
          <w:sz w:val="24"/>
        </w:rPr>
        <w:t xml:space="preserve"> lielu pievienoto vērtību gadā, kā arī ilgtermiņā radīt 1200 jaunas darbavietas un ietaupīt 600 000 tonnu oglekļa dioksīda gadā.</w:t>
      </w:r>
      <w:r w:rsidR="008A1720">
        <w:rPr>
          <w:rStyle w:val="FootnoteReference"/>
          <w:rFonts w:ascii="Times New Roman" w:hAnsi="Times New Roman"/>
          <w:noProof/>
          <w:sz w:val="24"/>
        </w:rPr>
        <w:footnoteReference w:id="261"/>
      </w:r>
      <w:r>
        <w:rPr>
          <w:rFonts w:ascii="Times New Roman" w:hAnsi="Times New Roman"/>
          <w:sz w:val="24"/>
        </w:rPr>
        <w:t xml:space="preserve"> Ja Eiropas 50 lielākās pilsētas pārņemtu šo redzējumu, tad paplašinātā ietekme varētu būt no 7,5 līdz 12 miljardiem EUR ekonomikas pievienotās vērtībās izteiksmē, no 60 000 līdz 100 000 jaunu darbavietu izteiksmē un 30 līdz 50 megatonnu oglekļa dioksīda emisiju ietaupījumu izteiksmē. Mūsdienās tiek izmantotas tradicionālās tehnoloģijas pilsētas bioatkritumu pārstrādei kompostā un biogāzē, turklāt biogāzi galvenokārt izmanto kā enerģijas nesēju. Tomēr tās potenciālu var gudri un novatoriski izpētīt tālāk. Turklāt aprites bioekonomika ir reti ietverta ES pilsētu stratēģijās, kas attiecas uz ilgtspējības politiku (piemēram, aprites ekonomika, klimata pārmaiņu mazināšana, atjaunojamo energoresursu ražošana, ilgtspējīgs transports utt.). Šīs darbības pamatā būs ES pilsētprogrammu partnerība jautājumā par “regulatīviem šķēršļiem un virzītājspēkiem, lai veicinātu pilsētu aprites bioekonomiku”.</w:t>
      </w:r>
    </w:p>
    <w:p w14:paraId="02E09614" w14:textId="77777777" w:rsidR="0083515C" w:rsidRPr="00DF28F7" w:rsidRDefault="0083515C" w:rsidP="001F2648">
      <w:pPr>
        <w:jc w:val="both"/>
        <w:rPr>
          <w:rFonts w:ascii="Times New Roman" w:hAnsi="Times New Roman"/>
          <w:noProof/>
          <w:sz w:val="24"/>
        </w:rPr>
      </w:pPr>
    </w:p>
    <w:p w14:paraId="7CEA307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Turklāt jaunajai ES regulai par atkritumiem jāsekmē tādu bioatkritumu apjoma pieaugums ES pilsētās, ko varētu izmantot arī biorafinēšanai. Kā norādīts jaunajā Atkritumu pamatdirektīvā, līdz 2023. gada 31. decembrim bioatkritumus vai nu atdala un pārstrādā to izcelsmes vietā, vai savāc atsevišķi. Tāpat direktīvas mērķis ir samazināt atkritumu apglabāšanu poligonos un veicināt citu šīs izejvielas izmantojumu, tostarp no bioatkritumiem iegūtu materiālu ražošanu.</w:t>
      </w:r>
    </w:p>
    <w:p w14:paraId="3F513B37" w14:textId="77777777" w:rsidR="00CF10CD" w:rsidRPr="00DF28F7" w:rsidRDefault="00CF10CD" w:rsidP="001F2648">
      <w:pPr>
        <w:jc w:val="both"/>
        <w:rPr>
          <w:rFonts w:ascii="Times New Roman" w:eastAsia="Verdana" w:hAnsi="Times New Roman" w:cs="Verdana"/>
          <w:noProof/>
          <w:sz w:val="24"/>
          <w:szCs w:val="13"/>
        </w:rPr>
      </w:pPr>
    </w:p>
    <w:p w14:paraId="2A598792"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Bioekonomikas stratēģijas 2017. gada pārskatā ir uzsvērts, ka, par spīti iespējai izmantot sadzīves bioatkritumus barības vielu reģenerācijai, bioproduktu ražošanai un izmantošanai enerģijas ieguvei, tikai dažu pilsētu politikā ir noteiktas ar bioekonomiku saistītas prioritātes. Tā kā pilsētās un pilsētu teritorijās pašlaik dzīvo vairāk nekā 70 % visu eiropiešu, šī nepilnība ir uzskatāma par būtisku.</w:t>
      </w:r>
      <w:r w:rsidR="00476FA3">
        <w:rPr>
          <w:rStyle w:val="FootnoteReference"/>
          <w:rFonts w:ascii="Times New Roman" w:hAnsi="Times New Roman"/>
          <w:noProof/>
          <w:sz w:val="24"/>
        </w:rPr>
        <w:footnoteReference w:id="262"/>
      </w:r>
      <w:r>
        <w:rPr>
          <w:rFonts w:ascii="Times New Roman" w:hAnsi="Times New Roman"/>
          <w:sz w:val="24"/>
        </w:rPr>
        <w:t xml:space="preserve"> Pilsētas ir ne tikai inovācijas un ekonomikas virzītājspēks, bet arī daudzu 21. gadsimta sabiedrības problēmu kaujaslauks, kā uzsvērts ANO Ilgtspējīgas attīstības programmā 2030. gadam un ANO jaunajā pilsētattīstības programmā.</w:t>
      </w:r>
      <w:r w:rsidR="00476FA3">
        <w:rPr>
          <w:rStyle w:val="FootnoteReference"/>
          <w:rFonts w:ascii="Times New Roman" w:hAnsi="Times New Roman"/>
          <w:noProof/>
          <w:sz w:val="24"/>
        </w:rPr>
        <w:footnoteReference w:id="263"/>
      </w:r>
    </w:p>
    <w:p w14:paraId="47B2B6AB" w14:textId="77777777" w:rsidR="0083515C" w:rsidRPr="00DF28F7" w:rsidRDefault="0083515C" w:rsidP="001F2648">
      <w:pPr>
        <w:jc w:val="both"/>
        <w:rPr>
          <w:rFonts w:ascii="Times New Roman" w:eastAsia="Verdana" w:hAnsi="Times New Roman" w:cs="Verdana"/>
          <w:noProof/>
          <w:sz w:val="24"/>
          <w:szCs w:val="19"/>
        </w:rPr>
      </w:pPr>
    </w:p>
    <w:p w14:paraId="2E1694A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Lai varētu tālāk izmantot pilsētu bioatkritumus, ir svarīgi ES pilsētās ieviest un īstenot pilsētu aprites bioekonomikas stratēģiju. Tā nodrošina pamatu tādu konkrētu teritoriālo pasākumu īstenošanai, kas veicina galvenās ES politikas jomas, tostarp šādas: i) aprites ekonomika un bioekonomika – novērst un samazināt novēršamos pilsētu bioatkritumus un izmantot nenovēršamos bioatkritumus vērtīgu resursu apsaimniekošanā; ii) klimata pārmaiņu mazināšana – samazināt un uztvert bioatkritumu radītās siltumnīcefekta gāzu emisijas, izvairoties no to apglabāšanas poligonos un piesaistot to oglekli bioatkritumos; iii) rūpnieciskā simbioze – sasaistīt bioatkritumu un notekūdeņu nozares ar citām nozarēm, piemēram, uz bioresursiem balstīto nozari, ķīmisko vielu, plastmasas, pārtikas un barības u. c. nozarēm; iv) resursu efektivitāte un drošība – pārveidot pilsētas bioatkritumus vērtīgās vielās, tostarp vērtīgās un svarīgās vielās, piemēram, slāpeklī (N), fosforā (P) un kālijā (K); v) ilgtspējīga nodrošinātība ar pārtiku un uzturu – uzlabot vietējās pārtikas sistēmas, izmantojot uz bioresursiem balstītus risinājumus, piemēram, barības (un pārtikas) sastāvdaļu ražošanu no </w:t>
      </w:r>
      <w:r>
        <w:rPr>
          <w:rFonts w:ascii="Times New Roman" w:hAnsi="Times New Roman"/>
          <w:sz w:val="24"/>
        </w:rPr>
        <w:lastRenderedPageBreak/>
        <w:t>pilsētas bioatkritumiem.</w:t>
      </w:r>
    </w:p>
    <w:p w14:paraId="33520FBB" w14:textId="77777777" w:rsidR="0083515C" w:rsidRPr="00DF28F7" w:rsidRDefault="0083515C" w:rsidP="001F2648">
      <w:pPr>
        <w:jc w:val="both"/>
        <w:rPr>
          <w:rFonts w:ascii="Times New Roman" w:eastAsia="Verdana" w:hAnsi="Times New Roman" w:cs="Verdana"/>
          <w:noProof/>
          <w:sz w:val="24"/>
          <w:szCs w:val="20"/>
        </w:rPr>
      </w:pPr>
    </w:p>
    <w:p w14:paraId="6E3247D5"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Ja pilsētu aprites bioekonomikas pasākumus pielāgo un kopē citas pilsētas, tie var palielināt vietējo ieguldījumu tādas ES bioekonomikas veicināšanā, kam ir ievērojami ekonomiskie, sociālie un vides ieguvumi. Turklāt, testējot šo pilsētu aprites bioekonomikas pilsētu eksperimentālo grupu, var pavērt durvis turpmākām un sistēmiskākām iniciatīvām, piemēram, ES mēroga iniciatīvai pilsētu un reģionu tiešai iesaistīšanai ES bioekonomikas politikā.</w:t>
      </w:r>
      <w:r w:rsidR="00476FA3">
        <w:rPr>
          <w:rStyle w:val="FootnoteReference"/>
          <w:rFonts w:ascii="Times New Roman" w:hAnsi="Times New Roman"/>
          <w:noProof/>
          <w:sz w:val="24"/>
        </w:rPr>
        <w:footnoteReference w:id="264"/>
      </w:r>
      <w:r>
        <w:rPr>
          <w:rFonts w:ascii="Times New Roman" w:hAnsi="Times New Roman"/>
          <w:sz w:val="24"/>
        </w:rPr>
        <w:t xml:space="preserve"> Īstenojot šo darbību, tiks ņemta vērā sadarbība un sinerģija ar saistītajām ES un starptautiskajām iniciatīvām. Tiks vērtēta arī sinerģija un papildināmība ar ES fondiem, piemēram, </w:t>
      </w:r>
      <w:r>
        <w:rPr>
          <w:rFonts w:ascii="Times New Roman" w:hAnsi="Times New Roman"/>
          <w:i/>
          <w:iCs/>
          <w:sz w:val="24"/>
        </w:rPr>
        <w:t>URBIS</w:t>
      </w:r>
      <w:r>
        <w:rPr>
          <w:rFonts w:ascii="Times New Roman" w:hAnsi="Times New Roman"/>
          <w:sz w:val="24"/>
        </w:rPr>
        <w:t>.</w:t>
      </w:r>
      <w:r w:rsidR="00476FA3">
        <w:rPr>
          <w:rStyle w:val="FootnoteReference"/>
          <w:rFonts w:ascii="Times New Roman" w:hAnsi="Times New Roman"/>
          <w:noProof/>
          <w:sz w:val="24"/>
        </w:rPr>
        <w:footnoteReference w:id="265"/>
      </w:r>
    </w:p>
    <w:p w14:paraId="19FA9A7C" w14:textId="77777777" w:rsidR="0083515C" w:rsidRPr="00DF28F7" w:rsidRDefault="0083515C" w:rsidP="001F2648">
      <w:pPr>
        <w:jc w:val="both"/>
        <w:rPr>
          <w:rFonts w:ascii="Times New Roman" w:eastAsia="Verdana" w:hAnsi="Times New Roman" w:cs="Verdana"/>
          <w:noProof/>
          <w:sz w:val="24"/>
          <w:szCs w:val="19"/>
        </w:rPr>
      </w:pPr>
    </w:p>
    <w:p w14:paraId="3E05544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Pilsēta ir vietējās bioekonomikas centrs, tomēr tās izaugsme vienlaikus skar arī mežus un lauksaimniecību, kā arī ap to esošo (daļēji) neskarto zemi. Novēršot augsnes piesārņojumu, kas galvenokārt ir problēma pilsētās un ļoti industrializētos reģionos, var nodrošināt zemes reaktivācijas iespējas, tostarp iespējas īstenot uz bioresursiem balstītu saimniecisko darbību un mazināt pilsētu teritoriju neplānotu un nekontrolētu izplešanos.</w:t>
      </w:r>
    </w:p>
    <w:p w14:paraId="6D7FCBDC" w14:textId="77777777" w:rsidR="0083515C" w:rsidRPr="00DF28F7" w:rsidRDefault="0083515C" w:rsidP="001F2648">
      <w:pPr>
        <w:jc w:val="both"/>
        <w:rPr>
          <w:rFonts w:ascii="Times New Roman" w:eastAsia="Verdana" w:hAnsi="Times New Roman" w:cs="Verdana"/>
          <w:noProof/>
          <w:sz w:val="24"/>
          <w:szCs w:val="23"/>
        </w:rPr>
      </w:pPr>
    </w:p>
    <w:p w14:paraId="5ABCB879" w14:textId="77777777" w:rsidR="0083515C" w:rsidRPr="00DF28F7" w:rsidRDefault="0083515C" w:rsidP="001F2648">
      <w:pPr>
        <w:jc w:val="both"/>
        <w:rPr>
          <w:rFonts w:ascii="Times New Roman" w:eastAsia="Verdana" w:hAnsi="Times New Roman" w:cs="Verdana"/>
          <w:noProof/>
          <w:sz w:val="24"/>
          <w:szCs w:val="18"/>
        </w:rPr>
      </w:pPr>
      <w:r>
        <w:rPr>
          <w:rFonts w:ascii="Times New Roman" w:hAnsi="Times New Roman"/>
          <w:sz w:val="24"/>
        </w:rPr>
        <w:t>Auglīga augsne un zemes pieejamība ir būtisks priekšnoteikums pārejai uz ilgtspējīgu bioekonomiku. Zemes izmantošanas maiņa par labu mākslīgām virsmām un pilsētu attīstībai negatīvi ietekmē produktīvās zemes pieejamību bioekonomikai un augsnes nodrošināto ekosistēmu pakalpojumu sniegšanai. Laikposmā no 2000. līdz 2012. gadam ES attīstībai izmantotās zemes vidējā platība bija 926 km², proti, vairāk nekā tie 800 km</w:t>
      </w:r>
      <w:r>
        <w:rPr>
          <w:rFonts w:ascii="Times New Roman" w:hAnsi="Times New Roman"/>
          <w:sz w:val="24"/>
          <w:vertAlign w:val="superscript"/>
        </w:rPr>
        <w:t>2</w:t>
      </w:r>
      <w:r>
        <w:rPr>
          <w:rFonts w:ascii="Times New Roman" w:hAnsi="Times New Roman"/>
          <w:sz w:val="24"/>
        </w:rPr>
        <w:t xml:space="preserve"> gadā, ko laika posmam no 2000. līdz 2020. gadam noteica Ceļvedī virzībai uz resursu ziņā efektīvu Eiropu un kas būtu augstākais kritērijs, lai varētu saglabāt mērķi līdz 2050. gadam apturēt aizņemtu zemes platību tīro pieaugumu.</w:t>
      </w:r>
      <w:r w:rsidR="00476FA3">
        <w:rPr>
          <w:rStyle w:val="FootnoteReference"/>
          <w:rFonts w:ascii="Times New Roman" w:eastAsia="Verdana" w:hAnsi="Times New Roman" w:cs="Verdana"/>
          <w:noProof/>
          <w:sz w:val="24"/>
          <w:szCs w:val="19"/>
        </w:rPr>
        <w:footnoteReference w:id="266"/>
      </w:r>
      <w:r>
        <w:rPr>
          <w:rFonts w:ascii="Times New Roman" w:hAnsi="Times New Roman"/>
          <w:sz w:val="24"/>
        </w:rPr>
        <w:t xml:space="preserve"> Visā ES ne tikai pieaug, bet arī paātrinās mākslīgo virsmu izraisīta augsnes sablīvēšanās. Laikā no 2009. līdz 2012. gadam mākslīgo platību apjoms pieauga par 3,7 %, bet laikposmā no 2012. gada līdz 2015. gadam šis rādītājs palielinājās līdz 4,0 %, kas liecina par straujāku zemes izmantošanas maiņu par labu mākslīgas un pilsētu zemes izmantošanai.</w:t>
      </w:r>
      <w:r w:rsidR="00476FA3">
        <w:rPr>
          <w:rStyle w:val="FootnoteReference"/>
          <w:rFonts w:ascii="Times New Roman" w:eastAsia="Verdana" w:hAnsi="Times New Roman" w:cs="Verdana"/>
          <w:noProof/>
          <w:sz w:val="24"/>
          <w:szCs w:val="19"/>
        </w:rPr>
        <w:footnoteReference w:id="267"/>
      </w:r>
      <w:r>
        <w:rPr>
          <w:rFonts w:ascii="Times New Roman" w:hAnsi="Times New Roman"/>
          <w:sz w:val="24"/>
        </w:rPr>
        <w:t xml:space="preserve"> Maz ticams, ka tuvākajā laikā zemes aizņemšanas temps varētu krasi samazināties, jo kopš 2012. gada ir palielinājies galvenais zemes aizņemšanas virzītājspēks, proti, pilsētu iedzīvotāju skaits, saimnieciskā darbība un transporta aktivitāte.</w:t>
      </w:r>
    </w:p>
    <w:p w14:paraId="14FDD60C" w14:textId="77777777" w:rsidR="0083515C" w:rsidRPr="00DF28F7" w:rsidRDefault="0083515C" w:rsidP="001F2648">
      <w:pPr>
        <w:jc w:val="both"/>
        <w:rPr>
          <w:rFonts w:ascii="Times New Roman" w:eastAsia="Verdana" w:hAnsi="Times New Roman" w:cs="Verdana"/>
          <w:noProof/>
          <w:sz w:val="24"/>
          <w:szCs w:val="23"/>
        </w:rPr>
      </w:pPr>
    </w:p>
    <w:p w14:paraId="690946E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Viens no veidiem, kā samazināt zemes aizņemšanas tempu, ir atjaunot degradētas teritorijas, lai sekmīgāk izmantotu novārtā atstāto zemi. Degradētas teritorijas ir pamestas un nepietiekami izmantotas vai pat novārtā atstātas bijušās rūpnieciskas vai komerciālas darbības teritorijas, kurās var rasties faktiskas vai šķietamas piesārņojuma problēmas. Šādu teritoriju atjaunošanai ir daudz priekšrocību vides ziņā: tas mazina spiedienu uz lauku teritorijām un jaunām nozarēm, samazina apdraudējumu videi un cilvēku veselībai, ļauj efektīvāk izmantot dabas resursus un veicina ekonomisko diversifikāciju. Degradētu teritoriju atjaunošanā zemes izmantošanai piemēro aprites ekonomikas principus.</w:t>
      </w:r>
    </w:p>
    <w:p w14:paraId="23F1DCC5" w14:textId="77777777" w:rsidR="0083515C" w:rsidRPr="00DF28F7" w:rsidRDefault="0083515C" w:rsidP="001F2648">
      <w:pPr>
        <w:jc w:val="both"/>
        <w:rPr>
          <w:rFonts w:ascii="Times New Roman" w:eastAsia="Verdana" w:hAnsi="Times New Roman" w:cs="Verdana"/>
          <w:noProof/>
          <w:sz w:val="24"/>
          <w:szCs w:val="19"/>
        </w:rPr>
      </w:pPr>
    </w:p>
    <w:p w14:paraId="10AF24A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Neraugoties uz atšķirīgām valsts tiesību aktu pieejām un definīcijām augsnes piesārņojuma problēmas risināšanai Eiropā, tika aprēķināts, ka piesārņoto teritoriju skaits, kuras būtu jāattīra EEZ-39 ietvaros, 2014. gadā ir aptuveni 340 000. Kopumā ir apzināta aptuveni trešā daļa šo teritoriju, bet attīrīti ir tikai 15 %. Ar pārējo piesārņoto teritoriju attīrīšanu saistītās izmaksas ir ļoti lielas – 40 % gadījumu izmaksas ir no 50 000 līdz 500 000 EUR, bet dažos gadījumos finansiālā ietekme var pārsniegt 5 miljonus EUR.</w:t>
      </w:r>
      <w:r w:rsidR="00476FA3">
        <w:rPr>
          <w:rStyle w:val="FootnoteReference"/>
          <w:rFonts w:ascii="Times New Roman" w:hAnsi="Times New Roman"/>
          <w:noProof/>
          <w:sz w:val="24"/>
        </w:rPr>
        <w:footnoteReference w:id="268"/>
      </w:r>
      <w:r>
        <w:rPr>
          <w:rFonts w:ascii="Times New Roman" w:hAnsi="Times New Roman"/>
          <w:sz w:val="24"/>
        </w:rPr>
        <w:t xml:space="preserve"> Šādas teritorijas atrodas galvenokārt industrializēto reģionu pilsētas teritorijās.</w:t>
      </w:r>
    </w:p>
    <w:p w14:paraId="2A1E8951" w14:textId="77777777" w:rsidR="0083515C" w:rsidRPr="00DF28F7" w:rsidRDefault="0083515C" w:rsidP="001F2648">
      <w:pPr>
        <w:jc w:val="both"/>
        <w:rPr>
          <w:rFonts w:ascii="Times New Roman" w:eastAsia="Verdana" w:hAnsi="Times New Roman" w:cs="Verdana"/>
          <w:noProof/>
          <w:sz w:val="24"/>
          <w:szCs w:val="19"/>
        </w:rPr>
      </w:pPr>
    </w:p>
    <w:p w14:paraId="7086B00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Akadēmiskie pētījumi un pirmie rūpnieciskie projekti jau apliecināja, ka uz dabu balstīti risinājumi, ar ko kopē un imitē ekosistēmas dabiskās atjaunojošās spējas, efektīvi novērš sarežģīto augsnes piesārņojumu. Tādas tehnoloģijas kā fitoremediācija, bioremediācija vai fitostabilizācija izmanto konkrētu augu, sēnīšu vai baktēriju spēju noārdīt, stabilizēt vai uztvert piesārņojošās vielas. Uz dabu balstīta pieeja var aizstāt energoietilpīgu un dažkārt videi kaitīgu sanācijas tehnoloģiju izmantošanu un nodrošināt rentablu risinājumu degradētu zemju atveseļošanai. Atveseļotu degradēto teritoriju pārveidošana pilsētu saimniecībās, uz bioresursiem balstītā saimnieciskajā darbībā, pašvaldības dārzos vai zaļajā infrastruktūrā var divkāršot bioekonomikas priekšrocības – uz dabu balstīts risinājums nodrošina biomasu, zeme tiek atveseļota un pilsētu spiediens uz lauksaimniecības un meža zemēm samazinās.</w:t>
      </w:r>
      <w:r w:rsidR="00476FA3">
        <w:rPr>
          <w:rStyle w:val="FootnoteReference"/>
          <w:rFonts w:ascii="Times New Roman" w:hAnsi="Times New Roman"/>
          <w:noProof/>
          <w:sz w:val="24"/>
        </w:rPr>
        <w:footnoteReference w:id="269"/>
      </w:r>
      <w:r>
        <w:rPr>
          <w:rFonts w:ascii="Times New Roman" w:hAnsi="Times New Roman"/>
          <w:sz w:val="24"/>
        </w:rPr>
        <w:t xml:space="preserve"> Saskaņā ar pašreizējo darbu, ko veic ES pilsētprogrammas partnerība aprites ekonomikas jomā (</w:t>
      </w:r>
      <w:r>
        <w:rPr>
          <w:rFonts w:ascii="Times New Roman" w:hAnsi="Times New Roman"/>
          <w:i/>
          <w:iCs/>
          <w:sz w:val="24"/>
        </w:rPr>
        <w:t>UAPCE</w:t>
      </w:r>
      <w:r>
        <w:rPr>
          <w:rFonts w:ascii="Times New Roman" w:hAnsi="Times New Roman"/>
          <w:sz w:val="24"/>
        </w:rPr>
        <w:t>)</w:t>
      </w:r>
      <w:r w:rsidR="00476FA3">
        <w:rPr>
          <w:rStyle w:val="FootnoteReference"/>
          <w:rFonts w:ascii="Times New Roman" w:hAnsi="Times New Roman"/>
          <w:noProof/>
          <w:sz w:val="24"/>
        </w:rPr>
        <w:footnoteReference w:id="270"/>
      </w:r>
      <w:r>
        <w:rPr>
          <w:rFonts w:ascii="Times New Roman" w:hAnsi="Times New Roman"/>
          <w:sz w:val="24"/>
        </w:rPr>
        <w:t>, un sniedzot konkrētu ieguldījumu rīcības plānā, līdz 2022. gadam šajā darbībā paredzēts:</w:t>
      </w:r>
    </w:p>
    <w:p w14:paraId="7A1CFBCC" w14:textId="77777777" w:rsidR="0083515C" w:rsidRPr="00DF28F7" w:rsidRDefault="0083515C" w:rsidP="001F2648">
      <w:pPr>
        <w:jc w:val="both"/>
        <w:rPr>
          <w:rFonts w:ascii="Times New Roman" w:eastAsia="Verdana" w:hAnsi="Times New Roman" w:cs="Verdana"/>
          <w:noProof/>
          <w:sz w:val="24"/>
          <w:szCs w:val="19"/>
        </w:rPr>
      </w:pPr>
    </w:p>
    <w:p w14:paraId="44F4C4E9" w14:textId="77777777" w:rsidR="0083515C" w:rsidRPr="00DF28F7" w:rsidRDefault="00476FA3" w:rsidP="00476FA3">
      <w:pPr>
        <w:pStyle w:val="BodyText"/>
        <w:tabs>
          <w:tab w:val="left" w:pos="500"/>
        </w:tabs>
        <w:ind w:left="0"/>
        <w:jc w:val="both"/>
        <w:rPr>
          <w:rFonts w:ascii="Times New Roman" w:hAnsi="Times New Roman"/>
          <w:noProof/>
          <w:sz w:val="24"/>
        </w:rPr>
      </w:pPr>
      <w:r>
        <w:rPr>
          <w:rFonts w:ascii="Times New Roman" w:hAnsi="Times New Roman"/>
          <w:sz w:val="24"/>
        </w:rPr>
        <w:t>1) finansiāli atbalstīt izmēģinājuma grupu, kuru veido ne vairāk kā 10 ES pilsētas, lai izstrādātu to pilsētu aprites bioekonomikas stratēģijas;</w:t>
      </w:r>
    </w:p>
    <w:p w14:paraId="7D32E599" w14:textId="77777777" w:rsidR="0083515C" w:rsidRPr="00DF28F7" w:rsidRDefault="0083515C" w:rsidP="001F2648">
      <w:pPr>
        <w:jc w:val="both"/>
        <w:rPr>
          <w:rFonts w:ascii="Times New Roman" w:eastAsia="Verdana" w:hAnsi="Times New Roman" w:cs="Verdana"/>
          <w:noProof/>
          <w:sz w:val="24"/>
          <w:szCs w:val="19"/>
        </w:rPr>
      </w:pPr>
    </w:p>
    <w:p w14:paraId="249F1F50" w14:textId="77777777" w:rsidR="0083515C" w:rsidRPr="00DF28F7" w:rsidRDefault="00476FA3" w:rsidP="00476FA3">
      <w:pPr>
        <w:pStyle w:val="BodyText"/>
        <w:tabs>
          <w:tab w:val="left" w:pos="503"/>
        </w:tabs>
        <w:ind w:left="0"/>
        <w:jc w:val="both"/>
        <w:rPr>
          <w:rFonts w:ascii="Times New Roman" w:hAnsi="Times New Roman"/>
          <w:noProof/>
          <w:sz w:val="24"/>
        </w:rPr>
      </w:pPr>
      <w:r>
        <w:rPr>
          <w:rFonts w:ascii="Times New Roman" w:hAnsi="Times New Roman"/>
          <w:sz w:val="24"/>
        </w:rPr>
        <w:t xml:space="preserve">2) atbalstīt sistēmas ieviešanu, lai novērtētu katras stratēģijas īstenošanu un tās mērķu sasniegšanu, kā arī atbalstītu tādas </w:t>
      </w:r>
      <w:r>
        <w:rPr>
          <w:rFonts w:ascii="Times New Roman" w:hAnsi="Times New Roman"/>
          <w:i/>
          <w:iCs/>
          <w:sz w:val="24"/>
        </w:rPr>
        <w:t>ad hoc</w:t>
      </w:r>
      <w:r>
        <w:rPr>
          <w:rFonts w:ascii="Times New Roman" w:hAnsi="Times New Roman"/>
          <w:sz w:val="24"/>
        </w:rPr>
        <w:t xml:space="preserve"> tīmekļa vietnes izveidi un uzturēšanu, kurā iepazīstina ar attiecīgajiem datiem un informāciju par šo stratēģiju īstenošanu, kā arī veicina labas prakses apmaiņu iesaistīto politikas veidotāju starpā. Turklāt ar 2.1.2. punktā minēto forumu dalībvalstis tiek mudinātas atbalstīt bioekonomikas stratēģiju izstrādi vietējā līmenī (bioreģioni, biopilsētas utt.).</w:t>
      </w:r>
    </w:p>
    <w:p w14:paraId="0780F5F1" w14:textId="77777777" w:rsidR="0083515C" w:rsidRDefault="0083515C" w:rsidP="001F2648">
      <w:pPr>
        <w:jc w:val="both"/>
        <w:rPr>
          <w:rFonts w:ascii="Times New Roman" w:eastAsia="Verdana" w:hAnsi="Times New Roman" w:cs="Verdana"/>
          <w:noProof/>
          <w:sz w:val="24"/>
          <w:szCs w:val="19"/>
        </w:rPr>
      </w:pPr>
    </w:p>
    <w:p w14:paraId="7967C2AA" w14:textId="77777777" w:rsidR="00476FA3" w:rsidRPr="00DF28F7" w:rsidRDefault="00476FA3" w:rsidP="001F2648">
      <w:pPr>
        <w:jc w:val="both"/>
        <w:rPr>
          <w:rFonts w:ascii="Times New Roman" w:eastAsia="Verdana" w:hAnsi="Times New Roman" w:cs="Verdana"/>
          <w:noProof/>
          <w:sz w:val="24"/>
          <w:szCs w:val="19"/>
        </w:rPr>
      </w:pPr>
    </w:p>
    <w:p w14:paraId="1CA3E2BB" w14:textId="77777777" w:rsidR="0083515C" w:rsidRPr="00476FA3" w:rsidRDefault="00476FA3" w:rsidP="00476FA3">
      <w:pPr>
        <w:pStyle w:val="BodyText"/>
        <w:tabs>
          <w:tab w:val="left" w:pos="397"/>
        </w:tabs>
        <w:ind w:left="0"/>
        <w:jc w:val="both"/>
        <w:rPr>
          <w:rFonts w:ascii="Times New Roman" w:hAnsi="Times New Roman"/>
          <w:i/>
          <w:iCs/>
          <w:noProof/>
          <w:sz w:val="24"/>
          <w:u w:val="single" w:color="000000"/>
        </w:rPr>
      </w:pPr>
      <w:r>
        <w:rPr>
          <w:rFonts w:ascii="Times New Roman" w:hAnsi="Times New Roman"/>
          <w:i/>
          <w:sz w:val="24"/>
          <w:u w:val="single" w:color="000000"/>
        </w:rPr>
        <w:t>iv) Atbalstīt SEG emisiju samazinošās lauksaimniecības izmēģinājuma iniciatīvas, izmantojot programmu LIFE</w:t>
      </w:r>
    </w:p>
    <w:p w14:paraId="563DD3DC" w14:textId="77777777" w:rsidR="0083515C" w:rsidRPr="00DF28F7" w:rsidRDefault="0083515C" w:rsidP="001F2648">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476FA3" w14:paraId="0A4232A3" w14:textId="77777777" w:rsidTr="00476FA3">
        <w:tc>
          <w:tcPr>
            <w:tcW w:w="9288" w:type="dxa"/>
          </w:tcPr>
          <w:p w14:paraId="1CF5740B" w14:textId="77777777" w:rsidR="00476FA3" w:rsidRPr="00476FA3" w:rsidRDefault="00476FA3" w:rsidP="00476FA3">
            <w:pPr>
              <w:jc w:val="both"/>
              <w:rPr>
                <w:rFonts w:ascii="Times New Roman" w:hAnsi="Times New Roman"/>
                <w:i/>
                <w:iCs/>
                <w:noProof/>
                <w:sz w:val="24"/>
              </w:rPr>
            </w:pPr>
            <w:r>
              <w:rPr>
                <w:rFonts w:ascii="Times New Roman" w:hAnsi="Times New Roman"/>
                <w:i/>
                <w:sz w:val="24"/>
              </w:rPr>
              <w:t>Šajā darbībā mudinās dalībvalstis (brīvprātīgi) izveidot fondu, kas iegādāsies oglekļa kredītus no lauksaimniekiem un meža īpašniekiem, kuri saimniecībā īsteno īpašus projektus ar mērķi palielināt oglekļa piesaisti augsnē/biomasā un/vai samazināt emisijas lopkopības nozarē vai mēslojuma izmantošanā.</w:t>
            </w:r>
          </w:p>
          <w:p w14:paraId="0F718AAA" w14:textId="77777777" w:rsidR="00476FA3" w:rsidRPr="00476FA3" w:rsidRDefault="00476FA3" w:rsidP="00476FA3">
            <w:pPr>
              <w:jc w:val="both"/>
              <w:rPr>
                <w:rFonts w:ascii="Times New Roman" w:eastAsia="Times New Roman" w:hAnsi="Times New Roman" w:cs="Times New Roman"/>
                <w:i/>
                <w:iCs/>
                <w:noProof/>
                <w:sz w:val="24"/>
                <w:szCs w:val="20"/>
              </w:rPr>
            </w:pPr>
          </w:p>
          <w:p w14:paraId="11E145DF" w14:textId="77777777" w:rsidR="00476FA3" w:rsidRPr="00476FA3" w:rsidRDefault="00476FA3" w:rsidP="001F2648">
            <w:pPr>
              <w:jc w:val="both"/>
              <w:rPr>
                <w:rFonts w:ascii="Times New Roman" w:hAnsi="Times New Roman"/>
                <w:noProof/>
                <w:sz w:val="24"/>
              </w:rPr>
            </w:pPr>
            <w:r>
              <w:rPr>
                <w:rFonts w:ascii="Times New Roman" w:hAnsi="Times New Roman"/>
                <w:i/>
                <w:sz w:val="24"/>
              </w:rPr>
              <w:t>Rādītāji. Izmēģinājuma projektu skaits SEG emisiju samazinošās lauksaimniecības jomā; ieguldītie EUR; to nozaru/lauksaimnieku/mežu īpašnieku skaits, uz kuriem attiecas SEG emisiju samazinošā lauksaimniecība; CO</w:t>
            </w:r>
            <w:r>
              <w:rPr>
                <w:rFonts w:ascii="Times New Roman" w:hAnsi="Times New Roman"/>
                <w:i/>
                <w:sz w:val="24"/>
                <w:vertAlign w:val="subscript"/>
              </w:rPr>
              <w:t>2</w:t>
            </w:r>
            <w:r>
              <w:rPr>
                <w:rFonts w:ascii="Times New Roman" w:hAnsi="Times New Roman"/>
                <w:i/>
                <w:sz w:val="24"/>
              </w:rPr>
              <w:t>/tā ekvivalenta piesaistīto tonnu apmērs.</w:t>
            </w:r>
          </w:p>
        </w:tc>
      </w:tr>
    </w:tbl>
    <w:p w14:paraId="289D5AA7" w14:textId="77777777" w:rsidR="0083515C" w:rsidRPr="00DF28F7" w:rsidRDefault="0083515C" w:rsidP="001F2648">
      <w:pPr>
        <w:jc w:val="both"/>
        <w:rPr>
          <w:rFonts w:ascii="Times New Roman" w:eastAsia="Times New Roman" w:hAnsi="Times New Roman" w:cs="Times New Roman"/>
          <w:noProof/>
          <w:sz w:val="24"/>
          <w:szCs w:val="16"/>
        </w:rPr>
      </w:pPr>
    </w:p>
    <w:p w14:paraId="37AB7E6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lastRenderedPageBreak/>
        <w:t>SEG emisiju samazinošā lauksaimniecība nodrošinātu uz rezultātiem balstītus maksājumus lauksaimniekiem un mežu īpašniekiem, paredzot skaidri definētu valsts maksājumu lauksaimniekam par sabiedriskā labuma nodrošināšanu, padarot oglekļa uzkrāšanu un emisiju samazināšanu par rentablu lauksaimniecības/mežsaimniecības darbību. Tas būtu īpaši pamanāms emisiju samazināšanas un oglekļa uzkrāšanas, kā arī noturības un saimniecību produktivitātes palielināšanā (pateicoties auglības pieaugumam). Tas atbilst Parīzes nolīguma mērķim palielināt oglekli absorbējošas ekosistēmas, lai gadsimta otrajā pusē panāktu līdzsvaru starp emisijām un piesaistēm.</w:t>
      </w:r>
    </w:p>
    <w:p w14:paraId="491DF98F" w14:textId="77777777" w:rsidR="0083515C" w:rsidRPr="00DF28F7" w:rsidRDefault="0083515C" w:rsidP="001F2648">
      <w:pPr>
        <w:jc w:val="both"/>
        <w:rPr>
          <w:rFonts w:ascii="Times New Roman" w:eastAsia="Verdana" w:hAnsi="Times New Roman" w:cs="Verdana"/>
          <w:noProof/>
          <w:sz w:val="24"/>
          <w:szCs w:val="19"/>
        </w:rPr>
      </w:pPr>
    </w:p>
    <w:p w14:paraId="1DFBB44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Šīs darbības mērķi ir šādi: 1) efektīvāk izmantot dabas un finanšu resursus, 2) samazināt siltumnīcefekta gāzu emisijas lauksaimniecības un lauksaimniecības pārtikas apgādes ķēžu dzīves ciklā un 3) pārbaudīt inovatīvas finanšu stimulu shēmas lauksaimniekiem, lai veiktu pasākumus SEG emisiju samazināšanai.</w:t>
      </w:r>
    </w:p>
    <w:p w14:paraId="5C3EB1CC" w14:textId="77777777" w:rsidR="0083515C" w:rsidRPr="00DF28F7" w:rsidRDefault="0083515C" w:rsidP="001F2648">
      <w:pPr>
        <w:jc w:val="both"/>
        <w:rPr>
          <w:rFonts w:ascii="Times New Roman" w:eastAsia="Verdana" w:hAnsi="Times New Roman" w:cs="Verdana"/>
          <w:noProof/>
          <w:sz w:val="24"/>
          <w:szCs w:val="19"/>
        </w:rPr>
      </w:pPr>
    </w:p>
    <w:p w14:paraId="6C37C1F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Ar šo darbību palīdzēs ievērot dažādus politikas virzienus, regulējumus un programmas ES līmenī (KLP un ar klimatu saistīti pasākumi, </w:t>
      </w:r>
      <w:r>
        <w:rPr>
          <w:rFonts w:ascii="Times New Roman" w:hAnsi="Times New Roman"/>
          <w:i/>
          <w:iCs/>
          <w:sz w:val="24"/>
        </w:rPr>
        <w:t>LULUCF</w:t>
      </w:r>
      <w:r>
        <w:rPr>
          <w:rFonts w:ascii="Times New Roman" w:hAnsi="Times New Roman"/>
          <w:sz w:val="24"/>
        </w:rPr>
        <w:t xml:space="preserve"> Regula (ES) 2018/841, topošās bioekonomikas stratēģijas ieguvumi klimata jomā, ES Rīcības plāns pārejai uz aprites ekonomiku) un pasaules līmenī (Parīzes nolīgums, ANO Pārtikas un lauksaimniecības organizācijas (</w:t>
      </w:r>
      <w:r>
        <w:rPr>
          <w:rFonts w:ascii="Times New Roman" w:hAnsi="Times New Roman"/>
          <w:i/>
          <w:iCs/>
          <w:sz w:val="24"/>
        </w:rPr>
        <w:t>FAO</w:t>
      </w:r>
      <w:r>
        <w:rPr>
          <w:rFonts w:ascii="Times New Roman" w:hAnsi="Times New Roman"/>
          <w:sz w:val="24"/>
        </w:rPr>
        <w:t>) Pasaules alianse klimatam nekaitīgai lauksaimniecībai).</w:t>
      </w:r>
    </w:p>
    <w:p w14:paraId="3218046E" w14:textId="77777777" w:rsidR="0083515C" w:rsidRPr="00DF28F7" w:rsidRDefault="0083515C" w:rsidP="001F2648">
      <w:pPr>
        <w:jc w:val="both"/>
        <w:rPr>
          <w:rFonts w:ascii="Times New Roman" w:eastAsia="Verdana" w:hAnsi="Times New Roman" w:cs="Verdana"/>
          <w:noProof/>
          <w:sz w:val="24"/>
          <w:szCs w:val="19"/>
        </w:rPr>
      </w:pPr>
    </w:p>
    <w:p w14:paraId="5E6ECDB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Līdz 2024. gadam šī darbība ietekmēs: 1) SEG emisiju samazināšanu, 2) uz tirgu balstītu stimulu pieņemšanu siltumnīcefekta gāzu emisiju samazināšanai un 3) viedas klimata prakses pieņemšanu.</w:t>
      </w:r>
    </w:p>
    <w:p w14:paraId="5BD6086B" w14:textId="77777777" w:rsidR="0083515C" w:rsidRPr="00DF28F7" w:rsidRDefault="0083515C" w:rsidP="001F2648">
      <w:pPr>
        <w:jc w:val="both"/>
        <w:rPr>
          <w:rFonts w:ascii="Times New Roman" w:eastAsia="Verdana" w:hAnsi="Times New Roman" w:cs="Verdana"/>
          <w:noProof/>
          <w:sz w:val="24"/>
          <w:szCs w:val="19"/>
        </w:rPr>
      </w:pPr>
    </w:p>
    <w:p w14:paraId="3D0DDA2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Šo darbību varētu atbalstīt no programmas </w:t>
      </w:r>
      <w:r>
        <w:rPr>
          <w:rFonts w:ascii="Times New Roman" w:hAnsi="Times New Roman"/>
          <w:i/>
          <w:iCs/>
          <w:sz w:val="24"/>
        </w:rPr>
        <w:t>LIFE</w:t>
      </w:r>
      <w:r>
        <w:rPr>
          <w:rFonts w:ascii="Times New Roman" w:hAnsi="Times New Roman"/>
          <w:sz w:val="24"/>
        </w:rPr>
        <w:t>.</w:t>
      </w:r>
    </w:p>
    <w:p w14:paraId="57769F26" w14:textId="77777777" w:rsidR="0083515C" w:rsidRDefault="0083515C" w:rsidP="001F2648">
      <w:pPr>
        <w:jc w:val="both"/>
        <w:rPr>
          <w:rFonts w:ascii="Times New Roman" w:eastAsia="Verdana" w:hAnsi="Times New Roman" w:cs="Verdana"/>
          <w:noProof/>
          <w:sz w:val="24"/>
          <w:szCs w:val="19"/>
        </w:rPr>
      </w:pPr>
    </w:p>
    <w:p w14:paraId="7CC4493F" w14:textId="77777777" w:rsidR="00476FA3" w:rsidRPr="00DF28F7" w:rsidRDefault="00476FA3" w:rsidP="001F2648">
      <w:pPr>
        <w:jc w:val="both"/>
        <w:rPr>
          <w:rFonts w:ascii="Times New Roman" w:eastAsia="Verdana" w:hAnsi="Times New Roman" w:cs="Verdana"/>
          <w:noProof/>
          <w:sz w:val="24"/>
          <w:szCs w:val="19"/>
        </w:rPr>
      </w:pPr>
    </w:p>
    <w:p w14:paraId="113AEAEE" w14:textId="77777777" w:rsidR="0083515C" w:rsidRPr="00476FA3" w:rsidRDefault="00476FA3" w:rsidP="00476FA3">
      <w:pPr>
        <w:pStyle w:val="BodyText"/>
        <w:tabs>
          <w:tab w:val="left" w:pos="345"/>
        </w:tabs>
        <w:ind w:left="0"/>
        <w:jc w:val="both"/>
        <w:rPr>
          <w:rFonts w:ascii="Times New Roman" w:hAnsi="Times New Roman"/>
          <w:i/>
          <w:iCs/>
          <w:noProof/>
          <w:sz w:val="24"/>
          <w:u w:val="single" w:color="000000"/>
        </w:rPr>
      </w:pPr>
      <w:r>
        <w:rPr>
          <w:rFonts w:ascii="Times New Roman" w:hAnsi="Times New Roman"/>
          <w:i/>
          <w:sz w:val="24"/>
          <w:u w:val="single" w:color="000000"/>
        </w:rPr>
        <w:t>v) “Dzīvo laboratoriju” izveide, lai izstrādātu un izmēģinātu vietējus jauninājumus, kas balstās uz ekoloģiskām pieejām un atbilstību aprites principiem primārās ražošanas un pārtikas sistēmās</w:t>
      </w:r>
    </w:p>
    <w:p w14:paraId="1C535573"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476FA3" w14:paraId="220969FA" w14:textId="77777777" w:rsidTr="00476FA3">
        <w:tc>
          <w:tcPr>
            <w:tcW w:w="9288" w:type="dxa"/>
          </w:tcPr>
          <w:p w14:paraId="4401DDF7" w14:textId="77777777" w:rsidR="00476FA3" w:rsidRPr="00476FA3" w:rsidRDefault="00476FA3" w:rsidP="00476FA3">
            <w:pPr>
              <w:jc w:val="both"/>
              <w:rPr>
                <w:rFonts w:ascii="Times New Roman" w:hAnsi="Times New Roman"/>
                <w:i/>
                <w:iCs/>
                <w:noProof/>
                <w:sz w:val="24"/>
              </w:rPr>
            </w:pPr>
            <w:r>
              <w:rPr>
                <w:rFonts w:ascii="Times New Roman" w:hAnsi="Times New Roman"/>
                <w:i/>
                <w:sz w:val="24"/>
              </w:rPr>
              <w:t>Dzīvās laboratorijas tiks izveidotas un pārbaudītas attiecībā uz to devumu atvērtās, daudznozaru un daudzu ieinteresēto pušu inovācijās primārajā ražošanā uz sauszemes un jūrā un to mijiedarbībā ar bioekonomikas vērtības ķēdēm (pārtika un bioprodukti). Tās palīdzēs rast risinājumus, kas balstīti uz ekoloģiskām un aprites pieejām, kā arī sākt īstenot ilgtspējīgāku un noturīgāku bioekonomiku. Pielāgojot jauninājumus vietas konkrētajām vajadzībām, kā arī iesaistot attiecīgās ieinteresētās puses, tās ļaus izstrādāt un veicināt jauninājumu turpmāku akceptēšanu un ieviešanu.</w:t>
            </w:r>
          </w:p>
          <w:p w14:paraId="16AD279F" w14:textId="77777777" w:rsidR="00476FA3" w:rsidRPr="00476FA3" w:rsidRDefault="00476FA3" w:rsidP="00476FA3">
            <w:pPr>
              <w:jc w:val="both"/>
              <w:rPr>
                <w:rFonts w:ascii="Times New Roman" w:eastAsia="Times New Roman" w:hAnsi="Times New Roman" w:cs="Times New Roman"/>
                <w:i/>
                <w:iCs/>
                <w:noProof/>
                <w:sz w:val="24"/>
                <w:szCs w:val="20"/>
              </w:rPr>
            </w:pPr>
          </w:p>
          <w:p w14:paraId="0BD5BEE7" w14:textId="77777777" w:rsidR="00476FA3" w:rsidRPr="00476FA3" w:rsidRDefault="00476FA3" w:rsidP="001F2648">
            <w:pPr>
              <w:jc w:val="both"/>
              <w:rPr>
                <w:rFonts w:ascii="Times New Roman" w:hAnsi="Times New Roman"/>
                <w:i/>
                <w:iCs/>
                <w:noProof/>
                <w:sz w:val="24"/>
              </w:rPr>
            </w:pPr>
            <w:r>
              <w:rPr>
                <w:rFonts w:ascii="Times New Roman" w:hAnsi="Times New Roman"/>
                <w:i/>
                <w:sz w:val="24"/>
              </w:rPr>
              <w:t>Rādītāji. Izveidoto izmēģinājuma dzīvo laboratoriju skaits; to ieinteresēto pušu skaits, kas pārstāv primāro ražošanu un bioekonomikas vērtības ķēdes (ieskaitot patērētājus) un aktīvi iesaistās dzīvo laboratoriju īstenotajos pasākumos; informatīvu pasākumu un pārbaudīto risinājumu skaits.</w:t>
            </w:r>
          </w:p>
        </w:tc>
      </w:tr>
    </w:tbl>
    <w:p w14:paraId="5E336F4A" w14:textId="77777777" w:rsidR="0083515C" w:rsidRPr="00DF28F7" w:rsidRDefault="0083515C" w:rsidP="001F2648">
      <w:pPr>
        <w:jc w:val="both"/>
        <w:rPr>
          <w:rFonts w:ascii="Times New Roman" w:eastAsia="Times New Roman" w:hAnsi="Times New Roman" w:cs="Times New Roman"/>
          <w:noProof/>
          <w:sz w:val="24"/>
          <w:szCs w:val="16"/>
        </w:rPr>
      </w:pPr>
    </w:p>
    <w:p w14:paraId="7641510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Tā kā primārā ražošana (lauksaimniecība, mežsaimniecība un akvakultūra) un vērtības ķēdes kļūst aizvien zinātnesietilpīgākas, uzmanība tiek pievērsta atvērtiem jauninājumiem, kas palīdz efektīvāk apgūt dažādas zināšanas, veicināt efektīvus sadarbības veidus un pieredzes apmaiņu dažādu tirgus dalībnieku starpā, piemēram, lauksaimnieku, mežu īpašnieku, konsultantu, pētnieku, uzņēmumu, politikas veidotāju un iedzīvotāju starpā. Mijiedarbība starp zinātni un praksi ir īpaši svarīga, ja: a) jauninājumus nevar piemērot vienādi, bet tie ir </w:t>
      </w:r>
      <w:r>
        <w:rPr>
          <w:rFonts w:ascii="Times New Roman" w:hAnsi="Times New Roman"/>
          <w:sz w:val="24"/>
        </w:rPr>
        <w:lastRenderedPageBreak/>
        <w:t>jāpielāgo vietējiem apstākļiem, un b) ir nepieciešama pilnīga izpratne par kompleksiem risinājumiem. Tas novērojams lauksaimniecības sistēmās, piemēram, agromežsaimniecības vai lauku un akvakultūras saimniecībās – tajās izmanto uz bioloģisko daudzveidību balstītus ekosistēmu pakalpojumus, izstrādā dažādiem mērķiem un vērtības ķēdēm paredzētu produktu klāstu (pārtika un bioprodukti) un izmanto sinerģijas gan saimniecībās, gan nozaru starpā, jo ūdens, barības vielas un biomasa tiek  izmantota atbilstīgi aprites principiem.</w:t>
      </w:r>
    </w:p>
    <w:p w14:paraId="42CF8ADC" w14:textId="77777777" w:rsidR="0083515C" w:rsidRPr="00DF28F7" w:rsidRDefault="0083515C" w:rsidP="001F2648">
      <w:pPr>
        <w:jc w:val="both"/>
        <w:rPr>
          <w:rFonts w:ascii="Times New Roman" w:eastAsia="Verdana" w:hAnsi="Times New Roman" w:cs="Verdana"/>
          <w:noProof/>
          <w:sz w:val="24"/>
          <w:szCs w:val="19"/>
        </w:rPr>
      </w:pPr>
    </w:p>
    <w:p w14:paraId="2F0EEEA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Līdz 2024. gadam šajā darbībā paredzēts:</w:t>
      </w:r>
    </w:p>
    <w:p w14:paraId="6AE6DA4E" w14:textId="77777777" w:rsidR="0083515C" w:rsidRPr="00DF28F7" w:rsidRDefault="0083515C" w:rsidP="001F2648">
      <w:pPr>
        <w:jc w:val="both"/>
        <w:rPr>
          <w:rFonts w:ascii="Times New Roman" w:eastAsia="Verdana" w:hAnsi="Times New Roman" w:cs="Verdana"/>
          <w:noProof/>
          <w:sz w:val="24"/>
          <w:szCs w:val="19"/>
        </w:rPr>
      </w:pPr>
    </w:p>
    <w:p w14:paraId="3551C76A" w14:textId="77777777" w:rsidR="0083515C" w:rsidRPr="00DF28F7" w:rsidRDefault="00476FA3" w:rsidP="00476FA3">
      <w:pPr>
        <w:pStyle w:val="BodyText"/>
        <w:tabs>
          <w:tab w:val="left" w:pos="532"/>
        </w:tabs>
        <w:ind w:left="0"/>
        <w:jc w:val="both"/>
        <w:rPr>
          <w:rFonts w:ascii="Times New Roman" w:hAnsi="Times New Roman"/>
          <w:noProof/>
          <w:sz w:val="24"/>
        </w:rPr>
      </w:pPr>
      <w:r>
        <w:rPr>
          <w:rFonts w:ascii="Times New Roman" w:hAnsi="Times New Roman"/>
          <w:sz w:val="24"/>
        </w:rPr>
        <w:t>1) izstrādāt un testēt dzīvās laboratorijas kā vietēja mēroga infrastruktūras konkrētā vietā, kur dažādu disciplīnu pārstāvji un ieinteresētās puses var apmainīties ar idejām, kopīgi veidot, testēt un kopēt dažāda mēroga risinājumus (piemēram, no izmēģinājuma līdz labiekārtošanai). Pasākumu pamatā būs ekoloģisku pieeju īstenošana un atbilstība aprites principiem primārajā ražošanā, kā arī to saikne starp bioekonomikas vērtības ķēdēm (pārtika un bioprodukti);</w:t>
      </w:r>
    </w:p>
    <w:p w14:paraId="1D5C08B3" w14:textId="77777777" w:rsidR="0083515C" w:rsidRPr="00DF28F7" w:rsidRDefault="0083515C" w:rsidP="001F2648">
      <w:pPr>
        <w:jc w:val="both"/>
        <w:rPr>
          <w:rFonts w:ascii="Times New Roman" w:eastAsia="Verdana" w:hAnsi="Times New Roman" w:cs="Verdana"/>
          <w:noProof/>
          <w:sz w:val="24"/>
          <w:szCs w:val="19"/>
        </w:rPr>
      </w:pPr>
    </w:p>
    <w:p w14:paraId="6EC670AC" w14:textId="77777777" w:rsidR="0083515C" w:rsidRPr="00DF28F7" w:rsidRDefault="00476FA3" w:rsidP="00476FA3">
      <w:pPr>
        <w:pStyle w:val="BodyText"/>
        <w:tabs>
          <w:tab w:val="left" w:pos="547"/>
        </w:tabs>
        <w:ind w:left="0"/>
        <w:jc w:val="both"/>
        <w:rPr>
          <w:rFonts w:ascii="Times New Roman" w:hAnsi="Times New Roman"/>
          <w:noProof/>
          <w:sz w:val="24"/>
        </w:rPr>
      </w:pPr>
      <w:r>
        <w:rPr>
          <w:rFonts w:ascii="Times New Roman" w:hAnsi="Times New Roman"/>
          <w:sz w:val="24"/>
        </w:rPr>
        <w:t>2) papildus jaunu pieeju virzīšanai primārās ražošanas un pārtikas sistēmās mērķis ir panākt, ka dzīvās laboratorijas nodrošina telpu arī informācijas un datu kopu integrēšanai, brīvai pieejamībai un izmantošanai, lai izprastu sarežģītu mijiedarbību un rastu risinājumus.</w:t>
      </w:r>
    </w:p>
    <w:p w14:paraId="4DDD78C9" w14:textId="77777777" w:rsidR="0083515C" w:rsidRPr="00DF28F7" w:rsidRDefault="0083515C" w:rsidP="001F2648">
      <w:pPr>
        <w:jc w:val="both"/>
        <w:rPr>
          <w:rFonts w:ascii="Times New Roman" w:eastAsia="Verdana" w:hAnsi="Times New Roman" w:cs="Verdana"/>
          <w:noProof/>
          <w:sz w:val="24"/>
          <w:szCs w:val="19"/>
        </w:rPr>
      </w:pPr>
    </w:p>
    <w:p w14:paraId="446F8C1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Attiecīgie ES instrumenti, piemēram, </w:t>
      </w:r>
      <w:r>
        <w:rPr>
          <w:rFonts w:ascii="Times New Roman" w:hAnsi="Times New Roman"/>
          <w:i/>
          <w:iCs/>
          <w:sz w:val="24"/>
        </w:rPr>
        <w:t>EIP-AGRI</w:t>
      </w:r>
      <w:r>
        <w:rPr>
          <w:rFonts w:ascii="Times New Roman" w:hAnsi="Times New Roman"/>
          <w:sz w:val="24"/>
        </w:rPr>
        <w:t xml:space="preserve"> un </w:t>
      </w:r>
      <w:r>
        <w:rPr>
          <w:rFonts w:ascii="Times New Roman" w:hAnsi="Times New Roman"/>
          <w:i/>
          <w:iCs/>
          <w:sz w:val="24"/>
        </w:rPr>
        <w:t>EIT Food</w:t>
      </w:r>
      <w:r>
        <w:rPr>
          <w:rFonts w:ascii="Times New Roman" w:hAnsi="Times New Roman"/>
          <w:sz w:val="24"/>
        </w:rPr>
        <w:t>, palīdzēs savienot dzīvās laboratorijas, kurās pievēršas dažādiem tematiem un kuras darbojas dažādās vietās, kā arī atbalstīs informatīvus pasākumus un izveidos dinamisku tīklu. Koncentrējoties uz Eiropu, darbā tiks ņemta vērā starptautiskā pieredze un iniciatīvas.</w:t>
      </w:r>
    </w:p>
    <w:p w14:paraId="065D21E0" w14:textId="77777777" w:rsidR="0083515C" w:rsidRPr="00DF28F7" w:rsidRDefault="0083515C" w:rsidP="001F2648">
      <w:pPr>
        <w:jc w:val="both"/>
        <w:rPr>
          <w:rFonts w:ascii="Times New Roman" w:eastAsia="Verdana" w:hAnsi="Times New Roman" w:cs="Verdana"/>
          <w:noProof/>
          <w:sz w:val="24"/>
          <w:szCs w:val="16"/>
        </w:rPr>
      </w:pPr>
    </w:p>
    <w:p w14:paraId="3DE93C9B" w14:textId="77777777" w:rsidR="00CF10CD" w:rsidRPr="00DF28F7" w:rsidRDefault="00CF10CD" w:rsidP="001F2648">
      <w:pPr>
        <w:jc w:val="both"/>
        <w:rPr>
          <w:rFonts w:ascii="Times New Roman" w:eastAsia="Verdana" w:hAnsi="Times New Roman" w:cs="Verdana"/>
          <w:noProof/>
          <w:sz w:val="24"/>
          <w:szCs w:val="16"/>
        </w:rPr>
      </w:pPr>
    </w:p>
    <w:p w14:paraId="37C6E2EC" w14:textId="77777777" w:rsidR="0083515C" w:rsidRPr="00476FA3" w:rsidRDefault="0083515C" w:rsidP="001F2648">
      <w:pPr>
        <w:jc w:val="both"/>
        <w:rPr>
          <w:rFonts w:ascii="Times New Roman" w:hAnsi="Times New Roman"/>
          <w:i/>
          <w:iCs/>
          <w:noProof/>
          <w:sz w:val="24"/>
        </w:rPr>
      </w:pPr>
      <w:r>
        <w:rPr>
          <w:rFonts w:ascii="Times New Roman" w:hAnsi="Times New Roman"/>
          <w:i/>
          <w:sz w:val="24"/>
        </w:rPr>
        <w:t>3.2.3. Izveidot ES Bioekonomikas politikas atbalsta instrumentu un Eiropas Bioekonomikas forumu dalībvalstīm</w:t>
      </w:r>
    </w:p>
    <w:p w14:paraId="63FC3EB1" w14:textId="77777777" w:rsidR="00CF10CD" w:rsidRPr="00DF28F7" w:rsidRDefault="00CF10CD" w:rsidP="001F2648">
      <w:pPr>
        <w:jc w:val="both"/>
        <w:rPr>
          <w:rFonts w:ascii="Times New Roman" w:eastAsia="Times New Roman" w:hAnsi="Times New Roman" w:cs="Times New Roman"/>
          <w:noProof/>
          <w:sz w:val="24"/>
          <w:szCs w:val="18"/>
        </w:rPr>
      </w:pPr>
    </w:p>
    <w:p w14:paraId="5EFDE6AA" w14:textId="77777777" w:rsidR="0083515C" w:rsidRPr="00DF28F7" w:rsidRDefault="0083515C" w:rsidP="001F2648">
      <w:pPr>
        <w:jc w:val="both"/>
        <w:rPr>
          <w:rFonts w:ascii="Times New Roman" w:eastAsia="Times New Roman" w:hAnsi="Times New Roman" w:cs="Times New Roman"/>
          <w:noProof/>
          <w:sz w:val="24"/>
          <w:szCs w:val="8"/>
        </w:rPr>
      </w:pPr>
    </w:p>
    <w:p w14:paraId="4D86E3D8" w14:textId="77777777" w:rsidR="0083515C" w:rsidRPr="00476FA3" w:rsidRDefault="00077920" w:rsidP="00476FA3">
      <w:pPr>
        <w:pStyle w:val="BodyText"/>
        <w:tabs>
          <w:tab w:val="left" w:pos="331"/>
        </w:tabs>
        <w:ind w:left="0"/>
        <w:jc w:val="both"/>
        <w:rPr>
          <w:rFonts w:ascii="Times New Roman" w:hAnsi="Times New Roman"/>
          <w:i/>
          <w:iCs/>
          <w:noProof/>
          <w:sz w:val="24"/>
          <w:u w:val="single" w:color="000000"/>
        </w:rPr>
      </w:pPr>
      <w:r>
        <w:rPr>
          <w:rFonts w:ascii="Times New Roman" w:hAnsi="Times New Roman"/>
          <w:i/>
          <w:sz w:val="24"/>
          <w:u w:val="single" w:color="000000"/>
        </w:rPr>
        <w:t>i) Izveidot ES politikas atbalsta instrumentu dalībvalstīm, lai visā Eiropā izstrādātu un īstenotu valsts/reģionālās bioekonomikas stratēģijas</w:t>
      </w:r>
    </w:p>
    <w:p w14:paraId="4ADFB860"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476FA3" w14:paraId="5BE102D7" w14:textId="77777777" w:rsidTr="00476FA3">
        <w:tc>
          <w:tcPr>
            <w:tcW w:w="9288" w:type="dxa"/>
          </w:tcPr>
          <w:p w14:paraId="03B10BBA" w14:textId="77777777" w:rsidR="00476FA3" w:rsidRPr="00476FA3" w:rsidRDefault="00476FA3" w:rsidP="00476FA3">
            <w:pPr>
              <w:jc w:val="both"/>
              <w:rPr>
                <w:rFonts w:ascii="Times New Roman" w:hAnsi="Times New Roman"/>
                <w:i/>
                <w:iCs/>
                <w:noProof/>
                <w:sz w:val="24"/>
              </w:rPr>
            </w:pPr>
            <w:r>
              <w:rPr>
                <w:rFonts w:ascii="Times New Roman" w:hAnsi="Times New Roman"/>
                <w:i/>
                <w:sz w:val="24"/>
              </w:rPr>
              <w:t>Šajā darbībā atbalstīs bioekonomikas stratēģiju izstrādi un īstenošanu visā Eiropā (“Apvārsnis 2020”). Īstenojot BIOEAST iniciatīvu, galvenā uzmanība tiks pievērsta Centrāleiropai un Austrumeiropai.</w:t>
            </w:r>
          </w:p>
          <w:p w14:paraId="3A1B91AC" w14:textId="77777777" w:rsidR="00476FA3" w:rsidRPr="00476FA3" w:rsidRDefault="00476FA3" w:rsidP="00476FA3">
            <w:pPr>
              <w:jc w:val="both"/>
              <w:rPr>
                <w:rFonts w:ascii="Times New Roman" w:eastAsia="Times New Roman" w:hAnsi="Times New Roman" w:cs="Times New Roman"/>
                <w:i/>
                <w:iCs/>
                <w:noProof/>
                <w:sz w:val="24"/>
                <w:szCs w:val="20"/>
              </w:rPr>
            </w:pPr>
          </w:p>
          <w:p w14:paraId="4EB048AD" w14:textId="77777777" w:rsidR="00476FA3" w:rsidRPr="00476FA3" w:rsidRDefault="00476FA3" w:rsidP="001F2648">
            <w:pPr>
              <w:jc w:val="both"/>
              <w:rPr>
                <w:rFonts w:ascii="Times New Roman" w:hAnsi="Times New Roman"/>
                <w:i/>
                <w:iCs/>
                <w:noProof/>
                <w:sz w:val="24"/>
              </w:rPr>
            </w:pPr>
            <w:r>
              <w:rPr>
                <w:rFonts w:ascii="Times New Roman" w:hAnsi="Times New Roman"/>
                <w:i/>
                <w:sz w:val="24"/>
              </w:rPr>
              <w:t>Rādītāji. BIOEAST iniciatīvas ietvaros pieņemto bioekonomikas stratēģiju skaits; dalībvalstu pieņemto bioekonomikas stratēģiju skaits.</w:t>
            </w:r>
          </w:p>
        </w:tc>
      </w:tr>
    </w:tbl>
    <w:p w14:paraId="6236E4D2" w14:textId="77777777" w:rsidR="00150DA1" w:rsidRPr="00DF28F7" w:rsidRDefault="00150DA1" w:rsidP="001F2648">
      <w:pPr>
        <w:jc w:val="both"/>
        <w:rPr>
          <w:rFonts w:ascii="Times New Roman" w:eastAsia="Times New Roman" w:hAnsi="Times New Roman" w:cs="Times New Roman"/>
          <w:noProof/>
          <w:sz w:val="24"/>
          <w:szCs w:val="18"/>
        </w:rPr>
      </w:pPr>
    </w:p>
    <w:p w14:paraId="6EF529A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Viens no galvenajiem 2012. gada Bioekonomikas stratēģijas rezultātiem ir tas, ka valstu un reģionālo politikas veidotāju uzmanība ir pievērsta bioekonomikas principiem un transversāliem mērķiem. Par to liecina valstu un reģionu skaits, kuri kopš 2012. gada ir pieņēmuši bioekonomikas politiku (9. attēls).</w:t>
      </w:r>
    </w:p>
    <w:p w14:paraId="4E4BAB95" w14:textId="77777777" w:rsidR="0083515C" w:rsidRPr="00DF28F7" w:rsidRDefault="0083515C" w:rsidP="001F2648">
      <w:pPr>
        <w:jc w:val="both"/>
        <w:rPr>
          <w:rFonts w:ascii="Times New Roman" w:eastAsia="Verdana" w:hAnsi="Times New Roman" w:cs="Verdana"/>
          <w:noProof/>
          <w:sz w:val="24"/>
          <w:szCs w:val="6"/>
        </w:rPr>
      </w:pPr>
    </w:p>
    <w:p w14:paraId="48024AB8" w14:textId="72A9CE7A" w:rsidR="0083515C" w:rsidRDefault="00523C8C" w:rsidP="001F2648">
      <w:pPr>
        <w:jc w:val="both"/>
        <w:rPr>
          <w:rFonts w:ascii="Times New Roman" w:eastAsia="Verdana" w:hAnsi="Times New Roman" w:cs="Verdana"/>
          <w:noProof/>
          <w:sz w:val="24"/>
          <w:szCs w:val="20"/>
        </w:rPr>
      </w:pPr>
      <w:r>
        <w:rPr>
          <w:rFonts w:ascii="Times New Roman" w:eastAsia="Verdana" w:hAnsi="Times New Roman" w:cs="Verdana"/>
          <w:noProof/>
          <w:sz w:val="24"/>
          <w:szCs w:val="20"/>
        </w:rPr>
        <w:lastRenderedPageBreak/>
        <w:drawing>
          <wp:inline distT="0" distB="0" distL="0" distR="0" wp14:anchorId="49D9C581" wp14:editId="77D2F264">
            <wp:extent cx="5638800" cy="7924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8800" cy="7924800"/>
                    </a:xfrm>
                    <a:prstGeom prst="rect">
                      <a:avLst/>
                    </a:prstGeom>
                    <a:noFill/>
                    <a:ln>
                      <a:noFill/>
                    </a:ln>
                  </pic:spPr>
                </pic:pic>
              </a:graphicData>
            </a:graphic>
          </wp:inline>
        </w:drawing>
      </w:r>
    </w:p>
    <w:p w14:paraId="332127E2" w14:textId="77777777" w:rsidR="0083515C" w:rsidRPr="00DF28F7" w:rsidRDefault="0083515C" w:rsidP="001F2648">
      <w:pPr>
        <w:jc w:val="both"/>
        <w:rPr>
          <w:rFonts w:ascii="Times New Roman" w:eastAsia="Verdana" w:hAnsi="Times New Roman" w:cs="Verdana"/>
          <w:noProof/>
          <w:sz w:val="24"/>
          <w:szCs w:val="14"/>
        </w:rPr>
      </w:pPr>
    </w:p>
    <w:p w14:paraId="1A03CEB6" w14:textId="77777777" w:rsidR="0083515C" w:rsidRPr="00523C8C" w:rsidRDefault="0083515C" w:rsidP="001F2648">
      <w:pPr>
        <w:jc w:val="both"/>
        <w:rPr>
          <w:rFonts w:ascii="Times New Roman" w:hAnsi="Times New Roman"/>
          <w:noProof/>
          <w:sz w:val="20"/>
          <w:szCs w:val="18"/>
        </w:rPr>
      </w:pPr>
      <w:r w:rsidRPr="00523C8C">
        <w:rPr>
          <w:rFonts w:ascii="Times New Roman" w:hAnsi="Times New Roman"/>
          <w:sz w:val="20"/>
          <w:szCs w:val="18"/>
        </w:rPr>
        <w:t>9. attēls. Bioekonomikas stratēģijas un citas bioekonomikai veltītas politikas iniciatīvas ES dalībvalstīs 2018. gada martā. Avots: Eiropas Komisijas Bioekonomikas zināšanu centrs.</w:t>
      </w:r>
    </w:p>
    <w:p w14:paraId="1F1DEC25" w14:textId="77777777" w:rsidR="0083515C" w:rsidRPr="00DF28F7" w:rsidRDefault="0083515C" w:rsidP="001F2648">
      <w:pPr>
        <w:jc w:val="both"/>
        <w:rPr>
          <w:rFonts w:ascii="Times New Roman" w:eastAsia="Verdana" w:hAnsi="Times New Roman" w:cs="Verdana"/>
          <w:noProof/>
          <w:sz w:val="24"/>
          <w:szCs w:val="14"/>
        </w:rPr>
      </w:pPr>
    </w:p>
    <w:p w14:paraId="59F8FA9E" w14:textId="77777777" w:rsidR="0083515C" w:rsidRPr="00DF28F7" w:rsidRDefault="0083515C" w:rsidP="001F2648">
      <w:pPr>
        <w:jc w:val="both"/>
        <w:rPr>
          <w:rFonts w:ascii="Times New Roman" w:eastAsia="Verdana" w:hAnsi="Times New Roman" w:cs="Verdana"/>
          <w:noProof/>
          <w:sz w:val="24"/>
          <w:szCs w:val="19"/>
        </w:rPr>
      </w:pPr>
    </w:p>
    <w:p w14:paraId="62917961" w14:textId="52E9F22E" w:rsidR="0083515C" w:rsidRPr="00A824E5" w:rsidRDefault="0083515C" w:rsidP="001F2648">
      <w:pPr>
        <w:pStyle w:val="BodyText"/>
        <w:ind w:left="0"/>
        <w:jc w:val="both"/>
        <w:rPr>
          <w:rFonts w:ascii="Times New Roman" w:hAnsi="Times New Roman"/>
          <w:noProof/>
          <w:sz w:val="24"/>
        </w:rPr>
      </w:pPr>
      <w:r>
        <w:rPr>
          <w:rFonts w:ascii="Times New Roman" w:hAnsi="Times New Roman"/>
          <w:sz w:val="24"/>
        </w:rPr>
        <w:t xml:space="preserve">Daudzās dalībvalstīs un to reģionos ir izstrādāta vai tiek izstrādāta bioekonomikai veltīta </w:t>
      </w:r>
      <w:r>
        <w:rPr>
          <w:rFonts w:ascii="Times New Roman" w:hAnsi="Times New Roman"/>
          <w:sz w:val="24"/>
        </w:rPr>
        <w:lastRenderedPageBreak/>
        <w:t>stratēģija vai cita politikas iniciatīva. Līdz šim bioekonomikai veltītu stratēģiju ir izstrādājušas septiņas dalībvalstis (Francija, Itālija,</w:t>
      </w:r>
      <w:r w:rsidR="00A824E5">
        <w:rPr>
          <w:rFonts w:ascii="Times New Roman" w:hAnsi="Times New Roman"/>
          <w:noProof/>
          <w:sz w:val="24"/>
        </w:rPr>
        <w:t xml:space="preserve"> </w:t>
      </w:r>
      <w:r>
        <w:rPr>
          <w:rFonts w:ascii="Times New Roman" w:hAnsi="Times New Roman"/>
          <w:sz w:val="24"/>
        </w:rPr>
        <w:t>Īrija, Latvija, Somija, Spānija un Vācija), savukārt sešās dalībvalstīs (Apvienotā Karaliste, Austrija, Igaunija, Lietuva, Nīderlande un Ungārija) šāda bioekonomikai veltīta stratēģija šobrīd tiek izstrādāta valsts līmenī.</w:t>
      </w:r>
      <w:r w:rsidR="00077920">
        <w:rPr>
          <w:rStyle w:val="FootnoteReference"/>
          <w:rFonts w:ascii="Times New Roman" w:hAnsi="Times New Roman"/>
          <w:noProof/>
          <w:sz w:val="24"/>
        </w:rPr>
        <w:footnoteReference w:id="271"/>
      </w:r>
      <w:r>
        <w:rPr>
          <w:rFonts w:ascii="Times New Roman" w:hAnsi="Times New Roman"/>
          <w:sz w:val="24"/>
        </w:rPr>
        <w:t xml:space="preserve"> Citas dalībvalstis ir iesaistījušās makroreģionālās bioekonomikas iniciatīvās (piemēram, Dānija, Zviedrija)</w:t>
      </w:r>
      <w:r w:rsidR="00077920">
        <w:rPr>
          <w:rStyle w:val="FootnoteReference"/>
          <w:rFonts w:ascii="Times New Roman" w:hAnsi="Times New Roman"/>
          <w:noProof/>
          <w:sz w:val="24"/>
        </w:rPr>
        <w:footnoteReference w:id="272"/>
      </w:r>
      <w:r>
        <w:rPr>
          <w:rFonts w:ascii="Times New Roman" w:hAnsi="Times New Roman"/>
          <w:sz w:val="24"/>
        </w:rPr>
        <w:t xml:space="preserve"> vai ir izstrādājušas vietēja mēroga stratēģijas (piemēram, Beļģija). Atbilstoši 2012. gada Eiropas Bioekonomikas stratēģijai šīs stratēģijas neattiecas tikai uz pētniecību un inovāciju vien, turklāt tās ir kopīgi izstrādājušas dažādas ministrijas, kuras risina ar bioekonomiku saistītus politikas jautājumus, piemēram, par lauksaimniecību, uz koksnes resursiem balstīto nozari, rūpniecību, vidi, reģionu attīstību utt. Dalībvalstu izraudzītā valstu bioekonomikas stratēģiju fokusa dažādība liecina, ka nav viena “bioekonomikas plāna”, kas būtu jāievēro. Drīzāk jārunā par dažādiem “bioekonomikas virzieniem”, kas jāattīsta valsts un reģionālā līmenī atkarībā no pieejamās biomasas veida un formas, infrastruktūras, tirgiem, zinātības un investīciju spējas. Ņemot vērā “bioekonomikas virzienu” daudzveidību Eiropas Savienībā un valstu bioekonomikas stratēģiju fokusa dažādību, ir jāsaskaņo stratēģijas un jānodrošina politikas saskaņotība.</w:t>
      </w:r>
      <w:r w:rsidR="00077920">
        <w:rPr>
          <w:rStyle w:val="FootnoteReference"/>
          <w:rFonts w:ascii="Times New Roman" w:hAnsi="Times New Roman"/>
          <w:noProof/>
          <w:sz w:val="24"/>
        </w:rPr>
        <w:footnoteReference w:id="273"/>
      </w:r>
    </w:p>
    <w:p w14:paraId="01EA5815" w14:textId="77777777" w:rsidR="0083515C" w:rsidRPr="00DF28F7" w:rsidRDefault="0083515C" w:rsidP="001F2648">
      <w:pPr>
        <w:jc w:val="both"/>
        <w:rPr>
          <w:rFonts w:ascii="Times New Roman" w:eastAsia="Verdana" w:hAnsi="Times New Roman" w:cs="Verdana"/>
          <w:noProof/>
          <w:sz w:val="24"/>
          <w:szCs w:val="20"/>
        </w:rPr>
      </w:pPr>
    </w:p>
    <w:p w14:paraId="1641C8F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Lielākā daļa ES-15 dalībvalstu ir izstrādājušas vai izstrādā valsts bioekonomikai veltītas stratēģijas, savukārt jaunās dalībvalstis atpaliek, lai gan tām ir milzīgs biomasas potenciāls.</w:t>
      </w:r>
      <w:r w:rsidR="00077920">
        <w:rPr>
          <w:rStyle w:val="FootnoteReference"/>
          <w:rFonts w:ascii="Times New Roman" w:hAnsi="Times New Roman"/>
          <w:noProof/>
          <w:sz w:val="24"/>
        </w:rPr>
        <w:footnoteReference w:id="274"/>
      </w:r>
      <w:r>
        <w:rPr>
          <w:rFonts w:ascii="Times New Roman" w:hAnsi="Times New Roman"/>
          <w:sz w:val="24"/>
        </w:rPr>
        <w:t xml:space="preserve"> Lai novērstu šo nepilnību, vairākās augsta līmeņa iniciatīvās pauž aicinājumu vairāk rīkoties ES, valstu un reģionālā līmenī, ietverot iniciatīvas, kas sakņojas Centrāleiropas un Austrumeiropas (</w:t>
      </w:r>
      <w:r>
        <w:rPr>
          <w:rFonts w:ascii="Times New Roman" w:hAnsi="Times New Roman"/>
          <w:i/>
          <w:iCs/>
          <w:sz w:val="24"/>
        </w:rPr>
        <w:t>CEE</w:t>
      </w:r>
      <w:r>
        <w:rPr>
          <w:rFonts w:ascii="Times New Roman" w:hAnsi="Times New Roman"/>
          <w:sz w:val="24"/>
        </w:rPr>
        <w:t xml:space="preserve">) valstīs, piemēram, tādas kā </w:t>
      </w:r>
      <w:r>
        <w:rPr>
          <w:rFonts w:ascii="Times New Roman" w:hAnsi="Times New Roman"/>
          <w:i/>
          <w:iCs/>
          <w:sz w:val="24"/>
        </w:rPr>
        <w:t>BIOEAST</w:t>
      </w:r>
      <w:r w:rsidR="00077920">
        <w:rPr>
          <w:rStyle w:val="FootnoteReference"/>
          <w:rFonts w:ascii="Times New Roman" w:hAnsi="Times New Roman"/>
          <w:noProof/>
          <w:sz w:val="24"/>
        </w:rPr>
        <w:footnoteReference w:id="275"/>
      </w:r>
      <w:r>
        <w:rPr>
          <w:rFonts w:ascii="Times New Roman" w:hAnsi="Times New Roman"/>
          <w:sz w:val="24"/>
        </w:rPr>
        <w:t xml:space="preserve"> un Lodzas Bioreģionu deklarācija.</w:t>
      </w:r>
      <w:r w:rsidR="00077920">
        <w:rPr>
          <w:rStyle w:val="FootnoteReference"/>
          <w:rFonts w:ascii="Times New Roman" w:hAnsi="Times New Roman"/>
          <w:noProof/>
          <w:sz w:val="24"/>
        </w:rPr>
        <w:footnoteReference w:id="276"/>
      </w:r>
      <w:r>
        <w:rPr>
          <w:rFonts w:ascii="Times New Roman" w:hAnsi="Times New Roman"/>
          <w:sz w:val="24"/>
        </w:rPr>
        <w:t xml:space="preserve"> Tieši </w:t>
      </w:r>
      <w:r>
        <w:rPr>
          <w:rFonts w:ascii="Times New Roman" w:hAnsi="Times New Roman"/>
          <w:i/>
          <w:iCs/>
          <w:sz w:val="24"/>
        </w:rPr>
        <w:t>BIOEAST</w:t>
      </w:r>
      <w:r>
        <w:rPr>
          <w:rFonts w:ascii="Times New Roman" w:hAnsi="Times New Roman"/>
          <w:sz w:val="24"/>
        </w:rPr>
        <w:t xml:space="preserve"> iniciatīvā nesen tika noteikts redzējums un izceltas iespējas uz 2030. gadu attīstīt uz zināšanām un sadarbību balstītu aprites bioekonomiku </w:t>
      </w:r>
      <w:r>
        <w:rPr>
          <w:rFonts w:ascii="Times New Roman" w:hAnsi="Times New Roman"/>
          <w:i/>
          <w:iCs/>
          <w:sz w:val="24"/>
        </w:rPr>
        <w:t>CEE</w:t>
      </w:r>
      <w:r>
        <w:rPr>
          <w:rFonts w:ascii="Times New Roman" w:hAnsi="Times New Roman"/>
          <w:sz w:val="24"/>
        </w:rPr>
        <w:t xml:space="preserve"> valstīs.</w:t>
      </w:r>
      <w:r w:rsidR="00077920">
        <w:rPr>
          <w:rStyle w:val="FootnoteReference"/>
          <w:rFonts w:ascii="Times New Roman" w:hAnsi="Times New Roman"/>
          <w:noProof/>
          <w:sz w:val="24"/>
        </w:rPr>
        <w:footnoteReference w:id="277"/>
      </w:r>
      <w:r>
        <w:rPr>
          <w:rFonts w:ascii="Times New Roman" w:hAnsi="Times New Roman"/>
          <w:sz w:val="24"/>
        </w:rPr>
        <w:t xml:space="preserve"> Minētās iniciatīvas ietvaros 10 </w:t>
      </w:r>
      <w:r>
        <w:rPr>
          <w:rFonts w:ascii="Times New Roman" w:hAnsi="Times New Roman"/>
          <w:i/>
          <w:iCs/>
          <w:sz w:val="24"/>
        </w:rPr>
        <w:t>CEE</w:t>
      </w:r>
      <w:r>
        <w:rPr>
          <w:rFonts w:ascii="Times New Roman" w:hAnsi="Times New Roman"/>
          <w:sz w:val="24"/>
        </w:rPr>
        <w:t xml:space="preserve"> valstis (Bulgārija, Čehijas Republika, Horvātija, Igaunija, Lietuva, Polija, Rumānija, Slovākija, Slovēnija un Ungārija) plāno izstrādāt bioekonomikai veltītu stratēģiju vai citas valsts aprites ekonomikas stratēģijas.</w:t>
      </w:r>
    </w:p>
    <w:p w14:paraId="74C67894" w14:textId="77777777" w:rsidR="00CF10CD" w:rsidRPr="00DF28F7" w:rsidRDefault="00CF10CD" w:rsidP="001F2648">
      <w:pPr>
        <w:jc w:val="both"/>
        <w:rPr>
          <w:rFonts w:ascii="Times New Roman" w:eastAsia="Verdana" w:hAnsi="Times New Roman" w:cs="Verdana"/>
          <w:noProof/>
          <w:sz w:val="24"/>
          <w:szCs w:val="13"/>
        </w:rPr>
      </w:pPr>
    </w:p>
    <w:p w14:paraId="7D0CAAFE" w14:textId="77777777" w:rsidR="0083515C" w:rsidRPr="00DF28F7" w:rsidRDefault="0083515C" w:rsidP="00A824E5">
      <w:pPr>
        <w:pStyle w:val="BodyText"/>
        <w:keepNext/>
        <w:keepLines/>
        <w:ind w:left="0"/>
        <w:jc w:val="both"/>
        <w:rPr>
          <w:rFonts w:ascii="Times New Roman" w:hAnsi="Times New Roman"/>
          <w:noProof/>
          <w:sz w:val="24"/>
        </w:rPr>
      </w:pPr>
      <w:r>
        <w:rPr>
          <w:rFonts w:ascii="Times New Roman" w:hAnsi="Times New Roman"/>
          <w:sz w:val="24"/>
        </w:rPr>
        <w:lastRenderedPageBreak/>
        <w:t xml:space="preserve">Lai atbalstītu dalībvalstis bioekonomikai veltītu stratēģiju izstrādē un īstenošanā, </w:t>
      </w:r>
      <w:r>
        <w:rPr>
          <w:rFonts w:ascii="Times New Roman" w:hAnsi="Times New Roman"/>
          <w:sz w:val="24"/>
          <w:u w:val="single"/>
        </w:rPr>
        <w:t>šīs darbības mērķis ir</w:t>
      </w:r>
      <w:r>
        <w:rPr>
          <w:rFonts w:ascii="Times New Roman" w:hAnsi="Times New Roman"/>
          <w:sz w:val="24"/>
        </w:rPr>
        <w:t>:</w:t>
      </w:r>
    </w:p>
    <w:p w14:paraId="6A08BB65" w14:textId="77777777" w:rsidR="0083515C" w:rsidRPr="00DF28F7" w:rsidRDefault="0083515C" w:rsidP="00A824E5">
      <w:pPr>
        <w:keepNext/>
        <w:keepLines/>
        <w:jc w:val="both"/>
        <w:rPr>
          <w:rFonts w:ascii="Times New Roman" w:eastAsia="Verdana" w:hAnsi="Times New Roman" w:cs="Verdana"/>
          <w:noProof/>
          <w:sz w:val="24"/>
          <w:szCs w:val="14"/>
        </w:rPr>
      </w:pPr>
    </w:p>
    <w:p w14:paraId="6C0A0BE6" w14:textId="77777777" w:rsidR="0083515C" w:rsidRPr="00DF28F7" w:rsidRDefault="00077920" w:rsidP="00A824E5">
      <w:pPr>
        <w:pStyle w:val="BodyText"/>
        <w:keepNext/>
        <w:keepLines/>
        <w:tabs>
          <w:tab w:val="left" w:pos="505"/>
        </w:tabs>
        <w:ind w:left="0"/>
        <w:jc w:val="both"/>
        <w:rPr>
          <w:rFonts w:ascii="Times New Roman" w:hAnsi="Times New Roman"/>
          <w:noProof/>
          <w:sz w:val="24"/>
        </w:rPr>
      </w:pPr>
      <w:r>
        <w:rPr>
          <w:rFonts w:ascii="Times New Roman" w:hAnsi="Times New Roman"/>
          <w:sz w:val="24"/>
        </w:rPr>
        <w:t>1) aktivizēt atbalsta mehānismu dalībvalstīm, tostarp balstoties uz labu praksi, neatkarīgu augsta līmeņa pieredzi un norādījumiem, salīdzinošo izvērtēšanu un/vai citu pielāgotu atbalstu;</w:t>
      </w:r>
    </w:p>
    <w:p w14:paraId="58775A35" w14:textId="77777777" w:rsidR="0083515C" w:rsidRPr="00DF28F7" w:rsidRDefault="0083515C" w:rsidP="001F2648">
      <w:pPr>
        <w:jc w:val="both"/>
        <w:rPr>
          <w:rFonts w:ascii="Times New Roman" w:eastAsia="Verdana" w:hAnsi="Times New Roman" w:cs="Verdana"/>
          <w:noProof/>
          <w:sz w:val="24"/>
          <w:szCs w:val="20"/>
        </w:rPr>
      </w:pPr>
    </w:p>
    <w:p w14:paraId="75CC9392" w14:textId="77777777" w:rsidR="0083515C" w:rsidRPr="00DF28F7" w:rsidRDefault="00077920" w:rsidP="00077920">
      <w:pPr>
        <w:pStyle w:val="BodyText"/>
        <w:tabs>
          <w:tab w:val="left" w:pos="528"/>
        </w:tabs>
        <w:ind w:left="0"/>
        <w:jc w:val="both"/>
        <w:rPr>
          <w:rFonts w:ascii="Times New Roman" w:hAnsi="Times New Roman"/>
          <w:noProof/>
          <w:sz w:val="24"/>
        </w:rPr>
      </w:pPr>
      <w:r>
        <w:rPr>
          <w:rFonts w:ascii="Times New Roman" w:hAnsi="Times New Roman"/>
          <w:sz w:val="24"/>
        </w:rPr>
        <w:t>2) palielināt to ES dalībvalstu skaitu, kurām ir bioekonomikai veltīta stratēģija, jo īpaši dalībvalstīs ar mērenu/pieticīgu novatorismu</w:t>
      </w:r>
      <w:r w:rsidR="007B0ACE">
        <w:rPr>
          <w:rStyle w:val="FootnoteReference"/>
          <w:rFonts w:ascii="Times New Roman" w:hAnsi="Times New Roman"/>
          <w:noProof/>
          <w:sz w:val="24"/>
        </w:rPr>
        <w:footnoteReference w:id="278"/>
      </w:r>
      <w:r>
        <w:rPr>
          <w:rFonts w:ascii="Times New Roman" w:hAnsi="Times New Roman"/>
          <w:sz w:val="24"/>
        </w:rPr>
        <w:t>, kurās šādas stratēģijas vēl nav.</w:t>
      </w:r>
    </w:p>
    <w:p w14:paraId="44462C98" w14:textId="77777777" w:rsidR="0083515C" w:rsidRPr="00DF28F7" w:rsidRDefault="0083515C" w:rsidP="001F2648">
      <w:pPr>
        <w:jc w:val="both"/>
        <w:rPr>
          <w:rFonts w:ascii="Times New Roman" w:eastAsia="Verdana" w:hAnsi="Times New Roman" w:cs="Verdana"/>
          <w:noProof/>
          <w:sz w:val="24"/>
          <w:szCs w:val="19"/>
        </w:rPr>
      </w:pPr>
    </w:p>
    <w:p w14:paraId="53299411" w14:textId="77777777" w:rsidR="00077920" w:rsidRDefault="00077920" w:rsidP="00077920">
      <w:pPr>
        <w:pStyle w:val="BodyText"/>
        <w:tabs>
          <w:tab w:val="left" w:pos="382"/>
        </w:tabs>
        <w:ind w:left="0"/>
        <w:jc w:val="both"/>
        <w:rPr>
          <w:rFonts w:ascii="Times New Roman" w:hAnsi="Times New Roman"/>
          <w:noProof/>
          <w:sz w:val="24"/>
          <w:u w:val="single" w:color="000000"/>
        </w:rPr>
      </w:pPr>
    </w:p>
    <w:p w14:paraId="7D2229A3" w14:textId="77777777" w:rsidR="0083515C" w:rsidRPr="00077920" w:rsidRDefault="00077920" w:rsidP="00077920">
      <w:pPr>
        <w:pStyle w:val="BodyText"/>
        <w:tabs>
          <w:tab w:val="left" w:pos="382"/>
        </w:tabs>
        <w:ind w:left="0"/>
        <w:jc w:val="both"/>
        <w:rPr>
          <w:rFonts w:ascii="Times New Roman" w:hAnsi="Times New Roman"/>
          <w:i/>
          <w:iCs/>
          <w:noProof/>
          <w:sz w:val="24"/>
          <w:u w:val="single" w:color="000000"/>
        </w:rPr>
      </w:pPr>
      <w:r>
        <w:rPr>
          <w:rFonts w:ascii="Times New Roman" w:hAnsi="Times New Roman"/>
          <w:i/>
          <w:sz w:val="24"/>
          <w:u w:val="single" w:color="000000"/>
        </w:rPr>
        <w:t>ii) Atbalstīt bioekonomikas stratēģijas īstenojošo dalībvalstu Eiropas Bioekonomikas forumu</w:t>
      </w:r>
    </w:p>
    <w:p w14:paraId="22A44DC6" w14:textId="77777777" w:rsidR="0083515C" w:rsidRPr="00DF28F7" w:rsidRDefault="0083515C" w:rsidP="001F2648">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B0ACE" w14:paraId="1FD27DD8" w14:textId="77777777" w:rsidTr="007B0ACE">
        <w:tc>
          <w:tcPr>
            <w:tcW w:w="9288" w:type="dxa"/>
          </w:tcPr>
          <w:p w14:paraId="14486CA4" w14:textId="77777777" w:rsidR="007B0ACE" w:rsidRPr="007B0ACE" w:rsidRDefault="007B0ACE" w:rsidP="007B0ACE">
            <w:pPr>
              <w:jc w:val="both"/>
              <w:rPr>
                <w:rFonts w:ascii="Times New Roman" w:hAnsi="Times New Roman"/>
                <w:i/>
                <w:iCs/>
                <w:noProof/>
                <w:sz w:val="24"/>
              </w:rPr>
            </w:pPr>
            <w:r>
              <w:rPr>
                <w:rFonts w:ascii="Times New Roman" w:hAnsi="Times New Roman"/>
                <w:i/>
                <w:sz w:val="24"/>
              </w:rPr>
              <w:t>Šī darbība veicinās dalībvalstu un reģionu tīklu veidošanu, izmantojot arī pašreizējās grupas, lai apmainītos ar zināšanām un labāko praksi, sekmētu mijiedarbību un savstarpēju mācīšanos un uzlabotu starpreģionālo sadarbību nolūkā atbalstīt bioekonomikas attīstību valsts, reģionālā un vietējā līmenī.</w:t>
            </w:r>
          </w:p>
          <w:p w14:paraId="397C7C89" w14:textId="77777777" w:rsidR="007B0ACE" w:rsidRPr="007B0ACE" w:rsidRDefault="007B0ACE" w:rsidP="007B0ACE">
            <w:pPr>
              <w:jc w:val="both"/>
              <w:rPr>
                <w:rFonts w:ascii="Times New Roman" w:eastAsia="Times New Roman" w:hAnsi="Times New Roman" w:cs="Times New Roman"/>
                <w:i/>
                <w:iCs/>
                <w:noProof/>
                <w:sz w:val="24"/>
                <w:szCs w:val="20"/>
              </w:rPr>
            </w:pPr>
          </w:p>
          <w:p w14:paraId="77C26D02" w14:textId="77777777" w:rsidR="007B0ACE" w:rsidRPr="007B0ACE" w:rsidRDefault="007B0ACE" w:rsidP="007B0ACE">
            <w:pPr>
              <w:jc w:val="both"/>
              <w:rPr>
                <w:rFonts w:ascii="Times New Roman" w:hAnsi="Times New Roman"/>
                <w:i/>
                <w:iCs/>
                <w:noProof/>
                <w:sz w:val="24"/>
              </w:rPr>
            </w:pPr>
            <w:r>
              <w:rPr>
                <w:rFonts w:ascii="Times New Roman" w:hAnsi="Times New Roman"/>
                <w:i/>
                <w:sz w:val="24"/>
              </w:rPr>
              <w:t>Šī darbība veicinās bioekonomikas komunikācijas iniciatīvas, piemēram, izpratnes veidošanas kampaņas un diskusijas, tostarp reģionālā līmenī kohēzijas politikas kontekstā, piemēram, izmantojot pārdomātas specializācijas platformu. Tostarp tiks ieviests Eiropas Bioekonomikas tīkls (“Apvārsnis 2020”). Dalībvalstis, reģioni un ieinteresētās puses tiek aicinātas atbalstīt līdzīgus bioekonomikas komunikācijas pasākumus valsts, reģionālā un vietējā līmenī.</w:t>
            </w:r>
          </w:p>
          <w:p w14:paraId="78DCCC60" w14:textId="77777777" w:rsidR="007B0ACE" w:rsidRPr="007B0ACE" w:rsidRDefault="007B0ACE" w:rsidP="007B0ACE">
            <w:pPr>
              <w:jc w:val="both"/>
              <w:rPr>
                <w:rFonts w:ascii="Times New Roman" w:eastAsia="Times New Roman" w:hAnsi="Times New Roman" w:cs="Times New Roman"/>
                <w:i/>
                <w:iCs/>
                <w:noProof/>
                <w:sz w:val="24"/>
                <w:szCs w:val="20"/>
              </w:rPr>
            </w:pPr>
          </w:p>
          <w:p w14:paraId="49997962" w14:textId="77777777" w:rsidR="007B0ACE" w:rsidRPr="007B0ACE" w:rsidRDefault="007B0ACE" w:rsidP="001F2648">
            <w:pPr>
              <w:jc w:val="both"/>
              <w:rPr>
                <w:rFonts w:ascii="Times New Roman" w:hAnsi="Times New Roman"/>
                <w:noProof/>
                <w:sz w:val="24"/>
              </w:rPr>
            </w:pPr>
            <w:r>
              <w:rPr>
                <w:rFonts w:ascii="Times New Roman" w:hAnsi="Times New Roman"/>
                <w:i/>
                <w:sz w:val="24"/>
              </w:rPr>
              <w:t>Rādītāji. Foruma dalībnieku uzsākto pasākumu skaits; īstenoto kampaņu/notikumu skaits; sasniegto ieinteresēto pušu skaits.</w:t>
            </w:r>
          </w:p>
        </w:tc>
      </w:tr>
    </w:tbl>
    <w:p w14:paraId="693287C1" w14:textId="77777777" w:rsidR="0083515C" w:rsidRPr="00DF28F7" w:rsidRDefault="0083515C" w:rsidP="001F2648">
      <w:pPr>
        <w:jc w:val="both"/>
        <w:rPr>
          <w:rFonts w:ascii="Times New Roman" w:eastAsia="Times New Roman" w:hAnsi="Times New Roman" w:cs="Times New Roman"/>
          <w:noProof/>
          <w:sz w:val="24"/>
          <w:szCs w:val="16"/>
        </w:rPr>
      </w:pPr>
    </w:p>
    <w:p w14:paraId="528EF17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Sniedzot atsauksmes par ES Bioekonomikas ceļvedi 2018. gadam, dalībvalstis mudināja paplašināt sadarbību caur dalībvalstu un reģionu tīkliem, lai tādējādi apmainītos ar zināšanām, kā arī labo un labāko praksi</w:t>
      </w:r>
      <w:r w:rsidR="007B0ACE">
        <w:rPr>
          <w:rStyle w:val="FootnoteReference"/>
          <w:rFonts w:ascii="Times New Roman" w:hAnsi="Times New Roman"/>
          <w:noProof/>
          <w:sz w:val="24"/>
        </w:rPr>
        <w:footnoteReference w:id="279"/>
      </w:r>
      <w:r>
        <w:rPr>
          <w:rFonts w:ascii="Times New Roman" w:hAnsi="Times New Roman"/>
          <w:sz w:val="24"/>
        </w:rPr>
        <w:t>, veicinātu mijiedarbību un savstarpēju mācīšanos un uzlabotu starpreģionālo sadarbību nolūkā īstenot kopīgus pasākumus bioekonomikas attīstības atbalstam valsts, reģionālā un vietējā līmenī.</w:t>
      </w:r>
    </w:p>
    <w:p w14:paraId="50D27A2F" w14:textId="77777777" w:rsidR="0083515C" w:rsidRPr="00DF28F7" w:rsidRDefault="0083515C" w:rsidP="001F2648">
      <w:pPr>
        <w:jc w:val="both"/>
        <w:rPr>
          <w:rFonts w:ascii="Times New Roman" w:eastAsia="Verdana" w:hAnsi="Times New Roman" w:cs="Verdana"/>
          <w:noProof/>
          <w:sz w:val="24"/>
          <w:szCs w:val="19"/>
        </w:rPr>
      </w:pPr>
    </w:p>
    <w:p w14:paraId="35A6450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Rezultātā EK organizētajā valstu bioekonomikas koordinatoru pirmajā sanāksmē (16/3/2018, Brisele, piedalījās 22 dalībvalstis) valdīja uzskats, ka būtu lietderīgi izveidot stratēģisku savstarpējas mācīšanās forumu dalībvalstīm, kuras jau ir pieņēmušas vai plāno pieņemt/atjaunināt valsts bioekonomikas stratēģiju.</w:t>
      </w:r>
    </w:p>
    <w:p w14:paraId="46B1E85E" w14:textId="77777777" w:rsidR="0083515C" w:rsidRPr="00DF28F7" w:rsidRDefault="0083515C" w:rsidP="001F2648">
      <w:pPr>
        <w:jc w:val="both"/>
        <w:rPr>
          <w:rFonts w:ascii="Times New Roman" w:eastAsia="Verdana" w:hAnsi="Times New Roman" w:cs="Verdana"/>
          <w:noProof/>
          <w:sz w:val="24"/>
          <w:szCs w:val="19"/>
        </w:rPr>
      </w:pPr>
    </w:p>
    <w:p w14:paraId="322C300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u w:val="single"/>
        </w:rPr>
        <w:t>Šajā darbībā paredzēts</w:t>
      </w:r>
      <w:r>
        <w:rPr>
          <w:rFonts w:ascii="Times New Roman" w:hAnsi="Times New Roman"/>
          <w:sz w:val="24"/>
        </w:rPr>
        <w:t>:</w:t>
      </w:r>
    </w:p>
    <w:p w14:paraId="643C044A" w14:textId="77777777" w:rsidR="0083515C" w:rsidRPr="00DF28F7" w:rsidRDefault="0083515C" w:rsidP="001F2648">
      <w:pPr>
        <w:jc w:val="both"/>
        <w:rPr>
          <w:rFonts w:ascii="Times New Roman" w:eastAsia="Verdana" w:hAnsi="Times New Roman" w:cs="Verdana"/>
          <w:noProof/>
          <w:sz w:val="24"/>
          <w:szCs w:val="14"/>
        </w:rPr>
      </w:pPr>
    </w:p>
    <w:p w14:paraId="6D7D731B" w14:textId="77777777" w:rsidR="0083515C" w:rsidRPr="00DF28F7" w:rsidRDefault="007B0ACE" w:rsidP="007B0ACE">
      <w:pPr>
        <w:pStyle w:val="BodyText"/>
        <w:tabs>
          <w:tab w:val="left" w:pos="496"/>
        </w:tabs>
        <w:ind w:left="0"/>
        <w:jc w:val="both"/>
        <w:rPr>
          <w:rFonts w:ascii="Times New Roman" w:hAnsi="Times New Roman"/>
          <w:noProof/>
          <w:sz w:val="24"/>
        </w:rPr>
      </w:pPr>
      <w:r>
        <w:rPr>
          <w:rFonts w:ascii="Times New Roman" w:hAnsi="Times New Roman"/>
          <w:sz w:val="24"/>
        </w:rPr>
        <w:t>1) nodrošināt stabilu un funkcionējošu formātu tīklu veidošanai/mijiedarbībai un zināšanu apmaiņai, lai veicinātu to bioekonomikas stratēģiju popularizēšanu un īstenošanu;</w:t>
      </w:r>
    </w:p>
    <w:p w14:paraId="00B5C60D" w14:textId="77777777" w:rsidR="00CF10CD" w:rsidRPr="00DF28F7" w:rsidRDefault="00CF10CD" w:rsidP="007B0ACE">
      <w:pPr>
        <w:jc w:val="both"/>
        <w:rPr>
          <w:rFonts w:ascii="Times New Roman" w:eastAsia="Verdana" w:hAnsi="Times New Roman" w:cs="Verdana"/>
          <w:noProof/>
          <w:sz w:val="24"/>
          <w:szCs w:val="13"/>
        </w:rPr>
      </w:pPr>
    </w:p>
    <w:p w14:paraId="587BA249" w14:textId="77777777" w:rsidR="0083515C" w:rsidRPr="00DF28F7" w:rsidRDefault="007B0ACE" w:rsidP="007B0ACE">
      <w:pPr>
        <w:pStyle w:val="BodyText"/>
        <w:tabs>
          <w:tab w:val="left" w:pos="396"/>
        </w:tabs>
        <w:ind w:left="0"/>
        <w:jc w:val="both"/>
        <w:rPr>
          <w:rFonts w:ascii="Times New Roman" w:hAnsi="Times New Roman"/>
          <w:noProof/>
          <w:sz w:val="24"/>
        </w:rPr>
      </w:pPr>
      <w:r>
        <w:rPr>
          <w:rFonts w:ascii="Times New Roman" w:hAnsi="Times New Roman"/>
          <w:sz w:val="24"/>
        </w:rPr>
        <w:t>2) palielināt dažādo bioekonomikas jomu pamanāmību un potenciālu visās dalībvalstīs, izmantojot esošos tīklus un platformas;</w:t>
      </w:r>
    </w:p>
    <w:p w14:paraId="1A0DA1E4" w14:textId="77777777" w:rsidR="0083515C" w:rsidRPr="00DF28F7" w:rsidRDefault="0083515C" w:rsidP="007B0ACE">
      <w:pPr>
        <w:jc w:val="both"/>
        <w:rPr>
          <w:rFonts w:ascii="Times New Roman" w:eastAsia="Verdana" w:hAnsi="Times New Roman" w:cs="Verdana"/>
          <w:noProof/>
          <w:sz w:val="24"/>
          <w:szCs w:val="16"/>
        </w:rPr>
      </w:pPr>
    </w:p>
    <w:p w14:paraId="18085ED4" w14:textId="77777777" w:rsidR="0083515C" w:rsidRPr="00DF28F7" w:rsidRDefault="007B0ACE" w:rsidP="007B0ACE">
      <w:pPr>
        <w:pStyle w:val="BodyText"/>
        <w:tabs>
          <w:tab w:val="left" w:pos="396"/>
        </w:tabs>
        <w:ind w:left="0"/>
        <w:jc w:val="both"/>
        <w:rPr>
          <w:rFonts w:ascii="Times New Roman" w:hAnsi="Times New Roman"/>
          <w:noProof/>
          <w:sz w:val="24"/>
        </w:rPr>
      </w:pPr>
      <w:r>
        <w:rPr>
          <w:rFonts w:ascii="Times New Roman" w:hAnsi="Times New Roman"/>
          <w:sz w:val="24"/>
        </w:rPr>
        <w:t>3) likt dalībvalstīm uzņemties vadību un izstrādāt konkrētu programmu kopīgai rīcībai, kas stiprinātu bioekonomikas jomu attīstību ES kopumā un dalībvalstīs;</w:t>
      </w:r>
    </w:p>
    <w:p w14:paraId="142AAAEF" w14:textId="77777777" w:rsidR="0083515C" w:rsidRPr="00DF28F7" w:rsidRDefault="0083515C" w:rsidP="007B0ACE">
      <w:pPr>
        <w:jc w:val="both"/>
        <w:rPr>
          <w:rFonts w:ascii="Times New Roman" w:eastAsia="Verdana" w:hAnsi="Times New Roman" w:cs="Verdana"/>
          <w:noProof/>
          <w:sz w:val="24"/>
          <w:szCs w:val="16"/>
        </w:rPr>
      </w:pPr>
    </w:p>
    <w:p w14:paraId="43EC43FA" w14:textId="77777777" w:rsidR="0083515C" w:rsidRPr="00DF28F7" w:rsidRDefault="007B0ACE" w:rsidP="007B0ACE">
      <w:pPr>
        <w:pStyle w:val="BodyText"/>
        <w:tabs>
          <w:tab w:val="left" w:pos="396"/>
        </w:tabs>
        <w:ind w:left="0"/>
        <w:jc w:val="both"/>
        <w:rPr>
          <w:rFonts w:ascii="Times New Roman" w:hAnsi="Times New Roman"/>
          <w:noProof/>
          <w:sz w:val="24"/>
        </w:rPr>
      </w:pPr>
      <w:r>
        <w:rPr>
          <w:rFonts w:ascii="Times New Roman" w:hAnsi="Times New Roman"/>
          <w:sz w:val="24"/>
        </w:rPr>
        <w:t>4) pildīt kanāla funkciju, lai sniegtu Eiropas Savienībai ieteikumus par turpmāko rīcību, balstoties uz pierādījumiem un ņemot vērā reģionālos un pilsētu aspektus.</w:t>
      </w:r>
    </w:p>
    <w:p w14:paraId="59F8ADA7" w14:textId="77777777" w:rsidR="0083515C" w:rsidRPr="00DF28F7" w:rsidRDefault="0083515C" w:rsidP="001F2648">
      <w:pPr>
        <w:jc w:val="both"/>
        <w:rPr>
          <w:rFonts w:ascii="Times New Roman" w:eastAsia="Verdana" w:hAnsi="Times New Roman" w:cs="Verdana"/>
          <w:noProof/>
          <w:sz w:val="24"/>
          <w:szCs w:val="16"/>
        </w:rPr>
      </w:pPr>
    </w:p>
    <w:p w14:paraId="342AC5B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u w:val="single"/>
        </w:rPr>
        <w:t>Šajā darbībā atbalstīs arī komunikācijas stratēģijas</w:t>
      </w:r>
      <w:r>
        <w:rPr>
          <w:rFonts w:ascii="Times New Roman" w:hAnsi="Times New Roman"/>
          <w:sz w:val="24"/>
        </w:rPr>
        <w:t>, lai vairotu izpratni par pasākumu ietekmi uz vidi, kā arī sociālekonomisko ietekmi uz visām bioekonomikas jomām un bioproduktiem.</w:t>
      </w:r>
    </w:p>
    <w:p w14:paraId="67F00CD1" w14:textId="77777777" w:rsidR="0083515C" w:rsidRPr="00DF28F7" w:rsidRDefault="0083515C" w:rsidP="001F2648">
      <w:pPr>
        <w:jc w:val="both"/>
        <w:rPr>
          <w:rFonts w:ascii="Times New Roman" w:eastAsia="Verdana" w:hAnsi="Times New Roman" w:cs="Verdana"/>
          <w:noProof/>
          <w:sz w:val="24"/>
          <w:szCs w:val="19"/>
        </w:rPr>
      </w:pPr>
    </w:p>
    <w:p w14:paraId="7F289A1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Lai pāreja uz bioekonomiku noritētu veiksmīgi, ir pamatīgi jāmaina gan ekonomikas piedāvājums, gan pieprasījums. No pieprasījuma viedokļa šajā pārveides procesā liela nozīme ir patērētājiem un viņu rīcībai. Kā liecina vairāki pētījumi</w:t>
      </w:r>
      <w:r w:rsidR="007B0ACE">
        <w:rPr>
          <w:rStyle w:val="FootnoteReference"/>
          <w:rFonts w:ascii="Times New Roman" w:hAnsi="Times New Roman"/>
          <w:noProof/>
          <w:sz w:val="24"/>
        </w:rPr>
        <w:footnoteReference w:id="280"/>
      </w:r>
      <w:r>
        <w:rPr>
          <w:rFonts w:ascii="Times New Roman" w:hAnsi="Times New Roman"/>
          <w:sz w:val="24"/>
        </w:rPr>
        <w:t>, patērētāju informētība un zināšanas ir būtisks faktors, kas nosaka atbildīgu patēriņa uzvedību. Turklāt informētības palielināšana ir svarīga, lai paātrinātu bioekonomikas stratēģiju īstenošanu valsts, reģionālā un kopienas līmenī, kā arī ļautu iedzīvotājiem paust savu viedokli un sniegt atgriezenisko saiti par jautājumiem, kas saistīti ar bioekonomiku, piemēram, izmantojot ES pilsoņu iniciatīvu instrumentu.</w:t>
      </w:r>
    </w:p>
    <w:p w14:paraId="53AD7C30" w14:textId="77777777" w:rsidR="0083515C" w:rsidRPr="00DF28F7" w:rsidRDefault="0083515C" w:rsidP="001F2648">
      <w:pPr>
        <w:jc w:val="both"/>
        <w:rPr>
          <w:rFonts w:ascii="Times New Roman" w:hAnsi="Times New Roman"/>
          <w:noProof/>
          <w:sz w:val="24"/>
        </w:rPr>
      </w:pPr>
    </w:p>
    <w:p w14:paraId="4182310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Bioekonomikas stratēģijas 2012. gada pārskatā secināts, ka “(..)</w:t>
      </w:r>
      <w:r>
        <w:rPr>
          <w:rFonts w:ascii="Times New Roman" w:hAnsi="Times New Roman"/>
          <w:i/>
          <w:iCs/>
          <w:sz w:val="24"/>
        </w:rPr>
        <w:t>vairāki ES finansēti pētniecības un inovācijas projekti ir veicinājuši bioproduktu tirgu attīstību (..), cita starpā pievēršoties standartu izstrādei, izpratnes veidošanai un publiskajam iepirkumam</w:t>
      </w:r>
      <w:r>
        <w:rPr>
          <w:rFonts w:ascii="Times New Roman" w:hAnsi="Times New Roman"/>
          <w:sz w:val="24"/>
        </w:rPr>
        <w:t>”. Tomēr, kā liecina sabiedriskā apspriešana par Ceļvedi paziņojumam, ar ko atjaunina 2012. gada Eiropas Bioekonomikas stratēģiju</w:t>
      </w:r>
      <w:r w:rsidR="007B0ACE">
        <w:rPr>
          <w:rStyle w:val="FootnoteReference"/>
          <w:rFonts w:ascii="Times New Roman" w:hAnsi="Times New Roman"/>
          <w:noProof/>
          <w:sz w:val="24"/>
        </w:rPr>
        <w:footnoteReference w:id="281"/>
      </w:r>
      <w:r>
        <w:rPr>
          <w:rFonts w:ascii="Times New Roman" w:hAnsi="Times New Roman"/>
          <w:sz w:val="24"/>
        </w:rPr>
        <w:t>, sabiedrības informētības un zināšanu palielināšana par visām bioekonomikas jomām joprojām ir viens no galvenajiem uzdevumiem, ko Eiropas Komisija vēlas risināt, atbalstot komunikācijas iniciatīvas, lai veidotu izpratni par bioekonomikas un bioproduktu ietekmi uz vidi un to sociālekonomisko ietekmi, kā arī to sniegtajiem ieguvumiem, piemēram, vairāk videi nekaitīgu darbavietu.</w:t>
      </w:r>
    </w:p>
    <w:p w14:paraId="3AA0A3FA" w14:textId="77777777" w:rsidR="0083515C" w:rsidRPr="00DF28F7" w:rsidRDefault="0083515C" w:rsidP="001F2648">
      <w:pPr>
        <w:jc w:val="both"/>
        <w:rPr>
          <w:rFonts w:ascii="Times New Roman" w:eastAsia="Verdana" w:hAnsi="Times New Roman" w:cs="Verdana"/>
          <w:noProof/>
          <w:sz w:val="24"/>
          <w:szCs w:val="19"/>
        </w:rPr>
      </w:pPr>
    </w:p>
    <w:p w14:paraId="3FBF890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Tāpēc šī darbība stiprinās Eiropas Bioekonomikas tīklu, t. i., projektu un iniciatīvu tīklu, ko pašlaik finansē Eiropas Komisija, lai veicinātu, informētu un atbalstītu visas bioekonomikas nozares valsts, reģionālajā un vietējā līmenī. Eiropas Bioekonomikas tīklā ietilpstošie projekti noteiks kopīgu konsolidētu komunikācijas pasākumu rīcības plānu, lai uzsāktu vai stiprinātu esošās sinerģijas un maksimāli palielinātu iespējas popularizēt bioekonomiku, kā arī palielinātu šādas rīcības ietekmi.</w:t>
      </w:r>
    </w:p>
    <w:p w14:paraId="31F7EDBD" w14:textId="77777777" w:rsidR="00CF10CD" w:rsidRPr="00DF28F7" w:rsidRDefault="00CF10CD" w:rsidP="001F2648">
      <w:pPr>
        <w:jc w:val="both"/>
        <w:rPr>
          <w:rFonts w:ascii="Times New Roman" w:eastAsia="Verdana" w:hAnsi="Times New Roman" w:cs="Verdana"/>
          <w:noProof/>
          <w:sz w:val="24"/>
          <w:szCs w:val="13"/>
        </w:rPr>
      </w:pPr>
    </w:p>
    <w:p w14:paraId="0F68479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Paredzams, ka Eiropas Bioekonomikas tīkla komunikācijas pasākumi notiks vismaz reizi gadā ne tikai tajās valstīs/reģionos, kur pieņemta bioekonomikas stratēģija, bet arī tur, kur bioekonomikas potenciāls vēl netiek izmantots. Šī darbība papildinās esošās Eiropas platformas (piemēram, Pilsētprogrammu, Aprites ekonomikas platformu un Eiropas lauku attīstības tīklu), dalībvalstu tīklus un ES fondu atbalstītos projektus vai programmas.</w:t>
      </w:r>
    </w:p>
    <w:p w14:paraId="2E8F8D8D" w14:textId="77777777" w:rsidR="0083515C" w:rsidRPr="00DF28F7" w:rsidRDefault="0083515C" w:rsidP="001F2648">
      <w:pPr>
        <w:jc w:val="both"/>
        <w:rPr>
          <w:rFonts w:ascii="Times New Roman" w:eastAsia="Verdana" w:hAnsi="Times New Roman" w:cs="Verdana"/>
          <w:noProof/>
          <w:sz w:val="24"/>
          <w:szCs w:val="19"/>
        </w:rPr>
      </w:pPr>
    </w:p>
    <w:p w14:paraId="54363350" w14:textId="77777777" w:rsidR="0083515C" w:rsidRPr="007B0ACE" w:rsidRDefault="0083515C" w:rsidP="007B0ACE">
      <w:pPr>
        <w:pStyle w:val="BodyText"/>
        <w:ind w:left="0"/>
        <w:jc w:val="both"/>
        <w:rPr>
          <w:rFonts w:ascii="Times New Roman" w:hAnsi="Times New Roman"/>
          <w:noProof/>
          <w:sz w:val="24"/>
        </w:rPr>
      </w:pPr>
      <w:r>
        <w:rPr>
          <w:rFonts w:ascii="Times New Roman" w:hAnsi="Times New Roman"/>
          <w:sz w:val="24"/>
        </w:rPr>
        <w:t xml:space="preserve">Šīs darbības mērķis ir ne tikai dalīties ar informāciju un labu praksi, bet arī iesaistīt visus dalībniekus, lai ar komunikācijas un iesaistes pasākumiem (pasākumiem un pielāgotām kampaņām) valsts, reģionālā un kopienas līmenī popularizētu visas bioekonomikas nozares un bioproduktus. Tās pamatā būs nozares komunikācijas pasākumi, un tā ietvers iedzīvotāju </w:t>
      </w:r>
      <w:r>
        <w:rPr>
          <w:rFonts w:ascii="Times New Roman" w:hAnsi="Times New Roman"/>
          <w:sz w:val="24"/>
        </w:rPr>
        <w:lastRenderedPageBreak/>
        <w:t>iesaisti, veidojot izpratni un izglītojot par ilgtspējīgu ražošanu, patēriņu un dzīvesveidu.</w:t>
      </w:r>
    </w:p>
    <w:p w14:paraId="3E5B5CC7" w14:textId="77777777" w:rsidR="00CF10CD" w:rsidRPr="00DF28F7" w:rsidRDefault="00CF10CD" w:rsidP="001F2648">
      <w:pPr>
        <w:jc w:val="both"/>
        <w:rPr>
          <w:rFonts w:ascii="Times New Roman" w:eastAsia="Verdana" w:hAnsi="Times New Roman" w:cs="Verdana"/>
          <w:noProof/>
          <w:sz w:val="24"/>
          <w:szCs w:val="20"/>
        </w:rPr>
      </w:pPr>
    </w:p>
    <w:p w14:paraId="52031A87" w14:textId="77777777" w:rsidR="0083515C" w:rsidRPr="00DF28F7" w:rsidRDefault="0083515C" w:rsidP="001F2648">
      <w:pPr>
        <w:jc w:val="both"/>
        <w:rPr>
          <w:rFonts w:ascii="Times New Roman" w:eastAsia="Verdana" w:hAnsi="Times New Roman" w:cs="Verdana"/>
          <w:noProof/>
          <w:sz w:val="24"/>
          <w:szCs w:val="19"/>
        </w:rPr>
      </w:pPr>
    </w:p>
    <w:p w14:paraId="5C1D9DE2" w14:textId="77777777" w:rsidR="0083515C" w:rsidRPr="007B0ACE" w:rsidRDefault="0083515C" w:rsidP="001F2648">
      <w:pPr>
        <w:jc w:val="both"/>
        <w:rPr>
          <w:rFonts w:ascii="Times New Roman" w:hAnsi="Times New Roman"/>
          <w:i/>
          <w:iCs/>
          <w:noProof/>
          <w:sz w:val="24"/>
        </w:rPr>
      </w:pPr>
      <w:r>
        <w:rPr>
          <w:rFonts w:ascii="Times New Roman" w:hAnsi="Times New Roman"/>
          <w:i/>
          <w:sz w:val="24"/>
        </w:rPr>
        <w:t>3.2.4. Veicināt izglītību, apmācību un prasmes visā bioekonomikā</w:t>
      </w:r>
    </w:p>
    <w:p w14:paraId="773ED611" w14:textId="77777777" w:rsidR="00CF10CD" w:rsidRPr="00DF28F7" w:rsidRDefault="00CF10CD"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B0ACE" w14:paraId="35FE08A9" w14:textId="77777777" w:rsidTr="007B0ACE">
        <w:tc>
          <w:tcPr>
            <w:tcW w:w="9288" w:type="dxa"/>
          </w:tcPr>
          <w:p w14:paraId="40A74AC1" w14:textId="77777777" w:rsidR="007B0ACE" w:rsidRPr="007B0ACE" w:rsidRDefault="007B0ACE" w:rsidP="007B0ACE">
            <w:pPr>
              <w:jc w:val="both"/>
              <w:rPr>
                <w:rFonts w:ascii="Times New Roman" w:eastAsia="Times New Roman" w:hAnsi="Times New Roman" w:cs="Times New Roman"/>
                <w:i/>
                <w:iCs/>
                <w:noProof/>
                <w:sz w:val="24"/>
                <w:szCs w:val="19"/>
              </w:rPr>
            </w:pPr>
            <w:r>
              <w:rPr>
                <w:rFonts w:ascii="Times New Roman" w:hAnsi="Times New Roman"/>
                <w:i/>
                <w:sz w:val="24"/>
              </w:rPr>
              <w:t>Šajā darbībā atbalstīs izglītības un apmācības pakalpojumu sniedzēju, kā arī darba tirgus dalībnieku tīklu veidošanu bioekonomikā, lai izstrādātu tādu izglītības un apmācības saturu, kas atbilst ieinteresēto pušu un nozaru dažādajām vajadzībām (“Apvārsnis 2020” un “Erasmus+” nozaru prasmju alianses). Dalībvalstis tiek aicinātas savās izglītības un mācību sistēmās integrēt īpašas mācību un apmācības programmas bioekonomikas jomās.</w:t>
            </w:r>
          </w:p>
          <w:p w14:paraId="6CEB9C43" w14:textId="77777777" w:rsidR="007B0ACE" w:rsidRPr="007B0ACE" w:rsidRDefault="007B0ACE" w:rsidP="007B0ACE">
            <w:pPr>
              <w:jc w:val="both"/>
              <w:rPr>
                <w:rFonts w:ascii="Times New Roman" w:eastAsia="Times New Roman" w:hAnsi="Times New Roman" w:cs="Times New Roman"/>
                <w:i/>
                <w:iCs/>
                <w:noProof/>
                <w:sz w:val="24"/>
                <w:szCs w:val="20"/>
              </w:rPr>
            </w:pPr>
          </w:p>
          <w:p w14:paraId="25D6A17D" w14:textId="77777777" w:rsidR="007B0ACE" w:rsidRPr="007B0ACE" w:rsidRDefault="007B0ACE" w:rsidP="001F2648">
            <w:pPr>
              <w:jc w:val="both"/>
              <w:rPr>
                <w:rFonts w:ascii="Times New Roman" w:eastAsia="Times New Roman" w:hAnsi="Times New Roman" w:cs="Times New Roman"/>
                <w:i/>
                <w:iCs/>
                <w:noProof/>
                <w:sz w:val="24"/>
                <w:szCs w:val="19"/>
              </w:rPr>
            </w:pPr>
            <w:r>
              <w:rPr>
                <w:rFonts w:ascii="Times New Roman" w:hAnsi="Times New Roman"/>
                <w:i/>
                <w:sz w:val="24"/>
              </w:rPr>
              <w:t>Rādītāji. Atjaunināta un pieejama informācija par profesionālajām prasmēm konkrētā nozarē; pārskatīti un atjaunināti Eiropas profesionālie “pamatprofili”; ja nepieciešams, izstrādāti jauni profesionālie pamatprofili; atjauninātas profesionālās pamatprogrammas un mācīšanas/apmācības metodes; ja nepieciešams, izstrādātas jaunas profesionālās pamatprogrammas; valstu profesionālās izglītības sistēmās integrētas profesionālās pamatprogrammas un mācīšanas/apmācības metodes; ar bioekonomiku saistītos apmācības un izglītības projektos iesaistīto pētnieku skaits; atbalstīto tīklu/programmu skaits (nozaru prasmju alianses, CSA, EIC ekosistēmas).</w:t>
            </w:r>
          </w:p>
        </w:tc>
      </w:tr>
    </w:tbl>
    <w:p w14:paraId="6D9F0379" w14:textId="77777777" w:rsidR="00150DA1" w:rsidRPr="00DF28F7" w:rsidRDefault="00150DA1" w:rsidP="001F2648">
      <w:pPr>
        <w:jc w:val="both"/>
        <w:rPr>
          <w:rFonts w:ascii="Times New Roman" w:eastAsia="Times New Roman" w:hAnsi="Times New Roman" w:cs="Times New Roman"/>
          <w:noProof/>
          <w:sz w:val="24"/>
          <w:szCs w:val="18"/>
        </w:rPr>
      </w:pPr>
    </w:p>
    <w:p w14:paraId="08552F1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Eiropas Bioekonomikas stratēģijas 2017. gada pārskatā tika uzsvērts, ka “(..)</w:t>
      </w:r>
      <w:r>
        <w:rPr>
          <w:rFonts w:ascii="Times New Roman" w:hAnsi="Times New Roman"/>
          <w:i/>
          <w:iCs/>
          <w:sz w:val="24"/>
        </w:rPr>
        <w:t xml:space="preserve"> lai gan ir pieliktas pūles, lai stiprinātu cilvēka spējas bioekonomikas jomā, stratēģijas un īstenoto darbību piemērošanas joma un apjoms joprojām ir ierobežots (piemēram, arodmācības lielākoties nenotiek, un šis jautājums ir jārisina, lai nodrošinātu darbaspēku bioekonomikā, piemēram, jūrniecības nozarē, kur ir veikti pasākumi šā jautājuma risināšanai)</w:t>
      </w:r>
      <w:r>
        <w:rPr>
          <w:rFonts w:ascii="Times New Roman" w:hAnsi="Times New Roman"/>
          <w:sz w:val="24"/>
        </w:rPr>
        <w:t>”.</w:t>
      </w:r>
    </w:p>
    <w:p w14:paraId="46FD7CF9" w14:textId="77777777" w:rsidR="0083515C" w:rsidRPr="00DF28F7" w:rsidRDefault="0083515C" w:rsidP="001F2648">
      <w:pPr>
        <w:jc w:val="both"/>
        <w:rPr>
          <w:rFonts w:ascii="Times New Roman" w:eastAsia="Verdana" w:hAnsi="Times New Roman" w:cs="Verdana"/>
          <w:noProof/>
          <w:sz w:val="24"/>
          <w:szCs w:val="19"/>
        </w:rPr>
      </w:pPr>
    </w:p>
    <w:p w14:paraId="05B02597" w14:textId="77777777" w:rsidR="0083515C" w:rsidRPr="007B0ACE" w:rsidRDefault="0083515C" w:rsidP="001F2648">
      <w:pPr>
        <w:pStyle w:val="BodyText"/>
        <w:ind w:left="0"/>
        <w:jc w:val="both"/>
        <w:rPr>
          <w:rFonts w:ascii="Times New Roman" w:hAnsi="Times New Roman"/>
          <w:noProof/>
          <w:sz w:val="24"/>
        </w:rPr>
      </w:pPr>
      <w:r>
        <w:rPr>
          <w:rFonts w:ascii="Times New Roman" w:hAnsi="Times New Roman"/>
          <w:sz w:val="24"/>
        </w:rPr>
        <w:t>Piemēram, ES lauksaimniecības nozarē kopumā ir zemāks apmācības un izglītības līmenis nekā citās ekonomikas nozarēs. Vairāk nekā 40 % lauksaimniecības nozarē nodarbināto 2016. gadā bija pabeiguši tikai zemu izglītības līmeni, un šis īpatsvars bija 18 % no kopējā strādājošo skaita.</w:t>
      </w:r>
      <w:r w:rsidR="007B0ACE">
        <w:rPr>
          <w:rStyle w:val="FootnoteReference"/>
          <w:rFonts w:ascii="Times New Roman" w:hAnsi="Times New Roman"/>
          <w:noProof/>
          <w:sz w:val="24"/>
        </w:rPr>
        <w:footnoteReference w:id="282"/>
      </w:r>
      <w:r>
        <w:rPr>
          <w:rFonts w:ascii="Times New Roman" w:hAnsi="Times New Roman"/>
          <w:sz w:val="24"/>
        </w:rPr>
        <w:t xml:space="preserve"> Turklāt atsevišķi pierādījumi liecina, ka pat esošo koksnes piegādes līmeni uz koksnes resursiem balstītā rūpniecībā būs grūti vai pat neiespējami saglabāt, ja netiks pieņemti jauni darbinieki kvalificēto, bet attiecīgu vecumu sasniegušo darbinieku vietā koksnes piegādes jomā (piemēram, tehnisko darbinieku, atbalsta inženieru, apkalpojošo darbinieku vietā).</w:t>
      </w:r>
      <w:r w:rsidR="00096ECF">
        <w:rPr>
          <w:rStyle w:val="FootnoteReference"/>
          <w:rFonts w:ascii="Times New Roman" w:hAnsi="Times New Roman"/>
          <w:noProof/>
          <w:sz w:val="24"/>
        </w:rPr>
        <w:footnoteReference w:id="283"/>
      </w:r>
    </w:p>
    <w:p w14:paraId="519ED01F" w14:textId="77777777" w:rsidR="0083515C" w:rsidRPr="00DF28F7" w:rsidRDefault="0083515C" w:rsidP="001F2648">
      <w:pPr>
        <w:jc w:val="both"/>
        <w:rPr>
          <w:rFonts w:ascii="Times New Roman" w:eastAsia="Verdana" w:hAnsi="Times New Roman" w:cs="Verdana"/>
          <w:noProof/>
          <w:sz w:val="24"/>
          <w:szCs w:val="19"/>
        </w:rPr>
      </w:pPr>
    </w:p>
    <w:p w14:paraId="54A30CED"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Tomēr papildus arodmācībām bioekonomikas darba tirgum būs nepieciešami visa veida profesionāļi, tostarp tādi, kuriem ir daudznozaru, vadības un starpnozaru zināšanas, kas iegūtas augstākās izglītības sistēmā. Piemēram, ir nepieciešami arī absolventi, kuriem ir gan padziļinātas zināšanas kādā konkrētā jomā (piemēram, inženierzinātnēs, ekoloģijā, agronomijā, pārtikas sistēmās un pārtikas zinātnē, sociālajās zinātnēs, ekonomikā utt.), gan izpratne par plašāku bioekonomiku, kā arī atbalsta un jaunajām jomām (informācijas un komunikācijas tehnoloģijas, robotika, attālā izpēte, jauni materiāli utt.).</w:t>
      </w:r>
    </w:p>
    <w:p w14:paraId="0E33CDDF" w14:textId="77777777" w:rsidR="0083515C" w:rsidRPr="00DF28F7" w:rsidRDefault="0083515C" w:rsidP="001F2648">
      <w:pPr>
        <w:jc w:val="both"/>
        <w:rPr>
          <w:rFonts w:ascii="Times New Roman" w:eastAsia="Verdana" w:hAnsi="Times New Roman" w:cs="Verdana"/>
          <w:noProof/>
          <w:sz w:val="24"/>
          <w:szCs w:val="19"/>
        </w:rPr>
      </w:pPr>
    </w:p>
    <w:p w14:paraId="746D9B7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Visbeidzot, uzņēmējdarbības stimulēšana bioekonomikā būs galvenais faktors vietējās attīstības veicināšanai Eiropas reģionos un pilsētās. Daudzgadu finanšu shēmas, kā arī Eiropas Inovācijas padomei paredzēto pasākumu ietvaros tiks atbalstīta apmācība uzņēmējdarbības prasmju jomā, piemēram, piedāvājot potenciālu bioekonomikas inovācijas nometni </w:t>
      </w:r>
      <w:r>
        <w:rPr>
          <w:rFonts w:ascii="Times New Roman" w:hAnsi="Times New Roman"/>
          <w:sz w:val="24"/>
        </w:rPr>
        <w:lastRenderedPageBreak/>
        <w:t>pētniekiem. Šā pasākuma ietvaros jāiepazīstina ar uzņēmējdarbības praksi un jaunām uzņēmējdarbības pieejām, pierādījumiem par bioloģiskās daudzveidības un ekosistēmu uzlabošanu, kā arī pozitīvas sinerģijas piemēriem ar vietējām kopienām un uz bioekonomiku un ekosistēmām balstītiem principiem, kā arī jāparedz mācību komandējumi pie pusēm, kuras saskaras ar problēmām (uzņēmumiem, teritorijām, aizsargājamajām teritorijām), kā arī darbs grupās problēmas risināšanai, izmantojot disciplināras un starpdisciplināras zināšanas.</w:t>
      </w:r>
    </w:p>
    <w:p w14:paraId="2BF1C13B" w14:textId="77777777" w:rsidR="0083515C" w:rsidRPr="00DF28F7" w:rsidRDefault="0083515C" w:rsidP="001F2648">
      <w:pPr>
        <w:jc w:val="both"/>
        <w:rPr>
          <w:rFonts w:ascii="Times New Roman" w:eastAsia="Verdana" w:hAnsi="Times New Roman" w:cs="Verdana"/>
          <w:noProof/>
          <w:sz w:val="24"/>
          <w:szCs w:val="19"/>
        </w:rPr>
      </w:pPr>
    </w:p>
    <w:p w14:paraId="748EB34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Prasmju programmā, kas tika uzsākta 2016. gadā, jau pievēršas nepieciešamībai nodrošināt vairākas prasmes, kurām ir izšķiroša nozīme bioekonomikā un mazoglekļa ekonomikā. Piemēram, Digitālo prasmju un arodu koalīcija un Plāns nozaru sadarbībai prasmju jomā pievēršas jautājumam par digitālajām un ekoloģiskajām prasmēm. Daži plānā ietvertie projekti sniedz arī vērtīgu informāciju par prasmēm, kas iegūtas no bioekonomikas nozarēm, tostarp jūrniecības nozares. ES jau ir nodrošinājusi ievērojamu finansējumu prasmēm laikposmā no 2014. līdz 2020. gadam. No Eiropas Sociālā fonda budžeta vairāk nekā 27 miljardi </w:t>
      </w:r>
      <w:r>
        <w:rPr>
          <w:rFonts w:ascii="Times New Roman" w:hAnsi="Times New Roman"/>
          <w:i/>
          <w:iCs/>
          <w:sz w:val="24"/>
        </w:rPr>
        <w:t>euro</w:t>
      </w:r>
      <w:r>
        <w:rPr>
          <w:rFonts w:ascii="Times New Roman" w:hAnsi="Times New Roman"/>
          <w:sz w:val="24"/>
        </w:rPr>
        <w:t xml:space="preserve"> tika piešķirti “izglītībai, apmācībai un arodmācībai prasmju un mūžizglītības jomā”, un ievērojama daļa no tiem tika novirzīta digitālajām prasmēm. Tā ir trešā daļa no ESF resursiem. Tajā pašā laikposmā ar programmu “Erasmus+”, kuras budžets ir 11,4 miljardi </w:t>
      </w:r>
      <w:r>
        <w:rPr>
          <w:rFonts w:ascii="Times New Roman" w:hAnsi="Times New Roman"/>
          <w:i/>
          <w:iCs/>
          <w:sz w:val="24"/>
        </w:rPr>
        <w:t>euro</w:t>
      </w:r>
      <w:r>
        <w:rPr>
          <w:rFonts w:ascii="Times New Roman" w:hAnsi="Times New Roman"/>
          <w:sz w:val="24"/>
        </w:rPr>
        <w:t>, tika atbalstīta izglītības un apmācības izstrāde.</w:t>
      </w:r>
    </w:p>
    <w:p w14:paraId="218153A9" w14:textId="77777777" w:rsidR="0083515C" w:rsidRPr="00DF28F7" w:rsidRDefault="0083515C" w:rsidP="001F2648">
      <w:pPr>
        <w:jc w:val="both"/>
        <w:rPr>
          <w:rFonts w:ascii="Times New Roman" w:eastAsia="Verdana" w:hAnsi="Times New Roman" w:cs="Verdana"/>
          <w:noProof/>
          <w:sz w:val="24"/>
          <w:szCs w:val="19"/>
        </w:rPr>
      </w:pPr>
    </w:p>
    <w:p w14:paraId="7973475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Ar šajā darbībā ierosinātajiem pasākumiem tiks nodrošināta tālāka profesionālā, augstākās izglītības un uzņēmējdarbības apmācība, lai uzlabotu nākamās bioekonomikā iesaistītā darbaspēka paaudzes prasmes. Savukārt dalībvalstis partnerībā ar ES tiks aicinātas augstākās un profesionālās izglītības programmās ietvert nepieciešamās bioekonomikas prasmes.</w:t>
      </w:r>
    </w:p>
    <w:p w14:paraId="5684E9B6" w14:textId="77777777" w:rsidR="0083515C" w:rsidRPr="00DF28F7" w:rsidRDefault="0083515C" w:rsidP="001F2648">
      <w:pPr>
        <w:jc w:val="both"/>
        <w:rPr>
          <w:rFonts w:ascii="Times New Roman" w:eastAsia="Verdana" w:hAnsi="Times New Roman" w:cs="Verdana"/>
          <w:noProof/>
          <w:sz w:val="24"/>
          <w:szCs w:val="20"/>
        </w:rPr>
      </w:pPr>
    </w:p>
    <w:p w14:paraId="4406D6F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Prasmju attīstību lauksaimniecības nozarē veicinās pasākumi </w:t>
      </w:r>
      <w:r>
        <w:rPr>
          <w:rFonts w:ascii="Times New Roman" w:hAnsi="Times New Roman"/>
          <w:i/>
          <w:iCs/>
          <w:sz w:val="24"/>
        </w:rPr>
        <w:t>EIP AGRI</w:t>
      </w:r>
      <w:r>
        <w:rPr>
          <w:rFonts w:ascii="Times New Roman" w:hAnsi="Times New Roman"/>
          <w:sz w:val="24"/>
        </w:rPr>
        <w:t xml:space="preserve"> ietvaros, kā arī Lauksaimniecības zināšanu un inovācijas sistēmu</w:t>
      </w:r>
      <w:r w:rsidR="00096ECF">
        <w:rPr>
          <w:rStyle w:val="FootnoteReference"/>
          <w:rFonts w:ascii="Times New Roman" w:hAnsi="Times New Roman"/>
          <w:noProof/>
          <w:sz w:val="24"/>
        </w:rPr>
        <w:footnoteReference w:id="284"/>
      </w:r>
      <w:r>
        <w:rPr>
          <w:rFonts w:ascii="Times New Roman" w:hAnsi="Times New Roman"/>
          <w:sz w:val="24"/>
        </w:rPr>
        <w:t xml:space="preserve"> attīstība. Turklāt “Bioekonomika, jaunās tehnoloģijas un inovācija lauksaimniecībā” būs viena no atbilstīgajām nozarēm, lai pēc “Erasmus+” 2019. gada aicinājuma ierosinātu izveidot plāna aliansi.</w:t>
      </w:r>
    </w:p>
    <w:p w14:paraId="55709DA3" w14:textId="77777777" w:rsidR="0083515C" w:rsidRPr="00DF28F7" w:rsidRDefault="0083515C" w:rsidP="001F2648">
      <w:pPr>
        <w:jc w:val="both"/>
        <w:rPr>
          <w:rFonts w:ascii="Times New Roman" w:eastAsia="Verdana" w:hAnsi="Times New Roman" w:cs="Verdana"/>
          <w:noProof/>
          <w:sz w:val="24"/>
          <w:szCs w:val="19"/>
        </w:rPr>
      </w:pPr>
    </w:p>
    <w:p w14:paraId="5C5C57F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u w:val="single"/>
        </w:rPr>
        <w:t>Šajā darbībā paredzēts</w:t>
      </w:r>
      <w:r>
        <w:rPr>
          <w:rFonts w:ascii="Times New Roman" w:hAnsi="Times New Roman"/>
          <w:sz w:val="24"/>
        </w:rPr>
        <w:t>:</w:t>
      </w:r>
    </w:p>
    <w:p w14:paraId="5DA8AD0C" w14:textId="77777777" w:rsidR="0083515C" w:rsidRPr="00DF28F7" w:rsidRDefault="0083515C" w:rsidP="001F2648">
      <w:pPr>
        <w:jc w:val="both"/>
        <w:rPr>
          <w:rFonts w:ascii="Times New Roman" w:eastAsia="Verdana" w:hAnsi="Times New Roman" w:cs="Verdana"/>
          <w:noProof/>
          <w:sz w:val="24"/>
          <w:szCs w:val="14"/>
        </w:rPr>
      </w:pPr>
    </w:p>
    <w:p w14:paraId="2B039647" w14:textId="77777777" w:rsidR="0083515C" w:rsidRPr="00DF28F7" w:rsidRDefault="00910298" w:rsidP="00910298">
      <w:pPr>
        <w:pStyle w:val="BodyText"/>
        <w:tabs>
          <w:tab w:val="left" w:pos="396"/>
        </w:tabs>
        <w:ind w:left="0"/>
        <w:jc w:val="both"/>
        <w:rPr>
          <w:rFonts w:ascii="Times New Roman" w:hAnsi="Times New Roman"/>
          <w:noProof/>
          <w:sz w:val="24"/>
        </w:rPr>
      </w:pPr>
      <w:r>
        <w:rPr>
          <w:rFonts w:ascii="Times New Roman" w:hAnsi="Times New Roman"/>
          <w:sz w:val="24"/>
        </w:rPr>
        <w:t>1) kartēt personāla struktūras un esošās prasmju kopas, kā arī tās, kas atbilstoši prognozēm būs nepieciešamas attiecīgajās bioekonomikas nozarēs laikposmam no 2030. līdz 2050. gadam;</w:t>
      </w:r>
    </w:p>
    <w:p w14:paraId="43A8F15E" w14:textId="77777777" w:rsidR="0083515C" w:rsidRPr="00DF28F7" w:rsidRDefault="0083515C" w:rsidP="00910298">
      <w:pPr>
        <w:jc w:val="both"/>
        <w:rPr>
          <w:rFonts w:ascii="Times New Roman" w:eastAsia="Verdana" w:hAnsi="Times New Roman" w:cs="Verdana"/>
          <w:noProof/>
          <w:sz w:val="24"/>
          <w:szCs w:val="16"/>
        </w:rPr>
      </w:pPr>
    </w:p>
    <w:p w14:paraId="4340793E" w14:textId="77777777" w:rsidR="0083515C" w:rsidRPr="00DF28F7" w:rsidRDefault="00910298" w:rsidP="00910298">
      <w:pPr>
        <w:pStyle w:val="BodyText"/>
        <w:tabs>
          <w:tab w:val="left" w:pos="396"/>
        </w:tabs>
        <w:ind w:left="0"/>
        <w:jc w:val="both"/>
        <w:rPr>
          <w:rFonts w:ascii="Times New Roman" w:hAnsi="Times New Roman"/>
          <w:noProof/>
          <w:sz w:val="24"/>
        </w:rPr>
      </w:pPr>
      <w:r>
        <w:rPr>
          <w:rFonts w:ascii="Times New Roman" w:hAnsi="Times New Roman"/>
          <w:sz w:val="24"/>
        </w:rPr>
        <w:t>2) atbalstīt turpmākos projektus saskaņā ar Plānu nozaru sadarbībai prasmju jomā</w:t>
      </w:r>
      <w:r>
        <w:rPr>
          <w:rStyle w:val="FootnoteReference"/>
          <w:rFonts w:ascii="Times New Roman" w:hAnsi="Times New Roman"/>
          <w:noProof/>
          <w:sz w:val="24"/>
        </w:rPr>
        <w:footnoteReference w:id="285"/>
      </w:r>
      <w:r>
        <w:rPr>
          <w:rFonts w:ascii="Times New Roman" w:hAnsi="Times New Roman"/>
          <w:sz w:val="24"/>
        </w:rPr>
        <w:t>, lai, iespējams, uzsāktu izmēģinājuma apmācības tīklu darbību, kā to, piemēram, paredz “Plāns uz ES koksnes resursiem balstītai rūpniecībai”.</w:t>
      </w:r>
      <w:r>
        <w:rPr>
          <w:rStyle w:val="FootnoteReference"/>
          <w:rFonts w:ascii="Times New Roman" w:hAnsi="Times New Roman"/>
          <w:noProof/>
          <w:sz w:val="24"/>
        </w:rPr>
        <w:footnoteReference w:id="286"/>
      </w:r>
      <w:r>
        <w:rPr>
          <w:rFonts w:ascii="Times New Roman" w:hAnsi="Times New Roman"/>
          <w:sz w:val="24"/>
        </w:rPr>
        <w:t xml:space="preserve"> ES programmas “Erasmus+” ietvaros, īstenojot plānu, varētu izsludināt uzaicinājumus iesniegt priekšlikumus nozaru prasmju aliansēm, lai tādējādi novērstu prasmju neatbilstību un nepilnības bioekonomikas nozarēs;</w:t>
      </w:r>
    </w:p>
    <w:p w14:paraId="1B780E0D" w14:textId="77777777" w:rsidR="0083515C" w:rsidRPr="00DF28F7" w:rsidRDefault="0083515C" w:rsidP="00910298">
      <w:pPr>
        <w:jc w:val="both"/>
        <w:rPr>
          <w:rFonts w:ascii="Times New Roman" w:eastAsia="Verdana" w:hAnsi="Times New Roman" w:cs="Verdana"/>
          <w:noProof/>
          <w:sz w:val="24"/>
          <w:szCs w:val="17"/>
        </w:rPr>
      </w:pPr>
    </w:p>
    <w:p w14:paraId="67BFC9FC" w14:textId="77777777" w:rsidR="0083515C" w:rsidRPr="00DF28F7" w:rsidRDefault="00910298" w:rsidP="00910298">
      <w:pPr>
        <w:pStyle w:val="BodyText"/>
        <w:tabs>
          <w:tab w:val="left" w:pos="396"/>
        </w:tabs>
        <w:ind w:left="0"/>
        <w:jc w:val="both"/>
        <w:rPr>
          <w:rFonts w:ascii="Times New Roman" w:hAnsi="Times New Roman"/>
          <w:noProof/>
          <w:sz w:val="24"/>
        </w:rPr>
      </w:pPr>
      <w:r>
        <w:rPr>
          <w:rFonts w:ascii="Times New Roman" w:hAnsi="Times New Roman"/>
          <w:sz w:val="24"/>
        </w:rPr>
        <w:t>3) sniegt jaunāko informāciju par prasmēm saistībā ar profesijām bioekonomikā un konkrētiem profesiju pamatprofiliem, balstoties uz kuriem tiks atjauninātas bioekonomikas profesionālās pamatprogrammas, kā arī mācīšanas un apmācības metodes, un tiks izveidotas jaunas profesionālās pamatprogrammas bioekonomikas jomā;</w:t>
      </w:r>
    </w:p>
    <w:p w14:paraId="43B4AA67" w14:textId="77777777" w:rsidR="0083515C" w:rsidRPr="00DF28F7" w:rsidRDefault="0083515C" w:rsidP="00910298">
      <w:pPr>
        <w:jc w:val="both"/>
        <w:rPr>
          <w:rFonts w:ascii="Times New Roman" w:eastAsia="Verdana" w:hAnsi="Times New Roman" w:cs="Verdana"/>
          <w:noProof/>
          <w:sz w:val="24"/>
          <w:szCs w:val="16"/>
        </w:rPr>
      </w:pPr>
    </w:p>
    <w:p w14:paraId="04FA13CE" w14:textId="77777777" w:rsidR="0083515C" w:rsidRPr="00DF28F7" w:rsidRDefault="00910298" w:rsidP="00910298">
      <w:pPr>
        <w:pStyle w:val="BodyText"/>
        <w:tabs>
          <w:tab w:val="left" w:pos="396"/>
        </w:tabs>
        <w:ind w:left="0"/>
        <w:jc w:val="both"/>
        <w:rPr>
          <w:rFonts w:ascii="Times New Roman" w:hAnsi="Times New Roman"/>
          <w:noProof/>
          <w:sz w:val="24"/>
        </w:rPr>
      </w:pPr>
      <w:r>
        <w:rPr>
          <w:rFonts w:ascii="Times New Roman" w:hAnsi="Times New Roman"/>
          <w:sz w:val="24"/>
        </w:rPr>
        <w:t xml:space="preserve">4) izveidot talantīgu uzņēmēju un novatoru atbalsta kanālu, kā arī veicināt uzņēmējdarbības </w:t>
      </w:r>
      <w:r>
        <w:rPr>
          <w:rFonts w:ascii="Times New Roman" w:hAnsi="Times New Roman"/>
          <w:sz w:val="24"/>
        </w:rPr>
        <w:lastRenderedPageBreak/>
        <w:t xml:space="preserve">garu un kultūru bioekonomikā, izmantojot </w:t>
      </w:r>
      <w:r>
        <w:rPr>
          <w:rFonts w:ascii="Times New Roman" w:hAnsi="Times New Roman"/>
          <w:i/>
          <w:iCs/>
          <w:sz w:val="24"/>
        </w:rPr>
        <w:t>EIT ZIK</w:t>
      </w:r>
      <w:r>
        <w:rPr>
          <w:rFonts w:ascii="Times New Roman" w:hAnsi="Times New Roman"/>
          <w:sz w:val="24"/>
        </w:rPr>
        <w:t xml:space="preserve"> ieguldījumu (jo īpaši </w:t>
      </w:r>
      <w:r>
        <w:rPr>
          <w:rFonts w:ascii="Times New Roman" w:hAnsi="Times New Roman"/>
          <w:i/>
          <w:iCs/>
          <w:sz w:val="24"/>
        </w:rPr>
        <w:t>EIT Rawmaterials,</w:t>
      </w:r>
      <w:r>
        <w:rPr>
          <w:rFonts w:ascii="Times New Roman" w:hAnsi="Times New Roman"/>
          <w:sz w:val="24"/>
        </w:rPr>
        <w:t xml:space="preserve"> </w:t>
      </w:r>
      <w:r>
        <w:rPr>
          <w:rFonts w:ascii="Times New Roman" w:hAnsi="Times New Roman"/>
          <w:i/>
          <w:iCs/>
          <w:sz w:val="24"/>
        </w:rPr>
        <w:t>EIT Food</w:t>
      </w:r>
      <w:r>
        <w:rPr>
          <w:rFonts w:ascii="Times New Roman" w:hAnsi="Times New Roman"/>
          <w:sz w:val="24"/>
        </w:rPr>
        <w:t xml:space="preserve">, </w:t>
      </w:r>
      <w:r>
        <w:rPr>
          <w:rFonts w:ascii="Times New Roman" w:hAnsi="Times New Roman"/>
          <w:i/>
          <w:iCs/>
          <w:sz w:val="24"/>
        </w:rPr>
        <w:t>EIT climate</w:t>
      </w:r>
      <w:r>
        <w:rPr>
          <w:rFonts w:ascii="Times New Roman" w:hAnsi="Times New Roman"/>
          <w:sz w:val="24"/>
        </w:rPr>
        <w:t xml:space="preserve"> ZIK un </w:t>
      </w:r>
      <w:r>
        <w:rPr>
          <w:rFonts w:ascii="Times New Roman" w:hAnsi="Times New Roman"/>
          <w:i/>
          <w:iCs/>
          <w:sz w:val="24"/>
        </w:rPr>
        <w:t>EIT InnoEnergy</w:t>
      </w:r>
      <w:r>
        <w:rPr>
          <w:rFonts w:ascii="Times New Roman" w:hAnsi="Times New Roman"/>
          <w:sz w:val="24"/>
        </w:rPr>
        <w:t>);</w:t>
      </w:r>
    </w:p>
    <w:p w14:paraId="08D665E9" w14:textId="77777777" w:rsidR="0083515C" w:rsidRPr="00DF28F7" w:rsidRDefault="0083515C" w:rsidP="00910298">
      <w:pPr>
        <w:jc w:val="both"/>
        <w:rPr>
          <w:rFonts w:ascii="Times New Roman" w:eastAsia="Verdana" w:hAnsi="Times New Roman" w:cs="Verdana"/>
          <w:noProof/>
          <w:sz w:val="24"/>
          <w:szCs w:val="16"/>
        </w:rPr>
      </w:pPr>
    </w:p>
    <w:p w14:paraId="2410453B" w14:textId="77777777" w:rsidR="0083515C" w:rsidRPr="00DF28F7" w:rsidRDefault="00910298" w:rsidP="00910298">
      <w:pPr>
        <w:pStyle w:val="BodyText"/>
        <w:tabs>
          <w:tab w:val="left" w:pos="396"/>
        </w:tabs>
        <w:ind w:left="0"/>
        <w:jc w:val="both"/>
        <w:rPr>
          <w:rFonts w:ascii="Times New Roman" w:hAnsi="Times New Roman"/>
          <w:noProof/>
          <w:sz w:val="24"/>
        </w:rPr>
      </w:pPr>
      <w:r>
        <w:rPr>
          <w:rFonts w:ascii="Times New Roman" w:hAnsi="Times New Roman"/>
          <w:sz w:val="24"/>
        </w:rPr>
        <w:t>5) apsvērt iespēju atbalstīt sadarbības tīklus, iesaistot gan akadēmiskās izglītības iestādes (augstākās izglītības iestādes), kurās piedāvā vai tiek gatavotas bioekonomikas bakalaura grāda, maģistra grāda un/vai doktora grāda studiju programmas, gan arī privāto sektoru. Tas var palīdzēt apkopot un apmainīties ar labāko praksi, kā arī sakārtot informāciju bioekonomikas mācību programmu izstrādei augstākajā izglītībā.</w:t>
      </w:r>
    </w:p>
    <w:p w14:paraId="1F3CBB02" w14:textId="77777777" w:rsidR="0083515C" w:rsidRPr="00DF28F7" w:rsidRDefault="0083515C" w:rsidP="001F2648">
      <w:pPr>
        <w:jc w:val="both"/>
        <w:rPr>
          <w:rFonts w:ascii="Times New Roman" w:eastAsia="Verdana" w:hAnsi="Times New Roman" w:cs="Verdana"/>
          <w:noProof/>
          <w:sz w:val="24"/>
          <w:szCs w:val="18"/>
        </w:rPr>
      </w:pPr>
    </w:p>
    <w:p w14:paraId="77DEF5A5" w14:textId="77777777" w:rsidR="0083515C" w:rsidRPr="00DF28F7" w:rsidRDefault="0083515C" w:rsidP="001F2648">
      <w:pPr>
        <w:jc w:val="both"/>
        <w:rPr>
          <w:rFonts w:ascii="Times New Roman" w:eastAsia="Verdana" w:hAnsi="Times New Roman" w:cs="Verdana"/>
          <w:noProof/>
          <w:sz w:val="24"/>
          <w:szCs w:val="19"/>
        </w:rPr>
      </w:pPr>
    </w:p>
    <w:p w14:paraId="3F82A471" w14:textId="77777777" w:rsidR="0083515C" w:rsidRPr="00910298" w:rsidRDefault="00910298" w:rsidP="00910298">
      <w:pPr>
        <w:pStyle w:val="Heading2"/>
        <w:tabs>
          <w:tab w:val="left" w:pos="692"/>
        </w:tabs>
        <w:ind w:left="0" w:firstLine="0"/>
        <w:jc w:val="both"/>
        <w:rPr>
          <w:i/>
          <w:iCs/>
          <w:noProof/>
          <w:sz w:val="24"/>
        </w:rPr>
      </w:pPr>
      <w:bookmarkStart w:id="25" w:name="_Toc63672643"/>
      <w:r>
        <w:rPr>
          <w:i/>
          <w:sz w:val="24"/>
        </w:rPr>
        <w:t xml:space="preserve">3.3. </w:t>
      </w:r>
      <w:bookmarkStart w:id="26" w:name="_TOC_250000"/>
      <w:r>
        <w:rPr>
          <w:i/>
          <w:sz w:val="24"/>
        </w:rPr>
        <w:t>Bioekonomikas ekoloģisko robežu izprašana</w:t>
      </w:r>
      <w:bookmarkEnd w:id="26"/>
      <w:bookmarkEnd w:id="25"/>
    </w:p>
    <w:p w14:paraId="11EB534D" w14:textId="77777777" w:rsidR="0083515C" w:rsidRPr="00DF28F7" w:rsidRDefault="0083515C" w:rsidP="001F2648">
      <w:pPr>
        <w:jc w:val="both"/>
        <w:rPr>
          <w:rFonts w:ascii="Times New Roman" w:eastAsia="Times New Roman" w:hAnsi="Times New Roman" w:cs="Times New Roman"/>
          <w:noProof/>
          <w:sz w:val="24"/>
          <w:szCs w:val="20"/>
        </w:rPr>
      </w:pPr>
    </w:p>
    <w:p w14:paraId="0BE7790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Turpmāk minēto darbību mērķis ir stiprināt sauszemes un jūras ekosistēmu noturību, nodrošinot to devumu klimata pārmaiņu mazināšanā, kā arī uzlabojot to bioloģisko daudzveidību. Turklāt tām jāpalīdz mums ieviest ilgtspējīgas, aprites un bezatkritumu pārtikas sistēmas, kā arī mobilizēt bioloģisko resursu pilnu potenciālu no primārās ražošanas uz sauszemes un jūrā. Tiks risināts arī jautājums par bioekonomikas nozaru savstarpējās saiknes veicināšanu, ietverot uz bioresursiem balstīto sektoru. Tas atbilst nepieciešamībai nodrošināt to, ka Eiropas bioekonomika funkcionē mūsu planētas robežās, turklāt ir saskaņā ar visiem stratēģijā izvirzītajiem mērķiem.</w:t>
      </w:r>
    </w:p>
    <w:p w14:paraId="4A1BDDE2" w14:textId="77777777" w:rsidR="00CF10CD" w:rsidRPr="00DF28F7" w:rsidRDefault="00CF10CD" w:rsidP="001F2648">
      <w:pPr>
        <w:jc w:val="both"/>
        <w:rPr>
          <w:rFonts w:ascii="Times New Roman" w:eastAsia="Verdana" w:hAnsi="Times New Roman" w:cs="Verdana"/>
          <w:noProof/>
          <w:sz w:val="24"/>
          <w:szCs w:val="13"/>
        </w:rPr>
      </w:pPr>
    </w:p>
    <w:p w14:paraId="2A1C121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Uz vidi, dabas resursiem, ekosistēmām un bioloģisko daudzveidību tiek izdarīts liels spiediens pasaules un vietējā mērogā (sk. 2.2. punktu). Tāpēc bioekonomika ir jāattīsta tā, lai tā palīdzētu samazināt spiedienu uz vidi, novērtētu bioloģisko daudzveidību un palīdzētu uzlabot visu ekosistēmu pakalpojumu sniegšanu. Lai saglabātu dabas devumu cilvēcei, ir jāuztur veselīga planēta un noturīgas ekosistēmas, kā arī jānodrošina dabas resursu efektīva izmantošana, bioloģiskās daudzveidības saglabāšana un ilgtspējīga apsaimniekošana. Tomēr Eiropas bioloģiskā daudzveidība pastāvīgi samazinās.</w:t>
      </w:r>
    </w:p>
    <w:p w14:paraId="11EF319C" w14:textId="77777777" w:rsidR="0083515C" w:rsidRPr="00DF28F7" w:rsidRDefault="0083515C" w:rsidP="001F2648">
      <w:pPr>
        <w:jc w:val="both"/>
        <w:rPr>
          <w:rFonts w:ascii="Times New Roman" w:eastAsia="Verdana" w:hAnsi="Times New Roman" w:cs="Verdana"/>
          <w:noProof/>
          <w:sz w:val="24"/>
          <w:szCs w:val="19"/>
        </w:rPr>
      </w:pPr>
    </w:p>
    <w:p w14:paraId="204EF010"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Tādēļ ir jānodrošina, ka jebkurā laikā ir pieejami nepieciešamie dati, informācija un zināšanas, lai vērtētu, vai novēroto norišu virziens ir pareizs, un prognozētu, vai iespējamās darbības varētu sekmēt vēlamās tendences.</w:t>
      </w:r>
    </w:p>
    <w:p w14:paraId="0F5C46BE" w14:textId="77777777" w:rsidR="0083515C" w:rsidRPr="00DF28F7" w:rsidRDefault="0083515C" w:rsidP="001F2648">
      <w:pPr>
        <w:jc w:val="both"/>
        <w:rPr>
          <w:rFonts w:ascii="Times New Roman" w:eastAsia="Verdana" w:hAnsi="Times New Roman" w:cs="Verdana"/>
          <w:noProof/>
          <w:sz w:val="24"/>
          <w:szCs w:val="19"/>
        </w:rPr>
      </w:pPr>
    </w:p>
    <w:p w14:paraId="6212B1F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Šīm darbībām jāuzlabo zināšanu bāze (dati, informācija un slēptās zināšanas) par visām bioekonomikas jomām un uz nākotni vērsta kapacitāte (modelēšana, prognozēšanas pasākumi, scenāriji), kas ir būtiski elementi, lai sniegtu nepieciešamos pierādījumus politikas veidotāju atbalstīšanai un politikas saskaņotības nodrošināšanai. Turklāt ir jāīsteno visaptveroša uzraudzība, lai politikas veidotājiem nodrošinātu pārredzamus un saskaņotus aprakstus (visā ES un laika gaitā) par bioekonomikas vides, sociālās un ekonomiskās dimensijas izmaiņu statusu un līkni. Eiropas Komisija un tās padomdevējas iestādes, kā arī vispārējā zinātnieku kopiena jau ir paveikušas nozīmīgu darbu šajā jomā.</w:t>
      </w:r>
      <w:r w:rsidR="00723119">
        <w:rPr>
          <w:rStyle w:val="FootnoteReference"/>
          <w:rFonts w:ascii="Times New Roman" w:hAnsi="Times New Roman"/>
          <w:noProof/>
          <w:sz w:val="24"/>
        </w:rPr>
        <w:footnoteReference w:id="287"/>
      </w:r>
      <w:r>
        <w:rPr>
          <w:rFonts w:ascii="Times New Roman" w:hAnsi="Times New Roman"/>
          <w:sz w:val="24"/>
        </w:rPr>
        <w:t xml:space="preserve"> Turklāt, kā noteikts rīcības plānā, kas pievienots 2012. gada Eiropas Bioekonomikas stratēģijai, Kopīgais pētniecības centrs 2013. gadā izveidoja Bioekonomikas novērošanas centru, lai sniegtu datus un informāciju par pašreizējo bioekonomiku.</w:t>
      </w:r>
      <w:r w:rsidR="00723119">
        <w:rPr>
          <w:rStyle w:val="FootnoteReference"/>
          <w:rFonts w:ascii="Times New Roman" w:hAnsi="Times New Roman"/>
          <w:noProof/>
          <w:sz w:val="24"/>
        </w:rPr>
        <w:footnoteReference w:id="288"/>
      </w:r>
      <w:r>
        <w:rPr>
          <w:rFonts w:ascii="Times New Roman" w:hAnsi="Times New Roman"/>
          <w:sz w:val="24"/>
        </w:rPr>
        <w:t xml:space="preserve"> To 2017. gadā integrēja Komisijas Bioekonomikas zināšanu centrā</w:t>
      </w:r>
      <w:r w:rsidR="00723119">
        <w:rPr>
          <w:rStyle w:val="FootnoteReference"/>
          <w:rFonts w:ascii="Times New Roman" w:hAnsi="Times New Roman"/>
          <w:noProof/>
          <w:sz w:val="24"/>
        </w:rPr>
        <w:footnoteReference w:id="289"/>
      </w:r>
      <w:r>
        <w:rPr>
          <w:rFonts w:ascii="Times New Roman" w:hAnsi="Times New Roman"/>
          <w:sz w:val="24"/>
        </w:rPr>
        <w:t xml:space="preserve">, ko koordinēja Kopīgais pētniecības centrs. Komisijas Bioekonomikas zināšanu </w:t>
      </w:r>
      <w:r>
        <w:rPr>
          <w:rFonts w:ascii="Times New Roman" w:hAnsi="Times New Roman"/>
          <w:sz w:val="24"/>
        </w:rPr>
        <w:lastRenderedPageBreak/>
        <w:t>centrs apkopo, strukturē un dara pieejamus no dažādiem avotiem iegūtus datus un informāciju par bioekonomiku, apkopojot zināšanas un pieredzi, kas nepieciešamas, lai novērtētu bioekonomikas statusu, progresu un ietekmi. Tas izstrādā un padara pieejamus tālredzīgus instrumentus un prognozēšanas pasākumu rezultātus. Īstenojot šīs darbības, reaģēs uz nepieciešamību uzraudzīt un informēt par virzību uz ilgtspējīgu bioekonomiku, tālāk veidojot un izplatot zināšanas par bioekonomiku. Tādējādi tiks nodrošināta informācija politikas veidošanai un sniegts atbalsts visu stratēģijā izvirzīto mērķu īstenošanai, jo uzlabota zināšanu bāze ir būtiska, lai sekmētu politikas saskaņotību (t. i., starpnozaru un starppolitisku) un sasniegtu bioekonomikas mērķus. Svarīgi nodrošināt, ka bioloģiskos resursus izmanto atbilstoši to ilgtspējības robežvērtībām, lai tie varētu atjaunoties, un ka ekosistēmas netiek izmantotas pārmērīgi, piemēram, pārsniedzot īpašu ekosistēmu pakalpojumu sniegšanas spēju. Būtu jāizpēta ar bioekonomikas attīstību saistītās iespējas, kompromisi un iespējamie riski, jo īpaši attiecībā uz ekosistēmu pakalpojumiem un bioloģisko daudzveidību. Būtu jāpilnveido zināšanas par dažādu ekosistēmu – gan sauszemes, gan jūras – pakalpojumu sinerģiju un kompromisiem, kā arī par to, kā saimniecisko darbību un sociālās vajadzības saskaņot ar ekosistēmu ilgtspējīgu apsaimniekošanu, primāro ražošanu un bioloģisko daudzveidību. Būtu jāgūst zināšanas par riskiem un iespējām saistībā ar bioloģisko resursu izmantošanu, ilgtspējības robežvērtībām un bioloģiskās daudzveidības vērtībām (tostarp ekonomiskajām, kultūras un raksturīgajām vērtībām). Piesaistot vietējās kopienas un ieinteresētās puses, jāizstrādā inovatīvi risinājumi, jauni uzņēmējdarbības modeļi un alternatīvas vērtības ķēdes, kuru centrā ir bioloģiskie resursi, ekosistēmas un bioloģiskā daudzveidība.</w:t>
      </w:r>
    </w:p>
    <w:p w14:paraId="0241A9B2" w14:textId="77777777" w:rsidR="0083515C" w:rsidRPr="00DF28F7" w:rsidRDefault="0083515C" w:rsidP="001F2648">
      <w:pPr>
        <w:jc w:val="both"/>
        <w:rPr>
          <w:rFonts w:ascii="Times New Roman" w:eastAsia="Verdana" w:hAnsi="Times New Roman" w:cs="Verdana"/>
          <w:noProof/>
          <w:sz w:val="24"/>
          <w:szCs w:val="18"/>
        </w:rPr>
      </w:pPr>
    </w:p>
    <w:p w14:paraId="2C17D32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Bioloģiskās daudzveidības stratēģijas starpposma pārskatā</w:t>
      </w:r>
      <w:r w:rsidR="00723119">
        <w:rPr>
          <w:rStyle w:val="FootnoteReference"/>
          <w:rFonts w:ascii="Times New Roman" w:hAnsi="Times New Roman"/>
          <w:noProof/>
          <w:sz w:val="24"/>
        </w:rPr>
        <w:footnoteReference w:id="290"/>
      </w:r>
      <w:r>
        <w:rPr>
          <w:rFonts w:ascii="Times New Roman" w:hAnsi="Times New Roman"/>
          <w:sz w:val="24"/>
        </w:rPr>
        <w:t xml:space="preserve"> tika konstatēti būtiski zināšanu un datu trūkumi, jo īpaši attiecībā uz jūras ekosistēmām, ekosistēmu veselību un noturību. Lai izprastu bioekonomikas ietekmi uz sauszemi un jūru, ir jāuzlabo novērošanas, mērījumu, uzraudzības un ziņošanas spējas. Labāki ieskati un labāka datu vākšana un pārvaldība var būt kā pamats tam, lai aktīvi pārvaldītu bioloģiskos resursus un jūras vides ekosistēmas. Ekosistēmu uzskaite var atspoguļot galveno ekosistēmu stāvokli, to spēju nodrošināt ilgtspējīgus pakalpojumus, kā arī to devumu ilgtspējīgā bioekonomikā.</w:t>
      </w:r>
    </w:p>
    <w:p w14:paraId="290C4F92" w14:textId="77777777" w:rsidR="0083515C" w:rsidRPr="00DF28F7" w:rsidRDefault="0083515C" w:rsidP="001F2648">
      <w:pPr>
        <w:jc w:val="both"/>
        <w:rPr>
          <w:rFonts w:ascii="Times New Roman" w:hAnsi="Times New Roman"/>
          <w:noProof/>
          <w:sz w:val="24"/>
        </w:rPr>
      </w:pPr>
    </w:p>
    <w:p w14:paraId="58555AB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Nesen ES un tās dalībvalstis uzsāka īstenot iniciatīvas, lai sekmēto globālos apputeksnētāju aizsardzības centienus.</w:t>
      </w:r>
      <w:r w:rsidR="00723119">
        <w:rPr>
          <w:rStyle w:val="FootnoteReference"/>
          <w:rFonts w:ascii="Times New Roman" w:hAnsi="Times New Roman"/>
          <w:noProof/>
          <w:sz w:val="24"/>
        </w:rPr>
        <w:footnoteReference w:id="291"/>
      </w:r>
      <w:r>
        <w:rPr>
          <w:rFonts w:ascii="Times New Roman" w:hAnsi="Times New Roman"/>
          <w:sz w:val="24"/>
        </w:rPr>
        <w:t xml:space="preserve"> Šajā ziņā bioekonomikas rīcības plāns var palīdzēt, tostarp šādi: labāk izprast, kāpēc uzņēmumi ir atkarīgi no apputeksnētājiem, un integrēt to riska pārvaldības stratēģijās, jo īpaši attiecībā uz tiem, kuri atrodas augstāk biomasas ķēdē; veidot attiecīgo bioekonomikas nozaru izpratni par apputeksnētāju nozīmi; veicināt to iesaistīšanos zināšanu bāzes uzlabošanā un uzraudzības pasākumu atbalstīšanā saistībā ar apputeksnētājiem un apputeksnēšanas pakalpojumu.</w:t>
      </w:r>
    </w:p>
    <w:p w14:paraId="5D854384" w14:textId="77777777" w:rsidR="0083515C" w:rsidRPr="00DF28F7" w:rsidRDefault="0083515C" w:rsidP="001F2648">
      <w:pPr>
        <w:jc w:val="both"/>
        <w:rPr>
          <w:rFonts w:ascii="Times New Roman" w:eastAsia="Verdana" w:hAnsi="Times New Roman" w:cs="Verdana"/>
          <w:noProof/>
          <w:sz w:val="24"/>
          <w:szCs w:val="18"/>
        </w:rPr>
      </w:pPr>
    </w:p>
    <w:p w14:paraId="5C7C0B8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Jaunākie galvenie atklājumi par mikrobiomiem</w:t>
      </w:r>
      <w:r w:rsidR="00723119">
        <w:rPr>
          <w:rStyle w:val="FootnoteReference"/>
          <w:rFonts w:ascii="Times New Roman" w:hAnsi="Times New Roman"/>
          <w:noProof/>
          <w:sz w:val="24"/>
        </w:rPr>
        <w:footnoteReference w:id="292"/>
      </w:r>
      <w:r>
        <w:rPr>
          <w:rFonts w:ascii="Times New Roman" w:hAnsi="Times New Roman"/>
          <w:sz w:val="24"/>
        </w:rPr>
        <w:t xml:space="preserve"> sniedz iespēju uzlabot primārās ražošanas un pārtikas sistēmas, aizsargāt mūsu kultūraugus, atjaunot un labāk pārvaldīt augsni, uzlabot cilvēku un planētas veselību, kā arī rast jaunus, ilgtspējīgus risinājumus un ekonomiskās iespējas bioekonomikas izaugsmei, vienlaikus saglabājot mūsu ekosistēmām raksturīgo vērtību un bioloģisko daudzveidību. Atzīstot mikrobiomu lielo nozīmi, starptautiskā sabiedrība ir aicinājusi izstrādāt globālu iniciatīvu mikrobiomu jautājumā.</w:t>
      </w:r>
      <w:r w:rsidR="00723119">
        <w:rPr>
          <w:rStyle w:val="FootnoteReference"/>
          <w:rFonts w:ascii="Times New Roman" w:hAnsi="Times New Roman"/>
          <w:noProof/>
          <w:sz w:val="24"/>
        </w:rPr>
        <w:footnoteReference w:id="293"/>
      </w:r>
      <w:r>
        <w:rPr>
          <w:rFonts w:ascii="Times New Roman" w:hAnsi="Times New Roman"/>
          <w:sz w:val="24"/>
        </w:rPr>
        <w:t xml:space="preserve"> Eiropas Komisijas un vairāku tās starptautisko partneru 2017. gadā izveidotajā Starptautiskajā </w:t>
      </w:r>
      <w:r>
        <w:rPr>
          <w:rFonts w:ascii="Times New Roman" w:hAnsi="Times New Roman"/>
          <w:sz w:val="24"/>
        </w:rPr>
        <w:lastRenderedPageBreak/>
        <w:t>Bioekonomikas forumā ir izveidota darba grupa mikrobiomu jautājumā, kura plāno turpmākus sadarbības pasākumus, lai mikrobiomu potenciālu izmantotu ilgtspējīgas bioekonomikas mērķiem.</w:t>
      </w:r>
    </w:p>
    <w:p w14:paraId="1DD2F517" w14:textId="77777777" w:rsidR="0083515C" w:rsidRPr="00DF28F7" w:rsidRDefault="0083515C" w:rsidP="001F2648">
      <w:pPr>
        <w:jc w:val="both"/>
        <w:rPr>
          <w:rFonts w:ascii="Times New Roman" w:eastAsia="Verdana" w:hAnsi="Times New Roman" w:cs="Verdana"/>
          <w:noProof/>
          <w:sz w:val="24"/>
          <w:szCs w:val="20"/>
        </w:rPr>
      </w:pPr>
    </w:p>
    <w:p w14:paraId="41112BED" w14:textId="77777777" w:rsidR="00CF10CD" w:rsidRPr="00DF28F7" w:rsidRDefault="00CF10CD" w:rsidP="001F2648">
      <w:pPr>
        <w:jc w:val="both"/>
        <w:rPr>
          <w:rFonts w:ascii="Times New Roman" w:eastAsia="Verdana" w:hAnsi="Times New Roman" w:cs="Verdana"/>
          <w:noProof/>
          <w:sz w:val="24"/>
          <w:szCs w:val="13"/>
        </w:rPr>
      </w:pPr>
    </w:p>
    <w:p w14:paraId="4ACF0242" w14:textId="77777777" w:rsidR="0083515C" w:rsidRPr="00723119" w:rsidRDefault="0083515C" w:rsidP="001F2648">
      <w:pPr>
        <w:jc w:val="both"/>
        <w:rPr>
          <w:rFonts w:ascii="Times New Roman" w:hAnsi="Times New Roman"/>
          <w:i/>
          <w:iCs/>
          <w:noProof/>
          <w:sz w:val="24"/>
        </w:rPr>
      </w:pPr>
      <w:r>
        <w:rPr>
          <w:rFonts w:ascii="Times New Roman" w:hAnsi="Times New Roman"/>
          <w:i/>
          <w:sz w:val="24"/>
        </w:rPr>
        <w:t>3.3.1. Uzlabot zināšanas par bioekonomiku, arī par bioloģisko daudzveidību un ekosistēmām, izvērst to drošās ekoloģiskās robežās un darīt to pieejamu, izmantojot Bioekonomikas zināšanu centru</w:t>
      </w:r>
    </w:p>
    <w:p w14:paraId="02966BAE" w14:textId="77777777" w:rsidR="0083515C" w:rsidRPr="00DF28F7" w:rsidRDefault="0083515C" w:rsidP="001F2648">
      <w:pPr>
        <w:jc w:val="both"/>
        <w:rPr>
          <w:rFonts w:ascii="Times New Roman" w:eastAsia="Times New Roman" w:hAnsi="Times New Roman" w:cs="Times New Roman"/>
          <w:noProof/>
          <w:sz w:val="24"/>
          <w:szCs w:val="8"/>
        </w:rPr>
      </w:pPr>
    </w:p>
    <w:p w14:paraId="5FADB38C" w14:textId="77777777" w:rsidR="0083515C" w:rsidRPr="00723119" w:rsidRDefault="00723119" w:rsidP="00723119">
      <w:pPr>
        <w:pStyle w:val="BodyText"/>
        <w:tabs>
          <w:tab w:val="left" w:pos="331"/>
        </w:tabs>
        <w:ind w:left="0"/>
        <w:jc w:val="both"/>
        <w:rPr>
          <w:rFonts w:ascii="Times New Roman" w:hAnsi="Times New Roman"/>
          <w:i/>
          <w:iCs/>
          <w:noProof/>
          <w:sz w:val="24"/>
          <w:u w:val="single" w:color="000000"/>
        </w:rPr>
      </w:pPr>
      <w:r>
        <w:rPr>
          <w:rFonts w:ascii="Times New Roman" w:hAnsi="Times New Roman"/>
          <w:i/>
          <w:sz w:val="24"/>
          <w:u w:val="single" w:color="000000"/>
        </w:rPr>
        <w:t>i) Uzlabot informāciju un zināšanu bāzi par bioekonomiku, tostarp par ilgtspējīgu biomasas piedāvājumu un pieprasījumu, un tālredzīgiem starpnozaru novērtējumiem un padarīt to pieejamu, izmantojot Bioekonomikas zināšanu centru</w:t>
      </w:r>
    </w:p>
    <w:p w14:paraId="25CDEAB0"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23119" w14:paraId="0AD620E3" w14:textId="77777777" w:rsidTr="00723119">
        <w:tc>
          <w:tcPr>
            <w:tcW w:w="9288" w:type="dxa"/>
          </w:tcPr>
          <w:p w14:paraId="67B130D6" w14:textId="77777777" w:rsidR="00723119" w:rsidRPr="00723119" w:rsidRDefault="00723119" w:rsidP="00723119">
            <w:pPr>
              <w:jc w:val="both"/>
              <w:rPr>
                <w:rFonts w:ascii="Times New Roman" w:hAnsi="Times New Roman"/>
                <w:i/>
                <w:iCs/>
                <w:noProof/>
                <w:sz w:val="24"/>
              </w:rPr>
            </w:pPr>
            <w:r>
              <w:rPr>
                <w:rFonts w:ascii="Times New Roman" w:hAnsi="Times New Roman"/>
                <w:i/>
                <w:sz w:val="24"/>
              </w:rPr>
              <w:t>Šajā darbībā turpinās uzlabot bioekonomikas zināšanu bāzi, ko publiski izplatīs, izmantojot Bioekonomikas zināšanu centru (Knowledge Centre for Bioeconomy – KCB). Darbības pamatā būs instrumenti un metodes, tostarp Kopīgā pētniecības centra izstrādātās metodes, ar ko risina jautājumu par ilgtspējīgas biomasas pieejamību un ļauj arī veikt tālredzīgu politikas analīzi, īpašu uzmanību pievēršot ilgtspējībai un kompromisiem (“Apvārsnis 2020” un priekšlikums programmai “Apvārsnis Eiropa”).</w:t>
            </w:r>
          </w:p>
          <w:p w14:paraId="13AB65D9" w14:textId="77777777" w:rsidR="00723119" w:rsidRPr="00723119" w:rsidRDefault="00723119" w:rsidP="00723119">
            <w:pPr>
              <w:jc w:val="both"/>
              <w:rPr>
                <w:rFonts w:ascii="Times New Roman" w:eastAsia="Times New Roman" w:hAnsi="Times New Roman" w:cs="Times New Roman"/>
                <w:i/>
                <w:iCs/>
                <w:noProof/>
                <w:sz w:val="24"/>
                <w:szCs w:val="20"/>
              </w:rPr>
            </w:pPr>
          </w:p>
          <w:p w14:paraId="316F0316" w14:textId="77777777" w:rsidR="00723119" w:rsidRPr="00723119" w:rsidRDefault="00723119" w:rsidP="001F2648">
            <w:pPr>
              <w:jc w:val="both"/>
              <w:rPr>
                <w:rFonts w:ascii="Times New Roman" w:hAnsi="Times New Roman"/>
                <w:i/>
                <w:iCs/>
                <w:noProof/>
                <w:sz w:val="24"/>
              </w:rPr>
            </w:pPr>
            <w:r>
              <w:rPr>
                <w:rFonts w:ascii="Times New Roman" w:hAnsi="Times New Roman"/>
                <w:i/>
                <w:sz w:val="24"/>
              </w:rPr>
              <w:t>Rādītāji. Standarta bibliogrāfiskie rādītāji (tostarp rakstu skaits salīdzinoši izvērtētos žurnālos); publicētie tehniskie ziņojumi; izplatītās publikācijas (tostarp ar Bioekonomikas zināšanu centra starpniecību un konferencēs).</w:t>
            </w:r>
          </w:p>
        </w:tc>
      </w:tr>
    </w:tbl>
    <w:p w14:paraId="53B8594A" w14:textId="77777777" w:rsidR="0083515C" w:rsidRPr="00DF28F7" w:rsidRDefault="0083515C" w:rsidP="001F2648">
      <w:pPr>
        <w:jc w:val="both"/>
        <w:rPr>
          <w:rFonts w:ascii="Times New Roman" w:eastAsia="Times New Roman" w:hAnsi="Times New Roman" w:cs="Times New Roman"/>
          <w:noProof/>
          <w:sz w:val="24"/>
          <w:szCs w:val="16"/>
        </w:rPr>
      </w:pPr>
    </w:p>
    <w:p w14:paraId="624647E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Atbilstoši termina definīcijai ievadā bioekonomika ir ļoti sarežģīta sistēma, kurā ir daudz mijiedarbojošos elementu un ieinteresēto pušu. Tās potenciāla iespējamā realizācija lielā mērā ir atkarīga no daudziem vietējiem un globāliem faktoriem, tostarp no bioekonomikas darbības ietekmes uz vidi un sociālekonomisko sistēmu.</w:t>
      </w:r>
    </w:p>
    <w:p w14:paraId="3D40F821" w14:textId="77777777" w:rsidR="0083515C" w:rsidRPr="00DF28F7" w:rsidRDefault="0083515C" w:rsidP="001F2648">
      <w:pPr>
        <w:jc w:val="both"/>
        <w:rPr>
          <w:rFonts w:ascii="Times New Roman" w:eastAsia="Verdana" w:hAnsi="Times New Roman" w:cs="Verdana"/>
          <w:noProof/>
          <w:sz w:val="24"/>
          <w:szCs w:val="19"/>
        </w:rPr>
      </w:pPr>
    </w:p>
    <w:p w14:paraId="007BDEF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Lai nodrošinātu, ka bioekonomikas darbība atbilst planētas robežām, visupirms ir stingri jānovērtē visu avotu nodrošinātās biomasas ilgtspējīgas ražošanas un izmantošanas apjoms, veidi, īpašības un ietekme. Ietekme ietver zemes izmantošanas (un tās maiņas) ietekmi uz bioloģisko daudzveidību un citiem ekosistēmām būtiskiem parametriem uz sauszemes un jūrā, kā arī uz vietējām, reģionālām un dažkārt globālām sociālekonomiskām sistēmām. Tādējādi būtiska nozīme ir konkurencei un sinerģijai starp uz bioresursiem balstītām nozarēm (pārtiku un citām uz bioresursiem balstītām nozarēm). Šo savstarpējo atkarību var labi vizualizēt ar biomasas plūsmām, kurās jāiekļauj blakusprodukti un atliekas.</w:t>
      </w:r>
    </w:p>
    <w:p w14:paraId="2B253618" w14:textId="77777777" w:rsidR="0083515C" w:rsidRPr="00DF28F7" w:rsidRDefault="0083515C" w:rsidP="001F2648">
      <w:pPr>
        <w:jc w:val="both"/>
        <w:rPr>
          <w:rFonts w:ascii="Times New Roman" w:eastAsia="Verdana" w:hAnsi="Times New Roman" w:cs="Verdana"/>
          <w:noProof/>
          <w:sz w:val="24"/>
          <w:szCs w:val="19"/>
        </w:rPr>
      </w:pPr>
    </w:p>
    <w:p w14:paraId="4D990F6F"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Labāka izpratne par sauszemes un ūdens ekosistēmu stāvokli, biomasas pieprasījumu, piegādi un to virzītājspēkiem, izmaksām un ar tām saistīto ietekmi (ekonomikas, vides un sociālo) palīdzētu labāk izprast sinerģijas un iespējamos kompromisus starp dažādajiem biomasas izmantošanas veidiem attiecībā uz klimata pārmaiņu mazināšanu, nodrošinātību ar pārtiku, izejvielām un energoapgādes drošību, dabas kapitāla saglabāšanu, kohēziju, tirdzniecību, vides pakalpojumiem utt.</w:t>
      </w:r>
    </w:p>
    <w:p w14:paraId="03F1FD11" w14:textId="77777777" w:rsidR="0083515C" w:rsidRPr="00DF28F7" w:rsidRDefault="0083515C" w:rsidP="001F2648">
      <w:pPr>
        <w:jc w:val="both"/>
        <w:rPr>
          <w:rFonts w:ascii="Times New Roman" w:eastAsia="Verdana" w:hAnsi="Times New Roman" w:cs="Verdana"/>
          <w:noProof/>
          <w:sz w:val="24"/>
          <w:szCs w:val="19"/>
        </w:rPr>
      </w:pPr>
    </w:p>
    <w:p w14:paraId="758627F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Atsevišķi izvērtējot katras uz bioresursiem balstītās nozares īpašās vajadzības un neņemot vērā visu bioekonomikas sistēmu kopumā, varētu nonākt pie nepareiziem secinājumiem. Apkopojot dažādu nozaru vajadzības, bet neņemot vērā to mijiedarbību, var rasties pārmērīga izmantošana (kas, iespējams, saasina klimata pārmaiņas, kā arī samazina pārtikas nodrošinājumu un palielina vides degradāciju) vai nepietiekama pieejamo dabas resursu </w:t>
      </w:r>
      <w:r>
        <w:rPr>
          <w:rFonts w:ascii="Times New Roman" w:hAnsi="Times New Roman"/>
          <w:sz w:val="24"/>
        </w:rPr>
        <w:lastRenderedPageBreak/>
        <w:t>izmantošana (kuru dēļ var zaudēt ekonomiskās iespējas, kā arī iespējas mazināt klimata pārmaiņas un pielāgošanos tām, aizstāt neatjaunojamos resursus utt.).</w:t>
      </w:r>
    </w:p>
    <w:p w14:paraId="36B88181" w14:textId="77777777" w:rsidR="00CF10CD" w:rsidRPr="00DF28F7" w:rsidRDefault="00CF10CD" w:rsidP="001F2648">
      <w:pPr>
        <w:jc w:val="both"/>
        <w:rPr>
          <w:rFonts w:ascii="Times New Roman" w:hAnsi="Times New Roman"/>
          <w:noProof/>
          <w:sz w:val="24"/>
        </w:rPr>
      </w:pPr>
    </w:p>
    <w:p w14:paraId="5F4D0A0D"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Izstrādājot datus, modeļus un analīzi par ES un pasaules biomasas plūsmām un to ilgtspējību, Kopīgais pētniecības centrs jau ir palīdzējis uzlabot kopējo zināšanu bāzi par biomasas piedāvājumu un pieprasījumu.</w:t>
      </w:r>
      <w:r w:rsidR="00723119">
        <w:rPr>
          <w:rStyle w:val="FootnoteReference"/>
          <w:rFonts w:ascii="Times New Roman" w:hAnsi="Times New Roman"/>
          <w:noProof/>
          <w:sz w:val="24"/>
        </w:rPr>
        <w:footnoteReference w:id="294"/>
      </w:r>
      <w:r>
        <w:rPr>
          <w:rFonts w:ascii="Times New Roman" w:hAnsi="Times New Roman"/>
          <w:sz w:val="24"/>
        </w:rPr>
        <w:t xml:space="preserve"> Turklāt Kopīgais pētniecības centrs veica pētījumus par tiešas un netiešas zemes izmantošanas ietekmi, ko rada pieaugošais pieprasījums pēc dažādām biomasas izejvielām. Lai gan dažās jomās (atkritumi, bioprodukti) trūkst datu, ir panākts ievērojams progress attiecībā uz dažādiem piedāvājuma un pieprasījuma scenārijiem un to ekonomisko un sociālo ietekmi un ietekmi uz vidi. Kopīgais pētniecības centrs ir izstrādājis arī instrumentus, kas ļauj veikt tālredzīgu politikas analīzi, īpašu uzmanību pievēršot kompromisiem.</w:t>
      </w:r>
      <w:r w:rsidR="00723119">
        <w:rPr>
          <w:rStyle w:val="FootnoteReference"/>
          <w:rFonts w:ascii="Times New Roman" w:hAnsi="Times New Roman"/>
          <w:noProof/>
          <w:sz w:val="24"/>
        </w:rPr>
        <w:footnoteReference w:id="295"/>
      </w:r>
    </w:p>
    <w:p w14:paraId="29878CE9" w14:textId="77777777" w:rsidR="0083515C" w:rsidRPr="00DF28F7" w:rsidRDefault="0083515C" w:rsidP="001F2648">
      <w:pPr>
        <w:jc w:val="both"/>
        <w:rPr>
          <w:rFonts w:ascii="Times New Roman" w:eastAsia="Verdana" w:hAnsi="Times New Roman" w:cs="Verdana"/>
          <w:noProof/>
          <w:sz w:val="24"/>
          <w:szCs w:val="19"/>
        </w:rPr>
      </w:pPr>
    </w:p>
    <w:p w14:paraId="5035879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Šīs darbības modelēšanas pasākumu mērķis ir nodrošināt novērtējumu un prognozēšanas spējas, kas nepieciešamas, lai analizētu politikas scenārijus un politikas risinājumiem gūtos kompromisus. Rīcības pamatā būs attiecīgie dati, zināšanas un informācija, kas iegūti </w:t>
      </w:r>
      <w:r>
        <w:rPr>
          <w:rFonts w:ascii="Times New Roman" w:hAnsi="Times New Roman"/>
          <w:i/>
          <w:iCs/>
          <w:sz w:val="24"/>
        </w:rPr>
        <w:t>JRC</w:t>
      </w:r>
      <w:r>
        <w:rPr>
          <w:rFonts w:ascii="Times New Roman" w:hAnsi="Times New Roman"/>
          <w:sz w:val="24"/>
        </w:rPr>
        <w:t xml:space="preserve"> un no ārējiem avotiem, tostarp īstenojot citas 3.3. punktā minētās darbības.</w:t>
      </w:r>
    </w:p>
    <w:p w14:paraId="30A031A8" w14:textId="77777777" w:rsidR="0083515C" w:rsidRPr="00DF28F7" w:rsidRDefault="0083515C" w:rsidP="001F2648">
      <w:pPr>
        <w:jc w:val="both"/>
        <w:rPr>
          <w:rFonts w:ascii="Times New Roman" w:eastAsia="Verdana" w:hAnsi="Times New Roman" w:cs="Verdana"/>
          <w:noProof/>
          <w:sz w:val="24"/>
          <w:szCs w:val="19"/>
        </w:rPr>
      </w:pPr>
    </w:p>
    <w:p w14:paraId="0C9DC689"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Šajā darbībā paredzēts:</w:t>
      </w:r>
    </w:p>
    <w:p w14:paraId="1BD63AB5" w14:textId="77777777" w:rsidR="0083515C" w:rsidRPr="00DF28F7" w:rsidRDefault="0083515C" w:rsidP="001F2648">
      <w:pPr>
        <w:jc w:val="both"/>
        <w:rPr>
          <w:rFonts w:ascii="Times New Roman" w:eastAsia="Verdana" w:hAnsi="Times New Roman" w:cs="Verdana"/>
          <w:noProof/>
          <w:sz w:val="24"/>
          <w:szCs w:val="14"/>
        </w:rPr>
      </w:pPr>
    </w:p>
    <w:p w14:paraId="0496E96E" w14:textId="77777777" w:rsidR="0083515C" w:rsidRPr="00DF28F7" w:rsidRDefault="00723119" w:rsidP="00723119">
      <w:pPr>
        <w:pStyle w:val="BodyText"/>
        <w:tabs>
          <w:tab w:val="left" w:pos="459"/>
        </w:tabs>
        <w:ind w:left="0"/>
        <w:jc w:val="both"/>
        <w:rPr>
          <w:rFonts w:ascii="Times New Roman" w:hAnsi="Times New Roman"/>
          <w:noProof/>
          <w:sz w:val="24"/>
        </w:rPr>
      </w:pPr>
      <w:r>
        <w:rPr>
          <w:rFonts w:ascii="Times New Roman" w:hAnsi="Times New Roman"/>
          <w:sz w:val="24"/>
        </w:rPr>
        <w:t>1) uzlabot zināšanu bāzi par ES un pasaules biomasas piegādi, izmantojumu un plūsmām;</w:t>
      </w:r>
    </w:p>
    <w:p w14:paraId="2C85D2DD" w14:textId="77777777" w:rsidR="0083515C" w:rsidRPr="00DF28F7" w:rsidRDefault="0083515C" w:rsidP="00723119">
      <w:pPr>
        <w:jc w:val="both"/>
        <w:rPr>
          <w:rFonts w:ascii="Times New Roman" w:eastAsia="Verdana" w:hAnsi="Times New Roman" w:cs="Verdana"/>
          <w:noProof/>
          <w:sz w:val="24"/>
          <w:szCs w:val="19"/>
        </w:rPr>
      </w:pPr>
    </w:p>
    <w:p w14:paraId="24F74114" w14:textId="77777777" w:rsidR="0083515C" w:rsidRPr="00DF28F7" w:rsidRDefault="00723119" w:rsidP="00723119">
      <w:pPr>
        <w:pStyle w:val="BodyText"/>
        <w:tabs>
          <w:tab w:val="left" w:pos="578"/>
        </w:tabs>
        <w:ind w:left="0"/>
        <w:jc w:val="both"/>
        <w:rPr>
          <w:rFonts w:ascii="Times New Roman" w:hAnsi="Times New Roman"/>
          <w:noProof/>
          <w:sz w:val="24"/>
        </w:rPr>
      </w:pPr>
      <w:r>
        <w:rPr>
          <w:rFonts w:ascii="Times New Roman" w:hAnsi="Times New Roman"/>
          <w:sz w:val="24"/>
        </w:rPr>
        <w:t>2) novērtēt bioekonomikas vides un sociālekonomisko dimensiju;</w:t>
      </w:r>
    </w:p>
    <w:p w14:paraId="3C88591C" w14:textId="77777777" w:rsidR="0083515C" w:rsidRPr="00DF28F7" w:rsidRDefault="0083515C" w:rsidP="00723119">
      <w:pPr>
        <w:jc w:val="both"/>
        <w:rPr>
          <w:rFonts w:ascii="Times New Roman" w:eastAsia="Verdana" w:hAnsi="Times New Roman" w:cs="Verdana"/>
          <w:noProof/>
          <w:sz w:val="24"/>
          <w:szCs w:val="19"/>
        </w:rPr>
      </w:pPr>
    </w:p>
    <w:p w14:paraId="55CF4D87" w14:textId="77777777" w:rsidR="0083515C" w:rsidRPr="00DF28F7" w:rsidRDefault="00723119" w:rsidP="00723119">
      <w:pPr>
        <w:pStyle w:val="BodyText"/>
        <w:tabs>
          <w:tab w:val="left" w:pos="457"/>
        </w:tabs>
        <w:ind w:left="0"/>
        <w:jc w:val="both"/>
        <w:rPr>
          <w:rFonts w:ascii="Times New Roman" w:hAnsi="Times New Roman"/>
          <w:noProof/>
          <w:sz w:val="24"/>
        </w:rPr>
      </w:pPr>
      <w:r>
        <w:rPr>
          <w:rFonts w:ascii="Times New Roman" w:hAnsi="Times New Roman"/>
          <w:sz w:val="24"/>
        </w:rPr>
        <w:t>3) izstrādāt un ieviest modelēšanas instrumentus, lai atbalstītu tādu scenāriju izstrādi, kuros ņemta vērā dažādu politikas jomu mijiedarbība, lai palīdzētu veicināt politikas saskaņotību dažādās bioekonomikas nozarēs;</w:t>
      </w:r>
    </w:p>
    <w:p w14:paraId="0CDE2364" w14:textId="77777777" w:rsidR="0083515C" w:rsidRPr="00DF28F7" w:rsidRDefault="0083515C" w:rsidP="00723119">
      <w:pPr>
        <w:jc w:val="both"/>
        <w:rPr>
          <w:rFonts w:ascii="Times New Roman" w:eastAsia="Verdana" w:hAnsi="Times New Roman" w:cs="Verdana"/>
          <w:noProof/>
          <w:sz w:val="24"/>
          <w:szCs w:val="19"/>
        </w:rPr>
      </w:pPr>
    </w:p>
    <w:p w14:paraId="410063A8" w14:textId="77777777" w:rsidR="0083515C" w:rsidRPr="00DF28F7" w:rsidRDefault="00723119" w:rsidP="00723119">
      <w:pPr>
        <w:pStyle w:val="BodyText"/>
        <w:tabs>
          <w:tab w:val="left" w:pos="432"/>
        </w:tabs>
        <w:ind w:left="0"/>
        <w:jc w:val="both"/>
        <w:rPr>
          <w:rFonts w:ascii="Times New Roman" w:hAnsi="Times New Roman"/>
          <w:noProof/>
          <w:sz w:val="24"/>
        </w:rPr>
      </w:pPr>
      <w:r>
        <w:rPr>
          <w:rFonts w:ascii="Times New Roman" w:hAnsi="Times New Roman"/>
          <w:sz w:val="24"/>
        </w:rPr>
        <w:t>4) ar Komisijas Bioekonomikas zināšanu centra starpniecību pārredzami, pielāgoti, kodolīgi un pieejami darīt šo informāciju pieejamu ES politikas veidotājiem un citām ieinteresētajām pusēm.</w:t>
      </w:r>
    </w:p>
    <w:p w14:paraId="46FC03F0" w14:textId="77777777" w:rsidR="0083515C" w:rsidRDefault="0083515C" w:rsidP="001F2648">
      <w:pPr>
        <w:jc w:val="both"/>
        <w:rPr>
          <w:rFonts w:ascii="Times New Roman" w:eastAsia="Verdana" w:hAnsi="Times New Roman" w:cs="Verdana"/>
          <w:noProof/>
          <w:sz w:val="24"/>
          <w:szCs w:val="19"/>
        </w:rPr>
      </w:pPr>
    </w:p>
    <w:p w14:paraId="4D2FFB35" w14:textId="77777777" w:rsidR="00723119" w:rsidRPr="00DF28F7" w:rsidRDefault="00723119" w:rsidP="001F2648">
      <w:pPr>
        <w:jc w:val="both"/>
        <w:rPr>
          <w:rFonts w:ascii="Times New Roman" w:eastAsia="Verdana" w:hAnsi="Times New Roman" w:cs="Verdana"/>
          <w:noProof/>
          <w:sz w:val="24"/>
          <w:szCs w:val="19"/>
        </w:rPr>
      </w:pPr>
    </w:p>
    <w:p w14:paraId="44C5051B" w14:textId="77777777" w:rsidR="0083515C" w:rsidRPr="00723119" w:rsidRDefault="00723119" w:rsidP="00723119">
      <w:pPr>
        <w:pStyle w:val="BodyText"/>
        <w:tabs>
          <w:tab w:val="left" w:pos="322"/>
        </w:tabs>
        <w:ind w:left="0"/>
        <w:jc w:val="both"/>
        <w:rPr>
          <w:rFonts w:ascii="Times New Roman" w:hAnsi="Times New Roman"/>
          <w:i/>
          <w:iCs/>
          <w:noProof/>
          <w:sz w:val="24"/>
          <w:u w:val="single" w:color="000000"/>
        </w:rPr>
      </w:pPr>
      <w:r>
        <w:rPr>
          <w:rFonts w:ascii="Times New Roman" w:hAnsi="Times New Roman"/>
          <w:i/>
          <w:sz w:val="24"/>
          <w:u w:val="single" w:color="000000"/>
        </w:rPr>
        <w:t>ii) Vairot izpratni par bioloģisko daudzveidību, sauszemes un jūras ekosistēmām, kā arī par to noturību un statusu, tostarp attiecībā uz to pakalpojumiem un saistītajām sociālekonomiskajām izmaksām un ieguvumiem, tostarp novēršot zināšanu trūkumu</w:t>
      </w:r>
    </w:p>
    <w:p w14:paraId="5561C961"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23119" w14:paraId="56698878" w14:textId="77777777" w:rsidTr="00723119">
        <w:tc>
          <w:tcPr>
            <w:tcW w:w="9288" w:type="dxa"/>
          </w:tcPr>
          <w:p w14:paraId="23776FA6" w14:textId="77777777" w:rsidR="00723119" w:rsidRPr="00723119" w:rsidRDefault="00723119" w:rsidP="00723119">
            <w:pPr>
              <w:jc w:val="both"/>
              <w:rPr>
                <w:rFonts w:ascii="Times New Roman" w:hAnsi="Times New Roman"/>
                <w:i/>
                <w:iCs/>
                <w:noProof/>
                <w:sz w:val="24"/>
              </w:rPr>
            </w:pPr>
            <w:r>
              <w:rPr>
                <w:rFonts w:ascii="Times New Roman" w:hAnsi="Times New Roman"/>
                <w:i/>
                <w:sz w:val="24"/>
              </w:rPr>
              <w:t>Līdztekus pašreizējam darbam tiks stiprināts ekosistēmu pakalpojumu novērtējums, un Komisija sadarbībā ar dalībvalstīm izstrādās ekosistēmu pakalpojumu uzskaiti, atspoguļojot galvenās bioekonomikas nozares, jo īpaši attiecībā uz jūras vidi un mežiem. To papildinās tālākas zināšanas un pētījumi par saikni starp bioloģisko daudzveidību, ekosistēmām un to sniegtajiem pakalpojumiem, ilgtspējības robežvērtībām, kā arī ietekmi uz ekosistēmu noturību.</w:t>
            </w:r>
          </w:p>
          <w:p w14:paraId="3802EBE0" w14:textId="77777777" w:rsidR="00723119" w:rsidRPr="00723119" w:rsidRDefault="00723119" w:rsidP="00723119">
            <w:pPr>
              <w:jc w:val="both"/>
              <w:rPr>
                <w:rFonts w:ascii="Times New Roman" w:eastAsia="Times New Roman" w:hAnsi="Times New Roman" w:cs="Times New Roman"/>
                <w:i/>
                <w:iCs/>
                <w:noProof/>
                <w:sz w:val="24"/>
                <w:szCs w:val="18"/>
              </w:rPr>
            </w:pPr>
          </w:p>
          <w:p w14:paraId="631FCF88" w14:textId="77777777" w:rsidR="00723119" w:rsidRPr="00723119" w:rsidRDefault="00723119" w:rsidP="001F2648">
            <w:pPr>
              <w:jc w:val="both"/>
              <w:rPr>
                <w:rFonts w:ascii="Times New Roman" w:hAnsi="Times New Roman"/>
                <w:i/>
                <w:iCs/>
                <w:noProof/>
                <w:sz w:val="24"/>
              </w:rPr>
            </w:pPr>
            <w:r>
              <w:rPr>
                <w:rFonts w:ascii="Times New Roman" w:hAnsi="Times New Roman"/>
                <w:i/>
                <w:sz w:val="24"/>
              </w:rPr>
              <w:t>Rādītāji. Attiecīgo publikāciju skaits; izstrādātie galvenie ieteikumi; pamatrādītāju izstrāde, ar ko atspoguļo sugu un biotopu aizsardzības statusa uzlabošanos; laba vides statusa uzlabošana jūras ekosistēmām; labā stāvoklī esošo ekosistēmu platības pieaugums; ekosistēmu un to sniegto pakalpojumu kartēšanas un novērtēšanas devums; ekosistēmu uzskaite, kas izstrādāta, lai atbalstītu bioekonomiku; ieguldījums galveno IPBES un ANO dokumentu un vadlīniju izstrādē; ekosistēmu statusa un izmaiņu karte un statistikas dati; ieguldījums ekosistēmu novērtējumā un uzskaitē.</w:t>
            </w:r>
          </w:p>
        </w:tc>
      </w:tr>
    </w:tbl>
    <w:p w14:paraId="29A54B4C" w14:textId="77777777" w:rsidR="0083515C" w:rsidRPr="00DF28F7" w:rsidRDefault="0083515C" w:rsidP="001F2648">
      <w:pPr>
        <w:jc w:val="both"/>
        <w:rPr>
          <w:rFonts w:ascii="Times New Roman" w:eastAsia="Verdana" w:hAnsi="Times New Roman" w:cs="Verdana"/>
          <w:noProof/>
          <w:sz w:val="24"/>
          <w:szCs w:val="15"/>
        </w:rPr>
      </w:pPr>
    </w:p>
    <w:p w14:paraId="4546651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Salīdzinot ar citām jomām, piemēram, atkritumu un otrreizējās pārstrādes jomu, joprojām nepieciešams ievērojami vairāk zināšanu un datu par bioloģisko daudzveidību un ekosistēmām. Ekosistēmas ir sarežģītas; ir daudz dažādu ekosistēmu tipu, kas darbojas dažādos mērogos, un tās ir grūti izmērāmas. Tomēr šī nepieciešamība ir steidzama, jo ekosistēmas tiek degradētas un dažos gadījumos draud sabrukt. Neattīstot šo zināšanu bāzi, bioekonomika varētu turpināt īstenot neilgtspējīgu spiedienu uz dabu un iznīcināt pamatus, uz kuriem pati balstās.</w:t>
      </w:r>
    </w:p>
    <w:p w14:paraId="38A041CD" w14:textId="77777777" w:rsidR="0083515C" w:rsidRPr="00DF28F7" w:rsidRDefault="0083515C" w:rsidP="001F2648">
      <w:pPr>
        <w:jc w:val="both"/>
        <w:rPr>
          <w:rFonts w:ascii="Times New Roman" w:eastAsia="Verdana" w:hAnsi="Times New Roman" w:cs="Verdana"/>
          <w:noProof/>
          <w:sz w:val="24"/>
          <w:szCs w:val="19"/>
        </w:rPr>
      </w:pPr>
    </w:p>
    <w:p w14:paraId="77091C4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Tāpēc ir nepieciešami būtiski un plaši pētījumi un attīstība šādās jomās: reāli eksperimenti pasaulē par bioloģiskās daudzveidības un konkrētu sugu lomu ekosistēmu darbībā, reakciju uz spiedienu un spēju atveseļoties; ātras un efektīvas pieejas ekosistēmu, bioloģiskās daudzveidības un noturības mērīšanai; jauni veidi darbam ar dabu; kritiski svarīga uzvedība, piemēram, vājie punkti, neatgriezeniskuma pakāpe vai ekosistēmas sabrukums; galveno atjaunošanas parametru izstrāde. Saistība ar aizsardzības mērķiem; dažādu ekosistēmu izpēte gan uz sauszemes, gan ūdens/jūras ekosistēmās. Visbeidzot, visām šīm zināšanām ir jāatspoguļojas arī praktiskā politikas virzienu izstrādē un dabas resursu apsaimniekošanā nākotnē. Šādai pētniecībai un attīstībai ir jākļūst par šīs darbības stūrakmeni.</w:t>
      </w:r>
    </w:p>
    <w:p w14:paraId="338EC296" w14:textId="77777777" w:rsidR="0083515C" w:rsidRPr="00DF28F7" w:rsidRDefault="0083515C" w:rsidP="001F2648">
      <w:pPr>
        <w:jc w:val="both"/>
        <w:rPr>
          <w:rFonts w:ascii="Times New Roman" w:eastAsia="Verdana" w:hAnsi="Times New Roman" w:cs="Verdana"/>
          <w:noProof/>
          <w:sz w:val="24"/>
          <w:szCs w:val="20"/>
        </w:rPr>
      </w:pPr>
    </w:p>
    <w:p w14:paraId="06CBB27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Eiropas Bioekonomikas stratēģijas mērķis ir atbalstīt uz ekosistēmu balstītas pieejas īstenošanu dabas resursu apsaimniekošanā, novērtēt ekosistēmu pakalpojumu sniegšanu un veicināt sinerģiju un papildināmību ar vides politiku jautājumā par ūdens, augsnes, bioloģiskās daudzveidības un biotopu aizsardzību.</w:t>
      </w:r>
      <w:r w:rsidR="00723119">
        <w:rPr>
          <w:rStyle w:val="FootnoteReference"/>
          <w:rFonts w:ascii="Times New Roman" w:hAnsi="Times New Roman"/>
          <w:noProof/>
          <w:sz w:val="24"/>
        </w:rPr>
        <w:footnoteReference w:id="296"/>
      </w:r>
      <w:r>
        <w:rPr>
          <w:rFonts w:ascii="Times New Roman" w:hAnsi="Times New Roman"/>
          <w:sz w:val="24"/>
        </w:rPr>
        <w:t xml:space="preserve"> Pašreizējais Komisijas un dalībvalstu darbs ekosistēmu un to sniegto pakalpojumu kartēšanā un novērtēšanā (</w:t>
      </w:r>
      <w:r>
        <w:rPr>
          <w:rFonts w:ascii="Times New Roman" w:hAnsi="Times New Roman"/>
          <w:i/>
          <w:iCs/>
          <w:sz w:val="24"/>
        </w:rPr>
        <w:t>MAES</w:t>
      </w:r>
      <w:r>
        <w:rPr>
          <w:rFonts w:ascii="Times New Roman" w:hAnsi="Times New Roman"/>
          <w:sz w:val="24"/>
        </w:rPr>
        <w:t>)</w:t>
      </w:r>
      <w:r w:rsidR="00723119">
        <w:rPr>
          <w:rStyle w:val="FootnoteReference"/>
          <w:rFonts w:ascii="Times New Roman" w:hAnsi="Times New Roman"/>
          <w:noProof/>
          <w:sz w:val="24"/>
        </w:rPr>
        <w:footnoteReference w:id="297"/>
      </w:r>
      <w:r>
        <w:rPr>
          <w:rFonts w:ascii="Times New Roman" w:hAnsi="Times New Roman"/>
          <w:sz w:val="24"/>
        </w:rPr>
        <w:t xml:space="preserve"> un ekosistēmu uzskaitē var arvien vairāk palīdzēt analizēt gūto kompromisu un ekosistēmu pakalpojumu sinerģiju, kā arī izvērtēt biomasas ražošanas un bioekonomikas ilgtspējības aspektus.</w:t>
      </w:r>
    </w:p>
    <w:p w14:paraId="4F8A14A9" w14:textId="77777777" w:rsidR="0083515C" w:rsidRPr="00DF28F7" w:rsidRDefault="0083515C" w:rsidP="001F2648">
      <w:pPr>
        <w:jc w:val="both"/>
        <w:rPr>
          <w:rFonts w:ascii="Times New Roman" w:eastAsia="Verdana" w:hAnsi="Times New Roman" w:cs="Verdana"/>
          <w:noProof/>
          <w:sz w:val="24"/>
          <w:szCs w:val="19"/>
        </w:rPr>
      </w:pPr>
    </w:p>
    <w:p w14:paraId="7F476F4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i/>
          <w:iCs/>
          <w:sz w:val="24"/>
        </w:rPr>
        <w:t>MAES</w:t>
      </w:r>
      <w:r>
        <w:rPr>
          <w:rFonts w:ascii="Times New Roman" w:hAnsi="Times New Roman"/>
          <w:sz w:val="24"/>
        </w:rPr>
        <w:t xml:space="preserve"> mērķis ir integrēti sniegt pierādījumus un nodrošināt zināšanu bāzi par ekosistēmām un to pakalpojumiem, lai sniegtu informāciju sauszemes un jūras politikas un lēmumu pieņemšanai, pakalpojumu plūsmā sasaistot sociāli ekonomiskās sistēmas un ekosistēmas, kā arī ņemot vērā pārmaiņu virzītājspēkus, kas ekosistēmas ietekmē vai nu pakalpojuma izmantošanas rezultātā, vai netieši saistībā ar cilvēka veiktu darbību kopumā. Tā atbalsta ekosistēmu un to pakalpojumu integrēšanu lēmumu pieņemšanā un ietekmes novērtējumu attiecībā uz politiku, kas saistīta ar sauszemi un jūru.</w:t>
      </w:r>
    </w:p>
    <w:p w14:paraId="72851FD4" w14:textId="77777777" w:rsidR="00CF10CD" w:rsidRPr="00DF28F7" w:rsidRDefault="00CF10CD" w:rsidP="001F2648">
      <w:pPr>
        <w:jc w:val="both"/>
        <w:rPr>
          <w:rFonts w:ascii="Times New Roman" w:eastAsia="Verdana" w:hAnsi="Times New Roman" w:cs="Verdana"/>
          <w:noProof/>
          <w:sz w:val="24"/>
          <w:szCs w:val="13"/>
        </w:rPr>
      </w:pPr>
    </w:p>
    <w:p w14:paraId="7822FFD3"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Ekosistēmu uzskaiti ES līmenī izstrādā saskaņā ar Zināšanu inovācijas projektu par dabas kapitāla un ekosistēmu pakalpojumu uzskaiti (</w:t>
      </w:r>
      <w:r>
        <w:rPr>
          <w:rFonts w:ascii="Times New Roman" w:hAnsi="Times New Roman"/>
          <w:i/>
          <w:iCs/>
          <w:sz w:val="24"/>
        </w:rPr>
        <w:t>KIP INCA</w:t>
      </w:r>
      <w:r>
        <w:rPr>
          <w:rFonts w:ascii="Times New Roman" w:hAnsi="Times New Roman"/>
          <w:sz w:val="24"/>
        </w:rPr>
        <w:t xml:space="preserve">). Kopīgais pētniecības centrs ir </w:t>
      </w:r>
      <w:r>
        <w:rPr>
          <w:rFonts w:ascii="Times New Roman" w:hAnsi="Times New Roman"/>
          <w:sz w:val="24"/>
        </w:rPr>
        <w:lastRenderedPageBreak/>
        <w:t>izstrādājis pirmo izmēģinājuma ekosistēmas pakalpojumu uzskaiti</w:t>
      </w:r>
      <w:r w:rsidR="00392D70">
        <w:rPr>
          <w:rStyle w:val="FootnoteReference"/>
          <w:rFonts w:ascii="Times New Roman" w:hAnsi="Times New Roman"/>
          <w:noProof/>
          <w:sz w:val="24"/>
        </w:rPr>
        <w:footnoteReference w:id="298"/>
      </w:r>
      <w:r>
        <w:rPr>
          <w:rFonts w:ascii="Times New Roman" w:hAnsi="Times New Roman"/>
          <w:sz w:val="24"/>
        </w:rPr>
        <w:t>, un ir plānots turpmāks darbs, lai līdz 2020. gadam izveidotu reprezentatīvu uzskaites kopumu. Pašreizējā darba papildināšanai saskaņā ar šo rīcības plānu tiks izstrādāta papildu ekosistēmu uzskaite, atspoguļojot galvenās ekosistēmas un to sniegtos pakalpojumus, to spēju ilgtspējīgi nodrošināt pakalpojumus, kā arī to ieguldījumu bioekonomikā.</w:t>
      </w:r>
    </w:p>
    <w:p w14:paraId="71BD2C93" w14:textId="77777777" w:rsidR="0083515C" w:rsidRPr="00DF28F7" w:rsidRDefault="0083515C" w:rsidP="001F2648">
      <w:pPr>
        <w:jc w:val="both"/>
        <w:rPr>
          <w:rFonts w:ascii="Times New Roman" w:hAnsi="Times New Roman"/>
          <w:noProof/>
          <w:sz w:val="24"/>
        </w:rPr>
      </w:pPr>
    </w:p>
    <w:p w14:paraId="0163E50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Turklāt bioekonomikai var būt plaša mēroga ietekme ES un pasaules līmenī. Nesenajā </w:t>
      </w:r>
      <w:r>
        <w:rPr>
          <w:rFonts w:ascii="Times New Roman" w:hAnsi="Times New Roman"/>
          <w:i/>
          <w:iCs/>
          <w:sz w:val="24"/>
        </w:rPr>
        <w:t>IPBES</w:t>
      </w:r>
      <w:r>
        <w:rPr>
          <w:rFonts w:ascii="Times New Roman" w:hAnsi="Times New Roman"/>
          <w:sz w:val="24"/>
        </w:rPr>
        <w:t xml:space="preserve"> ziņojumā norādīts, ka ne tikai klimata pārmaiņas, bet arī patēriņš un ražošana rada vienus no lielākajiem draudiem bioloģiskajai daudzveidībai.</w:t>
      </w:r>
    </w:p>
    <w:p w14:paraId="705657D1" w14:textId="77777777" w:rsidR="0083515C" w:rsidRPr="00DF28F7" w:rsidRDefault="0083515C" w:rsidP="001F2648">
      <w:pPr>
        <w:jc w:val="both"/>
        <w:rPr>
          <w:rFonts w:ascii="Times New Roman" w:eastAsia="Verdana" w:hAnsi="Times New Roman" w:cs="Verdana"/>
          <w:noProof/>
          <w:sz w:val="24"/>
          <w:szCs w:val="19"/>
        </w:rPr>
      </w:pPr>
    </w:p>
    <w:p w14:paraId="3B73ED0E"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i/>
          <w:iCs/>
          <w:sz w:val="24"/>
        </w:rPr>
        <w:t>IPCC</w:t>
      </w:r>
      <w:r>
        <w:rPr>
          <w:rFonts w:ascii="Times New Roman" w:hAnsi="Times New Roman"/>
          <w:sz w:val="24"/>
        </w:rPr>
        <w:t xml:space="preserve"> novērtējuma ziņojumos ir ieskicētas riska un iespēju galvenās iezīmes, pamatojoties uz plašiem modelēšanas pasākumiem un novērtējumiem, kā arī scenārijiem. Tas pats jādara attiecībā uz bioloģisko daudzveidību un ekosistēmām. Pasaules Ekonomikas forumā pasaules lielāko risku sarakstā arvien biežāk tiek iekļauti tādi riski kā bioloģiskās daudzveidības samazināšanās un ekosistēmu sabrukums. Stokholmas izpētes centrā [</w:t>
      </w:r>
      <w:r>
        <w:rPr>
          <w:rFonts w:ascii="Times New Roman" w:hAnsi="Times New Roman"/>
          <w:i/>
          <w:iCs/>
          <w:sz w:val="24"/>
        </w:rPr>
        <w:t>Stockholm Resilience Centre</w:t>
      </w:r>
      <w:r>
        <w:rPr>
          <w:rFonts w:ascii="Times New Roman" w:hAnsi="Times New Roman"/>
          <w:sz w:val="24"/>
        </w:rPr>
        <w:t>] (Rockstrom et al.) uzskata, ka biosfēras integritāte un klimata pārmaiņas ir galvenās globālās robežas, kas jau tiek pārkāptas. Bioproduktu (piemēram, palmu eļļas, pārmērīgas kokmateriālu ieguves) patēriņam (ES) un ražošanai (ārpus ES) ir milzīga ietekme uz ekosistēmu degradāciju.</w:t>
      </w:r>
    </w:p>
    <w:p w14:paraId="695A0854" w14:textId="77777777" w:rsidR="0083515C" w:rsidRPr="00DF28F7" w:rsidRDefault="0083515C" w:rsidP="001F2648">
      <w:pPr>
        <w:jc w:val="both"/>
        <w:rPr>
          <w:rFonts w:ascii="Times New Roman" w:eastAsia="Verdana" w:hAnsi="Times New Roman" w:cs="Verdana"/>
          <w:noProof/>
          <w:sz w:val="24"/>
          <w:szCs w:val="19"/>
        </w:rPr>
      </w:pPr>
    </w:p>
    <w:p w14:paraId="3DFE5AF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Turpmāka rīcība šajā jomā būtiski vairos ES zināšanas un zinātību pasaules līmenī par to, kā risināt šos jautājumus globālā un sistēmiskā līmenī.</w:t>
      </w:r>
    </w:p>
    <w:p w14:paraId="61F50834" w14:textId="77777777" w:rsidR="0083515C" w:rsidRDefault="0083515C" w:rsidP="001F2648">
      <w:pPr>
        <w:jc w:val="both"/>
        <w:rPr>
          <w:rFonts w:ascii="Times New Roman" w:eastAsia="Verdana" w:hAnsi="Times New Roman" w:cs="Verdana"/>
          <w:noProof/>
          <w:sz w:val="24"/>
          <w:szCs w:val="19"/>
        </w:rPr>
      </w:pPr>
    </w:p>
    <w:p w14:paraId="10489580" w14:textId="77777777" w:rsidR="00723119" w:rsidRPr="00DF28F7" w:rsidRDefault="00723119" w:rsidP="001F2648">
      <w:pPr>
        <w:jc w:val="both"/>
        <w:rPr>
          <w:rFonts w:ascii="Times New Roman" w:eastAsia="Verdana" w:hAnsi="Times New Roman" w:cs="Verdana"/>
          <w:noProof/>
          <w:sz w:val="24"/>
          <w:szCs w:val="19"/>
        </w:rPr>
      </w:pPr>
    </w:p>
    <w:p w14:paraId="4B9C0479" w14:textId="77777777" w:rsidR="0083515C" w:rsidRPr="00723119" w:rsidRDefault="00723119" w:rsidP="00723119">
      <w:pPr>
        <w:pStyle w:val="BodyText"/>
        <w:tabs>
          <w:tab w:val="left" w:pos="434"/>
        </w:tabs>
        <w:ind w:left="0"/>
        <w:jc w:val="both"/>
        <w:rPr>
          <w:rFonts w:ascii="Times New Roman" w:hAnsi="Times New Roman"/>
          <w:i/>
          <w:iCs/>
          <w:noProof/>
          <w:sz w:val="24"/>
          <w:u w:val="single" w:color="000000"/>
        </w:rPr>
      </w:pPr>
      <w:r>
        <w:rPr>
          <w:rFonts w:ascii="Times New Roman" w:hAnsi="Times New Roman"/>
          <w:i/>
          <w:sz w:val="24"/>
          <w:u w:val="single" w:color="000000"/>
        </w:rPr>
        <w:t>iii) Nodrošināt labākus datus par mežu ekosistēmu statusu un apsaimniekošanu, lai atbalstītu vietējo biomasas resursu ilgtspējīgu pieejamību, oglekļa piesaisti un ekosistēmu noturību</w:t>
      </w:r>
    </w:p>
    <w:p w14:paraId="3B647FE8"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23119" w14:paraId="16E38895" w14:textId="77777777" w:rsidTr="00723119">
        <w:tc>
          <w:tcPr>
            <w:tcW w:w="9288" w:type="dxa"/>
          </w:tcPr>
          <w:p w14:paraId="198BBAFB" w14:textId="77777777" w:rsidR="00723119" w:rsidRPr="00723119" w:rsidRDefault="00723119" w:rsidP="00723119">
            <w:pPr>
              <w:jc w:val="both"/>
              <w:rPr>
                <w:rFonts w:ascii="Times New Roman" w:hAnsi="Times New Roman"/>
                <w:i/>
                <w:iCs/>
                <w:noProof/>
                <w:sz w:val="24"/>
              </w:rPr>
            </w:pPr>
            <w:r>
              <w:rPr>
                <w:rFonts w:ascii="Times New Roman" w:hAnsi="Times New Roman"/>
                <w:i/>
                <w:sz w:val="24"/>
              </w:rPr>
              <w:t>Eiropas Meža informācijas sistēmas izstrādes ietvaros konkrētās sistēmas iedaļās tiks skatīts jautājums par datu un informācijas nepieciešamību, lai atbalstītu bioekonomikas ilgtspējīgu attīstību nolūkā palīdzēt novērtēt vietējo biomasas resursu ilgtspējīgu pieejamību klimata pārmaiņu un bioloģiskās daudzveidības zuduma kontekstā</w:t>
            </w:r>
          </w:p>
          <w:p w14:paraId="2090DE8A" w14:textId="77777777" w:rsidR="00723119" w:rsidRPr="00723119" w:rsidRDefault="00723119" w:rsidP="00723119">
            <w:pPr>
              <w:jc w:val="both"/>
              <w:rPr>
                <w:rFonts w:ascii="Times New Roman" w:eastAsia="Times New Roman" w:hAnsi="Times New Roman" w:cs="Times New Roman"/>
                <w:i/>
                <w:iCs/>
                <w:noProof/>
                <w:sz w:val="24"/>
                <w:szCs w:val="20"/>
              </w:rPr>
            </w:pPr>
          </w:p>
          <w:p w14:paraId="70B6262D" w14:textId="77777777" w:rsidR="00723119" w:rsidRPr="00723119" w:rsidRDefault="00723119" w:rsidP="001F2648">
            <w:pPr>
              <w:jc w:val="both"/>
              <w:rPr>
                <w:rFonts w:ascii="Times New Roman" w:hAnsi="Times New Roman"/>
                <w:i/>
                <w:iCs/>
                <w:noProof/>
                <w:sz w:val="24"/>
              </w:rPr>
            </w:pPr>
            <w:r>
              <w:rPr>
                <w:rFonts w:ascii="Times New Roman" w:hAnsi="Times New Roman"/>
                <w:i/>
                <w:sz w:val="24"/>
              </w:rPr>
              <w:t>Rādītāji. Uzsākta Eiropas Meža informācijas sistēmas (FISE) darbība; piegādāti tehniskie ziņojumi; apzinātie risinājumi.</w:t>
            </w:r>
          </w:p>
        </w:tc>
      </w:tr>
    </w:tbl>
    <w:p w14:paraId="31FB75E6" w14:textId="77777777" w:rsidR="0083515C" w:rsidRPr="00DF28F7" w:rsidRDefault="0083515C" w:rsidP="001F2648">
      <w:pPr>
        <w:jc w:val="both"/>
        <w:rPr>
          <w:rFonts w:ascii="Times New Roman" w:eastAsia="Times New Roman" w:hAnsi="Times New Roman" w:cs="Times New Roman"/>
          <w:noProof/>
          <w:sz w:val="24"/>
          <w:szCs w:val="16"/>
        </w:rPr>
      </w:pPr>
    </w:p>
    <w:p w14:paraId="16E6D41F"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Liels un aizvien lielāks skaits ES un valstu politiku balstās uz Eiropas mežu ekosistēmām un to sniegtajiem pakalpojumiem, vai arī tieši vai netieši ietekmē tos. Pieaugot nepieciešamībai pēc atjaunojamiem materiāliem un enerģijas, pieaug arī pieprasījums pēc dažāda veida, apmēra un kvalitātes koksnes biomasas.</w:t>
      </w:r>
      <w:r w:rsidR="00392D70">
        <w:rPr>
          <w:rStyle w:val="FootnoteReference"/>
          <w:rFonts w:ascii="Times New Roman" w:hAnsi="Times New Roman"/>
          <w:noProof/>
          <w:sz w:val="24"/>
        </w:rPr>
        <w:footnoteReference w:id="299"/>
      </w:r>
    </w:p>
    <w:p w14:paraId="30645B64" w14:textId="77777777" w:rsidR="0083515C" w:rsidRPr="00DF28F7" w:rsidRDefault="0083515C" w:rsidP="001F2648">
      <w:pPr>
        <w:jc w:val="both"/>
        <w:rPr>
          <w:rFonts w:ascii="Times New Roman" w:eastAsia="Verdana" w:hAnsi="Times New Roman" w:cs="Verdana"/>
          <w:noProof/>
          <w:sz w:val="24"/>
          <w:szCs w:val="19"/>
        </w:rPr>
      </w:pPr>
    </w:p>
    <w:p w14:paraId="1512D2AA"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Tāpēc ir nepieciešami lielāki centieni, lai ar </w:t>
      </w:r>
      <w:r>
        <w:rPr>
          <w:rFonts w:ascii="Times New Roman" w:hAnsi="Times New Roman"/>
          <w:i/>
          <w:iCs/>
          <w:sz w:val="24"/>
        </w:rPr>
        <w:t>FISE</w:t>
      </w:r>
      <w:r>
        <w:rPr>
          <w:rFonts w:ascii="Times New Roman" w:hAnsi="Times New Roman"/>
          <w:sz w:val="24"/>
        </w:rPr>
        <w:t xml:space="preserve"> starpniecību nodrošinātu precīzākus, biežāk sniegtus un saskanīgākus datus un novērtēšanas instrumentus attiecībā uz meža ekosistēmu statusu un apsaimniekošanu, lai Eiropas bioekonomikas vajadzībām atbalstītu vietējo biomasas resursu ilgtspējīgu pieejamību klimata pārmaiņu un bioloģiskās daudzveidības zuduma kontekstā. Tāpēc </w:t>
      </w:r>
      <w:r>
        <w:rPr>
          <w:rFonts w:ascii="Times New Roman" w:hAnsi="Times New Roman"/>
          <w:i/>
          <w:iCs/>
          <w:sz w:val="24"/>
        </w:rPr>
        <w:t>FISE</w:t>
      </w:r>
      <w:r>
        <w:rPr>
          <w:rFonts w:ascii="Times New Roman" w:hAnsi="Times New Roman"/>
          <w:sz w:val="24"/>
        </w:rPr>
        <w:t xml:space="preserve"> ir jāsniedz visaptverošs priekšstats par mežu ekosistēmām, kas ir būtisks Eiropas dabas kapitāls, un jāatbalsta nepieciešamā stratēģiskā pieeja, kas aptver </w:t>
      </w:r>
      <w:r>
        <w:rPr>
          <w:rFonts w:ascii="Times New Roman" w:hAnsi="Times New Roman"/>
          <w:sz w:val="24"/>
        </w:rPr>
        <w:lastRenderedPageBreak/>
        <w:t>vairākas nozares un politikas jomas.</w:t>
      </w:r>
    </w:p>
    <w:p w14:paraId="0E28743D" w14:textId="77777777" w:rsidR="0083515C" w:rsidRPr="00DF28F7" w:rsidRDefault="0083515C" w:rsidP="001F2648">
      <w:pPr>
        <w:jc w:val="both"/>
        <w:rPr>
          <w:rFonts w:ascii="Times New Roman" w:eastAsia="Verdana" w:hAnsi="Times New Roman" w:cs="Verdana"/>
          <w:noProof/>
          <w:sz w:val="24"/>
          <w:szCs w:val="19"/>
        </w:rPr>
      </w:pPr>
    </w:p>
    <w:p w14:paraId="41000FA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Jo īpaši šī darbība palīdzētu Eiropas Komisijai un visiem pārējiem attiecīgajiem tirgus dalībniekiem: a) analizēt ES un pasaules uz bioresursiem balstītās ekonomikas turpmākās attīstības ekonomisko, sociālo un vides ietekmi uz ES meža un saistītajām nozarēm; b) atbalstīt politikas iniciatīvas ES un dalībvalstu līmenī, lai mazinātu negatīvo ietekmi, bet arī nodrošinātu vai palielinātu pozitīvo ietekmi; c) identificēt citus nepieciešamos un/vai vēlamos veicinošos un/vai ietekmi samazinošos pasākumus un to īstenotājus; d) informēt par scenārijiem un novērtējumiem attiecībā uz ES meža pieaugumu ilgtermiņā un uz biomasas pieejamību.</w:t>
      </w:r>
    </w:p>
    <w:p w14:paraId="3A64EB5B" w14:textId="77777777" w:rsidR="0083515C" w:rsidRPr="00DF28F7" w:rsidRDefault="0083515C" w:rsidP="001F2648">
      <w:pPr>
        <w:jc w:val="both"/>
        <w:rPr>
          <w:rFonts w:ascii="Times New Roman" w:eastAsia="Verdana" w:hAnsi="Times New Roman" w:cs="Verdana"/>
          <w:noProof/>
          <w:sz w:val="24"/>
          <w:szCs w:val="19"/>
        </w:rPr>
      </w:pPr>
    </w:p>
    <w:p w14:paraId="4CA5E7A9"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Pamatā ir jāīsteno pasākumi dalībvalstu līmenī, lai atbalstītu ar valsts mežu pārskatiem un starptautiskiem mežu datu apsekojumiem saistītus pasākumus esošo datu kopumu saglabāšanai nākotnē un jaunu pievienošanai, kā arī lai sekmētu bioekonomiku un starptautiskus datu apsekojumus, piemēram, ikgadējo Kopīgo meža nozares aptauju (</w:t>
      </w:r>
      <w:r>
        <w:rPr>
          <w:rFonts w:ascii="Times New Roman" w:hAnsi="Times New Roman"/>
          <w:i/>
          <w:iCs/>
          <w:sz w:val="24"/>
        </w:rPr>
        <w:t>JFSQ</w:t>
      </w:r>
      <w:r>
        <w:rPr>
          <w:rFonts w:ascii="Times New Roman" w:hAnsi="Times New Roman"/>
          <w:sz w:val="24"/>
        </w:rPr>
        <w:t xml:space="preserve">), ko </w:t>
      </w:r>
      <w:r>
        <w:rPr>
          <w:rFonts w:ascii="Times New Roman" w:hAnsi="Times New Roman"/>
          <w:i/>
          <w:iCs/>
          <w:sz w:val="24"/>
        </w:rPr>
        <w:t>Eurostat</w:t>
      </w:r>
      <w:r>
        <w:rPr>
          <w:rFonts w:ascii="Times New Roman" w:hAnsi="Times New Roman"/>
          <w:sz w:val="24"/>
        </w:rPr>
        <w:t xml:space="preserve"> veica kopā ar </w:t>
      </w:r>
      <w:r>
        <w:rPr>
          <w:rFonts w:ascii="Times New Roman" w:hAnsi="Times New Roman"/>
          <w:i/>
          <w:iCs/>
          <w:sz w:val="24"/>
        </w:rPr>
        <w:t>FAO-UNECE</w:t>
      </w:r>
      <w:r>
        <w:rPr>
          <w:rFonts w:ascii="Times New Roman" w:hAnsi="Times New Roman"/>
          <w:sz w:val="24"/>
        </w:rPr>
        <w:t xml:space="preserve"> un Starptautisko Tropu kokmateriālu organizāciju.</w:t>
      </w:r>
    </w:p>
    <w:p w14:paraId="13B523ED" w14:textId="77777777" w:rsidR="0083515C" w:rsidRPr="00DF28F7" w:rsidRDefault="0083515C" w:rsidP="001F2648">
      <w:pPr>
        <w:jc w:val="both"/>
        <w:rPr>
          <w:rFonts w:ascii="Times New Roman" w:eastAsia="Verdana" w:hAnsi="Times New Roman" w:cs="Verdana"/>
          <w:noProof/>
          <w:sz w:val="24"/>
          <w:szCs w:val="20"/>
        </w:rPr>
      </w:pPr>
    </w:p>
    <w:p w14:paraId="272FF34C" w14:textId="77777777" w:rsidR="0083515C" w:rsidRPr="00DF28F7" w:rsidRDefault="0083515C" w:rsidP="001F2648">
      <w:pPr>
        <w:jc w:val="both"/>
        <w:rPr>
          <w:rFonts w:ascii="Times New Roman" w:eastAsia="Verdana" w:hAnsi="Times New Roman" w:cs="Verdana"/>
          <w:noProof/>
          <w:sz w:val="24"/>
          <w:szCs w:val="18"/>
        </w:rPr>
      </w:pPr>
    </w:p>
    <w:p w14:paraId="759566EC" w14:textId="77777777" w:rsidR="0083515C" w:rsidRPr="00392D70" w:rsidRDefault="0083515C" w:rsidP="001F2648">
      <w:pPr>
        <w:jc w:val="both"/>
        <w:rPr>
          <w:rFonts w:ascii="Times New Roman" w:hAnsi="Times New Roman"/>
          <w:i/>
          <w:iCs/>
          <w:noProof/>
          <w:sz w:val="24"/>
        </w:rPr>
      </w:pPr>
      <w:r>
        <w:rPr>
          <w:rFonts w:ascii="Times New Roman" w:hAnsi="Times New Roman"/>
          <w:i/>
          <w:sz w:val="24"/>
        </w:rPr>
        <w:t>3.3.2. Palielināt novērošanas, mērīšanas, pārraudzīšanas un ziņošanas spējas un izveidot ES mēroga starptautiski saskanīgu novērošanas sistēmu, lai izsekotu ekonomisko, vides un sociālo attīstību virzībā uz ilgtspējīgu bioekonomiku</w:t>
      </w:r>
    </w:p>
    <w:p w14:paraId="7F9A7466" w14:textId="77777777" w:rsidR="00CF10CD" w:rsidRPr="00DF28F7" w:rsidRDefault="00CF10CD" w:rsidP="001F2648">
      <w:pPr>
        <w:jc w:val="both"/>
        <w:rPr>
          <w:rFonts w:ascii="Times New Roman" w:eastAsia="Times New Roman" w:hAnsi="Times New Roman" w:cs="Times New Roman"/>
          <w:noProof/>
          <w:sz w:val="24"/>
          <w:szCs w:val="18"/>
        </w:rPr>
      </w:pPr>
    </w:p>
    <w:p w14:paraId="6370793E" w14:textId="77777777" w:rsidR="0083515C" w:rsidRPr="00DF28F7" w:rsidRDefault="0083515C" w:rsidP="001F2648">
      <w:pPr>
        <w:jc w:val="both"/>
        <w:rPr>
          <w:rFonts w:ascii="Times New Roman" w:eastAsia="Times New Roman" w:hAnsi="Times New Roman" w:cs="Times New Roman"/>
          <w:noProof/>
          <w:sz w:val="24"/>
          <w:szCs w:val="9"/>
        </w:rPr>
      </w:pPr>
    </w:p>
    <w:p w14:paraId="6CE83A07" w14:textId="77777777" w:rsidR="0083515C" w:rsidRPr="00392D70" w:rsidRDefault="00392D70" w:rsidP="00392D70">
      <w:pPr>
        <w:pStyle w:val="BodyText"/>
        <w:tabs>
          <w:tab w:val="left" w:pos="331"/>
        </w:tabs>
        <w:ind w:left="0"/>
        <w:jc w:val="both"/>
        <w:rPr>
          <w:rFonts w:ascii="Times New Roman" w:hAnsi="Times New Roman"/>
          <w:i/>
          <w:iCs/>
          <w:noProof/>
          <w:sz w:val="24"/>
          <w:u w:val="single" w:color="000000"/>
        </w:rPr>
      </w:pPr>
      <w:r>
        <w:rPr>
          <w:rFonts w:ascii="Times New Roman" w:hAnsi="Times New Roman"/>
          <w:i/>
          <w:sz w:val="24"/>
          <w:u w:val="single" w:color="000000"/>
        </w:rPr>
        <w:t>i) Palielināt novērošanas, mērīšanas, pārraudzīšanas un ziņošanas spējas attiecībā uz bioloģiskās daudzveidības, ekosistēmu un ekosistēmu sniegto pakalpojumu statusu, lai atbalstītu ekosistēmu aizsardzību un atjaunošanu</w:t>
      </w:r>
    </w:p>
    <w:p w14:paraId="24071E13" w14:textId="77777777" w:rsidR="0083515C"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50F6C" w14:paraId="51D44FB7" w14:textId="77777777" w:rsidTr="00650F6C">
        <w:tc>
          <w:tcPr>
            <w:tcW w:w="9288" w:type="dxa"/>
          </w:tcPr>
          <w:p w14:paraId="4019785F" w14:textId="77777777" w:rsidR="00650F6C" w:rsidRPr="00650F6C" w:rsidRDefault="00650F6C" w:rsidP="00650F6C">
            <w:pPr>
              <w:jc w:val="both"/>
              <w:rPr>
                <w:rFonts w:ascii="Times New Roman" w:hAnsi="Times New Roman"/>
                <w:i/>
                <w:iCs/>
                <w:noProof/>
                <w:sz w:val="24"/>
              </w:rPr>
            </w:pPr>
            <w:r>
              <w:rPr>
                <w:rFonts w:ascii="Times New Roman" w:hAnsi="Times New Roman"/>
                <w:i/>
                <w:sz w:val="24"/>
              </w:rPr>
              <w:t>Šajā darbībā veicinās novērošanas, mērīšanas, pārraudzīšanas un ziņošanas spējas attiecībā uz bioloģiskās daudzveidības, ekosistēmu un ekosistēmu sniegto pakalpojumu statusu un stāvokli, sekmīgāk izmantojot Copernicus pakalpojumus, Sentinel satelītu datus, INSPIRE in situ datus un citus attiecīgi telpiski definētus datu avotus. Tas palīdzēs labāk noteikt un novērtēt bioloģiskās daudzveidības un ekosistēmu tendences, kā arī virzību uz degradētu ekosistēmu atjaunošanu. Turklāt tas palīdzēs nodrošināt stabilu pamatu atjaunošanas pasākumu identificēšanai un prioritāšu noteikšanai.</w:t>
            </w:r>
          </w:p>
          <w:p w14:paraId="2C2BBA91" w14:textId="77777777" w:rsidR="00650F6C" w:rsidRPr="00650F6C" w:rsidRDefault="00650F6C" w:rsidP="00650F6C">
            <w:pPr>
              <w:jc w:val="both"/>
              <w:rPr>
                <w:rFonts w:ascii="Times New Roman" w:eastAsia="Times New Roman" w:hAnsi="Times New Roman" w:cs="Times New Roman"/>
                <w:i/>
                <w:iCs/>
                <w:noProof/>
                <w:sz w:val="24"/>
                <w:szCs w:val="21"/>
              </w:rPr>
            </w:pPr>
          </w:p>
          <w:p w14:paraId="24A10F4A" w14:textId="77777777" w:rsidR="00650F6C" w:rsidRPr="00650F6C" w:rsidRDefault="00650F6C" w:rsidP="001F2648">
            <w:pPr>
              <w:jc w:val="both"/>
              <w:rPr>
                <w:rFonts w:ascii="Times New Roman" w:hAnsi="Times New Roman"/>
                <w:noProof/>
                <w:sz w:val="24"/>
              </w:rPr>
            </w:pPr>
            <w:r>
              <w:rPr>
                <w:rFonts w:ascii="Times New Roman" w:hAnsi="Times New Roman"/>
                <w:i/>
                <w:sz w:val="24"/>
              </w:rPr>
              <w:t>Rādītāji. Ekosistēmas statusa un maiņas karte un statistikas dati; ieguldījums ekosistēmas novērtēšanā un uzskaitē.</w:t>
            </w:r>
          </w:p>
        </w:tc>
      </w:tr>
    </w:tbl>
    <w:p w14:paraId="59030468" w14:textId="77777777" w:rsidR="00392D70" w:rsidRDefault="00392D70" w:rsidP="001F2648">
      <w:pPr>
        <w:jc w:val="both"/>
        <w:rPr>
          <w:rFonts w:ascii="Times New Roman" w:eastAsia="Times New Roman" w:hAnsi="Times New Roman" w:cs="Times New Roman"/>
          <w:noProof/>
          <w:sz w:val="24"/>
          <w:szCs w:val="18"/>
        </w:rPr>
      </w:pPr>
    </w:p>
    <w:p w14:paraId="63CCFD52"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Šobrīd trūkst aktuālu un visaptverošu datu, lai pienācīgi novērtētu ekosistēmu stāvokli. Ir svarīgi iegūt labākus un aktuālākus datus, lai varētu kvantitatīvi novērtēt spiedienu (piemēram, zemes izmantošanas maiņa, piesārņojums u. c.) un mērīt bioekonomikas ietekmi uz ekosistēmām un to sniegtajiem pakalpojumiem (piemēram, biotopu sadrumstalotību, bioloģiskās daudzveidības zudumu u. c.), kā arī to, kā tas varētu ietekmēt saimnieciskās darbības pamatu ilgtermiņā. Šajā darbībā palīdzēs nodrošināt aktuālu, telpiski definētu informāciju par bioloģiskās daudzveidības un ekosistēmu statusu un stāvokli. Tas ļaus papildināt ekosistēmu uzskaiti un var veicināt Eiropas bioekonomikas uzraudzības sistēmas izveidi.</w:t>
      </w:r>
    </w:p>
    <w:p w14:paraId="4A1F1013" w14:textId="77777777" w:rsidR="0083515C" w:rsidRPr="00DF28F7" w:rsidRDefault="0083515C" w:rsidP="001F2648">
      <w:pPr>
        <w:jc w:val="both"/>
        <w:rPr>
          <w:rFonts w:ascii="Times New Roman" w:eastAsia="Verdana" w:hAnsi="Times New Roman" w:cs="Verdana"/>
          <w:noProof/>
          <w:sz w:val="24"/>
          <w:szCs w:val="19"/>
        </w:rPr>
      </w:pPr>
    </w:p>
    <w:p w14:paraId="24B88837"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Šīs darbības pamatā būs galvenokārt </w:t>
      </w:r>
      <w:r>
        <w:rPr>
          <w:rFonts w:ascii="Times New Roman" w:hAnsi="Times New Roman"/>
          <w:i/>
          <w:iCs/>
          <w:sz w:val="24"/>
        </w:rPr>
        <w:t>Copernicus</w:t>
      </w:r>
      <w:r>
        <w:rPr>
          <w:rFonts w:ascii="Times New Roman" w:hAnsi="Times New Roman"/>
          <w:sz w:val="24"/>
        </w:rPr>
        <w:t xml:space="preserve"> programma, dati un pakalpojumi, kā arī telpiskie dati, uz kuriem attiecas </w:t>
      </w:r>
      <w:r>
        <w:rPr>
          <w:rFonts w:ascii="Times New Roman" w:hAnsi="Times New Roman"/>
          <w:i/>
          <w:iCs/>
          <w:sz w:val="24"/>
        </w:rPr>
        <w:t>INSPIRE</w:t>
      </w:r>
      <w:r>
        <w:rPr>
          <w:rFonts w:ascii="Times New Roman" w:hAnsi="Times New Roman"/>
          <w:sz w:val="24"/>
        </w:rPr>
        <w:t xml:space="preserve"> direktīva (2007/2/EK), un tajā izmantos citus </w:t>
      </w:r>
      <w:r>
        <w:rPr>
          <w:rFonts w:ascii="Times New Roman" w:hAnsi="Times New Roman"/>
          <w:sz w:val="24"/>
        </w:rPr>
        <w:lastRenderedPageBreak/>
        <w:t xml:space="preserve">attiecīgos datu avotus, piemēram, pilsonisko zinātni vai dalībvalstu pārvaldītos </w:t>
      </w:r>
      <w:r>
        <w:rPr>
          <w:rFonts w:ascii="Times New Roman" w:hAnsi="Times New Roman"/>
          <w:i/>
          <w:iCs/>
          <w:sz w:val="24"/>
        </w:rPr>
        <w:t>in situ</w:t>
      </w:r>
      <w:r>
        <w:rPr>
          <w:rFonts w:ascii="Times New Roman" w:hAnsi="Times New Roman"/>
          <w:sz w:val="24"/>
        </w:rPr>
        <w:t xml:space="preserve"> pārraudzības tīklus. Mērķis ir stiprināt ģeotelpisko izlūkspēju, lai interpretētu satelītu datus nolūkā savlaicīgi un visaptveroši novērtēt bioloģiskās daudzveidības un ekosistēmu sniegto pakalpojumu statusu un stāvokli, veicot labāku kalibrēšanu ar zemes datiem.</w:t>
      </w:r>
    </w:p>
    <w:p w14:paraId="564E5B41" w14:textId="77777777" w:rsidR="0083515C" w:rsidRDefault="0083515C" w:rsidP="001F2648">
      <w:pPr>
        <w:jc w:val="both"/>
        <w:rPr>
          <w:rFonts w:ascii="Times New Roman" w:eastAsia="Verdana" w:hAnsi="Times New Roman" w:cs="Verdana"/>
          <w:noProof/>
          <w:sz w:val="24"/>
          <w:szCs w:val="19"/>
        </w:rPr>
      </w:pPr>
    </w:p>
    <w:p w14:paraId="170FAC13" w14:textId="77777777" w:rsidR="00650F6C" w:rsidRPr="00DF28F7" w:rsidRDefault="00650F6C" w:rsidP="001F2648">
      <w:pPr>
        <w:jc w:val="both"/>
        <w:rPr>
          <w:rFonts w:ascii="Times New Roman" w:eastAsia="Verdana" w:hAnsi="Times New Roman" w:cs="Verdana"/>
          <w:noProof/>
          <w:sz w:val="24"/>
          <w:szCs w:val="19"/>
        </w:rPr>
      </w:pPr>
    </w:p>
    <w:p w14:paraId="4F49181D" w14:textId="77777777" w:rsidR="0083515C" w:rsidRPr="00650F6C" w:rsidRDefault="00650F6C" w:rsidP="00650F6C">
      <w:pPr>
        <w:pStyle w:val="BodyText"/>
        <w:tabs>
          <w:tab w:val="left" w:pos="402"/>
        </w:tabs>
        <w:ind w:left="0"/>
        <w:jc w:val="both"/>
        <w:rPr>
          <w:rFonts w:ascii="Times New Roman" w:hAnsi="Times New Roman"/>
          <w:i/>
          <w:iCs/>
          <w:noProof/>
          <w:sz w:val="24"/>
          <w:u w:val="single" w:color="000000"/>
        </w:rPr>
      </w:pPr>
      <w:r>
        <w:rPr>
          <w:rFonts w:ascii="Times New Roman" w:hAnsi="Times New Roman"/>
          <w:i/>
          <w:sz w:val="24"/>
          <w:u w:val="single" w:color="000000"/>
        </w:rPr>
        <w:t>ii) Izveidot ES mēroga starptautiski saskanīgu novērošanas sistēmu, lai izsekotu ekonomisko, vides un sociālo attīstību virzībā uz ilgtspējīgu bioekonomiku</w:t>
      </w:r>
    </w:p>
    <w:p w14:paraId="422EE7C0" w14:textId="77777777" w:rsidR="0083515C" w:rsidRPr="00DF28F7" w:rsidRDefault="0083515C" w:rsidP="001F2648">
      <w:pPr>
        <w:jc w:val="both"/>
        <w:rPr>
          <w:rFonts w:ascii="Times New Roman" w:eastAsia="Times New Roman" w:hAnsi="Times New Roman" w:cs="Times New Roman"/>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50F6C" w14:paraId="1CF0D529" w14:textId="77777777" w:rsidTr="00650F6C">
        <w:tc>
          <w:tcPr>
            <w:tcW w:w="9288" w:type="dxa"/>
          </w:tcPr>
          <w:p w14:paraId="1C7D9B13" w14:textId="77777777" w:rsidR="00650F6C" w:rsidRPr="00650F6C" w:rsidRDefault="00650F6C" w:rsidP="00650F6C">
            <w:pPr>
              <w:jc w:val="both"/>
              <w:rPr>
                <w:rFonts w:ascii="Times New Roman" w:eastAsia="Times New Roman" w:hAnsi="Times New Roman" w:cs="Times New Roman"/>
                <w:i/>
                <w:iCs/>
                <w:noProof/>
                <w:sz w:val="24"/>
                <w:szCs w:val="17"/>
              </w:rPr>
            </w:pPr>
            <w:r>
              <w:rPr>
                <w:rFonts w:ascii="Times New Roman" w:hAnsi="Times New Roman"/>
                <w:i/>
                <w:sz w:val="24"/>
              </w:rPr>
              <w:t>Šajā darbībā tiks izstrādāta un ieviesta visaptveroša bioekonomikas pārraudzības sistēma, kas aptvers ekonomisko, vides un sociālo dimensiju, un ar Bioekonomikas zināšanu centra starpniecību nodrošinās tās publisku pieejamību. Dalībvalstis tiek aicinātas sadarboties, lai nodrošinātu, ka izstrādātās un dažādos līmeņos izmantotās novērošanas sistēmas ir saderīgas un papildinošas.</w:t>
            </w:r>
          </w:p>
          <w:p w14:paraId="19B2F814" w14:textId="77777777" w:rsidR="00650F6C" w:rsidRPr="00650F6C" w:rsidRDefault="00650F6C" w:rsidP="00650F6C">
            <w:pPr>
              <w:jc w:val="both"/>
              <w:rPr>
                <w:rFonts w:ascii="Times New Roman" w:eastAsia="Times New Roman" w:hAnsi="Times New Roman" w:cs="Times New Roman"/>
                <w:i/>
                <w:iCs/>
                <w:noProof/>
                <w:sz w:val="24"/>
                <w:szCs w:val="20"/>
              </w:rPr>
            </w:pPr>
          </w:p>
          <w:p w14:paraId="01E3D862" w14:textId="77777777" w:rsidR="00650F6C" w:rsidRPr="00650F6C" w:rsidRDefault="00650F6C" w:rsidP="001F2648">
            <w:pPr>
              <w:jc w:val="both"/>
              <w:rPr>
                <w:rFonts w:ascii="Times New Roman" w:eastAsia="Times New Roman" w:hAnsi="Times New Roman" w:cs="Times New Roman"/>
                <w:i/>
                <w:iCs/>
                <w:noProof/>
                <w:sz w:val="24"/>
                <w:szCs w:val="19"/>
              </w:rPr>
            </w:pPr>
            <w:r>
              <w:rPr>
                <w:rFonts w:ascii="Times New Roman" w:hAnsi="Times New Roman"/>
                <w:i/>
                <w:sz w:val="24"/>
              </w:rPr>
              <w:t>Rādītāji. Izstrādātā pārraudzības sistēma un rādītāju kopums; izveidotā tiešsaistes mijiedarbība.</w:t>
            </w:r>
          </w:p>
        </w:tc>
      </w:tr>
    </w:tbl>
    <w:p w14:paraId="5E2E4A28" w14:textId="77777777" w:rsidR="00150DA1" w:rsidRDefault="00150DA1" w:rsidP="001F2648">
      <w:pPr>
        <w:jc w:val="both"/>
        <w:rPr>
          <w:rFonts w:ascii="Times New Roman" w:eastAsia="Times New Roman" w:hAnsi="Times New Roman" w:cs="Times New Roman"/>
          <w:noProof/>
          <w:sz w:val="24"/>
          <w:szCs w:val="17"/>
        </w:rPr>
      </w:pPr>
    </w:p>
    <w:p w14:paraId="30DFBD38"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Eiropas Bioekonomikas 2012. gada stratēģijas 2017. gada pārskatā tika secināts, ka “ir vajadzīgas labākas pārraudzības un novērtēšanas sistēmas, lai novērtētu progresu” un ka “</w:t>
      </w:r>
      <w:r>
        <w:rPr>
          <w:rFonts w:ascii="Times New Roman" w:hAnsi="Times New Roman"/>
          <w:i/>
          <w:iCs/>
          <w:sz w:val="24"/>
        </w:rPr>
        <w:t>ir vajadzīgi jauni pasākumi, lai izstrādātu attiecīgus rādītājus un zinātniskus pierādījumus politikas veidošanai un īstenotu visaptverošu pārraudzības un novērtēšanas sistēmu</w:t>
      </w:r>
      <w:r>
        <w:rPr>
          <w:rFonts w:ascii="Times New Roman" w:hAnsi="Times New Roman"/>
          <w:sz w:val="24"/>
        </w:rPr>
        <w:t>”.</w:t>
      </w:r>
    </w:p>
    <w:p w14:paraId="126ADB46" w14:textId="77777777" w:rsidR="0083515C" w:rsidRPr="00DF28F7" w:rsidRDefault="0083515C" w:rsidP="001F2648">
      <w:pPr>
        <w:jc w:val="both"/>
        <w:rPr>
          <w:rFonts w:ascii="Times New Roman" w:eastAsia="Verdana" w:hAnsi="Times New Roman" w:cs="Verdana"/>
          <w:noProof/>
          <w:sz w:val="24"/>
          <w:szCs w:val="19"/>
        </w:rPr>
      </w:pPr>
    </w:p>
    <w:p w14:paraId="286ABC50"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Šajā darbībā paredzēts:</w:t>
      </w:r>
    </w:p>
    <w:p w14:paraId="21C6FF2A" w14:textId="77777777" w:rsidR="0083515C" w:rsidRPr="00DF28F7" w:rsidRDefault="0083515C" w:rsidP="001F2648">
      <w:pPr>
        <w:jc w:val="both"/>
        <w:rPr>
          <w:rFonts w:ascii="Times New Roman" w:eastAsia="Verdana" w:hAnsi="Times New Roman" w:cs="Verdana"/>
          <w:noProof/>
          <w:sz w:val="24"/>
          <w:szCs w:val="14"/>
        </w:rPr>
      </w:pPr>
    </w:p>
    <w:p w14:paraId="6A37A747" w14:textId="77777777" w:rsidR="0083515C" w:rsidRPr="00DF28F7" w:rsidRDefault="00650F6C" w:rsidP="00650F6C">
      <w:pPr>
        <w:pStyle w:val="BodyText"/>
        <w:tabs>
          <w:tab w:val="left" w:pos="523"/>
        </w:tabs>
        <w:ind w:left="0"/>
        <w:jc w:val="both"/>
        <w:rPr>
          <w:rFonts w:ascii="Times New Roman" w:hAnsi="Times New Roman"/>
          <w:noProof/>
          <w:sz w:val="24"/>
        </w:rPr>
      </w:pPr>
      <w:r>
        <w:rPr>
          <w:rFonts w:ascii="Times New Roman" w:hAnsi="Times New Roman"/>
          <w:sz w:val="24"/>
        </w:rPr>
        <w:t>1) nodrošināt un ieviest vienkāršu un visaptverošu pārraudzības sistēmu, kas aptver visus ilgtspējības aspektus (ekonomiskos, sociālos un vides), un rādītājus, kuru pamatā ir pašreizējās un jaunās, starptautiski kopīgās pārraudzības un novērtēšanas sistēmas.</w:t>
      </w:r>
      <w:r w:rsidR="00902B8E">
        <w:rPr>
          <w:rStyle w:val="FootnoteReference"/>
          <w:rFonts w:ascii="Times New Roman" w:hAnsi="Times New Roman"/>
          <w:noProof/>
          <w:sz w:val="24"/>
        </w:rPr>
        <w:footnoteReference w:id="300"/>
      </w:r>
      <w:r>
        <w:rPr>
          <w:rFonts w:ascii="Times New Roman" w:hAnsi="Times New Roman"/>
          <w:sz w:val="24"/>
        </w:rPr>
        <w:t xml:space="preserve"> Šo pārraudzības sistēmu periodiski pārskatīs. Ja nepieciešams, tiks iekļauti jauni rādītāji, vienlaikus nodrošinot pārraudzības nepārtrauktību;</w:t>
      </w:r>
    </w:p>
    <w:p w14:paraId="74193165" w14:textId="77777777" w:rsidR="0083515C" w:rsidRPr="00DF28F7" w:rsidRDefault="0083515C" w:rsidP="00650F6C">
      <w:pPr>
        <w:jc w:val="both"/>
        <w:rPr>
          <w:rFonts w:ascii="Times New Roman" w:hAnsi="Times New Roman"/>
          <w:noProof/>
          <w:sz w:val="24"/>
        </w:rPr>
      </w:pPr>
    </w:p>
    <w:p w14:paraId="0588F165" w14:textId="77777777" w:rsidR="0083515C" w:rsidRPr="00DF28F7" w:rsidRDefault="00650F6C" w:rsidP="00650F6C">
      <w:pPr>
        <w:pStyle w:val="BodyText"/>
        <w:tabs>
          <w:tab w:val="left" w:pos="611"/>
        </w:tabs>
        <w:ind w:left="0"/>
        <w:jc w:val="both"/>
        <w:rPr>
          <w:rFonts w:ascii="Times New Roman" w:hAnsi="Times New Roman"/>
          <w:noProof/>
          <w:sz w:val="24"/>
        </w:rPr>
      </w:pPr>
      <w:r>
        <w:rPr>
          <w:rFonts w:ascii="Times New Roman" w:hAnsi="Times New Roman"/>
          <w:sz w:val="24"/>
        </w:rPr>
        <w:t>2) ar Komisijas Bioekonomikas zināšanu centra starpniecību tiešsaistē vizuāli iepazīstināt ar pārraudzības rādītājiem. Īpašā ziņojumā periodiski tiks sniegts apkopojums.</w:t>
      </w:r>
    </w:p>
    <w:p w14:paraId="71A17359" w14:textId="77777777" w:rsidR="0083515C" w:rsidRPr="00DF28F7" w:rsidRDefault="0083515C" w:rsidP="001F2648">
      <w:pPr>
        <w:jc w:val="both"/>
        <w:rPr>
          <w:rFonts w:ascii="Times New Roman" w:eastAsia="Verdana" w:hAnsi="Times New Roman" w:cs="Verdana"/>
          <w:noProof/>
          <w:sz w:val="24"/>
          <w:szCs w:val="19"/>
        </w:rPr>
      </w:pPr>
    </w:p>
    <w:p w14:paraId="59D31E5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Pārraudzības sistēmu izstrādās apspriežu procesā, kuru vadīs Kopīgais pētniecības centrs ciešā sadarbībā ar dalībvalstīm, citiem Komisijas dienestiem un galvenajām ieinteresētajām pusēm. Tās pamatā būs dati, kas publicēti un periodiski atjaunināti autoritatīvos statistikas avotos un starptautiski atzītās pārraudzības un ziņošanas sistēmās. Tāpēc nav paredzams, ka darbība varētu radīt papildu ziņošanas slogu.</w:t>
      </w:r>
    </w:p>
    <w:p w14:paraId="1340812C" w14:textId="77777777" w:rsidR="0083515C" w:rsidRPr="00DF28F7" w:rsidRDefault="0083515C" w:rsidP="001F2648">
      <w:pPr>
        <w:jc w:val="both"/>
        <w:rPr>
          <w:rFonts w:ascii="Times New Roman" w:eastAsia="Verdana" w:hAnsi="Times New Roman" w:cs="Verdana"/>
          <w:noProof/>
          <w:sz w:val="24"/>
          <w:szCs w:val="19"/>
        </w:rPr>
      </w:pPr>
    </w:p>
    <w:p w14:paraId="2CA82EF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Pārraudzības sistēmā tiks integrēti arī esošie galvenie darbības rādītāji un citi rādītāji, tostarp tie, kurus izmanto ilgtspējīgas attīstības mērķu pārraudzībai Eiropas Savienībā. Izmantojot kopīgus rādītājus, tiks nodrošināta saskanība ar citiem starptautiskiem pārraudzības procesiem un varēs salīdzināt dažādas dalībvalstis, kā arī ES un dalībvalstu līmeņa novērtējumus.</w:t>
      </w:r>
    </w:p>
    <w:p w14:paraId="4B1F1D4A" w14:textId="77777777" w:rsidR="0083515C" w:rsidRPr="00DF28F7" w:rsidRDefault="0083515C" w:rsidP="001F2648">
      <w:pPr>
        <w:jc w:val="both"/>
        <w:rPr>
          <w:rFonts w:ascii="Times New Roman" w:eastAsia="Verdana" w:hAnsi="Times New Roman" w:cs="Verdana"/>
          <w:noProof/>
          <w:sz w:val="24"/>
          <w:szCs w:val="19"/>
        </w:rPr>
      </w:pPr>
    </w:p>
    <w:p w14:paraId="03B36C0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Iespējams, tiks konstatēts zināšanu trūkums, kā rezultātā tiks sniegti ierosinājumi uzlabot esošos datu vākšanas pasākumus, tostarp sniegti priekšlikumi jauniem rādītājiem attiecīgajiem </w:t>
      </w:r>
      <w:r>
        <w:rPr>
          <w:rFonts w:ascii="Times New Roman" w:hAnsi="Times New Roman"/>
          <w:sz w:val="24"/>
        </w:rPr>
        <w:lastRenderedPageBreak/>
        <w:t xml:space="preserve">statistikas avotiem (piemēram, </w:t>
      </w:r>
      <w:r>
        <w:rPr>
          <w:rFonts w:ascii="Times New Roman" w:hAnsi="Times New Roman"/>
          <w:i/>
          <w:iCs/>
          <w:sz w:val="24"/>
        </w:rPr>
        <w:t>EUROSTAT</w:t>
      </w:r>
      <w:r>
        <w:rPr>
          <w:rFonts w:ascii="Times New Roman" w:hAnsi="Times New Roman"/>
          <w:sz w:val="24"/>
        </w:rPr>
        <w:t>, ANO Pārtikas un lauksaimniecības organizācija utt.), un priekšlikums jauniem pētniecības tematiem.</w:t>
      </w:r>
    </w:p>
    <w:p w14:paraId="1543778C" w14:textId="77777777" w:rsidR="0083515C" w:rsidRPr="00DF28F7" w:rsidRDefault="0083515C" w:rsidP="001F2648">
      <w:pPr>
        <w:jc w:val="both"/>
        <w:rPr>
          <w:rFonts w:ascii="Times New Roman" w:eastAsia="Verdana" w:hAnsi="Times New Roman" w:cs="Verdana"/>
          <w:noProof/>
          <w:sz w:val="24"/>
          <w:szCs w:val="19"/>
        </w:rPr>
      </w:pPr>
    </w:p>
    <w:p w14:paraId="584E0223" w14:textId="77777777" w:rsidR="00902B8E" w:rsidRDefault="00902B8E" w:rsidP="00902B8E">
      <w:pPr>
        <w:pStyle w:val="BodyText"/>
        <w:tabs>
          <w:tab w:val="left" w:pos="434"/>
        </w:tabs>
        <w:ind w:left="0"/>
        <w:jc w:val="both"/>
        <w:rPr>
          <w:rFonts w:ascii="Times New Roman" w:hAnsi="Times New Roman"/>
          <w:noProof/>
          <w:sz w:val="24"/>
          <w:u w:val="single" w:color="000000"/>
        </w:rPr>
      </w:pPr>
    </w:p>
    <w:p w14:paraId="43B4CF1B" w14:textId="77777777" w:rsidR="0083515C" w:rsidRPr="00902B8E" w:rsidRDefault="00902B8E" w:rsidP="00902B8E">
      <w:pPr>
        <w:pStyle w:val="BodyText"/>
        <w:tabs>
          <w:tab w:val="left" w:pos="434"/>
        </w:tabs>
        <w:ind w:left="0"/>
        <w:jc w:val="both"/>
        <w:rPr>
          <w:rFonts w:ascii="Times New Roman" w:hAnsi="Times New Roman"/>
          <w:i/>
          <w:iCs/>
          <w:noProof/>
          <w:sz w:val="24"/>
          <w:u w:val="single" w:color="000000"/>
        </w:rPr>
      </w:pPr>
      <w:r>
        <w:rPr>
          <w:rFonts w:ascii="Times New Roman" w:hAnsi="Times New Roman"/>
          <w:i/>
          <w:sz w:val="24"/>
          <w:u w:val="single" w:color="000000"/>
        </w:rPr>
        <w:t>iii) Uzlabot pārraudzību attiecībā uz degradētas zemes platībām vai zemi, kuru var ietekmēt klimata pārmaiņas, piemēram, pārtuksnešošanās, lai tādējādi atbalstītu darbības uz zemi balstītu sistēmu atjaunošanai</w:t>
      </w:r>
    </w:p>
    <w:p w14:paraId="0A7A2936"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902B8E" w14:paraId="7E8724C4" w14:textId="77777777" w:rsidTr="00902B8E">
        <w:tc>
          <w:tcPr>
            <w:tcW w:w="9288" w:type="dxa"/>
          </w:tcPr>
          <w:p w14:paraId="0B8BAD66" w14:textId="77777777" w:rsidR="00902B8E" w:rsidRPr="00902B8E" w:rsidRDefault="00902B8E" w:rsidP="00902B8E">
            <w:pPr>
              <w:jc w:val="both"/>
              <w:rPr>
                <w:rFonts w:ascii="Times New Roman" w:hAnsi="Times New Roman"/>
                <w:i/>
                <w:iCs/>
                <w:noProof/>
                <w:sz w:val="24"/>
              </w:rPr>
            </w:pPr>
            <w:r>
              <w:rPr>
                <w:rFonts w:ascii="Times New Roman" w:hAnsi="Times New Roman"/>
                <w:i/>
                <w:sz w:val="24"/>
              </w:rPr>
              <w:t>Šajā darbībā veicinās telpiski definētas zemes maiņas kartēšanu, primāri izmantojot Copernicus pakalpojumus un Sentinel satelītu datus, kā arī no kosmosa veiktās biomasas izmaiņu aplēses. Šajā darbībā galvenā uzmanība tiks pievērsta neaizsargātām un degradētām zemēm (piemēram, Vidusjūras reģionam, Austrumeiropai).</w:t>
            </w:r>
          </w:p>
          <w:p w14:paraId="0887DF0D" w14:textId="77777777" w:rsidR="00902B8E" w:rsidRPr="00902B8E" w:rsidRDefault="00902B8E" w:rsidP="00902B8E">
            <w:pPr>
              <w:jc w:val="both"/>
              <w:rPr>
                <w:rFonts w:ascii="Times New Roman" w:eastAsia="Times New Roman" w:hAnsi="Times New Roman" w:cs="Times New Roman"/>
                <w:i/>
                <w:iCs/>
                <w:noProof/>
                <w:sz w:val="24"/>
                <w:szCs w:val="20"/>
              </w:rPr>
            </w:pPr>
          </w:p>
          <w:p w14:paraId="5F84A3A7" w14:textId="77777777" w:rsidR="00902B8E" w:rsidRPr="00902B8E" w:rsidRDefault="00902B8E" w:rsidP="001F2648">
            <w:pPr>
              <w:jc w:val="both"/>
              <w:rPr>
                <w:rFonts w:ascii="Times New Roman" w:hAnsi="Times New Roman"/>
                <w:noProof/>
                <w:sz w:val="24"/>
              </w:rPr>
            </w:pPr>
            <w:r>
              <w:rPr>
                <w:rFonts w:ascii="Times New Roman" w:hAnsi="Times New Roman"/>
                <w:i/>
                <w:sz w:val="24"/>
              </w:rPr>
              <w:t>Rādītāji. Zemes maiņas un biomasas kartes un statistikas dati; siltumnīcefekta gāzu emisijas un piesaiste.</w:t>
            </w:r>
          </w:p>
        </w:tc>
      </w:tr>
    </w:tbl>
    <w:p w14:paraId="219A7103" w14:textId="77777777" w:rsidR="00150DA1" w:rsidRDefault="00150DA1" w:rsidP="001F2648">
      <w:pPr>
        <w:jc w:val="both"/>
        <w:rPr>
          <w:rFonts w:ascii="Times New Roman" w:eastAsia="Times New Roman" w:hAnsi="Times New Roman" w:cs="Times New Roman"/>
          <w:noProof/>
          <w:sz w:val="24"/>
          <w:szCs w:val="18"/>
        </w:rPr>
      </w:pPr>
    </w:p>
    <w:p w14:paraId="3CEE32A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Ainavās nereti īsteno lēnu virziena pārveides procesu, kā rezultātā bieži vien tiek zaudēta biomasa. Degradētas ainavas var būt īpaši neaizsargātas pret tādiem dabiskiem traucējumiem kā plūdi vai ugunsgrēki, vai pretvēja stādījumi, kas novērojami aizvien biežāk un/vai ir kļuvuši nopietnāki klimata pārmaiņu dēļ, turklāt turpina radīt lielāku kaitējumu cilvēkiem un infrastruktūrai. Šīs darbības mērķi ir šādi: 1) efektīvāk un atbilstīgāk izmantot dabas resursus, 2) samazināt SEG emisijas, 3) vadīt zemes izmantošanas praksi un sniegt objektīvu informāciju lēmuma pieņemšanai par zemes izmantošanu, 4) veikt attiecīgus pasākumus zemes apsaimniekošanas jomā un 5) sekmēt vienotu Eiropas novērošanas sistēmu no kosmosa.</w:t>
      </w:r>
    </w:p>
    <w:p w14:paraId="191A94E7" w14:textId="77777777" w:rsidR="0083515C" w:rsidRPr="00DF28F7" w:rsidRDefault="0083515C" w:rsidP="001F2648">
      <w:pPr>
        <w:jc w:val="both"/>
        <w:rPr>
          <w:rFonts w:ascii="Times New Roman" w:eastAsia="Verdana" w:hAnsi="Times New Roman" w:cs="Verdana"/>
          <w:noProof/>
          <w:sz w:val="24"/>
          <w:szCs w:val="19"/>
        </w:rPr>
      </w:pPr>
    </w:p>
    <w:p w14:paraId="2BCF2009"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Šajā darbībā paredzēts:</w:t>
      </w:r>
    </w:p>
    <w:p w14:paraId="440CC300" w14:textId="77777777" w:rsidR="0083515C" w:rsidRPr="00DF28F7" w:rsidRDefault="0083515C" w:rsidP="001F2648">
      <w:pPr>
        <w:jc w:val="both"/>
        <w:rPr>
          <w:rFonts w:ascii="Times New Roman" w:eastAsia="Verdana" w:hAnsi="Times New Roman" w:cs="Verdana"/>
          <w:noProof/>
          <w:sz w:val="24"/>
          <w:szCs w:val="14"/>
        </w:rPr>
      </w:pPr>
    </w:p>
    <w:p w14:paraId="38A1A6A6" w14:textId="77777777" w:rsidR="0083515C" w:rsidRPr="00DF28F7" w:rsidRDefault="00902B8E" w:rsidP="00902B8E">
      <w:pPr>
        <w:pStyle w:val="BodyText"/>
        <w:tabs>
          <w:tab w:val="left" w:pos="541"/>
        </w:tabs>
        <w:ind w:left="0"/>
        <w:jc w:val="both"/>
        <w:rPr>
          <w:rFonts w:ascii="Times New Roman" w:hAnsi="Times New Roman"/>
          <w:noProof/>
          <w:sz w:val="24"/>
        </w:rPr>
      </w:pPr>
      <w:r>
        <w:rPr>
          <w:rFonts w:ascii="Times New Roman" w:hAnsi="Times New Roman"/>
          <w:sz w:val="24"/>
        </w:rPr>
        <w:t>1) vairot zināšanas, savlaicīgi sniedzot telpiski definētu informāciju par biomasu un (gada) biomasas pārmaiņām;</w:t>
      </w:r>
    </w:p>
    <w:p w14:paraId="2C830B5E" w14:textId="77777777" w:rsidR="0083515C" w:rsidRPr="00DF28F7" w:rsidRDefault="0083515C" w:rsidP="00902B8E">
      <w:pPr>
        <w:jc w:val="both"/>
        <w:rPr>
          <w:rFonts w:ascii="Times New Roman" w:eastAsia="Verdana" w:hAnsi="Times New Roman" w:cs="Verdana"/>
          <w:noProof/>
          <w:sz w:val="24"/>
          <w:szCs w:val="19"/>
        </w:rPr>
      </w:pPr>
    </w:p>
    <w:p w14:paraId="3A57DF8E" w14:textId="77777777" w:rsidR="0083515C" w:rsidRPr="00DF28F7" w:rsidRDefault="00902B8E" w:rsidP="00902B8E">
      <w:pPr>
        <w:pStyle w:val="BodyText"/>
        <w:tabs>
          <w:tab w:val="left" w:pos="509"/>
        </w:tabs>
        <w:ind w:left="0"/>
        <w:jc w:val="both"/>
        <w:rPr>
          <w:rFonts w:ascii="Times New Roman" w:hAnsi="Times New Roman"/>
          <w:noProof/>
          <w:sz w:val="24"/>
        </w:rPr>
      </w:pPr>
      <w:r>
        <w:rPr>
          <w:rFonts w:ascii="Times New Roman" w:hAnsi="Times New Roman"/>
          <w:sz w:val="24"/>
        </w:rPr>
        <w:t>2) palīdzēt izveidot Eiropas novērošanas sistēmu attiecībā uz zemes izmantošanas vajadzībām dažādās politikas jomās, kas turklāt kalpotu par pamatu prognozēm un riska kartēm nākotnē;</w:t>
      </w:r>
    </w:p>
    <w:p w14:paraId="58280C39" w14:textId="77777777" w:rsidR="0083515C" w:rsidRPr="00DF28F7" w:rsidRDefault="0083515C" w:rsidP="00902B8E">
      <w:pPr>
        <w:jc w:val="both"/>
        <w:rPr>
          <w:rFonts w:ascii="Times New Roman" w:eastAsia="Verdana" w:hAnsi="Times New Roman" w:cs="Verdana"/>
          <w:noProof/>
          <w:sz w:val="24"/>
          <w:szCs w:val="19"/>
        </w:rPr>
      </w:pPr>
    </w:p>
    <w:p w14:paraId="1369C50B" w14:textId="77777777" w:rsidR="0083515C" w:rsidRPr="00DF28F7" w:rsidRDefault="00902B8E" w:rsidP="00902B8E">
      <w:pPr>
        <w:pStyle w:val="BodyText"/>
        <w:tabs>
          <w:tab w:val="left" w:pos="517"/>
        </w:tabs>
        <w:ind w:left="0"/>
        <w:jc w:val="both"/>
        <w:rPr>
          <w:rFonts w:ascii="Times New Roman" w:hAnsi="Times New Roman"/>
          <w:noProof/>
          <w:sz w:val="24"/>
        </w:rPr>
      </w:pPr>
      <w:r>
        <w:rPr>
          <w:rFonts w:ascii="Times New Roman" w:hAnsi="Times New Roman"/>
          <w:sz w:val="24"/>
        </w:rPr>
        <w:t xml:space="preserve">3) palīdzēt ievērot dažādus politikas virzienus, regulējumus un programmas ES līmenī (KLP un ar klimatu saistīti pasākumi, </w:t>
      </w:r>
      <w:r>
        <w:rPr>
          <w:rFonts w:ascii="Times New Roman" w:hAnsi="Times New Roman"/>
          <w:i/>
          <w:iCs/>
          <w:sz w:val="24"/>
        </w:rPr>
        <w:t>LULUCF</w:t>
      </w:r>
      <w:r>
        <w:rPr>
          <w:rFonts w:ascii="Times New Roman" w:hAnsi="Times New Roman"/>
          <w:sz w:val="24"/>
        </w:rPr>
        <w:t xml:space="preserve"> Regula (ES) 2018/841, </w:t>
      </w:r>
      <w:r>
        <w:rPr>
          <w:rFonts w:ascii="Times New Roman" w:hAnsi="Times New Roman"/>
          <w:i/>
          <w:iCs/>
          <w:sz w:val="24"/>
        </w:rPr>
        <w:t>INSPIRE</w:t>
      </w:r>
      <w:r>
        <w:rPr>
          <w:rFonts w:ascii="Times New Roman" w:hAnsi="Times New Roman"/>
          <w:sz w:val="24"/>
        </w:rPr>
        <w:t>) un pasaules līmenī, lai nodrošinātu zemes pārraudzības pasākumu atbilstību starptautiskām konvencijām un struktūrām.</w:t>
      </w:r>
    </w:p>
    <w:p w14:paraId="5BB904C5" w14:textId="77777777" w:rsidR="0083515C" w:rsidRPr="00DF28F7" w:rsidRDefault="0083515C" w:rsidP="001F2648">
      <w:pPr>
        <w:jc w:val="both"/>
        <w:rPr>
          <w:rFonts w:ascii="Times New Roman" w:eastAsia="Verdana" w:hAnsi="Times New Roman" w:cs="Verdana"/>
          <w:noProof/>
          <w:sz w:val="24"/>
          <w:szCs w:val="19"/>
        </w:rPr>
      </w:pPr>
    </w:p>
    <w:p w14:paraId="63F8E83C"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Darbības pamatā būs galvenokārt </w:t>
      </w:r>
      <w:r>
        <w:rPr>
          <w:rFonts w:ascii="Times New Roman" w:hAnsi="Times New Roman"/>
          <w:i/>
          <w:iCs/>
          <w:sz w:val="24"/>
        </w:rPr>
        <w:t>Copernicus</w:t>
      </w:r>
      <w:r>
        <w:rPr>
          <w:rFonts w:ascii="Times New Roman" w:hAnsi="Times New Roman"/>
          <w:sz w:val="24"/>
        </w:rPr>
        <w:t xml:space="preserve"> programma, dati un pakalpojumi, un tajā izmantos kosmosā esošos satelītus, segmentus uz zemes un datu apstrādes platformas (mākoņus). Lai izstrādātu jaunus vai plašākus pakalpojumus, kā arī riska novērtējumus un prognozes, šajā procesā ir jāiesaista dalībvalstis un privātais sektors.</w:t>
      </w:r>
    </w:p>
    <w:p w14:paraId="5EF22A80" w14:textId="77777777" w:rsidR="00CF10CD" w:rsidRPr="00DF28F7" w:rsidRDefault="00CF10CD" w:rsidP="001F2648">
      <w:pPr>
        <w:jc w:val="both"/>
        <w:rPr>
          <w:rFonts w:ascii="Times New Roman" w:eastAsia="Verdana" w:hAnsi="Times New Roman" w:cs="Verdana"/>
          <w:noProof/>
          <w:sz w:val="24"/>
          <w:szCs w:val="20"/>
        </w:rPr>
      </w:pPr>
    </w:p>
    <w:p w14:paraId="0B554F23" w14:textId="77777777" w:rsidR="0083515C" w:rsidRPr="00DF28F7" w:rsidRDefault="0083515C" w:rsidP="001F2648">
      <w:pPr>
        <w:jc w:val="both"/>
        <w:rPr>
          <w:rFonts w:ascii="Times New Roman" w:eastAsia="Verdana" w:hAnsi="Times New Roman" w:cs="Verdana"/>
          <w:noProof/>
          <w:sz w:val="24"/>
          <w:szCs w:val="19"/>
        </w:rPr>
      </w:pPr>
    </w:p>
    <w:p w14:paraId="62C9B500" w14:textId="77777777" w:rsidR="0083515C" w:rsidRPr="00902B8E" w:rsidRDefault="0083515C" w:rsidP="001F2648">
      <w:pPr>
        <w:jc w:val="both"/>
        <w:rPr>
          <w:rFonts w:ascii="Times New Roman" w:hAnsi="Times New Roman"/>
          <w:i/>
          <w:iCs/>
          <w:noProof/>
          <w:sz w:val="24"/>
        </w:rPr>
      </w:pPr>
      <w:r>
        <w:rPr>
          <w:rFonts w:ascii="Times New Roman" w:hAnsi="Times New Roman"/>
          <w:i/>
          <w:sz w:val="24"/>
        </w:rPr>
        <w:t>3.3.3. Fakultatīvi norādījumi par bioekonomikas darbību drošās ekoloģiskās robežās</w:t>
      </w:r>
    </w:p>
    <w:p w14:paraId="6F319F2F" w14:textId="77777777" w:rsidR="00CF10CD" w:rsidRPr="00DF28F7" w:rsidRDefault="00CF10CD"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414D8" w14:paraId="4BF104C7" w14:textId="77777777" w:rsidTr="00C414D8">
        <w:tc>
          <w:tcPr>
            <w:tcW w:w="9288" w:type="dxa"/>
          </w:tcPr>
          <w:p w14:paraId="5DB4B446" w14:textId="77777777" w:rsidR="00C414D8" w:rsidRPr="00C414D8" w:rsidRDefault="00C414D8" w:rsidP="00C414D8">
            <w:pPr>
              <w:jc w:val="both"/>
              <w:rPr>
                <w:rFonts w:ascii="Times New Roman" w:hAnsi="Times New Roman"/>
                <w:i/>
                <w:iCs/>
                <w:noProof/>
                <w:sz w:val="24"/>
              </w:rPr>
            </w:pPr>
            <w:r>
              <w:rPr>
                <w:rFonts w:ascii="Times New Roman" w:hAnsi="Times New Roman"/>
                <w:i/>
                <w:sz w:val="24"/>
              </w:rPr>
              <w:t xml:space="preserve">Tiks sniegti norādījumi, kuru pamatā būs analīze un novērtējumi, lai izmantotu zināšanas par pieprasījuma radīto spiedienu (piemēram, zemes izmantošanas maiņa un pieprasījums pēc zemes), ekosistēmu stāvokli, daudzfunkcionālām ekosistēmām, pakalpojumiem un </w:t>
            </w:r>
            <w:r>
              <w:rPr>
                <w:rFonts w:ascii="Times New Roman" w:hAnsi="Times New Roman"/>
                <w:i/>
                <w:sz w:val="24"/>
              </w:rPr>
              <w:lastRenderedPageBreak/>
              <w:t>produktivitāti, aizsardzību, atjaunošanu un ekosistēmu noturību. Šāda rīcība balstīsies uz norādījumiem par ekosistēmu sniegto pakalpojumu integrēšanu lēmumu pieņemšanā.</w:t>
            </w:r>
          </w:p>
          <w:p w14:paraId="7874D856" w14:textId="77777777" w:rsidR="00C414D8" w:rsidRPr="00C414D8" w:rsidRDefault="00C414D8" w:rsidP="00C414D8">
            <w:pPr>
              <w:jc w:val="both"/>
              <w:rPr>
                <w:rFonts w:ascii="Times New Roman" w:eastAsia="Times New Roman" w:hAnsi="Times New Roman" w:cs="Times New Roman"/>
                <w:i/>
                <w:iCs/>
                <w:noProof/>
                <w:sz w:val="24"/>
                <w:szCs w:val="20"/>
              </w:rPr>
            </w:pPr>
          </w:p>
          <w:p w14:paraId="359C6590" w14:textId="77777777" w:rsidR="00C414D8" w:rsidRPr="00C414D8" w:rsidRDefault="00C414D8" w:rsidP="001F2648">
            <w:pPr>
              <w:jc w:val="both"/>
              <w:rPr>
                <w:rFonts w:ascii="Times New Roman" w:hAnsi="Times New Roman"/>
                <w:i/>
                <w:iCs/>
                <w:noProof/>
                <w:sz w:val="24"/>
              </w:rPr>
            </w:pPr>
            <w:r>
              <w:rPr>
                <w:rFonts w:ascii="Times New Roman" w:hAnsi="Times New Roman"/>
                <w:i/>
                <w:sz w:val="24"/>
              </w:rPr>
              <w:t>Rādītāji. Uzlabots sugu un biotopu aizsardzības statuss saskaņā ar Dabas direktīvām; uzlabots jūras ekosistēmu vides statuss saskaņā ar MSFD; palielināta labā stāvoklī esošo ekosistēmu platība saskaņā ar MAES metodiku.</w:t>
            </w:r>
          </w:p>
        </w:tc>
      </w:tr>
    </w:tbl>
    <w:p w14:paraId="78511A5C" w14:textId="77777777" w:rsidR="0083515C" w:rsidRPr="00DF28F7" w:rsidRDefault="0083515C" w:rsidP="001F2648">
      <w:pPr>
        <w:jc w:val="both"/>
        <w:rPr>
          <w:rFonts w:ascii="Times New Roman" w:eastAsia="Times New Roman" w:hAnsi="Times New Roman" w:cs="Times New Roman"/>
          <w:noProof/>
          <w:sz w:val="24"/>
          <w:szCs w:val="16"/>
        </w:rPr>
      </w:pPr>
    </w:p>
    <w:p w14:paraId="5A6D33F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Bioekonomikas politikai un uzņēmējdarbībai jādarbojas ekoloģiskās robežās. Palielinot bioekonomikas nozaru pieprasījumu, palielināsies spiediens uz dabu, ja vien tas netiks pienācīgi līdzsvarots, nodrošinot ilgtspējīgi ražotu biomasu.</w:t>
      </w:r>
    </w:p>
    <w:p w14:paraId="2A700811" w14:textId="77777777" w:rsidR="0083515C" w:rsidRPr="00DF28F7" w:rsidRDefault="0083515C" w:rsidP="001F2648">
      <w:pPr>
        <w:jc w:val="both"/>
        <w:rPr>
          <w:rFonts w:ascii="Times New Roman" w:eastAsia="Verdana" w:hAnsi="Times New Roman" w:cs="Verdana"/>
          <w:noProof/>
          <w:sz w:val="24"/>
          <w:szCs w:val="19"/>
        </w:rPr>
      </w:pPr>
    </w:p>
    <w:p w14:paraId="26F22C86"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Bioekonomikā ir jārod jauni veidi sadarbībai ar dabu. Piemērojot zināšanas par ekosistēmām un to sniegtajiem pakalpojumiem, var uzlabot produktivitāti un noturību, piemēram, sajaucot kultūras, kas uzlabo ražību un noturību, kā arī samazina nepieciešamību apkarot kaitēkļus. Ir nepieciešami norādījumi par to, kā izmantot ekosistēmu pieejas un funkcijas, nevis darboties pret tām, un kā strādāt drošās ekoloģiskās robežās.</w:t>
      </w:r>
    </w:p>
    <w:p w14:paraId="33A2DAEF" w14:textId="77777777" w:rsidR="0083515C" w:rsidRPr="00DF28F7" w:rsidRDefault="0083515C" w:rsidP="001F2648">
      <w:pPr>
        <w:jc w:val="both"/>
        <w:rPr>
          <w:rFonts w:ascii="Times New Roman" w:eastAsia="Verdana" w:hAnsi="Times New Roman" w:cs="Verdana"/>
          <w:noProof/>
          <w:sz w:val="24"/>
          <w:szCs w:val="19"/>
        </w:rPr>
      </w:pPr>
    </w:p>
    <w:p w14:paraId="09B5DCE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Ja nebūs šādu norādījumu, kas palīdzētu virzīt bioekonomikas attīstību, pastāv risks palielināt spiedienu uz ekosistēmām. Savukārt, ja bioekonomikas attīstībā var īstenot ilgtspējīgākas un ekoloģiski pamatotākas pieejas, pastāv iespēja izstrādāt jaunus “visām pusēm izdevīgus” scenārijus.</w:t>
      </w:r>
    </w:p>
    <w:p w14:paraId="20E7D70B" w14:textId="77777777" w:rsidR="0083515C" w:rsidRPr="00DF28F7" w:rsidRDefault="0083515C" w:rsidP="001F2648">
      <w:pPr>
        <w:jc w:val="both"/>
        <w:rPr>
          <w:rFonts w:ascii="Times New Roman" w:eastAsia="Verdana" w:hAnsi="Times New Roman" w:cs="Verdana"/>
          <w:noProof/>
          <w:sz w:val="24"/>
          <w:szCs w:val="19"/>
        </w:rPr>
      </w:pPr>
    </w:p>
    <w:p w14:paraId="79318E0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Norādījumi par ekosistēmu pakalpojumu integrēšanu lēmumu pieņemšanā, ko publicēs šogad, tiks izstrādāti līdz 2022. gadam saskaņā ar ES Rīcības plānu dabai, cilvēkam un ekonomikai, lai veicinātu ekosistēmu un to sniegto pakalpojumu integrēšanu plānošanā un lēmumu pieņemšanā, ņemot vērā ietekmes mazināšanas hierarhiju (novērst-mazināt-kompensēt), kas jāievēro, lai veselīgas ekosistēmas varētu turpināt sniegt dažādus pakalpojumus.</w:t>
      </w:r>
    </w:p>
    <w:p w14:paraId="7D224B86" w14:textId="77777777" w:rsidR="00CF10CD" w:rsidRPr="00DF28F7" w:rsidRDefault="00CF10CD" w:rsidP="001F2648">
      <w:pPr>
        <w:jc w:val="both"/>
        <w:rPr>
          <w:rFonts w:ascii="Times New Roman" w:hAnsi="Times New Roman"/>
          <w:noProof/>
          <w:sz w:val="24"/>
        </w:rPr>
      </w:pPr>
    </w:p>
    <w:p w14:paraId="27B861AC" w14:textId="77777777" w:rsidR="0083515C" w:rsidRPr="00C414D8" w:rsidRDefault="0083515C" w:rsidP="001F2648">
      <w:pPr>
        <w:jc w:val="both"/>
        <w:rPr>
          <w:rFonts w:ascii="Times New Roman" w:hAnsi="Times New Roman"/>
          <w:i/>
          <w:iCs/>
          <w:noProof/>
          <w:sz w:val="24"/>
        </w:rPr>
      </w:pPr>
      <w:r>
        <w:rPr>
          <w:rFonts w:ascii="Times New Roman" w:hAnsi="Times New Roman"/>
          <w:i/>
          <w:sz w:val="24"/>
        </w:rPr>
        <w:t>3.3.4. Ieguvumu no biodaudzveidīgām ekosistēmām labāk integrēt primārajā ražošanā ar īpašu atbalstu agroekoloģijai, mikrobiomā balstītu risinājumu izstrādei un jauniem līdzekļiem apputeksnētāju integrēšanai piegādes vērtības ķēdēs</w:t>
      </w:r>
    </w:p>
    <w:p w14:paraId="6787BF0D" w14:textId="77777777" w:rsidR="00CF10CD" w:rsidRPr="00DF28F7" w:rsidRDefault="00CF10CD" w:rsidP="001F2648">
      <w:pPr>
        <w:jc w:val="both"/>
        <w:rPr>
          <w:rFonts w:ascii="Times New Roman" w:eastAsia="Times New Roman" w:hAnsi="Times New Roman" w:cs="Times New Roman"/>
          <w:noProof/>
          <w:sz w:val="24"/>
          <w:szCs w:val="18"/>
        </w:rPr>
      </w:pPr>
    </w:p>
    <w:p w14:paraId="5DB93F12" w14:textId="77777777" w:rsidR="0083515C" w:rsidRPr="00DF28F7" w:rsidRDefault="0083515C" w:rsidP="001F2648">
      <w:pPr>
        <w:jc w:val="both"/>
        <w:rPr>
          <w:rFonts w:ascii="Times New Roman" w:eastAsia="Times New Roman" w:hAnsi="Times New Roman" w:cs="Times New Roman"/>
          <w:noProof/>
          <w:sz w:val="24"/>
          <w:szCs w:val="9"/>
        </w:rPr>
      </w:pPr>
    </w:p>
    <w:p w14:paraId="26B57E37" w14:textId="77777777" w:rsidR="0083515C" w:rsidRPr="00C414D8" w:rsidRDefault="0083515C" w:rsidP="001F2648">
      <w:pPr>
        <w:pStyle w:val="BodyText"/>
        <w:ind w:left="0"/>
        <w:jc w:val="both"/>
        <w:rPr>
          <w:rFonts w:ascii="Times New Roman" w:hAnsi="Times New Roman"/>
          <w:i/>
          <w:iCs/>
          <w:noProof/>
          <w:sz w:val="24"/>
          <w:u w:val="single" w:color="000000"/>
        </w:rPr>
      </w:pPr>
      <w:r>
        <w:rPr>
          <w:rFonts w:ascii="Times New Roman" w:hAnsi="Times New Roman"/>
          <w:i/>
          <w:sz w:val="24"/>
          <w:u w:val="single" w:color="000000"/>
        </w:rPr>
        <w:t>i) Izpratnes uzlabošana par mikrobioloģisko daudzveidību, lai izstrādātu mikrobiomā balstītus risinājumus</w:t>
      </w:r>
    </w:p>
    <w:p w14:paraId="1BB7D44E"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414D8" w14:paraId="452ACD06" w14:textId="77777777" w:rsidTr="00C414D8">
        <w:tc>
          <w:tcPr>
            <w:tcW w:w="9288" w:type="dxa"/>
          </w:tcPr>
          <w:p w14:paraId="76588362" w14:textId="77777777" w:rsidR="00C414D8" w:rsidRPr="00C414D8" w:rsidRDefault="00C414D8" w:rsidP="00C414D8">
            <w:pPr>
              <w:jc w:val="both"/>
              <w:rPr>
                <w:rFonts w:ascii="Times New Roman" w:hAnsi="Times New Roman"/>
                <w:i/>
                <w:iCs/>
                <w:noProof/>
                <w:sz w:val="24"/>
              </w:rPr>
            </w:pPr>
            <w:r>
              <w:rPr>
                <w:rFonts w:ascii="Times New Roman" w:hAnsi="Times New Roman"/>
                <w:i/>
                <w:sz w:val="24"/>
              </w:rPr>
              <w:t>Šajā darbībā veicinās dažādu, ilgtspējīgu pārtikas un primārās ražošanas sistēmu bioloģisko daudzveidību, galveno uzmanību pievēršot mikrobioloģiskajai daudzveidībai saistībā ar lauksaimniecības, kā arī meža un jūras ekosistēmām un izstrādājot mikrobiomā balstītus risinājumus. Vērā ņems esošās iniciatīvas un projektus, piemēram, Starptautisko Bioekonomikas forumu vai pašreizējo programmu “Apvārsnis 2020” un valstu projektus. Tiks meklēta arī starpnozaru un pārrobežu sadarbība starp disciplīnām un ar ieinteresētajām pusēm.</w:t>
            </w:r>
          </w:p>
          <w:p w14:paraId="3CB538A5" w14:textId="77777777" w:rsidR="00C414D8" w:rsidRPr="00C414D8" w:rsidRDefault="00C414D8" w:rsidP="00C414D8">
            <w:pPr>
              <w:jc w:val="both"/>
              <w:rPr>
                <w:rFonts w:ascii="Times New Roman" w:eastAsia="Times New Roman" w:hAnsi="Times New Roman" w:cs="Times New Roman"/>
                <w:i/>
                <w:iCs/>
                <w:noProof/>
                <w:sz w:val="24"/>
                <w:szCs w:val="20"/>
              </w:rPr>
            </w:pPr>
          </w:p>
          <w:p w14:paraId="0F4AD71B" w14:textId="77777777" w:rsidR="00C414D8" w:rsidRPr="00C414D8" w:rsidRDefault="00C414D8" w:rsidP="001F2648">
            <w:pPr>
              <w:jc w:val="both"/>
              <w:rPr>
                <w:rFonts w:ascii="Times New Roman" w:hAnsi="Times New Roman"/>
                <w:i/>
                <w:iCs/>
                <w:noProof/>
                <w:sz w:val="24"/>
              </w:rPr>
            </w:pPr>
            <w:r>
              <w:rPr>
                <w:rFonts w:ascii="Times New Roman" w:hAnsi="Times New Roman"/>
                <w:i/>
                <w:sz w:val="24"/>
              </w:rPr>
              <w:t>Rādītāji. Ceļveža izstrāde, ES mikrobioma pētniecības un inovācijas projektu skaits; starptautisko partneru skaits ES mikrobioma pētniecības un inovācijas projektos (pētniecības un inovācijas kopienas izveide); IBF partneru paplašināšana (tīklu konsolidācija); testpiemēru izveide attiecībā uz tādas primārās ražošanas praksi, kurā izmanto mikrobioloģiskās daudzveidības priekšrocības; attiecīgajos pētniecības projektos ieguldītie EUR; attiecīgo pētniecības projektu skaits.</w:t>
            </w:r>
          </w:p>
        </w:tc>
      </w:tr>
    </w:tbl>
    <w:p w14:paraId="16082B16" w14:textId="77777777" w:rsidR="0083515C" w:rsidRPr="00DF28F7" w:rsidRDefault="0083515C" w:rsidP="001F2648">
      <w:pPr>
        <w:jc w:val="both"/>
        <w:rPr>
          <w:rFonts w:ascii="Times New Roman" w:eastAsia="Times New Roman" w:hAnsi="Times New Roman" w:cs="Times New Roman"/>
          <w:noProof/>
          <w:sz w:val="24"/>
          <w:szCs w:val="16"/>
        </w:rPr>
      </w:pPr>
    </w:p>
    <w:p w14:paraId="52699E8B"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Parasti mikrobiomu definē kā mikroorganismu kopumu (piemēram, baktērijas, sēnītes, vīrusi), kuru genomi atrodami noteiktā vidē (piemēram, organisms, augi un dzīvnieki, augsne, ūdens). Lai gan šā brīža zināšanas par esošajiem mikrobiomiem ir ierobežotas, to sarežģītības apzināšanai ir milzīgs potenciāls rast ilgtspējīgus veidus mūsu planētas apsaimniekošanai, bioekonomikas potenciāla attīstīšanai, bioloģiskās daudzveidības izprašanai un aizsardzībai dabas sistēmās un primārajā ražošanā, kā arī vairāku ilgtspējīgas attīstības mērķu sasniegšanai. Iegūtās zināšanas, atklājumi, pamattehnoloģijas un prakse var palīdzēt attīstīt pielietojumu cilvēku, augu un dzīvnieku veselības, pārtikas ražošanas, patēriņa un drošības, kā arī vides jomā, kas turklāt veicinātu spēcīgu un ilgtspējīgu bioekonomiku, vienlaikus aizsargājot sauszemes un ūdens ekosistēmām raksturīgo vērtību un bioloģisko daudzveidību.</w:t>
      </w:r>
      <w:r w:rsidR="00C414D8">
        <w:rPr>
          <w:rStyle w:val="FootnoteReference"/>
          <w:rFonts w:ascii="Times New Roman" w:hAnsi="Times New Roman"/>
          <w:noProof/>
          <w:sz w:val="24"/>
        </w:rPr>
        <w:footnoteReference w:id="301"/>
      </w:r>
    </w:p>
    <w:p w14:paraId="38F41323" w14:textId="77777777" w:rsidR="0083515C" w:rsidRPr="00DF28F7" w:rsidRDefault="0083515C" w:rsidP="001F2648">
      <w:pPr>
        <w:jc w:val="both"/>
        <w:rPr>
          <w:rFonts w:ascii="Times New Roman" w:eastAsia="Verdana" w:hAnsi="Times New Roman" w:cs="Verdana"/>
          <w:noProof/>
          <w:sz w:val="24"/>
          <w:szCs w:val="20"/>
        </w:rPr>
      </w:pPr>
    </w:p>
    <w:p w14:paraId="068EFAFD" w14:textId="77777777" w:rsidR="0083515C" w:rsidRPr="00DF28F7" w:rsidRDefault="0083515C" w:rsidP="001F2648">
      <w:pPr>
        <w:pStyle w:val="BodyText"/>
        <w:ind w:left="0"/>
        <w:jc w:val="both"/>
        <w:rPr>
          <w:rFonts w:ascii="Times New Roman" w:hAnsi="Times New Roman"/>
          <w:noProof/>
          <w:sz w:val="24"/>
          <w:szCs w:val="12"/>
        </w:rPr>
      </w:pPr>
      <w:r>
        <w:rPr>
          <w:rFonts w:ascii="Times New Roman" w:hAnsi="Times New Roman"/>
          <w:sz w:val="24"/>
        </w:rPr>
        <w:t>Zinātniskā sabiedrība ir reģistrējusi ar šo problēmu saistītās grūtības un apmērus un ir aicinājusi īstenot starptautisku starpdisciplināru iniciatīvu</w:t>
      </w:r>
      <w:r w:rsidR="00C414D8">
        <w:rPr>
          <w:rStyle w:val="FootnoteReference"/>
          <w:rFonts w:ascii="Times New Roman" w:hAnsi="Times New Roman"/>
          <w:noProof/>
          <w:sz w:val="24"/>
        </w:rPr>
        <w:footnoteReference w:id="302"/>
      </w:r>
      <w:r>
        <w:rPr>
          <w:rFonts w:ascii="Times New Roman" w:hAnsi="Times New Roman"/>
          <w:sz w:val="24"/>
        </w:rPr>
        <w:t>, papildinot pašreizējos centienus.</w:t>
      </w:r>
      <w:r w:rsidR="00C414D8">
        <w:rPr>
          <w:rStyle w:val="FootnoteReference"/>
          <w:rFonts w:ascii="Times New Roman" w:hAnsi="Times New Roman"/>
          <w:noProof/>
          <w:sz w:val="24"/>
        </w:rPr>
        <w:footnoteReference w:id="303"/>
      </w:r>
    </w:p>
    <w:p w14:paraId="363F6426" w14:textId="77777777" w:rsidR="0083515C" w:rsidRPr="00DF28F7" w:rsidRDefault="0083515C" w:rsidP="001F2648">
      <w:pPr>
        <w:jc w:val="both"/>
        <w:rPr>
          <w:rFonts w:ascii="Times New Roman" w:eastAsia="Verdana" w:hAnsi="Times New Roman" w:cs="Verdana"/>
          <w:noProof/>
          <w:sz w:val="24"/>
          <w:szCs w:val="19"/>
        </w:rPr>
      </w:pPr>
    </w:p>
    <w:p w14:paraId="38F1CE09"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Šajā darbībā paredzēts:</w:t>
      </w:r>
    </w:p>
    <w:p w14:paraId="2F7A0D02" w14:textId="77777777" w:rsidR="0083515C" w:rsidRPr="00DF28F7" w:rsidRDefault="0083515C" w:rsidP="001F2648">
      <w:pPr>
        <w:jc w:val="both"/>
        <w:rPr>
          <w:rFonts w:ascii="Times New Roman" w:eastAsia="Verdana" w:hAnsi="Times New Roman" w:cs="Verdana"/>
          <w:noProof/>
          <w:sz w:val="24"/>
          <w:szCs w:val="14"/>
        </w:rPr>
      </w:pPr>
    </w:p>
    <w:p w14:paraId="7851C21E" w14:textId="77777777" w:rsidR="0083515C" w:rsidRPr="00C414D8" w:rsidRDefault="00C414D8" w:rsidP="00C414D8">
      <w:pPr>
        <w:pStyle w:val="BodyText"/>
        <w:tabs>
          <w:tab w:val="left" w:pos="489"/>
        </w:tabs>
        <w:ind w:left="0"/>
        <w:jc w:val="both"/>
        <w:rPr>
          <w:rFonts w:ascii="Times New Roman" w:hAnsi="Times New Roman"/>
          <w:noProof/>
          <w:sz w:val="24"/>
        </w:rPr>
      </w:pPr>
      <w:r>
        <w:rPr>
          <w:rFonts w:ascii="Times New Roman" w:hAnsi="Times New Roman"/>
          <w:sz w:val="24"/>
        </w:rPr>
        <w:t>1) veicināt koordināciju, prakses apmaiņu, kā arī pētniecību un inovāciju šajā jomā, tādējādi veicinot ilgtspējīgas pārtikas sistēmas pārveidi. Turklāt pasākumi sekmēs biodaudzveidīgas primārās ražošanas prakses īstenošanu. Tiks meklēta dalībvalstu, starptautisko partneru, rūpniecības, akadēmisko aprindu, lauksaimniecības, mežsaimniecības, zivsaimniecības, NVO un citu attiecīgo ieinteresēto pušu aktīva līdzdalība;</w:t>
      </w:r>
    </w:p>
    <w:p w14:paraId="7390E22B" w14:textId="77777777" w:rsidR="0083515C" w:rsidRPr="00DF28F7" w:rsidRDefault="0083515C" w:rsidP="00C414D8">
      <w:pPr>
        <w:jc w:val="both"/>
        <w:rPr>
          <w:rFonts w:ascii="Times New Roman" w:eastAsia="Verdana" w:hAnsi="Times New Roman" w:cs="Verdana"/>
          <w:noProof/>
          <w:sz w:val="24"/>
          <w:szCs w:val="19"/>
        </w:rPr>
      </w:pPr>
    </w:p>
    <w:p w14:paraId="184193C5" w14:textId="77777777" w:rsidR="0083515C" w:rsidRPr="00DF28F7" w:rsidRDefault="00C414D8" w:rsidP="00C414D8">
      <w:pPr>
        <w:pStyle w:val="BodyText"/>
        <w:tabs>
          <w:tab w:val="left" w:pos="500"/>
        </w:tabs>
        <w:ind w:left="0"/>
        <w:jc w:val="both"/>
        <w:rPr>
          <w:rFonts w:ascii="Times New Roman" w:hAnsi="Times New Roman"/>
          <w:noProof/>
          <w:sz w:val="24"/>
        </w:rPr>
      </w:pPr>
      <w:r>
        <w:rPr>
          <w:rFonts w:ascii="Times New Roman" w:hAnsi="Times New Roman"/>
          <w:sz w:val="24"/>
        </w:rPr>
        <w:t>2) veicināt koordināciju ar pašreizējo programmu “Apvārsnis 2020”, mikrobioma konsorciju izveidi un valstu iniciatīvas, kā arī starpdisciplinaritāti. Tiks ņemti vērā Starptautiskajā Bioekonomikas forumā notiekošie un gaidāmie ar mikrobiomu saistītie pasākumi.</w:t>
      </w:r>
    </w:p>
    <w:p w14:paraId="26CEA1B1" w14:textId="77777777" w:rsidR="0083515C" w:rsidRPr="00DF28F7" w:rsidRDefault="0083515C" w:rsidP="001F2648">
      <w:pPr>
        <w:jc w:val="both"/>
        <w:rPr>
          <w:rFonts w:ascii="Times New Roman" w:eastAsia="Verdana" w:hAnsi="Times New Roman" w:cs="Verdana"/>
          <w:noProof/>
          <w:sz w:val="24"/>
          <w:szCs w:val="19"/>
        </w:rPr>
      </w:pPr>
    </w:p>
    <w:p w14:paraId="601DD4D2" w14:textId="77777777" w:rsidR="00C414D8" w:rsidRDefault="00C414D8" w:rsidP="001F2648">
      <w:pPr>
        <w:pStyle w:val="BodyText"/>
        <w:ind w:left="0"/>
        <w:jc w:val="both"/>
        <w:rPr>
          <w:rFonts w:ascii="Times New Roman" w:hAnsi="Times New Roman"/>
          <w:noProof/>
          <w:sz w:val="24"/>
          <w:u w:val="single" w:color="000000"/>
        </w:rPr>
      </w:pPr>
    </w:p>
    <w:p w14:paraId="737A6E1A" w14:textId="77777777" w:rsidR="0083515C" w:rsidRPr="00C414D8" w:rsidRDefault="0083515C" w:rsidP="001F2648">
      <w:pPr>
        <w:pStyle w:val="BodyText"/>
        <w:ind w:left="0"/>
        <w:jc w:val="both"/>
        <w:rPr>
          <w:rFonts w:ascii="Times New Roman" w:hAnsi="Times New Roman"/>
          <w:i/>
          <w:iCs/>
          <w:noProof/>
          <w:sz w:val="24"/>
          <w:u w:val="single" w:color="000000"/>
        </w:rPr>
      </w:pPr>
      <w:r>
        <w:rPr>
          <w:rFonts w:ascii="Times New Roman" w:hAnsi="Times New Roman"/>
          <w:i/>
          <w:sz w:val="24"/>
          <w:u w:val="single" w:color="000000"/>
        </w:rPr>
        <w:t>ii) Izstrādāt rīcības plānu, lai atbalstītu agroekoloģiju, mobilizējot ES pētniecības un inovācijas pamatprogrammu, kopējo lauksaimniecības politiku, programmu LIFE un citus attiecīgos ES instrumentus</w:t>
      </w:r>
    </w:p>
    <w:p w14:paraId="3ADED847"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414D8" w14:paraId="0EB83006" w14:textId="77777777" w:rsidTr="00C414D8">
        <w:tc>
          <w:tcPr>
            <w:tcW w:w="9288" w:type="dxa"/>
          </w:tcPr>
          <w:p w14:paraId="121BE6F3" w14:textId="77777777" w:rsidR="00C414D8" w:rsidRPr="00C414D8" w:rsidRDefault="00C414D8" w:rsidP="00C414D8">
            <w:pPr>
              <w:jc w:val="both"/>
              <w:rPr>
                <w:rFonts w:ascii="Times New Roman" w:hAnsi="Times New Roman"/>
                <w:i/>
                <w:iCs/>
                <w:noProof/>
                <w:sz w:val="24"/>
              </w:rPr>
            </w:pPr>
            <w:r>
              <w:rPr>
                <w:rFonts w:ascii="Times New Roman" w:hAnsi="Times New Roman"/>
                <w:i/>
                <w:sz w:val="24"/>
              </w:rPr>
              <w:t>Šajā darbībā tiks pastiprināti centieni saskaņoti vairot zināšanas par agrobioloģiskās daudzveidības virzītājspēkiem un uzlabot (bioloģisko) daudzveidību lauksaimniecības produkcijas ražošanā, mobilizējot instrumentus (piemēram, ES pētniecības un inovācijas pamatprogrammu, EIP AGRI, LIFE).</w:t>
            </w:r>
          </w:p>
          <w:p w14:paraId="5377B2DF" w14:textId="77777777" w:rsidR="00C414D8" w:rsidRPr="00C414D8" w:rsidRDefault="00C414D8" w:rsidP="00C414D8">
            <w:pPr>
              <w:jc w:val="both"/>
              <w:rPr>
                <w:rFonts w:ascii="Times New Roman" w:eastAsia="Times New Roman" w:hAnsi="Times New Roman" w:cs="Times New Roman"/>
                <w:i/>
                <w:iCs/>
                <w:noProof/>
                <w:sz w:val="24"/>
                <w:szCs w:val="20"/>
              </w:rPr>
            </w:pPr>
          </w:p>
          <w:p w14:paraId="3215F080" w14:textId="77777777" w:rsidR="00C414D8" w:rsidRPr="00C414D8" w:rsidRDefault="00C414D8" w:rsidP="001F2648">
            <w:pPr>
              <w:jc w:val="both"/>
              <w:rPr>
                <w:rFonts w:ascii="Times New Roman" w:hAnsi="Times New Roman"/>
                <w:i/>
                <w:iCs/>
                <w:noProof/>
                <w:sz w:val="24"/>
              </w:rPr>
            </w:pPr>
            <w:r>
              <w:rPr>
                <w:rFonts w:ascii="Times New Roman" w:hAnsi="Times New Roman"/>
                <w:i/>
                <w:sz w:val="24"/>
              </w:rPr>
              <w:t>Rādītāji. Izstrādātais rīcības plāns; finansēto projektu/pasākumu skaits; demonstrējumu pasākumu skaits; no lauksaimnieku kopienas iesaistīto ieinteresēto pušu skaits; bioloģiskās daudzveidības aizsardzības veicināšana (% no Kopienas nozīmes sugām un biotopiem, kas saistīti ar lauksaimniecību ar stabilu vai pieaugošu tendenci); KLP bioloģiskās daudzveidības rādītāji; MAES rādītāji par agroekosistēmu stāvokli.</w:t>
            </w:r>
          </w:p>
        </w:tc>
      </w:tr>
    </w:tbl>
    <w:p w14:paraId="4B1721A2" w14:textId="77777777" w:rsidR="0083515C" w:rsidRPr="00DF28F7" w:rsidRDefault="0083515C" w:rsidP="001F2648">
      <w:pPr>
        <w:jc w:val="both"/>
        <w:rPr>
          <w:rFonts w:ascii="Times New Roman" w:eastAsia="Times New Roman" w:hAnsi="Times New Roman" w:cs="Times New Roman"/>
          <w:noProof/>
          <w:sz w:val="24"/>
          <w:szCs w:val="16"/>
        </w:rPr>
      </w:pPr>
    </w:p>
    <w:p w14:paraId="51721A5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 xml:space="preserve">Lauksaimniecības bioloģiskā daudzveidība (tostarp funkcionālā bioloģiskā daudzveidība) liek </w:t>
      </w:r>
      <w:r>
        <w:rPr>
          <w:rFonts w:ascii="Times New Roman" w:hAnsi="Times New Roman"/>
          <w:sz w:val="24"/>
        </w:rPr>
        <w:lastRenderedPageBreak/>
        <w:t>pamatu nodrošinājumam ar ekosistēmu pakalpojumiem, un tai ir būtiska nozīme stabilitātes, noturības un pielāgošanās spēju nodrošināšanā lauksaimniecības sistēmām.</w:t>
      </w:r>
      <w:r w:rsidR="00C414D8">
        <w:rPr>
          <w:rStyle w:val="FootnoteReference"/>
          <w:rFonts w:ascii="Times New Roman" w:hAnsi="Times New Roman"/>
          <w:noProof/>
          <w:sz w:val="24"/>
        </w:rPr>
        <w:footnoteReference w:id="304"/>
      </w:r>
      <w:r>
        <w:rPr>
          <w:rFonts w:ascii="Times New Roman" w:hAnsi="Times New Roman"/>
          <w:sz w:val="24"/>
        </w:rPr>
        <w:t xml:space="preserve"> Par spīti nozīmībai, lauksaimniecības daudzveidība samazinās, par ko liecina apputeksnētāju un citu kukaiņu skaita samazināšanās vai ģenētisko resursu ierobežotā izmantošana augu un dzīvnieku audzēšanā.</w:t>
      </w:r>
    </w:p>
    <w:p w14:paraId="216886CB" w14:textId="77777777" w:rsidR="0083515C" w:rsidRPr="00DF28F7" w:rsidRDefault="0083515C" w:rsidP="001F2648">
      <w:pPr>
        <w:jc w:val="both"/>
        <w:rPr>
          <w:rFonts w:ascii="Times New Roman" w:eastAsia="Verdana" w:hAnsi="Times New Roman" w:cs="Verdana"/>
          <w:noProof/>
          <w:sz w:val="24"/>
          <w:szCs w:val="18"/>
        </w:rPr>
      </w:pPr>
    </w:p>
    <w:p w14:paraId="4207ECC4" w14:textId="77777777" w:rsidR="0083515C" w:rsidRPr="00DF28F7" w:rsidRDefault="0083515C" w:rsidP="001F2648">
      <w:pPr>
        <w:pStyle w:val="BodyText"/>
        <w:ind w:left="0"/>
        <w:jc w:val="both"/>
        <w:rPr>
          <w:rFonts w:ascii="Times New Roman" w:hAnsi="Times New Roman"/>
          <w:noProof/>
          <w:sz w:val="24"/>
          <w:u w:val="single" w:color="000000"/>
        </w:rPr>
      </w:pPr>
      <w:r>
        <w:rPr>
          <w:rFonts w:ascii="Times New Roman" w:hAnsi="Times New Roman"/>
          <w:sz w:val="24"/>
          <w:u w:val="single" w:color="000000"/>
        </w:rPr>
        <w:t>Šajā darbībā paredzēts:</w:t>
      </w:r>
    </w:p>
    <w:p w14:paraId="4512FEEF" w14:textId="77777777" w:rsidR="0083515C" w:rsidRPr="00DF28F7" w:rsidRDefault="0083515C" w:rsidP="001F2648">
      <w:pPr>
        <w:jc w:val="both"/>
        <w:rPr>
          <w:rFonts w:ascii="Times New Roman" w:eastAsia="Verdana" w:hAnsi="Times New Roman" w:cs="Verdana"/>
          <w:noProof/>
          <w:sz w:val="24"/>
          <w:szCs w:val="14"/>
        </w:rPr>
      </w:pPr>
    </w:p>
    <w:p w14:paraId="04CAE79A" w14:textId="77777777" w:rsidR="0083515C" w:rsidRPr="00DF28F7" w:rsidRDefault="00C414D8" w:rsidP="00C414D8">
      <w:pPr>
        <w:pStyle w:val="BodyText"/>
        <w:tabs>
          <w:tab w:val="left" w:pos="503"/>
        </w:tabs>
        <w:ind w:left="0"/>
        <w:jc w:val="both"/>
        <w:rPr>
          <w:rFonts w:ascii="Times New Roman" w:hAnsi="Times New Roman"/>
          <w:noProof/>
          <w:sz w:val="24"/>
        </w:rPr>
      </w:pPr>
      <w:r>
        <w:rPr>
          <w:rFonts w:ascii="Times New Roman" w:hAnsi="Times New Roman"/>
          <w:sz w:val="24"/>
        </w:rPr>
        <w:t>1) stiprināt centienus uzlabot zināšanas par agroekoloģijas virzītājspēkiem (piemēram, barības vielu plūsmu) un veicināt daudzveidīgāku ražošanas sistēmu ieviešanu. Pienācīga uzmanība tiks pievērsta tam, lai veicinātu daudzveidības integrāciju lauksaimniecības praksē (starpsugu un sugu iekšējo daudzveidību) un stimulētu plašākas bioloģiskās daudzveidības pārvaldīšanu. Labāka ģenētisko resursu izmantošana sekmēs jaunu pārtikas un nepārtikas vērtību ķēžu izveidi;</w:t>
      </w:r>
    </w:p>
    <w:p w14:paraId="7723AB13" w14:textId="77777777" w:rsidR="0083515C" w:rsidRPr="00DF28F7" w:rsidRDefault="0083515C" w:rsidP="001F2648">
      <w:pPr>
        <w:jc w:val="both"/>
        <w:rPr>
          <w:rFonts w:ascii="Times New Roman" w:eastAsia="Verdana" w:hAnsi="Times New Roman" w:cs="Verdana"/>
          <w:noProof/>
          <w:sz w:val="24"/>
          <w:szCs w:val="19"/>
        </w:rPr>
      </w:pPr>
    </w:p>
    <w:p w14:paraId="2E66F795" w14:textId="77777777" w:rsidR="0083515C" w:rsidRPr="00DF28F7" w:rsidRDefault="00C414D8" w:rsidP="00C414D8">
      <w:pPr>
        <w:pStyle w:val="BodyText"/>
        <w:tabs>
          <w:tab w:val="left" w:pos="536"/>
        </w:tabs>
        <w:ind w:left="0"/>
        <w:jc w:val="both"/>
        <w:rPr>
          <w:rFonts w:ascii="Times New Roman" w:hAnsi="Times New Roman"/>
          <w:noProof/>
          <w:sz w:val="24"/>
        </w:rPr>
      </w:pPr>
      <w:r>
        <w:rPr>
          <w:rFonts w:ascii="Times New Roman" w:hAnsi="Times New Roman"/>
          <w:sz w:val="24"/>
        </w:rPr>
        <w:t xml:space="preserve">2) izstrādāt rīcības ceļvedi agroekoloģijas jomā, apvienojot dažādus instrumentus (piemēram, ES pētniecību un inovāciju, </w:t>
      </w:r>
      <w:r>
        <w:rPr>
          <w:rFonts w:ascii="Times New Roman" w:hAnsi="Times New Roman"/>
          <w:i/>
          <w:iCs/>
          <w:sz w:val="24"/>
        </w:rPr>
        <w:t>EIP AGRI</w:t>
      </w:r>
      <w:r>
        <w:rPr>
          <w:rFonts w:ascii="Times New Roman" w:hAnsi="Times New Roman"/>
          <w:sz w:val="24"/>
        </w:rPr>
        <w:t xml:space="preserve">, </w:t>
      </w:r>
      <w:r>
        <w:rPr>
          <w:rFonts w:ascii="Times New Roman" w:hAnsi="Times New Roman"/>
          <w:i/>
          <w:iCs/>
          <w:sz w:val="24"/>
        </w:rPr>
        <w:t>LIFE</w:t>
      </w:r>
      <w:r>
        <w:rPr>
          <w:rFonts w:ascii="Times New Roman" w:hAnsi="Times New Roman"/>
          <w:sz w:val="24"/>
        </w:rPr>
        <w:t>), un izmantot tos savstarpēji papildinošā veidā, virzoties uz kopēju rīcības virzienu īstenošanu. Izmantojot dažādos instrumentus, varēs apvienot dažādus dalībniekus no lauksaimniecības, vides un citām jomām un labāk sasaistīt pētniecības, demonstrējumu, inovācijas un testēšanas pasākumus. Galvenais mērķis ir veicināt prakses kopienu un tādu agroekoloģijas stratēģiju, kas papildinātu ES Bioloģiskās daudzveidības stratēģiju. Koncentrējoties uz Eiropu, pasākumos tomēr tiks ņemta vērā starptautiskā pieredze un iniciatīvas.</w:t>
      </w:r>
    </w:p>
    <w:p w14:paraId="3F34D663" w14:textId="77777777" w:rsidR="0083515C" w:rsidRPr="00DF28F7" w:rsidRDefault="0083515C" w:rsidP="001F2648">
      <w:pPr>
        <w:jc w:val="both"/>
        <w:rPr>
          <w:rFonts w:ascii="Times New Roman" w:eastAsia="Verdana" w:hAnsi="Times New Roman" w:cs="Verdana"/>
          <w:noProof/>
          <w:sz w:val="24"/>
          <w:szCs w:val="20"/>
        </w:rPr>
      </w:pPr>
    </w:p>
    <w:p w14:paraId="691163D6" w14:textId="77777777" w:rsidR="00CF10CD" w:rsidRPr="00DF28F7" w:rsidRDefault="00CF10CD" w:rsidP="001F2648">
      <w:pPr>
        <w:jc w:val="both"/>
        <w:rPr>
          <w:rFonts w:ascii="Times New Roman" w:eastAsia="Verdana" w:hAnsi="Times New Roman" w:cs="Verdana"/>
          <w:noProof/>
          <w:sz w:val="24"/>
          <w:szCs w:val="13"/>
        </w:rPr>
      </w:pPr>
    </w:p>
    <w:p w14:paraId="5B2FFAB5" w14:textId="77777777" w:rsidR="0083515C" w:rsidRPr="00C414D8" w:rsidRDefault="0083515C" w:rsidP="001F2648">
      <w:pPr>
        <w:pStyle w:val="BodyText"/>
        <w:ind w:left="0"/>
        <w:jc w:val="both"/>
        <w:rPr>
          <w:rFonts w:ascii="Times New Roman" w:hAnsi="Times New Roman"/>
          <w:i/>
          <w:iCs/>
          <w:noProof/>
          <w:sz w:val="24"/>
          <w:u w:val="single" w:color="000000"/>
        </w:rPr>
      </w:pPr>
      <w:r>
        <w:rPr>
          <w:rFonts w:ascii="Times New Roman" w:hAnsi="Times New Roman"/>
          <w:i/>
          <w:sz w:val="24"/>
          <w:u w:val="single" w:color="000000"/>
        </w:rPr>
        <w:t>iii) Izstrādāt instrumentus apputeksnētāju un apputeksnēšanas pakalpojumu integrēšanai ilgtspējīgu biomasas piegādes vērtības ķēžu izstrādē</w:t>
      </w:r>
    </w:p>
    <w:p w14:paraId="5AB1D628" w14:textId="77777777" w:rsidR="0083515C" w:rsidRPr="00DF28F7" w:rsidRDefault="0083515C" w:rsidP="001F2648">
      <w:pPr>
        <w:jc w:val="both"/>
        <w:rPr>
          <w:rFonts w:ascii="Times New Roman" w:eastAsia="Times New Roman" w:hAnsi="Times New Roman" w:cs="Times New Roman"/>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414D8" w14:paraId="3399E046" w14:textId="77777777" w:rsidTr="00C414D8">
        <w:tc>
          <w:tcPr>
            <w:tcW w:w="9288" w:type="dxa"/>
          </w:tcPr>
          <w:p w14:paraId="7371A5A7" w14:textId="77777777" w:rsidR="00C414D8" w:rsidRPr="00C414D8" w:rsidRDefault="00C414D8" w:rsidP="00C414D8">
            <w:pPr>
              <w:jc w:val="both"/>
              <w:rPr>
                <w:rFonts w:ascii="Times New Roman" w:hAnsi="Times New Roman"/>
                <w:i/>
                <w:iCs/>
                <w:noProof/>
                <w:sz w:val="24"/>
              </w:rPr>
            </w:pPr>
            <w:r>
              <w:rPr>
                <w:rFonts w:ascii="Times New Roman" w:hAnsi="Times New Roman"/>
                <w:i/>
                <w:sz w:val="24"/>
              </w:rPr>
              <w:t>Dalībvalstis tiek aicinātas stiprināt investīcijas zināšanu bāzē par apputeksnētājiem un apputeksnēšanu, palīdzot izvērst ES sistēmu apputeksnētāju pārraudzībai saskaņā ar ES Apputeksnētāju iniciatīvu. Šajā darbībā sniegs tehnisko atbalstu dalībvalstīm monitoringa sistēmas ieviešanai. Balstoties uz iegūtajiem pārraudzības datiem, šajā darbībā izstrādās instrumentus politikas veidotājiem un zemes apsaimniekotājiem, piemēram, apputeksnētāju atlantu un apputeksnēšanas dienestu, un pētīs iespējas izveidot agrīnās brīdināšanas sistēmu apputeksnēšanas deficīta noteikšanai.</w:t>
            </w:r>
          </w:p>
          <w:p w14:paraId="69ECF1CD" w14:textId="77777777" w:rsidR="00C414D8" w:rsidRPr="00C414D8" w:rsidRDefault="00C414D8" w:rsidP="00C414D8">
            <w:pPr>
              <w:jc w:val="both"/>
              <w:rPr>
                <w:rFonts w:ascii="Times New Roman" w:eastAsia="Times New Roman" w:hAnsi="Times New Roman" w:cs="Times New Roman"/>
                <w:i/>
                <w:iCs/>
                <w:noProof/>
                <w:sz w:val="24"/>
                <w:szCs w:val="20"/>
              </w:rPr>
            </w:pPr>
          </w:p>
          <w:p w14:paraId="4205224F" w14:textId="77777777" w:rsidR="00C414D8" w:rsidRPr="00C414D8" w:rsidRDefault="00C414D8" w:rsidP="00C414D8">
            <w:pPr>
              <w:jc w:val="both"/>
              <w:rPr>
                <w:rFonts w:ascii="Times New Roman" w:hAnsi="Times New Roman"/>
                <w:i/>
                <w:iCs/>
                <w:noProof/>
                <w:sz w:val="24"/>
              </w:rPr>
            </w:pPr>
            <w:r>
              <w:rPr>
                <w:rFonts w:ascii="Times New Roman" w:hAnsi="Times New Roman"/>
                <w:i/>
                <w:sz w:val="24"/>
              </w:rPr>
              <w:t>Privāto sektoru aicina izmantot šos instrumentus, lai novērtētu gan savu atkarību no apputeksnētājiem, gan nākotnes riskus, kā arī izstrādātu riska mazināšanas stratēģijas attiecībā uz apputeksnēšanas deficītu.</w:t>
            </w:r>
          </w:p>
          <w:p w14:paraId="5A020C8F" w14:textId="77777777" w:rsidR="00C414D8" w:rsidRPr="00C414D8" w:rsidRDefault="00C414D8" w:rsidP="00C414D8">
            <w:pPr>
              <w:jc w:val="both"/>
              <w:rPr>
                <w:rFonts w:ascii="Times New Roman" w:eastAsia="Times New Roman" w:hAnsi="Times New Roman" w:cs="Times New Roman"/>
                <w:i/>
                <w:iCs/>
                <w:noProof/>
                <w:sz w:val="24"/>
                <w:szCs w:val="21"/>
              </w:rPr>
            </w:pPr>
          </w:p>
          <w:p w14:paraId="1BA8BE51" w14:textId="77777777" w:rsidR="00C414D8" w:rsidRPr="00C414D8" w:rsidRDefault="00C414D8" w:rsidP="001F2648">
            <w:pPr>
              <w:jc w:val="both"/>
              <w:rPr>
                <w:rFonts w:ascii="Times New Roman" w:hAnsi="Times New Roman"/>
                <w:i/>
                <w:iCs/>
                <w:noProof/>
                <w:sz w:val="24"/>
              </w:rPr>
            </w:pPr>
            <w:r>
              <w:rPr>
                <w:rFonts w:ascii="Times New Roman" w:hAnsi="Times New Roman"/>
                <w:i/>
                <w:sz w:val="24"/>
              </w:rPr>
              <w:t>Rādītāji. Novērtētais apputeksnētāju skaita samazināšanās pilnais apmērs ES; ieviestā apputeksnētāju statusa un tendenču sistēmiskā pārraudzība; tādu nozaru politiku skaits, kas izstrādātas, lai mazinātu apputeksnētāju skaita samazināšanās cēloņus; tādu bioekonomikas uzņēmumu skaits, kuri veic pasākumus apputeksnētāju jomā.</w:t>
            </w:r>
          </w:p>
        </w:tc>
      </w:tr>
    </w:tbl>
    <w:p w14:paraId="313DB5C5" w14:textId="77777777" w:rsidR="0083515C" w:rsidRPr="00DF28F7" w:rsidRDefault="0083515C" w:rsidP="001F2648">
      <w:pPr>
        <w:jc w:val="both"/>
        <w:rPr>
          <w:rFonts w:ascii="Times New Roman" w:eastAsia="Times New Roman" w:hAnsi="Times New Roman" w:cs="Times New Roman"/>
          <w:noProof/>
          <w:sz w:val="24"/>
          <w:szCs w:val="16"/>
        </w:rPr>
      </w:pPr>
    </w:p>
    <w:p w14:paraId="27732654"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Eiropas Savienībā ir nopietni mazinājusies savvaļas apputeksnētāju sastopamība un daudzveidība – saskaņā ar Eiropas Sarkano grāmatu izmirst gandrīz katra desmitā bišu un tauriņu suga un aptuveni vienai trešdaļai sugu samazinās īpatņu skaits.</w:t>
      </w:r>
      <w:r w:rsidR="00C414D8">
        <w:rPr>
          <w:rStyle w:val="FootnoteReference"/>
          <w:rFonts w:ascii="Times New Roman" w:hAnsi="Times New Roman"/>
          <w:noProof/>
          <w:sz w:val="24"/>
        </w:rPr>
        <w:footnoteReference w:id="305"/>
      </w:r>
      <w:r>
        <w:rPr>
          <w:rFonts w:ascii="Times New Roman" w:hAnsi="Times New Roman"/>
          <w:sz w:val="24"/>
        </w:rPr>
        <w:t xml:space="preserve"> Kamenēm, kas ir </w:t>
      </w:r>
      <w:r>
        <w:rPr>
          <w:rFonts w:ascii="Times New Roman" w:hAnsi="Times New Roman"/>
          <w:sz w:val="24"/>
        </w:rPr>
        <w:lastRenderedPageBreak/>
        <w:t>vissīkāk izpētītā savvaļas bišu grupa, izmirst gandrīz katra ceturtā suga, un gandrīz pusē sugu novērojamas negatīvas populācijas tendences. Apmēram 4 no 5 augu un savvaļas ziedošo augu sugām vismaz daļēji ir atkarīgas no dzīvnieku veiktas apputeksnēšanas.</w:t>
      </w:r>
    </w:p>
    <w:p w14:paraId="07921D3D" w14:textId="77777777" w:rsidR="0083515C" w:rsidRPr="00DF28F7" w:rsidRDefault="0083515C" w:rsidP="001F2648">
      <w:pPr>
        <w:jc w:val="both"/>
        <w:rPr>
          <w:rFonts w:ascii="Times New Roman" w:hAnsi="Times New Roman"/>
          <w:noProof/>
          <w:sz w:val="24"/>
        </w:rPr>
      </w:pPr>
    </w:p>
    <w:p w14:paraId="0B7873E5"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Apputeksnētāju skaita samazinājumam būs tālejošas sekas ne tikai attiecībā uz kukaiņu apputeksnētiem augiem, bet arī uz sauszemes ekosistēmu veselību, tādējādi būtiski apdraudot ne tikai nodrošinātību ar pārtiku, bet arī visas saimnieciskās darbības, kas tieši vai netieši ir atkarīgas no šīm ekosistēmām. Īpaši atkarīga ir lauksaimniecība un ar to saistītās nozares. Apputeksnētājkukaiņu tiešā ieguldījuma vērtība ES lauksaimniecības produktivitātē tiek lēsta aptuveni 15 miljardu EUR apmērā gadā.</w:t>
      </w:r>
      <w:r w:rsidR="00C414D8">
        <w:rPr>
          <w:rStyle w:val="FootnoteReference"/>
          <w:rFonts w:ascii="Times New Roman" w:hAnsi="Times New Roman"/>
          <w:noProof/>
          <w:sz w:val="24"/>
        </w:rPr>
        <w:footnoteReference w:id="306"/>
      </w:r>
      <w:r>
        <w:rPr>
          <w:rFonts w:ascii="Times New Roman" w:hAnsi="Times New Roman"/>
          <w:sz w:val="24"/>
        </w:rPr>
        <w:t xml:space="preserve"> Attiecībā uz konkrētiem kultūraugiem kukaiņu veiktās apputeksnēšanas ietekme uz peļņas normu un uzņēmumu dzīvotspēju ir ļoti nozīmīga. Piemēram, 20 % no eļļas rapša tirgus vērtības var sasaistīt ar kukaiņu veiktu apputeksnēšanu, un puse no zemeņu</w:t>
      </w:r>
      <w:r w:rsidR="00C414D8">
        <w:rPr>
          <w:rStyle w:val="FootnoteReference"/>
          <w:rFonts w:ascii="Times New Roman" w:hAnsi="Times New Roman"/>
          <w:noProof/>
          <w:sz w:val="24"/>
        </w:rPr>
        <w:footnoteReference w:id="307"/>
      </w:r>
      <w:r>
        <w:rPr>
          <w:rFonts w:ascii="Times New Roman" w:hAnsi="Times New Roman"/>
          <w:sz w:val="24"/>
        </w:rPr>
        <w:t>, melleņu vai ābolu</w:t>
      </w:r>
      <w:r w:rsidR="00C414D8">
        <w:rPr>
          <w:rStyle w:val="FootnoteReference"/>
          <w:rFonts w:ascii="Times New Roman" w:hAnsi="Times New Roman"/>
          <w:noProof/>
          <w:sz w:val="24"/>
        </w:rPr>
        <w:footnoteReference w:id="308"/>
      </w:r>
      <w:r>
        <w:rPr>
          <w:rFonts w:ascii="Times New Roman" w:hAnsi="Times New Roman"/>
          <w:sz w:val="24"/>
        </w:rPr>
        <w:t xml:space="preserve"> tirgus vērtības var būt atkarīga no kukaiņu veiktas apputeksnēšanas.</w:t>
      </w:r>
    </w:p>
    <w:p w14:paraId="2702DDA7" w14:textId="77777777" w:rsidR="0083515C" w:rsidRPr="00DF28F7" w:rsidRDefault="0083515C" w:rsidP="001F2648">
      <w:pPr>
        <w:jc w:val="both"/>
        <w:rPr>
          <w:rFonts w:ascii="Times New Roman" w:eastAsia="Verdana" w:hAnsi="Times New Roman" w:cs="Verdana"/>
          <w:noProof/>
          <w:sz w:val="24"/>
          <w:szCs w:val="18"/>
        </w:rPr>
      </w:pPr>
    </w:p>
    <w:p w14:paraId="33FE11C1"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Komisija 2018. gada jūnijā pieņēma pirmo ES iniciatīvu</w:t>
      </w:r>
      <w:r w:rsidR="00C414D8">
        <w:rPr>
          <w:rStyle w:val="FootnoteReference"/>
          <w:rFonts w:ascii="Times New Roman" w:hAnsi="Times New Roman"/>
          <w:noProof/>
          <w:sz w:val="24"/>
        </w:rPr>
        <w:footnoteReference w:id="309"/>
      </w:r>
      <w:r>
        <w:rPr>
          <w:rFonts w:ascii="Times New Roman" w:hAnsi="Times New Roman"/>
          <w:sz w:val="24"/>
        </w:rPr>
        <w:t xml:space="preserve">, lai cīnītos pret apputeksnētāju skaita samazināšanos un izvairītos no tās negatīvajām sekām. Lai saglabātu apputeksnētājus, ir nepieciešama spēcīga zināšanu bāze, un iniciatīvā ir minēti vairāki pasākumi šā mērķa īstenošanai. Īpaši svarīga ir apputeksnētāju un to biotopu uzraudzība. Tādējādi var iegūt datus, kas dod iespēju novērtēt apputeksnētāju statusu un tendences, uz ko balstoties var novērtēt apputeksnēšanas pakalpojuma ilgtspēju. Tā kā šis pakalpojums ir ļoti svarīgs dabas resursu bāzes saglabāšanai, jo tā ietekmē bioekonomiku, apputeksnētāju uzraudzība faktiski sniedz informāciju par bioekonomikas ilgtspēju. Turklāt, savienojot datus par apputeksnēšanu un informāciju par zemes izmantošanu (pieejama, piemēram, ar </w:t>
      </w:r>
      <w:r>
        <w:rPr>
          <w:rFonts w:ascii="Times New Roman" w:hAnsi="Times New Roman"/>
          <w:i/>
          <w:iCs/>
          <w:sz w:val="24"/>
        </w:rPr>
        <w:t>LUCAS</w:t>
      </w:r>
      <w:r w:rsidR="00C414D8">
        <w:rPr>
          <w:rStyle w:val="FootnoteReference"/>
          <w:rFonts w:ascii="Times New Roman" w:hAnsi="Times New Roman"/>
          <w:noProof/>
          <w:sz w:val="24"/>
        </w:rPr>
        <w:footnoteReference w:id="310"/>
      </w:r>
      <w:r>
        <w:rPr>
          <w:rFonts w:ascii="Times New Roman" w:hAnsi="Times New Roman"/>
          <w:sz w:val="24"/>
        </w:rPr>
        <w:t xml:space="preserve"> vai KLP pārvaldības sistēmas IAKS</w:t>
      </w:r>
      <w:r w:rsidR="00C414D8">
        <w:rPr>
          <w:rStyle w:val="FootnoteReference"/>
          <w:rFonts w:ascii="Times New Roman" w:hAnsi="Times New Roman"/>
          <w:noProof/>
          <w:sz w:val="24"/>
        </w:rPr>
        <w:footnoteReference w:id="311"/>
      </w:r>
      <w:r>
        <w:rPr>
          <w:rFonts w:ascii="Times New Roman" w:hAnsi="Times New Roman"/>
          <w:sz w:val="24"/>
        </w:rPr>
        <w:t xml:space="preserve"> starpniecību), var izstrādāt instrumentus politikas veidotājiem un zemes apsaimniekotājiem (piemēram, atlantu) un izveidot agrīnās brīdināšanas sistēmu apputeksnēšanas deficīta noteikšanai. Ar šādu sistēmu varētu paredzēt nākotnes riskus, kā arī virzīt efektīvus un mērķtiecīgus klimata pārmaiņu radītās ietekmes mazināšanas pasākumus dabas saglabāšanas jomā un zemes apsaimniekošanas nozarēs, lai nodrošinātu ilgtspējīgu apputeksnēšanu.</w:t>
      </w:r>
    </w:p>
    <w:p w14:paraId="34FBFAE5" w14:textId="77777777" w:rsidR="0083515C" w:rsidRPr="00DF28F7" w:rsidRDefault="0083515C" w:rsidP="001F2648">
      <w:pPr>
        <w:jc w:val="both"/>
        <w:rPr>
          <w:rFonts w:ascii="Times New Roman" w:hAnsi="Times New Roman"/>
          <w:noProof/>
          <w:sz w:val="24"/>
        </w:rPr>
      </w:pPr>
    </w:p>
    <w:p w14:paraId="41D4FE9B" w14:textId="77777777" w:rsidR="0083515C" w:rsidRPr="00DF28F7" w:rsidRDefault="0083515C" w:rsidP="001F2648">
      <w:pPr>
        <w:pStyle w:val="BodyText"/>
        <w:ind w:left="0"/>
        <w:jc w:val="both"/>
        <w:rPr>
          <w:rFonts w:ascii="Times New Roman" w:hAnsi="Times New Roman"/>
          <w:noProof/>
          <w:sz w:val="24"/>
        </w:rPr>
      </w:pPr>
      <w:r>
        <w:rPr>
          <w:rFonts w:ascii="Times New Roman" w:hAnsi="Times New Roman"/>
          <w:sz w:val="24"/>
        </w:rPr>
        <w:t>Īstenojot apputeksnētāju iniciatīvu, šajā darbībā izstrādās ES mēroga apputeksnētāju monitoringa sistēmu. Tā ietver saikni ar bioekonomiku, un stratēģija apliecinās šā procesa nozīmību, kā arī veicinās tā attīstību un īstenošanu. Dalībvalstīm būs neatsverama nozīme sistēmas ieviešanā uz vietas. Būs svarīgi garantēt pienācīgu tehnisko nodrošinājumu dalībvalstīs, lai nodrošinātu netraucētu un saskaņotu sistēmas ieviešanu visā ES. Visā biomasas piegādes ķēdē privātais sektors ir jāmudina izmantot pārraudzībā iegūto informāciju, lai novērtētu ar apputeksnētāju skaita samazināšanos saistīto risku to uzņēmumiem. Tādējādi uzlabosies nozares informētība par šo problēmu un varēs izstrādāt riska mazināšanas stratēģijas šajā jomā.</w:t>
      </w:r>
    </w:p>
    <w:p w14:paraId="23384ADD" w14:textId="77777777" w:rsidR="0083515C" w:rsidRPr="00DF28F7" w:rsidRDefault="0083515C" w:rsidP="001F2648">
      <w:pPr>
        <w:jc w:val="both"/>
        <w:rPr>
          <w:rFonts w:ascii="Times New Roman" w:eastAsia="Verdana" w:hAnsi="Times New Roman" w:cs="Verdana"/>
          <w:noProof/>
          <w:sz w:val="24"/>
          <w:szCs w:val="20"/>
        </w:rPr>
      </w:pPr>
    </w:p>
    <w:p w14:paraId="419CCFDC" w14:textId="77777777" w:rsidR="00C414D8" w:rsidRDefault="00C414D8">
      <w:pPr>
        <w:rPr>
          <w:rFonts w:ascii="Times New Roman" w:eastAsia="Verdana" w:hAnsi="Times New Roman" w:cs="Verdana"/>
          <w:noProof/>
          <w:sz w:val="24"/>
          <w:szCs w:val="20"/>
        </w:rPr>
      </w:pPr>
      <w:r>
        <w:br w:type="page"/>
      </w:r>
    </w:p>
    <w:p w14:paraId="37DF0104" w14:textId="77777777" w:rsidR="0083515C" w:rsidRPr="00DF28F7" w:rsidRDefault="0083515C" w:rsidP="001F2648">
      <w:pPr>
        <w:jc w:val="both"/>
        <w:rPr>
          <w:rFonts w:ascii="Times New Roman" w:eastAsia="Verdana" w:hAnsi="Times New Roman" w:cs="Verdana"/>
          <w:noProof/>
          <w:sz w:val="24"/>
          <w:szCs w:val="20"/>
        </w:rPr>
      </w:pPr>
    </w:p>
    <w:p w14:paraId="0136C4FB" w14:textId="615FF4B1" w:rsidR="0083515C" w:rsidRPr="00DF28F7" w:rsidRDefault="008C4175" w:rsidP="00C414D8">
      <w:pPr>
        <w:jc w:val="center"/>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0AF00104" wp14:editId="21AF691B">
            <wp:extent cx="5572125" cy="7905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2125" cy="7905750"/>
                    </a:xfrm>
                    <a:prstGeom prst="rect">
                      <a:avLst/>
                    </a:prstGeom>
                    <a:noFill/>
                    <a:ln>
                      <a:noFill/>
                    </a:ln>
                  </pic:spPr>
                </pic:pic>
              </a:graphicData>
            </a:graphic>
          </wp:inline>
        </w:drawing>
      </w:r>
    </w:p>
    <w:p w14:paraId="166E0F5F" w14:textId="77777777" w:rsidR="0083515C" w:rsidRPr="00DF28F7" w:rsidRDefault="0083515C" w:rsidP="001F2648">
      <w:pPr>
        <w:jc w:val="both"/>
        <w:rPr>
          <w:rFonts w:ascii="Times New Roman" w:eastAsia="Verdana" w:hAnsi="Times New Roman" w:cs="Verdana"/>
          <w:noProof/>
          <w:sz w:val="24"/>
          <w:szCs w:val="20"/>
        </w:rPr>
      </w:pPr>
    </w:p>
    <w:p w14:paraId="17505E1F" w14:textId="77777777" w:rsidR="0074432B" w:rsidRDefault="0074432B">
      <w:pPr>
        <w:rPr>
          <w:rFonts w:ascii="Times New Roman" w:eastAsia="Verdana" w:hAnsi="Times New Roman" w:cs="Verdana"/>
          <w:noProof/>
          <w:sz w:val="24"/>
          <w:szCs w:val="20"/>
        </w:rPr>
      </w:pPr>
      <w:r>
        <w:br w:type="page"/>
      </w:r>
    </w:p>
    <w:p w14:paraId="01377DFE" w14:textId="393B19DF" w:rsidR="0083515C" w:rsidRDefault="0083515C" w:rsidP="001F2648">
      <w:pPr>
        <w:jc w:val="both"/>
        <w:rPr>
          <w:rFonts w:ascii="Times New Roman" w:eastAsia="Verdana" w:hAnsi="Times New Roman" w:cs="Verdana"/>
          <w:noProof/>
          <w:sz w:val="24"/>
          <w:szCs w:val="20"/>
        </w:rPr>
      </w:pPr>
    </w:p>
    <w:p w14:paraId="2B5C453F" w14:textId="0DD9556F" w:rsidR="008C4175" w:rsidRDefault="008C4175" w:rsidP="001F2648">
      <w:pPr>
        <w:jc w:val="both"/>
        <w:rPr>
          <w:rFonts w:ascii="Times New Roman" w:eastAsia="Verdana" w:hAnsi="Times New Roman" w:cs="Verdana"/>
          <w:noProof/>
          <w:sz w:val="24"/>
          <w:szCs w:val="20"/>
        </w:rPr>
      </w:pPr>
    </w:p>
    <w:p w14:paraId="65AF4B1B" w14:textId="10E1251A" w:rsidR="008C4175" w:rsidRDefault="008C4175" w:rsidP="001F2648">
      <w:pPr>
        <w:jc w:val="both"/>
        <w:rPr>
          <w:rFonts w:ascii="Times New Roman" w:eastAsia="Verdana" w:hAnsi="Times New Roman" w:cs="Verdana"/>
          <w:noProof/>
          <w:sz w:val="24"/>
          <w:szCs w:val="20"/>
        </w:rPr>
      </w:pPr>
    </w:p>
    <w:p w14:paraId="28590534" w14:textId="7A295C8D" w:rsidR="008C4175" w:rsidRDefault="008C4175" w:rsidP="001F2648">
      <w:pPr>
        <w:jc w:val="both"/>
        <w:rPr>
          <w:rFonts w:ascii="Times New Roman" w:eastAsia="Verdana" w:hAnsi="Times New Roman" w:cs="Verdana"/>
          <w:noProof/>
          <w:sz w:val="24"/>
          <w:szCs w:val="20"/>
        </w:rPr>
      </w:pPr>
    </w:p>
    <w:p w14:paraId="1FD08410" w14:textId="1D671096" w:rsidR="008C4175" w:rsidRDefault="008C4175" w:rsidP="001F2648">
      <w:pPr>
        <w:jc w:val="both"/>
        <w:rPr>
          <w:rFonts w:ascii="Times New Roman" w:eastAsia="Verdana" w:hAnsi="Times New Roman" w:cs="Verdana"/>
          <w:noProof/>
          <w:sz w:val="24"/>
          <w:szCs w:val="20"/>
        </w:rPr>
      </w:pPr>
    </w:p>
    <w:p w14:paraId="15F41BDE" w14:textId="50DDD12A" w:rsidR="008C4175" w:rsidRDefault="008C4175" w:rsidP="001F2648">
      <w:pPr>
        <w:jc w:val="both"/>
        <w:rPr>
          <w:rFonts w:ascii="Times New Roman" w:eastAsia="Verdana" w:hAnsi="Times New Roman" w:cs="Verdana"/>
          <w:noProof/>
          <w:sz w:val="24"/>
          <w:szCs w:val="20"/>
        </w:rPr>
      </w:pPr>
    </w:p>
    <w:p w14:paraId="68AE16F7" w14:textId="77777777" w:rsidR="008C4175" w:rsidRPr="00DF28F7" w:rsidRDefault="008C4175" w:rsidP="001F2648">
      <w:pPr>
        <w:jc w:val="both"/>
        <w:rPr>
          <w:rFonts w:ascii="Times New Roman" w:eastAsia="Verdana" w:hAnsi="Times New Roman" w:cs="Verdan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4432B" w14:paraId="588AC49C" w14:textId="77777777" w:rsidTr="0074432B">
        <w:tc>
          <w:tcPr>
            <w:tcW w:w="9288" w:type="dxa"/>
          </w:tcPr>
          <w:p w14:paraId="48E92BA0" w14:textId="77777777" w:rsidR="0035268C" w:rsidRPr="0074432B" w:rsidRDefault="0035268C" w:rsidP="0035268C">
            <w:pPr>
              <w:jc w:val="both"/>
              <w:rPr>
                <w:rFonts w:ascii="Times New Roman" w:hAnsi="Times New Roman"/>
                <w:b/>
                <w:bCs/>
                <w:noProof/>
                <w:sz w:val="24"/>
              </w:rPr>
            </w:pPr>
            <w:r>
              <w:rPr>
                <w:rFonts w:ascii="Times New Roman" w:hAnsi="Times New Roman"/>
                <w:b/>
                <w:sz w:val="24"/>
              </w:rPr>
              <w:t>Sazināties ar ES</w:t>
            </w:r>
          </w:p>
          <w:p w14:paraId="343B755D" w14:textId="77777777" w:rsidR="0035268C" w:rsidRPr="0074432B" w:rsidRDefault="0035268C" w:rsidP="0035268C">
            <w:pPr>
              <w:jc w:val="both"/>
              <w:rPr>
                <w:rFonts w:ascii="Times New Roman" w:eastAsia="Times New Roman" w:hAnsi="Times New Roman" w:cs="Times New Roman"/>
                <w:noProof/>
                <w:sz w:val="24"/>
              </w:rPr>
            </w:pPr>
          </w:p>
          <w:p w14:paraId="681246BA" w14:textId="77777777" w:rsidR="0035268C" w:rsidRPr="0074432B" w:rsidRDefault="0035268C" w:rsidP="0035268C">
            <w:pPr>
              <w:jc w:val="both"/>
              <w:rPr>
                <w:rFonts w:ascii="Times New Roman" w:hAnsi="Times New Roman"/>
                <w:b/>
                <w:bCs/>
                <w:noProof/>
                <w:sz w:val="24"/>
              </w:rPr>
            </w:pPr>
            <w:r>
              <w:rPr>
                <w:rFonts w:ascii="Times New Roman" w:hAnsi="Times New Roman"/>
                <w:b/>
                <w:sz w:val="24"/>
              </w:rPr>
              <w:t>PERSONĪGI</w:t>
            </w:r>
          </w:p>
          <w:p w14:paraId="20303486" w14:textId="77777777" w:rsidR="0035268C" w:rsidRPr="0074432B" w:rsidRDefault="0035268C" w:rsidP="0035268C">
            <w:pPr>
              <w:jc w:val="both"/>
              <w:rPr>
                <w:rFonts w:ascii="Times New Roman" w:hAnsi="Times New Roman"/>
                <w:noProof/>
                <w:sz w:val="24"/>
              </w:rPr>
            </w:pPr>
            <w:r>
              <w:rPr>
                <w:rFonts w:ascii="Times New Roman" w:hAnsi="Times New Roman"/>
                <w:sz w:val="24"/>
              </w:rPr>
              <w:t>Visā Eiropas Savienībā ir izveidoti simtiem Eiropas tiešo informācijas centru.</w:t>
            </w:r>
          </w:p>
          <w:p w14:paraId="745BC22E" w14:textId="77777777" w:rsidR="0035268C" w:rsidRPr="0074432B" w:rsidRDefault="0035268C" w:rsidP="0035268C">
            <w:pPr>
              <w:tabs>
                <w:tab w:val="left" w:pos="1085"/>
              </w:tabs>
              <w:jc w:val="both"/>
              <w:rPr>
                <w:rFonts w:ascii="Times New Roman" w:eastAsia="Calibri" w:hAnsi="Times New Roman" w:cs="Calibri"/>
                <w:noProof/>
                <w:sz w:val="24"/>
                <w:szCs w:val="18"/>
              </w:rPr>
            </w:pPr>
            <w:r>
              <w:rPr>
                <w:rFonts w:ascii="Times New Roman" w:hAnsi="Times New Roman"/>
                <w:sz w:val="24"/>
              </w:rPr>
              <w:t xml:space="preserve">Sev tuvākā centra adresi var noskaidrot vietnē: </w:t>
            </w:r>
            <w:r>
              <w:rPr>
                <w:rFonts w:ascii="Times New Roman" w:hAnsi="Times New Roman"/>
                <w:b/>
                <w:sz w:val="24"/>
              </w:rPr>
              <w:t>https://europa.eu/european-union/ contact_en</w:t>
            </w:r>
          </w:p>
          <w:p w14:paraId="7F35662E" w14:textId="77777777" w:rsidR="0035268C" w:rsidRPr="0074432B" w:rsidRDefault="0035268C" w:rsidP="0035268C">
            <w:pPr>
              <w:jc w:val="both"/>
              <w:rPr>
                <w:rFonts w:ascii="Times New Roman" w:eastAsia="Times New Roman" w:hAnsi="Times New Roman" w:cs="Times New Roman"/>
                <w:noProof/>
                <w:sz w:val="24"/>
                <w:szCs w:val="19"/>
              </w:rPr>
            </w:pPr>
          </w:p>
          <w:p w14:paraId="3E9DDC23" w14:textId="77777777" w:rsidR="0035268C" w:rsidRPr="0074432B" w:rsidRDefault="0035268C" w:rsidP="0035268C">
            <w:pPr>
              <w:jc w:val="both"/>
              <w:rPr>
                <w:rFonts w:ascii="Times New Roman" w:hAnsi="Times New Roman"/>
                <w:b/>
                <w:bCs/>
                <w:noProof/>
                <w:sz w:val="24"/>
              </w:rPr>
            </w:pPr>
            <w:r>
              <w:rPr>
                <w:rFonts w:ascii="Times New Roman" w:hAnsi="Times New Roman"/>
                <w:b/>
                <w:sz w:val="24"/>
              </w:rPr>
              <w:t>AR TĀLRUŅA VAI E-PASTA STARPNIECĪBU</w:t>
            </w:r>
          </w:p>
          <w:p w14:paraId="4912F412" w14:textId="77777777" w:rsidR="0035268C" w:rsidRPr="0074432B" w:rsidRDefault="0035268C" w:rsidP="0035268C">
            <w:pPr>
              <w:jc w:val="both"/>
              <w:rPr>
                <w:rFonts w:ascii="Times New Roman" w:hAnsi="Times New Roman"/>
                <w:noProof/>
                <w:sz w:val="24"/>
              </w:rPr>
            </w:pPr>
            <w:r>
              <w:rPr>
                <w:rFonts w:ascii="Times New Roman" w:hAnsi="Times New Roman"/>
                <w:sz w:val="24"/>
              </w:rPr>
              <w:t xml:space="preserve">Dienests </w:t>
            </w:r>
            <w:r>
              <w:rPr>
                <w:rFonts w:ascii="Times New Roman" w:hAnsi="Times New Roman"/>
                <w:i/>
                <w:iCs/>
                <w:sz w:val="24"/>
              </w:rPr>
              <w:t>Europe Direct</w:t>
            </w:r>
            <w:r>
              <w:rPr>
                <w:rFonts w:ascii="Times New Roman" w:hAnsi="Times New Roman"/>
                <w:sz w:val="24"/>
              </w:rPr>
              <w:t xml:space="preserve"> palīdzēs rast atbildes uz jautājumiem par Eiropas Savienību. Ar dienestu var sazināties šādos veidos:</w:t>
            </w:r>
          </w:p>
          <w:p w14:paraId="772A29B5" w14:textId="77777777" w:rsidR="0035268C" w:rsidRPr="0074432B" w:rsidRDefault="0035268C" w:rsidP="0035268C">
            <w:pPr>
              <w:numPr>
                <w:ilvl w:val="0"/>
                <w:numId w:val="3"/>
              </w:numPr>
              <w:tabs>
                <w:tab w:val="left" w:pos="426"/>
              </w:tabs>
              <w:ind w:left="426" w:hanging="426"/>
              <w:jc w:val="both"/>
              <w:rPr>
                <w:rFonts w:ascii="Times New Roman" w:eastAsia="Calibri" w:hAnsi="Times New Roman" w:cs="Calibri"/>
                <w:noProof/>
                <w:sz w:val="24"/>
                <w:szCs w:val="18"/>
              </w:rPr>
            </w:pPr>
            <w:r>
              <w:rPr>
                <w:rFonts w:ascii="Times New Roman" w:hAnsi="Times New Roman"/>
                <w:sz w:val="24"/>
              </w:rPr>
              <w:t xml:space="preserve">bezmaksas tālrunis: </w:t>
            </w:r>
            <w:r>
              <w:rPr>
                <w:rFonts w:ascii="Times New Roman" w:hAnsi="Times New Roman"/>
                <w:b/>
                <w:sz w:val="24"/>
              </w:rPr>
              <w:t xml:space="preserve">00 800 6 7 8 9 10 11 </w:t>
            </w:r>
            <w:r>
              <w:rPr>
                <w:rFonts w:ascii="Times New Roman" w:hAnsi="Times New Roman"/>
                <w:sz w:val="24"/>
              </w:rPr>
              <w:t>(atsevišķi operatori var noteikt maksu par šiem zvaniem),</w:t>
            </w:r>
          </w:p>
          <w:p w14:paraId="278EF66C" w14:textId="77777777" w:rsidR="0035268C" w:rsidRPr="0074432B" w:rsidRDefault="0035268C" w:rsidP="0035268C">
            <w:pPr>
              <w:numPr>
                <w:ilvl w:val="0"/>
                <w:numId w:val="3"/>
              </w:numPr>
              <w:tabs>
                <w:tab w:val="left" w:pos="426"/>
              </w:tabs>
              <w:ind w:left="426" w:hanging="426"/>
              <w:jc w:val="both"/>
              <w:rPr>
                <w:rFonts w:ascii="Times New Roman" w:eastAsia="Calibri" w:hAnsi="Times New Roman" w:cs="Calibri"/>
                <w:noProof/>
                <w:sz w:val="24"/>
                <w:szCs w:val="18"/>
              </w:rPr>
            </w:pPr>
            <w:r>
              <w:rPr>
                <w:rFonts w:ascii="Times New Roman" w:hAnsi="Times New Roman"/>
                <w:sz w:val="24"/>
              </w:rPr>
              <w:t xml:space="preserve">standarta tālruņa numurs: </w:t>
            </w:r>
            <w:r>
              <w:rPr>
                <w:rFonts w:ascii="Times New Roman" w:hAnsi="Times New Roman"/>
                <w:b/>
                <w:sz w:val="24"/>
              </w:rPr>
              <w:t xml:space="preserve">+32 22999696 </w:t>
            </w:r>
            <w:r>
              <w:rPr>
                <w:rFonts w:ascii="Times New Roman" w:hAnsi="Times New Roman"/>
                <w:sz w:val="24"/>
              </w:rPr>
              <w:t>vai</w:t>
            </w:r>
          </w:p>
          <w:p w14:paraId="329055D7" w14:textId="77777777" w:rsidR="0035268C" w:rsidRPr="0074432B" w:rsidRDefault="0035268C" w:rsidP="0035268C">
            <w:pPr>
              <w:numPr>
                <w:ilvl w:val="0"/>
                <w:numId w:val="3"/>
              </w:numPr>
              <w:tabs>
                <w:tab w:val="left" w:pos="426"/>
              </w:tabs>
              <w:ind w:left="426" w:hanging="426"/>
              <w:jc w:val="both"/>
              <w:rPr>
                <w:rFonts w:ascii="Times New Roman" w:eastAsia="Calibri" w:hAnsi="Times New Roman" w:cs="Calibri"/>
                <w:noProof/>
                <w:sz w:val="24"/>
                <w:szCs w:val="18"/>
              </w:rPr>
            </w:pPr>
            <w:r>
              <w:rPr>
                <w:rFonts w:ascii="Times New Roman" w:hAnsi="Times New Roman"/>
                <w:sz w:val="24"/>
              </w:rPr>
              <w:t xml:space="preserve">e-pasts: </w:t>
            </w:r>
            <w:r>
              <w:rPr>
                <w:rFonts w:ascii="Times New Roman" w:hAnsi="Times New Roman"/>
                <w:b/>
                <w:sz w:val="24"/>
              </w:rPr>
              <w:t>https://europa.eu/european-union/contact_en</w:t>
            </w:r>
          </w:p>
          <w:p w14:paraId="6639F351" w14:textId="77777777" w:rsidR="0035268C" w:rsidRPr="0074432B" w:rsidRDefault="0035268C" w:rsidP="0035268C">
            <w:pPr>
              <w:jc w:val="both"/>
              <w:rPr>
                <w:rFonts w:ascii="Times New Roman" w:eastAsia="Times New Roman" w:hAnsi="Times New Roman" w:cs="Times New Roman"/>
                <w:noProof/>
                <w:sz w:val="24"/>
                <w:szCs w:val="18"/>
              </w:rPr>
            </w:pPr>
          </w:p>
          <w:p w14:paraId="58385EF0" w14:textId="77777777" w:rsidR="0035268C" w:rsidRPr="0074432B" w:rsidRDefault="0035268C" w:rsidP="0035268C">
            <w:pPr>
              <w:jc w:val="both"/>
              <w:rPr>
                <w:rFonts w:ascii="Times New Roman" w:eastAsia="Times New Roman" w:hAnsi="Times New Roman" w:cs="Times New Roman"/>
                <w:noProof/>
                <w:sz w:val="24"/>
                <w:szCs w:val="18"/>
              </w:rPr>
            </w:pPr>
          </w:p>
          <w:p w14:paraId="059F0857" w14:textId="77777777" w:rsidR="0035268C" w:rsidRPr="0074432B" w:rsidRDefault="0035268C" w:rsidP="0035268C">
            <w:pPr>
              <w:jc w:val="both"/>
              <w:rPr>
                <w:rFonts w:ascii="Times New Roman" w:hAnsi="Times New Roman"/>
                <w:b/>
                <w:bCs/>
                <w:noProof/>
                <w:sz w:val="24"/>
              </w:rPr>
            </w:pPr>
            <w:r>
              <w:rPr>
                <w:rFonts w:ascii="Times New Roman" w:hAnsi="Times New Roman"/>
                <w:b/>
                <w:sz w:val="24"/>
              </w:rPr>
              <w:t>Atrast informāciju par ES</w:t>
            </w:r>
          </w:p>
          <w:p w14:paraId="410F9B57" w14:textId="77777777" w:rsidR="0035268C" w:rsidRPr="00DF28F7" w:rsidRDefault="0035268C" w:rsidP="0035268C">
            <w:pPr>
              <w:jc w:val="both"/>
              <w:rPr>
                <w:rFonts w:ascii="Times New Roman" w:eastAsia="Times New Roman" w:hAnsi="Times New Roman" w:cs="Times New Roman"/>
                <w:noProof/>
                <w:sz w:val="24"/>
                <w:szCs w:val="24"/>
              </w:rPr>
            </w:pPr>
          </w:p>
          <w:p w14:paraId="0EC7391E" w14:textId="77777777" w:rsidR="0035268C" w:rsidRPr="0074432B" w:rsidRDefault="0035268C" w:rsidP="0035268C">
            <w:pPr>
              <w:jc w:val="both"/>
              <w:rPr>
                <w:rFonts w:ascii="Times New Roman" w:hAnsi="Times New Roman"/>
                <w:b/>
                <w:bCs/>
                <w:noProof/>
                <w:color w:val="231F20"/>
                <w:sz w:val="24"/>
              </w:rPr>
            </w:pPr>
            <w:r>
              <w:rPr>
                <w:rFonts w:ascii="Times New Roman" w:hAnsi="Times New Roman"/>
                <w:b/>
                <w:color w:val="231F20"/>
                <w:sz w:val="24"/>
              </w:rPr>
              <w:t>TIEŠSAISTĒ</w:t>
            </w:r>
          </w:p>
          <w:p w14:paraId="0BE6E594" w14:textId="77777777" w:rsidR="0035268C" w:rsidRPr="00DF28F7" w:rsidRDefault="0035268C" w:rsidP="0035268C">
            <w:pPr>
              <w:jc w:val="both"/>
              <w:rPr>
                <w:rFonts w:ascii="Times New Roman" w:eastAsia="Calibri" w:hAnsi="Times New Roman" w:cs="Calibri"/>
                <w:noProof/>
                <w:sz w:val="24"/>
                <w:szCs w:val="18"/>
              </w:rPr>
            </w:pPr>
            <w:r>
              <w:rPr>
                <w:rFonts w:ascii="Times New Roman" w:hAnsi="Times New Roman"/>
                <w:color w:val="231F20"/>
                <w:sz w:val="24"/>
              </w:rPr>
              <w:t xml:space="preserve">Informācija par Eiropas Savienību ir pieejama visās ES oficiālajās valodās vietnē: </w:t>
            </w:r>
            <w:r>
              <w:rPr>
                <w:rFonts w:ascii="Times New Roman" w:hAnsi="Times New Roman"/>
                <w:b/>
                <w:color w:val="231F20"/>
                <w:sz w:val="24"/>
              </w:rPr>
              <w:t>https://europa.eu/european-union/index_en</w:t>
            </w:r>
          </w:p>
          <w:p w14:paraId="340222A7" w14:textId="77777777" w:rsidR="0035268C" w:rsidRPr="00DF28F7" w:rsidRDefault="0035268C" w:rsidP="0035268C">
            <w:pPr>
              <w:jc w:val="both"/>
              <w:rPr>
                <w:rFonts w:ascii="Times New Roman" w:eastAsia="Times New Roman" w:hAnsi="Times New Roman" w:cs="Times New Roman"/>
                <w:noProof/>
                <w:sz w:val="24"/>
                <w:szCs w:val="20"/>
              </w:rPr>
            </w:pPr>
          </w:p>
          <w:p w14:paraId="50F829DF" w14:textId="77777777" w:rsidR="0035268C" w:rsidRPr="00DF28F7" w:rsidRDefault="0035268C" w:rsidP="0035268C">
            <w:pPr>
              <w:jc w:val="both"/>
              <w:rPr>
                <w:rFonts w:ascii="Times New Roman" w:hAnsi="Times New Roman"/>
                <w:noProof/>
                <w:color w:val="231F20"/>
                <w:sz w:val="24"/>
              </w:rPr>
            </w:pPr>
            <w:r>
              <w:rPr>
                <w:rFonts w:ascii="Times New Roman" w:hAnsi="Times New Roman"/>
                <w:b/>
                <w:color w:val="231F20"/>
                <w:sz w:val="24"/>
              </w:rPr>
              <w:t>ES PUBLIKĀCIJAS</w:t>
            </w:r>
          </w:p>
          <w:p w14:paraId="5B6B3B9B" w14:textId="77777777" w:rsidR="0035268C" w:rsidRPr="00DF28F7" w:rsidRDefault="0035268C" w:rsidP="0035268C">
            <w:pPr>
              <w:jc w:val="both"/>
              <w:rPr>
                <w:rFonts w:ascii="Times New Roman" w:eastAsia="Calibri" w:hAnsi="Times New Roman" w:cs="Calibri"/>
                <w:noProof/>
                <w:sz w:val="24"/>
                <w:szCs w:val="18"/>
              </w:rPr>
            </w:pPr>
            <w:r>
              <w:rPr>
                <w:rFonts w:ascii="Times New Roman" w:hAnsi="Times New Roman"/>
                <w:color w:val="231F20"/>
                <w:sz w:val="24"/>
              </w:rPr>
              <w:t xml:space="preserve">Bezmaksas ES publikācijas var lejupielādēt un maksas publikācijas pasūtīt vietnē: </w:t>
            </w:r>
            <w:r>
              <w:rPr>
                <w:rFonts w:ascii="Times New Roman" w:hAnsi="Times New Roman"/>
                <w:b/>
                <w:color w:val="231F20"/>
                <w:sz w:val="24"/>
              </w:rPr>
              <w:t>https://publications.europa. eu/en/publications</w:t>
            </w:r>
            <w:r>
              <w:rPr>
                <w:rFonts w:ascii="Times New Roman" w:hAnsi="Times New Roman"/>
                <w:color w:val="231F20"/>
                <w:sz w:val="24"/>
              </w:rPr>
              <w:t xml:space="preserve"> Vairākas bezmaksas publikāciju kopijas var saņemt, vēršoties </w:t>
            </w:r>
            <w:r>
              <w:rPr>
                <w:rFonts w:ascii="Times New Roman" w:hAnsi="Times New Roman"/>
                <w:i/>
                <w:iCs/>
                <w:color w:val="231F20"/>
                <w:sz w:val="24"/>
              </w:rPr>
              <w:t>Europe Direct</w:t>
            </w:r>
            <w:r>
              <w:rPr>
                <w:rFonts w:ascii="Times New Roman" w:hAnsi="Times New Roman"/>
                <w:color w:val="231F20"/>
                <w:sz w:val="24"/>
              </w:rPr>
              <w:t xml:space="preserve"> vai vietējā informācijas centrā (sk. </w:t>
            </w:r>
            <w:r>
              <w:rPr>
                <w:rFonts w:ascii="Times New Roman" w:hAnsi="Times New Roman"/>
                <w:b/>
                <w:color w:val="231F20"/>
                <w:sz w:val="24"/>
              </w:rPr>
              <w:t>https://europa.eu/european-union/ contact_en</w:t>
            </w:r>
            <w:r>
              <w:rPr>
                <w:rFonts w:ascii="Times New Roman" w:hAnsi="Times New Roman"/>
                <w:color w:val="231F20"/>
                <w:sz w:val="24"/>
              </w:rPr>
              <w:t>).</w:t>
            </w:r>
          </w:p>
          <w:p w14:paraId="3BDAA338" w14:textId="77777777" w:rsidR="0035268C" w:rsidRPr="00DF28F7" w:rsidRDefault="0035268C" w:rsidP="0035268C">
            <w:pPr>
              <w:jc w:val="both"/>
              <w:rPr>
                <w:rFonts w:ascii="Times New Roman" w:eastAsia="Times New Roman" w:hAnsi="Times New Roman" w:cs="Times New Roman"/>
                <w:noProof/>
                <w:sz w:val="24"/>
                <w:szCs w:val="20"/>
              </w:rPr>
            </w:pPr>
          </w:p>
          <w:p w14:paraId="4DB46320" w14:textId="77777777" w:rsidR="0035268C" w:rsidRPr="0074432B" w:rsidRDefault="0035268C" w:rsidP="0035268C">
            <w:pPr>
              <w:jc w:val="both"/>
              <w:rPr>
                <w:rFonts w:ascii="Times New Roman" w:hAnsi="Times New Roman"/>
                <w:b/>
                <w:bCs/>
                <w:noProof/>
                <w:color w:val="231F20"/>
                <w:sz w:val="24"/>
              </w:rPr>
            </w:pPr>
            <w:r>
              <w:rPr>
                <w:rFonts w:ascii="Times New Roman" w:hAnsi="Times New Roman"/>
                <w:b/>
                <w:color w:val="231F20"/>
                <w:sz w:val="24"/>
              </w:rPr>
              <w:t>ES TIESĪBU DOKUMENTI UN SAISTĪTIE DOKUMENTI</w:t>
            </w:r>
          </w:p>
          <w:p w14:paraId="1C4B9CEB" w14:textId="77777777" w:rsidR="0035268C" w:rsidRPr="00DF28F7" w:rsidRDefault="0035268C" w:rsidP="0035268C">
            <w:pPr>
              <w:jc w:val="both"/>
              <w:rPr>
                <w:rFonts w:ascii="Times New Roman" w:eastAsia="Calibri" w:hAnsi="Times New Roman" w:cs="Calibri"/>
                <w:noProof/>
                <w:sz w:val="24"/>
                <w:szCs w:val="18"/>
              </w:rPr>
            </w:pPr>
            <w:r>
              <w:rPr>
                <w:rFonts w:ascii="Times New Roman" w:hAnsi="Times New Roman"/>
                <w:color w:val="231F20"/>
                <w:sz w:val="24"/>
              </w:rPr>
              <w:t xml:space="preserve">ES juridiskā informācija, tostarp visi ES tiesību akti kopš 1952. gada ir pieejami visās oficiālajās valodās </w:t>
            </w:r>
            <w:r>
              <w:rPr>
                <w:rFonts w:ascii="Times New Roman" w:hAnsi="Times New Roman"/>
                <w:i/>
                <w:iCs/>
                <w:color w:val="231F20"/>
                <w:sz w:val="24"/>
              </w:rPr>
              <w:t>EUR-Lex</w:t>
            </w:r>
            <w:r>
              <w:rPr>
                <w:rFonts w:ascii="Times New Roman" w:hAnsi="Times New Roman"/>
                <w:color w:val="231F20"/>
                <w:sz w:val="24"/>
              </w:rPr>
              <w:t xml:space="preserve"> vietnē: </w:t>
            </w:r>
            <w:hyperlink r:id="rId22">
              <w:r>
                <w:rPr>
                  <w:rFonts w:ascii="Times New Roman" w:hAnsi="Times New Roman"/>
                  <w:b/>
                  <w:color w:val="231F20"/>
                  <w:sz w:val="24"/>
                </w:rPr>
                <w:t>http://eur-lex.europa.eu</w:t>
              </w:r>
            </w:hyperlink>
          </w:p>
          <w:p w14:paraId="1BCF9221" w14:textId="77777777" w:rsidR="0035268C" w:rsidRPr="00DF28F7" w:rsidRDefault="0035268C" w:rsidP="0035268C">
            <w:pPr>
              <w:jc w:val="both"/>
              <w:rPr>
                <w:rFonts w:ascii="Times New Roman" w:eastAsia="Times New Roman" w:hAnsi="Times New Roman" w:cs="Times New Roman"/>
                <w:noProof/>
                <w:sz w:val="24"/>
                <w:szCs w:val="20"/>
              </w:rPr>
            </w:pPr>
          </w:p>
          <w:p w14:paraId="0525BCA8" w14:textId="77777777" w:rsidR="0035268C" w:rsidRPr="0074432B" w:rsidRDefault="0035268C" w:rsidP="0035268C">
            <w:pPr>
              <w:jc w:val="both"/>
              <w:rPr>
                <w:rFonts w:ascii="Times New Roman" w:hAnsi="Times New Roman"/>
                <w:b/>
                <w:bCs/>
                <w:noProof/>
                <w:color w:val="231F20"/>
                <w:sz w:val="24"/>
              </w:rPr>
            </w:pPr>
            <w:r>
              <w:rPr>
                <w:rFonts w:ascii="Times New Roman" w:hAnsi="Times New Roman"/>
                <w:b/>
                <w:color w:val="231F20"/>
                <w:sz w:val="24"/>
              </w:rPr>
              <w:t>ES ATKLĀTIE DATI</w:t>
            </w:r>
          </w:p>
          <w:p w14:paraId="13C32325" w14:textId="77777777" w:rsidR="0035268C" w:rsidRPr="00DF28F7" w:rsidRDefault="0035268C" w:rsidP="0035268C">
            <w:pPr>
              <w:jc w:val="both"/>
              <w:rPr>
                <w:rFonts w:ascii="Times New Roman" w:eastAsia="Calibri" w:hAnsi="Times New Roman" w:cs="Calibri"/>
                <w:noProof/>
                <w:sz w:val="24"/>
                <w:szCs w:val="18"/>
              </w:rPr>
            </w:pPr>
            <w:r>
              <w:rPr>
                <w:rFonts w:ascii="Times New Roman" w:hAnsi="Times New Roman"/>
                <w:color w:val="231F20"/>
                <w:sz w:val="24"/>
              </w:rPr>
              <w:t>ES atklāto datu portāls (</w:t>
            </w:r>
            <w:hyperlink r:id="rId23">
              <w:r>
                <w:rPr>
                  <w:rFonts w:ascii="Times New Roman" w:hAnsi="Times New Roman"/>
                  <w:b/>
                  <w:color w:val="231F20"/>
                  <w:sz w:val="24"/>
                </w:rPr>
                <w:t>http://data.europa.eu/euodp/en</w:t>
              </w:r>
              <w:r>
                <w:rPr>
                  <w:rFonts w:ascii="Times New Roman" w:hAnsi="Times New Roman"/>
                  <w:color w:val="231F20"/>
                  <w:sz w:val="24"/>
                </w:rPr>
                <w:t>)</w:t>
              </w:r>
            </w:hyperlink>
            <w:r>
              <w:rPr>
                <w:rFonts w:ascii="Times New Roman" w:hAnsi="Times New Roman"/>
                <w:color w:val="231F20"/>
                <w:sz w:val="24"/>
              </w:rPr>
              <w:t xml:space="preserve"> nodrošina piekļuvi ES datu kopām. Datus var lejupielādēt un bez maksas atkārtoti lietot gan komerciālos, gan</w:t>
            </w:r>
          </w:p>
          <w:p w14:paraId="4027F910" w14:textId="77777777" w:rsidR="0074432B" w:rsidRPr="0035268C" w:rsidRDefault="0035268C" w:rsidP="001F2648">
            <w:pPr>
              <w:jc w:val="both"/>
              <w:rPr>
                <w:rFonts w:ascii="Times New Roman" w:hAnsi="Times New Roman"/>
                <w:noProof/>
                <w:color w:val="231F20"/>
                <w:sz w:val="24"/>
              </w:rPr>
            </w:pPr>
            <w:r>
              <w:rPr>
                <w:rFonts w:ascii="Times New Roman" w:hAnsi="Times New Roman"/>
                <w:color w:val="231F20"/>
                <w:sz w:val="24"/>
              </w:rPr>
              <w:t>nekomerciālos nolūkos.</w:t>
            </w:r>
          </w:p>
        </w:tc>
      </w:tr>
    </w:tbl>
    <w:p w14:paraId="5EA580CB" w14:textId="77777777" w:rsidR="0083515C" w:rsidRPr="00DF28F7" w:rsidRDefault="0083515C" w:rsidP="001F2648">
      <w:pPr>
        <w:jc w:val="both"/>
        <w:rPr>
          <w:rFonts w:ascii="Times New Roman" w:eastAsia="Verdana" w:hAnsi="Times New Roman" w:cs="Verdana"/>
          <w:noProof/>
          <w:sz w:val="24"/>
          <w:szCs w:val="20"/>
        </w:rPr>
      </w:pPr>
    </w:p>
    <w:p w14:paraId="0E4AC9B6" w14:textId="77777777" w:rsidR="0035268C" w:rsidRDefault="0035268C">
      <w:pPr>
        <w:rPr>
          <w:rFonts w:ascii="Times New Roman" w:eastAsia="Verdana" w:hAnsi="Times New Roman" w:cs="Verdana"/>
          <w:noProof/>
          <w:sz w:val="24"/>
          <w:szCs w:val="20"/>
        </w:rPr>
      </w:pPr>
      <w:r>
        <w:br w:type="page"/>
      </w:r>
    </w:p>
    <w:p w14:paraId="6628F60D" w14:textId="79B3F258" w:rsidR="0083515C" w:rsidRDefault="0083515C" w:rsidP="001F2648">
      <w:pPr>
        <w:jc w:val="both"/>
        <w:rPr>
          <w:rFonts w:ascii="Times New Roman" w:eastAsia="Times New Roman" w:hAnsi="Times New Roman" w:cs="Times New Roman"/>
          <w:noProof/>
          <w:sz w:val="24"/>
          <w:szCs w:val="20"/>
        </w:rPr>
      </w:pPr>
    </w:p>
    <w:p w14:paraId="07651A66" w14:textId="4CB27B6B" w:rsidR="008C4175" w:rsidRDefault="008C4175" w:rsidP="001F2648">
      <w:pPr>
        <w:jc w:val="both"/>
        <w:rPr>
          <w:rFonts w:ascii="Times New Roman" w:eastAsia="Times New Roman" w:hAnsi="Times New Roman" w:cs="Times New Roman"/>
          <w:noProof/>
          <w:sz w:val="24"/>
          <w:szCs w:val="20"/>
        </w:rPr>
      </w:pPr>
    </w:p>
    <w:p w14:paraId="763592D5" w14:textId="004EE2DA" w:rsidR="008C4175" w:rsidRDefault="008C4175" w:rsidP="001F2648">
      <w:pPr>
        <w:jc w:val="both"/>
        <w:rPr>
          <w:rFonts w:ascii="Times New Roman" w:eastAsia="Times New Roman" w:hAnsi="Times New Roman" w:cs="Times New Roman"/>
          <w:noProof/>
          <w:sz w:val="24"/>
          <w:szCs w:val="20"/>
        </w:rPr>
      </w:pPr>
    </w:p>
    <w:p w14:paraId="6D618734" w14:textId="518CD711" w:rsidR="008C4175" w:rsidRDefault="008C4175" w:rsidP="001F2648">
      <w:pPr>
        <w:jc w:val="both"/>
        <w:rPr>
          <w:rFonts w:ascii="Times New Roman" w:eastAsia="Times New Roman" w:hAnsi="Times New Roman" w:cs="Times New Roman"/>
          <w:noProof/>
          <w:sz w:val="24"/>
          <w:szCs w:val="20"/>
        </w:rPr>
      </w:pPr>
    </w:p>
    <w:p w14:paraId="23239519" w14:textId="271BA578" w:rsidR="008C4175" w:rsidRDefault="008C4175" w:rsidP="001F2648">
      <w:pPr>
        <w:jc w:val="both"/>
        <w:rPr>
          <w:rFonts w:ascii="Times New Roman" w:eastAsia="Times New Roman" w:hAnsi="Times New Roman" w:cs="Times New Roman"/>
          <w:noProof/>
          <w:sz w:val="24"/>
          <w:szCs w:val="20"/>
        </w:rPr>
      </w:pPr>
    </w:p>
    <w:p w14:paraId="6AA7A7B6" w14:textId="3CD9D705" w:rsidR="008C4175" w:rsidRDefault="008C4175" w:rsidP="001F2648">
      <w:pPr>
        <w:jc w:val="both"/>
        <w:rPr>
          <w:rFonts w:ascii="Times New Roman" w:eastAsia="Times New Roman" w:hAnsi="Times New Roman" w:cs="Times New Roman"/>
          <w:noProof/>
          <w:sz w:val="24"/>
          <w:szCs w:val="20"/>
        </w:rPr>
      </w:pPr>
    </w:p>
    <w:p w14:paraId="0C1AB5DC" w14:textId="77BF60A1" w:rsidR="008C4175" w:rsidRDefault="008C4175" w:rsidP="001F2648">
      <w:pPr>
        <w:jc w:val="both"/>
        <w:rPr>
          <w:rFonts w:ascii="Times New Roman" w:eastAsia="Times New Roman" w:hAnsi="Times New Roman" w:cs="Times New Roman"/>
          <w:noProof/>
          <w:sz w:val="24"/>
          <w:szCs w:val="20"/>
        </w:rPr>
      </w:pPr>
    </w:p>
    <w:p w14:paraId="03EB0B09" w14:textId="6B130633" w:rsidR="008C4175" w:rsidRDefault="008C4175" w:rsidP="001F2648">
      <w:pPr>
        <w:jc w:val="both"/>
        <w:rPr>
          <w:rFonts w:ascii="Times New Roman" w:eastAsia="Times New Roman" w:hAnsi="Times New Roman" w:cs="Times New Roman"/>
          <w:noProof/>
          <w:sz w:val="24"/>
          <w:szCs w:val="20"/>
        </w:rPr>
      </w:pPr>
    </w:p>
    <w:p w14:paraId="53E1B9A1" w14:textId="159B2CEF" w:rsidR="008C4175" w:rsidRDefault="008C4175" w:rsidP="001F2648">
      <w:pPr>
        <w:jc w:val="both"/>
        <w:rPr>
          <w:rFonts w:ascii="Times New Roman" w:eastAsia="Times New Roman" w:hAnsi="Times New Roman" w:cs="Times New Roman"/>
          <w:noProof/>
          <w:sz w:val="24"/>
          <w:szCs w:val="20"/>
        </w:rPr>
      </w:pPr>
    </w:p>
    <w:p w14:paraId="7D177F53" w14:textId="097C7D54" w:rsidR="008C4175" w:rsidRDefault="008C4175" w:rsidP="001F2648">
      <w:pPr>
        <w:jc w:val="both"/>
        <w:rPr>
          <w:rFonts w:ascii="Times New Roman" w:eastAsia="Times New Roman" w:hAnsi="Times New Roman" w:cs="Times New Roman"/>
          <w:noProof/>
          <w:sz w:val="24"/>
          <w:szCs w:val="20"/>
        </w:rPr>
      </w:pPr>
    </w:p>
    <w:p w14:paraId="07E0C1D5" w14:textId="77777777" w:rsidR="008C4175" w:rsidRPr="00DF28F7" w:rsidRDefault="008C4175" w:rsidP="001F2648">
      <w:pPr>
        <w:jc w:val="both"/>
        <w:rPr>
          <w:rFonts w:ascii="Times New Roman" w:eastAsia="Times New Roman" w:hAnsi="Times New Roman" w:cs="Times New Roman"/>
          <w:noProof/>
          <w:sz w:val="24"/>
          <w:szCs w:val="20"/>
        </w:rPr>
      </w:pPr>
    </w:p>
    <w:p w14:paraId="4C742DA2" w14:textId="77777777" w:rsidR="0083515C" w:rsidRPr="00DF28F7" w:rsidRDefault="00A824E5" w:rsidP="001F2648">
      <w:pPr>
        <w:tabs>
          <w:tab w:val="left" w:pos="2825"/>
        </w:tabs>
        <w:jc w:val="both"/>
        <w:rPr>
          <w:rFonts w:ascii="Times New Roman" w:hAnsi="Times New Roman"/>
          <w:i/>
          <w:noProof/>
          <w:color w:val="231F20"/>
          <w:sz w:val="24"/>
        </w:rPr>
      </w:pPr>
      <w:r>
        <w:rPr>
          <w:rFonts w:ascii="Times New Roman" w:hAnsi="Times New Roman"/>
          <w:i/>
          <w:color w:val="231F20"/>
          <w:sz w:val="24"/>
        </w:rPr>
        <w:pict w14:anchorId="1131F772">
          <v:shapetype id="_x0000_t202" coordsize="21600,21600" o:spt="202" path="m,l,21600r21600,l21600,xe">
            <v:stroke joinstyle="miter"/>
            <v:path gradientshapeok="t" o:connecttype="rect"/>
          </v:shapetype>
          <v:shape id="_x0000_s3620" type="#_x0000_t202" style="position:absolute;left:0;text-align:left;margin-left:452.3pt;margin-top:-176.65pt;width:11.5pt;height:80.1pt;z-index:251696128;mso-position-horizontal-relative:page" filled="f" stroked="f">
            <v:textbox style="layout-flow:vertical" inset="0,0,0,0">
              <w:txbxContent>
                <w:p w14:paraId="6675B644" w14:textId="77777777" w:rsidR="000A3BB7" w:rsidRPr="0083515C" w:rsidRDefault="000A3BB7" w:rsidP="0083515C">
                  <w:pPr>
                    <w:pStyle w:val="BodyText"/>
                    <w:spacing w:line="218" w:lineRule="exact"/>
                    <w:ind w:left="20"/>
                    <w:rPr>
                      <w:rFonts w:ascii="Calibri"/>
                      <w:noProof/>
                      <w:color w:val="FFFFFF"/>
                    </w:rPr>
                  </w:pPr>
                  <w:r>
                    <w:rPr>
                      <w:rFonts w:ascii="Calibri"/>
                      <w:color w:val="FFFFFF"/>
                    </w:rPr>
                    <w:t>KI-04-18-806-EN-C</w:t>
                  </w:r>
                </w:p>
              </w:txbxContent>
            </v:textbox>
            <w10:wrap anchorx="page"/>
          </v:shape>
        </w:pict>
      </w:r>
      <w:r w:rsidR="00AD05D6">
        <w:rPr>
          <w:rFonts w:ascii="Times New Roman" w:hAnsi="Times New Roman"/>
          <w:i/>
          <w:color w:val="231F20"/>
          <w:sz w:val="24"/>
        </w:rPr>
        <w:t>Eiropas Bioekonomikas 2012. gada stratēģija bruģēja ceļu inovatīvākas, resursefektīvākas un konkurētspējīgākas sabiedrības veidošanai, kurā nodrošinātība ar pārtiku nav pretrunā atjaunojamo resursu ilgtspējīgai rūpnieciskai izmantošanai un vides aizsardzības nodrošināšanai. Visaptverošā pārskatīšanā tika secināts, ka ir gūti panākumi, sevišķi pētniecības un inovācijas mobilizēšanā, privāto investīciju palielināšanā, jaunu vērtības ķēžu izstrādē, valstu bioekonomikas stratēģijas ieviešanas veicināšanā un ieinteresēto pušu iesaistīšanā. Lai gan stratēģijas sākotnējie pieci mērķi joprojām ir spēkā, pārskatīšanā konstatēja, ka ir jāpielāgo šo mērķu darbības joma un jāpārorientē ar tiem saistītās darbības, lai labāk izmantotu bioekonomikas potenciālu īstenot pašreizējās un turpmākās ES prioritātes.</w:t>
      </w:r>
    </w:p>
    <w:p w14:paraId="200782AF" w14:textId="77777777" w:rsidR="0083515C" w:rsidRPr="00DF28F7" w:rsidRDefault="0083515C" w:rsidP="001F2648">
      <w:pPr>
        <w:jc w:val="both"/>
        <w:rPr>
          <w:rFonts w:ascii="Times New Roman" w:eastAsia="Calibri" w:hAnsi="Times New Roman" w:cs="Calibri"/>
          <w:i/>
          <w:noProof/>
          <w:color w:val="231F20"/>
          <w:sz w:val="24"/>
          <w:szCs w:val="19"/>
        </w:rPr>
      </w:pPr>
      <w:r>
        <w:rPr>
          <w:rFonts w:ascii="Times New Roman" w:hAnsi="Times New Roman"/>
          <w:i/>
          <w:color w:val="231F20"/>
          <w:sz w:val="24"/>
        </w:rPr>
        <w:t>Šajā atjauninātajā bioekonomikas stratēģijā tiek piedāvātas darbības ar mērķi paplašināt un izvērst bioekonomiku vietējā līmenī, izmantojot un pārsniedzot iepriekšējās veiksmīgās investīcijas pētniecībā un inovācijās, lai radītu izaugsmes un darba iespējas vietējā līmenī, stiprinātu uz bioresursiem balstītās nozares un sekmētu ES rūpniecības modernizāciju, aizsargātu vidi un uzlabotu ekosistēmu funkcijas un bioloģisko daudzveidību.</w:t>
      </w:r>
    </w:p>
    <w:p w14:paraId="5B2D3D74" w14:textId="77777777" w:rsidR="0083515C" w:rsidRPr="00DF28F7" w:rsidRDefault="0083515C" w:rsidP="001F2648">
      <w:pPr>
        <w:jc w:val="both"/>
        <w:rPr>
          <w:rFonts w:ascii="Times New Roman" w:eastAsia="Calibri" w:hAnsi="Times New Roman" w:cs="Calibri"/>
          <w:i/>
          <w:noProof/>
          <w:sz w:val="24"/>
          <w:szCs w:val="21"/>
        </w:rPr>
      </w:pPr>
    </w:p>
    <w:p w14:paraId="719B68B9" w14:textId="77777777" w:rsidR="0083515C" w:rsidRPr="00DF28F7" w:rsidRDefault="0083515C" w:rsidP="001F2648">
      <w:pPr>
        <w:jc w:val="both"/>
        <w:rPr>
          <w:rFonts w:ascii="Times New Roman" w:hAnsi="Times New Roman"/>
          <w:i/>
          <w:noProof/>
          <w:color w:val="231F20"/>
          <w:sz w:val="24"/>
        </w:rPr>
      </w:pPr>
      <w:r>
        <w:rPr>
          <w:rFonts w:ascii="Times New Roman" w:hAnsi="Times New Roman"/>
          <w:i/>
          <w:color w:val="231F20"/>
          <w:sz w:val="24"/>
        </w:rPr>
        <w:t>Pētniecības un inovācijas politika</w:t>
      </w:r>
    </w:p>
    <w:p w14:paraId="720D7C63" w14:textId="5478B256" w:rsidR="0083515C" w:rsidRDefault="0083515C" w:rsidP="001F2648">
      <w:pPr>
        <w:jc w:val="both"/>
        <w:rPr>
          <w:rFonts w:ascii="Times New Roman" w:eastAsia="Calibri" w:hAnsi="Times New Roman" w:cs="Calibri"/>
          <w:i/>
          <w:noProof/>
          <w:sz w:val="24"/>
          <w:szCs w:val="20"/>
        </w:rPr>
      </w:pPr>
    </w:p>
    <w:p w14:paraId="355E82A8" w14:textId="05C732B6" w:rsidR="008C4175" w:rsidRDefault="008C4175" w:rsidP="001F2648">
      <w:pPr>
        <w:jc w:val="both"/>
        <w:rPr>
          <w:rFonts w:ascii="Times New Roman" w:eastAsia="Calibri" w:hAnsi="Times New Roman" w:cs="Calibri"/>
          <w:i/>
          <w:noProof/>
          <w:sz w:val="24"/>
          <w:szCs w:val="20"/>
        </w:rPr>
      </w:pPr>
    </w:p>
    <w:p w14:paraId="45F13520" w14:textId="518FF1A1" w:rsidR="008C4175" w:rsidRDefault="008C4175" w:rsidP="001F2648">
      <w:pPr>
        <w:jc w:val="both"/>
        <w:rPr>
          <w:rFonts w:ascii="Times New Roman" w:eastAsia="Calibri" w:hAnsi="Times New Roman" w:cs="Calibri"/>
          <w:i/>
          <w:noProof/>
          <w:sz w:val="24"/>
          <w:szCs w:val="20"/>
        </w:rPr>
      </w:pPr>
    </w:p>
    <w:p w14:paraId="1A3581A3" w14:textId="11BAFD05" w:rsidR="008C4175" w:rsidRDefault="008C4175" w:rsidP="001F2648">
      <w:pPr>
        <w:jc w:val="both"/>
        <w:rPr>
          <w:rFonts w:ascii="Times New Roman" w:eastAsia="Calibri" w:hAnsi="Times New Roman" w:cs="Calibri"/>
          <w:i/>
          <w:noProof/>
          <w:sz w:val="24"/>
          <w:szCs w:val="20"/>
        </w:rPr>
      </w:pPr>
    </w:p>
    <w:p w14:paraId="4D896223" w14:textId="2A86B0D5" w:rsidR="008C4175" w:rsidRDefault="008C4175" w:rsidP="001F2648">
      <w:pPr>
        <w:jc w:val="both"/>
        <w:rPr>
          <w:rFonts w:ascii="Times New Roman" w:eastAsia="Calibri" w:hAnsi="Times New Roman" w:cs="Calibri"/>
          <w:i/>
          <w:noProof/>
          <w:sz w:val="24"/>
          <w:szCs w:val="20"/>
        </w:rPr>
      </w:pPr>
    </w:p>
    <w:p w14:paraId="0C3AA63C" w14:textId="410810E2" w:rsidR="008C4175" w:rsidRDefault="008C4175" w:rsidP="001F2648">
      <w:pPr>
        <w:jc w:val="both"/>
        <w:rPr>
          <w:rFonts w:ascii="Times New Roman" w:eastAsia="Calibri" w:hAnsi="Times New Roman" w:cs="Calibri"/>
          <w:i/>
          <w:noProof/>
          <w:sz w:val="24"/>
          <w:szCs w:val="20"/>
        </w:rPr>
      </w:pPr>
    </w:p>
    <w:p w14:paraId="6D7C73B5" w14:textId="5A6FDD24" w:rsidR="008C4175" w:rsidRDefault="008C4175" w:rsidP="001F2648">
      <w:pPr>
        <w:jc w:val="both"/>
        <w:rPr>
          <w:rFonts w:ascii="Times New Roman" w:eastAsia="Calibri" w:hAnsi="Times New Roman" w:cs="Calibri"/>
          <w:i/>
          <w:noProof/>
          <w:sz w:val="24"/>
          <w:szCs w:val="20"/>
        </w:rPr>
      </w:pPr>
    </w:p>
    <w:p w14:paraId="1083879F" w14:textId="20F69490" w:rsidR="008C4175" w:rsidRDefault="008C4175" w:rsidP="001F2648">
      <w:pPr>
        <w:jc w:val="both"/>
        <w:rPr>
          <w:rFonts w:ascii="Times New Roman" w:eastAsia="Calibri" w:hAnsi="Times New Roman" w:cs="Calibri"/>
          <w:i/>
          <w:noProof/>
          <w:sz w:val="24"/>
          <w:szCs w:val="20"/>
        </w:rPr>
      </w:pPr>
    </w:p>
    <w:p w14:paraId="2EAE1BD3" w14:textId="686E3A60" w:rsidR="008C4175" w:rsidRDefault="008C4175" w:rsidP="001F2648">
      <w:pPr>
        <w:jc w:val="both"/>
        <w:rPr>
          <w:rFonts w:ascii="Times New Roman" w:eastAsia="Calibri" w:hAnsi="Times New Roman" w:cs="Calibri"/>
          <w:i/>
          <w:noProof/>
          <w:sz w:val="24"/>
          <w:szCs w:val="20"/>
        </w:rPr>
      </w:pPr>
    </w:p>
    <w:p w14:paraId="67C27513" w14:textId="2A1251F0" w:rsidR="008C4175" w:rsidRDefault="008C4175" w:rsidP="001F2648">
      <w:pPr>
        <w:jc w:val="both"/>
        <w:rPr>
          <w:rFonts w:ascii="Times New Roman" w:eastAsia="Calibri" w:hAnsi="Times New Roman" w:cs="Calibri"/>
          <w:i/>
          <w:noProof/>
          <w:sz w:val="24"/>
          <w:szCs w:val="20"/>
        </w:rPr>
      </w:pPr>
    </w:p>
    <w:p w14:paraId="1BDE3D94" w14:textId="37ED24FE" w:rsidR="008C4175" w:rsidRDefault="008C4175" w:rsidP="001F2648">
      <w:pPr>
        <w:jc w:val="both"/>
        <w:rPr>
          <w:rFonts w:ascii="Times New Roman" w:eastAsia="Calibri" w:hAnsi="Times New Roman" w:cs="Calibri"/>
          <w:i/>
          <w:noProof/>
          <w:sz w:val="24"/>
          <w:szCs w:val="20"/>
        </w:rPr>
      </w:pPr>
    </w:p>
    <w:p w14:paraId="1FB0F007" w14:textId="61F50885" w:rsidR="008C4175" w:rsidRDefault="008C4175" w:rsidP="001F2648">
      <w:pPr>
        <w:jc w:val="both"/>
        <w:rPr>
          <w:rFonts w:ascii="Times New Roman" w:eastAsia="Calibri" w:hAnsi="Times New Roman" w:cs="Calibri"/>
          <w:i/>
          <w:noProof/>
          <w:sz w:val="24"/>
          <w:szCs w:val="20"/>
        </w:rPr>
      </w:pPr>
    </w:p>
    <w:p w14:paraId="1054B734" w14:textId="1D04F40D" w:rsidR="008C4175" w:rsidRDefault="008C4175" w:rsidP="001F2648">
      <w:pPr>
        <w:jc w:val="both"/>
        <w:rPr>
          <w:rFonts w:ascii="Times New Roman" w:eastAsia="Calibri" w:hAnsi="Times New Roman" w:cs="Calibri"/>
          <w:i/>
          <w:noProof/>
          <w:sz w:val="24"/>
          <w:szCs w:val="20"/>
        </w:rPr>
      </w:pPr>
    </w:p>
    <w:p w14:paraId="62134600" w14:textId="18715F72" w:rsidR="008C4175" w:rsidRDefault="008C4175" w:rsidP="001F2648">
      <w:pPr>
        <w:jc w:val="both"/>
        <w:rPr>
          <w:rFonts w:ascii="Times New Roman" w:eastAsia="Calibri" w:hAnsi="Times New Roman" w:cs="Calibri"/>
          <w:i/>
          <w:noProof/>
          <w:sz w:val="24"/>
          <w:szCs w:val="20"/>
        </w:rPr>
      </w:pPr>
    </w:p>
    <w:p w14:paraId="50674C0A" w14:textId="25DCFB3E" w:rsidR="008C4175" w:rsidRDefault="008C4175" w:rsidP="001F2648">
      <w:pPr>
        <w:jc w:val="both"/>
        <w:rPr>
          <w:rFonts w:ascii="Times New Roman" w:eastAsia="Calibri" w:hAnsi="Times New Roman" w:cs="Calibri"/>
          <w:i/>
          <w:noProof/>
          <w:sz w:val="24"/>
          <w:szCs w:val="20"/>
        </w:rPr>
      </w:pPr>
    </w:p>
    <w:p w14:paraId="299F4AAC" w14:textId="5F007775" w:rsidR="008C4175" w:rsidRDefault="008C4175" w:rsidP="001F2648">
      <w:pPr>
        <w:jc w:val="both"/>
        <w:rPr>
          <w:rFonts w:ascii="Times New Roman" w:eastAsia="Calibri" w:hAnsi="Times New Roman" w:cs="Calibri"/>
          <w:i/>
          <w:noProof/>
          <w:sz w:val="24"/>
          <w:szCs w:val="20"/>
        </w:rPr>
      </w:pPr>
    </w:p>
    <w:p w14:paraId="2FF3AE94" w14:textId="327D2CE6" w:rsidR="008C4175" w:rsidRDefault="008C4175" w:rsidP="001F2648">
      <w:pPr>
        <w:jc w:val="both"/>
        <w:rPr>
          <w:rFonts w:ascii="Times New Roman" w:eastAsia="Calibri" w:hAnsi="Times New Roman" w:cs="Calibri"/>
          <w:i/>
          <w:noProof/>
          <w:sz w:val="24"/>
          <w:szCs w:val="20"/>
        </w:rPr>
      </w:pPr>
    </w:p>
    <w:p w14:paraId="073031D3" w14:textId="77777777" w:rsidR="008C4175" w:rsidRPr="00DF28F7" w:rsidRDefault="008C4175" w:rsidP="001F2648">
      <w:pPr>
        <w:jc w:val="both"/>
        <w:rPr>
          <w:rFonts w:ascii="Times New Roman" w:eastAsia="Calibri" w:hAnsi="Times New Roman" w:cs="Calibri"/>
          <w:i/>
          <w:noProof/>
          <w:sz w:val="24"/>
          <w:szCs w:val="20"/>
        </w:rPr>
      </w:pPr>
    </w:p>
    <w:p w14:paraId="0A69D37C" w14:textId="77777777" w:rsidR="0083515C" w:rsidRPr="00DF28F7" w:rsidRDefault="0083515C" w:rsidP="001F2648">
      <w:pPr>
        <w:jc w:val="both"/>
        <w:rPr>
          <w:rFonts w:ascii="Times New Roman" w:eastAsia="Calibri" w:hAnsi="Times New Roman" w:cs="Calibri"/>
          <w:i/>
          <w:noProof/>
          <w:sz w:val="24"/>
          <w:szCs w:val="18"/>
        </w:rPr>
      </w:pPr>
    </w:p>
    <w:p w14:paraId="18E2F6B8" w14:textId="77777777" w:rsidR="0035268C" w:rsidRDefault="0083515C" w:rsidP="008C4175">
      <w:pPr>
        <w:jc w:val="right"/>
        <w:rPr>
          <w:rFonts w:ascii="Times New Roman" w:hAnsi="Times New Roman"/>
          <w:noProof/>
          <w:color w:val="231F20"/>
          <w:sz w:val="24"/>
        </w:rPr>
      </w:pPr>
      <w:r>
        <w:rPr>
          <w:rFonts w:ascii="Times New Roman" w:hAnsi="Times New Roman"/>
          <w:i/>
          <w:iCs/>
          <w:color w:val="231F20"/>
          <w:sz w:val="24"/>
        </w:rPr>
        <w:t>ISBN</w:t>
      </w:r>
      <w:r>
        <w:rPr>
          <w:rFonts w:ascii="Times New Roman" w:hAnsi="Times New Roman"/>
          <w:color w:val="231F20"/>
          <w:sz w:val="24"/>
        </w:rPr>
        <w:t>: 978-92-79-94145-0</w:t>
      </w:r>
    </w:p>
    <w:p w14:paraId="561FACEF" w14:textId="77777777" w:rsidR="0083515C" w:rsidRPr="00DF28F7" w:rsidRDefault="0083515C" w:rsidP="008C4175">
      <w:pPr>
        <w:jc w:val="right"/>
        <w:rPr>
          <w:rFonts w:ascii="Times New Roman" w:hAnsi="Times New Roman"/>
          <w:noProof/>
          <w:color w:val="231F20"/>
          <w:sz w:val="24"/>
        </w:rPr>
      </w:pPr>
      <w:r>
        <w:rPr>
          <w:rFonts w:ascii="Times New Roman" w:hAnsi="Times New Roman"/>
          <w:color w:val="231F20"/>
          <w:sz w:val="24"/>
        </w:rPr>
        <w:t>doi:10.2777/478385</w:t>
      </w:r>
    </w:p>
    <w:sectPr w:rsidR="0083515C" w:rsidRPr="00DF28F7" w:rsidSect="00CF10CD">
      <w:headerReference w:type="default" r:id="rId24"/>
      <w:footerReference w:type="default" r:id="rId25"/>
      <w:headerReference w:type="first" r:id="rId26"/>
      <w:footerReference w:type="first" r:id="rId2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60658" w14:textId="77777777" w:rsidR="000A3BB7" w:rsidRPr="0083515C" w:rsidRDefault="000A3BB7">
      <w:pPr>
        <w:rPr>
          <w:noProof/>
        </w:rPr>
      </w:pPr>
      <w:r w:rsidRPr="0083515C">
        <w:rPr>
          <w:noProof/>
        </w:rPr>
        <w:separator/>
      </w:r>
    </w:p>
  </w:endnote>
  <w:endnote w:type="continuationSeparator" w:id="0">
    <w:p w14:paraId="06A45CCB" w14:textId="77777777" w:rsidR="000A3BB7" w:rsidRPr="0083515C" w:rsidRDefault="000A3BB7">
      <w:pPr>
        <w:rPr>
          <w:noProof/>
        </w:rPr>
      </w:pPr>
      <w:r w:rsidRPr="0083515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4EB74" w14:textId="77777777" w:rsidR="000A3BB7" w:rsidRPr="000A3BB7" w:rsidRDefault="000A3BB7" w:rsidP="000A3BB7">
    <w:pPr>
      <w:pStyle w:val="Header"/>
      <w:tabs>
        <w:tab w:val="clear" w:pos="4153"/>
        <w:tab w:val="clear" w:pos="8306"/>
        <w:tab w:val="left" w:pos="9072"/>
      </w:tabs>
      <w:rPr>
        <w:rStyle w:val="PageNumber"/>
        <w:rFonts w:ascii="Times New Roman" w:hAnsi="Times New Roman" w:cs="Times New Roman"/>
        <w:sz w:val="20"/>
        <w:szCs w:val="18"/>
      </w:rPr>
    </w:pPr>
  </w:p>
  <w:p w14:paraId="52B9A372" w14:textId="77777777" w:rsidR="000A3BB7" w:rsidRPr="000A3BB7" w:rsidRDefault="000A3BB7" w:rsidP="000A3BB7">
    <w:pPr>
      <w:pStyle w:val="Header"/>
      <w:tabs>
        <w:tab w:val="clear" w:pos="4153"/>
        <w:tab w:val="clear" w:pos="8306"/>
        <w:tab w:val="right" w:leader="underscore" w:pos="9072"/>
      </w:tabs>
      <w:rPr>
        <w:rStyle w:val="PageNumber"/>
        <w:rFonts w:ascii="Times New Roman" w:hAnsi="Times New Roman" w:cs="Times New Roman"/>
        <w:sz w:val="20"/>
        <w:szCs w:val="18"/>
      </w:rPr>
    </w:pPr>
    <w:r w:rsidRPr="000A3BB7">
      <w:rPr>
        <w:rStyle w:val="PageNumber"/>
        <w:rFonts w:ascii="Times New Roman" w:hAnsi="Times New Roman" w:cs="Times New Roman"/>
        <w:sz w:val="20"/>
        <w:szCs w:val="18"/>
      </w:rPr>
      <w:tab/>
    </w:r>
  </w:p>
  <w:p w14:paraId="36C0323E" w14:textId="77777777" w:rsidR="000A3BB7" w:rsidRPr="000A3BB7" w:rsidRDefault="000A3BB7" w:rsidP="000A3BB7">
    <w:pPr>
      <w:pStyle w:val="Header"/>
      <w:tabs>
        <w:tab w:val="clear" w:pos="4153"/>
        <w:tab w:val="clear" w:pos="8306"/>
        <w:tab w:val="right" w:pos="9072"/>
      </w:tabs>
      <w:rPr>
        <w:rStyle w:val="PageNumber"/>
        <w:rFonts w:ascii="Times New Roman" w:hAnsi="Times New Roman" w:cs="Times New Roman"/>
        <w:sz w:val="20"/>
        <w:szCs w:val="18"/>
      </w:rPr>
    </w:pPr>
  </w:p>
  <w:p w14:paraId="06544899" w14:textId="4C03FBDC" w:rsidR="000A3BB7" w:rsidRPr="000A3BB7" w:rsidRDefault="000A3BB7" w:rsidP="000A3BB7">
    <w:pPr>
      <w:pStyle w:val="Footer"/>
      <w:tabs>
        <w:tab w:val="clear" w:pos="4153"/>
        <w:tab w:val="clear" w:pos="8306"/>
        <w:tab w:val="right" w:pos="9072"/>
      </w:tabs>
      <w:rPr>
        <w:rFonts w:ascii="Times New Roman" w:hAnsi="Times New Roman" w:cs="Times New Roman"/>
        <w:sz w:val="20"/>
        <w:szCs w:val="18"/>
      </w:rPr>
    </w:pPr>
    <w:r w:rsidRPr="000A3BB7">
      <w:rPr>
        <w:rFonts w:ascii="Times New Roman" w:hAnsi="Times New Roman" w:cs="Times New Roman"/>
        <w:noProof/>
        <w:sz w:val="20"/>
        <w:szCs w:val="18"/>
      </w:rPr>
      <w:t xml:space="preserve">Tulkojums </w:t>
    </w:r>
    <w:r w:rsidRPr="000A3BB7">
      <w:rPr>
        <w:rFonts w:ascii="Times New Roman" w:hAnsi="Times New Roman" w:cs="Times New Roman"/>
        <w:noProof/>
        <w:sz w:val="20"/>
        <w:szCs w:val="18"/>
      </w:rPr>
      <w:fldChar w:fldCharType="begin"/>
    </w:r>
    <w:r w:rsidRPr="000A3BB7">
      <w:rPr>
        <w:rFonts w:ascii="Times New Roman" w:hAnsi="Times New Roman" w:cs="Times New Roman"/>
        <w:noProof/>
        <w:sz w:val="20"/>
        <w:szCs w:val="18"/>
      </w:rPr>
      <w:instrText>symbol 211 \f "Symbol" \s 9</w:instrText>
    </w:r>
    <w:r w:rsidRPr="000A3BB7">
      <w:rPr>
        <w:rFonts w:ascii="Times New Roman" w:hAnsi="Times New Roman" w:cs="Times New Roman"/>
        <w:noProof/>
        <w:sz w:val="20"/>
        <w:szCs w:val="18"/>
      </w:rPr>
      <w:fldChar w:fldCharType="separate"/>
    </w:r>
    <w:r w:rsidRPr="000A3BB7">
      <w:rPr>
        <w:rFonts w:ascii="Times New Roman" w:hAnsi="Times New Roman" w:cs="Times New Roman"/>
        <w:noProof/>
        <w:sz w:val="20"/>
        <w:szCs w:val="18"/>
      </w:rPr>
      <w:t>Ó</w:t>
    </w:r>
    <w:r w:rsidRPr="000A3BB7">
      <w:rPr>
        <w:rFonts w:ascii="Times New Roman" w:hAnsi="Times New Roman" w:cs="Times New Roman"/>
        <w:noProof/>
        <w:sz w:val="20"/>
        <w:szCs w:val="18"/>
      </w:rPr>
      <w:fldChar w:fldCharType="end"/>
    </w:r>
    <w:r w:rsidRPr="000A3BB7">
      <w:rPr>
        <w:rFonts w:ascii="Times New Roman" w:hAnsi="Times New Roman" w:cs="Times New Roman"/>
        <w:noProof/>
        <w:sz w:val="20"/>
        <w:szCs w:val="18"/>
      </w:rPr>
      <w:t xml:space="preserve"> Valsts valodas centrs, 20</w:t>
    </w:r>
    <w:r w:rsidR="0088409F">
      <w:rPr>
        <w:rFonts w:ascii="Times New Roman" w:hAnsi="Times New Roman" w:cs="Times New Roman"/>
        <w:noProof/>
        <w:sz w:val="20"/>
        <w:szCs w:val="18"/>
      </w:rPr>
      <w:t>21</w:t>
    </w:r>
    <w:r w:rsidRPr="000A3BB7">
      <w:rPr>
        <w:rFonts w:ascii="Times New Roman" w:hAnsi="Times New Roman" w:cs="Times New Roman"/>
        <w:sz w:val="20"/>
        <w:szCs w:val="18"/>
      </w:rPr>
      <w:tab/>
    </w:r>
    <w:r w:rsidRPr="000A3BB7">
      <w:rPr>
        <w:rStyle w:val="PageNumber"/>
        <w:rFonts w:ascii="Times New Roman" w:hAnsi="Times New Roman" w:cs="Times New Roman"/>
        <w:sz w:val="20"/>
        <w:szCs w:val="18"/>
      </w:rPr>
      <w:fldChar w:fldCharType="begin"/>
    </w:r>
    <w:r w:rsidRPr="000A3BB7">
      <w:rPr>
        <w:rStyle w:val="PageNumber"/>
        <w:rFonts w:ascii="Times New Roman" w:hAnsi="Times New Roman" w:cs="Times New Roman"/>
        <w:sz w:val="20"/>
        <w:szCs w:val="18"/>
      </w:rPr>
      <w:instrText xml:space="preserve">page </w:instrText>
    </w:r>
    <w:r w:rsidRPr="000A3BB7">
      <w:rPr>
        <w:rStyle w:val="PageNumber"/>
        <w:rFonts w:ascii="Times New Roman" w:hAnsi="Times New Roman" w:cs="Times New Roman"/>
        <w:sz w:val="20"/>
        <w:szCs w:val="18"/>
      </w:rPr>
      <w:fldChar w:fldCharType="separate"/>
    </w:r>
    <w:r w:rsidRPr="000A3BB7">
      <w:rPr>
        <w:rStyle w:val="PageNumber"/>
        <w:rFonts w:ascii="Times New Roman" w:hAnsi="Times New Roman" w:cs="Times New Roman"/>
        <w:sz w:val="20"/>
        <w:szCs w:val="18"/>
      </w:rPr>
      <w:t>2</w:t>
    </w:r>
    <w:r w:rsidRPr="000A3BB7">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FC2D0" w14:textId="77777777" w:rsidR="000A3BB7" w:rsidRPr="00E3383E" w:rsidRDefault="000A3BB7" w:rsidP="000A3BB7">
    <w:pPr>
      <w:pStyle w:val="Header"/>
      <w:tabs>
        <w:tab w:val="clear" w:pos="4153"/>
        <w:tab w:val="clear" w:pos="8306"/>
        <w:tab w:val="left" w:pos="9072"/>
      </w:tabs>
      <w:rPr>
        <w:rStyle w:val="PageNumber"/>
        <w:rFonts w:ascii="Times New Roman" w:hAnsi="Times New Roman" w:cs="Times New Roman"/>
        <w:sz w:val="20"/>
        <w:szCs w:val="18"/>
      </w:rPr>
    </w:pPr>
    <w:bookmarkStart w:id="37" w:name="_Hlk496261764"/>
    <w:bookmarkStart w:id="38" w:name="_Hlk496261765"/>
    <w:bookmarkStart w:id="39" w:name="_Hlk496261766"/>
  </w:p>
  <w:p w14:paraId="4A31991A" w14:textId="77777777" w:rsidR="000A3BB7" w:rsidRPr="00E3383E" w:rsidRDefault="000A3BB7" w:rsidP="000A3BB7">
    <w:pPr>
      <w:pStyle w:val="Header"/>
      <w:tabs>
        <w:tab w:val="clear" w:pos="4153"/>
        <w:tab w:val="clear" w:pos="8306"/>
        <w:tab w:val="left" w:leader="underscore" w:pos="9072"/>
      </w:tabs>
      <w:rPr>
        <w:rStyle w:val="PageNumber"/>
        <w:rFonts w:ascii="Times New Roman" w:hAnsi="Times New Roman" w:cs="Times New Roman"/>
        <w:sz w:val="20"/>
        <w:szCs w:val="18"/>
      </w:rPr>
    </w:pPr>
    <w:r w:rsidRPr="00E3383E">
      <w:rPr>
        <w:rStyle w:val="PageNumber"/>
        <w:rFonts w:ascii="Times New Roman" w:hAnsi="Times New Roman" w:cs="Times New Roman"/>
        <w:sz w:val="20"/>
        <w:szCs w:val="18"/>
      </w:rPr>
      <w:tab/>
    </w:r>
  </w:p>
  <w:p w14:paraId="6BCB57E1" w14:textId="77777777" w:rsidR="000A3BB7" w:rsidRPr="00E3383E" w:rsidRDefault="000A3BB7" w:rsidP="000A3BB7">
    <w:pPr>
      <w:pStyle w:val="Header"/>
      <w:tabs>
        <w:tab w:val="clear" w:pos="4153"/>
        <w:tab w:val="clear" w:pos="8306"/>
        <w:tab w:val="left" w:pos="9072"/>
      </w:tabs>
      <w:rPr>
        <w:rStyle w:val="PageNumber"/>
        <w:rFonts w:ascii="Times New Roman" w:hAnsi="Times New Roman" w:cs="Times New Roman"/>
        <w:sz w:val="20"/>
        <w:szCs w:val="18"/>
      </w:rPr>
    </w:pPr>
  </w:p>
  <w:p w14:paraId="72F73FFB" w14:textId="707E67E2" w:rsidR="000A3BB7" w:rsidRPr="00E3383E" w:rsidRDefault="000A3BB7" w:rsidP="000A3BB7">
    <w:pPr>
      <w:pStyle w:val="Footer"/>
      <w:rPr>
        <w:rFonts w:ascii="Times New Roman" w:hAnsi="Times New Roman" w:cs="Times New Roman"/>
        <w:sz w:val="20"/>
        <w:szCs w:val="18"/>
      </w:rPr>
    </w:pPr>
    <w:r w:rsidRPr="00E3383E">
      <w:rPr>
        <w:rFonts w:ascii="Times New Roman" w:hAnsi="Times New Roman" w:cs="Times New Roman"/>
        <w:noProof/>
        <w:sz w:val="20"/>
        <w:szCs w:val="18"/>
      </w:rPr>
      <w:t xml:space="preserve">Tulkojums </w:t>
    </w:r>
    <w:r w:rsidRPr="00E3383E">
      <w:rPr>
        <w:rFonts w:ascii="Times New Roman" w:hAnsi="Times New Roman" w:cs="Times New Roman"/>
        <w:noProof/>
        <w:sz w:val="20"/>
        <w:szCs w:val="18"/>
      </w:rPr>
      <w:fldChar w:fldCharType="begin"/>
    </w:r>
    <w:r w:rsidRPr="00E3383E">
      <w:rPr>
        <w:rFonts w:ascii="Times New Roman" w:hAnsi="Times New Roman" w:cs="Times New Roman"/>
        <w:noProof/>
        <w:sz w:val="20"/>
        <w:szCs w:val="18"/>
      </w:rPr>
      <w:instrText>symbol 211 \f "Symbol" \s 9</w:instrText>
    </w:r>
    <w:r w:rsidRPr="00E3383E">
      <w:rPr>
        <w:rFonts w:ascii="Times New Roman" w:hAnsi="Times New Roman" w:cs="Times New Roman"/>
        <w:noProof/>
        <w:sz w:val="20"/>
        <w:szCs w:val="18"/>
      </w:rPr>
      <w:fldChar w:fldCharType="separate"/>
    </w:r>
    <w:r w:rsidRPr="00E3383E">
      <w:rPr>
        <w:rFonts w:ascii="Times New Roman" w:hAnsi="Times New Roman" w:cs="Times New Roman"/>
        <w:noProof/>
        <w:sz w:val="20"/>
        <w:szCs w:val="18"/>
      </w:rPr>
      <w:t>Ó</w:t>
    </w:r>
    <w:r w:rsidRPr="00E3383E">
      <w:rPr>
        <w:rFonts w:ascii="Times New Roman" w:hAnsi="Times New Roman" w:cs="Times New Roman"/>
        <w:noProof/>
        <w:sz w:val="20"/>
        <w:szCs w:val="18"/>
      </w:rPr>
      <w:fldChar w:fldCharType="end"/>
    </w:r>
    <w:r w:rsidRPr="00E3383E">
      <w:rPr>
        <w:rFonts w:ascii="Times New Roman" w:hAnsi="Times New Roman" w:cs="Times New Roman"/>
        <w:noProof/>
        <w:sz w:val="20"/>
        <w:szCs w:val="18"/>
      </w:rPr>
      <w:t xml:space="preserve"> Valsts valodas centrs, 20</w:t>
    </w:r>
    <w:bookmarkEnd w:id="37"/>
    <w:bookmarkEnd w:id="38"/>
    <w:bookmarkEnd w:id="39"/>
    <w:r>
      <w:rPr>
        <w:rFonts w:ascii="Times New Roman" w:hAnsi="Times New Roman" w:cs="Times New Roman"/>
        <w:noProof/>
        <w:sz w:val="20"/>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E9CC4" w14:textId="77777777" w:rsidR="000A3BB7" w:rsidRPr="0083515C" w:rsidRDefault="000A3BB7">
      <w:pPr>
        <w:rPr>
          <w:noProof/>
        </w:rPr>
      </w:pPr>
      <w:r w:rsidRPr="0083515C">
        <w:rPr>
          <w:noProof/>
        </w:rPr>
        <w:separator/>
      </w:r>
    </w:p>
  </w:footnote>
  <w:footnote w:type="continuationSeparator" w:id="0">
    <w:p w14:paraId="6AE6C296" w14:textId="77777777" w:rsidR="000A3BB7" w:rsidRPr="0083515C" w:rsidRDefault="000A3BB7">
      <w:pPr>
        <w:rPr>
          <w:noProof/>
        </w:rPr>
      </w:pPr>
      <w:r w:rsidRPr="0083515C">
        <w:rPr>
          <w:noProof/>
        </w:rPr>
        <w:continuationSeparator/>
      </w:r>
    </w:p>
  </w:footnote>
  <w:footnote w:id="1">
    <w:p w14:paraId="3D6004A3" w14:textId="77777777" w:rsidR="000A3BB7" w:rsidRPr="00933017" w:rsidRDefault="000A3BB7" w:rsidP="00933017">
      <w:pPr>
        <w:tabs>
          <w:tab w:val="left" w:pos="5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Tajā neietilpst biozāles un veselības biotehnoloģija.</w:t>
      </w:r>
    </w:p>
  </w:footnote>
  <w:footnote w:id="2">
    <w:p w14:paraId="279EBCDB" w14:textId="77777777" w:rsidR="000A3BB7" w:rsidRPr="00933017" w:rsidRDefault="000A3BB7" w:rsidP="00933017">
      <w:pPr>
        <w:tabs>
          <w:tab w:val="left" w:pos="5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COM(2012) 60, Inovācijas ilgtspējīgai izaugsmei: Eiropas bioekonomika, 13.02.2012.</w:t>
      </w:r>
    </w:p>
  </w:footnote>
  <w:footnote w:id="3">
    <w:p w14:paraId="0FBFD6A8" w14:textId="77777777" w:rsidR="000A3BB7" w:rsidRPr="00933017" w:rsidRDefault="000A3BB7" w:rsidP="00933017">
      <w:pPr>
        <w:tabs>
          <w:tab w:val="left" w:pos="56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Šīs darbības neradīs budžeta un likumdošanas saistības nākamajam Komisijas sastāvam, bet darbību konkrētā īstenošana var ilgt līdz 2025. gadam.</w:t>
      </w:r>
    </w:p>
  </w:footnote>
  <w:footnote w:id="4">
    <w:p w14:paraId="4D9AAE3E" w14:textId="77777777" w:rsidR="000A3BB7" w:rsidRPr="00933017" w:rsidRDefault="000A3BB7" w:rsidP="00933017">
      <w:pPr>
        <w:tabs>
          <w:tab w:val="left" w:pos="571"/>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SWD(2017) 374, 2012. gada Eiropas Bioekonomikas stratēģijas pārskats, 13.11.2017.</w:t>
      </w:r>
    </w:p>
  </w:footnote>
  <w:footnote w:id="5">
    <w:p w14:paraId="421B57BD" w14:textId="77777777" w:rsidR="000A3BB7" w:rsidRPr="00933017" w:rsidRDefault="000A3BB7" w:rsidP="00933017">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Nodomu vēstule, Stāvoklis Savienībā, 2018. gada septembris; https://ec.europa.eu/commission/sites/beta-political/files/soteu2018-letter-of-intent_lv.pdf</w:t>
      </w:r>
    </w:p>
  </w:footnote>
  <w:footnote w:id="6">
    <w:p w14:paraId="2E01D7FC" w14:textId="77777777" w:rsidR="000A3BB7" w:rsidRPr="00933017" w:rsidRDefault="000A3BB7" w:rsidP="00933017">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COM(2016) 739, Turpmākie pasākumi ilgtspējīgai Eiropas nākotnei: Eiropas rīcība ilgtspējas jomā, 22.11.2016.</w:t>
      </w:r>
    </w:p>
  </w:footnote>
  <w:footnote w:id="7">
    <w:p w14:paraId="17C7AEB9" w14:textId="77777777" w:rsidR="000A3BB7" w:rsidRPr="00E16104" w:rsidRDefault="000A3BB7" w:rsidP="00E16104">
      <w:pPr>
        <w:tabs>
          <w:tab w:val="left" w:pos="471"/>
          <w:tab w:val="left" w:pos="4648"/>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SWD(2016) 390, Eiropas galvenā darbība, kas atbalsta 2030. gada programmu un ilgtspējīgas attīstības mērķus, 22.11.2016.; </w:t>
      </w:r>
      <w:r>
        <w:rPr>
          <w:rFonts w:ascii="Times New Roman" w:hAnsi="Times New Roman"/>
          <w:i/>
          <w:iCs/>
          <w:sz w:val="20"/>
        </w:rPr>
        <w:t>Eurostat</w:t>
      </w:r>
      <w:r>
        <w:rPr>
          <w:rFonts w:ascii="Times New Roman" w:hAnsi="Times New Roman"/>
          <w:sz w:val="20"/>
        </w:rPr>
        <w:t xml:space="preserve"> IAM pārraudzības ziņojums. https://ec.europa.eu/eurostat/documents/2995521/9234939/8-18092018-AP-EN.pdf/888b182d-f6f9-4e0d-9e48-4b4e1561333e; </w:t>
      </w:r>
      <w:r>
        <w:rPr>
          <w:rFonts w:ascii="Times New Roman" w:hAnsi="Times New Roman"/>
          <w:i/>
          <w:iCs/>
          <w:sz w:val="20"/>
        </w:rPr>
        <w:t>JRC</w:t>
      </w:r>
      <w:r>
        <w:rPr>
          <w:rFonts w:ascii="Times New Roman" w:hAnsi="Times New Roman"/>
          <w:sz w:val="20"/>
        </w:rPr>
        <w:t xml:space="preserve"> ziņojums </w:t>
      </w:r>
      <w:r>
        <w:rPr>
          <w:rFonts w:ascii="Times New Roman" w:hAnsi="Times New Roman"/>
          <w:i/>
          <w:iCs/>
          <w:sz w:val="20"/>
        </w:rPr>
        <w:t>The MAGNET model framework for assessing policy coherence and SDGs – Applications to the bioeconomy</w:t>
      </w:r>
      <w:r>
        <w:rPr>
          <w:rFonts w:ascii="Times New Roman" w:hAnsi="Times New Roman"/>
          <w:sz w:val="20"/>
        </w:rPr>
        <w:t>, 2018, ISBN 978-92-79-81792-2.</w:t>
      </w:r>
    </w:p>
  </w:footnote>
  <w:footnote w:id="8">
    <w:p w14:paraId="6286B051" w14:textId="77777777" w:rsidR="000A3BB7" w:rsidRPr="00E16104" w:rsidRDefault="000A3BB7" w:rsidP="00E16104">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Ronzon, T. et al., </w:t>
      </w:r>
      <w:r>
        <w:rPr>
          <w:rFonts w:ascii="Times New Roman" w:hAnsi="Times New Roman"/>
          <w:i/>
          <w:iCs/>
          <w:sz w:val="20"/>
        </w:rPr>
        <w:t>Sustainability</w:t>
      </w:r>
      <w:r>
        <w:rPr>
          <w:rFonts w:ascii="Times New Roman" w:hAnsi="Times New Roman"/>
          <w:sz w:val="20"/>
        </w:rPr>
        <w:t>, 10, 6, 1745, (2018), doi: 10.3390/su10061745; ikgadējs skaitlis (dati par 2015. gadu).</w:t>
      </w:r>
    </w:p>
  </w:footnote>
  <w:footnote w:id="9">
    <w:p w14:paraId="64270DB5" w14:textId="77777777" w:rsidR="000A3BB7" w:rsidRPr="00E16104" w:rsidRDefault="000A3BB7" w:rsidP="00E16104">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EuropaBio</w:t>
      </w:r>
      <w:r>
        <w:rPr>
          <w:rFonts w:ascii="Times New Roman" w:hAnsi="Times New Roman"/>
          <w:sz w:val="20"/>
        </w:rPr>
        <w:t xml:space="preserve"> ziņojums </w:t>
      </w:r>
      <w:r>
        <w:rPr>
          <w:rFonts w:ascii="Times New Roman" w:hAnsi="Times New Roman"/>
          <w:i/>
          <w:iCs/>
          <w:sz w:val="20"/>
        </w:rPr>
        <w:t>Jobs and growth generated by industrial biotechnology in Europe</w:t>
      </w:r>
      <w:r>
        <w:rPr>
          <w:rFonts w:ascii="Times New Roman" w:hAnsi="Times New Roman"/>
          <w:sz w:val="20"/>
        </w:rPr>
        <w:t>, 2016. gada septembris.</w:t>
      </w:r>
    </w:p>
  </w:footnote>
  <w:footnote w:id="10">
    <w:p w14:paraId="4945C360" w14:textId="77777777" w:rsidR="000A3BB7" w:rsidRPr="00BD2EBC" w:rsidRDefault="000A3BB7" w:rsidP="00BD2EB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Elias Hurmekoski, </w:t>
      </w:r>
      <w:r>
        <w:rPr>
          <w:rFonts w:ascii="Times New Roman" w:hAnsi="Times New Roman"/>
          <w:i/>
          <w:iCs/>
        </w:rPr>
        <w:t>How can wood construction reduce environmental degradation?</w:t>
      </w:r>
      <w:r>
        <w:rPr>
          <w:rFonts w:ascii="Times New Roman" w:hAnsi="Times New Roman"/>
        </w:rPr>
        <w:t>, 2017, http://www.efi.int/files/images/publications/efi_hurmekoski_wood_construction_2017.pdf</w:t>
      </w:r>
    </w:p>
  </w:footnote>
  <w:footnote w:id="11">
    <w:p w14:paraId="146525ED" w14:textId="77777777" w:rsidR="000A3BB7" w:rsidRPr="00BD2EBC" w:rsidRDefault="000A3BB7" w:rsidP="00BD2EBC">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Direktīvu par atjaunojamo energoresursu enerģijas izmantošanas veicināšanu (pārstrādāto redakciju) pēc Eiropas Parlamenta un Padomes 2018. gada 13. jūnija politiskās vienošanās paredzēts oficiāli pieņemt 2018. gada beigās.</w:t>
      </w:r>
    </w:p>
  </w:footnote>
  <w:footnote w:id="12">
    <w:p w14:paraId="076CA5BB" w14:textId="77777777" w:rsidR="000A3BB7" w:rsidRPr="00BD2EBC" w:rsidRDefault="000A3BB7" w:rsidP="00BD2EB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COM(2017) 479, Investīcijas gudrā, novatoriskā un ilgtspējīgā rūpniecībā. Atjauninātā ES rūpniecības politikas stratēģija, 13.09.2017.</w:t>
      </w:r>
    </w:p>
  </w:footnote>
  <w:footnote w:id="13">
    <w:p w14:paraId="6E1EA5FC" w14:textId="77777777" w:rsidR="000A3BB7" w:rsidRPr="00BD2EBC" w:rsidRDefault="000A3BB7" w:rsidP="00BD2EBC">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EuropaBio</w:t>
      </w:r>
      <w:r>
        <w:rPr>
          <w:rFonts w:ascii="Times New Roman" w:hAnsi="Times New Roman"/>
          <w:sz w:val="20"/>
        </w:rPr>
        <w:t xml:space="preserve"> ziņojums </w:t>
      </w:r>
      <w:r>
        <w:rPr>
          <w:rFonts w:ascii="Times New Roman" w:hAnsi="Times New Roman"/>
          <w:i/>
          <w:iCs/>
          <w:sz w:val="20"/>
        </w:rPr>
        <w:t>Jobs and growth generated by industrial biotechnology in Europe</w:t>
      </w:r>
      <w:r>
        <w:rPr>
          <w:rFonts w:ascii="Times New Roman" w:hAnsi="Times New Roman"/>
          <w:sz w:val="20"/>
        </w:rPr>
        <w:t>, 2016. gada septembris.</w:t>
      </w:r>
    </w:p>
  </w:footnote>
  <w:footnote w:id="14">
    <w:p w14:paraId="28D2B773" w14:textId="77777777" w:rsidR="000A3BB7" w:rsidRPr="00BD2EBC" w:rsidRDefault="000A3BB7" w:rsidP="00BD2EB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Pamatnostādnes par tādas pārtikas izmantošanu barībā, kas vairs nav paredzēta cilvēku patēriņam, https://eur-lex.europa.eu/legal-content/LV/TXT/PDF/?uri=CELEX:52018XC0416(01)&amp;from=LV</w:t>
      </w:r>
    </w:p>
  </w:footnote>
  <w:footnote w:id="15">
    <w:p w14:paraId="36D476D8" w14:textId="77777777" w:rsidR="000A3BB7" w:rsidRPr="00BD2EBC" w:rsidRDefault="000A3BB7" w:rsidP="00BD2EB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https://eu-refresh.org/eu-panel-experts-concludes-feeding-treated-surplus-food-pigs-viable-provided-certain-safety-0</w:t>
      </w:r>
    </w:p>
  </w:footnote>
  <w:footnote w:id="16">
    <w:p w14:paraId="0FDFFB90" w14:textId="77777777" w:rsidR="000A3BB7" w:rsidRPr="00651E9B" w:rsidRDefault="000A3BB7" w:rsidP="00BD2EB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Circular Amsterdam: a vision and action agenda for the city and metropolitan area</w:t>
      </w:r>
      <w:r>
        <w:rPr>
          <w:rFonts w:ascii="Times New Roman" w:hAnsi="Times New Roman"/>
        </w:rPr>
        <w:t>, Circle Economy, Fabric.two and Gemeente Amsterdam, 2016</w:t>
      </w:r>
    </w:p>
  </w:footnote>
  <w:footnote w:id="17">
    <w:p w14:paraId="1EC2748B" w14:textId="77777777" w:rsidR="000A3BB7" w:rsidRPr="00651E9B" w:rsidRDefault="000A3BB7" w:rsidP="00BD2EBC">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EEA</w:t>
      </w:r>
      <w:r>
        <w:rPr>
          <w:rFonts w:ascii="Times New Roman" w:hAnsi="Times New Roman"/>
          <w:sz w:val="20"/>
        </w:rPr>
        <w:t xml:space="preserve"> ziņojums Nr. 8/2018 </w:t>
      </w:r>
      <w:r>
        <w:rPr>
          <w:rFonts w:ascii="Times New Roman" w:hAnsi="Times New Roman"/>
          <w:i/>
          <w:iCs/>
          <w:sz w:val="20"/>
        </w:rPr>
        <w:t>The circular economy and the bioeconomy, Partners in sustainability</w:t>
      </w:r>
      <w:r>
        <w:rPr>
          <w:rFonts w:ascii="Times New Roman" w:hAnsi="Times New Roman"/>
          <w:sz w:val="20"/>
        </w:rPr>
        <w:t>, ISSN 1977-8449</w:t>
      </w:r>
    </w:p>
  </w:footnote>
  <w:footnote w:id="18">
    <w:p w14:paraId="24FDB8F0" w14:textId="77777777" w:rsidR="000A3BB7" w:rsidRPr="00651E9B" w:rsidRDefault="000A3BB7" w:rsidP="00BD2EBC">
      <w:pPr>
        <w:tabs>
          <w:tab w:val="left" w:pos="47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Lēmums Nr. 1386/2013/ES par vispārējo Savienības vides rīcības programmu līdz 2020. gadam “Labklājīga dzīve ar pieejamajiem planētas resursiem”, 20.11.2013.</w:t>
      </w:r>
    </w:p>
  </w:footnote>
  <w:footnote w:id="19">
    <w:p w14:paraId="34AC8AC2" w14:textId="77777777" w:rsidR="000A3BB7" w:rsidRPr="00651E9B" w:rsidRDefault="000A3BB7" w:rsidP="00BD2EBC">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COM(2018) 2, Programmas “Apvārsnis 2020” vidusposma novērtējums: ES pētniecības un inovācijas ietekmes palielināšana, 11.01.2018.</w:t>
      </w:r>
    </w:p>
  </w:footnote>
  <w:footnote w:id="20">
    <w:p w14:paraId="5A53F776" w14:textId="77777777" w:rsidR="000A3BB7" w:rsidRPr="00651E9B" w:rsidRDefault="000A3BB7" w:rsidP="00BD2EBC">
      <w:pPr>
        <w:tabs>
          <w:tab w:val="left" w:pos="47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COM(2018) 306, Atjaunota Eiropas programma pētniecībai un inovācijai – Eiropas izdevība veidot savu nākotni, 15.05.2018.</w:t>
      </w:r>
    </w:p>
  </w:footnote>
  <w:footnote w:id="21">
    <w:p w14:paraId="6249528A" w14:textId="77777777" w:rsidR="000A3BB7" w:rsidRPr="00651E9B" w:rsidRDefault="000A3BB7" w:rsidP="00651E9B">
      <w:pPr>
        <w:tabs>
          <w:tab w:val="left" w:pos="47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COM(2018) 321, Mūsdienīgs budžets Savienībai, kas aizsargā, dod iespējas un aizstāv: daudzgadu finanšu shēma 2021.–2027. gadam, 02.05.2018.</w:t>
      </w:r>
    </w:p>
  </w:footnote>
  <w:footnote w:id="22">
    <w:p w14:paraId="31F06ED2" w14:textId="77777777" w:rsidR="000A3BB7" w:rsidRPr="00651E9B" w:rsidRDefault="000A3BB7" w:rsidP="00651E9B">
      <w:pPr>
        <w:tabs>
          <w:tab w:val="left" w:pos="471"/>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COM(2018) 435, Par pētniecības un inovācijas pamatprogrammas “Apvārsnis Eiropa” izveidi un dalības un rezultātu izplatīšanas noteikumiem, 07.06.2018.</w:t>
      </w:r>
    </w:p>
  </w:footnote>
  <w:footnote w:id="23">
    <w:p w14:paraId="6FD83D56" w14:textId="77777777" w:rsidR="000A3BB7" w:rsidRPr="00651E9B" w:rsidRDefault="000A3BB7" w:rsidP="00651E9B">
      <w:pPr>
        <w:tabs>
          <w:tab w:val="left" w:pos="47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http://s3platform.jrc.ec.europa.eu/s3-thematic-platforms</w:t>
      </w:r>
    </w:p>
  </w:footnote>
  <w:footnote w:id="24">
    <w:p w14:paraId="55B5FE48" w14:textId="77777777" w:rsidR="000A3BB7" w:rsidRPr="00651E9B" w:rsidRDefault="000A3BB7" w:rsidP="00651E9B">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SWD(2017) 374, 2012. gada Eiropas Bioekonomikas stratēģijas pārskats, 13.11.2017.</w:t>
      </w:r>
    </w:p>
  </w:footnote>
  <w:footnote w:id="25">
    <w:p w14:paraId="41E8FBAE" w14:textId="77777777" w:rsidR="000A3BB7" w:rsidRPr="00651E9B" w:rsidRDefault="000A3BB7" w:rsidP="00651E9B">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COM(2017) 479, Investīcijas gudrā, novatoriskā un ilgtspējīgā rūpniecībā. Atjauninātā ES rūpniecības politikas stratēģija, 13.09.2017.</w:t>
      </w:r>
    </w:p>
  </w:footnote>
  <w:footnote w:id="26">
    <w:p w14:paraId="220C0ECA" w14:textId="77777777" w:rsidR="000A3BB7" w:rsidRPr="00651E9B" w:rsidRDefault="000A3BB7" w:rsidP="00651E9B">
      <w:pPr>
        <w:tabs>
          <w:tab w:val="left" w:pos="47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COM(2015) 614, Noslēgt aprites loku – ES rīcības plāns pārejai uz aprites ekonomiku, 02.12.2015.</w:t>
      </w:r>
    </w:p>
  </w:footnote>
  <w:footnote w:id="27">
    <w:p w14:paraId="43A02749" w14:textId="77777777" w:rsidR="000A3BB7" w:rsidRPr="00AC27DA" w:rsidRDefault="000A3BB7" w:rsidP="00651E9B">
      <w:pPr>
        <w:tabs>
          <w:tab w:val="left" w:pos="47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COM(2016) 860, Tīru enerģiju ikvienam Eiropā – Eiropas izaugsmes potenciāla realizēšana, 30.11.2016.</w:t>
      </w:r>
    </w:p>
  </w:footnote>
  <w:footnote w:id="28">
    <w:p w14:paraId="720FF56E" w14:textId="77777777" w:rsidR="000A3BB7" w:rsidRPr="00AC27DA" w:rsidRDefault="000A3BB7" w:rsidP="00AC27D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COM(2017)713, Pārtikas un lauksaimniecības nākotne, 29.11.2017; SWD(2016)319, Eiropas pētniecība un inovācija pārtikas un uztura nodrošinātības jomā, 21.09.2016.</w:t>
      </w:r>
    </w:p>
  </w:footnote>
  <w:footnote w:id="29">
    <w:p w14:paraId="69477BF6" w14:textId="77777777" w:rsidR="000A3BB7" w:rsidRPr="00AC27DA" w:rsidRDefault="000A3BB7" w:rsidP="00AC27D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COM(2015) 478, Starpposma pārskats par ES bioloģiskās daudzveidības stratēģiju līdz 2020. gadam, 02.10.2015.; Eiropas Vides aģentūra, </w:t>
      </w:r>
      <w:r>
        <w:rPr>
          <w:rFonts w:ascii="Times New Roman" w:hAnsi="Times New Roman"/>
          <w:i/>
          <w:iCs/>
          <w:sz w:val="20"/>
        </w:rPr>
        <w:t>The European environment: state and outlook</w:t>
      </w:r>
      <w:r>
        <w:rPr>
          <w:rFonts w:ascii="Times New Roman" w:hAnsi="Times New Roman"/>
          <w:sz w:val="20"/>
        </w:rPr>
        <w:t>, 2015.</w:t>
      </w:r>
    </w:p>
  </w:footnote>
  <w:footnote w:id="30">
    <w:p w14:paraId="766B8812" w14:textId="77777777" w:rsidR="000A3BB7" w:rsidRPr="00AC27DA" w:rsidRDefault="000A3BB7" w:rsidP="00AC27D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Starpvaldību zinātnes un politikas platforma bioloģiskās daudzveidības un ekosistēmu pakalpojumu jomā, </w:t>
      </w:r>
      <w:r>
        <w:rPr>
          <w:rFonts w:ascii="Times New Roman" w:hAnsi="Times New Roman"/>
          <w:i/>
          <w:iCs/>
          <w:sz w:val="20"/>
        </w:rPr>
        <w:t>Summary for policymakers of the thematic assessment of land degradation and restoration</w:t>
      </w:r>
      <w:r>
        <w:rPr>
          <w:rFonts w:ascii="Times New Roman" w:hAnsi="Times New Roman"/>
          <w:sz w:val="20"/>
        </w:rPr>
        <w:t>, 2018.</w:t>
      </w:r>
    </w:p>
  </w:footnote>
  <w:footnote w:id="31">
    <w:p w14:paraId="16501679" w14:textId="77777777" w:rsidR="000A3BB7" w:rsidRPr="00AC27DA" w:rsidRDefault="000A3BB7" w:rsidP="00AC27D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SWD(2016) 418, 4. daļa, Bioenerģijas ilgtspējas ietekmes novērtējums, 30.11.2016.</w:t>
      </w:r>
    </w:p>
  </w:footnote>
  <w:footnote w:id="32">
    <w:p w14:paraId="197AE438" w14:textId="77777777" w:rsidR="000A3BB7" w:rsidRPr="001F2648" w:rsidRDefault="000A3BB7" w:rsidP="00AC27D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EuropaBio</w:t>
      </w:r>
      <w:r>
        <w:rPr>
          <w:rFonts w:ascii="Times New Roman" w:hAnsi="Times New Roman"/>
          <w:sz w:val="20"/>
        </w:rPr>
        <w:t xml:space="preserve"> ziņojums </w:t>
      </w:r>
      <w:r>
        <w:rPr>
          <w:rFonts w:ascii="Times New Roman" w:hAnsi="Times New Roman"/>
          <w:i/>
          <w:iCs/>
          <w:sz w:val="20"/>
        </w:rPr>
        <w:t>Jobs and growth generated by industrial biotechnology in Europe</w:t>
      </w:r>
      <w:r>
        <w:rPr>
          <w:rFonts w:ascii="Times New Roman" w:hAnsi="Times New Roman"/>
          <w:sz w:val="20"/>
        </w:rPr>
        <w:t>, 2016. gada septembris.</w:t>
      </w:r>
    </w:p>
  </w:footnote>
  <w:footnote w:id="33">
    <w:p w14:paraId="1A91FE08" w14:textId="77777777" w:rsidR="000A3BB7" w:rsidRPr="001F2648" w:rsidRDefault="000A3BB7" w:rsidP="001F2648">
      <w:pPr>
        <w:tabs>
          <w:tab w:val="left" w:pos="471"/>
        </w:tabs>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https://ec.europa.eu/growth/content/guidance-bio-based-products-procurement_en un https://biobasedprocurement.eu/</w:t>
      </w:r>
    </w:p>
  </w:footnote>
  <w:footnote w:id="34">
    <w:p w14:paraId="6DCB2988" w14:textId="77777777" w:rsidR="000A3BB7" w:rsidRPr="001F2648" w:rsidRDefault="000A3BB7" w:rsidP="001F2648">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Korkas deklarācija 2.0 “Labāka dzīve laukos”, 2016.</w:t>
      </w:r>
    </w:p>
  </w:footnote>
  <w:footnote w:id="35">
    <w:p w14:paraId="26054231" w14:textId="77777777" w:rsidR="000A3BB7" w:rsidRPr="001F2648" w:rsidRDefault="000A3BB7" w:rsidP="001F2648">
      <w:pPr>
        <w:tabs>
          <w:tab w:val="left" w:pos="461"/>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https://ec.europa.eu/research/bioeconomy/index.cfm?pg=policy&amp;lib=ibf</w:t>
      </w:r>
    </w:p>
  </w:footnote>
  <w:footnote w:id="36">
    <w:p w14:paraId="32C907FA" w14:textId="77777777" w:rsidR="000A3BB7" w:rsidRPr="001F2648" w:rsidRDefault="000A3BB7" w:rsidP="001F2648">
      <w:pPr>
        <w:tabs>
          <w:tab w:val="left" w:pos="459"/>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http://gbs2018.com/home/</w:t>
      </w:r>
    </w:p>
  </w:footnote>
  <w:footnote w:id="37">
    <w:p w14:paraId="6543C1CF" w14:textId="77777777" w:rsidR="000A3BB7" w:rsidRPr="001F2648" w:rsidRDefault="000A3BB7" w:rsidP="001F2648">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Starpposma novērtējums (2014–2016) par Biorūpniecības kopuzņēmumu, kas darbojas “Apvārsnis 2020” ietvaros, 10.10.2017., ISBN 978-92-79-67438-9</w:t>
      </w:r>
    </w:p>
  </w:footnote>
  <w:footnote w:id="38">
    <w:p w14:paraId="736F00AE" w14:textId="77777777" w:rsidR="000A3BB7" w:rsidRPr="001F2648" w:rsidRDefault="000A3BB7" w:rsidP="001F2648">
      <w:pPr>
        <w:tabs>
          <w:tab w:val="left" w:pos="471"/>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Šis finanšu instruments īsteno Aprites ekonomikas finansiālā atbalsta platformas finanšu pīlāru: http://europa.eu/rapid/press-release_IP-17-104_lv.htm</w:t>
      </w:r>
    </w:p>
  </w:footnote>
  <w:footnote w:id="39">
    <w:p w14:paraId="047A154A" w14:textId="77777777" w:rsidR="000A3BB7" w:rsidRPr="00436FCA" w:rsidRDefault="000A3BB7" w:rsidP="00436FC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ESAO, </w:t>
      </w:r>
      <w:r>
        <w:rPr>
          <w:rFonts w:ascii="Times New Roman" w:hAnsi="Times New Roman"/>
          <w:i/>
          <w:iCs/>
          <w:sz w:val="20"/>
        </w:rPr>
        <w:t>Meeting Policy Challenges for a Sustainable Bioeconomy</w:t>
      </w:r>
      <w:r>
        <w:rPr>
          <w:rFonts w:ascii="Times New Roman" w:hAnsi="Times New Roman"/>
          <w:sz w:val="20"/>
        </w:rPr>
        <w:t xml:space="preserve">, 2018, ISBN 9789264292345; BIO-TIC, </w:t>
      </w:r>
      <w:r>
        <w:rPr>
          <w:rFonts w:ascii="Times New Roman" w:hAnsi="Times New Roman"/>
          <w:i/>
          <w:iCs/>
          <w:sz w:val="20"/>
        </w:rPr>
        <w:t>A roadmap to a thriving industrial biotechnology sector in Europe</w:t>
      </w:r>
      <w:r>
        <w:rPr>
          <w:rFonts w:ascii="Times New Roman" w:hAnsi="Times New Roman"/>
          <w:sz w:val="20"/>
        </w:rPr>
        <w:t>, 2015.</w:t>
      </w:r>
    </w:p>
  </w:footnote>
  <w:footnote w:id="40">
    <w:p w14:paraId="5A8F77F2" w14:textId="77777777" w:rsidR="000A3BB7" w:rsidRPr="00436FCA" w:rsidRDefault="000A3BB7" w:rsidP="00436FC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Balstoties uz COM/2018/028, Eiropas stratēģija attiecībā uz plastmasu aprites ekonomikā, 12.01.2018., un to papildinot.</w:t>
      </w:r>
    </w:p>
  </w:footnote>
  <w:footnote w:id="41">
    <w:p w14:paraId="4CF9645E" w14:textId="77777777" w:rsidR="000A3BB7" w:rsidRPr="00436FCA" w:rsidRDefault="000A3BB7" w:rsidP="00436FCA">
      <w:pPr>
        <w:tabs>
          <w:tab w:val="left" w:pos="471"/>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SAM, </w:t>
      </w:r>
      <w:r>
        <w:rPr>
          <w:rFonts w:ascii="Times New Roman" w:hAnsi="Times New Roman"/>
          <w:i/>
          <w:iCs/>
          <w:sz w:val="20"/>
        </w:rPr>
        <w:t>Scientific Opinion No. 3/2017, Food from the Oceans</w:t>
      </w:r>
      <w:r>
        <w:rPr>
          <w:rFonts w:ascii="Times New Roman" w:hAnsi="Times New Roman"/>
          <w:sz w:val="20"/>
        </w:rPr>
        <w:t>, 2017, ISBN 978-92-79-67730-4</w:t>
      </w:r>
    </w:p>
  </w:footnote>
  <w:footnote w:id="42">
    <w:p w14:paraId="168C41BE" w14:textId="77777777" w:rsidR="000A3BB7" w:rsidRPr="00436FCA" w:rsidRDefault="000A3BB7" w:rsidP="00436FCA">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SWD(2017) 128, Ziņojums par Jūras nozaru izaugsmes stratēģiju “Ceļā uz ilgtspējīgāku izaugsmi un darbvietu izveidi jūras nozaru un jūrlietu ekonomikā” 31.03.2017.; SWD(2017) 118, Eiropas Savienības stratēģija Baltijas jūras reģionā, 20.03.2017.</w:t>
      </w:r>
    </w:p>
  </w:footnote>
  <w:footnote w:id="43">
    <w:p w14:paraId="1DC2D677" w14:textId="77777777" w:rsidR="000A3BB7" w:rsidRPr="00436FCA" w:rsidRDefault="000A3BB7" w:rsidP="00436FCA">
      <w:pPr>
        <w:pStyle w:val="FootnoteText"/>
        <w:jc w:val="both"/>
      </w:pPr>
      <w:r>
        <w:rPr>
          <w:rStyle w:val="FootnoteReference"/>
          <w:rFonts w:ascii="Times New Roman" w:hAnsi="Times New Roman" w:cs="Times New Roman"/>
        </w:rPr>
        <w:footnoteRef/>
      </w:r>
      <w:r>
        <w:rPr>
          <w:rFonts w:ascii="Times New Roman" w:hAnsi="Times New Roman"/>
        </w:rPr>
        <w:t xml:space="preserve"> Piemēram, iniciatīva </w:t>
      </w:r>
      <w:r>
        <w:rPr>
          <w:rFonts w:ascii="Times New Roman" w:hAnsi="Times New Roman"/>
          <w:i/>
          <w:iCs/>
        </w:rPr>
        <w:t>BIOEAST</w:t>
      </w:r>
      <w:r>
        <w:rPr>
          <w:rFonts w:ascii="Times New Roman" w:hAnsi="Times New Roman"/>
        </w:rPr>
        <w:t xml:space="preserve"> piedāvā kopīgu stratēģisku pētniecības un inovācijas satvaru ilgtspējīgai bioekonomikai Centrāleiropā un Austrumeiropā; http://www.bioeast.eu</w:t>
      </w:r>
    </w:p>
  </w:footnote>
  <w:footnote w:id="44">
    <w:p w14:paraId="56AA4ECC" w14:textId="77777777" w:rsidR="000A3BB7" w:rsidRPr="00A84DA3" w:rsidRDefault="000A3BB7" w:rsidP="00A84DA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Dažos ziņojumos aplēsts, ka šis potenciāls ir līdz 300 jaunām biorafinēšanas iekārtām ap 2030. gadu.</w:t>
      </w:r>
    </w:p>
  </w:footnote>
  <w:footnote w:id="45">
    <w:p w14:paraId="5E9DD175" w14:textId="77777777" w:rsidR="000A3BB7" w:rsidRPr="00055324" w:rsidRDefault="000A3BB7" w:rsidP="00055324">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COM(2017) 47, Investīcijas gudrā, novatoriskā un ilgtspējīgā rūpniecībā. Atjauninātā ES rūpniecības politikas stratēģija, 13.09.2017.</w:t>
      </w:r>
    </w:p>
  </w:footnote>
  <w:footnote w:id="46">
    <w:p w14:paraId="67795E2D" w14:textId="77777777" w:rsidR="000A3BB7" w:rsidRPr="00055324" w:rsidRDefault="000A3BB7" w:rsidP="00055324">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COM(2015) 614, Noslēgt aprites loku – ES rīcības plāns pārejai uz aprites ekonomiku, 02.12.2015.</w:t>
      </w:r>
    </w:p>
  </w:footnote>
  <w:footnote w:id="47">
    <w:p w14:paraId="361EDB09" w14:textId="77777777" w:rsidR="000A3BB7" w:rsidRPr="00055324" w:rsidRDefault="000A3BB7" w:rsidP="00055324">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COM(2016) 860, Tīru enerģiju ikvienam Eiropā – Eiropas izaugsmes potenciāla realizēšana, 30.11.2016.</w:t>
      </w:r>
    </w:p>
  </w:footnote>
  <w:footnote w:id="48">
    <w:p w14:paraId="58C5B751" w14:textId="77777777" w:rsidR="000A3BB7" w:rsidRPr="00055324" w:rsidRDefault="000A3BB7" w:rsidP="0005532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 (ES) 2018/841 un Regula (ES) 2018/842.</w:t>
      </w:r>
    </w:p>
  </w:footnote>
  <w:footnote w:id="49">
    <w:p w14:paraId="34169078" w14:textId="77777777" w:rsidR="000A3BB7" w:rsidRPr="00055324" w:rsidRDefault="000A3BB7" w:rsidP="00055324">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COM(2012) 60, https://eur-lex.europa.eu/legal-content/LV/TXT/?uri=celex%3A52012DC0060; SWD(2012) 0011 final, http://eur-lex.europa.eu/legal-content/EN/TXT/?uri=SWD:2012:0011:FIN</w:t>
      </w:r>
    </w:p>
  </w:footnote>
  <w:footnote w:id="50">
    <w:p w14:paraId="60B1109A" w14:textId="77777777" w:rsidR="000A3BB7" w:rsidRPr="00055324" w:rsidRDefault="000A3BB7" w:rsidP="00055324">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COM(2010) 0546, http://eur-lex.europa.eu/legal-content/LV/TXT/?uri=CELEX%3A52010DC0546</w:t>
      </w:r>
    </w:p>
  </w:footnote>
  <w:footnote w:id="51">
    <w:p w14:paraId="03D6C8F4" w14:textId="77777777" w:rsidR="000A3BB7" w:rsidRPr="00055324" w:rsidRDefault="000A3BB7" w:rsidP="00055324">
      <w:pPr>
        <w:tabs>
          <w:tab w:val="left" w:pos="322"/>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COM(2011) 0571, https://eur-lex.europa.eu/LexUriServ/LexUriServ.do?uri=COM:2011:0571:FIN:LV:PDF</w:t>
      </w:r>
    </w:p>
  </w:footnote>
  <w:footnote w:id="52">
    <w:p w14:paraId="61E7E66C" w14:textId="77777777" w:rsidR="000A3BB7" w:rsidRPr="002E30B3" w:rsidRDefault="000A3BB7">
      <w:pPr>
        <w:pStyle w:val="FootnoteText"/>
      </w:pPr>
      <w:r>
        <w:rPr>
          <w:rStyle w:val="FootnoteReference"/>
        </w:rPr>
        <w:footnoteRef/>
      </w:r>
      <w:r>
        <w:rPr>
          <w:rFonts w:ascii="Times New Roman" w:hAnsi="Times New Roman"/>
          <w:sz w:val="24"/>
        </w:rPr>
        <w:t xml:space="preserve"> Ronzon, T. et al., </w:t>
      </w:r>
      <w:r>
        <w:rPr>
          <w:rFonts w:ascii="Times New Roman" w:hAnsi="Times New Roman"/>
          <w:i/>
          <w:iCs/>
          <w:sz w:val="24"/>
        </w:rPr>
        <w:t>Sustainability</w:t>
      </w:r>
      <w:r>
        <w:rPr>
          <w:rFonts w:ascii="Times New Roman" w:hAnsi="Times New Roman"/>
          <w:sz w:val="24"/>
        </w:rPr>
        <w:t>, 10, 6, 1745, (2018), doi: 10.3390/su10061745.</w:t>
      </w:r>
    </w:p>
  </w:footnote>
  <w:footnote w:id="53">
    <w:p w14:paraId="187F9667" w14:textId="77777777" w:rsidR="000A3BB7" w:rsidRPr="002E30B3" w:rsidRDefault="000A3BB7" w:rsidP="002E30B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P7_TA(2013)0302, https://www.europarl.europa.eu/sides/getDoc.do?pubRef=-//EP//TEXT+TA+P7-TA-2013-0302+0+DOC+XML+V0//LV; ZIŅOJUMS par kohēzijas politiku un aprites ekonomiku (2017/2211(INI)); EUR- Lex - 52012AR1112 – EN (2013/C 17/09); https://cor.europa.eu/en/news/Pages/Towards-a-knowledge- based-bioeconomy.aspx; https://dm.eesc.europa.eu/EESCDocumentSearch/Pages/redresults.aspx?LANG=EN&amp;k=(documentsource:EES C)(dossiername:NAT)(dossiernumber:739)(documentlanguage:EN); https://dm.eesc.europa.eu/EESCDocumentSearch/Pages/redresults.aspx?LANG=EN&amp;k=(documentsource:EES C)(dossiername:CCMI)(dossiernumber:160)(documentlanguage:EN)</w:t>
      </w:r>
    </w:p>
  </w:footnote>
  <w:footnote w:id="54">
    <w:p w14:paraId="71B9A6BC" w14:textId="77777777" w:rsidR="000A3BB7" w:rsidRPr="002E30B3" w:rsidRDefault="000A3BB7" w:rsidP="002E30B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SWD(2017)374; ISBN 978-92-79-74382-5;</w:t>
      </w:r>
    </w:p>
    <w:p w14:paraId="7A3E78C6" w14:textId="77777777" w:rsidR="000A3BB7" w:rsidRPr="002E30B3" w:rsidRDefault="000A3BB7" w:rsidP="002E30B3">
      <w:pPr>
        <w:jc w:val="both"/>
        <w:rPr>
          <w:rFonts w:ascii="Times New Roman" w:hAnsi="Times New Roman" w:cs="Times New Roman"/>
          <w:noProof/>
          <w:sz w:val="20"/>
          <w:szCs w:val="20"/>
        </w:rPr>
      </w:pPr>
      <w:r>
        <w:rPr>
          <w:rFonts w:ascii="Times New Roman" w:hAnsi="Times New Roman"/>
          <w:sz w:val="20"/>
        </w:rPr>
        <w:t>https://ec.europa.eu/research/bioeconomy/pdf/review_of_2012_eu_bes.pdf</w:t>
      </w:r>
    </w:p>
  </w:footnote>
  <w:footnote w:id="55">
    <w:p w14:paraId="49AC3525" w14:textId="77777777" w:rsidR="000A3BB7" w:rsidRPr="002E30B3" w:rsidRDefault="000A3BB7" w:rsidP="002E30B3">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https://ec.europa.eu/research/bioeconomy/pdf/publications/bioeconomy_expert_group_report.pdf</w:t>
      </w:r>
    </w:p>
  </w:footnote>
  <w:footnote w:id="56">
    <w:p w14:paraId="6E7FB7F6" w14:textId="77777777" w:rsidR="000A3BB7" w:rsidRPr="002E30B3" w:rsidRDefault="000A3BB7" w:rsidP="002E30B3">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https://www.bbi-europe.eu/</w:t>
      </w:r>
    </w:p>
  </w:footnote>
  <w:footnote w:id="57">
    <w:p w14:paraId="34C14B4F" w14:textId="77777777" w:rsidR="000A3BB7" w:rsidRPr="002E30B3" w:rsidRDefault="000A3BB7" w:rsidP="002E30B3">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https://ec.europa.eu/research/bioeconomy/pdf/review_of_2012_eu_bes.pdf</w:t>
      </w:r>
    </w:p>
  </w:footnote>
  <w:footnote w:id="58">
    <w:p w14:paraId="7672E1C0" w14:textId="77777777" w:rsidR="000A3BB7" w:rsidRPr="002E30B3" w:rsidRDefault="000A3BB7" w:rsidP="002E30B3">
      <w:pPr>
        <w:tabs>
          <w:tab w:val="left" w:pos="322"/>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https://ec.europa.eu/research/bioeconomy/pdf/publications/bioeconomy_development_in_eu_regions.pdf</w:t>
      </w:r>
    </w:p>
  </w:footnote>
  <w:footnote w:id="59">
    <w:p w14:paraId="304B6A9A" w14:textId="77777777" w:rsidR="000A3BB7" w:rsidRPr="002E30B3" w:rsidRDefault="000A3BB7" w:rsidP="002E30B3">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http://ec.europa.eu/research/bioeconomy/pdf/european_bioeconomy_stakeholders_manifesto.pdf</w:t>
      </w:r>
    </w:p>
  </w:footnote>
  <w:footnote w:id="60">
    <w:p w14:paraId="5845667E" w14:textId="77777777" w:rsidR="000A3BB7" w:rsidRPr="002E30B3" w:rsidRDefault="000A3BB7" w:rsidP="002E30B3">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COM(2016)739 final, https://eur-lex.europa.eu/legal-content/LV/ALL/?uri=COM%3A2016%3A739%3AFIN</w:t>
      </w:r>
    </w:p>
  </w:footnote>
  <w:footnote w:id="61">
    <w:p w14:paraId="7979D3B9" w14:textId="77777777" w:rsidR="000A3BB7" w:rsidRPr="002E30B3" w:rsidRDefault="000A3BB7" w:rsidP="002E30B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COM/2018/392 final; COM/2018/393 final; COM/2018/394 final/2</w:t>
      </w:r>
    </w:p>
  </w:footnote>
  <w:footnote w:id="62">
    <w:p w14:paraId="51BC6C3F" w14:textId="77777777" w:rsidR="000A3BB7" w:rsidRPr="002E30B3" w:rsidRDefault="000A3BB7" w:rsidP="002E30B3">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https://ec.europa.eu/programmes/horizon2020/en/news/final-paper-strategic-approach-eu-agricultural- research-and-innovation</w:t>
      </w:r>
    </w:p>
  </w:footnote>
  <w:footnote w:id="63">
    <w:p w14:paraId="44919975" w14:textId="77777777" w:rsidR="000A3BB7" w:rsidRPr="002E30B3" w:rsidRDefault="000A3BB7" w:rsidP="002E30B3">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COM(2015)0614, https://eur-lex.europa.eu/legal-content/LV/TXT/?uri=CELEX%3A52015DC0614</w:t>
      </w:r>
    </w:p>
  </w:footnote>
  <w:footnote w:id="64">
    <w:p w14:paraId="20B8FEEA" w14:textId="77777777" w:rsidR="000A3BB7" w:rsidRPr="002E30B3" w:rsidRDefault="000A3BB7" w:rsidP="002E30B3">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http://ec.europa.eu/environment/waste/legislation/</w:t>
      </w:r>
    </w:p>
  </w:footnote>
  <w:footnote w:id="65">
    <w:p w14:paraId="74180F93" w14:textId="77777777" w:rsidR="000A3BB7" w:rsidRPr="002E30B3" w:rsidRDefault="000A3BB7" w:rsidP="002E30B3">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SWD(2016)319, http://ec.europa.eu/transparency/regdoc/rep/10102/2016/EN/SWD-2016-319-F1-EN-MAIN.PDF</w:t>
      </w:r>
    </w:p>
  </w:footnote>
  <w:footnote w:id="66">
    <w:p w14:paraId="5A1A7FEC" w14:textId="77777777" w:rsidR="000A3BB7" w:rsidRPr="00BF460B" w:rsidRDefault="000A3BB7" w:rsidP="00BF460B">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COM(2017)0479 final, https://eur-lex.europa.eu/legal-content/LV/TXT/?uri=CELEX%3A52017DC0479</w:t>
      </w:r>
    </w:p>
  </w:footnote>
  <w:footnote w:id="67">
    <w:p w14:paraId="45AA74F3" w14:textId="77777777" w:rsidR="000A3BB7" w:rsidRPr="00BF460B" w:rsidRDefault="000A3BB7" w:rsidP="00BF460B">
      <w:pPr>
        <w:tabs>
          <w:tab w:val="left" w:pos="4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https://ec.europa.eu/info/publications/2018-commission-work-programme-key-documents_lv</w:t>
      </w:r>
    </w:p>
  </w:footnote>
  <w:footnote w:id="68">
    <w:p w14:paraId="37555D8D" w14:textId="77777777" w:rsidR="000A3BB7" w:rsidRPr="00BF460B" w:rsidRDefault="000A3BB7" w:rsidP="00BF460B">
      <w:pPr>
        <w:tabs>
          <w:tab w:val="left" w:pos="4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COM(2016)0763 final, https://eur-lex.europa.eu/legal-content/LV/TXT/?uri=CELEX%3A52016DC0763</w:t>
      </w:r>
    </w:p>
  </w:footnote>
  <w:footnote w:id="69">
    <w:p w14:paraId="60F2CACE" w14:textId="77777777" w:rsidR="000A3BB7" w:rsidRPr="00BF460B" w:rsidRDefault="000A3BB7" w:rsidP="00BF460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COM(2015)080 final, https://eur-lex.europa.eu/legal-content/LV/TXT/?uri=COM:2015:80:FIN</w:t>
      </w:r>
    </w:p>
  </w:footnote>
  <w:footnote w:id="70">
    <w:p w14:paraId="5D5B1FD8" w14:textId="77777777" w:rsidR="000A3BB7" w:rsidRPr="00BF460B" w:rsidRDefault="000A3BB7" w:rsidP="00BF460B">
      <w:pPr>
        <w:tabs>
          <w:tab w:val="left" w:pos="40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http://eur-lex.europa.eu/legal-content/LV/TXT/PDF/?uri=CELEX:02009L0028-20151005&amp;from=LV</w:t>
      </w:r>
    </w:p>
  </w:footnote>
  <w:footnote w:id="71">
    <w:p w14:paraId="0BE18799" w14:textId="77777777" w:rsidR="000A3BB7" w:rsidRPr="00BF460B" w:rsidRDefault="000A3BB7" w:rsidP="00BF460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https://www.cbd.int/</w:t>
      </w:r>
    </w:p>
  </w:footnote>
  <w:footnote w:id="72">
    <w:p w14:paraId="661BC229" w14:textId="77777777" w:rsidR="000A3BB7" w:rsidRPr="00BF460B" w:rsidRDefault="000A3BB7" w:rsidP="00BF460B">
      <w:pPr>
        <w:tabs>
          <w:tab w:val="left" w:pos="4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https://eur-lex.europa.eu/legal-content/EN/TXT/?uri=CELEX:52011DC024452011DC0244</w:t>
      </w:r>
    </w:p>
  </w:footnote>
  <w:footnote w:id="73">
    <w:p w14:paraId="51F486F8" w14:textId="77777777" w:rsidR="000A3BB7" w:rsidRPr="00BF460B" w:rsidRDefault="000A3BB7" w:rsidP="00BF460B">
      <w:pPr>
        <w:tabs>
          <w:tab w:val="left" w:pos="4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https://eur-lex.europa.eu/legal-content/LV/TXT/?uri=celex%3A32013R1380</w:t>
      </w:r>
    </w:p>
  </w:footnote>
  <w:footnote w:id="74">
    <w:p w14:paraId="2CEABD66" w14:textId="77777777" w:rsidR="000A3BB7" w:rsidRPr="00BF460B" w:rsidRDefault="000A3BB7" w:rsidP="00BF460B">
      <w:pPr>
        <w:tabs>
          <w:tab w:val="left" w:pos="4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COM(2013)0659 final, https://eur-lex.europa.eu/legal-content/LV/TXT/?uri=celex%3A52013DC0659</w:t>
      </w:r>
    </w:p>
  </w:footnote>
  <w:footnote w:id="75">
    <w:p w14:paraId="4470BBB6" w14:textId="77777777" w:rsidR="000A3BB7" w:rsidRPr="00BF460B" w:rsidRDefault="000A3BB7" w:rsidP="00BF460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SWD(2013)343</w:t>
      </w:r>
    </w:p>
  </w:footnote>
  <w:footnote w:id="76">
    <w:p w14:paraId="33DDFDCC" w14:textId="77777777" w:rsidR="000A3BB7" w:rsidRPr="00BF460B" w:rsidRDefault="000A3BB7" w:rsidP="00BF460B">
      <w:pPr>
        <w:tabs>
          <w:tab w:val="left" w:pos="40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http://eur-lex.europa.eu/legal-content/LV/TXT/?uri=LEGISSUM:02_2</w:t>
      </w:r>
    </w:p>
  </w:footnote>
  <w:footnote w:id="77">
    <w:p w14:paraId="665E5C4A" w14:textId="77777777" w:rsidR="000A3BB7" w:rsidRPr="00BF460B" w:rsidRDefault="000A3BB7" w:rsidP="00BF460B">
      <w:pPr>
        <w:tabs>
          <w:tab w:val="left" w:pos="4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JOIN(2016)049 final, https://eur-lex.europa.eu/legal-content/LV/TXT/?uri=CELEX%3A52016JC0049</w:t>
      </w:r>
    </w:p>
  </w:footnote>
  <w:footnote w:id="78">
    <w:p w14:paraId="4D077346" w14:textId="77777777" w:rsidR="000A3BB7" w:rsidRPr="00BF460B" w:rsidRDefault="000A3BB7" w:rsidP="00BF460B">
      <w:pPr>
        <w:tabs>
          <w:tab w:val="left" w:pos="4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COM(2017)0198 final, https://eur-lex.europa.eu/legal-content/LV/TXT/?uri=COM%3A2017%3A198%3AFIN</w:t>
      </w:r>
    </w:p>
  </w:footnote>
  <w:footnote w:id="79">
    <w:p w14:paraId="31DE2FF4" w14:textId="77777777" w:rsidR="000A3BB7" w:rsidRPr="007C18AA" w:rsidRDefault="000A3BB7" w:rsidP="007C18AA">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http://www.fao.org/publications/sofi/en/; https://www.nature.com/articles/s41558-018-0253-3</w:t>
      </w:r>
    </w:p>
  </w:footnote>
  <w:footnote w:id="80">
    <w:p w14:paraId="33E27038" w14:textId="77777777" w:rsidR="000A3BB7" w:rsidRPr="007C18AA" w:rsidRDefault="000A3BB7" w:rsidP="007C18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“Renewable Energy Prospects for the European Union”, 2018. gads.</w:t>
      </w:r>
    </w:p>
  </w:footnote>
  <w:footnote w:id="81">
    <w:p w14:paraId="10F7E040" w14:textId="77777777" w:rsidR="000A3BB7" w:rsidRPr="00576316" w:rsidRDefault="000A3BB7" w:rsidP="0057631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https://newclimateeconomy.report/2018/</w:t>
      </w:r>
    </w:p>
  </w:footnote>
  <w:footnote w:id="82">
    <w:p w14:paraId="1062AACE" w14:textId="77777777" w:rsidR="000A3BB7" w:rsidRPr="00576316" w:rsidRDefault="000A3BB7" w:rsidP="0057631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Ronzon, T. et al., </w:t>
      </w:r>
      <w:r>
        <w:rPr>
          <w:rFonts w:ascii="Times New Roman" w:hAnsi="Times New Roman"/>
          <w:i/>
          <w:iCs/>
          <w:sz w:val="20"/>
        </w:rPr>
        <w:t>Sustainability</w:t>
      </w:r>
      <w:r>
        <w:rPr>
          <w:rFonts w:ascii="Times New Roman" w:hAnsi="Times New Roman"/>
          <w:sz w:val="20"/>
        </w:rPr>
        <w:t>, 10, 6, 1745, (2018), doi: 10.3390/su10061745.</w:t>
      </w:r>
    </w:p>
  </w:footnote>
  <w:footnote w:id="83">
    <w:p w14:paraId="343F531D" w14:textId="77777777" w:rsidR="000A3BB7" w:rsidRPr="00576316" w:rsidRDefault="000A3BB7" w:rsidP="0057631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https://eur-lex.europa.eu/legal-content/LV/TXT/?uri=CELEX%3A12012E%2FTXT</w:t>
      </w:r>
    </w:p>
  </w:footnote>
  <w:footnote w:id="84">
    <w:p w14:paraId="7C6454CD" w14:textId="77777777" w:rsidR="000A3BB7" w:rsidRPr="00576316" w:rsidRDefault="000A3BB7" w:rsidP="0057631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Eurostat</w:t>
      </w:r>
      <w:r>
        <w:rPr>
          <w:rFonts w:ascii="Times New Roman" w:hAnsi="Times New Roman"/>
          <w:sz w:val="20"/>
        </w:rPr>
        <w:t xml:space="preserve"> ES IAM pārraudzības ziņojums.</w:t>
      </w:r>
    </w:p>
    <w:p w14:paraId="30163170" w14:textId="77777777" w:rsidR="000A3BB7" w:rsidRPr="00576316" w:rsidRDefault="000A3BB7" w:rsidP="00576316">
      <w:pPr>
        <w:jc w:val="both"/>
        <w:rPr>
          <w:rFonts w:ascii="Times New Roman" w:hAnsi="Times New Roman" w:cs="Times New Roman"/>
          <w:noProof/>
          <w:sz w:val="20"/>
          <w:szCs w:val="20"/>
        </w:rPr>
      </w:pPr>
      <w:r>
        <w:rPr>
          <w:rFonts w:ascii="Times New Roman" w:hAnsi="Times New Roman"/>
          <w:sz w:val="20"/>
        </w:rPr>
        <w:t>https://ec.europa.eu/eurostat/documents/2995521/9234939/8-18092018-AP-EN.pdf/888b182d-f6f9-4e0d-9e48- 4b4e1561333e</w:t>
      </w:r>
    </w:p>
  </w:footnote>
  <w:footnote w:id="85">
    <w:p w14:paraId="5E735DFE" w14:textId="77777777" w:rsidR="000A3BB7" w:rsidRPr="00576316" w:rsidRDefault="000A3BB7" w:rsidP="0057631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https://dm.eesc.europa.eu/EESCDocumentSearch/Pages/redresults.aspx?LANG=EN&amp;k=(documentsource:EESC)( dossiername:NAT)(dossiernumber:739)(documentlanguage:EN)</w:t>
      </w:r>
    </w:p>
  </w:footnote>
  <w:footnote w:id="86">
    <w:p w14:paraId="0AE9BDFB" w14:textId="77777777" w:rsidR="000A3BB7" w:rsidRPr="00576316" w:rsidRDefault="000A3BB7" w:rsidP="00576316">
      <w:pPr>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El-Chichakli B. et al., </w:t>
      </w:r>
      <w:r>
        <w:rPr>
          <w:rFonts w:ascii="Times New Roman" w:hAnsi="Times New Roman"/>
          <w:i/>
          <w:iCs/>
          <w:sz w:val="20"/>
        </w:rPr>
        <w:t>Nature</w:t>
      </w:r>
      <w:r>
        <w:rPr>
          <w:rFonts w:ascii="Times New Roman" w:hAnsi="Times New Roman"/>
          <w:sz w:val="20"/>
        </w:rPr>
        <w:t xml:space="preserve">, 535, 221–223 (2016), doi:10.1038/535221a; Philippidis G. et al. (2018. gads), Kopīgā pētniecības centra tehniskais ziņojums, doi:10.2760/560977; </w:t>
      </w:r>
      <w:r>
        <w:rPr>
          <w:rFonts w:ascii="Times New Roman" w:hAnsi="Times New Roman"/>
          <w:i/>
          <w:iCs/>
          <w:sz w:val="20"/>
        </w:rPr>
        <w:t>Communiqués Global Bioeconomy Summits,</w:t>
      </w:r>
      <w:r>
        <w:rPr>
          <w:rFonts w:ascii="Times New Roman" w:hAnsi="Times New Roman"/>
          <w:sz w:val="20"/>
        </w:rPr>
        <w:t xml:space="preserve"> Berlīne, 2015. gads un 2018. gads, http://gbs2015.com/fileadmin/gbs2015/Downloads/Communique_final.pdf; http://gbs2018.com/fileadmin/gbs2018/Downloads/GBS_2018_Communique.pdf; http://iinas.org/tl_files/iinas/downloads/bio/IINAS_IFEU_2018_Linkages_SDGs_and_GSIs.pdf; SWD(2016) 390 final, https://eur-lex.europa.eu/legal-content/EN/TXT/?uri=CELEX%3A52016SC0390; Müller A.et al., </w:t>
      </w:r>
      <w:r>
        <w:rPr>
          <w:rFonts w:ascii="Times New Roman" w:hAnsi="Times New Roman"/>
          <w:i/>
          <w:iCs/>
          <w:sz w:val="20"/>
        </w:rPr>
        <w:t>IASS</w:t>
      </w:r>
      <w:r>
        <w:rPr>
          <w:rFonts w:ascii="Times New Roman" w:hAnsi="Times New Roman"/>
          <w:sz w:val="20"/>
        </w:rPr>
        <w:t xml:space="preserve"> darba dokuments, (2015. gads), doi: 10.2312/iass.2015.010; https://sustainabledevelopment.un.org/content/documents/982044_Anand_Innovation%20and%20Sustainable%20Development_A%20Bioeconomic%20Perspective.pdf; http://www.bioeconomyalliance.eu/sites/default/files/EUBA%20SDGs%20final.pdf.</w:t>
      </w:r>
    </w:p>
  </w:footnote>
  <w:footnote w:id="87">
    <w:p w14:paraId="4429FE74" w14:textId="77777777" w:rsidR="000A3BB7" w:rsidRPr="00576316" w:rsidRDefault="000A3BB7" w:rsidP="0057631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Ronzon, T. et al., </w:t>
      </w:r>
      <w:r>
        <w:rPr>
          <w:rFonts w:ascii="Times New Roman" w:hAnsi="Times New Roman"/>
          <w:i/>
          <w:iCs/>
        </w:rPr>
        <w:t>Sustainability</w:t>
      </w:r>
      <w:r>
        <w:rPr>
          <w:rFonts w:ascii="Times New Roman" w:hAnsi="Times New Roman"/>
        </w:rPr>
        <w:t>, 10, 6, 1745, (2018), doi: 10.3390/su10061745.</w:t>
      </w:r>
    </w:p>
  </w:footnote>
  <w:footnote w:id="88">
    <w:p w14:paraId="1A1391CB" w14:textId="77777777" w:rsidR="000A3BB7" w:rsidRPr="00576316" w:rsidRDefault="000A3BB7" w:rsidP="00576316">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Aprēķinā iekļautas primārās nozares (lauksaimniecība, mežsaimniecība, zivsaimniecība un akvakultūra), ražošanas nozares (pārtika, dzērieni un citas agrorūpniecības nozares, uz bioresursiem balstītas tekstilpreces, koka izstrādājumi un koka mēbeles, papīrs, uz bioresursiem balstītas ķīmiskās vielas, uz bioresursiem balstīti farmaceitiskie līdzekļi, uz bioresursiem balstīta plastmasa un uz bioresursiem balstītā gumija, kā arī biodegviela) un bioelektroenerģijas ražošana. Pašlaik trūkst aplēses par darbavietām un izaugsmi uz bioresursiem balstītas būvniecības un siltuma ražošanas nozarē, kā arī uz bioresursiem balstītu atkritumu apsaimniekošanas un bioloģiskās atveseļošanas jomā.</w:t>
      </w:r>
    </w:p>
  </w:footnote>
  <w:footnote w:id="89">
    <w:p w14:paraId="7BCCD090" w14:textId="77777777" w:rsidR="000A3BB7" w:rsidRPr="00576316" w:rsidRDefault="000A3BB7" w:rsidP="0074628B">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Šis rādītājs ietver primāro ražošanu un biomasas ražošanu. Datu avoti: </w:t>
      </w:r>
      <w:r>
        <w:rPr>
          <w:rFonts w:ascii="Times New Roman" w:hAnsi="Times New Roman"/>
          <w:i/>
          <w:iCs/>
          <w:sz w:val="20"/>
        </w:rPr>
        <w:t>EUROSTAT</w:t>
      </w:r>
      <w:r>
        <w:rPr>
          <w:rFonts w:ascii="Times New Roman" w:hAnsi="Times New Roman"/>
          <w:sz w:val="20"/>
        </w:rPr>
        <w:t xml:space="preserve"> lfsa_egan22d lauksaimniecībai; </w:t>
      </w:r>
      <w:r>
        <w:rPr>
          <w:rFonts w:ascii="Times New Roman" w:hAnsi="Times New Roman"/>
          <w:i/>
          <w:iCs/>
          <w:sz w:val="20"/>
        </w:rPr>
        <w:t>EUROSTAT</w:t>
      </w:r>
      <w:r>
        <w:rPr>
          <w:rFonts w:ascii="Times New Roman" w:hAnsi="Times New Roman"/>
          <w:sz w:val="20"/>
        </w:rPr>
        <w:t xml:space="preserve"> for_emp_lfs mežsaimniecībai; </w:t>
      </w:r>
      <w:r>
        <w:rPr>
          <w:rFonts w:ascii="Times New Roman" w:hAnsi="Times New Roman"/>
          <w:i/>
          <w:iCs/>
          <w:sz w:val="20"/>
        </w:rPr>
        <w:t>STECF</w:t>
      </w:r>
      <w:r>
        <w:rPr>
          <w:rFonts w:ascii="Times New Roman" w:hAnsi="Times New Roman"/>
          <w:sz w:val="20"/>
        </w:rPr>
        <w:t xml:space="preserve"> 2016 zivsaimniecībai; </w:t>
      </w:r>
      <w:r>
        <w:rPr>
          <w:rFonts w:ascii="Times New Roman" w:hAnsi="Times New Roman"/>
          <w:i/>
          <w:iCs/>
          <w:sz w:val="20"/>
        </w:rPr>
        <w:t>STECF</w:t>
      </w:r>
      <w:r>
        <w:rPr>
          <w:rFonts w:ascii="Times New Roman" w:hAnsi="Times New Roman"/>
          <w:sz w:val="20"/>
        </w:rPr>
        <w:t xml:space="preserve"> 2014 akvakultūrai;</w:t>
      </w:r>
    </w:p>
    <w:p w14:paraId="7B6A30E0" w14:textId="77777777" w:rsidR="000A3BB7" w:rsidRPr="0074628B" w:rsidRDefault="000A3BB7" w:rsidP="00576316">
      <w:pPr>
        <w:jc w:val="both"/>
        <w:rPr>
          <w:rFonts w:ascii="Times New Roman" w:hAnsi="Times New Roman"/>
          <w:noProof/>
          <w:sz w:val="20"/>
          <w:szCs w:val="18"/>
        </w:rPr>
      </w:pPr>
      <w:r>
        <w:rPr>
          <w:rFonts w:ascii="Times New Roman" w:hAnsi="Times New Roman"/>
          <w:i/>
          <w:iCs/>
          <w:sz w:val="20"/>
        </w:rPr>
        <w:t>EUROSTAT</w:t>
      </w:r>
      <w:r>
        <w:rPr>
          <w:rFonts w:ascii="Times New Roman" w:hAnsi="Times New Roman"/>
          <w:sz w:val="20"/>
        </w:rPr>
        <w:t xml:space="preserve"> uzņēmējdarbības strukturālās statistikas dati visām pārējām nozarēm. No 18 miljoniem bioekonomikā nodarbināto cilvēku 9,2 miljoni ir nodarbināti lauksaimniecībā, kā aprēķināts </w:t>
      </w:r>
      <w:r>
        <w:rPr>
          <w:rFonts w:ascii="Times New Roman" w:hAnsi="Times New Roman"/>
          <w:i/>
          <w:iCs/>
          <w:sz w:val="20"/>
        </w:rPr>
        <w:t>Eurostat</w:t>
      </w:r>
      <w:r>
        <w:rPr>
          <w:rFonts w:ascii="Times New Roman" w:hAnsi="Times New Roman"/>
          <w:sz w:val="20"/>
        </w:rPr>
        <w:t xml:space="preserve"> veiktajā darbaspēka apsekojumā (kods lfsa_egan22d), ko parasti izmanto, salīdzinot datus par nodarbinātību dažādās darbību nozarēs. Tas attiecas uz personām, kuras sasniegušas vismaz 15 gadu vecumu un strādā lauksaimniecībā, kas ir viņu pamatnodarbošanās (ES-28, 2015. gads). Lauku saimniecību struktūras apsekojumā (</w:t>
      </w:r>
      <w:r>
        <w:rPr>
          <w:rFonts w:ascii="Times New Roman" w:hAnsi="Times New Roman"/>
          <w:i/>
          <w:iCs/>
          <w:sz w:val="20"/>
        </w:rPr>
        <w:t>FSS</w:t>
      </w:r>
      <w:r>
        <w:rPr>
          <w:rFonts w:ascii="Times New Roman" w:hAnsi="Times New Roman"/>
          <w:sz w:val="20"/>
        </w:rPr>
        <w:t xml:space="preserve">, kods ef_lflegaa), ko arī veica </w:t>
      </w:r>
      <w:r>
        <w:rPr>
          <w:rFonts w:ascii="Times New Roman" w:hAnsi="Times New Roman"/>
          <w:i/>
          <w:iCs/>
          <w:sz w:val="20"/>
        </w:rPr>
        <w:t>Eurostat</w:t>
      </w:r>
      <w:r>
        <w:rPr>
          <w:rFonts w:ascii="Times New Roman" w:hAnsi="Times New Roman"/>
          <w:sz w:val="20"/>
        </w:rPr>
        <w:t>, ir norādīts, ka 2013. gadā Eiropas Savienībā lauksaimniecībā pirmās, sekundārās vai maznozīmīgas darbības ietvaros bija nodarbināti 22,2 miljoni iedzīvotāju. Turpat norādīts, ka 11,4 miljoni iedzīvotāju strādā lauksaimniecības uzņēmumos, kuru gada standarta produkcijas vērtība ir 4000 EUR vai vairāk.</w:t>
      </w:r>
    </w:p>
  </w:footnote>
  <w:footnote w:id="90">
    <w:p w14:paraId="33E1F84A" w14:textId="77777777" w:rsidR="000A3BB7" w:rsidRPr="0074628B" w:rsidRDefault="000A3BB7" w:rsidP="0074628B">
      <w:pPr>
        <w:tabs>
          <w:tab w:val="left" w:pos="325"/>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Šajā attēlā nav atspoguļotas dažas konkrētas bioekonomikas nozares, piemēram, biosiltuma ražošana un organisko atkritumu apsaimniekošana.</w:t>
      </w:r>
    </w:p>
  </w:footnote>
  <w:footnote w:id="91">
    <w:p w14:paraId="7EFEEC8C" w14:textId="77777777" w:rsidR="000A3BB7" w:rsidRPr="0074628B" w:rsidRDefault="000A3BB7" w:rsidP="007462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Ronzon, T. et al., </w:t>
      </w:r>
      <w:r>
        <w:rPr>
          <w:rFonts w:ascii="Times New Roman" w:hAnsi="Times New Roman"/>
          <w:i/>
          <w:iCs/>
        </w:rPr>
        <w:t>Sustainability</w:t>
      </w:r>
      <w:r>
        <w:rPr>
          <w:rFonts w:ascii="Times New Roman" w:hAnsi="Times New Roman"/>
        </w:rPr>
        <w:t>, 10, 6, 1745, (2018), doi: 10.3390/su10061745.</w:t>
      </w:r>
    </w:p>
  </w:footnote>
  <w:footnote w:id="92">
    <w:p w14:paraId="14C5A382" w14:textId="77777777" w:rsidR="000A3BB7" w:rsidRPr="0074628B" w:rsidRDefault="000A3BB7" w:rsidP="0074628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Kopīgais pētniecības centrs, https://datam.jrc.ec.europa.eu/datam/mashup/BIOECONOMICS.</w:t>
      </w:r>
    </w:p>
  </w:footnote>
  <w:footnote w:id="93">
    <w:p w14:paraId="7D1E7463" w14:textId="77777777" w:rsidR="000A3BB7" w:rsidRPr="0074628B" w:rsidRDefault="000A3BB7" w:rsidP="007462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Philippidis G. et al. (2018. gads), </w:t>
      </w:r>
      <w:r>
        <w:rPr>
          <w:rFonts w:ascii="Times New Roman" w:hAnsi="Times New Roman"/>
          <w:i/>
          <w:iCs/>
        </w:rPr>
        <w:t>JRC</w:t>
      </w:r>
      <w:r>
        <w:rPr>
          <w:rFonts w:ascii="Times New Roman" w:hAnsi="Times New Roman"/>
        </w:rPr>
        <w:t xml:space="preserve"> tehniskais ziņojums, doi:10.2760/560977</w:t>
      </w:r>
    </w:p>
  </w:footnote>
  <w:footnote w:id="94">
    <w:p w14:paraId="1463E2B8" w14:textId="77777777" w:rsidR="000A3BB7" w:rsidRPr="0074628B" w:rsidRDefault="000A3BB7" w:rsidP="0074628B">
      <w:pPr>
        <w:tabs>
          <w:tab w:val="left" w:pos="325"/>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Carus et al., </w:t>
      </w:r>
      <w:r>
        <w:rPr>
          <w:rFonts w:ascii="Times New Roman" w:hAnsi="Times New Roman"/>
          <w:i/>
          <w:iCs/>
          <w:sz w:val="20"/>
        </w:rPr>
        <w:t>Bioplastics MAGAZINE</w:t>
      </w:r>
      <w:r>
        <w:rPr>
          <w:rFonts w:ascii="Times New Roman" w:hAnsi="Times New Roman"/>
          <w:sz w:val="20"/>
        </w:rPr>
        <w:t>, 6, 52–55, (2011. gads).</w:t>
      </w:r>
    </w:p>
  </w:footnote>
  <w:footnote w:id="95">
    <w:p w14:paraId="56FD5DEC" w14:textId="77777777" w:rsidR="000A3BB7" w:rsidRPr="000C1401" w:rsidRDefault="000A3BB7" w:rsidP="000C1401">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Mazāk ražojošas nozares ir šādas (produktivitātes pieaugošā secībā): lauksaimniecība, uz bioresursiem balstītu tekstilpreču ražošana, zivsaimniecība un akvakultūra, koka izstrādājumu un mēbeļu ražošana (http://www.mdpi.com/2071- 1050/10/6/1745). Ronzon, T. et al., </w:t>
      </w:r>
      <w:r>
        <w:rPr>
          <w:rFonts w:ascii="Times New Roman" w:hAnsi="Times New Roman"/>
          <w:i/>
          <w:iCs/>
          <w:sz w:val="20"/>
        </w:rPr>
        <w:t>Sustainability</w:t>
      </w:r>
      <w:r>
        <w:rPr>
          <w:rFonts w:ascii="Times New Roman" w:hAnsi="Times New Roman"/>
          <w:sz w:val="20"/>
        </w:rPr>
        <w:t>, 10, 6, 1745, (2018. gads), doi: 10.3390/su10061745.</w:t>
      </w:r>
    </w:p>
  </w:footnote>
  <w:footnote w:id="96">
    <w:p w14:paraId="5108FF99" w14:textId="77777777" w:rsidR="000A3BB7" w:rsidRPr="000C1401" w:rsidRDefault="000A3BB7" w:rsidP="000C1401">
      <w:pPr>
        <w:tabs>
          <w:tab w:val="left" w:pos="32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Projekta secinājumi: www.s2biom.eu; skatīt arī de Wit M. et al., Biomasa un bioenerģija, 34, 2, 188-202, (2009. gads), doi: 10.1016/j.biombioe.2009.07.011); Salamon, P., Kopīgā pētniecības centra Tehniskais ziņojums, (2017. gads), doi 10.2760/363389; https://biconsortium.eu/sites/biconsortium.eu/files/downloads/Country-Report-Poland.pdf</w:t>
      </w:r>
    </w:p>
  </w:footnote>
  <w:footnote w:id="97">
    <w:p w14:paraId="61427AC1" w14:textId="77777777" w:rsidR="000A3BB7" w:rsidRPr="000C1401" w:rsidRDefault="000A3BB7" w:rsidP="000C1401">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http://www.bioeast.eu/</w:t>
      </w:r>
    </w:p>
  </w:footnote>
  <w:footnote w:id="98">
    <w:p w14:paraId="4E6C26B6" w14:textId="77777777" w:rsidR="000A3BB7" w:rsidRPr="000C1401" w:rsidRDefault="000A3BB7" w:rsidP="000C1401">
      <w:pPr>
        <w:tabs>
          <w:tab w:val="left" w:pos="322"/>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http://www.eu2016.sk/data/documents/160916-bratislava-declaration-and-roadmap-en16.pdf</w:t>
      </w:r>
    </w:p>
  </w:footnote>
  <w:footnote w:id="99">
    <w:p w14:paraId="261603D6" w14:textId="77777777" w:rsidR="000A3BB7" w:rsidRPr="00C66DBD" w:rsidRDefault="000A3BB7" w:rsidP="00D05A91">
      <w:pPr>
        <w:tabs>
          <w:tab w:val="left" w:pos="32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https://www.epa.gov/ghgemissions/overview-greenhouse-gases</w:t>
      </w:r>
    </w:p>
  </w:footnote>
  <w:footnote w:id="100">
    <w:p w14:paraId="359DFBEA" w14:textId="77777777" w:rsidR="000A3BB7" w:rsidRPr="00C66DBD" w:rsidRDefault="000A3BB7" w:rsidP="00C66DBD">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https://eur-lex.europa.eu/legal- content/EN/TXT/?toc=OJ%3AL%3A2018%3A156%3ATOC&amp;uri=uriserv%3AOJ.L_.2018.156.01.0001.01.ENG;</w:t>
      </w:r>
    </w:p>
    <w:p w14:paraId="08D60B50" w14:textId="77777777" w:rsidR="000A3BB7" w:rsidRPr="00C66DBD" w:rsidRDefault="000A3BB7" w:rsidP="00C66DBD">
      <w:pPr>
        <w:jc w:val="both"/>
        <w:rPr>
          <w:rFonts w:ascii="Times New Roman" w:hAnsi="Times New Roman" w:cs="Times New Roman"/>
          <w:noProof/>
          <w:sz w:val="20"/>
          <w:szCs w:val="20"/>
        </w:rPr>
      </w:pPr>
      <w:r>
        <w:rPr>
          <w:rFonts w:ascii="Times New Roman" w:hAnsi="Times New Roman"/>
          <w:sz w:val="20"/>
        </w:rPr>
        <w:t>COM(2016)0767 final/2 - 2016/0382 (COD), https://eur-lex.europa.eu/legal- content/EN/TXT/?uri=CELEX%3A52016PC0767R%2801%29; COM(2016)0767 final/2 - 2016/0382 (COD), https://eur-lex.europa.eu/legal-content/LV/TXT/?uri=CELEX%3A52016PC0767R%2801%29</w:t>
      </w:r>
    </w:p>
  </w:footnote>
  <w:footnote w:id="101">
    <w:p w14:paraId="167CC499"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Dahiya S. et al., </w:t>
      </w:r>
      <w:r>
        <w:rPr>
          <w:rFonts w:ascii="Times New Roman" w:hAnsi="Times New Roman"/>
          <w:i/>
          <w:iCs/>
          <w:sz w:val="20"/>
        </w:rPr>
        <w:t>Bioresource Technology</w:t>
      </w:r>
      <w:r>
        <w:rPr>
          <w:rFonts w:ascii="Times New Roman" w:hAnsi="Times New Roman"/>
          <w:sz w:val="20"/>
        </w:rPr>
        <w:t xml:space="preserve">, 248 A, 2-12, (2017. gads), doi: 10.1016/j.biortech.2017.07.176; Mirabella N. et al., </w:t>
      </w:r>
      <w:r>
        <w:rPr>
          <w:rFonts w:ascii="Times New Roman" w:hAnsi="Times New Roman"/>
          <w:i/>
          <w:iCs/>
          <w:sz w:val="20"/>
        </w:rPr>
        <w:t>Journal of Cleaner Production</w:t>
      </w:r>
      <w:r>
        <w:rPr>
          <w:rFonts w:ascii="Times New Roman" w:hAnsi="Times New Roman"/>
          <w:sz w:val="20"/>
        </w:rPr>
        <w:t xml:space="preserve">, 65, 28-41, (2014. gads), doi: 10.1016/j.jclepro.2013.10.051; Giroto, F. et al., </w:t>
      </w:r>
      <w:r>
        <w:rPr>
          <w:rFonts w:ascii="Times New Roman" w:hAnsi="Times New Roman"/>
          <w:i/>
          <w:iCs/>
          <w:sz w:val="20"/>
        </w:rPr>
        <w:t>Waste Management</w:t>
      </w:r>
      <w:r>
        <w:rPr>
          <w:rFonts w:ascii="Times New Roman" w:hAnsi="Times New Roman"/>
          <w:sz w:val="20"/>
        </w:rPr>
        <w:t>, 45, 32–41, (2015. gads), doi: 10.1016/j.wasman.2015.06.008.</w:t>
      </w:r>
    </w:p>
  </w:footnote>
  <w:footnote w:id="102">
    <w:p w14:paraId="4B8ECE77"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CLIMWOOD 2030</w:t>
      </w:r>
      <w:r>
        <w:rPr>
          <w:rFonts w:ascii="Times New Roman" w:hAnsi="Times New Roman"/>
          <w:sz w:val="20"/>
        </w:rPr>
        <w:t>: “</w:t>
      </w:r>
      <w:r>
        <w:rPr>
          <w:rFonts w:ascii="Times New Roman" w:hAnsi="Times New Roman"/>
          <w:i/>
          <w:iCs/>
          <w:sz w:val="20"/>
        </w:rPr>
        <w:t>Climate benefits of material substitution by forest biomass and harvested wood products:</w:t>
      </w:r>
      <w:r>
        <w:rPr>
          <w:rFonts w:ascii="Times New Roman" w:hAnsi="Times New Roman"/>
          <w:sz w:val="20"/>
        </w:rPr>
        <w:t xml:space="preserve"> </w:t>
      </w:r>
      <w:r>
        <w:rPr>
          <w:rFonts w:ascii="Times New Roman" w:hAnsi="Times New Roman"/>
          <w:i/>
          <w:iCs/>
          <w:sz w:val="20"/>
        </w:rPr>
        <w:t>Perspective 2030</w:t>
      </w:r>
      <w:r>
        <w:rPr>
          <w:rFonts w:ascii="Times New Roman" w:hAnsi="Times New Roman"/>
          <w:sz w:val="20"/>
        </w:rPr>
        <w:t>” 2016 ISBN 978-92-79-59947-7 http://europa.eu/!NN68bj</w:t>
      </w:r>
    </w:p>
  </w:footnote>
  <w:footnote w:id="103">
    <w:p w14:paraId="40937D81" w14:textId="77777777" w:rsidR="000A3BB7" w:rsidRPr="00C66DBD" w:rsidRDefault="000A3BB7" w:rsidP="00C66DBD">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LZPPK sniedz Eiropas Komisijai, dalībvalstīm un asociētajām valstīm politikas stratēģijas padomus jautājumā par Eiropas R&amp;I 3 stratēģijām lauksaimniecībā un plašākā bioekonomikā. Tā ir izstrādājusi kopīgas prognozes, kopīgas pētniecības programmas, LZPPK dalībvalstu pētniecības spēju kartēšanu un analīzi, kas ietilpst Eiropas pētniecības telpas izveidē, Pamatprogrammu un kopīgu iniciatīvu izstrādē, piemēram, </w:t>
      </w:r>
      <w:r>
        <w:rPr>
          <w:rFonts w:ascii="Times New Roman" w:hAnsi="Times New Roman"/>
          <w:i/>
          <w:iCs/>
          <w:sz w:val="20"/>
        </w:rPr>
        <w:t>ERANET</w:t>
      </w:r>
      <w:r>
        <w:rPr>
          <w:rFonts w:ascii="Times New Roman" w:hAnsi="Times New Roman"/>
          <w:sz w:val="20"/>
        </w:rPr>
        <w:t xml:space="preserve"> </w:t>
      </w:r>
      <w:r>
        <w:rPr>
          <w:rFonts w:ascii="Times New Roman" w:hAnsi="Times New Roman"/>
          <w:i/>
          <w:iCs/>
          <w:sz w:val="20"/>
        </w:rPr>
        <w:t>Co-funds</w:t>
      </w:r>
      <w:r>
        <w:rPr>
          <w:rFonts w:ascii="Times New Roman" w:hAnsi="Times New Roman"/>
          <w:sz w:val="20"/>
        </w:rPr>
        <w:t>, Kopīgās plānošanas iniciatīvas (</w:t>
      </w:r>
      <w:r>
        <w:rPr>
          <w:rFonts w:ascii="Times New Roman" w:hAnsi="Times New Roman"/>
          <w:i/>
          <w:iCs/>
          <w:sz w:val="20"/>
        </w:rPr>
        <w:t>JPI</w:t>
      </w:r>
      <w:r>
        <w:rPr>
          <w:rFonts w:ascii="Times New Roman" w:hAnsi="Times New Roman"/>
          <w:sz w:val="20"/>
        </w:rPr>
        <w:t>), Eiropas inovāciju platformas (EIP) u. c., sk. https://ec.europa.eu/research/scar/pdf/24-09_ce_scar_role.pdf#view=fit&amp;pagemode=none for the role of SCAR</w:t>
      </w:r>
    </w:p>
  </w:footnote>
  <w:footnote w:id="104">
    <w:p w14:paraId="75428245" w14:textId="77777777" w:rsidR="000A3BB7" w:rsidRPr="00C66DBD" w:rsidRDefault="000A3BB7" w:rsidP="00C66DBD">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https://ec.europa.eu/research/scar/pdf/ki-01-15-295-enn.pdf#view=fit&amp;pagemode=none</w:t>
      </w:r>
    </w:p>
  </w:footnote>
  <w:footnote w:id="105">
    <w:p w14:paraId="138C8B0D" w14:textId="77777777" w:rsidR="000A3BB7" w:rsidRPr="00C66DBD" w:rsidRDefault="000A3BB7" w:rsidP="00C66DBD">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https://biobs.jrc.ec.europa.eu/page/biomass-assessment-study-jrc</w:t>
      </w:r>
    </w:p>
  </w:footnote>
  <w:footnote w:id="106">
    <w:p w14:paraId="11BF407A" w14:textId="77777777" w:rsidR="000A3BB7" w:rsidRPr="00C66DBD" w:rsidRDefault="000A3BB7" w:rsidP="00C66DBD">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ESAO ziņojums “Biomass for a sustainable bioeconomy: technology and governance” (2017. gads) [DSTI/STP/BNCT(2016)7/FINAL]</w:t>
      </w:r>
    </w:p>
  </w:footnote>
  <w:footnote w:id="107">
    <w:p w14:paraId="7119381F" w14:textId="77777777" w:rsidR="000A3BB7" w:rsidRPr="00C66DBD" w:rsidRDefault="000A3BB7" w:rsidP="00C66DBD">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https://climate.nasa.gov/evidence/</w:t>
      </w:r>
    </w:p>
  </w:footnote>
  <w:footnote w:id="108">
    <w:p w14:paraId="6F8AF91E"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https://www.ipbes.net/assessment-reports</w:t>
      </w:r>
    </w:p>
  </w:footnote>
  <w:footnote w:id="109">
    <w:p w14:paraId="4183D77A" w14:textId="77777777" w:rsidR="000A3BB7" w:rsidRPr="00C66DBD" w:rsidRDefault="000A3BB7" w:rsidP="00C66DBD">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https://naturalsciences.ch/uuid/a9c0c267-c1f6-59c5-9a25- e88c559349b2?r=20170706115333_1523540943_f3e5aeea-be69-5193-8d38-78d0ae65453d</w:t>
      </w:r>
    </w:p>
  </w:footnote>
  <w:footnote w:id="110">
    <w:p w14:paraId="79EE4C97"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https://www.ipbes.net/news/media-release-biodiversity-nature%E2%80%99s-contributions-continue-%C2%A0dangerous-decline-scientists-warn; http://www.resourcepanel.org/reports/global-material-flows-and- resource-productivity-database-link; https://esdac.jrc.ec.europa.eu/content/global-soil-biodiversity-atlas; http://www.un.org/Depts/los/global_reporting/WOA_RPROC/Summary.pdf; https://www.eea.europa.eu/data- and-maps/indicators/status-of-marine-fish-stocks-3/assessment</w:t>
      </w:r>
    </w:p>
  </w:footnote>
  <w:footnote w:id="111">
    <w:p w14:paraId="45FD44ED"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https://www.nature.com/articles/nature16867. http://www.nature.com/articles/nature23886</w:t>
      </w:r>
    </w:p>
  </w:footnote>
  <w:footnote w:id="112">
    <w:p w14:paraId="204A0C8B"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http://ec.europa.eu/environment/enveco/biodiversity/pdf/ieep_alterra_report.pdf</w:t>
      </w:r>
    </w:p>
  </w:footnote>
  <w:footnote w:id="113">
    <w:p w14:paraId="53CFFF2B" w14:textId="77777777" w:rsidR="000A3BB7" w:rsidRPr="00C66DBD" w:rsidRDefault="000A3BB7" w:rsidP="00C66DBD">
      <w:pPr>
        <w:tabs>
          <w:tab w:val="left" w:pos="449"/>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https://www.ipbes.net/assessment-reports/ldr</w:t>
      </w:r>
    </w:p>
  </w:footnote>
  <w:footnote w:id="114">
    <w:p w14:paraId="6D7D0A2E" w14:textId="77777777" w:rsidR="000A3BB7" w:rsidRPr="00C66DBD" w:rsidRDefault="000A3BB7" w:rsidP="00C66DBD">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https://unstats.un.org/sdgs/files/report/2017/TheSustainableDevelopmentGoalsReport2017.pdf</w:t>
      </w:r>
    </w:p>
  </w:footnote>
  <w:footnote w:id="115">
    <w:p w14:paraId="70FC86B0"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https://www.eea.europa.eu/data-and-maps/indicators/ocean-acidification-1/assessment</w:t>
      </w:r>
    </w:p>
  </w:footnote>
  <w:footnote w:id="116">
    <w:p w14:paraId="22C7F112"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http://www.fao.org/3/a-i4793e.pdf</w:t>
      </w:r>
    </w:p>
  </w:footnote>
  <w:footnote w:id="117">
    <w:p w14:paraId="6B77FF00" w14:textId="77777777" w:rsidR="000A3BB7" w:rsidRPr="00C66DBD" w:rsidRDefault="000A3BB7" w:rsidP="00C66DBD">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Camia et al. 2018. gads. Kopīgais pētniecības centrs,</w:t>
      </w:r>
      <w:r>
        <w:rPr>
          <w:rFonts w:ascii="Times New Roman" w:hAnsi="Times New Roman"/>
          <w:i/>
          <w:iCs/>
          <w:sz w:val="20"/>
        </w:rPr>
        <w:t xml:space="preserve"> JRC Science for Policy Report</w:t>
      </w:r>
      <w:r>
        <w:rPr>
          <w:rFonts w:ascii="Times New Roman" w:hAnsi="Times New Roman"/>
          <w:sz w:val="20"/>
        </w:rPr>
        <w:t>, doi:10.2760/181536181536.</w:t>
      </w:r>
    </w:p>
  </w:footnote>
  <w:footnote w:id="118">
    <w:p w14:paraId="757E9D6E" w14:textId="77777777" w:rsidR="000A3BB7" w:rsidRPr="00C66DBD" w:rsidRDefault="000A3BB7" w:rsidP="00C66D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https://www.eea.europa.eu/publications/european-union-greenhouse-gas-inventory-2017</w:t>
      </w:r>
    </w:p>
  </w:footnote>
  <w:footnote w:id="119">
    <w:p w14:paraId="156A7DAC" w14:textId="77777777" w:rsidR="000A3BB7" w:rsidRPr="00C66DBD" w:rsidRDefault="000A3BB7" w:rsidP="00C66DB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http://www.openness-project.eu/library/reference-book/sp-ecosystem-service-trade-offs-and-synergies</w:t>
      </w:r>
    </w:p>
  </w:footnote>
  <w:footnote w:id="120">
    <w:p w14:paraId="3163FAF0" w14:textId="77777777" w:rsidR="000A3BB7" w:rsidRPr="00C66DBD" w:rsidRDefault="000A3BB7" w:rsidP="00C66DBD">
      <w:pPr>
        <w:pStyle w:val="FootnoteText"/>
        <w:jc w:val="both"/>
      </w:pPr>
      <w:r>
        <w:rPr>
          <w:rStyle w:val="FootnoteReference"/>
          <w:rFonts w:ascii="Times New Roman" w:hAnsi="Times New Roman" w:cs="Times New Roman"/>
        </w:rPr>
        <w:footnoteRef/>
      </w:r>
      <w:r>
        <w:rPr>
          <w:rFonts w:ascii="Times New Roman" w:hAnsi="Times New Roman"/>
        </w:rPr>
        <w:t xml:space="preserve"> Camia et al. 2018. gads. Kopīgais pētniecības centrs,</w:t>
      </w:r>
      <w:r>
        <w:rPr>
          <w:rFonts w:ascii="Times New Roman" w:hAnsi="Times New Roman"/>
          <w:i/>
          <w:iCs/>
        </w:rPr>
        <w:t xml:space="preserve"> JRC Science for Policy Report</w:t>
      </w:r>
      <w:r>
        <w:rPr>
          <w:rFonts w:ascii="Times New Roman" w:hAnsi="Times New Roman"/>
        </w:rPr>
        <w:t>, doi:10.2760/181536.</w:t>
      </w:r>
    </w:p>
  </w:footnote>
  <w:footnote w:id="121">
    <w:p w14:paraId="639E9FA7" w14:textId="77777777" w:rsidR="000A3BB7" w:rsidRPr="00D3377A" w:rsidRDefault="000A3BB7" w:rsidP="00C8141B">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https://data.worldbank.org/indicator/AG.LND.AGRI.ZS?year_high_desc=false</w:t>
      </w:r>
    </w:p>
  </w:footnote>
  <w:footnote w:id="122">
    <w:p w14:paraId="575FBB09" w14:textId="77777777" w:rsidR="000A3BB7" w:rsidRPr="00D3377A" w:rsidRDefault="000A3BB7" w:rsidP="00C8141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Eurostat</w:t>
      </w:r>
      <w:r>
        <w:rPr>
          <w:rFonts w:ascii="Times New Roman" w:hAnsi="Times New Roman"/>
          <w:sz w:val="20"/>
        </w:rPr>
        <w:t>, 2016d. Darbaspēka apsekojums (lfs_egan22d). http://ec.europa.eu/eurostat/statistics- explained/index.php/Labour_market</w:t>
      </w:r>
    </w:p>
  </w:footnote>
  <w:footnote w:id="123">
    <w:p w14:paraId="0E971B4B" w14:textId="77777777" w:rsidR="000A3BB7" w:rsidRPr="00D3377A" w:rsidRDefault="000A3BB7" w:rsidP="00C8141B">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https://ec.europa.eu/agriculture/sites/agriculture/files/markets-and-prices/medium-term-outlook/2017/2017- fullrep_en.pdf</w:t>
      </w:r>
    </w:p>
  </w:footnote>
  <w:footnote w:id="124">
    <w:p w14:paraId="55FEC99D" w14:textId="77777777" w:rsidR="000A3BB7" w:rsidRPr="00D3377A" w:rsidRDefault="000A3BB7" w:rsidP="00C8141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CFR KLP stratēģiskie plāni. https://eur-lex.europa.eu/legal-content/LV/TXT/?uri=COM%3A2018%3A392%3AFIN</w:t>
      </w:r>
    </w:p>
  </w:footnote>
  <w:footnote w:id="125">
    <w:p w14:paraId="2A895CCF" w14:textId="77777777" w:rsidR="000A3BB7" w:rsidRPr="00D3377A" w:rsidRDefault="000A3BB7" w:rsidP="00C8141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https://www.nature.com/articles/s41893-018-0114-0; https://link.springer.com/article/10.1007/s13593-018-</w:t>
      </w:r>
    </w:p>
    <w:p w14:paraId="72BA43B1" w14:textId="77777777" w:rsidR="000A3BB7" w:rsidRPr="00D3377A" w:rsidRDefault="000A3BB7" w:rsidP="00C8141B">
      <w:pPr>
        <w:jc w:val="both"/>
        <w:rPr>
          <w:rFonts w:ascii="Times New Roman" w:hAnsi="Times New Roman" w:cs="Times New Roman"/>
          <w:noProof/>
          <w:sz w:val="20"/>
          <w:szCs w:val="20"/>
        </w:rPr>
      </w:pPr>
      <w:r>
        <w:rPr>
          <w:rFonts w:ascii="Times New Roman" w:hAnsi="Times New Roman"/>
          <w:sz w:val="20"/>
        </w:rPr>
        <w:t>0519-1</w:t>
      </w:r>
    </w:p>
  </w:footnote>
  <w:footnote w:id="126">
    <w:p w14:paraId="6EC3DCFA" w14:textId="77777777" w:rsidR="000A3BB7" w:rsidRPr="00D3377A" w:rsidRDefault="000A3BB7" w:rsidP="00C8141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https://ec.europa.eu/agriculture/forest_en</w:t>
      </w:r>
    </w:p>
  </w:footnote>
  <w:footnote w:id="127">
    <w:p w14:paraId="6B015070" w14:textId="77777777" w:rsidR="000A3BB7" w:rsidRPr="00C8141B" w:rsidRDefault="000A3BB7" w:rsidP="00C8141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Pilli R. et al., </w:t>
      </w:r>
      <w:r>
        <w:rPr>
          <w:rFonts w:ascii="Times New Roman" w:hAnsi="Times New Roman"/>
          <w:i/>
          <w:iCs/>
        </w:rPr>
        <w:t>Biogeosciences</w:t>
      </w:r>
      <w:r>
        <w:rPr>
          <w:rFonts w:ascii="Times New Roman" w:hAnsi="Times New Roman"/>
        </w:rPr>
        <w:t>, 14, 2387–2405 (2017. gads), doi:10.5194/bg-14-2387-2017</w:t>
      </w:r>
    </w:p>
  </w:footnote>
  <w:footnote w:id="128">
    <w:p w14:paraId="2C77CF00" w14:textId="77777777" w:rsidR="000A3BB7" w:rsidRPr="00C8141B" w:rsidRDefault="000A3BB7" w:rsidP="00C8141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NB. Patiesībā norādītais </w:t>
      </w:r>
      <w:r>
        <w:rPr>
          <w:rFonts w:ascii="Times New Roman" w:hAnsi="Times New Roman"/>
          <w:i/>
          <w:iCs/>
        </w:rPr>
        <w:t>NAI</w:t>
      </w:r>
      <w:r>
        <w:rPr>
          <w:rFonts w:ascii="Times New Roman" w:hAnsi="Times New Roman"/>
        </w:rPr>
        <w:t xml:space="preserve"> (neto gada pieaugums) attiecas tikai uz virszemes “pārdodamo koksnes biomasu”, t. i., “apaļkokiem”, kas ir resnāki par minimāli noteikto lielāko diametru, tāpēc tajā nav iekļauta mazāku stumbru koksne, mazi zari, lapas un zemē esošā biomasa.</w:t>
      </w:r>
    </w:p>
  </w:footnote>
  <w:footnote w:id="129">
    <w:p w14:paraId="0B4D05A6" w14:textId="77777777" w:rsidR="000A3BB7" w:rsidRPr="00C8141B" w:rsidRDefault="000A3BB7" w:rsidP="00C8141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SWD (2013) 343.</w:t>
      </w:r>
    </w:p>
  </w:footnote>
  <w:footnote w:id="130">
    <w:p w14:paraId="24DE7232" w14:textId="77777777" w:rsidR="000A3BB7" w:rsidRPr="00C8141B" w:rsidRDefault="000A3BB7" w:rsidP="00C8141B">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http://simwood.efi.int/uploads/Presentations/final_conference/19_Schelhaas-Nabuurs_20171013.pdf; http://www.forestplatform.org/system/attachments/files/000/000/072/original/FTP_renewed_Vision_2030.pdf?1472814337 (vīzijas mērķis Nr. 2).</w:t>
      </w:r>
    </w:p>
  </w:footnote>
  <w:footnote w:id="131">
    <w:p w14:paraId="04CFA72F" w14:textId="77777777" w:rsidR="000A3BB7" w:rsidRPr="00C8141B" w:rsidRDefault="000A3BB7" w:rsidP="00C8141B">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SAM</w:t>
      </w:r>
      <w:r>
        <w:rPr>
          <w:rFonts w:ascii="Times New Roman" w:hAnsi="Times New Roman"/>
          <w:sz w:val="20"/>
        </w:rPr>
        <w:t xml:space="preserve"> Augsta līmeņa grupa “Food from the oceans: how can more food and biomass be obtained from the oceans in a way that does not deprive future generations of their benefits?” https://ec.europa.eu/research/sam/index.cfm?pg=oceanfood; ESAO ziņojums “Biomasa ilgtspējīgai bioekonomikai – tehnoloģijas un pārvaldība” [</w:t>
      </w:r>
      <w:r>
        <w:rPr>
          <w:rFonts w:ascii="Times New Roman" w:hAnsi="Times New Roman"/>
          <w:i/>
          <w:iCs/>
          <w:sz w:val="20"/>
        </w:rPr>
        <w:t>“Biomass for a sustainable bioeconomy: technology and governance”</w:t>
      </w:r>
      <w:r>
        <w:rPr>
          <w:rFonts w:ascii="Times New Roman" w:hAnsi="Times New Roman"/>
          <w:sz w:val="20"/>
        </w:rPr>
        <w:t>] (2017. gads) [DSTI/STP/BNCT(2016)7/FINAL].</w:t>
      </w:r>
    </w:p>
  </w:footnote>
  <w:footnote w:id="132">
    <w:p w14:paraId="2D4D6056" w14:textId="77777777" w:rsidR="000A3BB7" w:rsidRPr="00C8141B" w:rsidRDefault="000A3BB7" w:rsidP="00C8141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http://www.fao.org/3/a-i5555e.pdf</w:t>
      </w:r>
    </w:p>
  </w:footnote>
  <w:footnote w:id="133">
    <w:p w14:paraId="0C7587CE" w14:textId="77777777" w:rsidR="000A3BB7" w:rsidRPr="00C8141B" w:rsidRDefault="000A3BB7" w:rsidP="00C8141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http://www.fao.org/3/a-i7989t.pdf</w:t>
      </w:r>
    </w:p>
  </w:footnote>
  <w:footnote w:id="134">
    <w:p w14:paraId="13E7A508" w14:textId="77777777" w:rsidR="000A3BB7" w:rsidRPr="00C8141B" w:rsidRDefault="000A3BB7" w:rsidP="00C8141B">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https://stecf.jrc.ec.europa.eu/documents/43805/1491449/STECF+16-19+-+EU+Aquaculture.pdf</w:t>
      </w:r>
    </w:p>
  </w:footnote>
  <w:footnote w:id="135">
    <w:p w14:paraId="38B2EA6A" w14:textId="77777777" w:rsidR="000A3BB7" w:rsidRPr="00EE3CF1" w:rsidRDefault="000A3BB7" w:rsidP="00EE3CF1">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LZPPK 4. prognozes, https://ec.europa.eu/research/scar/pdf/ki-01-15-295-enn.pdf</w:t>
      </w:r>
    </w:p>
  </w:footnote>
  <w:footnote w:id="136">
    <w:p w14:paraId="42D7BB6D" w14:textId="77777777" w:rsidR="000A3BB7" w:rsidRPr="00EE3CF1" w:rsidRDefault="000A3BB7" w:rsidP="00EE3CF1">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https://academic.oup.com/bioscience/article/67/12/1026/4605229; Leip A., </w:t>
      </w:r>
      <w:r>
        <w:rPr>
          <w:rFonts w:ascii="Times New Roman" w:hAnsi="Times New Roman"/>
          <w:i/>
          <w:iCs/>
          <w:sz w:val="20"/>
        </w:rPr>
        <w:t>Environmental Research Letters</w:t>
      </w:r>
      <w:r>
        <w:rPr>
          <w:rFonts w:ascii="Times New Roman" w:hAnsi="Times New Roman"/>
          <w:sz w:val="20"/>
        </w:rPr>
        <w:t>, 10 (11) (2015. gads); http://iopscience.iop.org/article/10.1088/1748-9326/10/11/115004/pdf</w:t>
      </w:r>
    </w:p>
  </w:footnote>
  <w:footnote w:id="137">
    <w:p w14:paraId="693E130C" w14:textId="77777777" w:rsidR="000A3BB7" w:rsidRPr="00EE3CF1" w:rsidRDefault="000A3BB7" w:rsidP="00EE3CF1">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http://www.fao.org/docrep/018/ar591e/ar591e.pdf</w:t>
      </w:r>
    </w:p>
  </w:footnote>
  <w:footnote w:id="138">
    <w:p w14:paraId="0D6D9405" w14:textId="77777777" w:rsidR="000A3BB7" w:rsidRPr="00EE3CF1" w:rsidRDefault="000A3BB7" w:rsidP="00EE3CF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Mekonnen M. et al., </w:t>
      </w:r>
      <w:r>
        <w:rPr>
          <w:rFonts w:ascii="Times New Roman" w:hAnsi="Times New Roman"/>
          <w:i/>
          <w:iCs/>
        </w:rPr>
        <w:t>Ecosystems</w:t>
      </w:r>
      <w:r>
        <w:rPr>
          <w:rFonts w:ascii="Times New Roman" w:hAnsi="Times New Roman"/>
        </w:rPr>
        <w:t xml:space="preserve">, 15, 3, 401–415 (2012. gads), doi: 10.1007/s10021-011-9517-8; Mubareka S. et al., </w:t>
      </w:r>
      <w:r>
        <w:rPr>
          <w:rFonts w:ascii="Times New Roman" w:hAnsi="Times New Roman"/>
          <w:i/>
          <w:iCs/>
        </w:rPr>
        <w:t>Ecosystem Services</w:t>
      </w:r>
      <w:r>
        <w:rPr>
          <w:rFonts w:ascii="Times New Roman" w:hAnsi="Times New Roman"/>
        </w:rPr>
        <w:t>, 4, 139–145 (2013. gads), doi: 10.1016/j.ecoser.2013.03.001.</w:t>
      </w:r>
    </w:p>
  </w:footnote>
  <w:footnote w:id="139">
    <w:p w14:paraId="3FD4436E" w14:textId="77777777" w:rsidR="000A3BB7" w:rsidRPr="00EE3CF1" w:rsidRDefault="000A3BB7" w:rsidP="00EE3CF1">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http://www.fao.org/ag/againfo/home/en/news_archive/2017_More_Fuel_for_the_Food_Feed.html</w:t>
      </w:r>
    </w:p>
  </w:footnote>
  <w:footnote w:id="140">
    <w:p w14:paraId="4D2BB4F7" w14:textId="77777777" w:rsidR="000A3BB7" w:rsidRPr="00EE3CF1" w:rsidRDefault="000A3BB7" w:rsidP="00EE3CF1">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http://www.risefoundation.eu/images/files/2018/2018_RISE_LIVESTOCK_FULL.pdf; http://science.sciencemag.org/content/361/6399/eaam5324</w:t>
      </w:r>
    </w:p>
  </w:footnote>
  <w:footnote w:id="141">
    <w:p w14:paraId="20CA580D" w14:textId="77777777" w:rsidR="000A3BB7" w:rsidRPr="00EE3CF1" w:rsidRDefault="000A3BB7" w:rsidP="00EE3CF1">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http://www.un.org/depts/los/nippon/documents/Non_recurrent_e_publication_Oceans_final.pdf</w:t>
      </w:r>
    </w:p>
  </w:footnote>
  <w:footnote w:id="142">
    <w:p w14:paraId="0DA0A8EB" w14:textId="77777777" w:rsidR="000A3BB7" w:rsidRPr="00EE3CF1" w:rsidRDefault="000A3BB7" w:rsidP="00EE3CF1">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http://www.oecd.org/sti/the-ocean-economy-in-2030-9789264251724-en.htm</w:t>
      </w:r>
    </w:p>
  </w:footnote>
  <w:footnote w:id="143">
    <w:p w14:paraId="677CE9B4" w14:textId="77777777" w:rsidR="000A3BB7" w:rsidRPr="00EE3CF1" w:rsidRDefault="000A3BB7" w:rsidP="00EE3CF1">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https://ec.europa.eu/research/sam/pdf/sam_food-from-oceans_report.pdf#view=fit&amp;pagemode=none</w:t>
      </w:r>
    </w:p>
  </w:footnote>
  <w:footnote w:id="144">
    <w:p w14:paraId="3E1E9048" w14:textId="77777777" w:rsidR="000A3BB7" w:rsidRPr="00EE3CF1" w:rsidRDefault="000A3BB7" w:rsidP="00EE3CF1">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http://www.un.org/depts/los/nippon/documents/Non_recurrent_e_publication_Oceans_final.pdf</w:t>
      </w:r>
    </w:p>
  </w:footnote>
  <w:footnote w:id="145">
    <w:p w14:paraId="3591F798" w14:textId="77777777" w:rsidR="000A3BB7" w:rsidRPr="00EE3CF1" w:rsidRDefault="000A3BB7" w:rsidP="00EE3CF1">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http://www.gov.scot/Publications/2005/03/20717/52862</w:t>
      </w:r>
    </w:p>
  </w:footnote>
  <w:footnote w:id="146">
    <w:p w14:paraId="3BD4491A" w14:textId="77777777" w:rsidR="000A3BB7" w:rsidRPr="00AD05D6" w:rsidRDefault="000A3BB7" w:rsidP="00AD05D6">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https://ec.europa.eu/jrc/en/news/saving-our-heritage-worrying-state-mediterranean-fish-stocks</w:t>
      </w:r>
    </w:p>
  </w:footnote>
  <w:footnote w:id="147">
    <w:p w14:paraId="5A053DD7" w14:textId="77777777" w:rsidR="000A3BB7" w:rsidRPr="00AD05D6" w:rsidRDefault="000A3BB7" w:rsidP="00AD05D6">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https://www.worldwildlife.org/publications/reviving-the-oceans-economy-the-case-for-action-2015</w:t>
      </w:r>
    </w:p>
  </w:footnote>
  <w:footnote w:id="148">
    <w:p w14:paraId="16224151" w14:textId="77777777" w:rsidR="000A3BB7" w:rsidRPr="00AD05D6" w:rsidRDefault="000A3BB7" w:rsidP="00AD05D6">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Doney S. et al., </w:t>
      </w:r>
      <w:r>
        <w:rPr>
          <w:rFonts w:ascii="Times New Roman" w:hAnsi="Times New Roman"/>
          <w:i/>
          <w:iCs/>
          <w:sz w:val="20"/>
        </w:rPr>
        <w:t>Annual Review of Marine Science</w:t>
      </w:r>
      <w:r>
        <w:rPr>
          <w:rFonts w:ascii="Times New Roman" w:hAnsi="Times New Roman"/>
          <w:sz w:val="20"/>
        </w:rPr>
        <w:t>, 1, 169–192, (2009. gads), doi:</w:t>
      </w:r>
    </w:p>
    <w:p w14:paraId="3B307C98" w14:textId="77777777" w:rsidR="000A3BB7" w:rsidRPr="00AD05D6" w:rsidRDefault="000A3BB7" w:rsidP="00AD05D6">
      <w:pPr>
        <w:jc w:val="both"/>
        <w:rPr>
          <w:rFonts w:ascii="Times New Roman" w:hAnsi="Times New Roman" w:cs="Times New Roman"/>
          <w:noProof/>
          <w:sz w:val="20"/>
          <w:szCs w:val="20"/>
        </w:rPr>
      </w:pPr>
      <w:r>
        <w:rPr>
          <w:rFonts w:ascii="Times New Roman" w:hAnsi="Times New Roman"/>
          <w:sz w:val="20"/>
        </w:rPr>
        <w:t>10.1146/annurev.marine.010908.163834</w:t>
      </w:r>
    </w:p>
  </w:footnote>
  <w:footnote w:id="149">
    <w:p w14:paraId="4E28A796" w14:textId="77777777" w:rsidR="000A3BB7" w:rsidRPr="00AD05D6" w:rsidRDefault="000A3BB7">
      <w:pPr>
        <w:pStyle w:val="FootnoteText"/>
      </w:pPr>
      <w:r>
        <w:rPr>
          <w:rStyle w:val="FootnoteReference"/>
          <w:rFonts w:ascii="Times New Roman" w:hAnsi="Times New Roman" w:cs="Times New Roman"/>
        </w:rPr>
        <w:footnoteRef/>
      </w:r>
      <w:r>
        <w:rPr>
          <w:rFonts w:ascii="Times New Roman" w:hAnsi="Times New Roman"/>
        </w:rPr>
        <w:t xml:space="preserve"> http://ec.europa.eu/eurostat/documents/3217494/8461633/KS-04-17-780-EN-N.pdf/f7694981-6190-46fb- 99d6-d092ce04083f</w:t>
      </w:r>
    </w:p>
  </w:footnote>
  <w:footnote w:id="150">
    <w:p w14:paraId="08B21391" w14:textId="77777777" w:rsidR="000A3BB7" w:rsidRPr="00AD05D6" w:rsidRDefault="000A3BB7" w:rsidP="00AD05D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https://wdpa.s3.amazonaws.com/Protected_Planet_Reports/2445%20Global%20Protected%20Planet%202016_ WEB.pdf</w:t>
      </w:r>
    </w:p>
  </w:footnote>
  <w:footnote w:id="151">
    <w:p w14:paraId="32A54EA2" w14:textId="77777777" w:rsidR="000A3BB7" w:rsidRPr="00AD05D6" w:rsidRDefault="000A3BB7" w:rsidP="00AD05D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https://www.ellenmacarthurfoundation.org/publications/the-new-plastics-economy-rethinking-the-future-of- plastics</w:t>
      </w:r>
    </w:p>
  </w:footnote>
  <w:footnote w:id="152">
    <w:p w14:paraId="0AC67618" w14:textId="77777777" w:rsidR="000A3BB7" w:rsidRPr="00AD05D6" w:rsidRDefault="000A3BB7" w:rsidP="00AD05D6">
      <w:pPr>
        <w:pStyle w:val="FootnoteText"/>
        <w:jc w:val="both"/>
      </w:pPr>
      <w:r>
        <w:rPr>
          <w:rStyle w:val="FootnoteReference"/>
          <w:rFonts w:ascii="Times New Roman" w:hAnsi="Times New Roman" w:cs="Times New Roman"/>
        </w:rPr>
        <w:footnoteRef/>
      </w:r>
      <w:r>
        <w:rPr>
          <w:rFonts w:ascii="Times New Roman" w:hAnsi="Times New Roman"/>
        </w:rPr>
        <w:t xml:space="preserve"> Peeken I. et al., </w:t>
      </w:r>
      <w:r>
        <w:rPr>
          <w:rFonts w:ascii="Times New Roman" w:hAnsi="Times New Roman"/>
          <w:i/>
          <w:iCs/>
        </w:rPr>
        <w:t>Nature Communications</w:t>
      </w:r>
      <w:r>
        <w:rPr>
          <w:rFonts w:ascii="Times New Roman" w:hAnsi="Times New Roman"/>
        </w:rPr>
        <w:t>, 9, 1505 (2018. gads), doi:10.1038/s41467-018-03825-5</w:t>
      </w:r>
    </w:p>
  </w:footnote>
  <w:footnote w:id="153">
    <w:p w14:paraId="7AAD3701" w14:textId="77777777" w:rsidR="000A3BB7" w:rsidRPr="00AD05D6" w:rsidRDefault="000A3BB7" w:rsidP="00AD05D6">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Biorafinēšanas iekārta ir “tāda pārstrādes uzņēmuma vispārēja koncepcija, kurā biomasas izejvielas tiek pārveidotas un izmantotas vērtīgu produktu klāstam”. Avots: ASV DOE, 1997. gads, </w:t>
      </w:r>
      <w:r>
        <w:rPr>
          <w:rFonts w:ascii="Times New Roman" w:hAnsi="Times New Roman"/>
          <w:i/>
          <w:iCs/>
          <w:sz w:val="20"/>
        </w:rPr>
        <w:t>Energy, Environmental and Economics (e3) Handbook</w:t>
      </w:r>
      <w:r>
        <w:rPr>
          <w:rFonts w:ascii="Times New Roman" w:hAnsi="Times New Roman"/>
          <w:sz w:val="20"/>
        </w:rPr>
        <w:t>, ASV Enerģētikas departaments, Energoefektivitātes un atjaunojamās enerģijas birojs, Vašingtona, Kolumbijas apgabals.</w:t>
      </w:r>
    </w:p>
  </w:footnote>
  <w:footnote w:id="154">
    <w:p w14:paraId="62241BB8" w14:textId="77777777" w:rsidR="000A3BB7" w:rsidRPr="00886EF6" w:rsidRDefault="000A3BB7" w:rsidP="00886EF6">
      <w:pPr>
        <w:tabs>
          <w:tab w:val="left" w:pos="42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LZPPK 4. prognozes, https://ec.europa.eu/research/scar/pdf/ki-01-15-295-enn.pdf</w:t>
      </w:r>
    </w:p>
  </w:footnote>
  <w:footnote w:id="155">
    <w:p w14:paraId="1E485383" w14:textId="77777777" w:rsidR="000A3BB7" w:rsidRPr="00886EF6" w:rsidRDefault="000A3BB7" w:rsidP="00886EF6">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https://ec.europa.eu/docsroom/documents/26451/attachments/1/translations/en/renditions/native</w:t>
      </w:r>
    </w:p>
  </w:footnote>
  <w:footnote w:id="156">
    <w:p w14:paraId="57B8911F" w14:textId="77777777" w:rsidR="000A3BB7" w:rsidRPr="00886EF6" w:rsidRDefault="000A3BB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Kopīgais pētniecības centrs, https://datam.jrc.ec.europa.eu/datam/mashup/BIOECONOMICS</w:t>
      </w:r>
    </w:p>
  </w:footnote>
  <w:footnote w:id="157">
    <w:p w14:paraId="5EA42581" w14:textId="77777777" w:rsidR="000A3BB7" w:rsidRPr="00886EF6" w:rsidRDefault="000A3BB7" w:rsidP="00886EF6">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Leading the way to a European circular bioeconomy strategy, From Science to Policy 5</w:t>
      </w:r>
      <w:r>
        <w:rPr>
          <w:rFonts w:ascii="Times New Roman" w:hAnsi="Times New Roman"/>
          <w:sz w:val="20"/>
        </w:rPr>
        <w:t>. Eiropas Meža institūts, 2017. gads.</w:t>
      </w:r>
    </w:p>
  </w:footnote>
  <w:footnote w:id="158">
    <w:p w14:paraId="5A3FBE7F" w14:textId="77777777" w:rsidR="000A3BB7" w:rsidRPr="00D84900" w:rsidRDefault="000A3BB7" w:rsidP="00D84900">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Starptautiskā Enerģētikas aģentūra (</w:t>
      </w:r>
      <w:r>
        <w:rPr>
          <w:rFonts w:ascii="Times New Roman" w:hAnsi="Times New Roman"/>
          <w:i/>
          <w:iCs/>
          <w:sz w:val="20"/>
        </w:rPr>
        <w:t>IEA</w:t>
      </w:r>
      <w:r>
        <w:rPr>
          <w:rFonts w:ascii="Times New Roman" w:hAnsi="Times New Roman"/>
          <w:sz w:val="20"/>
        </w:rPr>
        <w:t xml:space="preserve">), Ķimikāliju asociāciju starptautiskā padome, </w:t>
      </w:r>
      <w:r>
        <w:rPr>
          <w:rFonts w:ascii="Times New Roman" w:hAnsi="Times New Roman"/>
          <w:i/>
          <w:iCs/>
          <w:sz w:val="20"/>
        </w:rPr>
        <w:t>DECHEMA</w:t>
      </w:r>
      <w:r>
        <w:rPr>
          <w:rFonts w:ascii="Times New Roman" w:hAnsi="Times New Roman"/>
          <w:sz w:val="20"/>
        </w:rPr>
        <w:t xml:space="preserve">. </w:t>
      </w:r>
      <w:r>
        <w:rPr>
          <w:rFonts w:ascii="Times New Roman" w:hAnsi="Times New Roman"/>
          <w:i/>
          <w:iCs/>
          <w:sz w:val="20"/>
        </w:rPr>
        <w:t>Technology roadmap: energy and GHG reductions in the chemical industry via catalytic processes</w:t>
      </w:r>
      <w:r>
        <w:rPr>
          <w:rFonts w:ascii="Times New Roman" w:hAnsi="Times New Roman"/>
          <w:sz w:val="20"/>
        </w:rPr>
        <w:t xml:space="preserve">. Parīze (Francija): </w:t>
      </w:r>
      <w:r>
        <w:rPr>
          <w:rFonts w:ascii="Times New Roman" w:hAnsi="Times New Roman"/>
          <w:i/>
          <w:iCs/>
          <w:sz w:val="20"/>
        </w:rPr>
        <w:t>IEA Publications</w:t>
      </w:r>
      <w:r>
        <w:rPr>
          <w:rFonts w:ascii="Times New Roman" w:hAnsi="Times New Roman"/>
          <w:sz w:val="20"/>
        </w:rPr>
        <w:t>; 2013. gads.</w:t>
      </w:r>
    </w:p>
  </w:footnote>
  <w:footnote w:id="159">
    <w:p w14:paraId="5A7BF8E9" w14:textId="77777777" w:rsidR="000A3BB7" w:rsidRPr="00D84900" w:rsidRDefault="000A3BB7" w:rsidP="00D84900">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http://www.cefic.org/Policy-Centre/Innovation/Bio-economy/</w:t>
      </w:r>
    </w:p>
  </w:footnote>
  <w:footnote w:id="160">
    <w:p w14:paraId="6108D643" w14:textId="77777777" w:rsidR="000A3BB7" w:rsidRPr="00D84900" w:rsidRDefault="000A3BB7" w:rsidP="00D84900">
      <w:pPr>
        <w:jc w:val="both"/>
        <w:rPr>
          <w:rFonts w:ascii="Times New Roman" w:eastAsia="Verdana" w:hAnsi="Times New Roman" w:cs="Verdana"/>
          <w:noProof/>
          <w:sz w:val="20"/>
          <w:szCs w:val="9"/>
        </w:rPr>
      </w:pPr>
      <w:r>
        <w:rPr>
          <w:rStyle w:val="FootnoteReference"/>
          <w:rFonts w:ascii="Times New Roman" w:hAnsi="Times New Roman" w:cs="Times New Roman"/>
          <w:sz w:val="20"/>
          <w:szCs w:val="20"/>
        </w:rPr>
        <w:footnoteRef/>
      </w:r>
      <w:r>
        <w:rPr>
          <w:rFonts w:ascii="Times New Roman" w:hAnsi="Times New Roman"/>
          <w:sz w:val="20"/>
        </w:rPr>
        <w:t xml:space="preserve"> Cementa ražošanas nozare rada aptuveni 5 % no pasaules oglekļa dioksīda emisijām. Worrell et al, </w:t>
      </w:r>
      <w:r>
        <w:rPr>
          <w:rFonts w:ascii="Times New Roman" w:hAnsi="Times New Roman"/>
          <w:i/>
          <w:iCs/>
          <w:sz w:val="20"/>
        </w:rPr>
        <w:t>CARBON DIOXIDE EMISSIONS FROM THE GLOBAL CEMENT INDUSTRY</w:t>
      </w:r>
      <w:r>
        <w:rPr>
          <w:rFonts w:ascii="Times New Roman" w:hAnsi="Times New Roman"/>
          <w:sz w:val="20"/>
        </w:rPr>
        <w:t>, Annu. Rev. Energy Environ. 2001. gads. 26:303–29.</w:t>
      </w:r>
    </w:p>
  </w:footnote>
  <w:footnote w:id="161">
    <w:p w14:paraId="2B10BD74" w14:textId="77777777" w:rsidR="000A3BB7" w:rsidRPr="00D01959" w:rsidRDefault="000A3BB7" w:rsidP="00D84900">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http://www.fao.org/3/a-i5857e.pdf</w:t>
      </w:r>
    </w:p>
  </w:footnote>
  <w:footnote w:id="162">
    <w:p w14:paraId="3C40E14F" w14:textId="77777777" w:rsidR="000A3BB7" w:rsidRPr="00D01959" w:rsidRDefault="000A3BB7" w:rsidP="00D84900">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http://www.efi.int/files/images/publications/efi_hurmekoski_wood_construction_2017.pdf</w:t>
      </w:r>
    </w:p>
  </w:footnote>
  <w:footnote w:id="163">
    <w:p w14:paraId="20106932" w14:textId="77777777" w:rsidR="000A3BB7" w:rsidRPr="00D01959" w:rsidRDefault="000A3BB7" w:rsidP="00D01959">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Biorafinēšanas iekārta ir “tāda pārstrādes uzņēmuma vispārēja koncepcija, kurā biomasas izejvielas tiek pārveidotas un izmantotas vērtīgu produktu klāstam”. Avots: ASV DOE, 1997. gads, </w:t>
      </w:r>
      <w:r>
        <w:rPr>
          <w:rFonts w:ascii="Times New Roman" w:hAnsi="Times New Roman"/>
          <w:i/>
          <w:iCs/>
          <w:sz w:val="20"/>
        </w:rPr>
        <w:t>Energy, Environmental and Economics (e3) Handbook</w:t>
      </w:r>
      <w:r>
        <w:rPr>
          <w:rFonts w:ascii="Times New Roman" w:hAnsi="Times New Roman"/>
          <w:sz w:val="20"/>
        </w:rPr>
        <w:t>, ASV Enerģētikas departaments, Energoefektivitātes un atjaunojamās enerģijas birojs, Vašingtona, Kolumbijas apgabals.</w:t>
      </w:r>
    </w:p>
  </w:footnote>
  <w:footnote w:id="164">
    <w:p w14:paraId="30A0604F"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Ar vairākiem projektiem atbalsta integrētu biorafinēšanas iekārtu attīstību, jo īpaši ar Biorūpniecības kopuzņēmuma </w:t>
      </w:r>
      <w:r>
        <w:rPr>
          <w:rFonts w:ascii="Times New Roman" w:hAnsi="Times New Roman"/>
          <w:i/>
          <w:iCs/>
          <w:sz w:val="20"/>
        </w:rPr>
        <w:t>BBI-JU</w:t>
      </w:r>
      <w:r>
        <w:rPr>
          <w:rFonts w:ascii="Times New Roman" w:hAnsi="Times New Roman"/>
          <w:sz w:val="20"/>
        </w:rPr>
        <w:t xml:space="preserve"> starpniecību (</w:t>
      </w:r>
      <w:r>
        <w:rPr>
          <w:rFonts w:ascii="Times New Roman" w:hAnsi="Times New Roman"/>
          <w:i/>
          <w:iCs/>
          <w:sz w:val="20"/>
        </w:rPr>
        <w:t>FIRST2RUN</w:t>
      </w:r>
      <w:r>
        <w:rPr>
          <w:rFonts w:ascii="Times New Roman" w:hAnsi="Times New Roman"/>
          <w:sz w:val="20"/>
        </w:rPr>
        <w:t xml:space="preserve">, </w:t>
      </w:r>
      <w:r>
        <w:rPr>
          <w:rFonts w:ascii="Times New Roman" w:hAnsi="Times New Roman"/>
          <w:i/>
          <w:iCs/>
          <w:sz w:val="20"/>
        </w:rPr>
        <w:t>BIOSKOH</w:t>
      </w:r>
      <w:r>
        <w:rPr>
          <w:rFonts w:ascii="Times New Roman" w:hAnsi="Times New Roman"/>
          <w:sz w:val="20"/>
        </w:rPr>
        <w:t>). https://www.bbi-europe.eu/</w:t>
      </w:r>
    </w:p>
  </w:footnote>
  <w:footnote w:id="165">
    <w:p w14:paraId="139B7292"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https://www.eea.europa.eu/publications/food-in-a-green-light</w:t>
      </w:r>
    </w:p>
  </w:footnote>
  <w:footnote w:id="166">
    <w:p w14:paraId="4D870389" w14:textId="77777777" w:rsidR="000A3BB7" w:rsidRPr="00D01959" w:rsidRDefault="000A3BB7" w:rsidP="00D01959">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http://www.fao.org/3/a-i5857e.pdf</w:t>
      </w:r>
    </w:p>
  </w:footnote>
  <w:footnote w:id="167">
    <w:p w14:paraId="4F9F76F6"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http://www.fooddrinkeurope.eu/publication/data-trends-of-the-european-food-and-drink-industry-2017/</w:t>
      </w:r>
    </w:p>
  </w:footnote>
  <w:footnote w:id="168">
    <w:p w14:paraId="33A38D31"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http://www.fooddrinkeurope.eu/publication/data-trends-of-the-european-food-and-drink-industry-2017/</w:t>
      </w:r>
    </w:p>
  </w:footnote>
  <w:footnote w:id="169">
    <w:p w14:paraId="246C51C4"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https://www.eumofa.eu/documents/20178/66003/EN_The+EU+fish+market_Ed+2015.pdf/4cbd01f2-cd49- 4bd1-adae-8dbb773d8519</w:t>
      </w:r>
    </w:p>
  </w:footnote>
  <w:footnote w:id="170">
    <w:p w14:paraId="6A89922F" w14:textId="77777777" w:rsidR="000A3BB7" w:rsidRPr="00D01959" w:rsidRDefault="000A3BB7" w:rsidP="00D0195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https://ec.europa.eu/energy/sites/ener/files/documents/Final%20Report_GLOBIOM_publication.pdf</w:t>
      </w:r>
    </w:p>
  </w:footnote>
  <w:footnote w:id="171">
    <w:p w14:paraId="3ABA07F1"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http://europa.eu/rapid/press-release_MEMO-16-3989_en.htm</w:t>
      </w:r>
    </w:p>
  </w:footnote>
  <w:footnote w:id="172">
    <w:p w14:paraId="0DCF6D7D"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http://publications.jrc.ec.europa.eu/repository/bitstream/JRC96121/ldna27247enn.pdf</w:t>
      </w:r>
    </w:p>
  </w:footnote>
  <w:footnote w:id="173">
    <w:p w14:paraId="69A80C14" w14:textId="77777777" w:rsidR="000A3BB7" w:rsidRPr="00D01959" w:rsidRDefault="000A3BB7" w:rsidP="00D0195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https://ec.europa.eu/eurostat/statistics-explained/index.php?title=Agri-environmental_indicator_-</w:t>
      </w:r>
    </w:p>
    <w:p w14:paraId="6EE459E4" w14:textId="77777777" w:rsidR="000A3BB7" w:rsidRPr="00D01959" w:rsidRDefault="000A3BB7" w:rsidP="00D01959">
      <w:pPr>
        <w:jc w:val="both"/>
        <w:rPr>
          <w:rFonts w:ascii="Times New Roman" w:hAnsi="Times New Roman"/>
          <w:noProof/>
          <w:sz w:val="24"/>
        </w:rPr>
      </w:pPr>
      <w:r>
        <w:rPr>
          <w:rFonts w:ascii="Times New Roman" w:hAnsi="Times New Roman"/>
          <w:sz w:val="20"/>
        </w:rPr>
        <w:t>_greenhouse_gas_emissions</w:t>
      </w:r>
    </w:p>
  </w:footnote>
  <w:footnote w:id="174">
    <w:p w14:paraId="49597EFB"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http://www.fao.org/nutrition/education/food-dietary-guidelines/regions/europe/en/</w:t>
      </w:r>
    </w:p>
  </w:footnote>
  <w:footnote w:id="175">
    <w:p w14:paraId="09694678"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https://www.nature.com/articles/s41467-017-01410-w</w:t>
      </w:r>
    </w:p>
  </w:footnote>
  <w:footnote w:id="176">
    <w:p w14:paraId="26C1108F" w14:textId="77777777" w:rsidR="000A3BB7" w:rsidRPr="00D01959" w:rsidRDefault="000A3BB7" w:rsidP="00D0195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http://etp.fooddrinkeurope.eu/news-and-publications/publications/19-strategic-research-and-innovation- agenda-2016-food-for-tomorrow-s-consumer.html</w:t>
      </w:r>
    </w:p>
  </w:footnote>
  <w:footnote w:id="177">
    <w:p w14:paraId="57A502CF" w14:textId="77777777" w:rsidR="000A3BB7" w:rsidRPr="00D01959" w:rsidRDefault="000A3BB7" w:rsidP="00D01959">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Eurostat</w:t>
      </w:r>
      <w:r>
        <w:rPr>
          <w:rFonts w:ascii="Times New Roman" w:hAnsi="Times New Roman"/>
          <w:sz w:val="20"/>
        </w:rPr>
        <w:t xml:space="preserve"> dati.</w:t>
      </w:r>
    </w:p>
  </w:footnote>
  <w:footnote w:id="178">
    <w:p w14:paraId="70699643" w14:textId="77777777" w:rsidR="000A3BB7" w:rsidRPr="00C92C69" w:rsidRDefault="000A3BB7" w:rsidP="00C92C6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https://eur-lex.europa.eu/legal-content/LV/TXT/?uri=CELEX:52015DC0080</w:t>
      </w:r>
    </w:p>
  </w:footnote>
  <w:footnote w:id="179">
    <w:p w14:paraId="1DB68B18" w14:textId="77777777" w:rsidR="000A3BB7" w:rsidRPr="00C92C69" w:rsidRDefault="000A3BB7" w:rsidP="00C92C6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https://www.iea.org/topics/renewables/bioenergy/</w:t>
      </w:r>
    </w:p>
  </w:footnote>
  <w:footnote w:id="180">
    <w:p w14:paraId="7F02C9D8" w14:textId="77777777" w:rsidR="000A3BB7" w:rsidRPr="00C92C69" w:rsidRDefault="000A3BB7" w:rsidP="00C92C6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SWD(2016) 418, 4. daļa, Bioenerģijas ilgtspējas ietekmes novērtējums. ES 28 valstīs 2016. gadā kopējā primārajā enerģijas ražošanā no biomasas tika saražoti aptuveni 67 % atjaunojamās enerģijas (cietais, šķidrais un gāzveida kurināmais), un tās īpatsvars īpaši transporta nozarē bija 7,1 % [</w:t>
      </w:r>
      <w:r>
        <w:rPr>
          <w:rFonts w:ascii="Times New Roman" w:hAnsi="Times New Roman"/>
          <w:i/>
          <w:iCs/>
          <w:sz w:val="20"/>
        </w:rPr>
        <w:t>Eurostat</w:t>
      </w:r>
      <w:r>
        <w:rPr>
          <w:rFonts w:ascii="Times New Roman" w:hAnsi="Times New Roman"/>
          <w:sz w:val="20"/>
        </w:rPr>
        <w:t>, pēdējais atjauninājums 2018. gada janvārī].</w:t>
      </w:r>
    </w:p>
  </w:footnote>
  <w:footnote w:id="181">
    <w:p w14:paraId="2906512A" w14:textId="77777777" w:rsidR="000A3BB7" w:rsidRPr="00C92C69" w:rsidRDefault="000A3BB7" w:rsidP="00C92C6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https://www.sciencedirect.com/science/article/pii/S2211464516302755</w:t>
      </w:r>
    </w:p>
  </w:footnote>
  <w:footnote w:id="182">
    <w:p w14:paraId="72648F19" w14:textId="77777777" w:rsidR="000A3BB7" w:rsidRPr="00C92C69" w:rsidRDefault="000A3BB7" w:rsidP="00C92C69">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COM(2011) 885, http://eur-lex.europa.eu/legal-content/lv/TXT/?uri=CELEX:52011DC0885</w:t>
      </w:r>
    </w:p>
  </w:footnote>
  <w:footnote w:id="183">
    <w:p w14:paraId="16D29FEE" w14:textId="77777777" w:rsidR="000A3BB7" w:rsidRPr="00C92C69" w:rsidRDefault="000A3BB7" w:rsidP="00C92C6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EK (2014), SWD(2014)259 final, Pašreizējā situācija saistībā ar elektroenerģijai, siltumapgādei un dzesēšanai izmantotās cietās un gāzveida biomasas ilgtspēju ES. Komisijas dienestu darba dokuments;</w:t>
      </w:r>
    </w:p>
  </w:footnote>
  <w:footnote w:id="184">
    <w:p w14:paraId="294E2C07" w14:textId="77777777" w:rsidR="000A3BB7" w:rsidRPr="00C92C69" w:rsidRDefault="000A3BB7" w:rsidP="00C92C6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https://ec.europa.eu/energy/sites/ener/files/documents/biosustain_report_final.pdf</w:t>
      </w:r>
    </w:p>
  </w:footnote>
  <w:footnote w:id="185">
    <w:p w14:paraId="36FBD5B8" w14:textId="77777777" w:rsidR="000A3BB7" w:rsidRPr="00C92C69" w:rsidRDefault="000A3BB7" w:rsidP="00C92C6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http://eur-lex.europa.eu/legal-content/LV/TXT/PDF/?uri=CELEX:02009L0028-20151005&amp;from=LV</w:t>
      </w:r>
    </w:p>
  </w:footnote>
  <w:footnote w:id="186">
    <w:p w14:paraId="7642D120" w14:textId="77777777" w:rsidR="000A3BB7" w:rsidRPr="00C92C69" w:rsidRDefault="000A3BB7" w:rsidP="00C92C69">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https://ec.europa.eu/energy/sites/ener/files/documents/1_en_impact_assessment_part4_v4_418.pdf</w:t>
      </w:r>
    </w:p>
  </w:footnote>
  <w:footnote w:id="187">
    <w:p w14:paraId="7C5DBE4B" w14:textId="77777777" w:rsidR="000A3BB7" w:rsidRPr="00C92C69" w:rsidRDefault="000A3BB7" w:rsidP="00C92C6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EK(2015), Noslēgt aprites loku – ES rīcības plāns pārejai uz aprites ekonomiku.</w:t>
      </w:r>
    </w:p>
  </w:footnote>
  <w:footnote w:id="188">
    <w:p w14:paraId="335A453F" w14:textId="77777777" w:rsidR="000A3BB7" w:rsidRPr="00C92C69" w:rsidRDefault="000A3BB7" w:rsidP="00C92C6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Carus M. et al., </w:t>
      </w:r>
      <w:r>
        <w:rPr>
          <w:rFonts w:ascii="Times New Roman" w:hAnsi="Times New Roman"/>
          <w:i/>
          <w:iCs/>
          <w:sz w:val="20"/>
        </w:rPr>
        <w:t>Nova Paper #9 on bio-based economy</w:t>
      </w:r>
      <w:r>
        <w:rPr>
          <w:rFonts w:ascii="Times New Roman" w:hAnsi="Times New Roman"/>
          <w:sz w:val="20"/>
        </w:rPr>
        <w:t>, 2018-01, (2018. gads).</w:t>
      </w:r>
    </w:p>
  </w:footnote>
  <w:footnote w:id="189">
    <w:p w14:paraId="291F616C" w14:textId="77777777" w:rsidR="000A3BB7" w:rsidRPr="00C92C69" w:rsidRDefault="000A3BB7" w:rsidP="00C92C6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https://ec.europa.eu/research/bioeconomy/pdf/review_of_2012_eu_bes.pdf; https://www.eea.europa.eu/publications/circular-economy-and-bioeconomy</w:t>
      </w:r>
    </w:p>
  </w:footnote>
  <w:footnote w:id="190">
    <w:p w14:paraId="33E9366A" w14:textId="77777777" w:rsidR="000A3BB7" w:rsidRPr="00C92C69" w:rsidRDefault="000A3BB7" w:rsidP="00C92C6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ESAO (2018. gads), </w:t>
      </w:r>
      <w:r>
        <w:rPr>
          <w:rFonts w:ascii="Times New Roman" w:hAnsi="Times New Roman"/>
          <w:i/>
          <w:iCs/>
          <w:sz w:val="20"/>
        </w:rPr>
        <w:t>Meeting Policy Challenges for a Sustainable Bioeconomy</w:t>
      </w:r>
      <w:r>
        <w:rPr>
          <w:rFonts w:ascii="Times New Roman" w:hAnsi="Times New Roman"/>
          <w:sz w:val="20"/>
        </w:rPr>
        <w:t xml:space="preserve">, </w:t>
      </w:r>
      <w:r>
        <w:rPr>
          <w:rFonts w:ascii="Times New Roman" w:hAnsi="Times New Roman"/>
          <w:i/>
          <w:iCs/>
          <w:sz w:val="20"/>
        </w:rPr>
        <w:t>OECD Publishing</w:t>
      </w:r>
      <w:r>
        <w:rPr>
          <w:rFonts w:ascii="Times New Roman" w:hAnsi="Times New Roman"/>
          <w:sz w:val="20"/>
        </w:rPr>
        <w:t>, Parīze. http://dx.doi.org/10.1787/9789264292345-en</w:t>
      </w:r>
    </w:p>
  </w:footnote>
  <w:footnote w:id="191">
    <w:p w14:paraId="14D9539B" w14:textId="77777777" w:rsidR="000A3BB7" w:rsidRPr="00C92C69" w:rsidRDefault="000A3BB7" w:rsidP="00C92C69">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Bentsen, N.S. et al. (2014. gads), </w:t>
      </w:r>
      <w:r>
        <w:rPr>
          <w:rFonts w:ascii="Times New Roman" w:hAnsi="Times New Roman"/>
          <w:i/>
          <w:iCs/>
          <w:sz w:val="20"/>
        </w:rPr>
        <w:t>“Agricultural residue production and potentials for energy and materials services”, Progress in Energy and Combustion Science Vol. 40</w:t>
      </w:r>
      <w:r>
        <w:rPr>
          <w:rFonts w:ascii="Times New Roman" w:hAnsi="Times New Roman"/>
          <w:sz w:val="20"/>
        </w:rPr>
        <w:t xml:space="preserve">, </w:t>
      </w:r>
      <w:r>
        <w:rPr>
          <w:rFonts w:ascii="Times New Roman" w:hAnsi="Times New Roman"/>
          <w:i/>
          <w:iCs/>
          <w:sz w:val="20"/>
        </w:rPr>
        <w:t>Elsevier</w:t>
      </w:r>
      <w:r>
        <w:rPr>
          <w:rFonts w:ascii="Times New Roman" w:hAnsi="Times New Roman"/>
          <w:sz w:val="20"/>
        </w:rPr>
        <w:t>, Amsterdama, 59.–73. lpp.</w:t>
      </w:r>
    </w:p>
  </w:footnote>
  <w:footnote w:id="192">
    <w:p w14:paraId="706925A4" w14:textId="77777777" w:rsidR="000A3BB7" w:rsidRPr="00E61945" w:rsidRDefault="000A3BB7" w:rsidP="00E61945">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IEEP</w:t>
      </w:r>
      <w:r>
        <w:rPr>
          <w:rFonts w:ascii="Times New Roman" w:hAnsi="Times New Roman"/>
          <w:sz w:val="20"/>
        </w:rPr>
        <w:t xml:space="preserve"> et al. (2014. gads), </w:t>
      </w:r>
      <w:r>
        <w:rPr>
          <w:rFonts w:ascii="Times New Roman" w:hAnsi="Times New Roman"/>
          <w:i/>
          <w:iCs/>
          <w:sz w:val="20"/>
        </w:rPr>
        <w:t>Wasted</w:t>
      </w:r>
      <w:r>
        <w:rPr>
          <w:rFonts w:ascii="Times New Roman" w:hAnsi="Times New Roman"/>
          <w:sz w:val="20"/>
        </w:rPr>
        <w:t xml:space="preserve">: </w:t>
      </w:r>
      <w:r>
        <w:rPr>
          <w:rFonts w:ascii="Times New Roman" w:hAnsi="Times New Roman"/>
          <w:i/>
          <w:iCs/>
          <w:sz w:val="20"/>
        </w:rPr>
        <w:t>Europe’s Untapped Resource</w:t>
      </w:r>
      <w:r>
        <w:rPr>
          <w:rFonts w:ascii="Times New Roman" w:hAnsi="Times New Roman"/>
          <w:sz w:val="20"/>
        </w:rPr>
        <w:t xml:space="preserve">: </w:t>
      </w:r>
      <w:r>
        <w:rPr>
          <w:rFonts w:ascii="Times New Roman" w:hAnsi="Times New Roman"/>
          <w:i/>
          <w:iCs/>
          <w:sz w:val="20"/>
        </w:rPr>
        <w:t>An Assessment of Advanced Biofuels from Wastes &amp; Residues</w:t>
      </w:r>
      <w:r>
        <w:rPr>
          <w:rFonts w:ascii="Times New Roman" w:hAnsi="Times New Roman"/>
          <w:sz w:val="20"/>
        </w:rPr>
        <w:t>, Vides politikas institūts u. c., Brisele, http://europeanclimate.org/wp-content/uploads/2014/02/WASTED-final.pdf</w:t>
      </w:r>
    </w:p>
  </w:footnote>
  <w:footnote w:id="193">
    <w:p w14:paraId="0CD5F799" w14:textId="77777777" w:rsidR="000A3BB7" w:rsidRPr="00E61945" w:rsidRDefault="000A3BB7" w:rsidP="00E61945">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http://www.seafish.org/media/Publications/SR537.pdf</w:t>
      </w:r>
    </w:p>
  </w:footnote>
  <w:footnote w:id="194">
    <w:p w14:paraId="0788552B" w14:textId="77777777" w:rsidR="000A3BB7" w:rsidRPr="00E61945" w:rsidRDefault="000A3BB7" w:rsidP="00E61945">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Ghosh P. et al., </w:t>
      </w:r>
      <w:r>
        <w:rPr>
          <w:rFonts w:ascii="Times New Roman" w:hAnsi="Times New Roman"/>
          <w:i/>
          <w:iCs/>
          <w:sz w:val="20"/>
        </w:rPr>
        <w:t>International Journal of Food Science</w:t>
      </w:r>
      <w:r>
        <w:rPr>
          <w:rFonts w:ascii="Times New Roman" w:hAnsi="Times New Roman"/>
          <w:sz w:val="20"/>
        </w:rPr>
        <w:t>, 1, 1–22, (2016. gads), doi: 10.1155/2016/3563478.</w:t>
      </w:r>
    </w:p>
  </w:footnote>
  <w:footnote w:id="195">
    <w:p w14:paraId="14380906" w14:textId="77777777" w:rsidR="000A3BB7" w:rsidRPr="00E61945" w:rsidRDefault="000A3BB7" w:rsidP="00E619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Tradicionālajā zivju, piemēram, Atlantijas mencas, pārstrādē iegūst tikai fileju, kas paredzēta lietošanai uzturā, bet tiek pieliktas arvien lielākas pūles, lai iegūtu pēc iespējas lielāku vērtību, pārstrādājot atlikušo materiālu (atlikušais izejmateriāls, </w:t>
      </w:r>
      <w:r>
        <w:rPr>
          <w:rFonts w:ascii="Times New Roman" w:hAnsi="Times New Roman"/>
          <w:i/>
          <w:iCs/>
        </w:rPr>
        <w:t>RRM</w:t>
      </w:r>
      <w:r>
        <w:rPr>
          <w:rFonts w:ascii="Times New Roman" w:hAnsi="Times New Roman"/>
        </w:rPr>
        <w:t xml:space="preserve">) lietošanai pārtikā. Tā kā dažām zivīm </w:t>
      </w:r>
      <w:r>
        <w:rPr>
          <w:rFonts w:ascii="Times New Roman" w:hAnsi="Times New Roman"/>
          <w:i/>
          <w:iCs/>
        </w:rPr>
        <w:t>RRM</w:t>
      </w:r>
      <w:r>
        <w:rPr>
          <w:rFonts w:ascii="Times New Roman" w:hAnsi="Times New Roman"/>
        </w:rPr>
        <w:t xml:space="preserve"> ir līdz pat 70 % (piemēram, tunzivīm), papildu vērtību varētu iegūt no materiāla, kas nav pārvēršams zivju miltos un mēslošanas līdzekļos (Eiropas Zivsaimniecības un akvakultūras produktu tirgus novērošanas centrs, pētījums par Zilo bioekonomiku, 2018. gads).</w:t>
      </w:r>
    </w:p>
  </w:footnote>
  <w:footnote w:id="196">
    <w:p w14:paraId="44BED9B6" w14:textId="77777777" w:rsidR="000A3BB7" w:rsidRPr="00E61945" w:rsidRDefault="000A3BB7" w:rsidP="00E619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Camia et al. 2018. gads. Kopīgais pētniecības centrs,</w:t>
      </w:r>
      <w:r>
        <w:rPr>
          <w:rFonts w:ascii="Times New Roman" w:hAnsi="Times New Roman"/>
          <w:i/>
          <w:iCs/>
        </w:rPr>
        <w:t xml:space="preserve"> JRC Science for Policy Report</w:t>
      </w:r>
      <w:r>
        <w:rPr>
          <w:rFonts w:ascii="Times New Roman" w:hAnsi="Times New Roman"/>
        </w:rPr>
        <w:t>, doi:10.2760/181536.</w:t>
      </w:r>
    </w:p>
  </w:footnote>
  <w:footnote w:id="197">
    <w:p w14:paraId="68B2ED3D" w14:textId="77777777" w:rsidR="000A3BB7" w:rsidRPr="00E61945" w:rsidRDefault="000A3BB7" w:rsidP="00E619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Kopīgā pētniecības centra dati, 2018. gads.</w:t>
      </w:r>
    </w:p>
  </w:footnote>
  <w:footnote w:id="198">
    <w:p w14:paraId="334419FF" w14:textId="77777777" w:rsidR="000A3BB7" w:rsidRPr="00E61945" w:rsidRDefault="000A3BB7" w:rsidP="00E61945">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obligāts pienākums līdz 2023. gada beigām atsevišķi vākt bioatkritumus; īstenot par attiecīgi 30 % un 85 % augstākus koksnes un papīra iepakojuma atkritumu pārstrādes mērķus un nodrošināt, ka līdz 2035. gadam par 10 % tiek samazināts sadzīves atkritumu apmērs poligonos.</w:t>
      </w:r>
    </w:p>
  </w:footnote>
  <w:footnote w:id="199">
    <w:p w14:paraId="56A6277F" w14:textId="77777777" w:rsidR="000A3BB7" w:rsidRPr="00E61945" w:rsidRDefault="000A3BB7" w:rsidP="00E61945">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Thorenz A. et al., </w:t>
      </w:r>
      <w:r>
        <w:rPr>
          <w:rFonts w:ascii="Times New Roman" w:hAnsi="Times New Roman"/>
          <w:i/>
          <w:iCs/>
          <w:sz w:val="20"/>
        </w:rPr>
        <w:t>Journal of Cleaner Production</w:t>
      </w:r>
      <w:r>
        <w:rPr>
          <w:rFonts w:ascii="Times New Roman" w:hAnsi="Times New Roman"/>
          <w:sz w:val="20"/>
        </w:rPr>
        <w:t>, 176, 348–359, (2018. gads), doi: 10.1016/j.jclepro.2017.12.143.</w:t>
      </w:r>
    </w:p>
  </w:footnote>
  <w:footnote w:id="200">
    <w:p w14:paraId="3F462780" w14:textId="77777777" w:rsidR="000A3BB7" w:rsidRPr="007F4F65" w:rsidRDefault="000A3BB7" w:rsidP="007F4F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http://publications.jrc.ec.europa.eu/repository/bitstream/JRC96121/ldna27247enn.pdf</w:t>
      </w:r>
    </w:p>
  </w:footnote>
  <w:footnote w:id="201">
    <w:p w14:paraId="016636B7" w14:textId="77777777" w:rsidR="000A3BB7" w:rsidRPr="007F4F65" w:rsidRDefault="000A3BB7" w:rsidP="007F4F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Padomes Direktīva 1999/31/EK, https://eur-lex.europa.eu/legal-content/LV/TXT/?uri=celex%3A31999L0031</w:t>
      </w:r>
    </w:p>
  </w:footnote>
  <w:footnote w:id="202">
    <w:p w14:paraId="494DBC75" w14:textId="77777777" w:rsidR="000A3BB7" w:rsidRPr="007F4F65" w:rsidRDefault="000A3BB7" w:rsidP="007F4F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http://www.fao.org/docrep/014/mb060e/mb060e00.pdf</w:t>
      </w:r>
    </w:p>
  </w:footnote>
  <w:footnote w:id="203">
    <w:p w14:paraId="4643B443" w14:textId="77777777" w:rsidR="000A3BB7" w:rsidRPr="007F4F65" w:rsidRDefault="000A3BB7" w:rsidP="007F4F65">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projektu </w:t>
      </w:r>
      <w:r>
        <w:rPr>
          <w:rFonts w:ascii="Times New Roman" w:hAnsi="Times New Roman"/>
          <w:i/>
          <w:iCs/>
          <w:sz w:val="20"/>
        </w:rPr>
        <w:t>Fusions</w:t>
      </w:r>
      <w:r>
        <w:rPr>
          <w:rFonts w:ascii="Times New Roman" w:hAnsi="Times New Roman"/>
          <w:sz w:val="20"/>
        </w:rPr>
        <w:t xml:space="preserve"> (www.eu-fusions.org/) – projektu finansē Eiropas Savienības Septītās pamatprogrammas pētniecības, tehnoloģijas attīstības un demonstrējumu jomā ietvaros saskaņā ar dotācijas līgumu Nr. 311972.</w:t>
      </w:r>
    </w:p>
  </w:footnote>
  <w:footnote w:id="204">
    <w:p w14:paraId="2E6758E4" w14:textId="77777777" w:rsidR="000A3BB7" w:rsidRPr="00DD0BE3" w:rsidRDefault="000A3BB7" w:rsidP="00DD0BE3">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Direktīva 2008/98/EK, https://eur-lex.europa.eu/legal-content/LV/TXT/?uri=celex%3A32008L0098</w:t>
      </w:r>
    </w:p>
  </w:footnote>
  <w:footnote w:id="205">
    <w:p w14:paraId="4DC9E18B" w14:textId="77777777" w:rsidR="000A3BB7" w:rsidRPr="00DD0BE3" w:rsidRDefault="000A3BB7" w:rsidP="00DD0BE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COM(2017) 034 final, https://eur-lex.europa.eu/legal-content/LV/TXT/?uri=CELEX%3A52017DC0034</w:t>
      </w:r>
    </w:p>
  </w:footnote>
  <w:footnote w:id="206">
    <w:p w14:paraId="54DE6C9C" w14:textId="77777777" w:rsidR="000A3BB7" w:rsidRPr="00DD0BE3" w:rsidRDefault="000A3BB7" w:rsidP="00DD0BE3">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COM(2012) 60, https://eur-lex.europa.eu/legal-content/LV/TXT/?uri=celex%3A52012DC0060; SWD(2012) 0011 final, http://eur-lex.europa.eu/legal-content/EN/TXT/?uri=SWD:2012:0011:FIN</w:t>
      </w:r>
    </w:p>
  </w:footnote>
  <w:footnote w:id="207">
    <w:p w14:paraId="73F971B6" w14:textId="77777777" w:rsidR="000A3BB7" w:rsidRPr="00DD0BE3" w:rsidRDefault="000A3BB7" w:rsidP="00DD0BE3">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Direktīva (ES) 2015/1513 par konkrētām degvielām un no atjaunojamiem resursiem iegūtas enerģijas izmantošanu.</w:t>
      </w:r>
    </w:p>
  </w:footnote>
  <w:footnote w:id="208">
    <w:p w14:paraId="438C598A" w14:textId="77777777" w:rsidR="000A3BB7" w:rsidRPr="00DD0BE3" w:rsidRDefault="000A3BB7" w:rsidP="00DD0BE3">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Cristóbal J. et al., </w:t>
      </w:r>
      <w:r>
        <w:rPr>
          <w:rFonts w:ascii="Times New Roman" w:hAnsi="Times New Roman"/>
          <w:i/>
          <w:iCs/>
          <w:sz w:val="20"/>
        </w:rPr>
        <w:t>Bioresource Technology</w:t>
      </w:r>
      <w:r>
        <w:rPr>
          <w:rFonts w:ascii="Times New Roman" w:hAnsi="Times New Roman"/>
          <w:sz w:val="20"/>
        </w:rPr>
        <w:t>, 259, 244–252, (2018. gads), doi: 10.1016/j.biortech.2018.03.016.</w:t>
      </w:r>
    </w:p>
  </w:footnote>
  <w:footnote w:id="209">
    <w:p w14:paraId="7A53D7E0" w14:textId="77777777" w:rsidR="000A3BB7" w:rsidRPr="00DD0BE3" w:rsidRDefault="000A3BB7" w:rsidP="00DD0BE3">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https://ec.europa.eu/info/law/better-regulation/initiatives/ares-2018-975361_en</w:t>
      </w:r>
    </w:p>
  </w:footnote>
  <w:footnote w:id="210">
    <w:p w14:paraId="7D8D96EB" w14:textId="77777777" w:rsidR="000A3BB7" w:rsidRPr="00DD0BE3" w:rsidRDefault="000A3BB7" w:rsidP="00DD0BE3">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Saskaņā ar 2017. gada Eirobarometra īpašo ziņojumu par klimata pārmaiņām 92 % ES iedzīvotāju uzskata, ka klimata pārmaiņas ir nopietna problēma un 79 % eiropiešu uzskata, ka cīņa pret klimata pārmaiņām var veicināt ekonomiku un radīt darbavietas (https://ec.europa.eu/clima/sites/clima/files/support/docs/report_2017_en.pdf).</w:t>
      </w:r>
    </w:p>
  </w:footnote>
  <w:footnote w:id="211">
    <w:p w14:paraId="3BE3C0F7" w14:textId="77777777" w:rsidR="000A3BB7" w:rsidRPr="00DD0BE3" w:rsidRDefault="000A3BB7" w:rsidP="00DD0BE3">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https://publications.europa.eu/en/publication-detail/-/publication/0635b07f-07bb-11e7-8a35- 01aa75ed71a1/language-en</w:t>
      </w:r>
    </w:p>
  </w:footnote>
  <w:footnote w:id="212">
    <w:p w14:paraId="2B6E867E" w14:textId="77777777" w:rsidR="000A3BB7" w:rsidRPr="00DD0BE3" w:rsidRDefault="000A3BB7" w:rsidP="00DD0BE3">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Lēmums Nr. 1982/2006/EK par Eiropas Kopienas Septīto pamatprogrammu pētniecībai, tehnoloģiju attīstībai un demonstrējumu pasākumiem (2007.–2013. gads), 2006. gada 18. decembris.</w:t>
      </w:r>
    </w:p>
  </w:footnote>
  <w:footnote w:id="213">
    <w:p w14:paraId="4A2A638B" w14:textId="77777777" w:rsidR="000A3BB7" w:rsidRPr="00DD0BE3" w:rsidRDefault="000A3BB7" w:rsidP="00DD0BE3">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Regula (ES) Nr. 1291/2013, ar ko izveido Pētniecības un inovācijas pamatprogrammu “Apvārsnis 2020” (2014.–2020. gads) un atceļ Lēmumu Nr. 1982/2006/EK, 2013. gada 11. decembris; https://ec.europa.eu/research/horizon2020/pdf/press/fact_sheet_on_horizon2020_budget.pdf</w:t>
      </w:r>
    </w:p>
  </w:footnote>
  <w:footnote w:id="214">
    <w:p w14:paraId="5739A82E" w14:textId="77777777" w:rsidR="000A3BB7" w:rsidRPr="00DD0BE3" w:rsidRDefault="000A3BB7" w:rsidP="00DD0BE3">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COM(2018) 321 final, https://eur-lex.europa.eu/legal-content/LV/TXT/?uri=COM%3A2018%3A321%3AFIN</w:t>
      </w:r>
    </w:p>
  </w:footnote>
  <w:footnote w:id="215">
    <w:p w14:paraId="59F5E100" w14:textId="77777777" w:rsidR="000A3BB7" w:rsidRPr="00CF68EB" w:rsidRDefault="000A3BB7" w:rsidP="00DD0BE3">
      <w:pPr>
        <w:tabs>
          <w:tab w:val="left" w:pos="859"/>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Šīs darbības neradīs budžeta un likumdošanas saistības nākamajam Komisijas sastāvam, bet darbību konkrētā īstenošana var ilgt līdz 2025. gadam.</w:t>
      </w:r>
    </w:p>
  </w:footnote>
  <w:footnote w:id="216">
    <w:p w14:paraId="48C5933E" w14:textId="77777777" w:rsidR="000A3BB7" w:rsidRPr="00CF68EB" w:rsidRDefault="000A3BB7" w:rsidP="00CF68E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http://www.eib.org/attachments/pj/access_to_finance_study_on_bioeconomy_en.pdf</w:t>
      </w:r>
    </w:p>
  </w:footnote>
  <w:footnote w:id="217">
    <w:p w14:paraId="5EAE8DFC" w14:textId="77777777" w:rsidR="000A3BB7" w:rsidRPr="00CF68EB" w:rsidRDefault="000A3BB7" w:rsidP="00CF68E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Saskaņā ar </w:t>
      </w:r>
      <w:r>
        <w:rPr>
          <w:rFonts w:ascii="Times New Roman" w:hAnsi="Times New Roman"/>
          <w:i/>
          <w:iCs/>
          <w:sz w:val="20"/>
        </w:rPr>
        <w:t>BIO-TIC</w:t>
      </w:r>
      <w:r>
        <w:rPr>
          <w:rFonts w:ascii="Times New Roman" w:hAnsi="Times New Roman"/>
          <w:sz w:val="20"/>
        </w:rPr>
        <w:t xml:space="preserve"> projektu līdz 2030. gadam ES būs nepieciešamas 310 biorafinēšanas iekārtas: 185 otrās paaudzes etanola iekārtas, 50 uz bioresursiem balstītas reaktīvo dzinēju degvielas iekārtas, 30 uz bioresursiem balstītas ķīmisko veidojošo elementu iekārtas un 45 uz bioresursiem balstītas plastmasas iekārtas (</w:t>
      </w:r>
      <w:r>
        <w:rPr>
          <w:rFonts w:ascii="Times New Roman" w:hAnsi="Times New Roman"/>
          <w:i/>
          <w:iCs/>
          <w:sz w:val="20"/>
        </w:rPr>
        <w:t>The bioeconomy enabled - A roadmap to a thriving industrial biotechnology sector in Europe</w:t>
      </w:r>
      <w:r>
        <w:rPr>
          <w:rFonts w:ascii="Times New Roman" w:hAnsi="Times New Roman"/>
          <w:sz w:val="20"/>
        </w:rPr>
        <w:t xml:space="preserve"> (2015. gads); http://www.industrialbiotech-europe.eu/wp-content/uploads/2015/08/BIO-TIC-roadmap.pdf) Nesen sagatavots ESAO ziņojums liecina, ka gan Amerikas Savienotajās Valstīs, gan Eiropā vajadzēs palielināt biorafinēšanas iekārtu skaitu līdz 300–400 iekārtām, lai gūtu panākumus rūpnieciskajā bioekonomikā (ESAO (2018. gads), </w:t>
      </w:r>
      <w:r>
        <w:rPr>
          <w:rFonts w:ascii="Times New Roman" w:hAnsi="Times New Roman"/>
          <w:i/>
          <w:iCs/>
          <w:sz w:val="20"/>
        </w:rPr>
        <w:t>Meeting Policy Challenges for a Sustainable Bioeconomy</w:t>
      </w:r>
      <w:r>
        <w:rPr>
          <w:rFonts w:ascii="Times New Roman" w:hAnsi="Times New Roman"/>
          <w:sz w:val="20"/>
        </w:rPr>
        <w:t xml:space="preserve">, </w:t>
      </w:r>
      <w:r>
        <w:rPr>
          <w:rFonts w:ascii="Times New Roman" w:hAnsi="Times New Roman"/>
          <w:i/>
          <w:iCs/>
          <w:sz w:val="20"/>
        </w:rPr>
        <w:t>OECD Publishing</w:t>
      </w:r>
      <w:r>
        <w:rPr>
          <w:rFonts w:ascii="Times New Roman" w:hAnsi="Times New Roman"/>
          <w:sz w:val="20"/>
        </w:rPr>
        <w:t>, Parīze. http://dx.doi.org/10.1787/9789264292345-en).</w:t>
      </w:r>
    </w:p>
  </w:footnote>
  <w:footnote w:id="218">
    <w:p w14:paraId="6989DBEE" w14:textId="77777777" w:rsidR="000A3BB7" w:rsidRPr="00CF68EB" w:rsidRDefault="000A3BB7" w:rsidP="00CF68EB">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http://news.bio-based.eu/media/2017/11/17-11-27-PR-Mapping-European-Biorefineries1.pdf</w:t>
      </w:r>
    </w:p>
  </w:footnote>
  <w:footnote w:id="219">
    <w:p w14:paraId="68C71C10" w14:textId="77777777" w:rsidR="000A3BB7" w:rsidRPr="009F370B" w:rsidRDefault="000A3BB7" w:rsidP="009F370B">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ETS Inovāciju fonds aptvers mazoglekļa inovāciju nozarēs, ko reglamentē ETS direktīva (ES) 2018/410 (1. pielikums), koncentrējoties uz energoietilpīgu nozari, oglekļa uztveršanu un uzglabāšanu, enerģijas uzglabāšanu un novatoriskiem atjaunojamiem energoresursiem.</w:t>
      </w:r>
    </w:p>
  </w:footnote>
  <w:footnote w:id="220">
    <w:p w14:paraId="398C9384" w14:textId="77777777" w:rsidR="000A3BB7" w:rsidRPr="009F370B" w:rsidRDefault="000A3BB7" w:rsidP="009F370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ESAO (2018. gads), </w:t>
      </w:r>
      <w:r>
        <w:rPr>
          <w:rFonts w:ascii="Times New Roman" w:hAnsi="Times New Roman"/>
          <w:i/>
          <w:iCs/>
          <w:sz w:val="20"/>
        </w:rPr>
        <w:t>Meeting Policy Challenges for a Sustainable Bioeconomy</w:t>
      </w:r>
      <w:r>
        <w:rPr>
          <w:rFonts w:ascii="Times New Roman" w:hAnsi="Times New Roman"/>
          <w:sz w:val="20"/>
        </w:rPr>
        <w:t xml:space="preserve">, </w:t>
      </w:r>
      <w:r>
        <w:rPr>
          <w:rFonts w:ascii="Times New Roman" w:hAnsi="Times New Roman"/>
          <w:i/>
          <w:iCs/>
          <w:sz w:val="20"/>
        </w:rPr>
        <w:t>OECD Publishing</w:t>
      </w:r>
      <w:r>
        <w:rPr>
          <w:rFonts w:ascii="Times New Roman" w:hAnsi="Times New Roman"/>
          <w:sz w:val="20"/>
        </w:rPr>
        <w:t>, Parīze. http://dx.doi.org/10.1787/9789264292345-en</w:t>
      </w:r>
    </w:p>
  </w:footnote>
  <w:footnote w:id="221">
    <w:p w14:paraId="6103F289" w14:textId="77777777" w:rsidR="000A3BB7" w:rsidRPr="009F370B" w:rsidRDefault="000A3BB7" w:rsidP="009F370B">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http://fr.zone-secure.net/13451/451623/#page=1</w:t>
      </w:r>
    </w:p>
  </w:footnote>
  <w:footnote w:id="222">
    <w:p w14:paraId="6F7C6BD3" w14:textId="77777777" w:rsidR="000A3BB7" w:rsidRPr="009F370B" w:rsidRDefault="000A3BB7" w:rsidP="009F370B">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http://www.cefic.org/Documents/RESOURCES/Reports-and-Brochure/Competitiveness-of-the-European- chemical-industry-2014.pdf</w:t>
      </w:r>
    </w:p>
  </w:footnote>
  <w:footnote w:id="223">
    <w:p w14:paraId="134179BD" w14:textId="77777777" w:rsidR="000A3BB7" w:rsidRPr="00CC3F08" w:rsidRDefault="000A3BB7" w:rsidP="00CC3F08">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ESAO (2018. gads), </w:t>
      </w:r>
      <w:r>
        <w:rPr>
          <w:rFonts w:ascii="Times New Roman" w:hAnsi="Times New Roman"/>
          <w:i/>
          <w:iCs/>
          <w:sz w:val="20"/>
        </w:rPr>
        <w:t>Meeting Policy Challenges for a Sustainable Bioeconomy</w:t>
      </w:r>
      <w:r>
        <w:rPr>
          <w:rFonts w:ascii="Times New Roman" w:hAnsi="Times New Roman"/>
          <w:sz w:val="20"/>
        </w:rPr>
        <w:t xml:space="preserve">, </w:t>
      </w:r>
      <w:r>
        <w:rPr>
          <w:rFonts w:ascii="Times New Roman" w:hAnsi="Times New Roman"/>
          <w:i/>
          <w:iCs/>
          <w:sz w:val="20"/>
        </w:rPr>
        <w:t>OECD Publishing</w:t>
      </w:r>
      <w:r>
        <w:rPr>
          <w:rFonts w:ascii="Times New Roman" w:hAnsi="Times New Roman"/>
          <w:sz w:val="20"/>
        </w:rPr>
        <w:t>, Parīze. http://dx.doi.org/10.1787/9789264292345-en</w:t>
      </w:r>
    </w:p>
  </w:footnote>
  <w:footnote w:id="224">
    <w:p w14:paraId="51E7F358" w14:textId="77777777" w:rsidR="000A3BB7" w:rsidRPr="00CC3F08" w:rsidRDefault="000A3BB7" w:rsidP="00CC3F08">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http://www.biobasedeconomy.eu/projects/open-bio/; http://innprobio.innovation-procurement.org/home/</w:t>
      </w:r>
    </w:p>
  </w:footnote>
  <w:footnote w:id="225">
    <w:p w14:paraId="4A6F4CD6" w14:textId="77777777" w:rsidR="000A3BB7" w:rsidRPr="00CC3F08" w:rsidRDefault="000A3BB7" w:rsidP="00CC3F0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The sustainability imperative – new insights on consumer expectations</w:t>
      </w:r>
      <w:r>
        <w:rPr>
          <w:rFonts w:ascii="Times New Roman" w:hAnsi="Times New Roman"/>
        </w:rPr>
        <w:t>, Nielsen, 2015. gads.</w:t>
      </w:r>
    </w:p>
  </w:footnote>
  <w:footnote w:id="226">
    <w:p w14:paraId="2AE38DBA" w14:textId="77777777" w:rsidR="000A3BB7" w:rsidRPr="00CC3F08" w:rsidRDefault="000A3BB7" w:rsidP="00CC3F08">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w:t>
      </w:r>
      <w:r>
        <w:rPr>
          <w:rFonts w:ascii="Times New Roman" w:hAnsi="Times New Roman"/>
          <w:i/>
          <w:iCs/>
          <w:sz w:val="20"/>
        </w:rPr>
        <w:t>CEN</w:t>
      </w:r>
      <w:r>
        <w:rPr>
          <w:rFonts w:ascii="Times New Roman" w:hAnsi="Times New Roman"/>
          <w:sz w:val="20"/>
        </w:rPr>
        <w:t xml:space="preserve"> pilnvarojumi, pirmsnormatīvi pētījumi, </w:t>
      </w:r>
      <w:r>
        <w:rPr>
          <w:rFonts w:ascii="Times New Roman" w:hAnsi="Times New Roman"/>
          <w:i/>
          <w:iCs/>
          <w:sz w:val="20"/>
        </w:rPr>
        <w:t>EMAS</w:t>
      </w:r>
      <w:r>
        <w:rPr>
          <w:rFonts w:ascii="Times New Roman" w:hAnsi="Times New Roman"/>
          <w:sz w:val="20"/>
        </w:rPr>
        <w:t xml:space="preserve">, ES ekomarķējums biolubrikantiem, organiskā marķēšana, </w:t>
      </w:r>
      <w:r>
        <w:rPr>
          <w:rFonts w:ascii="Times New Roman" w:hAnsi="Times New Roman"/>
          <w:i/>
          <w:iCs/>
          <w:sz w:val="20"/>
        </w:rPr>
        <w:t>InnProBio</w:t>
      </w:r>
      <w:r>
        <w:rPr>
          <w:rFonts w:ascii="Times New Roman" w:hAnsi="Times New Roman"/>
          <w:sz w:val="20"/>
        </w:rPr>
        <w:t xml:space="preserve"> projekti, kas rada instrumentu kopumu un katalogu, kā arī </w:t>
      </w:r>
      <w:r>
        <w:rPr>
          <w:rFonts w:ascii="Times New Roman" w:hAnsi="Times New Roman"/>
          <w:i/>
          <w:iCs/>
          <w:sz w:val="20"/>
        </w:rPr>
        <w:t>COSME</w:t>
      </w:r>
      <w:r>
        <w:rPr>
          <w:rFonts w:ascii="Times New Roman" w:hAnsi="Times New Roman"/>
          <w:sz w:val="20"/>
        </w:rPr>
        <w:t xml:space="preserve"> projekts par norādēm bioproduktiem iepirkumā, tostarp galvenās vadlīnijas, mācību materiāli un faktu lapas par dažādu bioproduktu grupu inovācijas potenciālu; http://ec.europa.eu/growth/content/guidance-bio-based- products-procurement_en; https://biobasedprocurement.eu/</w:t>
      </w:r>
    </w:p>
  </w:footnote>
  <w:footnote w:id="227">
    <w:p w14:paraId="76C0E631" w14:textId="77777777" w:rsidR="000A3BB7" w:rsidRPr="00166CA6" w:rsidRDefault="000A3BB7" w:rsidP="00166CA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Jāpiebilst, ka pašlaik aprites ekonomikas rīcības plānā ir ierosināti attiecīgi pasākumi, piemēram, grozījumi ES tiesību aktos atkritumu jomā, kuru mērķis ir palielināt kvalitatīvu bioatkritumu pieejamību, pasākumi, kas veicina rūpniecisko simbiozi, jo īpaši, lai izmantotu barības sastāvdaļas uz augu bāzes, un priekšlikums pārskatītajai mēslošanas līdzekļu regulai, kas paredz īpašus pasākumus barības vielu reģenerācijai no atkritumiem.</w:t>
      </w:r>
    </w:p>
  </w:footnote>
  <w:footnote w:id="228">
    <w:p w14:paraId="614BECE5" w14:textId="77777777" w:rsidR="000A3BB7" w:rsidRPr="00166CA6" w:rsidRDefault="000A3BB7" w:rsidP="00166CA6">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EN1676:</w:t>
      </w:r>
      <w:r>
        <w:rPr>
          <w:rFonts w:ascii="Times New Roman" w:hAnsi="Times New Roman"/>
          <w:i/>
          <w:iCs/>
          <w:sz w:val="20"/>
        </w:rPr>
        <w:t>November 2015 on Bio-Based Products Life-Cycle Assessment</w:t>
      </w:r>
      <w:r>
        <w:rPr>
          <w:rFonts w:ascii="Times New Roman" w:hAnsi="Times New Roman"/>
          <w:sz w:val="20"/>
        </w:rPr>
        <w:t xml:space="preserve"> un CEN/TR16957:</w:t>
      </w:r>
      <w:r>
        <w:rPr>
          <w:rFonts w:ascii="Times New Roman" w:hAnsi="Times New Roman"/>
          <w:i/>
          <w:iCs/>
          <w:sz w:val="20"/>
        </w:rPr>
        <w:t>September 2016 on Bio-Based Products – Guidelines for Life-Cycle Inventory (LCI) for the End-of-Life Phase</w:t>
      </w:r>
      <w:r>
        <w:rPr>
          <w:rFonts w:ascii="Times New Roman" w:hAnsi="Times New Roman"/>
          <w:sz w:val="20"/>
        </w:rPr>
        <w:t>.</w:t>
      </w:r>
    </w:p>
  </w:footnote>
  <w:footnote w:id="229">
    <w:p w14:paraId="38CBFA36" w14:textId="77777777" w:rsidR="000A3BB7" w:rsidRPr="00166CA6" w:rsidRDefault="000A3BB7" w:rsidP="00166CA6">
      <w:pPr>
        <w:tabs>
          <w:tab w:val="left" w:pos="446"/>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EN16751:</w:t>
      </w:r>
      <w:r>
        <w:rPr>
          <w:rFonts w:ascii="Times New Roman" w:hAnsi="Times New Roman"/>
          <w:i/>
          <w:iCs/>
          <w:sz w:val="20"/>
        </w:rPr>
        <w:t>April 2016 on Bio-Based Products Sustainability Criteria</w:t>
      </w:r>
      <w:r>
        <w:rPr>
          <w:rFonts w:ascii="Times New Roman" w:hAnsi="Times New Roman"/>
          <w:sz w:val="20"/>
        </w:rPr>
        <w:t>.</w:t>
      </w:r>
    </w:p>
  </w:footnote>
  <w:footnote w:id="230">
    <w:p w14:paraId="044ACE7A" w14:textId="77777777" w:rsidR="000A3BB7" w:rsidRPr="00166CA6" w:rsidRDefault="000A3BB7" w:rsidP="00166CA6">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EN16848 </w:t>
      </w:r>
      <w:r>
        <w:rPr>
          <w:rFonts w:ascii="Times New Roman" w:hAnsi="Times New Roman"/>
          <w:i/>
          <w:iCs/>
          <w:sz w:val="20"/>
        </w:rPr>
        <w:t>on Bio-Based Products – Requirements for Business-to-Business communication of characteristics using data sheets</w:t>
      </w:r>
      <w:r>
        <w:rPr>
          <w:rFonts w:ascii="Times New Roman" w:hAnsi="Times New Roman"/>
          <w:sz w:val="20"/>
        </w:rPr>
        <w:t>; EN16935:</w:t>
      </w:r>
      <w:r>
        <w:rPr>
          <w:rFonts w:ascii="Times New Roman" w:hAnsi="Times New Roman"/>
          <w:i/>
          <w:iCs/>
          <w:sz w:val="20"/>
        </w:rPr>
        <w:t>May 2017 on Bio-Based Products – Requirements for Business-to-Consumer Communication and claims</w:t>
      </w:r>
      <w:r>
        <w:rPr>
          <w:rFonts w:ascii="Times New Roman" w:hAnsi="Times New Roman"/>
          <w:sz w:val="20"/>
        </w:rPr>
        <w:t>.</w:t>
      </w:r>
    </w:p>
  </w:footnote>
  <w:footnote w:id="231">
    <w:p w14:paraId="44DFBE2A" w14:textId="77777777" w:rsidR="000A3BB7" w:rsidRPr="00166CA6" w:rsidRDefault="000A3BB7" w:rsidP="00166CA6">
      <w:pPr>
        <w:tabs>
          <w:tab w:val="left" w:pos="446"/>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http://ec.europa.eu/growth/content/guidance-bio-based-products-procurement_en; https://biobasedprocurement.eu/</w:t>
      </w:r>
    </w:p>
  </w:footnote>
  <w:footnote w:id="232">
    <w:p w14:paraId="568F32AA" w14:textId="77777777" w:rsidR="000A3BB7" w:rsidRPr="00166CA6" w:rsidRDefault="000A3BB7" w:rsidP="00166CA6">
      <w:pPr>
        <w:tabs>
          <w:tab w:val="left" w:pos="44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https://www.bbi-europe.eu/</w:t>
      </w:r>
    </w:p>
  </w:footnote>
  <w:footnote w:id="233">
    <w:p w14:paraId="4E9782B1" w14:textId="77777777" w:rsidR="000A3BB7" w:rsidRPr="00166CA6" w:rsidRDefault="000A3BB7" w:rsidP="00166CA6">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http://www.eib.org/attachments/pj/access_to_finance_study_on_bioeconomy_en.pdf</w:t>
      </w:r>
    </w:p>
  </w:footnote>
  <w:footnote w:id="234">
    <w:p w14:paraId="257D9F76" w14:textId="77777777" w:rsidR="000A3BB7" w:rsidRPr="00166CA6" w:rsidRDefault="000A3BB7" w:rsidP="00166C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https://www.wur.nl/upload_mm/d/c/0/b429c891-ab94-49c8-a309-beb9b6bba4df_2017-112%20Ge_def.pdf; http://www.europarl.europa.eu/RegData/etudes/IDAN/2017/581948/EPRS_IDA(2017)581948_EN.pdf</w:t>
      </w:r>
    </w:p>
  </w:footnote>
  <w:footnote w:id="235">
    <w:p w14:paraId="5F5B3F91" w14:textId="77777777" w:rsidR="000A3BB7" w:rsidRPr="00166CA6" w:rsidRDefault="000A3BB7" w:rsidP="00166C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Millar R. et al., </w:t>
      </w:r>
      <w:r>
        <w:rPr>
          <w:rFonts w:ascii="Times New Roman" w:hAnsi="Times New Roman"/>
          <w:i/>
          <w:iCs/>
        </w:rPr>
        <w:t>Nature Climate Change</w:t>
      </w:r>
      <w:r>
        <w:rPr>
          <w:rFonts w:ascii="Times New Roman" w:hAnsi="Times New Roman"/>
        </w:rPr>
        <w:t>, 8, 1, (2018), doi: 10.1038/s41558-017-0042-4.</w:t>
      </w:r>
    </w:p>
  </w:footnote>
  <w:footnote w:id="236">
    <w:p w14:paraId="4AA28560" w14:textId="77777777" w:rsidR="000A3BB7" w:rsidRPr="00166CA6" w:rsidRDefault="000A3BB7" w:rsidP="00166CA6">
      <w:pPr>
        <w:tabs>
          <w:tab w:val="left" w:pos="446"/>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COM(2018) 97 final, http://eur-lex.europa.eu/legal-content/LV/TXT/PDF/?uri=CELEX:52018DC0097&amp;from=LV</w:t>
      </w:r>
    </w:p>
  </w:footnote>
  <w:footnote w:id="237">
    <w:p w14:paraId="57E39CB3" w14:textId="77777777" w:rsidR="000A3BB7" w:rsidRPr="00726DD5" w:rsidRDefault="000A3BB7" w:rsidP="00726DD5">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http://www.eib.org/attachments/pj/access_to_finance_study_on_bioeconomy_en.pdf</w:t>
      </w:r>
    </w:p>
  </w:footnote>
  <w:footnote w:id="238">
    <w:p w14:paraId="51FF5D49" w14:textId="77777777" w:rsidR="000A3BB7" w:rsidRPr="00726DD5" w:rsidRDefault="000A3BB7" w:rsidP="00726DD5">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http://ec.europa.eu/research/participants/data/ref/h2020/wp/2018-2020/main/h2020-wp1820-food_en.pdf</w:t>
      </w:r>
    </w:p>
  </w:footnote>
  <w:footnote w:id="239">
    <w:p w14:paraId="4CAAA6B1" w14:textId="77777777" w:rsidR="000A3BB7" w:rsidRPr="00726DD5" w:rsidRDefault="000A3BB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Kopējais šim finanšu instrumentam atvēlētais ES finansējums, ieskaitot administratīvās izmaksas.</w:t>
      </w:r>
    </w:p>
  </w:footnote>
  <w:footnote w:id="240">
    <w:p w14:paraId="49C9A0BA" w14:textId="77777777" w:rsidR="000A3BB7" w:rsidRPr="00726DD5" w:rsidRDefault="000A3BB7" w:rsidP="00726DD5">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http://europa.eu/rapid/press-release_IP-17-104_lv.htm</w:t>
      </w:r>
    </w:p>
  </w:footnote>
  <w:footnote w:id="241">
    <w:p w14:paraId="5727E3E6" w14:textId="77777777" w:rsidR="000A3BB7" w:rsidRPr="00726DD5" w:rsidRDefault="000A3BB7" w:rsidP="00726DD5">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bioproduktu jomas ekspertu grupas – Darba grupas bioproduktu valsts iepirkumam – 2016. gada ieteikumi un 2016. gada ieteikumu 1. pielikums. Grupa aicina saskaņot Eiropas Bioekonomikas stratēģiju un ES politikas satvaru.</w:t>
      </w:r>
    </w:p>
  </w:footnote>
  <w:footnote w:id="242">
    <w:p w14:paraId="305ED0B6" w14:textId="77777777" w:rsidR="000A3BB7" w:rsidRPr="00726DD5" w:rsidRDefault="000A3BB7" w:rsidP="00726DD5">
      <w:pPr>
        <w:tabs>
          <w:tab w:val="left" w:pos="446"/>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Komisijas bioproduktu jomas ekspertu grupas – Darba grupas bioproduktu valsts iepirkumam – 2016. gada ieteikumi un 2016. gada ieteikumu 1. pielikums.</w:t>
      </w:r>
    </w:p>
  </w:footnote>
  <w:footnote w:id="243">
    <w:p w14:paraId="4079AE02" w14:textId="77777777" w:rsidR="000A3BB7" w:rsidRPr="00726DD5" w:rsidRDefault="000A3BB7" w:rsidP="00726DD5">
      <w:pPr>
        <w:tabs>
          <w:tab w:val="left" w:pos="44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SWD(2013)0112 final, https://eur-lex.europa.eu/legal-content/LV/TXT/?uri=CELEX%3A52013SC0112</w:t>
      </w:r>
    </w:p>
  </w:footnote>
  <w:footnote w:id="244">
    <w:p w14:paraId="17155F0B" w14:textId="77777777" w:rsidR="000A3BB7" w:rsidRPr="00726DD5" w:rsidRDefault="000A3BB7" w:rsidP="00726DD5">
      <w:pPr>
        <w:tabs>
          <w:tab w:val="left" w:pos="44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Ekoloģiskās pēdas nospieduma izmēģinājuma fāzes rezultāti un izstrādātie produktu kategoriju noteikumi ir pieejami:</w:t>
      </w:r>
    </w:p>
    <w:p w14:paraId="29EBD415" w14:textId="77777777" w:rsidR="000A3BB7" w:rsidRPr="00590FA6" w:rsidRDefault="000A3BB7" w:rsidP="00590FA6">
      <w:pPr>
        <w:jc w:val="both"/>
        <w:rPr>
          <w:rFonts w:ascii="Times New Roman" w:eastAsia="Verdana" w:hAnsi="Times New Roman" w:cs="Times New Roman"/>
          <w:noProof/>
          <w:sz w:val="20"/>
          <w:szCs w:val="20"/>
        </w:rPr>
      </w:pPr>
      <w:r>
        <w:rPr>
          <w:rFonts w:ascii="Times New Roman" w:hAnsi="Times New Roman"/>
          <w:sz w:val="20"/>
        </w:rPr>
        <w:t>http://ec.europa.eu/environment/eussd/smgp/PEFCR_OEFSR_en.htm#final</w:t>
      </w:r>
    </w:p>
  </w:footnote>
  <w:footnote w:id="245">
    <w:p w14:paraId="5733EE1D" w14:textId="77777777" w:rsidR="000A3BB7" w:rsidRPr="00590FA6" w:rsidRDefault="000A3BB7" w:rsidP="00590F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https://www.ecologic.eu/sites/files/publication/2018/3513-top-emerging-bio-based-products.pdf</w:t>
      </w:r>
    </w:p>
  </w:footnote>
  <w:footnote w:id="246">
    <w:p w14:paraId="7E42A91F" w14:textId="77777777" w:rsidR="000A3BB7" w:rsidRPr="00590FA6" w:rsidRDefault="000A3BB7" w:rsidP="00590F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 ekomarķējums lubrikantiem, http://ec.europa.eu/ecat/category/en/48/grease-and-stern-tube-gre</w:t>
      </w:r>
    </w:p>
  </w:footnote>
  <w:footnote w:id="247">
    <w:p w14:paraId="5E5EFB41" w14:textId="77777777" w:rsidR="000A3BB7" w:rsidRPr="00590FA6" w:rsidRDefault="000A3BB7" w:rsidP="00590FA6">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COM(2013) 196 final, https://eur-lex.europa.eu/procedure/LV/202530; Ieteikums 2013/179/ES, https://eur-lex.europa.eu/legal-content/LV/TXT/?uri=CELEX%3A32013H0179</w:t>
      </w:r>
    </w:p>
  </w:footnote>
  <w:footnote w:id="248">
    <w:p w14:paraId="7CD9C327" w14:textId="77777777" w:rsidR="000A3BB7" w:rsidRPr="00590FA6" w:rsidRDefault="000A3BB7" w:rsidP="00590FA6">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EN16751:</w:t>
      </w:r>
      <w:r>
        <w:rPr>
          <w:rFonts w:ascii="Times New Roman" w:hAnsi="Times New Roman"/>
          <w:i/>
          <w:iCs/>
          <w:sz w:val="20"/>
        </w:rPr>
        <w:t>April 2016 on Bio-Based Products – Sustainability Criteria</w:t>
      </w:r>
      <w:r>
        <w:rPr>
          <w:rFonts w:ascii="Times New Roman" w:hAnsi="Times New Roman"/>
          <w:sz w:val="20"/>
        </w:rPr>
        <w:t>; EN1676:</w:t>
      </w:r>
      <w:r>
        <w:rPr>
          <w:rFonts w:ascii="Times New Roman" w:hAnsi="Times New Roman"/>
          <w:i/>
          <w:iCs/>
          <w:sz w:val="20"/>
        </w:rPr>
        <w:t>November 2015 on Bio-Based Products Life-Cycle-Assessment</w:t>
      </w:r>
      <w:r>
        <w:t>;</w:t>
      </w:r>
      <w:r>
        <w:rPr>
          <w:rFonts w:ascii="Times New Roman" w:hAnsi="Times New Roman"/>
          <w:sz w:val="20"/>
        </w:rPr>
        <w:t xml:space="preserve"> CEN/TR16957:</w:t>
      </w:r>
      <w:r>
        <w:rPr>
          <w:rFonts w:ascii="Times New Roman" w:hAnsi="Times New Roman"/>
          <w:i/>
          <w:iCs/>
          <w:sz w:val="20"/>
        </w:rPr>
        <w:t>September 2016 on Bio-Based Products – Guidelines for Life-Cycle Inventory (LCI) for the End-of-Life phase</w:t>
      </w:r>
      <w:r>
        <w:rPr>
          <w:rFonts w:ascii="Times New Roman" w:hAnsi="Times New Roman"/>
          <w:sz w:val="20"/>
        </w:rPr>
        <w:t>.</w:t>
      </w:r>
    </w:p>
  </w:footnote>
  <w:footnote w:id="249">
    <w:p w14:paraId="4920A781" w14:textId="77777777" w:rsidR="000A3BB7" w:rsidRPr="00590FA6" w:rsidRDefault="000A3BB7" w:rsidP="00590F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 Schieb et al. (2015. gads), </w:t>
      </w:r>
      <w:r>
        <w:rPr>
          <w:rFonts w:ascii="Times New Roman" w:hAnsi="Times New Roman"/>
          <w:i/>
          <w:iCs/>
        </w:rPr>
        <w:t>Bioreﬁnery 2030,</w:t>
      </w:r>
      <w:r>
        <w:rPr>
          <w:rFonts w:ascii="Times New Roman" w:hAnsi="Times New Roman"/>
        </w:rPr>
        <w:t xml:space="preserve"> doi 10.1007/978-3-662-47374-0_5.</w:t>
      </w:r>
    </w:p>
  </w:footnote>
  <w:footnote w:id="250">
    <w:p w14:paraId="04C6CEEB" w14:textId="77777777" w:rsidR="000A3BB7" w:rsidRPr="00590FA6" w:rsidRDefault="000A3BB7" w:rsidP="00590FA6">
      <w:pPr>
        <w:tabs>
          <w:tab w:val="left" w:pos="44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ESAO (2018. gads), </w:t>
      </w:r>
      <w:r>
        <w:rPr>
          <w:rFonts w:ascii="Times New Roman" w:hAnsi="Times New Roman"/>
          <w:i/>
          <w:iCs/>
          <w:sz w:val="20"/>
        </w:rPr>
        <w:t>Meeting Policy Challenges for a Sustainable Bioeconomy</w:t>
      </w:r>
      <w:r>
        <w:rPr>
          <w:rFonts w:ascii="Times New Roman" w:hAnsi="Times New Roman"/>
          <w:sz w:val="20"/>
        </w:rPr>
        <w:t xml:space="preserve">, </w:t>
      </w:r>
      <w:r>
        <w:rPr>
          <w:rFonts w:ascii="Times New Roman" w:hAnsi="Times New Roman"/>
          <w:i/>
          <w:iCs/>
          <w:sz w:val="20"/>
        </w:rPr>
        <w:t>OECD Publishing</w:t>
      </w:r>
      <w:r>
        <w:rPr>
          <w:rFonts w:ascii="Times New Roman" w:hAnsi="Times New Roman"/>
          <w:sz w:val="20"/>
        </w:rPr>
        <w:t>, Parīze. http://dx.doi.org/10.1787/9789264292345-en</w:t>
      </w:r>
    </w:p>
  </w:footnote>
  <w:footnote w:id="251">
    <w:p w14:paraId="59FCB2AF" w14:textId="77777777" w:rsidR="000A3BB7" w:rsidRPr="00590FA6" w:rsidRDefault="000A3BB7" w:rsidP="00590FA6">
      <w:pPr>
        <w:tabs>
          <w:tab w:val="left" w:pos="446"/>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BIO-TIC</w:t>
      </w:r>
      <w:r>
        <w:rPr>
          <w:rFonts w:ascii="Times New Roman" w:hAnsi="Times New Roman"/>
          <w:sz w:val="20"/>
        </w:rPr>
        <w:t xml:space="preserve">, </w:t>
      </w:r>
      <w:r>
        <w:rPr>
          <w:rFonts w:ascii="Times New Roman" w:hAnsi="Times New Roman"/>
          <w:i/>
          <w:iCs/>
          <w:sz w:val="20"/>
        </w:rPr>
        <w:t>A roadmap to a thriving industrial biotechnology sector in Europe</w:t>
      </w:r>
      <w:r>
        <w:rPr>
          <w:rFonts w:ascii="Times New Roman" w:hAnsi="Times New Roman"/>
          <w:sz w:val="20"/>
        </w:rPr>
        <w:t>, 2015. gads.</w:t>
      </w:r>
    </w:p>
  </w:footnote>
  <w:footnote w:id="252">
    <w:p w14:paraId="4E5FCEF2" w14:textId="77777777" w:rsidR="000A3BB7" w:rsidRPr="00590FA6" w:rsidRDefault="000A3BB7" w:rsidP="00590FA6">
      <w:pPr>
        <w:tabs>
          <w:tab w:val="left" w:pos="526"/>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https://ec.europa.eu/growth/tools-databases/escss</w:t>
      </w:r>
    </w:p>
  </w:footnote>
  <w:footnote w:id="253">
    <w:p w14:paraId="4C92FEEB" w14:textId="77777777" w:rsidR="000A3BB7" w:rsidRPr="00A41502" w:rsidRDefault="000A3BB7" w:rsidP="00A41502">
      <w:pPr>
        <w:tabs>
          <w:tab w:val="left" w:pos="52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w:t>
      </w:r>
      <w:r>
        <w:rPr>
          <w:rFonts w:ascii="Times New Roman" w:hAnsi="Times New Roman"/>
          <w:i/>
          <w:iCs/>
          <w:sz w:val="20"/>
        </w:rPr>
        <w:t>Crescentino</w:t>
      </w:r>
      <w:r>
        <w:rPr>
          <w:rFonts w:ascii="Times New Roman" w:hAnsi="Times New Roman"/>
          <w:sz w:val="20"/>
        </w:rPr>
        <w:t xml:space="preserve"> biorafinēšanas iekārtā (izmantojot 270 000 tonnu biomasas gadā) par 100 % izmanto ūdeni otrreizēji visām darbībām; http://www.betarenewables.com/en/crescentino/here-comes-the-green-revolution</w:t>
      </w:r>
    </w:p>
  </w:footnote>
  <w:footnote w:id="254">
    <w:p w14:paraId="3E4A5184" w14:textId="77777777" w:rsidR="000A3BB7" w:rsidRPr="00A41502" w:rsidRDefault="000A3BB7" w:rsidP="00A41502">
      <w:pPr>
        <w:tabs>
          <w:tab w:val="left" w:pos="52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Marine plastic debris and microplastics: global lessons and research to inspire action and guide policy change</w:t>
      </w:r>
      <w:r>
        <w:rPr>
          <w:rFonts w:ascii="Times New Roman" w:hAnsi="Times New Roman"/>
          <w:sz w:val="20"/>
        </w:rPr>
        <w:t>, UNEP, 2016. gads.</w:t>
      </w:r>
    </w:p>
  </w:footnote>
  <w:footnote w:id="255">
    <w:p w14:paraId="44260E1E" w14:textId="77777777" w:rsidR="000A3BB7" w:rsidRPr="00A41502" w:rsidRDefault="000A3BB7" w:rsidP="00A41502">
      <w:pPr>
        <w:tabs>
          <w:tab w:val="left" w:pos="52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Tiek lēsts, ka atklātā okeānā peldošā plastmasa veido mazāk nekā 1 % no kopējās masas, kas ir sasniegusi jūras un okeānus, kopš plastmasu sāka ražot, </w:t>
      </w:r>
      <w:r>
        <w:rPr>
          <w:rFonts w:ascii="Times New Roman" w:hAnsi="Times New Roman"/>
          <w:i/>
          <w:iCs/>
          <w:sz w:val="20"/>
        </w:rPr>
        <w:t>Marine Litter Vital Graphics,</w:t>
      </w:r>
      <w:r>
        <w:rPr>
          <w:rFonts w:ascii="Times New Roman" w:hAnsi="Times New Roman"/>
          <w:sz w:val="20"/>
        </w:rPr>
        <w:t xml:space="preserve"> UNEP/GRID-Arendal, 2016. gads.</w:t>
      </w:r>
    </w:p>
  </w:footnote>
  <w:footnote w:id="256">
    <w:p w14:paraId="02F87496" w14:textId="77777777" w:rsidR="000A3BB7" w:rsidRPr="008A1720" w:rsidRDefault="000A3BB7" w:rsidP="008A17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http://ec.europa.eu/eurostat/statistics-explained/index.php/Archive:Coastal_regions_-_population_statistics</w:t>
      </w:r>
    </w:p>
  </w:footnote>
  <w:footnote w:id="257">
    <w:p w14:paraId="109D503F" w14:textId="77777777" w:rsidR="000A3BB7" w:rsidRPr="008A1720" w:rsidRDefault="000A3BB7" w:rsidP="008A17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Natale F. et al., </w:t>
      </w:r>
      <w:r>
        <w:rPr>
          <w:rFonts w:ascii="Times New Roman" w:hAnsi="Times New Roman"/>
          <w:i/>
          <w:iCs/>
        </w:rPr>
        <w:t>Marine Policy</w:t>
      </w:r>
      <w:r>
        <w:rPr>
          <w:rFonts w:ascii="Times New Roman" w:hAnsi="Times New Roman"/>
        </w:rPr>
        <w:t>, 42, 245–252, (2013. gads), doi: 10.1016/j.marpol.2013.03.018.</w:t>
      </w:r>
    </w:p>
  </w:footnote>
  <w:footnote w:id="258">
    <w:p w14:paraId="7E1C4BBD" w14:textId="77777777" w:rsidR="000A3BB7" w:rsidRPr="008A1720" w:rsidRDefault="000A3BB7" w:rsidP="008A17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Nicholls J. et al., </w:t>
      </w:r>
      <w:r>
        <w:rPr>
          <w:rFonts w:ascii="Times New Roman" w:hAnsi="Times New Roman"/>
          <w:i/>
          <w:iCs/>
        </w:rPr>
        <w:t>OECD Environment Working Papers</w:t>
      </w:r>
      <w:r>
        <w:rPr>
          <w:rFonts w:ascii="Times New Roman" w:hAnsi="Times New Roman"/>
        </w:rPr>
        <w:t>, (2008. gads), doi: 10.1787/011766488208.</w:t>
      </w:r>
    </w:p>
  </w:footnote>
  <w:footnote w:id="259">
    <w:p w14:paraId="1E92941D" w14:textId="77777777" w:rsidR="000A3BB7" w:rsidRPr="008A1720" w:rsidRDefault="000A3BB7" w:rsidP="008A1720">
      <w:pPr>
        <w:tabs>
          <w:tab w:val="left" w:pos="526"/>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Eiropas Jūrlietu un zivsaimniecības fonda uzmanības centrā ir stratēģijas “Eiropa 2020” ilgtermiņa mērķi gudrai, ilgtspējīgai un integrējošai izaugsmei laikposmā no 2014. līdz 2020. gadam. Tas veicinās ilgtspējīgu un konkurētspējīgu zivsaimniecību un akvakultūru, saskaņotu integrētās jūrniecības politikas sistēmu, kā arī līdzsvarotu un iekļaujošu zivsaimniecības un akvakultūras reģionu teritoriālo attīstību.</w:t>
      </w:r>
    </w:p>
  </w:footnote>
  <w:footnote w:id="260">
    <w:p w14:paraId="7848D926" w14:textId="77777777" w:rsidR="000A3BB7" w:rsidRPr="008A1720" w:rsidRDefault="000A3BB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http://www3.weforum.org/docs/WEF_Project_MainStream_Urban_Biocycles_2017.pdf</w:t>
      </w:r>
    </w:p>
  </w:footnote>
  <w:footnote w:id="261">
    <w:p w14:paraId="1DBF84FD" w14:textId="77777777" w:rsidR="000A3BB7" w:rsidRPr="00476FA3" w:rsidRDefault="000A3BB7" w:rsidP="008A1720">
      <w:pPr>
        <w:tabs>
          <w:tab w:val="left" w:pos="51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Circular Amsterdam:</w:t>
      </w:r>
      <w:r>
        <w:rPr>
          <w:rFonts w:ascii="Times New Roman" w:hAnsi="Times New Roman"/>
          <w:sz w:val="20"/>
        </w:rPr>
        <w:t xml:space="preserve"> </w:t>
      </w:r>
      <w:r>
        <w:rPr>
          <w:rFonts w:ascii="Times New Roman" w:hAnsi="Times New Roman"/>
          <w:i/>
          <w:iCs/>
          <w:sz w:val="20"/>
        </w:rPr>
        <w:t>a vision and action agenda for the city and metropolitan area</w:t>
      </w:r>
      <w:r>
        <w:rPr>
          <w:rFonts w:ascii="Times New Roman" w:hAnsi="Times New Roman"/>
          <w:sz w:val="20"/>
        </w:rPr>
        <w:t xml:space="preserve">”, </w:t>
      </w:r>
      <w:r>
        <w:rPr>
          <w:rFonts w:ascii="Times New Roman" w:hAnsi="Times New Roman"/>
          <w:i/>
          <w:iCs/>
          <w:sz w:val="20"/>
        </w:rPr>
        <w:t>Circle Economy</w:t>
      </w:r>
      <w:r>
        <w:rPr>
          <w:rFonts w:ascii="Times New Roman" w:hAnsi="Times New Roman"/>
          <w:sz w:val="20"/>
        </w:rPr>
        <w:t xml:space="preserve">, </w:t>
      </w:r>
      <w:r>
        <w:rPr>
          <w:rFonts w:ascii="Times New Roman" w:hAnsi="Times New Roman"/>
          <w:i/>
          <w:iCs/>
          <w:sz w:val="20"/>
        </w:rPr>
        <w:t>Fabric Tno and Gemeente Amsterdam</w:t>
      </w:r>
      <w:r>
        <w:rPr>
          <w:rFonts w:ascii="Times New Roman" w:hAnsi="Times New Roman"/>
          <w:sz w:val="20"/>
        </w:rPr>
        <w:t>, 2016. gads.</w:t>
      </w:r>
    </w:p>
  </w:footnote>
  <w:footnote w:id="262">
    <w:p w14:paraId="575D8CE4" w14:textId="77777777" w:rsidR="000A3BB7" w:rsidRPr="00476FA3" w:rsidRDefault="000A3BB7" w:rsidP="00476FA3">
      <w:pPr>
        <w:tabs>
          <w:tab w:val="left" w:pos="404"/>
          <w:tab w:val="left" w:pos="5545"/>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https://ec.europa.eu/futurium/en/system/files/ged/pact-of-amsterdam_en.pdf</w:t>
      </w:r>
    </w:p>
  </w:footnote>
  <w:footnote w:id="263">
    <w:p w14:paraId="3AF2DC66" w14:textId="77777777" w:rsidR="000A3BB7" w:rsidRPr="00476FA3" w:rsidRDefault="000A3BB7" w:rsidP="00476FA3">
      <w:pPr>
        <w:tabs>
          <w:tab w:val="left" w:pos="404"/>
          <w:tab w:val="left" w:pos="5545"/>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https://sustainabledevelopment.un.org/post2015/transformingourworld; https://unhabitat.org/new-urban-agenda-adopted-at-habitat-iii/</w:t>
      </w:r>
    </w:p>
  </w:footnote>
  <w:footnote w:id="264">
    <w:p w14:paraId="11FDF92B" w14:textId="77777777" w:rsidR="000A3BB7" w:rsidRPr="00476FA3" w:rsidRDefault="000A3BB7" w:rsidP="00476FA3">
      <w:pPr>
        <w:tabs>
          <w:tab w:val="left" w:pos="420"/>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ES mēroga iniciatīva par pilsētu un reģionālo bioekonomiku var būt kā unikāls instruments, lai aktīvi iesaistītu vietējos un reģionālos dalībniekus ES bioekonomikā un iegūtu nozīmīgu teritoriālo ieguldījumu iniciatīvas mērķu sasniegšanā. Minētās iniciatīvas pamatā varētu būt šādi aspekti: i) provinču/apgabalu un reģionu mēru vai priekšsēdētāju brīvprātīga un oficiāla apņemšanās izstrādāt, uzsākt un īstenot bioekonomikas stratēģiju attiecīgajā teritorijā; ii) interaktīva tiešsaistes bezmaksas tīmekļa vietne par iniciatīvu, tostarp platforma informācijas un labas prakses apmaiņai, kā arī visu parakstītāju raksturojumi (piemēram, iepazīstinot ar pilsētu bioekonomikas stratēģijām un attiecīgajiem mērķiem, rīcības plāniem un īstenošanas ziņojumiem), un iii) uzraudzības, ziņošanas un pārbaudes (</w:t>
      </w:r>
      <w:r>
        <w:rPr>
          <w:rFonts w:ascii="Times New Roman" w:hAnsi="Times New Roman"/>
          <w:i/>
          <w:iCs/>
          <w:sz w:val="20"/>
        </w:rPr>
        <w:t>MRV</w:t>
      </w:r>
      <w:r>
        <w:rPr>
          <w:rFonts w:ascii="Times New Roman" w:hAnsi="Times New Roman"/>
          <w:sz w:val="20"/>
        </w:rPr>
        <w:t>) sistēma, lai novērtētu stratēģijas mērķu īstenošanu un panākumus.</w:t>
      </w:r>
    </w:p>
  </w:footnote>
  <w:footnote w:id="265">
    <w:p w14:paraId="574C9E5E" w14:textId="77777777" w:rsidR="000A3BB7" w:rsidRPr="00476FA3" w:rsidRDefault="000A3BB7" w:rsidP="00476FA3">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http://eiah.eib.org/about/initiative-urbis.htm</w:t>
      </w:r>
    </w:p>
  </w:footnote>
  <w:footnote w:id="266">
    <w:p w14:paraId="31645B62" w14:textId="77777777" w:rsidR="000A3BB7" w:rsidRPr="00476FA3" w:rsidRDefault="000A3BB7" w:rsidP="00476FA3">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EEA</w:t>
      </w:r>
      <w:r>
        <w:rPr>
          <w:rFonts w:ascii="Times New Roman" w:hAnsi="Times New Roman"/>
          <w:sz w:val="20"/>
        </w:rPr>
        <w:t xml:space="preserve"> (2017. gads), </w:t>
      </w:r>
      <w:r>
        <w:rPr>
          <w:rFonts w:ascii="Times New Roman" w:hAnsi="Times New Roman"/>
          <w:i/>
          <w:iCs/>
          <w:sz w:val="20"/>
        </w:rPr>
        <w:t>Environmental indicator report, Urban land take briefing</w:t>
      </w:r>
      <w:r>
        <w:rPr>
          <w:rFonts w:ascii="Times New Roman" w:hAnsi="Times New Roman"/>
          <w:sz w:val="20"/>
        </w:rPr>
        <w:t>.</w:t>
      </w:r>
    </w:p>
  </w:footnote>
  <w:footnote w:id="267">
    <w:p w14:paraId="72129345" w14:textId="77777777" w:rsidR="000A3BB7" w:rsidRPr="00476FA3" w:rsidRDefault="000A3BB7" w:rsidP="00476FA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EEA</w:t>
      </w:r>
      <w:r>
        <w:rPr>
          <w:rFonts w:ascii="Times New Roman" w:hAnsi="Times New Roman"/>
        </w:rPr>
        <w:t xml:space="preserve"> (2017. gads), </w:t>
      </w:r>
      <w:r>
        <w:rPr>
          <w:rFonts w:ascii="Times New Roman" w:hAnsi="Times New Roman"/>
          <w:i/>
          <w:iCs/>
        </w:rPr>
        <w:t>Ecosystem coverage</w:t>
      </w:r>
      <w:r>
        <w:rPr>
          <w:rFonts w:ascii="Times New Roman" w:hAnsi="Times New Roman"/>
        </w:rPr>
        <w:t>.</w:t>
      </w:r>
    </w:p>
  </w:footnote>
  <w:footnote w:id="268">
    <w:p w14:paraId="4DA8A1A5" w14:textId="77777777" w:rsidR="000A3BB7" w:rsidRPr="00476FA3" w:rsidRDefault="000A3BB7" w:rsidP="00476FA3">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JRC</w:t>
      </w:r>
      <w:r>
        <w:rPr>
          <w:rFonts w:ascii="Times New Roman" w:hAnsi="Times New Roman"/>
          <w:sz w:val="20"/>
        </w:rPr>
        <w:t xml:space="preserve">, 2014. gads. </w:t>
      </w:r>
      <w:r>
        <w:rPr>
          <w:rFonts w:ascii="Times New Roman" w:hAnsi="Times New Roman"/>
          <w:i/>
          <w:iCs/>
          <w:sz w:val="20"/>
        </w:rPr>
        <w:t>Progress in the Management of Contaminated Sites in Europe</w:t>
      </w:r>
      <w:r>
        <w:rPr>
          <w:rFonts w:ascii="Times New Roman" w:hAnsi="Times New Roman"/>
          <w:sz w:val="20"/>
        </w:rPr>
        <w:t>.</w:t>
      </w:r>
    </w:p>
  </w:footnote>
  <w:footnote w:id="269">
    <w:p w14:paraId="594E2037" w14:textId="77777777" w:rsidR="000A3BB7" w:rsidRPr="00476FA3" w:rsidRDefault="000A3BB7" w:rsidP="00476FA3">
      <w:pPr>
        <w:tabs>
          <w:tab w:val="left" w:pos="513"/>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Komisija. 2015. gads. </w:t>
      </w:r>
      <w:r>
        <w:rPr>
          <w:rFonts w:ascii="Times New Roman" w:hAnsi="Times New Roman"/>
          <w:i/>
          <w:iCs/>
          <w:sz w:val="20"/>
        </w:rPr>
        <w:t>Towards an EU Research &amp; Innovation Policy Agenda for Nature-Based Solutions &amp; Re-Naturing Cities</w:t>
      </w:r>
    </w:p>
  </w:footnote>
  <w:footnote w:id="270">
    <w:p w14:paraId="2536BFB0" w14:textId="77777777" w:rsidR="000A3BB7" w:rsidRPr="00476FA3" w:rsidRDefault="000A3BB7" w:rsidP="00476FA3">
      <w:pPr>
        <w:tabs>
          <w:tab w:val="left" w:pos="5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https://ec.europa.eu/futurium/en/circular-economy</w:t>
      </w:r>
    </w:p>
  </w:footnote>
  <w:footnote w:id="271">
    <w:p w14:paraId="40649762" w14:textId="77777777" w:rsidR="000A3BB7" w:rsidRPr="00077920" w:rsidRDefault="000A3BB7" w:rsidP="00077920">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https://ec.europa.eu/knowledge4policy/bioeconomy/topic/policy</w:t>
      </w:r>
    </w:p>
  </w:footnote>
  <w:footnote w:id="272">
    <w:p w14:paraId="6E105946" w14:textId="77777777" w:rsidR="000A3BB7" w:rsidRPr="00077920" w:rsidRDefault="000A3BB7" w:rsidP="00077920">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http://www.norden.org/en/theme/nordic-bioeconomy</w:t>
      </w:r>
    </w:p>
  </w:footnote>
  <w:footnote w:id="273">
    <w:p w14:paraId="043DC7FF" w14:textId="77777777" w:rsidR="000A3BB7" w:rsidRPr="00077920" w:rsidRDefault="000A3BB7" w:rsidP="00077920">
      <w:pPr>
        <w:tabs>
          <w:tab w:val="left" w:pos="420"/>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Valstu bioekonomikas stratēģiju saskaņošana un saskaņotība ar Eiropas Bioekonomikas stratēģijas mērķiem ir nepieciešama, lai optimāli veicinātu bioekonomikas attīstību Eiropas Savienībā.</w:t>
      </w:r>
    </w:p>
  </w:footnote>
  <w:footnote w:id="274">
    <w:p w14:paraId="512E34F6" w14:textId="77777777" w:rsidR="000A3BB7" w:rsidRPr="00077920" w:rsidRDefault="000A3BB7" w:rsidP="00077920">
      <w:pPr>
        <w:tabs>
          <w:tab w:val="left" w:pos="5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piemēram, Salamon, P., Kopīgā pētniecības centra Tehniskais ziņojums, (2017. gads), doi: 10.2760/363389; https://biconsortium.eu/sites/biconsortium.eu/files/downloads/Country-Report-Poland.pdf</w:t>
      </w:r>
    </w:p>
  </w:footnote>
  <w:footnote w:id="275">
    <w:p w14:paraId="74B2AB76" w14:textId="77777777" w:rsidR="000A3BB7" w:rsidRPr="00077920" w:rsidRDefault="000A3BB7" w:rsidP="00077920">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www.bioeast.eu</w:t>
      </w:r>
    </w:p>
  </w:footnote>
  <w:footnote w:id="276">
    <w:p w14:paraId="0568D5DE" w14:textId="77777777" w:rsidR="000A3BB7" w:rsidRPr="00077920" w:rsidRDefault="000A3BB7" w:rsidP="00077920">
      <w:pPr>
        <w:tabs>
          <w:tab w:val="left" w:pos="851"/>
          <w:tab w:val="left" w:pos="1478"/>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 http://www.europarl.europa.eu/sides/getDoc.do?pubRef=-//EP//NONSGML+REPORT+A7-2013- 0201+0+DOC+PDF+V0//EN; b) Eiropas Savienības Padome – Piezīme. AGRI 115 / RECH 93 (5/3/2018): Lauksaimniecības un zivsaimniecības padomes priekšsēdētāja </w:t>
      </w:r>
      <w:r>
        <w:rPr>
          <w:rFonts w:ascii="Times New Roman" w:hAnsi="Times New Roman"/>
          <w:i/>
          <w:iCs/>
          <w:sz w:val="20"/>
        </w:rPr>
        <w:t>Rumen PORODZANOV</w:t>
      </w:r>
      <w:r>
        <w:rPr>
          <w:rFonts w:ascii="Times New Roman" w:hAnsi="Times New Roman"/>
          <w:sz w:val="20"/>
        </w:rPr>
        <w:t xml:space="preserve"> vēstule Pētniecības, zinātnes un inovācijas komisāram </w:t>
      </w:r>
      <w:r>
        <w:rPr>
          <w:rFonts w:ascii="Times New Roman" w:hAnsi="Times New Roman"/>
          <w:i/>
          <w:iCs/>
          <w:sz w:val="20"/>
        </w:rPr>
        <w:t>C. MOEDAS</w:t>
      </w:r>
      <w:r>
        <w:rPr>
          <w:rFonts w:ascii="Times New Roman" w:hAnsi="Times New Roman"/>
          <w:sz w:val="20"/>
        </w:rPr>
        <w:t>; c) www.consilium.europa.eu/lv/press/press- releases/2016/06/20-envi-conclusions-circular-economy; d) http://www.bioeconomybratislava2016.eu/; e) Centrāleiropas un Austrumeiropas iniciatīva uz zināšanām balstītai lauksaimniecībai, akvakultūrai un mežsaimniecībai bioekonomikas jomā – BIOEAST – ir atvērta iniciatīva, kuras darbību uzsāka Višegrādas grupas valstis (http://www.bioeast.eu/); f) Ikgadējā konference bioekonomikas jomā “Eiropas Bioekonomikas kongress”, kas notika Lodzas reģionā (</w:t>
      </w:r>
      <w:r>
        <w:rPr>
          <w:rFonts w:ascii="Times New Roman" w:hAnsi="Times New Roman"/>
          <w:i/>
          <w:iCs/>
          <w:sz w:val="20"/>
        </w:rPr>
        <w:t>EBCL</w:t>
      </w:r>
      <w:r>
        <w:rPr>
          <w:rFonts w:ascii="Times New Roman" w:hAnsi="Times New Roman"/>
          <w:sz w:val="20"/>
        </w:rPr>
        <w:t xml:space="preserve"> 2016. gads) un kuru 2016. gada 6.–7. oktobrī rīkoja Lodzas reģiona maršala birojs/Polija ar EK atbalstu. Lodzas Bioreģionu deklarācijā, ko apstiprinājuši 8 Polijas reģioni, noteikta ciešāka sadarbība starp dažādiem Polijas reģioniem, lai specializētos bioekonomikas jomā.</w:t>
      </w:r>
    </w:p>
  </w:footnote>
  <w:footnote w:id="277">
    <w:p w14:paraId="21E14CD7" w14:textId="77777777" w:rsidR="000A3BB7" w:rsidRPr="00077920" w:rsidRDefault="000A3BB7" w:rsidP="00077920">
      <w:pPr>
        <w:tabs>
          <w:tab w:val="left" w:pos="426"/>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Višegrādas valstu grupas, Bulgārijas, Horvātijas, Slovēnijas, Slovākijas un Baltijas valstu lauksaimniecības ministru kopīgā deklarācija par redzējumu attiecībā uz Centrāleiropas un Austrumeiropas iniciatīvu uz zināšanām balstītai lauksaimniecībai un mežsaimniecībai bioekonomikas jomā “BIOEAST”, 2018. gada 13. jūnijs. BIOEAST (2018. gads) perspektīvas dokuments http://www.bioeast.eu/article/bioeastvisionpaper23022018</w:t>
      </w:r>
    </w:p>
  </w:footnote>
  <w:footnote w:id="278">
    <w:p w14:paraId="5B4D8781" w14:textId="77777777" w:rsidR="000A3BB7" w:rsidRPr="007B0ACE" w:rsidRDefault="000A3BB7" w:rsidP="007B0ACE">
      <w:pPr>
        <w:tabs>
          <w:tab w:val="left" w:pos="5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inovācijas progresa ziņojums; http://ec.europa.eu/growth/industry/innovation/facts-figures/scoreboards_en</w:t>
      </w:r>
    </w:p>
  </w:footnote>
  <w:footnote w:id="279">
    <w:p w14:paraId="485450EE" w14:textId="77777777" w:rsidR="000A3BB7" w:rsidRPr="007B0ACE" w:rsidRDefault="000A3BB7">
      <w:pPr>
        <w:pStyle w:val="FootnoteText"/>
      </w:pPr>
      <w:r>
        <w:rPr>
          <w:rStyle w:val="FootnoteReference"/>
          <w:rFonts w:ascii="Times New Roman" w:hAnsi="Times New Roman" w:cs="Times New Roman"/>
        </w:rPr>
        <w:footnoteRef/>
      </w:r>
      <w:r>
        <w:rPr>
          <w:rFonts w:ascii="Times New Roman" w:hAnsi="Times New Roman"/>
        </w:rPr>
        <w:t xml:space="preserve"> EK organizētās valstu bioekonomikas koordinatoru pirmās sanāksmes rezultāts (16/3/2018, Brisele, piedalījās 22 dalībvalstis).</w:t>
      </w:r>
    </w:p>
  </w:footnote>
  <w:footnote w:id="280">
    <w:p w14:paraId="65B197F8" w14:textId="77777777" w:rsidR="000A3BB7" w:rsidRPr="007B0ACE" w:rsidRDefault="000A3BB7" w:rsidP="007B0ACE">
      <w:pPr>
        <w:tabs>
          <w:tab w:val="left" w:pos="420"/>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piemēram, Buerke A. et al., </w:t>
      </w:r>
      <w:r>
        <w:rPr>
          <w:rFonts w:ascii="Times New Roman" w:hAnsi="Times New Roman"/>
          <w:i/>
          <w:iCs/>
          <w:sz w:val="20"/>
        </w:rPr>
        <w:t>Review of Managerial Science</w:t>
      </w:r>
      <w:r>
        <w:rPr>
          <w:rFonts w:ascii="Times New Roman" w:hAnsi="Times New Roman"/>
          <w:sz w:val="20"/>
        </w:rPr>
        <w:t xml:space="preserve">, 11, 4, 959–991, (2017), doi: 10.1007/s11846-016- 0211-2; Stöckigt G. et al., </w:t>
      </w:r>
      <w:r>
        <w:rPr>
          <w:rFonts w:ascii="Times New Roman" w:hAnsi="Times New Roman"/>
          <w:i/>
          <w:iCs/>
          <w:sz w:val="20"/>
        </w:rPr>
        <w:t>Journal of Retailing and Consumer Services</w:t>
      </w:r>
      <w:r>
        <w:rPr>
          <w:rFonts w:ascii="Times New Roman" w:hAnsi="Times New Roman"/>
          <w:sz w:val="20"/>
        </w:rPr>
        <w:t>, 43, 188–199, (2018), doi: 10.1016/j.jretconser.2018.03.018.</w:t>
      </w:r>
    </w:p>
  </w:footnote>
  <w:footnote w:id="281">
    <w:p w14:paraId="691FF94E" w14:textId="77777777" w:rsidR="000A3BB7" w:rsidRPr="007B0ACE" w:rsidRDefault="000A3BB7" w:rsidP="007B0ACE">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https://ec.europa.eu/info/law/better-regulation/initiatives/ares-2018-975361_en</w:t>
      </w:r>
    </w:p>
  </w:footnote>
  <w:footnote w:id="282">
    <w:p w14:paraId="0AAC1AFA" w14:textId="77777777" w:rsidR="000A3BB7" w:rsidRPr="00096ECF" w:rsidRDefault="000A3BB7" w:rsidP="007B0ACE">
      <w:pPr>
        <w:tabs>
          <w:tab w:val="left" w:pos="52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http://ec.europa.eu/eurostat/statistics-explained/index.php?title=Farmers_in_the_EU_-_statistics</w:t>
      </w:r>
    </w:p>
  </w:footnote>
  <w:footnote w:id="283">
    <w:p w14:paraId="0793A30B" w14:textId="77777777" w:rsidR="000A3BB7" w:rsidRPr="00096ECF" w:rsidRDefault="000A3BB7" w:rsidP="00096ECF">
      <w:pPr>
        <w:tabs>
          <w:tab w:val="left" w:pos="442"/>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no </w:t>
      </w:r>
      <w:r>
        <w:rPr>
          <w:rFonts w:ascii="Times New Roman" w:hAnsi="Times New Roman"/>
          <w:i/>
          <w:iCs/>
          <w:sz w:val="20"/>
        </w:rPr>
        <w:t>CEETAR</w:t>
      </w:r>
      <w:r>
        <w:rPr>
          <w:rFonts w:ascii="Times New Roman" w:hAnsi="Times New Roman"/>
          <w:sz w:val="20"/>
        </w:rPr>
        <w:t xml:space="preserve"> (uz koksnes resursiem balstītas ES rūpniecības ekspertu grupas loceklis, kas pārstāv arī koksnes ieguves apakšuzņēmējus), http://www.ceettar.eu/</w:t>
      </w:r>
    </w:p>
  </w:footnote>
  <w:footnote w:id="284">
    <w:p w14:paraId="45E295A4" w14:textId="77777777" w:rsidR="000A3BB7" w:rsidRPr="00096ECF" w:rsidRDefault="000A3BB7" w:rsidP="00096ECF">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https://ec.europa.eu/eip/agriculture/</w:t>
      </w:r>
    </w:p>
  </w:footnote>
  <w:footnote w:id="285">
    <w:p w14:paraId="20939AB5" w14:textId="77777777" w:rsidR="000A3BB7" w:rsidRPr="00910298" w:rsidRDefault="000A3BB7" w:rsidP="00910298">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http://ec.europa.eu/social/main.jsp?catId=1415&amp;langId=en</w:t>
      </w:r>
    </w:p>
  </w:footnote>
  <w:footnote w:id="286">
    <w:p w14:paraId="59A2DB55" w14:textId="77777777" w:rsidR="000A3BB7" w:rsidRPr="00910298" w:rsidRDefault="000A3BB7" w:rsidP="00910298">
      <w:pPr>
        <w:tabs>
          <w:tab w:val="left" w:pos="404"/>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SWD(2013)0343 final, http://eur-lex.europa.eu/legal-content/en/ALL/?uri=CELEX:52013SC0343</w:t>
      </w:r>
    </w:p>
  </w:footnote>
  <w:footnote w:id="287">
    <w:p w14:paraId="57C533F4" w14:textId="77777777" w:rsidR="000A3BB7" w:rsidRPr="00723119" w:rsidRDefault="000A3BB7" w:rsidP="0072311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https://ec.europa.eu/research/scar/pdf/ki-01-15-295-enn.pdf#view=fit&amp;pagemode=none</w:t>
      </w:r>
    </w:p>
  </w:footnote>
  <w:footnote w:id="288">
    <w:p w14:paraId="4366FCF2" w14:textId="77777777" w:rsidR="000A3BB7" w:rsidRPr="00723119" w:rsidRDefault="000A3BB7" w:rsidP="00723119">
      <w:pPr>
        <w:tabs>
          <w:tab w:val="left" w:pos="47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BISO</w:t>
      </w:r>
      <w:r>
        <w:rPr>
          <w:rFonts w:ascii="Times New Roman" w:hAnsi="Times New Roman"/>
          <w:sz w:val="20"/>
        </w:rPr>
        <w:t xml:space="preserve"> darbojās kā 7. pamatprogrammas finansēts projekts (2013.–2016. gads), kura ietvaros izstrādāja tīmekļa vietni, kur bija pieejami ar bioekonomiku saistīti S&amp;T, politikas un tirgus dati, kā arī izpēte par biorūpniecību un vides aspektiem. Pēc tam (2016.–2017. gads) izveidoja ES Bioekonomikas novērošanas centru, ko finansēja no Kopīgā pētniecības centra institucionālā projekta līdzekļiem.</w:t>
      </w:r>
    </w:p>
  </w:footnote>
  <w:footnote w:id="289">
    <w:p w14:paraId="61029991" w14:textId="77777777" w:rsidR="000A3BB7" w:rsidRPr="00723119" w:rsidRDefault="000A3BB7" w:rsidP="0072311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https://ec.europa.eu/knowledge4policy/bioeconomy</w:t>
      </w:r>
    </w:p>
  </w:footnote>
  <w:footnote w:id="290">
    <w:p w14:paraId="3BCA3EB8" w14:textId="77777777" w:rsidR="000A3BB7" w:rsidRPr="00723119" w:rsidRDefault="000A3BB7" w:rsidP="00723119">
      <w:pPr>
        <w:tabs>
          <w:tab w:val="left" w:pos="4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COM(2015)0478 final; https://eur-lex.europa.eu/legal-content/lv/TXT/?uri=CELEX:52015DC0478</w:t>
      </w:r>
    </w:p>
  </w:footnote>
  <w:footnote w:id="291">
    <w:p w14:paraId="58D4FA06" w14:textId="77777777" w:rsidR="000A3BB7" w:rsidRPr="00723119" w:rsidRDefault="000A3BB7" w:rsidP="00723119">
      <w:pPr>
        <w:tabs>
          <w:tab w:val="left" w:pos="900"/>
          <w:tab w:val="left" w:pos="2234"/>
          <w:tab w:val="left" w:pos="3786"/>
          <w:tab w:val="left" w:pos="4490"/>
          <w:tab w:val="left" w:pos="5245"/>
          <w:tab w:val="left" w:pos="5966"/>
          <w:tab w:val="left" w:pos="7185"/>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paziņojums par ES Apputeksnētāju iniciatīvu; http://ec.europa.eu/environment/nature/conservation/species/pollinators/index_en.htm</w:t>
      </w:r>
    </w:p>
  </w:footnote>
  <w:footnote w:id="292">
    <w:p w14:paraId="7D88A892" w14:textId="77777777" w:rsidR="000A3BB7" w:rsidRPr="00723119" w:rsidRDefault="000A3BB7" w:rsidP="00723119">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Mikrobioms ir tādu mikroorganismu kopums, kuru genomi atrodami noteiktā vidē.</w:t>
      </w:r>
    </w:p>
  </w:footnote>
  <w:footnote w:id="293">
    <w:p w14:paraId="7EB7D48F" w14:textId="77777777" w:rsidR="000A3BB7" w:rsidRPr="00723119" w:rsidRDefault="000A3BB7" w:rsidP="00723119">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Create a global microbiome effort</w:t>
      </w:r>
      <w:r>
        <w:rPr>
          <w:rFonts w:ascii="Times New Roman" w:hAnsi="Times New Roman"/>
        </w:rPr>
        <w:t xml:space="preserve">. </w:t>
      </w:r>
      <w:r>
        <w:rPr>
          <w:rFonts w:ascii="Times New Roman" w:hAnsi="Times New Roman"/>
          <w:i/>
          <w:iCs/>
        </w:rPr>
        <w:t>Nature</w:t>
      </w:r>
      <w:r>
        <w:rPr>
          <w:rFonts w:ascii="Times New Roman" w:hAnsi="Times New Roman"/>
        </w:rPr>
        <w:t>, 2015. gada 29. oktobris: 526, 631–634.</w:t>
      </w:r>
    </w:p>
  </w:footnote>
  <w:footnote w:id="294">
    <w:p w14:paraId="6D6264F6" w14:textId="77777777" w:rsidR="000A3BB7" w:rsidRPr="00723119" w:rsidRDefault="000A3BB7" w:rsidP="00723119">
      <w:pPr>
        <w:tabs>
          <w:tab w:val="left" w:pos="44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Camia et al. (2018. gads). Kopīgais pētniecības centrs,</w:t>
      </w:r>
      <w:r>
        <w:rPr>
          <w:rFonts w:ascii="Times New Roman" w:hAnsi="Times New Roman"/>
          <w:i/>
          <w:iCs/>
          <w:sz w:val="20"/>
        </w:rPr>
        <w:t xml:space="preserve"> JRC Science for Policy Report</w:t>
      </w:r>
      <w:r>
        <w:rPr>
          <w:rFonts w:ascii="Times New Roman" w:hAnsi="Times New Roman"/>
          <w:sz w:val="20"/>
        </w:rPr>
        <w:t>, doi:10.2760/181536, JRC109869.</w:t>
      </w:r>
    </w:p>
  </w:footnote>
  <w:footnote w:id="295">
    <w:p w14:paraId="72C82AAC" w14:textId="77777777" w:rsidR="000A3BB7" w:rsidRPr="00723119" w:rsidRDefault="000A3BB7" w:rsidP="00723119">
      <w:pPr>
        <w:tabs>
          <w:tab w:val="left" w:pos="455"/>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Nozares specifiskie modeļi ir paplašināti, lai detalizēti aptvertu plašāka biomasas izmantojuma ietekmi. Otrajā posmā šie modeļi tiek savienoti, izmantojot modelēšanas sistēmu. </w:t>
      </w:r>
      <w:r>
        <w:rPr>
          <w:rFonts w:ascii="Times New Roman" w:hAnsi="Times New Roman"/>
          <w:i/>
          <w:iCs/>
          <w:sz w:val="20"/>
        </w:rPr>
        <w:t>MAGNET</w:t>
      </w:r>
      <w:r>
        <w:rPr>
          <w:rFonts w:ascii="Times New Roman" w:hAnsi="Times New Roman"/>
          <w:sz w:val="20"/>
        </w:rPr>
        <w:t xml:space="preserve"> modelis, kā aprakstīts Philippidis G. et al. (2018. gads), Kopīgā pētniecības centra tehniskais ziņojums, doi:10.2760/560977, JRC111508. Ietver dažādus elementus politikas saskaņotības novērtēšanai bioekonomikas un ilgtspējīgas attīstības mērķu kontekstā.</w:t>
      </w:r>
    </w:p>
  </w:footnote>
  <w:footnote w:id="296">
    <w:p w14:paraId="041A0BB0" w14:textId="77777777" w:rsidR="000A3BB7" w:rsidRPr="00723119" w:rsidRDefault="000A3BB7" w:rsidP="00723119">
      <w:pPr>
        <w:tabs>
          <w:tab w:val="left" w:pos="49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ENV ĢD, konkursā izsludinot pētījumu, pārbauda ilgtspējīgu mežu apsaimniekošanu saskaņā ar ES bioloģiskās daudzveidības stratēģiju un Eiropas Bioekonomikas stratēģiju.</w:t>
      </w:r>
    </w:p>
  </w:footnote>
  <w:footnote w:id="297">
    <w:p w14:paraId="763F1482" w14:textId="77777777" w:rsidR="000A3BB7" w:rsidRPr="00723119" w:rsidRDefault="000A3BB7" w:rsidP="00723119">
      <w:pPr>
        <w:tabs>
          <w:tab w:val="left" w:pos="511"/>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http://biodiversity.europa.eu/maes</w:t>
      </w:r>
    </w:p>
  </w:footnote>
  <w:footnote w:id="298">
    <w:p w14:paraId="6D02BA8E" w14:textId="77777777" w:rsidR="000A3BB7" w:rsidRPr="00392D70" w:rsidRDefault="000A3BB7" w:rsidP="00392D70">
      <w:pPr>
        <w:tabs>
          <w:tab w:val="left" w:pos="5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Vallecillo Rodriguez, S. et al. (2018. gads), Kopīgā pētniecības centra tehniskais ziņojums, doi:10.2760/619793, JRC110321.</w:t>
      </w:r>
    </w:p>
  </w:footnote>
  <w:footnote w:id="299">
    <w:p w14:paraId="1CBBD931" w14:textId="77777777" w:rsidR="000A3BB7" w:rsidRPr="00392D70" w:rsidRDefault="000A3BB7" w:rsidP="00392D70">
      <w:pPr>
        <w:tabs>
          <w:tab w:val="left" w:pos="1653"/>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https://publications.europa.eu/en/publication-detail/-/publication/358c6d4b-1783-11e8-9253- 01aa75ed71a1/language-en; http://www.efi.int/files/attachments/publications/wsctu_8_2017.pdf</w:t>
      </w:r>
    </w:p>
  </w:footnote>
  <w:footnote w:id="300">
    <w:p w14:paraId="6D87ED29" w14:textId="77777777" w:rsidR="000A3BB7" w:rsidRPr="00902B8E" w:rsidRDefault="000A3BB7" w:rsidP="00902B8E">
      <w:pPr>
        <w:tabs>
          <w:tab w:val="left" w:pos="52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Eurostat</w:t>
      </w:r>
      <w:r>
        <w:rPr>
          <w:rFonts w:ascii="Times New Roman" w:hAnsi="Times New Roman"/>
          <w:sz w:val="20"/>
        </w:rPr>
        <w:t xml:space="preserve"> ES IAM pārraudzības ziņojums.</w:t>
      </w:r>
    </w:p>
    <w:p w14:paraId="12A23F39" w14:textId="77777777" w:rsidR="000A3BB7" w:rsidRPr="00902B8E" w:rsidRDefault="000A3BB7" w:rsidP="00902B8E">
      <w:pPr>
        <w:jc w:val="both"/>
        <w:rPr>
          <w:rFonts w:ascii="Times New Roman" w:hAnsi="Times New Roman"/>
          <w:noProof/>
          <w:sz w:val="24"/>
        </w:rPr>
      </w:pPr>
      <w:r>
        <w:rPr>
          <w:rFonts w:ascii="Times New Roman" w:hAnsi="Times New Roman"/>
          <w:sz w:val="20"/>
        </w:rPr>
        <w:t>https://ec.europa.eu/eurostat/documents/2995521/9234939/8-18092018-AP-EN.pdf/888b182d-f6f9-4e0d-9e48- 4b4e1561333e</w:t>
      </w:r>
    </w:p>
  </w:footnote>
  <w:footnote w:id="301">
    <w:p w14:paraId="756034F6" w14:textId="77777777" w:rsidR="000A3BB7" w:rsidRPr="00C414D8" w:rsidRDefault="000A3BB7" w:rsidP="00C414D8">
      <w:pPr>
        <w:tabs>
          <w:tab w:val="left" w:pos="506"/>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http://mbio.asm.org/content/7/3/e00714-16.full</w:t>
      </w:r>
    </w:p>
  </w:footnote>
  <w:footnote w:id="302">
    <w:p w14:paraId="06DCB79C" w14:textId="77777777" w:rsidR="000A3BB7" w:rsidRPr="00C414D8" w:rsidRDefault="000A3BB7" w:rsidP="00C414D8">
      <w:pPr>
        <w:tabs>
          <w:tab w:val="left" w:pos="51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A unified initiative to harness Earth's microbiomes</w:t>
      </w:r>
      <w:r>
        <w:rPr>
          <w:rFonts w:ascii="Times New Roman" w:hAnsi="Times New Roman"/>
          <w:sz w:val="20"/>
        </w:rPr>
        <w:t xml:space="preserve">. </w:t>
      </w:r>
      <w:r>
        <w:rPr>
          <w:rFonts w:ascii="Times New Roman" w:hAnsi="Times New Roman"/>
          <w:i/>
          <w:iCs/>
          <w:sz w:val="20"/>
        </w:rPr>
        <w:t>Science</w:t>
      </w:r>
      <w:r>
        <w:rPr>
          <w:rFonts w:ascii="Times New Roman" w:hAnsi="Times New Roman"/>
          <w:sz w:val="20"/>
        </w:rPr>
        <w:t>, 2015. gada 30. oktobris: 507–508;</w:t>
      </w:r>
      <w:r>
        <w:rPr>
          <w:rFonts w:ascii="Times New Roman" w:hAnsi="Times New Roman"/>
          <w:i/>
          <w:iCs/>
          <w:sz w:val="20"/>
        </w:rPr>
        <w:t xml:space="preserve"> Create a global microbiome effort</w:t>
      </w:r>
      <w:r>
        <w:rPr>
          <w:rFonts w:ascii="Times New Roman" w:hAnsi="Times New Roman"/>
          <w:sz w:val="20"/>
        </w:rPr>
        <w:t xml:space="preserve">. </w:t>
      </w:r>
      <w:r>
        <w:rPr>
          <w:rFonts w:ascii="Times New Roman" w:hAnsi="Times New Roman"/>
          <w:i/>
          <w:iCs/>
          <w:sz w:val="20"/>
        </w:rPr>
        <w:t>Nature</w:t>
      </w:r>
      <w:r>
        <w:rPr>
          <w:rFonts w:ascii="Times New Roman" w:hAnsi="Times New Roman"/>
          <w:sz w:val="20"/>
        </w:rPr>
        <w:t>, 2015. gada 29. oktobris: 526, 631–634</w:t>
      </w:r>
    </w:p>
  </w:footnote>
  <w:footnote w:id="303">
    <w:p w14:paraId="5C7C810F" w14:textId="77777777" w:rsidR="000A3BB7" w:rsidRPr="00C414D8" w:rsidRDefault="000A3BB7" w:rsidP="00C414D8">
      <w:pPr>
        <w:tabs>
          <w:tab w:val="left" w:pos="506"/>
        </w:tabs>
        <w:jc w:val="both"/>
        <w:rPr>
          <w:rFonts w:ascii="Times New Roman" w:eastAsia="Verdana" w:hAnsi="Times New Roman" w:cs="Verdana"/>
          <w:noProof/>
          <w:sz w:val="24"/>
          <w:szCs w:val="13"/>
        </w:rPr>
      </w:pPr>
      <w:r>
        <w:rPr>
          <w:rStyle w:val="FootnoteReference"/>
          <w:rFonts w:ascii="Times New Roman" w:hAnsi="Times New Roman" w:cs="Times New Roman"/>
          <w:sz w:val="20"/>
          <w:szCs w:val="20"/>
        </w:rPr>
        <w:footnoteRef/>
      </w:r>
      <w:r>
        <w:rPr>
          <w:rFonts w:ascii="Times New Roman" w:hAnsi="Times New Roman"/>
          <w:sz w:val="20"/>
        </w:rPr>
        <w:t xml:space="preserve"> http://www.earthmicrobiome.org/</w:t>
      </w:r>
    </w:p>
  </w:footnote>
  <w:footnote w:id="304">
    <w:p w14:paraId="2F700ECB" w14:textId="77777777" w:rsidR="000A3BB7" w:rsidRPr="00C414D8" w:rsidRDefault="000A3BB7" w:rsidP="00C414D8">
      <w:pPr>
        <w:tabs>
          <w:tab w:val="left" w:pos="5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http://teebweb.org/agrifood/wp-content/uploads/2018/06/Foundations_vJun26.pdf</w:t>
      </w:r>
    </w:p>
  </w:footnote>
  <w:footnote w:id="305">
    <w:p w14:paraId="78F43C43" w14:textId="77777777" w:rsidR="000A3BB7" w:rsidRPr="00C414D8" w:rsidRDefault="000A3BB7" w:rsidP="00C414D8">
      <w:pPr>
        <w:tabs>
          <w:tab w:val="left" w:pos="5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http://ec.europa.eu/environment/nature/conservation/species/redlist/bees/status.htm</w:t>
      </w:r>
    </w:p>
  </w:footnote>
  <w:footnote w:id="306">
    <w:p w14:paraId="4CB8D139" w14:textId="77777777" w:rsidR="000A3BB7" w:rsidRPr="00C414D8" w:rsidRDefault="000A3BB7" w:rsidP="00C414D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Gallai N. et al., </w:t>
      </w:r>
      <w:r>
        <w:rPr>
          <w:rFonts w:ascii="Times New Roman" w:hAnsi="Times New Roman"/>
          <w:i/>
          <w:iCs/>
        </w:rPr>
        <w:t>Ecological Economics</w:t>
      </w:r>
      <w:r>
        <w:rPr>
          <w:rFonts w:ascii="Times New Roman" w:hAnsi="Times New Roman"/>
        </w:rPr>
        <w:t>, 68, 3, 810–821, (2009. gads), doi: 10.1016/j.ecolecon.2008.06.014</w:t>
      </w:r>
    </w:p>
  </w:footnote>
  <w:footnote w:id="307">
    <w:p w14:paraId="693F4D59" w14:textId="77777777" w:rsidR="000A3BB7" w:rsidRPr="00C414D8" w:rsidRDefault="000A3BB7" w:rsidP="00C414D8">
      <w:pPr>
        <w:tabs>
          <w:tab w:val="left" w:pos="546"/>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Klatt B. K. et al., </w:t>
      </w:r>
      <w:r>
        <w:rPr>
          <w:rFonts w:ascii="Times New Roman" w:hAnsi="Times New Roman"/>
          <w:i/>
          <w:iCs/>
          <w:sz w:val="20"/>
        </w:rPr>
        <w:t>Proceedings of the Royal Society</w:t>
      </w:r>
      <w:r>
        <w:rPr>
          <w:rFonts w:ascii="Times New Roman" w:hAnsi="Times New Roman"/>
          <w:sz w:val="20"/>
        </w:rPr>
        <w:t xml:space="preserve">: </w:t>
      </w:r>
      <w:r>
        <w:rPr>
          <w:rFonts w:ascii="Times New Roman" w:hAnsi="Times New Roman"/>
          <w:i/>
          <w:iCs/>
          <w:sz w:val="20"/>
        </w:rPr>
        <w:t>Biological Sciences</w:t>
      </w:r>
      <w:r>
        <w:rPr>
          <w:rFonts w:ascii="Times New Roman" w:hAnsi="Times New Roman"/>
          <w:sz w:val="20"/>
        </w:rPr>
        <w:t>, 281, 2013–2440, (2014. gads), doi: 10.1098/rspb.2013.2440</w:t>
      </w:r>
    </w:p>
  </w:footnote>
  <w:footnote w:id="308">
    <w:p w14:paraId="3C8740C6" w14:textId="77777777" w:rsidR="000A3BB7" w:rsidRPr="00C414D8" w:rsidRDefault="000A3BB7" w:rsidP="00C414D8">
      <w:pPr>
        <w:tabs>
          <w:tab w:val="left" w:pos="513"/>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De Groot G. et al., </w:t>
      </w:r>
      <w:r>
        <w:rPr>
          <w:rFonts w:ascii="Times New Roman" w:hAnsi="Times New Roman"/>
          <w:i/>
          <w:iCs/>
          <w:sz w:val="20"/>
        </w:rPr>
        <w:t>De bijdrage van (wilde) bestuivers aan de opbrengst van appels en blauwe besse</w:t>
      </w:r>
      <w:r>
        <w:rPr>
          <w:rFonts w:ascii="Times New Roman" w:hAnsi="Times New Roman"/>
          <w:sz w:val="20"/>
        </w:rPr>
        <w:t xml:space="preserve">. </w:t>
      </w:r>
      <w:r>
        <w:rPr>
          <w:rFonts w:ascii="Times New Roman" w:hAnsi="Times New Roman"/>
          <w:i/>
          <w:iCs/>
          <w:sz w:val="20"/>
        </w:rPr>
        <w:t>Alterra</w:t>
      </w:r>
      <w:r>
        <w:rPr>
          <w:rFonts w:ascii="Times New Roman" w:hAnsi="Times New Roman"/>
          <w:sz w:val="20"/>
        </w:rPr>
        <w:t xml:space="preserve">, </w:t>
      </w:r>
      <w:r>
        <w:rPr>
          <w:rFonts w:ascii="Times New Roman" w:hAnsi="Times New Roman"/>
          <w:i/>
          <w:iCs/>
          <w:sz w:val="20"/>
        </w:rPr>
        <w:t>Wageningen UR</w:t>
      </w:r>
      <w:r>
        <w:rPr>
          <w:rFonts w:ascii="Times New Roman" w:hAnsi="Times New Roman"/>
          <w:sz w:val="20"/>
        </w:rPr>
        <w:t xml:space="preserve">, </w:t>
      </w:r>
      <w:r>
        <w:rPr>
          <w:rFonts w:ascii="Times New Roman" w:hAnsi="Times New Roman"/>
          <w:i/>
          <w:iCs/>
          <w:sz w:val="20"/>
        </w:rPr>
        <w:t>Alterra rapport</w:t>
      </w:r>
      <w:r>
        <w:rPr>
          <w:rFonts w:ascii="Times New Roman" w:hAnsi="Times New Roman"/>
          <w:sz w:val="20"/>
        </w:rPr>
        <w:t xml:space="preserve"> 2636.</w:t>
      </w:r>
    </w:p>
  </w:footnote>
  <w:footnote w:id="309">
    <w:p w14:paraId="2BCCC5EC" w14:textId="77777777" w:rsidR="000A3BB7" w:rsidRPr="00C414D8" w:rsidRDefault="000A3BB7" w:rsidP="00C414D8">
      <w:pPr>
        <w:tabs>
          <w:tab w:val="left" w:pos="5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https://eur-lex.europa.eu/legal-content/LV/TXT/?qid=1531117569875&amp;uri=CELEX:52018DC0395</w:t>
      </w:r>
    </w:p>
  </w:footnote>
  <w:footnote w:id="310">
    <w:p w14:paraId="69D1A7FA" w14:textId="77777777" w:rsidR="000A3BB7" w:rsidRPr="00C414D8" w:rsidRDefault="000A3BB7" w:rsidP="00C414D8">
      <w:pPr>
        <w:tabs>
          <w:tab w:val="left" w:pos="404"/>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http://ec.europa.eu/eurostat/statistics-explained/index.php/LUCAS_-_Land_use_and_land_cover_survey</w:t>
      </w:r>
    </w:p>
  </w:footnote>
  <w:footnote w:id="311">
    <w:p w14:paraId="2B261955" w14:textId="77777777" w:rsidR="000A3BB7" w:rsidRPr="00C414D8" w:rsidRDefault="000A3BB7" w:rsidP="00C414D8">
      <w:pPr>
        <w:tabs>
          <w:tab w:val="left" w:pos="404"/>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https://ec.europa.eu/agriculture/direct-support/iacs_en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84E31" w14:textId="77777777" w:rsidR="000A3BB7" w:rsidRPr="00E3383E" w:rsidRDefault="000A3BB7" w:rsidP="000A3BB7">
    <w:pPr>
      <w:pStyle w:val="Header"/>
      <w:tabs>
        <w:tab w:val="clear" w:pos="4153"/>
        <w:tab w:val="clear" w:pos="8306"/>
      </w:tabs>
      <w:rPr>
        <w:rStyle w:val="PageNumber"/>
        <w:rFonts w:ascii="Times New Roman" w:hAnsi="Times New Roman" w:cs="Times New Roman"/>
        <w:sz w:val="20"/>
        <w:szCs w:val="20"/>
      </w:rPr>
    </w:pPr>
    <w:bookmarkStart w:id="27" w:name="_Hlk496261784"/>
    <w:bookmarkStart w:id="28" w:name="_Hlk496261785"/>
    <w:bookmarkStart w:id="29" w:name="_Hlk496261786"/>
    <w:bookmarkStart w:id="30" w:name="_Hlk502757728"/>
    <w:bookmarkStart w:id="31" w:name="_Hlk502757729"/>
    <w:bookmarkStart w:id="32" w:name="_Hlk502757738"/>
    <w:bookmarkStart w:id="33" w:name="_Hlk502757739"/>
  </w:p>
  <w:p w14:paraId="5BFC835E" w14:textId="77777777" w:rsidR="000A3BB7" w:rsidRPr="00E3383E" w:rsidRDefault="000A3BB7" w:rsidP="000A3BB7">
    <w:pPr>
      <w:pStyle w:val="Header"/>
      <w:tabs>
        <w:tab w:val="clear" w:pos="4153"/>
        <w:tab w:val="clear" w:pos="8306"/>
        <w:tab w:val="right" w:leader="underscore" w:pos="9072"/>
      </w:tabs>
      <w:rPr>
        <w:rStyle w:val="PageNumber"/>
        <w:rFonts w:ascii="Times New Roman" w:hAnsi="Times New Roman" w:cs="Times New Roman"/>
        <w:sz w:val="20"/>
        <w:szCs w:val="20"/>
      </w:rPr>
    </w:pPr>
    <w:r w:rsidRPr="00E3383E">
      <w:rPr>
        <w:rStyle w:val="PageNumber"/>
        <w:rFonts w:ascii="Times New Roman" w:hAnsi="Times New Roman" w:cs="Times New Roman"/>
        <w:sz w:val="20"/>
        <w:szCs w:val="20"/>
      </w:rPr>
      <w:tab/>
    </w:r>
  </w:p>
  <w:bookmarkEnd w:id="27"/>
  <w:bookmarkEnd w:id="28"/>
  <w:bookmarkEnd w:id="29"/>
  <w:bookmarkEnd w:id="30"/>
  <w:bookmarkEnd w:id="31"/>
  <w:bookmarkEnd w:id="32"/>
  <w:bookmarkEnd w:id="33"/>
  <w:p w14:paraId="014897A0" w14:textId="77777777" w:rsidR="000A3BB7" w:rsidRPr="00E3383E" w:rsidRDefault="000A3BB7" w:rsidP="000A3BB7">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4812" w14:textId="77777777" w:rsidR="000A3BB7" w:rsidRPr="000A3BB7" w:rsidRDefault="000A3BB7" w:rsidP="000A3BB7">
    <w:pPr>
      <w:pBdr>
        <w:bottom w:val="single" w:sz="12" w:space="5" w:color="auto"/>
      </w:pBdr>
      <w:rPr>
        <w:rFonts w:ascii="Times New Roman" w:hAnsi="Times New Roman" w:cs="Times New Roman"/>
        <w:spacing w:val="-2"/>
        <w:sz w:val="20"/>
        <w:szCs w:val="20"/>
      </w:rPr>
    </w:pPr>
    <w:bookmarkStart w:id="34" w:name="_Hlk496261745"/>
    <w:bookmarkStart w:id="35" w:name="_Hlk496261746"/>
    <w:bookmarkStart w:id="36" w:name="_Hlk496261747"/>
  </w:p>
  <w:bookmarkEnd w:id="34"/>
  <w:bookmarkEnd w:id="35"/>
  <w:bookmarkEnd w:id="36"/>
  <w:p w14:paraId="7E93E394" w14:textId="77777777" w:rsidR="000A3BB7" w:rsidRPr="000A3BB7" w:rsidRDefault="000A3BB7" w:rsidP="000A3BB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5D78"/>
    <w:multiLevelType w:val="hybridMultilevel"/>
    <w:tmpl w:val="0B8A2B58"/>
    <w:lvl w:ilvl="0" w:tplc="4410B07E">
      <w:start w:val="1"/>
      <w:numFmt w:val="decimal"/>
      <w:lvlText w:val="%1)"/>
      <w:lvlJc w:val="left"/>
      <w:pPr>
        <w:ind w:left="152" w:hanging="306"/>
      </w:pPr>
      <w:rPr>
        <w:rFonts w:ascii="Verdana" w:eastAsia="Verdana" w:hAnsi="Verdana" w:hint="default"/>
        <w:spacing w:val="-1"/>
        <w:w w:val="99"/>
        <w:sz w:val="19"/>
        <w:szCs w:val="19"/>
      </w:rPr>
    </w:lvl>
    <w:lvl w:ilvl="1" w:tplc="7096C0BA">
      <w:start w:val="1"/>
      <w:numFmt w:val="bullet"/>
      <w:lvlText w:val="•"/>
      <w:lvlJc w:val="left"/>
      <w:pPr>
        <w:ind w:left="935" w:hanging="306"/>
      </w:pPr>
      <w:rPr>
        <w:rFonts w:hint="default"/>
      </w:rPr>
    </w:lvl>
    <w:lvl w:ilvl="2" w:tplc="3A2C04E2">
      <w:start w:val="1"/>
      <w:numFmt w:val="bullet"/>
      <w:lvlText w:val="•"/>
      <w:lvlJc w:val="left"/>
      <w:pPr>
        <w:ind w:left="1717" w:hanging="306"/>
      </w:pPr>
      <w:rPr>
        <w:rFonts w:hint="default"/>
      </w:rPr>
    </w:lvl>
    <w:lvl w:ilvl="3" w:tplc="BE62483A">
      <w:start w:val="1"/>
      <w:numFmt w:val="bullet"/>
      <w:lvlText w:val="•"/>
      <w:lvlJc w:val="left"/>
      <w:pPr>
        <w:ind w:left="2500" w:hanging="306"/>
      </w:pPr>
      <w:rPr>
        <w:rFonts w:hint="default"/>
      </w:rPr>
    </w:lvl>
    <w:lvl w:ilvl="4" w:tplc="3F6C7A90">
      <w:start w:val="1"/>
      <w:numFmt w:val="bullet"/>
      <w:lvlText w:val="•"/>
      <w:lvlJc w:val="left"/>
      <w:pPr>
        <w:ind w:left="3282" w:hanging="306"/>
      </w:pPr>
      <w:rPr>
        <w:rFonts w:hint="default"/>
      </w:rPr>
    </w:lvl>
    <w:lvl w:ilvl="5" w:tplc="680AE644">
      <w:start w:val="1"/>
      <w:numFmt w:val="bullet"/>
      <w:lvlText w:val="•"/>
      <w:lvlJc w:val="left"/>
      <w:pPr>
        <w:ind w:left="4065" w:hanging="306"/>
      </w:pPr>
      <w:rPr>
        <w:rFonts w:hint="default"/>
      </w:rPr>
    </w:lvl>
    <w:lvl w:ilvl="6" w:tplc="7198395E">
      <w:start w:val="1"/>
      <w:numFmt w:val="bullet"/>
      <w:lvlText w:val="•"/>
      <w:lvlJc w:val="left"/>
      <w:pPr>
        <w:ind w:left="4847" w:hanging="306"/>
      </w:pPr>
      <w:rPr>
        <w:rFonts w:hint="default"/>
      </w:rPr>
    </w:lvl>
    <w:lvl w:ilvl="7" w:tplc="4C8C2AF4">
      <w:start w:val="1"/>
      <w:numFmt w:val="bullet"/>
      <w:lvlText w:val="•"/>
      <w:lvlJc w:val="left"/>
      <w:pPr>
        <w:ind w:left="5630" w:hanging="306"/>
      </w:pPr>
      <w:rPr>
        <w:rFonts w:hint="default"/>
      </w:rPr>
    </w:lvl>
    <w:lvl w:ilvl="8" w:tplc="1A6E5EC4">
      <w:start w:val="1"/>
      <w:numFmt w:val="bullet"/>
      <w:lvlText w:val="•"/>
      <w:lvlJc w:val="left"/>
      <w:pPr>
        <w:ind w:left="6412" w:hanging="306"/>
      </w:pPr>
      <w:rPr>
        <w:rFonts w:hint="default"/>
      </w:rPr>
    </w:lvl>
  </w:abstractNum>
  <w:abstractNum w:abstractNumId="1" w15:restartNumberingAfterBreak="0">
    <w:nsid w:val="028F68B6"/>
    <w:multiLevelType w:val="hybridMultilevel"/>
    <w:tmpl w:val="C42EBB98"/>
    <w:lvl w:ilvl="0" w:tplc="5030CC7E">
      <w:start w:val="280"/>
      <w:numFmt w:val="decimal"/>
      <w:lvlText w:val="%1"/>
      <w:lvlJc w:val="left"/>
      <w:pPr>
        <w:ind w:left="470" w:hanging="308"/>
        <w:jc w:val="right"/>
      </w:pPr>
      <w:rPr>
        <w:rFonts w:ascii="Verdana" w:eastAsia="Verdana" w:hAnsi="Verdana" w:hint="default"/>
        <w:spacing w:val="-1"/>
        <w:w w:val="99"/>
        <w:sz w:val="13"/>
        <w:szCs w:val="13"/>
      </w:rPr>
    </w:lvl>
    <w:lvl w:ilvl="1" w:tplc="A178F59A">
      <w:start w:val="1"/>
      <w:numFmt w:val="bullet"/>
      <w:lvlText w:val="•"/>
      <w:lvlJc w:val="left"/>
      <w:pPr>
        <w:ind w:left="1211" w:hanging="308"/>
      </w:pPr>
      <w:rPr>
        <w:rFonts w:hint="default"/>
      </w:rPr>
    </w:lvl>
    <w:lvl w:ilvl="2" w:tplc="C81EDCCA">
      <w:start w:val="1"/>
      <w:numFmt w:val="bullet"/>
      <w:lvlText w:val="•"/>
      <w:lvlJc w:val="left"/>
      <w:pPr>
        <w:ind w:left="1951" w:hanging="308"/>
      </w:pPr>
      <w:rPr>
        <w:rFonts w:hint="default"/>
      </w:rPr>
    </w:lvl>
    <w:lvl w:ilvl="3" w:tplc="ACE2FF26">
      <w:start w:val="1"/>
      <w:numFmt w:val="bullet"/>
      <w:lvlText w:val="•"/>
      <w:lvlJc w:val="left"/>
      <w:pPr>
        <w:ind w:left="2692" w:hanging="308"/>
      </w:pPr>
      <w:rPr>
        <w:rFonts w:hint="default"/>
      </w:rPr>
    </w:lvl>
    <w:lvl w:ilvl="4" w:tplc="E8F825CE">
      <w:start w:val="1"/>
      <w:numFmt w:val="bullet"/>
      <w:lvlText w:val="•"/>
      <w:lvlJc w:val="left"/>
      <w:pPr>
        <w:ind w:left="3433" w:hanging="308"/>
      </w:pPr>
      <w:rPr>
        <w:rFonts w:hint="default"/>
      </w:rPr>
    </w:lvl>
    <w:lvl w:ilvl="5" w:tplc="A6DCBAEA">
      <w:start w:val="1"/>
      <w:numFmt w:val="bullet"/>
      <w:lvlText w:val="•"/>
      <w:lvlJc w:val="left"/>
      <w:pPr>
        <w:ind w:left="4174" w:hanging="308"/>
      </w:pPr>
      <w:rPr>
        <w:rFonts w:hint="default"/>
      </w:rPr>
    </w:lvl>
    <w:lvl w:ilvl="6" w:tplc="1A9C2F4A">
      <w:start w:val="1"/>
      <w:numFmt w:val="bullet"/>
      <w:lvlText w:val="•"/>
      <w:lvlJc w:val="left"/>
      <w:pPr>
        <w:ind w:left="4914" w:hanging="308"/>
      </w:pPr>
      <w:rPr>
        <w:rFonts w:hint="default"/>
      </w:rPr>
    </w:lvl>
    <w:lvl w:ilvl="7" w:tplc="99A4D458">
      <w:start w:val="1"/>
      <w:numFmt w:val="bullet"/>
      <w:lvlText w:val="•"/>
      <w:lvlJc w:val="left"/>
      <w:pPr>
        <w:ind w:left="5655" w:hanging="308"/>
      </w:pPr>
      <w:rPr>
        <w:rFonts w:hint="default"/>
      </w:rPr>
    </w:lvl>
    <w:lvl w:ilvl="8" w:tplc="E660AB62">
      <w:start w:val="1"/>
      <w:numFmt w:val="bullet"/>
      <w:lvlText w:val="•"/>
      <w:lvlJc w:val="left"/>
      <w:pPr>
        <w:ind w:left="6396" w:hanging="308"/>
      </w:pPr>
      <w:rPr>
        <w:rFonts w:hint="default"/>
      </w:rPr>
    </w:lvl>
  </w:abstractNum>
  <w:abstractNum w:abstractNumId="2" w15:restartNumberingAfterBreak="0">
    <w:nsid w:val="06EE0594"/>
    <w:multiLevelType w:val="hybridMultilevel"/>
    <w:tmpl w:val="5DEA4E1E"/>
    <w:lvl w:ilvl="0" w:tplc="61C8BD22">
      <w:start w:val="139"/>
      <w:numFmt w:val="decimal"/>
      <w:lvlText w:val="%1"/>
      <w:lvlJc w:val="left"/>
      <w:pPr>
        <w:ind w:left="470" w:hanging="291"/>
      </w:pPr>
      <w:rPr>
        <w:rFonts w:ascii="Verdana" w:eastAsia="Verdana" w:hAnsi="Verdana" w:hint="default"/>
        <w:spacing w:val="-1"/>
        <w:w w:val="99"/>
        <w:sz w:val="13"/>
        <w:szCs w:val="13"/>
      </w:rPr>
    </w:lvl>
    <w:lvl w:ilvl="1" w:tplc="51B04F0A">
      <w:start w:val="1"/>
      <w:numFmt w:val="bullet"/>
      <w:lvlText w:val="•"/>
      <w:lvlJc w:val="left"/>
      <w:pPr>
        <w:ind w:left="1211" w:hanging="291"/>
      </w:pPr>
      <w:rPr>
        <w:rFonts w:hint="default"/>
      </w:rPr>
    </w:lvl>
    <w:lvl w:ilvl="2" w:tplc="C1822EDE">
      <w:start w:val="1"/>
      <w:numFmt w:val="bullet"/>
      <w:lvlText w:val="•"/>
      <w:lvlJc w:val="left"/>
      <w:pPr>
        <w:ind w:left="1951" w:hanging="291"/>
      </w:pPr>
      <w:rPr>
        <w:rFonts w:hint="default"/>
      </w:rPr>
    </w:lvl>
    <w:lvl w:ilvl="3" w:tplc="4094F12A">
      <w:start w:val="1"/>
      <w:numFmt w:val="bullet"/>
      <w:lvlText w:val="•"/>
      <w:lvlJc w:val="left"/>
      <w:pPr>
        <w:ind w:left="2692" w:hanging="291"/>
      </w:pPr>
      <w:rPr>
        <w:rFonts w:hint="default"/>
      </w:rPr>
    </w:lvl>
    <w:lvl w:ilvl="4" w:tplc="5BA64BE0">
      <w:start w:val="1"/>
      <w:numFmt w:val="bullet"/>
      <w:lvlText w:val="•"/>
      <w:lvlJc w:val="left"/>
      <w:pPr>
        <w:ind w:left="3433" w:hanging="291"/>
      </w:pPr>
      <w:rPr>
        <w:rFonts w:hint="default"/>
      </w:rPr>
    </w:lvl>
    <w:lvl w:ilvl="5" w:tplc="64883416">
      <w:start w:val="1"/>
      <w:numFmt w:val="bullet"/>
      <w:lvlText w:val="•"/>
      <w:lvlJc w:val="left"/>
      <w:pPr>
        <w:ind w:left="4174" w:hanging="291"/>
      </w:pPr>
      <w:rPr>
        <w:rFonts w:hint="default"/>
      </w:rPr>
    </w:lvl>
    <w:lvl w:ilvl="6" w:tplc="93EE9AD0">
      <w:start w:val="1"/>
      <w:numFmt w:val="bullet"/>
      <w:lvlText w:val="•"/>
      <w:lvlJc w:val="left"/>
      <w:pPr>
        <w:ind w:left="4914" w:hanging="291"/>
      </w:pPr>
      <w:rPr>
        <w:rFonts w:hint="default"/>
      </w:rPr>
    </w:lvl>
    <w:lvl w:ilvl="7" w:tplc="9C948434">
      <w:start w:val="1"/>
      <w:numFmt w:val="bullet"/>
      <w:lvlText w:val="•"/>
      <w:lvlJc w:val="left"/>
      <w:pPr>
        <w:ind w:left="5655" w:hanging="291"/>
      </w:pPr>
      <w:rPr>
        <w:rFonts w:hint="default"/>
      </w:rPr>
    </w:lvl>
    <w:lvl w:ilvl="8" w:tplc="275C389A">
      <w:start w:val="1"/>
      <w:numFmt w:val="bullet"/>
      <w:lvlText w:val="•"/>
      <w:lvlJc w:val="left"/>
      <w:pPr>
        <w:ind w:left="6396" w:hanging="291"/>
      </w:pPr>
      <w:rPr>
        <w:rFonts w:hint="default"/>
      </w:rPr>
    </w:lvl>
  </w:abstractNum>
  <w:abstractNum w:abstractNumId="3" w15:restartNumberingAfterBreak="0">
    <w:nsid w:val="06FF09FE"/>
    <w:multiLevelType w:val="hybridMultilevel"/>
    <w:tmpl w:val="F9968F2A"/>
    <w:lvl w:ilvl="0" w:tplc="BFFEE5BE">
      <w:start w:val="39"/>
      <w:numFmt w:val="decimal"/>
      <w:lvlText w:val="%1"/>
      <w:lvlJc w:val="left"/>
      <w:pPr>
        <w:ind w:left="470" w:hanging="358"/>
      </w:pPr>
      <w:rPr>
        <w:rFonts w:ascii="Verdana" w:eastAsia="Verdana" w:hAnsi="Verdana" w:hint="default"/>
        <w:spacing w:val="-1"/>
        <w:w w:val="99"/>
        <w:sz w:val="13"/>
        <w:szCs w:val="13"/>
      </w:rPr>
    </w:lvl>
    <w:lvl w:ilvl="1" w:tplc="5E425D94">
      <w:start w:val="1"/>
      <w:numFmt w:val="bullet"/>
      <w:lvlText w:val="□"/>
      <w:lvlJc w:val="left"/>
      <w:pPr>
        <w:ind w:left="832" w:hanging="360"/>
      </w:pPr>
      <w:rPr>
        <w:rFonts w:ascii="Times New Roman" w:eastAsia="Times New Roman" w:hAnsi="Times New Roman" w:hint="default"/>
        <w:w w:val="75"/>
        <w:sz w:val="19"/>
        <w:szCs w:val="19"/>
      </w:rPr>
    </w:lvl>
    <w:lvl w:ilvl="2" w:tplc="8D26746A">
      <w:start w:val="1"/>
      <w:numFmt w:val="bullet"/>
      <w:lvlText w:val="•"/>
      <w:lvlJc w:val="left"/>
      <w:pPr>
        <w:ind w:left="1615" w:hanging="360"/>
      </w:pPr>
      <w:rPr>
        <w:rFonts w:hint="default"/>
      </w:rPr>
    </w:lvl>
    <w:lvl w:ilvl="3" w:tplc="98209132">
      <w:start w:val="1"/>
      <w:numFmt w:val="bullet"/>
      <w:lvlText w:val="•"/>
      <w:lvlJc w:val="left"/>
      <w:pPr>
        <w:ind w:left="2398" w:hanging="360"/>
      </w:pPr>
      <w:rPr>
        <w:rFonts w:hint="default"/>
      </w:rPr>
    </w:lvl>
    <w:lvl w:ilvl="4" w:tplc="97D06DEE">
      <w:start w:val="1"/>
      <w:numFmt w:val="bullet"/>
      <w:lvlText w:val="•"/>
      <w:lvlJc w:val="left"/>
      <w:pPr>
        <w:ind w:left="3181" w:hanging="360"/>
      </w:pPr>
      <w:rPr>
        <w:rFonts w:hint="default"/>
      </w:rPr>
    </w:lvl>
    <w:lvl w:ilvl="5" w:tplc="B194221E">
      <w:start w:val="1"/>
      <w:numFmt w:val="bullet"/>
      <w:lvlText w:val="•"/>
      <w:lvlJc w:val="left"/>
      <w:pPr>
        <w:ind w:left="3963" w:hanging="360"/>
      </w:pPr>
      <w:rPr>
        <w:rFonts w:hint="default"/>
      </w:rPr>
    </w:lvl>
    <w:lvl w:ilvl="6" w:tplc="397CB066">
      <w:start w:val="1"/>
      <w:numFmt w:val="bullet"/>
      <w:lvlText w:val="•"/>
      <w:lvlJc w:val="left"/>
      <w:pPr>
        <w:ind w:left="4746" w:hanging="360"/>
      </w:pPr>
      <w:rPr>
        <w:rFonts w:hint="default"/>
      </w:rPr>
    </w:lvl>
    <w:lvl w:ilvl="7" w:tplc="CA6E8BEC">
      <w:start w:val="1"/>
      <w:numFmt w:val="bullet"/>
      <w:lvlText w:val="•"/>
      <w:lvlJc w:val="left"/>
      <w:pPr>
        <w:ind w:left="5529" w:hanging="360"/>
      </w:pPr>
      <w:rPr>
        <w:rFonts w:hint="default"/>
      </w:rPr>
    </w:lvl>
    <w:lvl w:ilvl="8" w:tplc="8500ECB4">
      <w:start w:val="1"/>
      <w:numFmt w:val="bullet"/>
      <w:lvlText w:val="•"/>
      <w:lvlJc w:val="left"/>
      <w:pPr>
        <w:ind w:left="6312" w:hanging="360"/>
      </w:pPr>
      <w:rPr>
        <w:rFonts w:hint="default"/>
      </w:rPr>
    </w:lvl>
  </w:abstractNum>
  <w:abstractNum w:abstractNumId="4" w15:restartNumberingAfterBreak="0">
    <w:nsid w:val="071F695F"/>
    <w:multiLevelType w:val="hybridMultilevel"/>
    <w:tmpl w:val="69DA4CB8"/>
    <w:lvl w:ilvl="0" w:tplc="BC90949C">
      <w:start w:val="1"/>
      <w:numFmt w:val="decimal"/>
      <w:lvlText w:val="%1)"/>
      <w:lvlJc w:val="left"/>
      <w:pPr>
        <w:ind w:left="212" w:hanging="319"/>
      </w:pPr>
      <w:rPr>
        <w:rFonts w:ascii="Verdana" w:eastAsia="Verdana" w:hAnsi="Verdana" w:hint="default"/>
        <w:spacing w:val="-1"/>
        <w:w w:val="99"/>
        <w:sz w:val="19"/>
        <w:szCs w:val="19"/>
      </w:rPr>
    </w:lvl>
    <w:lvl w:ilvl="1" w:tplc="A6742250">
      <w:start w:val="1"/>
      <w:numFmt w:val="bullet"/>
      <w:lvlText w:val="•"/>
      <w:lvlJc w:val="left"/>
      <w:pPr>
        <w:ind w:left="1001" w:hanging="319"/>
      </w:pPr>
      <w:rPr>
        <w:rFonts w:hint="default"/>
      </w:rPr>
    </w:lvl>
    <w:lvl w:ilvl="2" w:tplc="B6F6875A">
      <w:start w:val="1"/>
      <w:numFmt w:val="bullet"/>
      <w:lvlText w:val="•"/>
      <w:lvlJc w:val="left"/>
      <w:pPr>
        <w:ind w:left="1789" w:hanging="319"/>
      </w:pPr>
      <w:rPr>
        <w:rFonts w:hint="default"/>
      </w:rPr>
    </w:lvl>
    <w:lvl w:ilvl="3" w:tplc="25D00E9C">
      <w:start w:val="1"/>
      <w:numFmt w:val="bullet"/>
      <w:lvlText w:val="•"/>
      <w:lvlJc w:val="left"/>
      <w:pPr>
        <w:ind w:left="2578" w:hanging="319"/>
      </w:pPr>
      <w:rPr>
        <w:rFonts w:hint="default"/>
      </w:rPr>
    </w:lvl>
    <w:lvl w:ilvl="4" w:tplc="EEF27172">
      <w:start w:val="1"/>
      <w:numFmt w:val="bullet"/>
      <w:lvlText w:val="•"/>
      <w:lvlJc w:val="left"/>
      <w:pPr>
        <w:ind w:left="3366" w:hanging="319"/>
      </w:pPr>
      <w:rPr>
        <w:rFonts w:hint="default"/>
      </w:rPr>
    </w:lvl>
    <w:lvl w:ilvl="5" w:tplc="93A8F79E">
      <w:start w:val="1"/>
      <w:numFmt w:val="bullet"/>
      <w:lvlText w:val="•"/>
      <w:lvlJc w:val="left"/>
      <w:pPr>
        <w:ind w:left="4155" w:hanging="319"/>
      </w:pPr>
      <w:rPr>
        <w:rFonts w:hint="default"/>
      </w:rPr>
    </w:lvl>
    <w:lvl w:ilvl="6" w:tplc="28FA51EC">
      <w:start w:val="1"/>
      <w:numFmt w:val="bullet"/>
      <w:lvlText w:val="•"/>
      <w:lvlJc w:val="left"/>
      <w:pPr>
        <w:ind w:left="4943" w:hanging="319"/>
      </w:pPr>
      <w:rPr>
        <w:rFonts w:hint="default"/>
      </w:rPr>
    </w:lvl>
    <w:lvl w:ilvl="7" w:tplc="22E27DB8">
      <w:start w:val="1"/>
      <w:numFmt w:val="bullet"/>
      <w:lvlText w:val="•"/>
      <w:lvlJc w:val="left"/>
      <w:pPr>
        <w:ind w:left="5732" w:hanging="319"/>
      </w:pPr>
      <w:rPr>
        <w:rFonts w:hint="default"/>
      </w:rPr>
    </w:lvl>
    <w:lvl w:ilvl="8" w:tplc="91EEBDA6">
      <w:start w:val="1"/>
      <w:numFmt w:val="bullet"/>
      <w:lvlText w:val="•"/>
      <w:lvlJc w:val="left"/>
      <w:pPr>
        <w:ind w:left="6520" w:hanging="319"/>
      </w:pPr>
      <w:rPr>
        <w:rFonts w:hint="default"/>
      </w:rPr>
    </w:lvl>
  </w:abstractNum>
  <w:abstractNum w:abstractNumId="5" w15:restartNumberingAfterBreak="0">
    <w:nsid w:val="0D505D2F"/>
    <w:multiLevelType w:val="hybridMultilevel"/>
    <w:tmpl w:val="1CF07638"/>
    <w:lvl w:ilvl="0" w:tplc="AE3000C0">
      <w:start w:val="45"/>
      <w:numFmt w:val="decimal"/>
      <w:lvlText w:val="%1"/>
      <w:lvlJc w:val="left"/>
      <w:pPr>
        <w:ind w:left="470" w:hanging="209"/>
      </w:pPr>
      <w:rPr>
        <w:rFonts w:ascii="Verdana" w:eastAsia="Verdana" w:hAnsi="Verdana" w:hint="default"/>
        <w:spacing w:val="-1"/>
        <w:w w:val="99"/>
        <w:sz w:val="13"/>
        <w:szCs w:val="13"/>
      </w:rPr>
    </w:lvl>
    <w:lvl w:ilvl="1" w:tplc="06266010">
      <w:start w:val="1"/>
      <w:numFmt w:val="bullet"/>
      <w:lvlText w:val="•"/>
      <w:lvlJc w:val="left"/>
      <w:pPr>
        <w:ind w:left="1211" w:hanging="209"/>
      </w:pPr>
      <w:rPr>
        <w:rFonts w:hint="default"/>
      </w:rPr>
    </w:lvl>
    <w:lvl w:ilvl="2" w:tplc="B2364844">
      <w:start w:val="1"/>
      <w:numFmt w:val="bullet"/>
      <w:lvlText w:val="•"/>
      <w:lvlJc w:val="left"/>
      <w:pPr>
        <w:ind w:left="1951" w:hanging="209"/>
      </w:pPr>
      <w:rPr>
        <w:rFonts w:hint="default"/>
      </w:rPr>
    </w:lvl>
    <w:lvl w:ilvl="3" w:tplc="E00E28DA">
      <w:start w:val="1"/>
      <w:numFmt w:val="bullet"/>
      <w:lvlText w:val="•"/>
      <w:lvlJc w:val="left"/>
      <w:pPr>
        <w:ind w:left="2692" w:hanging="209"/>
      </w:pPr>
      <w:rPr>
        <w:rFonts w:hint="default"/>
      </w:rPr>
    </w:lvl>
    <w:lvl w:ilvl="4" w:tplc="C17C57B4">
      <w:start w:val="1"/>
      <w:numFmt w:val="bullet"/>
      <w:lvlText w:val="•"/>
      <w:lvlJc w:val="left"/>
      <w:pPr>
        <w:ind w:left="3433" w:hanging="209"/>
      </w:pPr>
      <w:rPr>
        <w:rFonts w:hint="default"/>
      </w:rPr>
    </w:lvl>
    <w:lvl w:ilvl="5" w:tplc="2F9E2E2E">
      <w:start w:val="1"/>
      <w:numFmt w:val="bullet"/>
      <w:lvlText w:val="•"/>
      <w:lvlJc w:val="left"/>
      <w:pPr>
        <w:ind w:left="4174" w:hanging="209"/>
      </w:pPr>
      <w:rPr>
        <w:rFonts w:hint="default"/>
      </w:rPr>
    </w:lvl>
    <w:lvl w:ilvl="6" w:tplc="236E793A">
      <w:start w:val="1"/>
      <w:numFmt w:val="bullet"/>
      <w:lvlText w:val="•"/>
      <w:lvlJc w:val="left"/>
      <w:pPr>
        <w:ind w:left="4914" w:hanging="209"/>
      </w:pPr>
      <w:rPr>
        <w:rFonts w:hint="default"/>
      </w:rPr>
    </w:lvl>
    <w:lvl w:ilvl="7" w:tplc="0A1A0050">
      <w:start w:val="1"/>
      <w:numFmt w:val="bullet"/>
      <w:lvlText w:val="•"/>
      <w:lvlJc w:val="left"/>
      <w:pPr>
        <w:ind w:left="5655" w:hanging="209"/>
      </w:pPr>
      <w:rPr>
        <w:rFonts w:hint="default"/>
      </w:rPr>
    </w:lvl>
    <w:lvl w:ilvl="8" w:tplc="5854EE7C">
      <w:start w:val="1"/>
      <w:numFmt w:val="bullet"/>
      <w:lvlText w:val="•"/>
      <w:lvlJc w:val="left"/>
      <w:pPr>
        <w:ind w:left="6396" w:hanging="209"/>
      </w:pPr>
      <w:rPr>
        <w:rFonts w:hint="default"/>
      </w:rPr>
    </w:lvl>
  </w:abstractNum>
  <w:abstractNum w:abstractNumId="6" w15:restartNumberingAfterBreak="0">
    <w:nsid w:val="0E214B6D"/>
    <w:multiLevelType w:val="hybridMultilevel"/>
    <w:tmpl w:val="D7A69830"/>
    <w:lvl w:ilvl="0" w:tplc="1026C24C">
      <w:start w:val="285"/>
      <w:numFmt w:val="decimal"/>
      <w:lvlText w:val="%1"/>
      <w:lvlJc w:val="left"/>
      <w:pPr>
        <w:ind w:left="470" w:hanging="291"/>
      </w:pPr>
      <w:rPr>
        <w:rFonts w:ascii="Verdana" w:eastAsia="Verdana" w:hAnsi="Verdana" w:hint="default"/>
        <w:spacing w:val="-1"/>
        <w:w w:val="99"/>
        <w:sz w:val="13"/>
        <w:szCs w:val="13"/>
      </w:rPr>
    </w:lvl>
    <w:lvl w:ilvl="1" w:tplc="90F44484">
      <w:start w:val="1"/>
      <w:numFmt w:val="lowerRoman"/>
      <w:lvlText w:val="%2)"/>
      <w:lvlJc w:val="left"/>
      <w:pPr>
        <w:ind w:left="215" w:hanging="116"/>
        <w:jc w:val="right"/>
      </w:pPr>
      <w:rPr>
        <w:rFonts w:hint="default"/>
        <w:u w:val="single" w:color="000000"/>
      </w:rPr>
    </w:lvl>
    <w:lvl w:ilvl="2" w:tplc="E416A340">
      <w:start w:val="1"/>
      <w:numFmt w:val="bullet"/>
      <w:lvlText w:val="•"/>
      <w:lvlJc w:val="left"/>
      <w:pPr>
        <w:ind w:left="1293" w:hanging="116"/>
      </w:pPr>
      <w:rPr>
        <w:rFonts w:hint="default"/>
      </w:rPr>
    </w:lvl>
    <w:lvl w:ilvl="3" w:tplc="45CC2C82">
      <w:start w:val="1"/>
      <w:numFmt w:val="bullet"/>
      <w:lvlText w:val="•"/>
      <w:lvlJc w:val="left"/>
      <w:pPr>
        <w:ind w:left="2116" w:hanging="116"/>
      </w:pPr>
      <w:rPr>
        <w:rFonts w:hint="default"/>
      </w:rPr>
    </w:lvl>
    <w:lvl w:ilvl="4" w:tplc="FFE242B8">
      <w:start w:val="1"/>
      <w:numFmt w:val="bullet"/>
      <w:lvlText w:val="•"/>
      <w:lvlJc w:val="left"/>
      <w:pPr>
        <w:ind w:left="2939" w:hanging="116"/>
      </w:pPr>
      <w:rPr>
        <w:rFonts w:hint="default"/>
      </w:rPr>
    </w:lvl>
    <w:lvl w:ilvl="5" w:tplc="F36AB1EE">
      <w:start w:val="1"/>
      <w:numFmt w:val="bullet"/>
      <w:lvlText w:val="•"/>
      <w:lvlJc w:val="left"/>
      <w:pPr>
        <w:ind w:left="3762" w:hanging="116"/>
      </w:pPr>
      <w:rPr>
        <w:rFonts w:hint="default"/>
      </w:rPr>
    </w:lvl>
    <w:lvl w:ilvl="6" w:tplc="888CDC64">
      <w:start w:val="1"/>
      <w:numFmt w:val="bullet"/>
      <w:lvlText w:val="•"/>
      <w:lvlJc w:val="left"/>
      <w:pPr>
        <w:ind w:left="4585" w:hanging="116"/>
      </w:pPr>
      <w:rPr>
        <w:rFonts w:hint="default"/>
      </w:rPr>
    </w:lvl>
    <w:lvl w:ilvl="7" w:tplc="76FE7EE4">
      <w:start w:val="1"/>
      <w:numFmt w:val="bullet"/>
      <w:lvlText w:val="•"/>
      <w:lvlJc w:val="left"/>
      <w:pPr>
        <w:ind w:left="5408" w:hanging="116"/>
      </w:pPr>
      <w:rPr>
        <w:rFonts w:hint="default"/>
      </w:rPr>
    </w:lvl>
    <w:lvl w:ilvl="8" w:tplc="95B49C60">
      <w:start w:val="1"/>
      <w:numFmt w:val="bullet"/>
      <w:lvlText w:val="•"/>
      <w:lvlJc w:val="left"/>
      <w:pPr>
        <w:ind w:left="6231" w:hanging="116"/>
      </w:pPr>
      <w:rPr>
        <w:rFonts w:hint="default"/>
      </w:rPr>
    </w:lvl>
  </w:abstractNum>
  <w:abstractNum w:abstractNumId="7" w15:restartNumberingAfterBreak="0">
    <w:nsid w:val="0E7B3F11"/>
    <w:multiLevelType w:val="hybridMultilevel"/>
    <w:tmpl w:val="6C207BA6"/>
    <w:lvl w:ilvl="0" w:tplc="F3769C30">
      <w:start w:val="189"/>
      <w:numFmt w:val="decimal"/>
      <w:lvlText w:val="%1"/>
      <w:lvlJc w:val="left"/>
      <w:pPr>
        <w:ind w:left="470" w:hanging="291"/>
      </w:pPr>
      <w:rPr>
        <w:rFonts w:ascii="Verdana" w:eastAsia="Verdana" w:hAnsi="Verdana" w:hint="default"/>
        <w:spacing w:val="-1"/>
        <w:w w:val="99"/>
        <w:sz w:val="13"/>
        <w:szCs w:val="13"/>
      </w:rPr>
    </w:lvl>
    <w:lvl w:ilvl="1" w:tplc="8DF80F1A">
      <w:start w:val="1"/>
      <w:numFmt w:val="bullet"/>
      <w:lvlText w:val="•"/>
      <w:lvlJc w:val="left"/>
      <w:pPr>
        <w:ind w:left="1211" w:hanging="291"/>
      </w:pPr>
      <w:rPr>
        <w:rFonts w:hint="default"/>
      </w:rPr>
    </w:lvl>
    <w:lvl w:ilvl="2" w:tplc="D2A8F8A4">
      <w:start w:val="1"/>
      <w:numFmt w:val="bullet"/>
      <w:lvlText w:val="•"/>
      <w:lvlJc w:val="left"/>
      <w:pPr>
        <w:ind w:left="1951" w:hanging="291"/>
      </w:pPr>
      <w:rPr>
        <w:rFonts w:hint="default"/>
      </w:rPr>
    </w:lvl>
    <w:lvl w:ilvl="3" w:tplc="4FEC8160">
      <w:start w:val="1"/>
      <w:numFmt w:val="bullet"/>
      <w:lvlText w:val="•"/>
      <w:lvlJc w:val="left"/>
      <w:pPr>
        <w:ind w:left="2692" w:hanging="291"/>
      </w:pPr>
      <w:rPr>
        <w:rFonts w:hint="default"/>
      </w:rPr>
    </w:lvl>
    <w:lvl w:ilvl="4" w:tplc="D7E2A460">
      <w:start w:val="1"/>
      <w:numFmt w:val="bullet"/>
      <w:lvlText w:val="•"/>
      <w:lvlJc w:val="left"/>
      <w:pPr>
        <w:ind w:left="3433" w:hanging="291"/>
      </w:pPr>
      <w:rPr>
        <w:rFonts w:hint="default"/>
      </w:rPr>
    </w:lvl>
    <w:lvl w:ilvl="5" w:tplc="9A927612">
      <w:start w:val="1"/>
      <w:numFmt w:val="bullet"/>
      <w:lvlText w:val="•"/>
      <w:lvlJc w:val="left"/>
      <w:pPr>
        <w:ind w:left="4174" w:hanging="291"/>
      </w:pPr>
      <w:rPr>
        <w:rFonts w:hint="default"/>
      </w:rPr>
    </w:lvl>
    <w:lvl w:ilvl="6" w:tplc="1EDEA9A8">
      <w:start w:val="1"/>
      <w:numFmt w:val="bullet"/>
      <w:lvlText w:val="•"/>
      <w:lvlJc w:val="left"/>
      <w:pPr>
        <w:ind w:left="4914" w:hanging="291"/>
      </w:pPr>
      <w:rPr>
        <w:rFonts w:hint="default"/>
      </w:rPr>
    </w:lvl>
    <w:lvl w:ilvl="7" w:tplc="2C7293B0">
      <w:start w:val="1"/>
      <w:numFmt w:val="bullet"/>
      <w:lvlText w:val="•"/>
      <w:lvlJc w:val="left"/>
      <w:pPr>
        <w:ind w:left="5655" w:hanging="291"/>
      </w:pPr>
      <w:rPr>
        <w:rFonts w:hint="default"/>
      </w:rPr>
    </w:lvl>
    <w:lvl w:ilvl="8" w:tplc="3FBC94A6">
      <w:start w:val="1"/>
      <w:numFmt w:val="bullet"/>
      <w:lvlText w:val="•"/>
      <w:lvlJc w:val="left"/>
      <w:pPr>
        <w:ind w:left="6396" w:hanging="291"/>
      </w:pPr>
      <w:rPr>
        <w:rFonts w:hint="default"/>
      </w:rPr>
    </w:lvl>
  </w:abstractNum>
  <w:abstractNum w:abstractNumId="8" w15:restartNumberingAfterBreak="0">
    <w:nsid w:val="10D609D9"/>
    <w:multiLevelType w:val="hybridMultilevel"/>
    <w:tmpl w:val="FF086354"/>
    <w:lvl w:ilvl="0" w:tplc="E52C57F8">
      <w:start w:val="1"/>
      <w:numFmt w:val="lowerRoman"/>
      <w:lvlText w:val="%1)"/>
      <w:lvlJc w:val="left"/>
      <w:pPr>
        <w:ind w:left="215" w:hanging="116"/>
      </w:pPr>
      <w:rPr>
        <w:rFonts w:hint="default"/>
        <w:u w:val="single" w:color="000000"/>
      </w:rPr>
    </w:lvl>
    <w:lvl w:ilvl="1" w:tplc="31EEDC30">
      <w:start w:val="1"/>
      <w:numFmt w:val="bullet"/>
      <w:lvlText w:val="•"/>
      <w:lvlJc w:val="left"/>
      <w:pPr>
        <w:ind w:left="1003" w:hanging="116"/>
      </w:pPr>
      <w:rPr>
        <w:rFonts w:hint="default"/>
      </w:rPr>
    </w:lvl>
    <w:lvl w:ilvl="2" w:tplc="B2B8DB04">
      <w:start w:val="1"/>
      <w:numFmt w:val="bullet"/>
      <w:lvlText w:val="•"/>
      <w:lvlJc w:val="left"/>
      <w:pPr>
        <w:ind w:left="1791" w:hanging="116"/>
      </w:pPr>
      <w:rPr>
        <w:rFonts w:hint="default"/>
      </w:rPr>
    </w:lvl>
    <w:lvl w:ilvl="3" w:tplc="BC3A6E66">
      <w:start w:val="1"/>
      <w:numFmt w:val="bullet"/>
      <w:lvlText w:val="•"/>
      <w:lvlJc w:val="left"/>
      <w:pPr>
        <w:ind w:left="2579" w:hanging="116"/>
      </w:pPr>
      <w:rPr>
        <w:rFonts w:hint="default"/>
      </w:rPr>
    </w:lvl>
    <w:lvl w:ilvl="4" w:tplc="9956FD3C">
      <w:start w:val="1"/>
      <w:numFmt w:val="bullet"/>
      <w:lvlText w:val="•"/>
      <w:lvlJc w:val="left"/>
      <w:pPr>
        <w:ind w:left="3368" w:hanging="116"/>
      </w:pPr>
      <w:rPr>
        <w:rFonts w:hint="default"/>
      </w:rPr>
    </w:lvl>
    <w:lvl w:ilvl="5" w:tplc="86ACEE4C">
      <w:start w:val="1"/>
      <w:numFmt w:val="bullet"/>
      <w:lvlText w:val="•"/>
      <w:lvlJc w:val="left"/>
      <w:pPr>
        <w:ind w:left="4156" w:hanging="116"/>
      </w:pPr>
      <w:rPr>
        <w:rFonts w:hint="default"/>
      </w:rPr>
    </w:lvl>
    <w:lvl w:ilvl="6" w:tplc="6CD80F32">
      <w:start w:val="1"/>
      <w:numFmt w:val="bullet"/>
      <w:lvlText w:val="•"/>
      <w:lvlJc w:val="left"/>
      <w:pPr>
        <w:ind w:left="4944" w:hanging="116"/>
      </w:pPr>
      <w:rPr>
        <w:rFonts w:hint="default"/>
      </w:rPr>
    </w:lvl>
    <w:lvl w:ilvl="7" w:tplc="5FFE038C">
      <w:start w:val="1"/>
      <w:numFmt w:val="bullet"/>
      <w:lvlText w:val="•"/>
      <w:lvlJc w:val="left"/>
      <w:pPr>
        <w:ind w:left="5732" w:hanging="116"/>
      </w:pPr>
      <w:rPr>
        <w:rFonts w:hint="default"/>
      </w:rPr>
    </w:lvl>
    <w:lvl w:ilvl="8" w:tplc="6C928ED6">
      <w:start w:val="1"/>
      <w:numFmt w:val="bullet"/>
      <w:lvlText w:val="•"/>
      <w:lvlJc w:val="left"/>
      <w:pPr>
        <w:ind w:left="6521" w:hanging="116"/>
      </w:pPr>
      <w:rPr>
        <w:rFonts w:hint="default"/>
      </w:rPr>
    </w:lvl>
  </w:abstractNum>
  <w:abstractNum w:abstractNumId="9" w15:restartNumberingAfterBreak="0">
    <w:nsid w:val="11DE1EA1"/>
    <w:multiLevelType w:val="hybridMultilevel"/>
    <w:tmpl w:val="918AC36C"/>
    <w:lvl w:ilvl="0" w:tplc="B43A97A6">
      <w:start w:val="1"/>
      <w:numFmt w:val="bullet"/>
      <w:lvlText w:val="□"/>
      <w:lvlJc w:val="left"/>
      <w:pPr>
        <w:ind w:left="2560" w:hanging="425"/>
      </w:pPr>
      <w:rPr>
        <w:rFonts w:ascii="Times New Roman" w:eastAsia="Times New Roman" w:hAnsi="Times New Roman" w:hint="default"/>
        <w:w w:val="130"/>
        <w:sz w:val="14"/>
        <w:szCs w:val="14"/>
      </w:rPr>
    </w:lvl>
    <w:lvl w:ilvl="1" w:tplc="2C58B9D0">
      <w:start w:val="1"/>
      <w:numFmt w:val="bullet"/>
      <w:lvlText w:val="•"/>
      <w:lvlJc w:val="left"/>
      <w:pPr>
        <w:ind w:left="3063" w:hanging="425"/>
      </w:pPr>
      <w:rPr>
        <w:rFonts w:hint="default"/>
      </w:rPr>
    </w:lvl>
    <w:lvl w:ilvl="2" w:tplc="083A0AFE">
      <w:start w:val="1"/>
      <w:numFmt w:val="bullet"/>
      <w:lvlText w:val="•"/>
      <w:lvlJc w:val="left"/>
      <w:pPr>
        <w:ind w:left="3566" w:hanging="425"/>
      </w:pPr>
      <w:rPr>
        <w:rFonts w:hint="default"/>
      </w:rPr>
    </w:lvl>
    <w:lvl w:ilvl="3" w:tplc="1E04E26E">
      <w:start w:val="1"/>
      <w:numFmt w:val="bullet"/>
      <w:lvlText w:val="•"/>
      <w:lvlJc w:val="left"/>
      <w:pPr>
        <w:ind w:left="4069" w:hanging="425"/>
      </w:pPr>
      <w:rPr>
        <w:rFonts w:hint="default"/>
      </w:rPr>
    </w:lvl>
    <w:lvl w:ilvl="4" w:tplc="25C8BACA">
      <w:start w:val="1"/>
      <w:numFmt w:val="bullet"/>
      <w:lvlText w:val="•"/>
      <w:lvlJc w:val="left"/>
      <w:pPr>
        <w:ind w:left="4572" w:hanging="425"/>
      </w:pPr>
      <w:rPr>
        <w:rFonts w:hint="default"/>
      </w:rPr>
    </w:lvl>
    <w:lvl w:ilvl="5" w:tplc="8DF6AE92">
      <w:start w:val="1"/>
      <w:numFmt w:val="bullet"/>
      <w:lvlText w:val="•"/>
      <w:lvlJc w:val="left"/>
      <w:pPr>
        <w:ind w:left="5074" w:hanging="425"/>
      </w:pPr>
      <w:rPr>
        <w:rFonts w:hint="default"/>
      </w:rPr>
    </w:lvl>
    <w:lvl w:ilvl="6" w:tplc="C3201CA8">
      <w:start w:val="1"/>
      <w:numFmt w:val="bullet"/>
      <w:lvlText w:val="•"/>
      <w:lvlJc w:val="left"/>
      <w:pPr>
        <w:ind w:left="5577" w:hanging="425"/>
      </w:pPr>
      <w:rPr>
        <w:rFonts w:hint="default"/>
      </w:rPr>
    </w:lvl>
    <w:lvl w:ilvl="7" w:tplc="DA300492">
      <w:start w:val="1"/>
      <w:numFmt w:val="bullet"/>
      <w:lvlText w:val="•"/>
      <w:lvlJc w:val="left"/>
      <w:pPr>
        <w:ind w:left="6080" w:hanging="425"/>
      </w:pPr>
      <w:rPr>
        <w:rFonts w:hint="default"/>
      </w:rPr>
    </w:lvl>
    <w:lvl w:ilvl="8" w:tplc="99F4A054">
      <w:start w:val="1"/>
      <w:numFmt w:val="bullet"/>
      <w:lvlText w:val="•"/>
      <w:lvlJc w:val="left"/>
      <w:pPr>
        <w:ind w:left="6583" w:hanging="425"/>
      </w:pPr>
      <w:rPr>
        <w:rFonts w:hint="default"/>
      </w:rPr>
    </w:lvl>
  </w:abstractNum>
  <w:abstractNum w:abstractNumId="10" w15:restartNumberingAfterBreak="0">
    <w:nsid w:val="1289585C"/>
    <w:multiLevelType w:val="hybridMultilevel"/>
    <w:tmpl w:val="FDE25C94"/>
    <w:lvl w:ilvl="0" w:tplc="F8E05B54">
      <w:start w:val="294"/>
      <w:numFmt w:val="decimal"/>
      <w:lvlText w:val="%1"/>
      <w:lvlJc w:val="left"/>
      <w:pPr>
        <w:ind w:left="510" w:hanging="291"/>
        <w:jc w:val="right"/>
      </w:pPr>
      <w:rPr>
        <w:rFonts w:ascii="Verdana" w:eastAsia="Verdana" w:hAnsi="Verdana" w:hint="default"/>
        <w:spacing w:val="-1"/>
        <w:w w:val="99"/>
        <w:sz w:val="13"/>
        <w:szCs w:val="13"/>
      </w:rPr>
    </w:lvl>
    <w:lvl w:ilvl="1" w:tplc="2E422A44">
      <w:start w:val="1"/>
      <w:numFmt w:val="bullet"/>
      <w:lvlText w:val="•"/>
      <w:lvlJc w:val="left"/>
      <w:pPr>
        <w:ind w:left="1257" w:hanging="291"/>
      </w:pPr>
      <w:rPr>
        <w:rFonts w:hint="default"/>
      </w:rPr>
    </w:lvl>
    <w:lvl w:ilvl="2" w:tplc="CF962E6E">
      <w:start w:val="1"/>
      <w:numFmt w:val="bullet"/>
      <w:lvlText w:val="•"/>
      <w:lvlJc w:val="left"/>
      <w:pPr>
        <w:ind w:left="2003" w:hanging="291"/>
      </w:pPr>
      <w:rPr>
        <w:rFonts w:hint="default"/>
      </w:rPr>
    </w:lvl>
    <w:lvl w:ilvl="3" w:tplc="820A1D54">
      <w:start w:val="1"/>
      <w:numFmt w:val="bullet"/>
      <w:lvlText w:val="•"/>
      <w:lvlJc w:val="left"/>
      <w:pPr>
        <w:ind w:left="2750" w:hanging="291"/>
      </w:pPr>
      <w:rPr>
        <w:rFonts w:hint="default"/>
      </w:rPr>
    </w:lvl>
    <w:lvl w:ilvl="4" w:tplc="87B0FD4E">
      <w:start w:val="1"/>
      <w:numFmt w:val="bullet"/>
      <w:lvlText w:val="•"/>
      <w:lvlJc w:val="left"/>
      <w:pPr>
        <w:ind w:left="3497" w:hanging="291"/>
      </w:pPr>
      <w:rPr>
        <w:rFonts w:hint="default"/>
      </w:rPr>
    </w:lvl>
    <w:lvl w:ilvl="5" w:tplc="398E6068">
      <w:start w:val="1"/>
      <w:numFmt w:val="bullet"/>
      <w:lvlText w:val="•"/>
      <w:lvlJc w:val="left"/>
      <w:pPr>
        <w:ind w:left="4244" w:hanging="291"/>
      </w:pPr>
      <w:rPr>
        <w:rFonts w:hint="default"/>
      </w:rPr>
    </w:lvl>
    <w:lvl w:ilvl="6" w:tplc="F02C7526">
      <w:start w:val="1"/>
      <w:numFmt w:val="bullet"/>
      <w:lvlText w:val="•"/>
      <w:lvlJc w:val="left"/>
      <w:pPr>
        <w:ind w:left="4990" w:hanging="291"/>
      </w:pPr>
      <w:rPr>
        <w:rFonts w:hint="default"/>
      </w:rPr>
    </w:lvl>
    <w:lvl w:ilvl="7" w:tplc="99920082">
      <w:start w:val="1"/>
      <w:numFmt w:val="bullet"/>
      <w:lvlText w:val="•"/>
      <w:lvlJc w:val="left"/>
      <w:pPr>
        <w:ind w:left="5737" w:hanging="291"/>
      </w:pPr>
      <w:rPr>
        <w:rFonts w:hint="default"/>
      </w:rPr>
    </w:lvl>
    <w:lvl w:ilvl="8" w:tplc="EA1A78A0">
      <w:start w:val="1"/>
      <w:numFmt w:val="bullet"/>
      <w:lvlText w:val="•"/>
      <w:lvlJc w:val="left"/>
      <w:pPr>
        <w:ind w:left="6484" w:hanging="291"/>
      </w:pPr>
      <w:rPr>
        <w:rFonts w:hint="default"/>
      </w:rPr>
    </w:lvl>
  </w:abstractNum>
  <w:abstractNum w:abstractNumId="11" w15:restartNumberingAfterBreak="0">
    <w:nsid w:val="16061AB0"/>
    <w:multiLevelType w:val="hybridMultilevel"/>
    <w:tmpl w:val="02140782"/>
    <w:lvl w:ilvl="0" w:tplc="5240F10A">
      <w:start w:val="1"/>
      <w:numFmt w:val="decimal"/>
      <w:lvlText w:val="%1"/>
      <w:lvlJc w:val="left"/>
      <w:pPr>
        <w:ind w:left="570" w:hanging="358"/>
        <w:jc w:val="right"/>
      </w:pPr>
      <w:rPr>
        <w:rFonts w:ascii="Verdana" w:eastAsia="Verdana" w:hAnsi="Verdana" w:hint="default"/>
        <w:w w:val="99"/>
        <w:sz w:val="13"/>
        <w:szCs w:val="13"/>
      </w:rPr>
    </w:lvl>
    <w:lvl w:ilvl="1" w:tplc="8F3EAB1C">
      <w:start w:val="1"/>
      <w:numFmt w:val="bullet"/>
      <w:lvlText w:val="•"/>
      <w:lvlJc w:val="left"/>
      <w:pPr>
        <w:ind w:left="1323" w:hanging="358"/>
      </w:pPr>
      <w:rPr>
        <w:rFonts w:hint="default"/>
      </w:rPr>
    </w:lvl>
    <w:lvl w:ilvl="2" w:tplc="C13A53FC">
      <w:start w:val="1"/>
      <w:numFmt w:val="bullet"/>
      <w:lvlText w:val="•"/>
      <w:lvlJc w:val="left"/>
      <w:pPr>
        <w:ind w:left="2075" w:hanging="358"/>
      </w:pPr>
      <w:rPr>
        <w:rFonts w:hint="default"/>
      </w:rPr>
    </w:lvl>
    <w:lvl w:ilvl="3" w:tplc="5AE21594">
      <w:start w:val="1"/>
      <w:numFmt w:val="bullet"/>
      <w:lvlText w:val="•"/>
      <w:lvlJc w:val="left"/>
      <w:pPr>
        <w:ind w:left="2828" w:hanging="358"/>
      </w:pPr>
      <w:rPr>
        <w:rFonts w:hint="default"/>
      </w:rPr>
    </w:lvl>
    <w:lvl w:ilvl="4" w:tplc="2242C7A2">
      <w:start w:val="1"/>
      <w:numFmt w:val="bullet"/>
      <w:lvlText w:val="•"/>
      <w:lvlJc w:val="left"/>
      <w:pPr>
        <w:ind w:left="3581" w:hanging="358"/>
      </w:pPr>
      <w:rPr>
        <w:rFonts w:hint="default"/>
      </w:rPr>
    </w:lvl>
    <w:lvl w:ilvl="5" w:tplc="346A2EB4">
      <w:start w:val="1"/>
      <w:numFmt w:val="bullet"/>
      <w:lvlText w:val="•"/>
      <w:lvlJc w:val="left"/>
      <w:pPr>
        <w:ind w:left="4334" w:hanging="358"/>
      </w:pPr>
      <w:rPr>
        <w:rFonts w:hint="default"/>
      </w:rPr>
    </w:lvl>
    <w:lvl w:ilvl="6" w:tplc="3B42A40A">
      <w:start w:val="1"/>
      <w:numFmt w:val="bullet"/>
      <w:lvlText w:val="•"/>
      <w:lvlJc w:val="left"/>
      <w:pPr>
        <w:ind w:left="5086" w:hanging="358"/>
      </w:pPr>
      <w:rPr>
        <w:rFonts w:hint="default"/>
      </w:rPr>
    </w:lvl>
    <w:lvl w:ilvl="7" w:tplc="B57E3AFC">
      <w:start w:val="1"/>
      <w:numFmt w:val="bullet"/>
      <w:lvlText w:val="•"/>
      <w:lvlJc w:val="left"/>
      <w:pPr>
        <w:ind w:left="5839" w:hanging="358"/>
      </w:pPr>
      <w:rPr>
        <w:rFonts w:hint="default"/>
      </w:rPr>
    </w:lvl>
    <w:lvl w:ilvl="8" w:tplc="4EF48070">
      <w:start w:val="1"/>
      <w:numFmt w:val="bullet"/>
      <w:lvlText w:val="•"/>
      <w:lvlJc w:val="left"/>
      <w:pPr>
        <w:ind w:left="6592" w:hanging="358"/>
      </w:pPr>
      <w:rPr>
        <w:rFonts w:hint="default"/>
      </w:rPr>
    </w:lvl>
  </w:abstractNum>
  <w:abstractNum w:abstractNumId="12" w15:restartNumberingAfterBreak="0">
    <w:nsid w:val="16416EBC"/>
    <w:multiLevelType w:val="hybridMultilevel"/>
    <w:tmpl w:val="C4BCEBDC"/>
    <w:lvl w:ilvl="0" w:tplc="17B4A3D6">
      <w:start w:val="1"/>
      <w:numFmt w:val="bullet"/>
      <w:lvlText w:val="□"/>
      <w:lvlJc w:val="left"/>
      <w:pPr>
        <w:ind w:left="580" w:hanging="425"/>
      </w:pPr>
      <w:rPr>
        <w:rFonts w:ascii="Times New Roman" w:eastAsia="Times New Roman" w:hAnsi="Times New Roman" w:hint="default"/>
        <w:w w:val="130"/>
        <w:sz w:val="14"/>
        <w:szCs w:val="14"/>
      </w:rPr>
    </w:lvl>
    <w:lvl w:ilvl="1" w:tplc="CD806122">
      <w:start w:val="1"/>
      <w:numFmt w:val="bullet"/>
      <w:lvlText w:val="•"/>
      <w:lvlJc w:val="left"/>
      <w:pPr>
        <w:ind w:left="1083" w:hanging="425"/>
      </w:pPr>
      <w:rPr>
        <w:rFonts w:hint="default"/>
      </w:rPr>
    </w:lvl>
    <w:lvl w:ilvl="2" w:tplc="D4F40C20">
      <w:start w:val="1"/>
      <w:numFmt w:val="bullet"/>
      <w:lvlText w:val="•"/>
      <w:lvlJc w:val="left"/>
      <w:pPr>
        <w:ind w:left="1586" w:hanging="425"/>
      </w:pPr>
      <w:rPr>
        <w:rFonts w:hint="default"/>
      </w:rPr>
    </w:lvl>
    <w:lvl w:ilvl="3" w:tplc="78D02B6E">
      <w:start w:val="1"/>
      <w:numFmt w:val="bullet"/>
      <w:lvlText w:val="•"/>
      <w:lvlJc w:val="left"/>
      <w:pPr>
        <w:ind w:left="2089" w:hanging="425"/>
      </w:pPr>
      <w:rPr>
        <w:rFonts w:hint="default"/>
      </w:rPr>
    </w:lvl>
    <w:lvl w:ilvl="4" w:tplc="7E8423F6">
      <w:start w:val="1"/>
      <w:numFmt w:val="bullet"/>
      <w:lvlText w:val="•"/>
      <w:lvlJc w:val="left"/>
      <w:pPr>
        <w:ind w:left="2592" w:hanging="425"/>
      </w:pPr>
      <w:rPr>
        <w:rFonts w:hint="default"/>
      </w:rPr>
    </w:lvl>
    <w:lvl w:ilvl="5" w:tplc="F006BB7A">
      <w:start w:val="1"/>
      <w:numFmt w:val="bullet"/>
      <w:lvlText w:val="•"/>
      <w:lvlJc w:val="left"/>
      <w:pPr>
        <w:ind w:left="3094" w:hanging="425"/>
      </w:pPr>
      <w:rPr>
        <w:rFonts w:hint="default"/>
      </w:rPr>
    </w:lvl>
    <w:lvl w:ilvl="6" w:tplc="B0B20CF2">
      <w:start w:val="1"/>
      <w:numFmt w:val="bullet"/>
      <w:lvlText w:val="•"/>
      <w:lvlJc w:val="left"/>
      <w:pPr>
        <w:ind w:left="3597" w:hanging="425"/>
      </w:pPr>
      <w:rPr>
        <w:rFonts w:hint="default"/>
      </w:rPr>
    </w:lvl>
    <w:lvl w:ilvl="7" w:tplc="236063F4">
      <w:start w:val="1"/>
      <w:numFmt w:val="bullet"/>
      <w:lvlText w:val="•"/>
      <w:lvlJc w:val="left"/>
      <w:pPr>
        <w:ind w:left="4100" w:hanging="425"/>
      </w:pPr>
      <w:rPr>
        <w:rFonts w:hint="default"/>
      </w:rPr>
    </w:lvl>
    <w:lvl w:ilvl="8" w:tplc="25E893A0">
      <w:start w:val="1"/>
      <w:numFmt w:val="bullet"/>
      <w:lvlText w:val="•"/>
      <w:lvlJc w:val="left"/>
      <w:pPr>
        <w:ind w:left="4603" w:hanging="425"/>
      </w:pPr>
      <w:rPr>
        <w:rFonts w:hint="default"/>
      </w:rPr>
    </w:lvl>
  </w:abstractNum>
  <w:abstractNum w:abstractNumId="13" w15:restartNumberingAfterBreak="0">
    <w:nsid w:val="1BCF1D55"/>
    <w:multiLevelType w:val="hybridMultilevel"/>
    <w:tmpl w:val="E1865AEC"/>
    <w:lvl w:ilvl="0" w:tplc="785A927E">
      <w:start w:val="226"/>
      <w:numFmt w:val="decimal"/>
      <w:lvlText w:val="%1"/>
      <w:lvlJc w:val="left"/>
      <w:pPr>
        <w:ind w:left="470" w:hanging="291"/>
      </w:pPr>
      <w:rPr>
        <w:rFonts w:ascii="Verdana" w:eastAsia="Verdana" w:hAnsi="Verdana" w:hint="default"/>
        <w:spacing w:val="-1"/>
        <w:w w:val="99"/>
        <w:sz w:val="13"/>
        <w:szCs w:val="13"/>
      </w:rPr>
    </w:lvl>
    <w:lvl w:ilvl="1" w:tplc="58AC1E7C">
      <w:start w:val="1"/>
      <w:numFmt w:val="decimal"/>
      <w:lvlText w:val="%2)"/>
      <w:lvlJc w:val="left"/>
      <w:pPr>
        <w:ind w:left="872" w:hanging="360"/>
      </w:pPr>
      <w:rPr>
        <w:rFonts w:ascii="Verdana" w:eastAsia="Verdana" w:hAnsi="Verdana" w:hint="default"/>
        <w:spacing w:val="-1"/>
        <w:w w:val="99"/>
        <w:sz w:val="19"/>
        <w:szCs w:val="19"/>
      </w:rPr>
    </w:lvl>
    <w:lvl w:ilvl="2" w:tplc="C754627C">
      <w:start w:val="1"/>
      <w:numFmt w:val="bullet"/>
      <w:lvlText w:val="•"/>
      <w:lvlJc w:val="left"/>
      <w:pPr>
        <w:ind w:left="1651" w:hanging="360"/>
      </w:pPr>
      <w:rPr>
        <w:rFonts w:hint="default"/>
      </w:rPr>
    </w:lvl>
    <w:lvl w:ilvl="3" w:tplc="CB04ED26">
      <w:start w:val="1"/>
      <w:numFmt w:val="bullet"/>
      <w:lvlText w:val="•"/>
      <w:lvlJc w:val="left"/>
      <w:pPr>
        <w:ind w:left="2429" w:hanging="360"/>
      </w:pPr>
      <w:rPr>
        <w:rFonts w:hint="default"/>
      </w:rPr>
    </w:lvl>
    <w:lvl w:ilvl="4" w:tplc="729893BE">
      <w:start w:val="1"/>
      <w:numFmt w:val="bullet"/>
      <w:lvlText w:val="•"/>
      <w:lvlJc w:val="left"/>
      <w:pPr>
        <w:ind w:left="3207" w:hanging="360"/>
      </w:pPr>
      <w:rPr>
        <w:rFonts w:hint="default"/>
      </w:rPr>
    </w:lvl>
    <w:lvl w:ilvl="5" w:tplc="5D7820F0">
      <w:start w:val="1"/>
      <w:numFmt w:val="bullet"/>
      <w:lvlText w:val="•"/>
      <w:lvlJc w:val="left"/>
      <w:pPr>
        <w:ind w:left="3986" w:hanging="360"/>
      </w:pPr>
      <w:rPr>
        <w:rFonts w:hint="default"/>
      </w:rPr>
    </w:lvl>
    <w:lvl w:ilvl="6" w:tplc="20C8E0FA">
      <w:start w:val="1"/>
      <w:numFmt w:val="bullet"/>
      <w:lvlText w:val="•"/>
      <w:lvlJc w:val="left"/>
      <w:pPr>
        <w:ind w:left="4764" w:hanging="360"/>
      </w:pPr>
      <w:rPr>
        <w:rFonts w:hint="default"/>
      </w:rPr>
    </w:lvl>
    <w:lvl w:ilvl="7" w:tplc="75B65BEA">
      <w:start w:val="1"/>
      <w:numFmt w:val="bullet"/>
      <w:lvlText w:val="•"/>
      <w:lvlJc w:val="left"/>
      <w:pPr>
        <w:ind w:left="5542" w:hanging="360"/>
      </w:pPr>
      <w:rPr>
        <w:rFonts w:hint="default"/>
      </w:rPr>
    </w:lvl>
    <w:lvl w:ilvl="8" w:tplc="BC5EE6BE">
      <w:start w:val="1"/>
      <w:numFmt w:val="bullet"/>
      <w:lvlText w:val="•"/>
      <w:lvlJc w:val="left"/>
      <w:pPr>
        <w:ind w:left="6320" w:hanging="360"/>
      </w:pPr>
      <w:rPr>
        <w:rFonts w:hint="default"/>
      </w:rPr>
    </w:lvl>
  </w:abstractNum>
  <w:abstractNum w:abstractNumId="14" w15:restartNumberingAfterBreak="0">
    <w:nsid w:val="1C3606B7"/>
    <w:multiLevelType w:val="hybridMultilevel"/>
    <w:tmpl w:val="93B2C044"/>
    <w:lvl w:ilvl="0" w:tplc="93C683AE">
      <w:start w:val="307"/>
      <w:numFmt w:val="decimal"/>
      <w:lvlText w:val="%1"/>
      <w:lvlJc w:val="left"/>
      <w:pPr>
        <w:ind w:left="570" w:hanging="334"/>
        <w:jc w:val="right"/>
      </w:pPr>
      <w:rPr>
        <w:rFonts w:ascii="Verdana" w:eastAsia="Verdana" w:hAnsi="Verdana" w:hint="default"/>
        <w:spacing w:val="-1"/>
        <w:w w:val="99"/>
        <w:sz w:val="13"/>
        <w:szCs w:val="13"/>
      </w:rPr>
    </w:lvl>
    <w:lvl w:ilvl="1" w:tplc="3F1ECC6A">
      <w:start w:val="1"/>
      <w:numFmt w:val="bullet"/>
      <w:lvlText w:val="•"/>
      <w:lvlJc w:val="left"/>
      <w:pPr>
        <w:ind w:left="1323" w:hanging="334"/>
      </w:pPr>
      <w:rPr>
        <w:rFonts w:hint="default"/>
      </w:rPr>
    </w:lvl>
    <w:lvl w:ilvl="2" w:tplc="9C9821D8">
      <w:start w:val="1"/>
      <w:numFmt w:val="bullet"/>
      <w:lvlText w:val="•"/>
      <w:lvlJc w:val="left"/>
      <w:pPr>
        <w:ind w:left="2075" w:hanging="334"/>
      </w:pPr>
      <w:rPr>
        <w:rFonts w:hint="default"/>
      </w:rPr>
    </w:lvl>
    <w:lvl w:ilvl="3" w:tplc="BA24A1D0">
      <w:start w:val="1"/>
      <w:numFmt w:val="bullet"/>
      <w:lvlText w:val="•"/>
      <w:lvlJc w:val="left"/>
      <w:pPr>
        <w:ind w:left="2828" w:hanging="334"/>
      </w:pPr>
      <w:rPr>
        <w:rFonts w:hint="default"/>
      </w:rPr>
    </w:lvl>
    <w:lvl w:ilvl="4" w:tplc="40206ADE">
      <w:start w:val="1"/>
      <w:numFmt w:val="bullet"/>
      <w:lvlText w:val="•"/>
      <w:lvlJc w:val="left"/>
      <w:pPr>
        <w:ind w:left="3581" w:hanging="334"/>
      </w:pPr>
      <w:rPr>
        <w:rFonts w:hint="default"/>
      </w:rPr>
    </w:lvl>
    <w:lvl w:ilvl="5" w:tplc="4B0EDBAA">
      <w:start w:val="1"/>
      <w:numFmt w:val="bullet"/>
      <w:lvlText w:val="•"/>
      <w:lvlJc w:val="left"/>
      <w:pPr>
        <w:ind w:left="4334" w:hanging="334"/>
      </w:pPr>
      <w:rPr>
        <w:rFonts w:hint="default"/>
      </w:rPr>
    </w:lvl>
    <w:lvl w:ilvl="6" w:tplc="92C63B04">
      <w:start w:val="1"/>
      <w:numFmt w:val="bullet"/>
      <w:lvlText w:val="•"/>
      <w:lvlJc w:val="left"/>
      <w:pPr>
        <w:ind w:left="5086" w:hanging="334"/>
      </w:pPr>
      <w:rPr>
        <w:rFonts w:hint="default"/>
      </w:rPr>
    </w:lvl>
    <w:lvl w:ilvl="7" w:tplc="686EE240">
      <w:start w:val="1"/>
      <w:numFmt w:val="bullet"/>
      <w:lvlText w:val="•"/>
      <w:lvlJc w:val="left"/>
      <w:pPr>
        <w:ind w:left="5839" w:hanging="334"/>
      </w:pPr>
      <w:rPr>
        <w:rFonts w:hint="default"/>
      </w:rPr>
    </w:lvl>
    <w:lvl w:ilvl="8" w:tplc="389AFB26">
      <w:start w:val="1"/>
      <w:numFmt w:val="bullet"/>
      <w:lvlText w:val="•"/>
      <w:lvlJc w:val="left"/>
      <w:pPr>
        <w:ind w:left="6592" w:hanging="334"/>
      </w:pPr>
      <w:rPr>
        <w:rFonts w:hint="default"/>
      </w:rPr>
    </w:lvl>
  </w:abstractNum>
  <w:abstractNum w:abstractNumId="15" w15:restartNumberingAfterBreak="0">
    <w:nsid w:val="1C3730BA"/>
    <w:multiLevelType w:val="hybridMultilevel"/>
    <w:tmpl w:val="0576B962"/>
    <w:lvl w:ilvl="0" w:tplc="5972FBEA">
      <w:start w:val="269"/>
      <w:numFmt w:val="decimal"/>
      <w:lvlText w:val="%1"/>
      <w:lvlJc w:val="left"/>
      <w:pPr>
        <w:ind w:left="470" w:hanging="300"/>
        <w:jc w:val="right"/>
      </w:pPr>
      <w:rPr>
        <w:rFonts w:ascii="Verdana" w:eastAsia="Verdana" w:hAnsi="Verdana" w:hint="default"/>
        <w:spacing w:val="-1"/>
        <w:w w:val="99"/>
        <w:sz w:val="13"/>
        <w:szCs w:val="13"/>
      </w:rPr>
    </w:lvl>
    <w:lvl w:ilvl="1" w:tplc="C6E8352E">
      <w:start w:val="1"/>
      <w:numFmt w:val="decimal"/>
      <w:lvlText w:val="%2)"/>
      <w:lvlJc w:val="left"/>
      <w:pPr>
        <w:ind w:left="212" w:hanging="292"/>
      </w:pPr>
      <w:rPr>
        <w:rFonts w:ascii="Verdana" w:eastAsia="Verdana" w:hAnsi="Verdana" w:hint="default"/>
        <w:spacing w:val="-1"/>
        <w:w w:val="99"/>
        <w:sz w:val="19"/>
        <w:szCs w:val="19"/>
      </w:rPr>
    </w:lvl>
    <w:lvl w:ilvl="2" w:tplc="79E23B40">
      <w:start w:val="1"/>
      <w:numFmt w:val="bullet"/>
      <w:lvlText w:val="•"/>
      <w:lvlJc w:val="left"/>
      <w:pPr>
        <w:ind w:left="1317" w:hanging="292"/>
      </w:pPr>
      <w:rPr>
        <w:rFonts w:hint="default"/>
      </w:rPr>
    </w:lvl>
    <w:lvl w:ilvl="3" w:tplc="89866810">
      <w:start w:val="1"/>
      <w:numFmt w:val="bullet"/>
      <w:lvlText w:val="•"/>
      <w:lvlJc w:val="left"/>
      <w:pPr>
        <w:ind w:left="2165" w:hanging="292"/>
      </w:pPr>
      <w:rPr>
        <w:rFonts w:hint="default"/>
      </w:rPr>
    </w:lvl>
    <w:lvl w:ilvl="4" w:tplc="A6AA5354">
      <w:start w:val="1"/>
      <w:numFmt w:val="bullet"/>
      <w:lvlText w:val="•"/>
      <w:lvlJc w:val="left"/>
      <w:pPr>
        <w:ind w:left="3012" w:hanging="292"/>
      </w:pPr>
      <w:rPr>
        <w:rFonts w:hint="default"/>
      </w:rPr>
    </w:lvl>
    <w:lvl w:ilvl="5" w:tplc="4CB2B602">
      <w:start w:val="1"/>
      <w:numFmt w:val="bullet"/>
      <w:lvlText w:val="•"/>
      <w:lvlJc w:val="left"/>
      <w:pPr>
        <w:ind w:left="3860" w:hanging="292"/>
      </w:pPr>
      <w:rPr>
        <w:rFonts w:hint="default"/>
      </w:rPr>
    </w:lvl>
    <w:lvl w:ilvl="6" w:tplc="22FA2750">
      <w:start w:val="1"/>
      <w:numFmt w:val="bullet"/>
      <w:lvlText w:val="•"/>
      <w:lvlJc w:val="left"/>
      <w:pPr>
        <w:ind w:left="4707" w:hanging="292"/>
      </w:pPr>
      <w:rPr>
        <w:rFonts w:hint="default"/>
      </w:rPr>
    </w:lvl>
    <w:lvl w:ilvl="7" w:tplc="7D187FF6">
      <w:start w:val="1"/>
      <w:numFmt w:val="bullet"/>
      <w:lvlText w:val="•"/>
      <w:lvlJc w:val="left"/>
      <w:pPr>
        <w:ind w:left="5555" w:hanging="292"/>
      </w:pPr>
      <w:rPr>
        <w:rFonts w:hint="default"/>
      </w:rPr>
    </w:lvl>
    <w:lvl w:ilvl="8" w:tplc="A1D4CD08">
      <w:start w:val="1"/>
      <w:numFmt w:val="bullet"/>
      <w:lvlText w:val="•"/>
      <w:lvlJc w:val="left"/>
      <w:pPr>
        <w:ind w:left="6402" w:hanging="292"/>
      </w:pPr>
      <w:rPr>
        <w:rFonts w:hint="default"/>
      </w:rPr>
    </w:lvl>
  </w:abstractNum>
  <w:abstractNum w:abstractNumId="16" w15:restartNumberingAfterBreak="0">
    <w:nsid w:val="1E9B4E6F"/>
    <w:multiLevelType w:val="hybridMultilevel"/>
    <w:tmpl w:val="7E609718"/>
    <w:lvl w:ilvl="0" w:tplc="EA067BCE">
      <w:start w:val="1"/>
      <w:numFmt w:val="decimal"/>
      <w:lvlText w:val="%1)"/>
      <w:lvlJc w:val="left"/>
      <w:pPr>
        <w:ind w:left="212" w:hanging="287"/>
      </w:pPr>
      <w:rPr>
        <w:rFonts w:ascii="Verdana" w:eastAsia="Verdana" w:hAnsi="Verdana" w:hint="default"/>
        <w:spacing w:val="-1"/>
        <w:w w:val="99"/>
        <w:sz w:val="19"/>
        <w:szCs w:val="19"/>
      </w:rPr>
    </w:lvl>
    <w:lvl w:ilvl="1" w:tplc="2616A796">
      <w:start w:val="1"/>
      <w:numFmt w:val="bullet"/>
      <w:lvlText w:val="•"/>
      <w:lvlJc w:val="left"/>
      <w:pPr>
        <w:ind w:left="1001" w:hanging="287"/>
      </w:pPr>
      <w:rPr>
        <w:rFonts w:hint="default"/>
      </w:rPr>
    </w:lvl>
    <w:lvl w:ilvl="2" w:tplc="CC0227F4">
      <w:start w:val="1"/>
      <w:numFmt w:val="bullet"/>
      <w:lvlText w:val="•"/>
      <w:lvlJc w:val="left"/>
      <w:pPr>
        <w:ind w:left="1789" w:hanging="287"/>
      </w:pPr>
      <w:rPr>
        <w:rFonts w:hint="default"/>
      </w:rPr>
    </w:lvl>
    <w:lvl w:ilvl="3" w:tplc="12D870EA">
      <w:start w:val="1"/>
      <w:numFmt w:val="bullet"/>
      <w:lvlText w:val="•"/>
      <w:lvlJc w:val="left"/>
      <w:pPr>
        <w:ind w:left="2578" w:hanging="287"/>
      </w:pPr>
      <w:rPr>
        <w:rFonts w:hint="default"/>
      </w:rPr>
    </w:lvl>
    <w:lvl w:ilvl="4" w:tplc="2E365104">
      <w:start w:val="1"/>
      <w:numFmt w:val="bullet"/>
      <w:lvlText w:val="•"/>
      <w:lvlJc w:val="left"/>
      <w:pPr>
        <w:ind w:left="3366" w:hanging="287"/>
      </w:pPr>
      <w:rPr>
        <w:rFonts w:hint="default"/>
      </w:rPr>
    </w:lvl>
    <w:lvl w:ilvl="5" w:tplc="97005A68">
      <w:start w:val="1"/>
      <w:numFmt w:val="bullet"/>
      <w:lvlText w:val="•"/>
      <w:lvlJc w:val="left"/>
      <w:pPr>
        <w:ind w:left="4155" w:hanging="287"/>
      </w:pPr>
      <w:rPr>
        <w:rFonts w:hint="default"/>
      </w:rPr>
    </w:lvl>
    <w:lvl w:ilvl="6" w:tplc="AD22A6DC">
      <w:start w:val="1"/>
      <w:numFmt w:val="bullet"/>
      <w:lvlText w:val="•"/>
      <w:lvlJc w:val="left"/>
      <w:pPr>
        <w:ind w:left="4943" w:hanging="287"/>
      </w:pPr>
      <w:rPr>
        <w:rFonts w:hint="default"/>
      </w:rPr>
    </w:lvl>
    <w:lvl w:ilvl="7" w:tplc="D65284D8">
      <w:start w:val="1"/>
      <w:numFmt w:val="bullet"/>
      <w:lvlText w:val="•"/>
      <w:lvlJc w:val="left"/>
      <w:pPr>
        <w:ind w:left="5732" w:hanging="287"/>
      </w:pPr>
      <w:rPr>
        <w:rFonts w:hint="default"/>
      </w:rPr>
    </w:lvl>
    <w:lvl w:ilvl="8" w:tplc="D26E4F7C">
      <w:start w:val="1"/>
      <w:numFmt w:val="bullet"/>
      <w:lvlText w:val="•"/>
      <w:lvlJc w:val="left"/>
      <w:pPr>
        <w:ind w:left="6520" w:hanging="287"/>
      </w:pPr>
      <w:rPr>
        <w:rFonts w:hint="default"/>
      </w:rPr>
    </w:lvl>
  </w:abstractNum>
  <w:abstractNum w:abstractNumId="17" w15:restartNumberingAfterBreak="0">
    <w:nsid w:val="21C06D34"/>
    <w:multiLevelType w:val="hybridMultilevel"/>
    <w:tmpl w:val="68DAD7DC"/>
    <w:lvl w:ilvl="0" w:tplc="8B3CE7EC">
      <w:start w:val="88"/>
      <w:numFmt w:val="decimal"/>
      <w:lvlText w:val="%1"/>
      <w:lvlJc w:val="left"/>
      <w:pPr>
        <w:ind w:left="470" w:hanging="209"/>
      </w:pPr>
      <w:rPr>
        <w:rFonts w:ascii="Verdana" w:eastAsia="Verdana" w:hAnsi="Verdana" w:hint="default"/>
        <w:spacing w:val="-1"/>
        <w:w w:val="99"/>
        <w:sz w:val="13"/>
        <w:szCs w:val="13"/>
      </w:rPr>
    </w:lvl>
    <w:lvl w:ilvl="1" w:tplc="03F6408E">
      <w:start w:val="1"/>
      <w:numFmt w:val="bullet"/>
      <w:lvlText w:val="•"/>
      <w:lvlJc w:val="left"/>
      <w:pPr>
        <w:ind w:left="1211" w:hanging="209"/>
      </w:pPr>
      <w:rPr>
        <w:rFonts w:hint="default"/>
      </w:rPr>
    </w:lvl>
    <w:lvl w:ilvl="2" w:tplc="F9A00EC4">
      <w:start w:val="1"/>
      <w:numFmt w:val="bullet"/>
      <w:lvlText w:val="•"/>
      <w:lvlJc w:val="left"/>
      <w:pPr>
        <w:ind w:left="1951" w:hanging="209"/>
      </w:pPr>
      <w:rPr>
        <w:rFonts w:hint="default"/>
      </w:rPr>
    </w:lvl>
    <w:lvl w:ilvl="3" w:tplc="DAAC7794">
      <w:start w:val="1"/>
      <w:numFmt w:val="bullet"/>
      <w:lvlText w:val="•"/>
      <w:lvlJc w:val="left"/>
      <w:pPr>
        <w:ind w:left="2692" w:hanging="209"/>
      </w:pPr>
      <w:rPr>
        <w:rFonts w:hint="default"/>
      </w:rPr>
    </w:lvl>
    <w:lvl w:ilvl="4" w:tplc="FF9ED9F0">
      <w:start w:val="1"/>
      <w:numFmt w:val="bullet"/>
      <w:lvlText w:val="•"/>
      <w:lvlJc w:val="left"/>
      <w:pPr>
        <w:ind w:left="3433" w:hanging="209"/>
      </w:pPr>
      <w:rPr>
        <w:rFonts w:hint="default"/>
      </w:rPr>
    </w:lvl>
    <w:lvl w:ilvl="5" w:tplc="761EB992">
      <w:start w:val="1"/>
      <w:numFmt w:val="bullet"/>
      <w:lvlText w:val="•"/>
      <w:lvlJc w:val="left"/>
      <w:pPr>
        <w:ind w:left="4174" w:hanging="209"/>
      </w:pPr>
      <w:rPr>
        <w:rFonts w:hint="default"/>
      </w:rPr>
    </w:lvl>
    <w:lvl w:ilvl="6" w:tplc="A3822E08">
      <w:start w:val="1"/>
      <w:numFmt w:val="bullet"/>
      <w:lvlText w:val="•"/>
      <w:lvlJc w:val="left"/>
      <w:pPr>
        <w:ind w:left="4914" w:hanging="209"/>
      </w:pPr>
      <w:rPr>
        <w:rFonts w:hint="default"/>
      </w:rPr>
    </w:lvl>
    <w:lvl w:ilvl="7" w:tplc="3AF2D15E">
      <w:start w:val="1"/>
      <w:numFmt w:val="bullet"/>
      <w:lvlText w:val="•"/>
      <w:lvlJc w:val="left"/>
      <w:pPr>
        <w:ind w:left="5655" w:hanging="209"/>
      </w:pPr>
      <w:rPr>
        <w:rFonts w:hint="default"/>
      </w:rPr>
    </w:lvl>
    <w:lvl w:ilvl="8" w:tplc="C0EA4C32">
      <w:start w:val="1"/>
      <w:numFmt w:val="bullet"/>
      <w:lvlText w:val="•"/>
      <w:lvlJc w:val="left"/>
      <w:pPr>
        <w:ind w:left="6396" w:hanging="209"/>
      </w:pPr>
      <w:rPr>
        <w:rFonts w:hint="default"/>
      </w:rPr>
    </w:lvl>
  </w:abstractNum>
  <w:abstractNum w:abstractNumId="18" w15:restartNumberingAfterBreak="0">
    <w:nsid w:val="243D01BF"/>
    <w:multiLevelType w:val="hybridMultilevel"/>
    <w:tmpl w:val="6BECBC46"/>
    <w:lvl w:ilvl="0" w:tplc="5866A500">
      <w:start w:val="192"/>
      <w:numFmt w:val="decimal"/>
      <w:lvlText w:val="%1"/>
      <w:lvlJc w:val="left"/>
      <w:pPr>
        <w:ind w:left="470" w:hanging="291"/>
      </w:pPr>
      <w:rPr>
        <w:rFonts w:ascii="Verdana" w:eastAsia="Verdana" w:hAnsi="Verdana" w:hint="default"/>
        <w:spacing w:val="-1"/>
        <w:w w:val="99"/>
        <w:sz w:val="13"/>
        <w:szCs w:val="13"/>
      </w:rPr>
    </w:lvl>
    <w:lvl w:ilvl="1" w:tplc="6AFA810A">
      <w:start w:val="1"/>
      <w:numFmt w:val="bullet"/>
      <w:lvlText w:val="•"/>
      <w:lvlJc w:val="left"/>
      <w:pPr>
        <w:ind w:left="1211" w:hanging="291"/>
      </w:pPr>
      <w:rPr>
        <w:rFonts w:hint="default"/>
      </w:rPr>
    </w:lvl>
    <w:lvl w:ilvl="2" w:tplc="BE52FE5E">
      <w:start w:val="1"/>
      <w:numFmt w:val="bullet"/>
      <w:lvlText w:val="•"/>
      <w:lvlJc w:val="left"/>
      <w:pPr>
        <w:ind w:left="1951" w:hanging="291"/>
      </w:pPr>
      <w:rPr>
        <w:rFonts w:hint="default"/>
      </w:rPr>
    </w:lvl>
    <w:lvl w:ilvl="3" w:tplc="0B0E96CC">
      <w:start w:val="1"/>
      <w:numFmt w:val="bullet"/>
      <w:lvlText w:val="•"/>
      <w:lvlJc w:val="left"/>
      <w:pPr>
        <w:ind w:left="2692" w:hanging="291"/>
      </w:pPr>
      <w:rPr>
        <w:rFonts w:hint="default"/>
      </w:rPr>
    </w:lvl>
    <w:lvl w:ilvl="4" w:tplc="79288E9C">
      <w:start w:val="1"/>
      <w:numFmt w:val="bullet"/>
      <w:lvlText w:val="•"/>
      <w:lvlJc w:val="left"/>
      <w:pPr>
        <w:ind w:left="3433" w:hanging="291"/>
      </w:pPr>
      <w:rPr>
        <w:rFonts w:hint="default"/>
      </w:rPr>
    </w:lvl>
    <w:lvl w:ilvl="5" w:tplc="798C9112">
      <w:start w:val="1"/>
      <w:numFmt w:val="bullet"/>
      <w:lvlText w:val="•"/>
      <w:lvlJc w:val="left"/>
      <w:pPr>
        <w:ind w:left="4174" w:hanging="291"/>
      </w:pPr>
      <w:rPr>
        <w:rFonts w:hint="default"/>
      </w:rPr>
    </w:lvl>
    <w:lvl w:ilvl="6" w:tplc="06984C02">
      <w:start w:val="1"/>
      <w:numFmt w:val="bullet"/>
      <w:lvlText w:val="•"/>
      <w:lvlJc w:val="left"/>
      <w:pPr>
        <w:ind w:left="4914" w:hanging="291"/>
      </w:pPr>
      <w:rPr>
        <w:rFonts w:hint="default"/>
      </w:rPr>
    </w:lvl>
    <w:lvl w:ilvl="7" w:tplc="5D226F6E">
      <w:start w:val="1"/>
      <w:numFmt w:val="bullet"/>
      <w:lvlText w:val="•"/>
      <w:lvlJc w:val="left"/>
      <w:pPr>
        <w:ind w:left="5655" w:hanging="291"/>
      </w:pPr>
      <w:rPr>
        <w:rFonts w:hint="default"/>
      </w:rPr>
    </w:lvl>
    <w:lvl w:ilvl="8" w:tplc="54887CB2">
      <w:start w:val="1"/>
      <w:numFmt w:val="bullet"/>
      <w:lvlText w:val="•"/>
      <w:lvlJc w:val="left"/>
      <w:pPr>
        <w:ind w:left="6396" w:hanging="291"/>
      </w:pPr>
      <w:rPr>
        <w:rFonts w:hint="default"/>
      </w:rPr>
    </w:lvl>
  </w:abstractNum>
  <w:abstractNum w:abstractNumId="19" w15:restartNumberingAfterBreak="0">
    <w:nsid w:val="270C2AEA"/>
    <w:multiLevelType w:val="multilevel"/>
    <w:tmpl w:val="FD38FEC6"/>
    <w:lvl w:ilvl="0">
      <w:start w:val="2"/>
      <w:numFmt w:val="decimal"/>
      <w:lvlText w:val="%1"/>
      <w:lvlJc w:val="left"/>
      <w:pPr>
        <w:ind w:left="964" w:hanging="852"/>
      </w:pPr>
      <w:rPr>
        <w:rFonts w:hint="default"/>
      </w:rPr>
    </w:lvl>
    <w:lvl w:ilvl="1">
      <w:start w:val="2"/>
      <w:numFmt w:val="decimal"/>
      <w:lvlText w:val="%1.%2"/>
      <w:lvlJc w:val="left"/>
      <w:pPr>
        <w:ind w:left="964" w:hanging="852"/>
      </w:pPr>
      <w:rPr>
        <w:rFonts w:hint="default"/>
      </w:rPr>
    </w:lvl>
    <w:lvl w:ilvl="2">
      <w:start w:val="5"/>
      <w:numFmt w:val="decimal"/>
      <w:lvlText w:val="%1.%2.%3"/>
      <w:lvlJc w:val="left"/>
      <w:pPr>
        <w:ind w:left="964" w:hanging="852"/>
      </w:pPr>
      <w:rPr>
        <w:rFonts w:ascii="Times New Roman" w:eastAsia="Times New Roman" w:hAnsi="Times New Roman" w:hint="default"/>
        <w:w w:val="127"/>
        <w:sz w:val="18"/>
        <w:szCs w:val="18"/>
      </w:rPr>
    </w:lvl>
    <w:lvl w:ilvl="3">
      <w:start w:val="1"/>
      <w:numFmt w:val="bullet"/>
      <w:lvlText w:val="•"/>
      <w:lvlJc w:val="left"/>
      <w:pPr>
        <w:ind w:left="3038" w:hanging="852"/>
      </w:pPr>
      <w:rPr>
        <w:rFonts w:hint="default"/>
      </w:rPr>
    </w:lvl>
    <w:lvl w:ilvl="4">
      <w:start w:val="1"/>
      <w:numFmt w:val="bullet"/>
      <w:lvlText w:val="•"/>
      <w:lvlJc w:val="left"/>
      <w:pPr>
        <w:ind w:left="3729" w:hanging="852"/>
      </w:pPr>
      <w:rPr>
        <w:rFonts w:hint="default"/>
      </w:rPr>
    </w:lvl>
    <w:lvl w:ilvl="5">
      <w:start w:val="1"/>
      <w:numFmt w:val="bullet"/>
      <w:lvlText w:val="•"/>
      <w:lvlJc w:val="left"/>
      <w:pPr>
        <w:ind w:left="4420" w:hanging="852"/>
      </w:pPr>
      <w:rPr>
        <w:rFonts w:hint="default"/>
      </w:rPr>
    </w:lvl>
    <w:lvl w:ilvl="6">
      <w:start w:val="1"/>
      <w:numFmt w:val="bullet"/>
      <w:lvlText w:val="•"/>
      <w:lvlJc w:val="left"/>
      <w:pPr>
        <w:ind w:left="5112" w:hanging="852"/>
      </w:pPr>
      <w:rPr>
        <w:rFonts w:hint="default"/>
      </w:rPr>
    </w:lvl>
    <w:lvl w:ilvl="7">
      <w:start w:val="1"/>
      <w:numFmt w:val="bullet"/>
      <w:lvlText w:val="•"/>
      <w:lvlJc w:val="left"/>
      <w:pPr>
        <w:ind w:left="5803" w:hanging="852"/>
      </w:pPr>
      <w:rPr>
        <w:rFonts w:hint="default"/>
      </w:rPr>
    </w:lvl>
    <w:lvl w:ilvl="8">
      <w:start w:val="1"/>
      <w:numFmt w:val="bullet"/>
      <w:lvlText w:val="•"/>
      <w:lvlJc w:val="left"/>
      <w:pPr>
        <w:ind w:left="6494" w:hanging="852"/>
      </w:pPr>
      <w:rPr>
        <w:rFonts w:hint="default"/>
      </w:rPr>
    </w:lvl>
  </w:abstractNum>
  <w:abstractNum w:abstractNumId="20" w15:restartNumberingAfterBreak="0">
    <w:nsid w:val="289F1440"/>
    <w:multiLevelType w:val="hybridMultilevel"/>
    <w:tmpl w:val="21B20B52"/>
    <w:lvl w:ilvl="0" w:tplc="B04842F2">
      <w:start w:val="264"/>
      <w:numFmt w:val="decimal"/>
      <w:lvlText w:val="%1"/>
      <w:lvlJc w:val="left"/>
      <w:pPr>
        <w:ind w:left="470" w:hanging="308"/>
      </w:pPr>
      <w:rPr>
        <w:rFonts w:ascii="Verdana" w:eastAsia="Verdana" w:hAnsi="Verdana" w:hint="default"/>
        <w:spacing w:val="-1"/>
        <w:w w:val="99"/>
        <w:sz w:val="13"/>
        <w:szCs w:val="13"/>
      </w:rPr>
    </w:lvl>
    <w:lvl w:ilvl="1" w:tplc="A4C0F608">
      <w:start w:val="1"/>
      <w:numFmt w:val="bullet"/>
      <w:lvlText w:val="•"/>
      <w:lvlJc w:val="left"/>
      <w:pPr>
        <w:ind w:left="1211" w:hanging="308"/>
      </w:pPr>
      <w:rPr>
        <w:rFonts w:hint="default"/>
      </w:rPr>
    </w:lvl>
    <w:lvl w:ilvl="2" w:tplc="5B1A5008">
      <w:start w:val="1"/>
      <w:numFmt w:val="bullet"/>
      <w:lvlText w:val="•"/>
      <w:lvlJc w:val="left"/>
      <w:pPr>
        <w:ind w:left="1951" w:hanging="308"/>
      </w:pPr>
      <w:rPr>
        <w:rFonts w:hint="default"/>
      </w:rPr>
    </w:lvl>
    <w:lvl w:ilvl="3" w:tplc="C030A8E2">
      <w:start w:val="1"/>
      <w:numFmt w:val="bullet"/>
      <w:lvlText w:val="•"/>
      <w:lvlJc w:val="left"/>
      <w:pPr>
        <w:ind w:left="2692" w:hanging="308"/>
      </w:pPr>
      <w:rPr>
        <w:rFonts w:hint="default"/>
      </w:rPr>
    </w:lvl>
    <w:lvl w:ilvl="4" w:tplc="586A3196">
      <w:start w:val="1"/>
      <w:numFmt w:val="bullet"/>
      <w:lvlText w:val="•"/>
      <w:lvlJc w:val="left"/>
      <w:pPr>
        <w:ind w:left="3433" w:hanging="308"/>
      </w:pPr>
      <w:rPr>
        <w:rFonts w:hint="default"/>
      </w:rPr>
    </w:lvl>
    <w:lvl w:ilvl="5" w:tplc="CA50DEDC">
      <w:start w:val="1"/>
      <w:numFmt w:val="bullet"/>
      <w:lvlText w:val="•"/>
      <w:lvlJc w:val="left"/>
      <w:pPr>
        <w:ind w:left="4174" w:hanging="308"/>
      </w:pPr>
      <w:rPr>
        <w:rFonts w:hint="default"/>
      </w:rPr>
    </w:lvl>
    <w:lvl w:ilvl="6" w:tplc="5E925E4E">
      <w:start w:val="1"/>
      <w:numFmt w:val="bullet"/>
      <w:lvlText w:val="•"/>
      <w:lvlJc w:val="left"/>
      <w:pPr>
        <w:ind w:left="4914" w:hanging="308"/>
      </w:pPr>
      <w:rPr>
        <w:rFonts w:hint="default"/>
      </w:rPr>
    </w:lvl>
    <w:lvl w:ilvl="7" w:tplc="549C722A">
      <w:start w:val="1"/>
      <w:numFmt w:val="bullet"/>
      <w:lvlText w:val="•"/>
      <w:lvlJc w:val="left"/>
      <w:pPr>
        <w:ind w:left="5655" w:hanging="308"/>
      </w:pPr>
      <w:rPr>
        <w:rFonts w:hint="default"/>
      </w:rPr>
    </w:lvl>
    <w:lvl w:ilvl="8" w:tplc="13CE1FF2">
      <w:start w:val="1"/>
      <w:numFmt w:val="bullet"/>
      <w:lvlText w:val="•"/>
      <w:lvlJc w:val="left"/>
      <w:pPr>
        <w:ind w:left="6396" w:hanging="308"/>
      </w:pPr>
      <w:rPr>
        <w:rFonts w:hint="default"/>
      </w:rPr>
    </w:lvl>
  </w:abstractNum>
  <w:abstractNum w:abstractNumId="21" w15:restartNumberingAfterBreak="0">
    <w:nsid w:val="2E9E1AA5"/>
    <w:multiLevelType w:val="hybridMultilevel"/>
    <w:tmpl w:val="4EF47226"/>
    <w:lvl w:ilvl="0" w:tplc="06960550">
      <w:start w:val="1"/>
      <w:numFmt w:val="bullet"/>
      <w:lvlText w:val="-"/>
      <w:lvlJc w:val="left"/>
      <w:pPr>
        <w:ind w:left="540" w:hanging="428"/>
      </w:pPr>
      <w:rPr>
        <w:rFonts w:ascii="Times New Roman" w:eastAsia="Times New Roman" w:hAnsi="Times New Roman" w:hint="default"/>
        <w:color w:val="233F60"/>
        <w:w w:val="99"/>
        <w:sz w:val="19"/>
        <w:szCs w:val="19"/>
      </w:rPr>
    </w:lvl>
    <w:lvl w:ilvl="1" w:tplc="04260001">
      <w:start w:val="1"/>
      <w:numFmt w:val="bullet"/>
      <w:lvlText w:val=""/>
      <w:lvlJc w:val="left"/>
      <w:pPr>
        <w:ind w:left="832" w:hanging="360"/>
      </w:pPr>
      <w:rPr>
        <w:rFonts w:ascii="Symbol" w:hAnsi="Symbol" w:hint="default"/>
        <w:w w:val="75"/>
        <w:sz w:val="19"/>
        <w:szCs w:val="19"/>
      </w:rPr>
    </w:lvl>
    <w:lvl w:ilvl="2" w:tplc="C59A4C8A">
      <w:start w:val="1"/>
      <w:numFmt w:val="bullet"/>
      <w:lvlText w:val="•"/>
      <w:lvlJc w:val="left"/>
      <w:pPr>
        <w:ind w:left="1615" w:hanging="360"/>
      </w:pPr>
      <w:rPr>
        <w:rFonts w:hint="default"/>
      </w:rPr>
    </w:lvl>
    <w:lvl w:ilvl="3" w:tplc="B2D413A4">
      <w:start w:val="1"/>
      <w:numFmt w:val="bullet"/>
      <w:lvlText w:val="•"/>
      <w:lvlJc w:val="left"/>
      <w:pPr>
        <w:ind w:left="2398" w:hanging="360"/>
      </w:pPr>
      <w:rPr>
        <w:rFonts w:hint="default"/>
      </w:rPr>
    </w:lvl>
    <w:lvl w:ilvl="4" w:tplc="E6D4D4FC">
      <w:start w:val="1"/>
      <w:numFmt w:val="bullet"/>
      <w:lvlText w:val="•"/>
      <w:lvlJc w:val="left"/>
      <w:pPr>
        <w:ind w:left="3181" w:hanging="360"/>
      </w:pPr>
      <w:rPr>
        <w:rFonts w:hint="default"/>
      </w:rPr>
    </w:lvl>
    <w:lvl w:ilvl="5" w:tplc="43465010">
      <w:start w:val="1"/>
      <w:numFmt w:val="bullet"/>
      <w:lvlText w:val="•"/>
      <w:lvlJc w:val="left"/>
      <w:pPr>
        <w:ind w:left="3963" w:hanging="360"/>
      </w:pPr>
      <w:rPr>
        <w:rFonts w:hint="default"/>
      </w:rPr>
    </w:lvl>
    <w:lvl w:ilvl="6" w:tplc="D09C9DFC">
      <w:start w:val="1"/>
      <w:numFmt w:val="bullet"/>
      <w:lvlText w:val="•"/>
      <w:lvlJc w:val="left"/>
      <w:pPr>
        <w:ind w:left="4746" w:hanging="360"/>
      </w:pPr>
      <w:rPr>
        <w:rFonts w:hint="default"/>
      </w:rPr>
    </w:lvl>
    <w:lvl w:ilvl="7" w:tplc="5D420870">
      <w:start w:val="1"/>
      <w:numFmt w:val="bullet"/>
      <w:lvlText w:val="•"/>
      <w:lvlJc w:val="left"/>
      <w:pPr>
        <w:ind w:left="5529" w:hanging="360"/>
      </w:pPr>
      <w:rPr>
        <w:rFonts w:hint="default"/>
      </w:rPr>
    </w:lvl>
    <w:lvl w:ilvl="8" w:tplc="1ADCBB66">
      <w:start w:val="1"/>
      <w:numFmt w:val="bullet"/>
      <w:lvlText w:val="•"/>
      <w:lvlJc w:val="left"/>
      <w:pPr>
        <w:ind w:left="6312" w:hanging="360"/>
      </w:pPr>
      <w:rPr>
        <w:rFonts w:hint="default"/>
      </w:rPr>
    </w:lvl>
  </w:abstractNum>
  <w:abstractNum w:abstractNumId="22" w15:restartNumberingAfterBreak="0">
    <w:nsid w:val="2EE704C6"/>
    <w:multiLevelType w:val="hybridMultilevel"/>
    <w:tmpl w:val="B6CC41C2"/>
    <w:lvl w:ilvl="0" w:tplc="2EE6B532">
      <w:start w:val="1"/>
      <w:numFmt w:val="decimal"/>
      <w:lvlText w:val="%1)"/>
      <w:lvlJc w:val="left"/>
      <w:pPr>
        <w:ind w:left="232" w:hanging="361"/>
        <w:jc w:val="right"/>
      </w:pPr>
      <w:rPr>
        <w:rFonts w:ascii="Verdana" w:eastAsia="Verdana" w:hAnsi="Verdana" w:hint="default"/>
        <w:spacing w:val="-1"/>
        <w:w w:val="99"/>
        <w:sz w:val="19"/>
        <w:szCs w:val="19"/>
      </w:rPr>
    </w:lvl>
    <w:lvl w:ilvl="1" w:tplc="E38AB4EA">
      <w:start w:val="1"/>
      <w:numFmt w:val="bullet"/>
      <w:lvlText w:val="•"/>
      <w:lvlJc w:val="left"/>
      <w:pPr>
        <w:ind w:left="1021" w:hanging="361"/>
      </w:pPr>
      <w:rPr>
        <w:rFonts w:hint="default"/>
      </w:rPr>
    </w:lvl>
    <w:lvl w:ilvl="2" w:tplc="FB64B658">
      <w:start w:val="1"/>
      <w:numFmt w:val="bullet"/>
      <w:lvlText w:val="•"/>
      <w:lvlJc w:val="left"/>
      <w:pPr>
        <w:ind w:left="1809" w:hanging="361"/>
      </w:pPr>
      <w:rPr>
        <w:rFonts w:hint="default"/>
      </w:rPr>
    </w:lvl>
    <w:lvl w:ilvl="3" w:tplc="C72C8366">
      <w:start w:val="1"/>
      <w:numFmt w:val="bullet"/>
      <w:lvlText w:val="•"/>
      <w:lvlJc w:val="left"/>
      <w:pPr>
        <w:ind w:left="2598" w:hanging="361"/>
      </w:pPr>
      <w:rPr>
        <w:rFonts w:hint="default"/>
      </w:rPr>
    </w:lvl>
    <w:lvl w:ilvl="4" w:tplc="47D401AA">
      <w:start w:val="1"/>
      <w:numFmt w:val="bullet"/>
      <w:lvlText w:val="•"/>
      <w:lvlJc w:val="left"/>
      <w:pPr>
        <w:ind w:left="3386" w:hanging="361"/>
      </w:pPr>
      <w:rPr>
        <w:rFonts w:hint="default"/>
      </w:rPr>
    </w:lvl>
    <w:lvl w:ilvl="5" w:tplc="17FEB0CC">
      <w:start w:val="1"/>
      <w:numFmt w:val="bullet"/>
      <w:lvlText w:val="•"/>
      <w:lvlJc w:val="left"/>
      <w:pPr>
        <w:ind w:left="4175" w:hanging="361"/>
      </w:pPr>
      <w:rPr>
        <w:rFonts w:hint="default"/>
      </w:rPr>
    </w:lvl>
    <w:lvl w:ilvl="6" w:tplc="16005EEC">
      <w:start w:val="1"/>
      <w:numFmt w:val="bullet"/>
      <w:lvlText w:val="•"/>
      <w:lvlJc w:val="left"/>
      <w:pPr>
        <w:ind w:left="4963" w:hanging="361"/>
      </w:pPr>
      <w:rPr>
        <w:rFonts w:hint="default"/>
      </w:rPr>
    </w:lvl>
    <w:lvl w:ilvl="7" w:tplc="EACE99CE">
      <w:start w:val="1"/>
      <w:numFmt w:val="bullet"/>
      <w:lvlText w:val="•"/>
      <w:lvlJc w:val="left"/>
      <w:pPr>
        <w:ind w:left="5752" w:hanging="361"/>
      </w:pPr>
      <w:rPr>
        <w:rFonts w:hint="default"/>
      </w:rPr>
    </w:lvl>
    <w:lvl w:ilvl="8" w:tplc="DA48A594">
      <w:start w:val="1"/>
      <w:numFmt w:val="bullet"/>
      <w:lvlText w:val="•"/>
      <w:lvlJc w:val="left"/>
      <w:pPr>
        <w:ind w:left="6540" w:hanging="361"/>
      </w:pPr>
      <w:rPr>
        <w:rFonts w:hint="default"/>
      </w:rPr>
    </w:lvl>
  </w:abstractNum>
  <w:abstractNum w:abstractNumId="23" w15:restartNumberingAfterBreak="0">
    <w:nsid w:val="325D46C7"/>
    <w:multiLevelType w:val="hybridMultilevel"/>
    <w:tmpl w:val="E87EC90A"/>
    <w:lvl w:ilvl="0" w:tplc="2FE0FF52">
      <w:start w:val="1"/>
      <w:numFmt w:val="lowerRoman"/>
      <w:lvlText w:val="%1."/>
      <w:lvlJc w:val="left"/>
      <w:pPr>
        <w:ind w:left="215" w:hanging="101"/>
      </w:pPr>
      <w:rPr>
        <w:rFonts w:hint="default"/>
        <w:u w:val="single" w:color="000000"/>
      </w:rPr>
    </w:lvl>
    <w:lvl w:ilvl="1" w:tplc="7FBAA0A8">
      <w:start w:val="1"/>
      <w:numFmt w:val="bullet"/>
      <w:lvlText w:val="•"/>
      <w:lvlJc w:val="left"/>
      <w:pPr>
        <w:ind w:left="1003" w:hanging="101"/>
      </w:pPr>
      <w:rPr>
        <w:rFonts w:hint="default"/>
      </w:rPr>
    </w:lvl>
    <w:lvl w:ilvl="2" w:tplc="D180A628">
      <w:start w:val="1"/>
      <w:numFmt w:val="bullet"/>
      <w:lvlText w:val="•"/>
      <w:lvlJc w:val="left"/>
      <w:pPr>
        <w:ind w:left="1791" w:hanging="101"/>
      </w:pPr>
      <w:rPr>
        <w:rFonts w:hint="default"/>
      </w:rPr>
    </w:lvl>
    <w:lvl w:ilvl="3" w:tplc="D910CE98">
      <w:start w:val="1"/>
      <w:numFmt w:val="bullet"/>
      <w:lvlText w:val="•"/>
      <w:lvlJc w:val="left"/>
      <w:pPr>
        <w:ind w:left="2579" w:hanging="101"/>
      </w:pPr>
      <w:rPr>
        <w:rFonts w:hint="default"/>
      </w:rPr>
    </w:lvl>
    <w:lvl w:ilvl="4" w:tplc="421ED25A">
      <w:start w:val="1"/>
      <w:numFmt w:val="bullet"/>
      <w:lvlText w:val="•"/>
      <w:lvlJc w:val="left"/>
      <w:pPr>
        <w:ind w:left="3368" w:hanging="101"/>
      </w:pPr>
      <w:rPr>
        <w:rFonts w:hint="default"/>
      </w:rPr>
    </w:lvl>
    <w:lvl w:ilvl="5" w:tplc="49AA652E">
      <w:start w:val="1"/>
      <w:numFmt w:val="bullet"/>
      <w:lvlText w:val="•"/>
      <w:lvlJc w:val="left"/>
      <w:pPr>
        <w:ind w:left="4156" w:hanging="101"/>
      </w:pPr>
      <w:rPr>
        <w:rFonts w:hint="default"/>
      </w:rPr>
    </w:lvl>
    <w:lvl w:ilvl="6" w:tplc="EEF0FCC8">
      <w:start w:val="1"/>
      <w:numFmt w:val="bullet"/>
      <w:lvlText w:val="•"/>
      <w:lvlJc w:val="left"/>
      <w:pPr>
        <w:ind w:left="4944" w:hanging="101"/>
      </w:pPr>
      <w:rPr>
        <w:rFonts w:hint="default"/>
      </w:rPr>
    </w:lvl>
    <w:lvl w:ilvl="7" w:tplc="1C8C8436">
      <w:start w:val="1"/>
      <w:numFmt w:val="bullet"/>
      <w:lvlText w:val="•"/>
      <w:lvlJc w:val="left"/>
      <w:pPr>
        <w:ind w:left="5732" w:hanging="101"/>
      </w:pPr>
      <w:rPr>
        <w:rFonts w:hint="default"/>
      </w:rPr>
    </w:lvl>
    <w:lvl w:ilvl="8" w:tplc="8A5A012C">
      <w:start w:val="1"/>
      <w:numFmt w:val="bullet"/>
      <w:lvlText w:val="•"/>
      <w:lvlJc w:val="left"/>
      <w:pPr>
        <w:ind w:left="6521" w:hanging="101"/>
      </w:pPr>
      <w:rPr>
        <w:rFonts w:hint="default"/>
      </w:rPr>
    </w:lvl>
  </w:abstractNum>
  <w:abstractNum w:abstractNumId="24" w15:restartNumberingAfterBreak="0">
    <w:nsid w:val="328F523F"/>
    <w:multiLevelType w:val="hybridMultilevel"/>
    <w:tmpl w:val="E5408194"/>
    <w:lvl w:ilvl="0" w:tplc="76A89FD4">
      <w:start w:val="70"/>
      <w:numFmt w:val="decimal"/>
      <w:lvlText w:val="%1"/>
      <w:lvlJc w:val="left"/>
      <w:pPr>
        <w:ind w:left="192" w:hanging="209"/>
      </w:pPr>
      <w:rPr>
        <w:rFonts w:ascii="Verdana" w:eastAsia="Verdana" w:hAnsi="Verdana" w:hint="default"/>
        <w:spacing w:val="-1"/>
        <w:w w:val="99"/>
        <w:sz w:val="13"/>
        <w:szCs w:val="13"/>
      </w:rPr>
    </w:lvl>
    <w:lvl w:ilvl="1" w:tplc="3190B262">
      <w:start w:val="1"/>
      <w:numFmt w:val="bullet"/>
      <w:lvlText w:val="•"/>
      <w:lvlJc w:val="left"/>
      <w:pPr>
        <w:ind w:left="969" w:hanging="209"/>
      </w:pPr>
      <w:rPr>
        <w:rFonts w:hint="default"/>
      </w:rPr>
    </w:lvl>
    <w:lvl w:ilvl="2" w:tplc="ED8CA928">
      <w:start w:val="1"/>
      <w:numFmt w:val="bullet"/>
      <w:lvlText w:val="•"/>
      <w:lvlJc w:val="left"/>
      <w:pPr>
        <w:ind w:left="1745" w:hanging="209"/>
      </w:pPr>
      <w:rPr>
        <w:rFonts w:hint="default"/>
      </w:rPr>
    </w:lvl>
    <w:lvl w:ilvl="3" w:tplc="D832A552">
      <w:start w:val="1"/>
      <w:numFmt w:val="bullet"/>
      <w:lvlText w:val="•"/>
      <w:lvlJc w:val="left"/>
      <w:pPr>
        <w:ind w:left="2522" w:hanging="209"/>
      </w:pPr>
      <w:rPr>
        <w:rFonts w:hint="default"/>
      </w:rPr>
    </w:lvl>
    <w:lvl w:ilvl="4" w:tplc="ED18662A">
      <w:start w:val="1"/>
      <w:numFmt w:val="bullet"/>
      <w:lvlText w:val="•"/>
      <w:lvlJc w:val="left"/>
      <w:pPr>
        <w:ind w:left="3298" w:hanging="209"/>
      </w:pPr>
      <w:rPr>
        <w:rFonts w:hint="default"/>
      </w:rPr>
    </w:lvl>
    <w:lvl w:ilvl="5" w:tplc="D42E6364">
      <w:start w:val="1"/>
      <w:numFmt w:val="bullet"/>
      <w:lvlText w:val="•"/>
      <w:lvlJc w:val="left"/>
      <w:pPr>
        <w:ind w:left="4075" w:hanging="209"/>
      </w:pPr>
      <w:rPr>
        <w:rFonts w:hint="default"/>
      </w:rPr>
    </w:lvl>
    <w:lvl w:ilvl="6" w:tplc="8B6C1D9C">
      <w:start w:val="1"/>
      <w:numFmt w:val="bullet"/>
      <w:lvlText w:val="•"/>
      <w:lvlJc w:val="left"/>
      <w:pPr>
        <w:ind w:left="4851" w:hanging="209"/>
      </w:pPr>
      <w:rPr>
        <w:rFonts w:hint="default"/>
      </w:rPr>
    </w:lvl>
    <w:lvl w:ilvl="7" w:tplc="3FA0398E">
      <w:start w:val="1"/>
      <w:numFmt w:val="bullet"/>
      <w:lvlText w:val="•"/>
      <w:lvlJc w:val="left"/>
      <w:pPr>
        <w:ind w:left="5628" w:hanging="209"/>
      </w:pPr>
      <w:rPr>
        <w:rFonts w:hint="default"/>
      </w:rPr>
    </w:lvl>
    <w:lvl w:ilvl="8" w:tplc="75409BA2">
      <w:start w:val="1"/>
      <w:numFmt w:val="bullet"/>
      <w:lvlText w:val="•"/>
      <w:lvlJc w:val="left"/>
      <w:pPr>
        <w:ind w:left="6404" w:hanging="209"/>
      </w:pPr>
      <w:rPr>
        <w:rFonts w:hint="default"/>
      </w:rPr>
    </w:lvl>
  </w:abstractNum>
  <w:abstractNum w:abstractNumId="25" w15:restartNumberingAfterBreak="0">
    <w:nsid w:val="35146EEC"/>
    <w:multiLevelType w:val="hybridMultilevel"/>
    <w:tmpl w:val="4E38380A"/>
    <w:lvl w:ilvl="0" w:tplc="3DC4F8B2">
      <w:start w:val="236"/>
      <w:numFmt w:val="decimal"/>
      <w:lvlText w:val="%1"/>
      <w:lvlJc w:val="left"/>
      <w:pPr>
        <w:ind w:left="155" w:hanging="291"/>
      </w:pPr>
      <w:rPr>
        <w:rFonts w:ascii="Verdana" w:eastAsia="Verdana" w:hAnsi="Verdana" w:hint="default"/>
        <w:spacing w:val="-1"/>
        <w:w w:val="99"/>
        <w:sz w:val="13"/>
        <w:szCs w:val="13"/>
      </w:rPr>
    </w:lvl>
    <w:lvl w:ilvl="1" w:tplc="8166CEDA">
      <w:start w:val="1"/>
      <w:numFmt w:val="bullet"/>
      <w:lvlText w:val="•"/>
      <w:lvlJc w:val="left"/>
      <w:pPr>
        <w:ind w:left="937" w:hanging="291"/>
      </w:pPr>
      <w:rPr>
        <w:rFonts w:hint="default"/>
      </w:rPr>
    </w:lvl>
    <w:lvl w:ilvl="2" w:tplc="30942436">
      <w:start w:val="1"/>
      <w:numFmt w:val="bullet"/>
      <w:lvlText w:val="•"/>
      <w:lvlJc w:val="left"/>
      <w:pPr>
        <w:ind w:left="1719" w:hanging="291"/>
      </w:pPr>
      <w:rPr>
        <w:rFonts w:hint="default"/>
      </w:rPr>
    </w:lvl>
    <w:lvl w:ilvl="3" w:tplc="8E26B5B6">
      <w:start w:val="1"/>
      <w:numFmt w:val="bullet"/>
      <w:lvlText w:val="•"/>
      <w:lvlJc w:val="left"/>
      <w:pPr>
        <w:ind w:left="2501" w:hanging="291"/>
      </w:pPr>
      <w:rPr>
        <w:rFonts w:hint="default"/>
      </w:rPr>
    </w:lvl>
    <w:lvl w:ilvl="4" w:tplc="B010EB68">
      <w:start w:val="1"/>
      <w:numFmt w:val="bullet"/>
      <w:lvlText w:val="•"/>
      <w:lvlJc w:val="left"/>
      <w:pPr>
        <w:ind w:left="3284" w:hanging="291"/>
      </w:pPr>
      <w:rPr>
        <w:rFonts w:hint="default"/>
      </w:rPr>
    </w:lvl>
    <w:lvl w:ilvl="5" w:tplc="746A7F30">
      <w:start w:val="1"/>
      <w:numFmt w:val="bullet"/>
      <w:lvlText w:val="•"/>
      <w:lvlJc w:val="left"/>
      <w:pPr>
        <w:ind w:left="4066" w:hanging="291"/>
      </w:pPr>
      <w:rPr>
        <w:rFonts w:hint="default"/>
      </w:rPr>
    </w:lvl>
    <w:lvl w:ilvl="6" w:tplc="F7A2BC68">
      <w:start w:val="1"/>
      <w:numFmt w:val="bullet"/>
      <w:lvlText w:val="•"/>
      <w:lvlJc w:val="left"/>
      <w:pPr>
        <w:ind w:left="4848" w:hanging="291"/>
      </w:pPr>
      <w:rPr>
        <w:rFonts w:hint="default"/>
      </w:rPr>
    </w:lvl>
    <w:lvl w:ilvl="7" w:tplc="6180D5F4">
      <w:start w:val="1"/>
      <w:numFmt w:val="bullet"/>
      <w:lvlText w:val="•"/>
      <w:lvlJc w:val="left"/>
      <w:pPr>
        <w:ind w:left="5630" w:hanging="291"/>
      </w:pPr>
      <w:rPr>
        <w:rFonts w:hint="default"/>
      </w:rPr>
    </w:lvl>
    <w:lvl w:ilvl="8" w:tplc="7E866850">
      <w:start w:val="1"/>
      <w:numFmt w:val="bullet"/>
      <w:lvlText w:val="•"/>
      <w:lvlJc w:val="left"/>
      <w:pPr>
        <w:ind w:left="6413" w:hanging="291"/>
      </w:pPr>
      <w:rPr>
        <w:rFonts w:hint="default"/>
      </w:rPr>
    </w:lvl>
  </w:abstractNum>
  <w:abstractNum w:abstractNumId="26" w15:restartNumberingAfterBreak="0">
    <w:nsid w:val="35D85568"/>
    <w:multiLevelType w:val="hybridMultilevel"/>
    <w:tmpl w:val="99A26324"/>
    <w:lvl w:ilvl="0" w:tplc="B9160920">
      <w:start w:val="1"/>
      <w:numFmt w:val="decimal"/>
      <w:lvlText w:val="%1)"/>
      <w:lvlJc w:val="left"/>
      <w:pPr>
        <w:ind w:left="112" w:hanging="328"/>
      </w:pPr>
      <w:rPr>
        <w:rFonts w:ascii="Verdana" w:eastAsia="Verdana" w:hAnsi="Verdana" w:hint="default"/>
        <w:spacing w:val="-1"/>
        <w:w w:val="99"/>
        <w:sz w:val="19"/>
        <w:szCs w:val="19"/>
      </w:rPr>
    </w:lvl>
    <w:lvl w:ilvl="1" w:tplc="5E9276B8">
      <w:start w:val="1"/>
      <w:numFmt w:val="bullet"/>
      <w:lvlText w:val="•"/>
      <w:lvlJc w:val="left"/>
      <w:pPr>
        <w:ind w:left="889" w:hanging="328"/>
      </w:pPr>
      <w:rPr>
        <w:rFonts w:hint="default"/>
      </w:rPr>
    </w:lvl>
    <w:lvl w:ilvl="2" w:tplc="0CF8C46C">
      <w:start w:val="1"/>
      <w:numFmt w:val="bullet"/>
      <w:lvlText w:val="•"/>
      <w:lvlJc w:val="left"/>
      <w:pPr>
        <w:ind w:left="1665" w:hanging="328"/>
      </w:pPr>
      <w:rPr>
        <w:rFonts w:hint="default"/>
      </w:rPr>
    </w:lvl>
    <w:lvl w:ilvl="3" w:tplc="F1EECF20">
      <w:start w:val="1"/>
      <w:numFmt w:val="bullet"/>
      <w:lvlText w:val="•"/>
      <w:lvlJc w:val="left"/>
      <w:pPr>
        <w:ind w:left="2442" w:hanging="328"/>
      </w:pPr>
      <w:rPr>
        <w:rFonts w:hint="default"/>
      </w:rPr>
    </w:lvl>
    <w:lvl w:ilvl="4" w:tplc="78549D32">
      <w:start w:val="1"/>
      <w:numFmt w:val="bullet"/>
      <w:lvlText w:val="•"/>
      <w:lvlJc w:val="left"/>
      <w:pPr>
        <w:ind w:left="3218" w:hanging="328"/>
      </w:pPr>
      <w:rPr>
        <w:rFonts w:hint="default"/>
      </w:rPr>
    </w:lvl>
    <w:lvl w:ilvl="5" w:tplc="2132CAB6">
      <w:start w:val="1"/>
      <w:numFmt w:val="bullet"/>
      <w:lvlText w:val="•"/>
      <w:lvlJc w:val="left"/>
      <w:pPr>
        <w:ind w:left="3995" w:hanging="328"/>
      </w:pPr>
      <w:rPr>
        <w:rFonts w:hint="default"/>
      </w:rPr>
    </w:lvl>
    <w:lvl w:ilvl="6" w:tplc="57C21848">
      <w:start w:val="1"/>
      <w:numFmt w:val="bullet"/>
      <w:lvlText w:val="•"/>
      <w:lvlJc w:val="left"/>
      <w:pPr>
        <w:ind w:left="4771" w:hanging="328"/>
      </w:pPr>
      <w:rPr>
        <w:rFonts w:hint="default"/>
      </w:rPr>
    </w:lvl>
    <w:lvl w:ilvl="7" w:tplc="E7AC3C7E">
      <w:start w:val="1"/>
      <w:numFmt w:val="bullet"/>
      <w:lvlText w:val="•"/>
      <w:lvlJc w:val="left"/>
      <w:pPr>
        <w:ind w:left="5548" w:hanging="328"/>
      </w:pPr>
      <w:rPr>
        <w:rFonts w:hint="default"/>
      </w:rPr>
    </w:lvl>
    <w:lvl w:ilvl="8" w:tplc="27F098B2">
      <w:start w:val="1"/>
      <w:numFmt w:val="bullet"/>
      <w:lvlText w:val="•"/>
      <w:lvlJc w:val="left"/>
      <w:pPr>
        <w:ind w:left="6324" w:hanging="328"/>
      </w:pPr>
      <w:rPr>
        <w:rFonts w:hint="default"/>
      </w:rPr>
    </w:lvl>
  </w:abstractNum>
  <w:abstractNum w:abstractNumId="27" w15:restartNumberingAfterBreak="0">
    <w:nsid w:val="36E10AF8"/>
    <w:multiLevelType w:val="hybridMultilevel"/>
    <w:tmpl w:val="DB6083DE"/>
    <w:lvl w:ilvl="0" w:tplc="41F82CE0">
      <w:start w:val="1"/>
      <w:numFmt w:val="decimal"/>
      <w:lvlText w:val="%1)"/>
      <w:lvlJc w:val="left"/>
      <w:pPr>
        <w:ind w:left="212" w:hanging="291"/>
      </w:pPr>
      <w:rPr>
        <w:rFonts w:ascii="Verdana" w:eastAsia="Verdana" w:hAnsi="Verdana" w:hint="default"/>
        <w:spacing w:val="-1"/>
        <w:w w:val="99"/>
        <w:sz w:val="19"/>
        <w:szCs w:val="19"/>
      </w:rPr>
    </w:lvl>
    <w:lvl w:ilvl="1" w:tplc="E5C6838E">
      <w:start w:val="1"/>
      <w:numFmt w:val="bullet"/>
      <w:lvlText w:val="•"/>
      <w:lvlJc w:val="left"/>
      <w:pPr>
        <w:ind w:left="1001" w:hanging="291"/>
      </w:pPr>
      <w:rPr>
        <w:rFonts w:hint="default"/>
      </w:rPr>
    </w:lvl>
    <w:lvl w:ilvl="2" w:tplc="84DA0B5C">
      <w:start w:val="1"/>
      <w:numFmt w:val="bullet"/>
      <w:lvlText w:val="•"/>
      <w:lvlJc w:val="left"/>
      <w:pPr>
        <w:ind w:left="1789" w:hanging="291"/>
      </w:pPr>
      <w:rPr>
        <w:rFonts w:hint="default"/>
      </w:rPr>
    </w:lvl>
    <w:lvl w:ilvl="3" w:tplc="14266E2A">
      <w:start w:val="1"/>
      <w:numFmt w:val="bullet"/>
      <w:lvlText w:val="•"/>
      <w:lvlJc w:val="left"/>
      <w:pPr>
        <w:ind w:left="2578" w:hanging="291"/>
      </w:pPr>
      <w:rPr>
        <w:rFonts w:hint="default"/>
      </w:rPr>
    </w:lvl>
    <w:lvl w:ilvl="4" w:tplc="DC682EAC">
      <w:start w:val="1"/>
      <w:numFmt w:val="bullet"/>
      <w:lvlText w:val="•"/>
      <w:lvlJc w:val="left"/>
      <w:pPr>
        <w:ind w:left="3366" w:hanging="291"/>
      </w:pPr>
      <w:rPr>
        <w:rFonts w:hint="default"/>
      </w:rPr>
    </w:lvl>
    <w:lvl w:ilvl="5" w:tplc="D2965B3C">
      <w:start w:val="1"/>
      <w:numFmt w:val="bullet"/>
      <w:lvlText w:val="•"/>
      <w:lvlJc w:val="left"/>
      <w:pPr>
        <w:ind w:left="4155" w:hanging="291"/>
      </w:pPr>
      <w:rPr>
        <w:rFonts w:hint="default"/>
      </w:rPr>
    </w:lvl>
    <w:lvl w:ilvl="6" w:tplc="7D5A8430">
      <w:start w:val="1"/>
      <w:numFmt w:val="bullet"/>
      <w:lvlText w:val="•"/>
      <w:lvlJc w:val="left"/>
      <w:pPr>
        <w:ind w:left="4943" w:hanging="291"/>
      </w:pPr>
      <w:rPr>
        <w:rFonts w:hint="default"/>
      </w:rPr>
    </w:lvl>
    <w:lvl w:ilvl="7" w:tplc="B144184C">
      <w:start w:val="1"/>
      <w:numFmt w:val="bullet"/>
      <w:lvlText w:val="•"/>
      <w:lvlJc w:val="left"/>
      <w:pPr>
        <w:ind w:left="5732" w:hanging="291"/>
      </w:pPr>
      <w:rPr>
        <w:rFonts w:hint="default"/>
      </w:rPr>
    </w:lvl>
    <w:lvl w:ilvl="8" w:tplc="787E1A54">
      <w:start w:val="1"/>
      <w:numFmt w:val="bullet"/>
      <w:lvlText w:val="•"/>
      <w:lvlJc w:val="left"/>
      <w:pPr>
        <w:ind w:left="6520" w:hanging="291"/>
      </w:pPr>
      <w:rPr>
        <w:rFonts w:hint="default"/>
      </w:rPr>
    </w:lvl>
  </w:abstractNum>
  <w:abstractNum w:abstractNumId="28" w15:restartNumberingAfterBreak="0">
    <w:nsid w:val="375F78A6"/>
    <w:multiLevelType w:val="hybridMultilevel"/>
    <w:tmpl w:val="AE5A20F8"/>
    <w:lvl w:ilvl="0" w:tplc="1C7E5C6C">
      <w:start w:val="1"/>
      <w:numFmt w:val="decimal"/>
      <w:lvlText w:val="%1)"/>
      <w:lvlJc w:val="left"/>
      <w:pPr>
        <w:ind w:left="215" w:hanging="274"/>
      </w:pPr>
      <w:rPr>
        <w:rFonts w:ascii="Verdana" w:eastAsia="Verdana" w:hAnsi="Verdana" w:hint="default"/>
        <w:spacing w:val="-1"/>
        <w:w w:val="99"/>
        <w:sz w:val="19"/>
        <w:szCs w:val="19"/>
      </w:rPr>
    </w:lvl>
    <w:lvl w:ilvl="1" w:tplc="EE8650EC">
      <w:start w:val="1"/>
      <w:numFmt w:val="bullet"/>
      <w:lvlText w:val="•"/>
      <w:lvlJc w:val="left"/>
      <w:pPr>
        <w:ind w:left="1003" w:hanging="274"/>
      </w:pPr>
      <w:rPr>
        <w:rFonts w:hint="default"/>
      </w:rPr>
    </w:lvl>
    <w:lvl w:ilvl="2" w:tplc="D7C09030">
      <w:start w:val="1"/>
      <w:numFmt w:val="bullet"/>
      <w:lvlText w:val="•"/>
      <w:lvlJc w:val="left"/>
      <w:pPr>
        <w:ind w:left="1791" w:hanging="274"/>
      </w:pPr>
      <w:rPr>
        <w:rFonts w:hint="default"/>
      </w:rPr>
    </w:lvl>
    <w:lvl w:ilvl="3" w:tplc="FC26E7D4">
      <w:start w:val="1"/>
      <w:numFmt w:val="bullet"/>
      <w:lvlText w:val="•"/>
      <w:lvlJc w:val="left"/>
      <w:pPr>
        <w:ind w:left="2579" w:hanging="274"/>
      </w:pPr>
      <w:rPr>
        <w:rFonts w:hint="default"/>
      </w:rPr>
    </w:lvl>
    <w:lvl w:ilvl="4" w:tplc="4AF0414C">
      <w:start w:val="1"/>
      <w:numFmt w:val="bullet"/>
      <w:lvlText w:val="•"/>
      <w:lvlJc w:val="left"/>
      <w:pPr>
        <w:ind w:left="3368" w:hanging="274"/>
      </w:pPr>
      <w:rPr>
        <w:rFonts w:hint="default"/>
      </w:rPr>
    </w:lvl>
    <w:lvl w:ilvl="5" w:tplc="84DA0F86">
      <w:start w:val="1"/>
      <w:numFmt w:val="bullet"/>
      <w:lvlText w:val="•"/>
      <w:lvlJc w:val="left"/>
      <w:pPr>
        <w:ind w:left="4156" w:hanging="274"/>
      </w:pPr>
      <w:rPr>
        <w:rFonts w:hint="default"/>
      </w:rPr>
    </w:lvl>
    <w:lvl w:ilvl="6" w:tplc="E5E2C14A">
      <w:start w:val="1"/>
      <w:numFmt w:val="bullet"/>
      <w:lvlText w:val="•"/>
      <w:lvlJc w:val="left"/>
      <w:pPr>
        <w:ind w:left="4944" w:hanging="274"/>
      </w:pPr>
      <w:rPr>
        <w:rFonts w:hint="default"/>
      </w:rPr>
    </w:lvl>
    <w:lvl w:ilvl="7" w:tplc="E98403C4">
      <w:start w:val="1"/>
      <w:numFmt w:val="bullet"/>
      <w:lvlText w:val="•"/>
      <w:lvlJc w:val="left"/>
      <w:pPr>
        <w:ind w:left="5732" w:hanging="274"/>
      </w:pPr>
      <w:rPr>
        <w:rFonts w:hint="default"/>
      </w:rPr>
    </w:lvl>
    <w:lvl w:ilvl="8" w:tplc="C28642CA">
      <w:start w:val="1"/>
      <w:numFmt w:val="bullet"/>
      <w:lvlText w:val="•"/>
      <w:lvlJc w:val="left"/>
      <w:pPr>
        <w:ind w:left="6521" w:hanging="274"/>
      </w:pPr>
      <w:rPr>
        <w:rFonts w:hint="default"/>
      </w:rPr>
    </w:lvl>
  </w:abstractNum>
  <w:abstractNum w:abstractNumId="29" w15:restartNumberingAfterBreak="0">
    <w:nsid w:val="37BC7055"/>
    <w:multiLevelType w:val="hybridMultilevel"/>
    <w:tmpl w:val="96BC431E"/>
    <w:lvl w:ilvl="0" w:tplc="5D4224E8">
      <w:start w:val="1"/>
      <w:numFmt w:val="bullet"/>
      <w:lvlText w:val="–"/>
      <w:lvlJc w:val="left"/>
      <w:pPr>
        <w:ind w:left="303" w:hanging="139"/>
      </w:pPr>
      <w:rPr>
        <w:rFonts w:ascii="Calibri" w:eastAsia="Calibri" w:hAnsi="Calibri" w:hint="default"/>
        <w:color w:val="231F20"/>
        <w:sz w:val="18"/>
        <w:szCs w:val="18"/>
      </w:rPr>
    </w:lvl>
    <w:lvl w:ilvl="1" w:tplc="2F58D01E">
      <w:start w:val="1"/>
      <w:numFmt w:val="bullet"/>
      <w:lvlText w:val="•"/>
      <w:lvlJc w:val="left"/>
      <w:pPr>
        <w:ind w:left="987" w:hanging="139"/>
      </w:pPr>
      <w:rPr>
        <w:rFonts w:hint="default"/>
      </w:rPr>
    </w:lvl>
    <w:lvl w:ilvl="2" w:tplc="CF7ECDDE">
      <w:start w:val="1"/>
      <w:numFmt w:val="bullet"/>
      <w:lvlText w:val="•"/>
      <w:lvlJc w:val="left"/>
      <w:pPr>
        <w:ind w:left="1671" w:hanging="139"/>
      </w:pPr>
      <w:rPr>
        <w:rFonts w:hint="default"/>
      </w:rPr>
    </w:lvl>
    <w:lvl w:ilvl="3" w:tplc="32D2F96A">
      <w:start w:val="1"/>
      <w:numFmt w:val="bullet"/>
      <w:lvlText w:val="•"/>
      <w:lvlJc w:val="left"/>
      <w:pPr>
        <w:ind w:left="2355" w:hanging="139"/>
      </w:pPr>
      <w:rPr>
        <w:rFonts w:hint="default"/>
      </w:rPr>
    </w:lvl>
    <w:lvl w:ilvl="4" w:tplc="0358C492">
      <w:start w:val="1"/>
      <w:numFmt w:val="bullet"/>
      <w:lvlText w:val="•"/>
      <w:lvlJc w:val="left"/>
      <w:pPr>
        <w:ind w:left="3039" w:hanging="139"/>
      </w:pPr>
      <w:rPr>
        <w:rFonts w:hint="default"/>
      </w:rPr>
    </w:lvl>
    <w:lvl w:ilvl="5" w:tplc="C82E0ED4">
      <w:start w:val="1"/>
      <w:numFmt w:val="bullet"/>
      <w:lvlText w:val="•"/>
      <w:lvlJc w:val="left"/>
      <w:pPr>
        <w:ind w:left="3723" w:hanging="139"/>
      </w:pPr>
      <w:rPr>
        <w:rFonts w:hint="default"/>
      </w:rPr>
    </w:lvl>
    <w:lvl w:ilvl="6" w:tplc="3C48F8EE">
      <w:start w:val="1"/>
      <w:numFmt w:val="bullet"/>
      <w:lvlText w:val="•"/>
      <w:lvlJc w:val="left"/>
      <w:pPr>
        <w:ind w:left="4407" w:hanging="139"/>
      </w:pPr>
      <w:rPr>
        <w:rFonts w:hint="default"/>
      </w:rPr>
    </w:lvl>
    <w:lvl w:ilvl="7" w:tplc="6A64D5E0">
      <w:start w:val="1"/>
      <w:numFmt w:val="bullet"/>
      <w:lvlText w:val="•"/>
      <w:lvlJc w:val="left"/>
      <w:pPr>
        <w:ind w:left="5091" w:hanging="139"/>
      </w:pPr>
      <w:rPr>
        <w:rFonts w:hint="default"/>
      </w:rPr>
    </w:lvl>
    <w:lvl w:ilvl="8" w:tplc="6A5E393C">
      <w:start w:val="1"/>
      <w:numFmt w:val="bullet"/>
      <w:lvlText w:val="•"/>
      <w:lvlJc w:val="left"/>
      <w:pPr>
        <w:ind w:left="5775" w:hanging="139"/>
      </w:pPr>
      <w:rPr>
        <w:rFonts w:hint="default"/>
      </w:rPr>
    </w:lvl>
  </w:abstractNum>
  <w:abstractNum w:abstractNumId="30" w15:restartNumberingAfterBreak="0">
    <w:nsid w:val="37BD0DCE"/>
    <w:multiLevelType w:val="hybridMultilevel"/>
    <w:tmpl w:val="AEC42E98"/>
    <w:lvl w:ilvl="0" w:tplc="F8BE3A52">
      <w:start w:val="1"/>
      <w:numFmt w:val="decimal"/>
      <w:lvlText w:val="%1)"/>
      <w:lvlJc w:val="left"/>
      <w:pPr>
        <w:ind w:left="232" w:hanging="328"/>
      </w:pPr>
      <w:rPr>
        <w:rFonts w:ascii="Verdana" w:eastAsia="Verdana" w:hAnsi="Verdana" w:hint="default"/>
        <w:spacing w:val="-1"/>
        <w:w w:val="99"/>
        <w:sz w:val="19"/>
        <w:szCs w:val="19"/>
      </w:rPr>
    </w:lvl>
    <w:lvl w:ilvl="1" w:tplc="E4821196">
      <w:start w:val="1"/>
      <w:numFmt w:val="bullet"/>
      <w:lvlText w:val="•"/>
      <w:lvlJc w:val="left"/>
      <w:pPr>
        <w:ind w:left="1021" w:hanging="328"/>
      </w:pPr>
      <w:rPr>
        <w:rFonts w:hint="default"/>
      </w:rPr>
    </w:lvl>
    <w:lvl w:ilvl="2" w:tplc="2EB2C854">
      <w:start w:val="1"/>
      <w:numFmt w:val="bullet"/>
      <w:lvlText w:val="•"/>
      <w:lvlJc w:val="left"/>
      <w:pPr>
        <w:ind w:left="1809" w:hanging="328"/>
      </w:pPr>
      <w:rPr>
        <w:rFonts w:hint="default"/>
      </w:rPr>
    </w:lvl>
    <w:lvl w:ilvl="3" w:tplc="E6920A04">
      <w:start w:val="1"/>
      <w:numFmt w:val="bullet"/>
      <w:lvlText w:val="•"/>
      <w:lvlJc w:val="left"/>
      <w:pPr>
        <w:ind w:left="2598" w:hanging="328"/>
      </w:pPr>
      <w:rPr>
        <w:rFonts w:hint="default"/>
      </w:rPr>
    </w:lvl>
    <w:lvl w:ilvl="4" w:tplc="82E29E7A">
      <w:start w:val="1"/>
      <w:numFmt w:val="bullet"/>
      <w:lvlText w:val="•"/>
      <w:lvlJc w:val="left"/>
      <w:pPr>
        <w:ind w:left="3386" w:hanging="328"/>
      </w:pPr>
      <w:rPr>
        <w:rFonts w:hint="default"/>
      </w:rPr>
    </w:lvl>
    <w:lvl w:ilvl="5" w:tplc="5B485912">
      <w:start w:val="1"/>
      <w:numFmt w:val="bullet"/>
      <w:lvlText w:val="•"/>
      <w:lvlJc w:val="left"/>
      <w:pPr>
        <w:ind w:left="4175" w:hanging="328"/>
      </w:pPr>
      <w:rPr>
        <w:rFonts w:hint="default"/>
      </w:rPr>
    </w:lvl>
    <w:lvl w:ilvl="6" w:tplc="5D10B78C">
      <w:start w:val="1"/>
      <w:numFmt w:val="bullet"/>
      <w:lvlText w:val="•"/>
      <w:lvlJc w:val="left"/>
      <w:pPr>
        <w:ind w:left="4963" w:hanging="328"/>
      </w:pPr>
      <w:rPr>
        <w:rFonts w:hint="default"/>
      </w:rPr>
    </w:lvl>
    <w:lvl w:ilvl="7" w:tplc="0FC09FFC">
      <w:start w:val="1"/>
      <w:numFmt w:val="bullet"/>
      <w:lvlText w:val="•"/>
      <w:lvlJc w:val="left"/>
      <w:pPr>
        <w:ind w:left="5752" w:hanging="328"/>
      </w:pPr>
      <w:rPr>
        <w:rFonts w:hint="default"/>
      </w:rPr>
    </w:lvl>
    <w:lvl w:ilvl="8" w:tplc="38E06530">
      <w:start w:val="1"/>
      <w:numFmt w:val="bullet"/>
      <w:lvlText w:val="•"/>
      <w:lvlJc w:val="left"/>
      <w:pPr>
        <w:ind w:left="6540" w:hanging="328"/>
      </w:pPr>
      <w:rPr>
        <w:rFonts w:hint="default"/>
      </w:rPr>
    </w:lvl>
  </w:abstractNum>
  <w:abstractNum w:abstractNumId="31" w15:restartNumberingAfterBreak="0">
    <w:nsid w:val="3EAE4B77"/>
    <w:multiLevelType w:val="hybridMultilevel"/>
    <w:tmpl w:val="C212DC64"/>
    <w:lvl w:ilvl="0" w:tplc="9AD44F30">
      <w:start w:val="1"/>
      <w:numFmt w:val="decimal"/>
      <w:lvlText w:val="%1)"/>
      <w:lvlJc w:val="left"/>
      <w:pPr>
        <w:ind w:left="496" w:hanging="284"/>
        <w:jc w:val="right"/>
      </w:pPr>
      <w:rPr>
        <w:rFonts w:ascii="Verdana" w:eastAsia="Verdana" w:hAnsi="Verdana" w:hint="default"/>
        <w:spacing w:val="-1"/>
        <w:w w:val="99"/>
        <w:sz w:val="19"/>
        <w:szCs w:val="19"/>
      </w:rPr>
    </w:lvl>
    <w:lvl w:ilvl="1" w:tplc="5E52D932">
      <w:start w:val="1"/>
      <w:numFmt w:val="bullet"/>
      <w:lvlText w:val="•"/>
      <w:lvlJc w:val="left"/>
      <w:pPr>
        <w:ind w:left="1256" w:hanging="284"/>
      </w:pPr>
      <w:rPr>
        <w:rFonts w:hint="default"/>
      </w:rPr>
    </w:lvl>
    <w:lvl w:ilvl="2" w:tplc="F0B28012">
      <w:start w:val="1"/>
      <w:numFmt w:val="bullet"/>
      <w:lvlText w:val="•"/>
      <w:lvlJc w:val="left"/>
      <w:pPr>
        <w:ind w:left="2016" w:hanging="284"/>
      </w:pPr>
      <w:rPr>
        <w:rFonts w:hint="default"/>
      </w:rPr>
    </w:lvl>
    <w:lvl w:ilvl="3" w:tplc="BB424A9A">
      <w:start w:val="1"/>
      <w:numFmt w:val="bullet"/>
      <w:lvlText w:val="•"/>
      <w:lvlJc w:val="left"/>
      <w:pPr>
        <w:ind w:left="2776" w:hanging="284"/>
      </w:pPr>
      <w:rPr>
        <w:rFonts w:hint="default"/>
      </w:rPr>
    </w:lvl>
    <w:lvl w:ilvl="4" w:tplc="64B039E4">
      <w:start w:val="1"/>
      <w:numFmt w:val="bullet"/>
      <w:lvlText w:val="•"/>
      <w:lvlJc w:val="left"/>
      <w:pPr>
        <w:ind w:left="3536" w:hanging="284"/>
      </w:pPr>
      <w:rPr>
        <w:rFonts w:hint="default"/>
      </w:rPr>
    </w:lvl>
    <w:lvl w:ilvl="5" w:tplc="6A5A69C6">
      <w:start w:val="1"/>
      <w:numFmt w:val="bullet"/>
      <w:lvlText w:val="•"/>
      <w:lvlJc w:val="left"/>
      <w:pPr>
        <w:ind w:left="4296" w:hanging="284"/>
      </w:pPr>
      <w:rPr>
        <w:rFonts w:hint="default"/>
      </w:rPr>
    </w:lvl>
    <w:lvl w:ilvl="6" w:tplc="459CC312">
      <w:start w:val="1"/>
      <w:numFmt w:val="bullet"/>
      <w:lvlText w:val="•"/>
      <w:lvlJc w:val="left"/>
      <w:pPr>
        <w:ind w:left="5056" w:hanging="284"/>
      </w:pPr>
      <w:rPr>
        <w:rFonts w:hint="default"/>
      </w:rPr>
    </w:lvl>
    <w:lvl w:ilvl="7" w:tplc="0E60B5CE">
      <w:start w:val="1"/>
      <w:numFmt w:val="bullet"/>
      <w:lvlText w:val="•"/>
      <w:lvlJc w:val="left"/>
      <w:pPr>
        <w:ind w:left="5817" w:hanging="284"/>
      </w:pPr>
      <w:rPr>
        <w:rFonts w:hint="default"/>
      </w:rPr>
    </w:lvl>
    <w:lvl w:ilvl="8" w:tplc="1954F11A">
      <w:start w:val="1"/>
      <w:numFmt w:val="bullet"/>
      <w:lvlText w:val="•"/>
      <w:lvlJc w:val="left"/>
      <w:pPr>
        <w:ind w:left="6577" w:hanging="284"/>
      </w:pPr>
      <w:rPr>
        <w:rFonts w:hint="default"/>
      </w:rPr>
    </w:lvl>
  </w:abstractNum>
  <w:abstractNum w:abstractNumId="32" w15:restartNumberingAfterBreak="0">
    <w:nsid w:val="3EF86DB9"/>
    <w:multiLevelType w:val="hybridMultilevel"/>
    <w:tmpl w:val="28F6D222"/>
    <w:lvl w:ilvl="0" w:tplc="F1C6FA34">
      <w:start w:val="1"/>
      <w:numFmt w:val="decimal"/>
      <w:lvlText w:val="%1)"/>
      <w:lvlJc w:val="left"/>
      <w:pPr>
        <w:ind w:left="155" w:hanging="319"/>
      </w:pPr>
      <w:rPr>
        <w:rFonts w:ascii="Verdana" w:eastAsia="Verdana" w:hAnsi="Verdana" w:hint="default"/>
        <w:spacing w:val="-1"/>
        <w:w w:val="99"/>
        <w:sz w:val="19"/>
        <w:szCs w:val="19"/>
      </w:rPr>
    </w:lvl>
    <w:lvl w:ilvl="1" w:tplc="5D48E5C4">
      <w:start w:val="1"/>
      <w:numFmt w:val="bullet"/>
      <w:lvlText w:val="•"/>
      <w:lvlJc w:val="left"/>
      <w:pPr>
        <w:ind w:left="937" w:hanging="319"/>
      </w:pPr>
      <w:rPr>
        <w:rFonts w:hint="default"/>
      </w:rPr>
    </w:lvl>
    <w:lvl w:ilvl="2" w:tplc="3012980E">
      <w:start w:val="1"/>
      <w:numFmt w:val="bullet"/>
      <w:lvlText w:val="•"/>
      <w:lvlJc w:val="left"/>
      <w:pPr>
        <w:ind w:left="1719" w:hanging="319"/>
      </w:pPr>
      <w:rPr>
        <w:rFonts w:hint="default"/>
      </w:rPr>
    </w:lvl>
    <w:lvl w:ilvl="3" w:tplc="D6B6A724">
      <w:start w:val="1"/>
      <w:numFmt w:val="bullet"/>
      <w:lvlText w:val="•"/>
      <w:lvlJc w:val="left"/>
      <w:pPr>
        <w:ind w:left="2501" w:hanging="319"/>
      </w:pPr>
      <w:rPr>
        <w:rFonts w:hint="default"/>
      </w:rPr>
    </w:lvl>
    <w:lvl w:ilvl="4" w:tplc="B022BD40">
      <w:start w:val="1"/>
      <w:numFmt w:val="bullet"/>
      <w:lvlText w:val="•"/>
      <w:lvlJc w:val="left"/>
      <w:pPr>
        <w:ind w:left="3284" w:hanging="319"/>
      </w:pPr>
      <w:rPr>
        <w:rFonts w:hint="default"/>
      </w:rPr>
    </w:lvl>
    <w:lvl w:ilvl="5" w:tplc="EE2CAE98">
      <w:start w:val="1"/>
      <w:numFmt w:val="bullet"/>
      <w:lvlText w:val="•"/>
      <w:lvlJc w:val="left"/>
      <w:pPr>
        <w:ind w:left="4066" w:hanging="319"/>
      </w:pPr>
      <w:rPr>
        <w:rFonts w:hint="default"/>
      </w:rPr>
    </w:lvl>
    <w:lvl w:ilvl="6" w:tplc="89C02494">
      <w:start w:val="1"/>
      <w:numFmt w:val="bullet"/>
      <w:lvlText w:val="•"/>
      <w:lvlJc w:val="left"/>
      <w:pPr>
        <w:ind w:left="4848" w:hanging="319"/>
      </w:pPr>
      <w:rPr>
        <w:rFonts w:hint="default"/>
      </w:rPr>
    </w:lvl>
    <w:lvl w:ilvl="7" w:tplc="AC48B424">
      <w:start w:val="1"/>
      <w:numFmt w:val="bullet"/>
      <w:lvlText w:val="•"/>
      <w:lvlJc w:val="left"/>
      <w:pPr>
        <w:ind w:left="5630" w:hanging="319"/>
      </w:pPr>
      <w:rPr>
        <w:rFonts w:hint="default"/>
      </w:rPr>
    </w:lvl>
    <w:lvl w:ilvl="8" w:tplc="6AD2586E">
      <w:start w:val="1"/>
      <w:numFmt w:val="bullet"/>
      <w:lvlText w:val="•"/>
      <w:lvlJc w:val="left"/>
      <w:pPr>
        <w:ind w:left="6413" w:hanging="319"/>
      </w:pPr>
      <w:rPr>
        <w:rFonts w:hint="default"/>
      </w:rPr>
    </w:lvl>
  </w:abstractNum>
  <w:abstractNum w:abstractNumId="33" w15:restartNumberingAfterBreak="0">
    <w:nsid w:val="40390861"/>
    <w:multiLevelType w:val="hybridMultilevel"/>
    <w:tmpl w:val="5B4A819E"/>
    <w:lvl w:ilvl="0" w:tplc="32FA0098">
      <w:start w:val="157"/>
      <w:numFmt w:val="decimal"/>
      <w:lvlText w:val="%1"/>
      <w:lvlJc w:val="left"/>
      <w:pPr>
        <w:ind w:left="470" w:hanging="291"/>
      </w:pPr>
      <w:rPr>
        <w:rFonts w:ascii="Verdana" w:eastAsia="Verdana" w:hAnsi="Verdana" w:hint="default"/>
        <w:spacing w:val="-1"/>
        <w:w w:val="99"/>
        <w:sz w:val="13"/>
        <w:szCs w:val="13"/>
      </w:rPr>
    </w:lvl>
    <w:lvl w:ilvl="1" w:tplc="1D3CFB1A">
      <w:start w:val="1"/>
      <w:numFmt w:val="bullet"/>
      <w:lvlText w:val="•"/>
      <w:lvlJc w:val="left"/>
      <w:pPr>
        <w:ind w:left="1211" w:hanging="291"/>
      </w:pPr>
      <w:rPr>
        <w:rFonts w:hint="default"/>
      </w:rPr>
    </w:lvl>
    <w:lvl w:ilvl="2" w:tplc="9900FD4C">
      <w:start w:val="1"/>
      <w:numFmt w:val="bullet"/>
      <w:lvlText w:val="•"/>
      <w:lvlJc w:val="left"/>
      <w:pPr>
        <w:ind w:left="1951" w:hanging="291"/>
      </w:pPr>
      <w:rPr>
        <w:rFonts w:hint="default"/>
      </w:rPr>
    </w:lvl>
    <w:lvl w:ilvl="3" w:tplc="FB266DDE">
      <w:start w:val="1"/>
      <w:numFmt w:val="bullet"/>
      <w:lvlText w:val="•"/>
      <w:lvlJc w:val="left"/>
      <w:pPr>
        <w:ind w:left="2692" w:hanging="291"/>
      </w:pPr>
      <w:rPr>
        <w:rFonts w:hint="default"/>
      </w:rPr>
    </w:lvl>
    <w:lvl w:ilvl="4" w:tplc="673279F2">
      <w:start w:val="1"/>
      <w:numFmt w:val="bullet"/>
      <w:lvlText w:val="•"/>
      <w:lvlJc w:val="left"/>
      <w:pPr>
        <w:ind w:left="3433" w:hanging="291"/>
      </w:pPr>
      <w:rPr>
        <w:rFonts w:hint="default"/>
      </w:rPr>
    </w:lvl>
    <w:lvl w:ilvl="5" w:tplc="CC5EDC18">
      <w:start w:val="1"/>
      <w:numFmt w:val="bullet"/>
      <w:lvlText w:val="•"/>
      <w:lvlJc w:val="left"/>
      <w:pPr>
        <w:ind w:left="4174" w:hanging="291"/>
      </w:pPr>
      <w:rPr>
        <w:rFonts w:hint="default"/>
      </w:rPr>
    </w:lvl>
    <w:lvl w:ilvl="6" w:tplc="47E21934">
      <w:start w:val="1"/>
      <w:numFmt w:val="bullet"/>
      <w:lvlText w:val="•"/>
      <w:lvlJc w:val="left"/>
      <w:pPr>
        <w:ind w:left="4914" w:hanging="291"/>
      </w:pPr>
      <w:rPr>
        <w:rFonts w:hint="default"/>
      </w:rPr>
    </w:lvl>
    <w:lvl w:ilvl="7" w:tplc="282C75E4">
      <w:start w:val="1"/>
      <w:numFmt w:val="bullet"/>
      <w:lvlText w:val="•"/>
      <w:lvlJc w:val="left"/>
      <w:pPr>
        <w:ind w:left="5655" w:hanging="291"/>
      </w:pPr>
      <w:rPr>
        <w:rFonts w:hint="default"/>
      </w:rPr>
    </w:lvl>
    <w:lvl w:ilvl="8" w:tplc="38B61804">
      <w:start w:val="1"/>
      <w:numFmt w:val="bullet"/>
      <w:lvlText w:val="•"/>
      <w:lvlJc w:val="left"/>
      <w:pPr>
        <w:ind w:left="6396" w:hanging="291"/>
      </w:pPr>
      <w:rPr>
        <w:rFonts w:hint="default"/>
      </w:rPr>
    </w:lvl>
  </w:abstractNum>
  <w:abstractNum w:abstractNumId="34" w15:restartNumberingAfterBreak="0">
    <w:nsid w:val="44BF272B"/>
    <w:multiLevelType w:val="hybridMultilevel"/>
    <w:tmpl w:val="A58A495A"/>
    <w:lvl w:ilvl="0" w:tplc="8FBA3BCC">
      <w:start w:val="1"/>
      <w:numFmt w:val="decimal"/>
      <w:lvlText w:val="%1)"/>
      <w:lvlJc w:val="left"/>
      <w:pPr>
        <w:ind w:left="396" w:hanging="284"/>
      </w:pPr>
      <w:rPr>
        <w:rFonts w:ascii="Verdana" w:eastAsia="Verdana" w:hAnsi="Verdana" w:hint="default"/>
        <w:spacing w:val="-1"/>
        <w:w w:val="99"/>
        <w:sz w:val="19"/>
        <w:szCs w:val="19"/>
      </w:rPr>
    </w:lvl>
    <w:lvl w:ilvl="1" w:tplc="5E5EC43A">
      <w:start w:val="1"/>
      <w:numFmt w:val="bullet"/>
      <w:lvlText w:val="•"/>
      <w:lvlJc w:val="left"/>
      <w:pPr>
        <w:ind w:left="1144" w:hanging="284"/>
      </w:pPr>
      <w:rPr>
        <w:rFonts w:hint="default"/>
      </w:rPr>
    </w:lvl>
    <w:lvl w:ilvl="2" w:tplc="6472F390">
      <w:start w:val="1"/>
      <w:numFmt w:val="bullet"/>
      <w:lvlText w:val="•"/>
      <w:lvlJc w:val="left"/>
      <w:pPr>
        <w:ind w:left="1892" w:hanging="284"/>
      </w:pPr>
      <w:rPr>
        <w:rFonts w:hint="default"/>
      </w:rPr>
    </w:lvl>
    <w:lvl w:ilvl="3" w:tplc="70502D9C">
      <w:start w:val="1"/>
      <w:numFmt w:val="bullet"/>
      <w:lvlText w:val="•"/>
      <w:lvlJc w:val="left"/>
      <w:pPr>
        <w:ind w:left="2640" w:hanging="284"/>
      </w:pPr>
      <w:rPr>
        <w:rFonts w:hint="default"/>
      </w:rPr>
    </w:lvl>
    <w:lvl w:ilvl="4" w:tplc="217C13BA">
      <w:start w:val="1"/>
      <w:numFmt w:val="bullet"/>
      <w:lvlText w:val="•"/>
      <w:lvlJc w:val="left"/>
      <w:pPr>
        <w:ind w:left="3388" w:hanging="284"/>
      </w:pPr>
      <w:rPr>
        <w:rFonts w:hint="default"/>
      </w:rPr>
    </w:lvl>
    <w:lvl w:ilvl="5" w:tplc="254AF168">
      <w:start w:val="1"/>
      <w:numFmt w:val="bullet"/>
      <w:lvlText w:val="•"/>
      <w:lvlJc w:val="left"/>
      <w:pPr>
        <w:ind w:left="4136" w:hanging="284"/>
      </w:pPr>
      <w:rPr>
        <w:rFonts w:hint="default"/>
      </w:rPr>
    </w:lvl>
    <w:lvl w:ilvl="6" w:tplc="E9343512">
      <w:start w:val="1"/>
      <w:numFmt w:val="bullet"/>
      <w:lvlText w:val="•"/>
      <w:lvlJc w:val="left"/>
      <w:pPr>
        <w:ind w:left="4884" w:hanging="284"/>
      </w:pPr>
      <w:rPr>
        <w:rFonts w:hint="default"/>
      </w:rPr>
    </w:lvl>
    <w:lvl w:ilvl="7" w:tplc="5FFA7D9A">
      <w:start w:val="1"/>
      <w:numFmt w:val="bullet"/>
      <w:lvlText w:val="•"/>
      <w:lvlJc w:val="left"/>
      <w:pPr>
        <w:ind w:left="5633" w:hanging="284"/>
      </w:pPr>
      <w:rPr>
        <w:rFonts w:hint="default"/>
      </w:rPr>
    </w:lvl>
    <w:lvl w:ilvl="8" w:tplc="DE9CBE24">
      <w:start w:val="1"/>
      <w:numFmt w:val="bullet"/>
      <w:lvlText w:val="•"/>
      <w:lvlJc w:val="left"/>
      <w:pPr>
        <w:ind w:left="6381" w:hanging="284"/>
      </w:pPr>
      <w:rPr>
        <w:rFonts w:hint="default"/>
      </w:rPr>
    </w:lvl>
  </w:abstractNum>
  <w:abstractNum w:abstractNumId="35" w15:restartNumberingAfterBreak="0">
    <w:nsid w:val="45DC4C33"/>
    <w:multiLevelType w:val="hybridMultilevel"/>
    <w:tmpl w:val="1F009DB2"/>
    <w:lvl w:ilvl="0" w:tplc="3752A900">
      <w:start w:val="76"/>
      <w:numFmt w:val="decimal"/>
      <w:lvlText w:val="%1"/>
      <w:lvlJc w:val="left"/>
      <w:pPr>
        <w:ind w:left="112" w:hanging="209"/>
        <w:jc w:val="right"/>
      </w:pPr>
      <w:rPr>
        <w:rFonts w:ascii="Verdana" w:eastAsia="Verdana" w:hAnsi="Verdana" w:hint="default"/>
        <w:spacing w:val="-1"/>
        <w:w w:val="99"/>
        <w:sz w:val="13"/>
        <w:szCs w:val="13"/>
      </w:rPr>
    </w:lvl>
    <w:lvl w:ilvl="1" w:tplc="02A84058">
      <w:start w:val="1"/>
      <w:numFmt w:val="decimal"/>
      <w:lvlText w:val="%2."/>
      <w:lvlJc w:val="left"/>
      <w:pPr>
        <w:ind w:left="832" w:hanging="360"/>
      </w:pPr>
      <w:rPr>
        <w:rFonts w:ascii="Verdana" w:eastAsia="Verdana" w:hAnsi="Verdana" w:hint="default"/>
        <w:spacing w:val="-1"/>
        <w:w w:val="99"/>
        <w:sz w:val="19"/>
        <w:szCs w:val="19"/>
      </w:rPr>
    </w:lvl>
    <w:lvl w:ilvl="2" w:tplc="C30C580C">
      <w:start w:val="1"/>
      <w:numFmt w:val="bullet"/>
      <w:lvlText w:val="•"/>
      <w:lvlJc w:val="left"/>
      <w:pPr>
        <w:ind w:left="1615" w:hanging="360"/>
      </w:pPr>
      <w:rPr>
        <w:rFonts w:hint="default"/>
      </w:rPr>
    </w:lvl>
    <w:lvl w:ilvl="3" w:tplc="1E68CA06">
      <w:start w:val="1"/>
      <w:numFmt w:val="bullet"/>
      <w:lvlText w:val="•"/>
      <w:lvlJc w:val="left"/>
      <w:pPr>
        <w:ind w:left="2398" w:hanging="360"/>
      </w:pPr>
      <w:rPr>
        <w:rFonts w:hint="default"/>
      </w:rPr>
    </w:lvl>
    <w:lvl w:ilvl="4" w:tplc="E8EEA63A">
      <w:start w:val="1"/>
      <w:numFmt w:val="bullet"/>
      <w:lvlText w:val="•"/>
      <w:lvlJc w:val="left"/>
      <w:pPr>
        <w:ind w:left="3181" w:hanging="360"/>
      </w:pPr>
      <w:rPr>
        <w:rFonts w:hint="default"/>
      </w:rPr>
    </w:lvl>
    <w:lvl w:ilvl="5" w:tplc="AFD4C54A">
      <w:start w:val="1"/>
      <w:numFmt w:val="bullet"/>
      <w:lvlText w:val="•"/>
      <w:lvlJc w:val="left"/>
      <w:pPr>
        <w:ind w:left="3963" w:hanging="360"/>
      </w:pPr>
      <w:rPr>
        <w:rFonts w:hint="default"/>
      </w:rPr>
    </w:lvl>
    <w:lvl w:ilvl="6" w:tplc="3D822F7C">
      <w:start w:val="1"/>
      <w:numFmt w:val="bullet"/>
      <w:lvlText w:val="•"/>
      <w:lvlJc w:val="left"/>
      <w:pPr>
        <w:ind w:left="4746" w:hanging="360"/>
      </w:pPr>
      <w:rPr>
        <w:rFonts w:hint="default"/>
      </w:rPr>
    </w:lvl>
    <w:lvl w:ilvl="7" w:tplc="140A1A76">
      <w:start w:val="1"/>
      <w:numFmt w:val="bullet"/>
      <w:lvlText w:val="•"/>
      <w:lvlJc w:val="left"/>
      <w:pPr>
        <w:ind w:left="5529" w:hanging="360"/>
      </w:pPr>
      <w:rPr>
        <w:rFonts w:hint="default"/>
      </w:rPr>
    </w:lvl>
    <w:lvl w:ilvl="8" w:tplc="7A545800">
      <w:start w:val="1"/>
      <w:numFmt w:val="bullet"/>
      <w:lvlText w:val="•"/>
      <w:lvlJc w:val="left"/>
      <w:pPr>
        <w:ind w:left="6312" w:hanging="360"/>
      </w:pPr>
      <w:rPr>
        <w:rFonts w:hint="default"/>
      </w:rPr>
    </w:lvl>
  </w:abstractNum>
  <w:abstractNum w:abstractNumId="36" w15:restartNumberingAfterBreak="0">
    <w:nsid w:val="467C5395"/>
    <w:multiLevelType w:val="hybridMultilevel"/>
    <w:tmpl w:val="9FCCDA12"/>
    <w:lvl w:ilvl="0" w:tplc="69D0C0F8">
      <w:start w:val="1"/>
      <w:numFmt w:val="decimal"/>
      <w:lvlText w:val="%1)"/>
      <w:lvlJc w:val="left"/>
      <w:pPr>
        <w:ind w:left="232" w:hanging="291"/>
      </w:pPr>
      <w:rPr>
        <w:rFonts w:ascii="Verdana" w:eastAsia="Verdana" w:hAnsi="Verdana" w:hint="default"/>
        <w:spacing w:val="-1"/>
        <w:w w:val="99"/>
        <w:sz w:val="19"/>
        <w:szCs w:val="19"/>
      </w:rPr>
    </w:lvl>
    <w:lvl w:ilvl="1" w:tplc="851285A0">
      <w:start w:val="1"/>
      <w:numFmt w:val="bullet"/>
      <w:lvlText w:val="•"/>
      <w:lvlJc w:val="left"/>
      <w:pPr>
        <w:ind w:left="1021" w:hanging="291"/>
      </w:pPr>
      <w:rPr>
        <w:rFonts w:hint="default"/>
      </w:rPr>
    </w:lvl>
    <w:lvl w:ilvl="2" w:tplc="DF5AFFD2">
      <w:start w:val="1"/>
      <w:numFmt w:val="bullet"/>
      <w:lvlText w:val="•"/>
      <w:lvlJc w:val="left"/>
      <w:pPr>
        <w:ind w:left="1809" w:hanging="291"/>
      </w:pPr>
      <w:rPr>
        <w:rFonts w:hint="default"/>
      </w:rPr>
    </w:lvl>
    <w:lvl w:ilvl="3" w:tplc="B3AAF7D0">
      <w:start w:val="1"/>
      <w:numFmt w:val="bullet"/>
      <w:lvlText w:val="•"/>
      <w:lvlJc w:val="left"/>
      <w:pPr>
        <w:ind w:left="2598" w:hanging="291"/>
      </w:pPr>
      <w:rPr>
        <w:rFonts w:hint="default"/>
      </w:rPr>
    </w:lvl>
    <w:lvl w:ilvl="4" w:tplc="97EE14EC">
      <w:start w:val="1"/>
      <w:numFmt w:val="bullet"/>
      <w:lvlText w:val="•"/>
      <w:lvlJc w:val="left"/>
      <w:pPr>
        <w:ind w:left="3386" w:hanging="291"/>
      </w:pPr>
      <w:rPr>
        <w:rFonts w:hint="default"/>
      </w:rPr>
    </w:lvl>
    <w:lvl w:ilvl="5" w:tplc="0F58FA08">
      <w:start w:val="1"/>
      <w:numFmt w:val="bullet"/>
      <w:lvlText w:val="•"/>
      <w:lvlJc w:val="left"/>
      <w:pPr>
        <w:ind w:left="4175" w:hanging="291"/>
      </w:pPr>
      <w:rPr>
        <w:rFonts w:hint="default"/>
      </w:rPr>
    </w:lvl>
    <w:lvl w:ilvl="6" w:tplc="9EB4ED64">
      <w:start w:val="1"/>
      <w:numFmt w:val="bullet"/>
      <w:lvlText w:val="•"/>
      <w:lvlJc w:val="left"/>
      <w:pPr>
        <w:ind w:left="4963" w:hanging="291"/>
      </w:pPr>
      <w:rPr>
        <w:rFonts w:hint="default"/>
      </w:rPr>
    </w:lvl>
    <w:lvl w:ilvl="7" w:tplc="C4F6A3F4">
      <w:start w:val="1"/>
      <w:numFmt w:val="bullet"/>
      <w:lvlText w:val="•"/>
      <w:lvlJc w:val="left"/>
      <w:pPr>
        <w:ind w:left="5752" w:hanging="291"/>
      </w:pPr>
      <w:rPr>
        <w:rFonts w:hint="default"/>
      </w:rPr>
    </w:lvl>
    <w:lvl w:ilvl="8" w:tplc="5032E4E6">
      <w:start w:val="1"/>
      <w:numFmt w:val="bullet"/>
      <w:lvlText w:val="•"/>
      <w:lvlJc w:val="left"/>
      <w:pPr>
        <w:ind w:left="6540" w:hanging="291"/>
      </w:pPr>
      <w:rPr>
        <w:rFonts w:hint="default"/>
      </w:rPr>
    </w:lvl>
  </w:abstractNum>
  <w:abstractNum w:abstractNumId="37" w15:restartNumberingAfterBreak="0">
    <w:nsid w:val="47DF6D7E"/>
    <w:multiLevelType w:val="hybridMultilevel"/>
    <w:tmpl w:val="A796BDDA"/>
    <w:lvl w:ilvl="0" w:tplc="DDBE3C9A">
      <w:start w:val="153"/>
      <w:numFmt w:val="decimal"/>
      <w:lvlText w:val="%1"/>
      <w:lvlJc w:val="left"/>
      <w:pPr>
        <w:ind w:left="470" w:hanging="291"/>
      </w:pPr>
      <w:rPr>
        <w:rFonts w:ascii="Verdana" w:eastAsia="Verdana" w:hAnsi="Verdana" w:hint="default"/>
        <w:spacing w:val="-1"/>
        <w:w w:val="99"/>
        <w:sz w:val="13"/>
        <w:szCs w:val="13"/>
      </w:rPr>
    </w:lvl>
    <w:lvl w:ilvl="1" w:tplc="303E1138">
      <w:start w:val="1"/>
      <w:numFmt w:val="bullet"/>
      <w:lvlText w:val="•"/>
      <w:lvlJc w:val="left"/>
      <w:pPr>
        <w:ind w:left="1211" w:hanging="291"/>
      </w:pPr>
      <w:rPr>
        <w:rFonts w:hint="default"/>
      </w:rPr>
    </w:lvl>
    <w:lvl w:ilvl="2" w:tplc="09FC4946">
      <w:start w:val="1"/>
      <w:numFmt w:val="bullet"/>
      <w:lvlText w:val="•"/>
      <w:lvlJc w:val="left"/>
      <w:pPr>
        <w:ind w:left="1951" w:hanging="291"/>
      </w:pPr>
      <w:rPr>
        <w:rFonts w:hint="default"/>
      </w:rPr>
    </w:lvl>
    <w:lvl w:ilvl="3" w:tplc="8ABE2082">
      <w:start w:val="1"/>
      <w:numFmt w:val="bullet"/>
      <w:lvlText w:val="•"/>
      <w:lvlJc w:val="left"/>
      <w:pPr>
        <w:ind w:left="2692" w:hanging="291"/>
      </w:pPr>
      <w:rPr>
        <w:rFonts w:hint="default"/>
      </w:rPr>
    </w:lvl>
    <w:lvl w:ilvl="4" w:tplc="988A92F2">
      <w:start w:val="1"/>
      <w:numFmt w:val="bullet"/>
      <w:lvlText w:val="•"/>
      <w:lvlJc w:val="left"/>
      <w:pPr>
        <w:ind w:left="3433" w:hanging="291"/>
      </w:pPr>
      <w:rPr>
        <w:rFonts w:hint="default"/>
      </w:rPr>
    </w:lvl>
    <w:lvl w:ilvl="5" w:tplc="D0586AD2">
      <w:start w:val="1"/>
      <w:numFmt w:val="bullet"/>
      <w:lvlText w:val="•"/>
      <w:lvlJc w:val="left"/>
      <w:pPr>
        <w:ind w:left="4174" w:hanging="291"/>
      </w:pPr>
      <w:rPr>
        <w:rFonts w:hint="default"/>
      </w:rPr>
    </w:lvl>
    <w:lvl w:ilvl="6" w:tplc="913896E4">
      <w:start w:val="1"/>
      <w:numFmt w:val="bullet"/>
      <w:lvlText w:val="•"/>
      <w:lvlJc w:val="left"/>
      <w:pPr>
        <w:ind w:left="4914" w:hanging="291"/>
      </w:pPr>
      <w:rPr>
        <w:rFonts w:hint="default"/>
      </w:rPr>
    </w:lvl>
    <w:lvl w:ilvl="7" w:tplc="1F5A00B6">
      <w:start w:val="1"/>
      <w:numFmt w:val="bullet"/>
      <w:lvlText w:val="•"/>
      <w:lvlJc w:val="left"/>
      <w:pPr>
        <w:ind w:left="5655" w:hanging="291"/>
      </w:pPr>
      <w:rPr>
        <w:rFonts w:hint="default"/>
      </w:rPr>
    </w:lvl>
    <w:lvl w:ilvl="8" w:tplc="A72CB6EC">
      <w:start w:val="1"/>
      <w:numFmt w:val="bullet"/>
      <w:lvlText w:val="•"/>
      <w:lvlJc w:val="left"/>
      <w:pPr>
        <w:ind w:left="6396" w:hanging="291"/>
      </w:pPr>
      <w:rPr>
        <w:rFonts w:hint="default"/>
      </w:rPr>
    </w:lvl>
  </w:abstractNum>
  <w:abstractNum w:abstractNumId="38" w15:restartNumberingAfterBreak="0">
    <w:nsid w:val="495D2B96"/>
    <w:multiLevelType w:val="hybridMultilevel"/>
    <w:tmpl w:val="9A868BCA"/>
    <w:lvl w:ilvl="0" w:tplc="62FA954A">
      <w:start w:val="1"/>
      <w:numFmt w:val="bullet"/>
      <w:lvlText w:val="□"/>
      <w:lvlJc w:val="left"/>
      <w:pPr>
        <w:ind w:left="580" w:hanging="425"/>
      </w:pPr>
      <w:rPr>
        <w:rFonts w:ascii="Times New Roman" w:eastAsia="Times New Roman" w:hAnsi="Times New Roman" w:hint="default"/>
        <w:w w:val="130"/>
        <w:sz w:val="14"/>
        <w:szCs w:val="14"/>
      </w:rPr>
    </w:lvl>
    <w:lvl w:ilvl="1" w:tplc="BD944F18">
      <w:start w:val="1"/>
      <w:numFmt w:val="bullet"/>
      <w:lvlText w:val="•"/>
      <w:lvlJc w:val="left"/>
      <w:pPr>
        <w:ind w:left="1083" w:hanging="425"/>
      </w:pPr>
      <w:rPr>
        <w:rFonts w:hint="default"/>
      </w:rPr>
    </w:lvl>
    <w:lvl w:ilvl="2" w:tplc="BFC8EE52">
      <w:start w:val="1"/>
      <w:numFmt w:val="bullet"/>
      <w:lvlText w:val="•"/>
      <w:lvlJc w:val="left"/>
      <w:pPr>
        <w:ind w:left="1586" w:hanging="425"/>
      </w:pPr>
      <w:rPr>
        <w:rFonts w:hint="default"/>
      </w:rPr>
    </w:lvl>
    <w:lvl w:ilvl="3" w:tplc="6BC62A04">
      <w:start w:val="1"/>
      <w:numFmt w:val="bullet"/>
      <w:lvlText w:val="•"/>
      <w:lvlJc w:val="left"/>
      <w:pPr>
        <w:ind w:left="2089" w:hanging="425"/>
      </w:pPr>
      <w:rPr>
        <w:rFonts w:hint="default"/>
      </w:rPr>
    </w:lvl>
    <w:lvl w:ilvl="4" w:tplc="2B221C6E">
      <w:start w:val="1"/>
      <w:numFmt w:val="bullet"/>
      <w:lvlText w:val="•"/>
      <w:lvlJc w:val="left"/>
      <w:pPr>
        <w:ind w:left="2592" w:hanging="425"/>
      </w:pPr>
      <w:rPr>
        <w:rFonts w:hint="default"/>
      </w:rPr>
    </w:lvl>
    <w:lvl w:ilvl="5" w:tplc="19529E16">
      <w:start w:val="1"/>
      <w:numFmt w:val="bullet"/>
      <w:lvlText w:val="•"/>
      <w:lvlJc w:val="left"/>
      <w:pPr>
        <w:ind w:left="3094" w:hanging="425"/>
      </w:pPr>
      <w:rPr>
        <w:rFonts w:hint="default"/>
      </w:rPr>
    </w:lvl>
    <w:lvl w:ilvl="6" w:tplc="63542ABA">
      <w:start w:val="1"/>
      <w:numFmt w:val="bullet"/>
      <w:lvlText w:val="•"/>
      <w:lvlJc w:val="left"/>
      <w:pPr>
        <w:ind w:left="3597" w:hanging="425"/>
      </w:pPr>
      <w:rPr>
        <w:rFonts w:hint="default"/>
      </w:rPr>
    </w:lvl>
    <w:lvl w:ilvl="7" w:tplc="A99E886C">
      <w:start w:val="1"/>
      <w:numFmt w:val="bullet"/>
      <w:lvlText w:val="•"/>
      <w:lvlJc w:val="left"/>
      <w:pPr>
        <w:ind w:left="4100" w:hanging="425"/>
      </w:pPr>
      <w:rPr>
        <w:rFonts w:hint="default"/>
      </w:rPr>
    </w:lvl>
    <w:lvl w:ilvl="8" w:tplc="FA366D2C">
      <w:start w:val="1"/>
      <w:numFmt w:val="bullet"/>
      <w:lvlText w:val="•"/>
      <w:lvlJc w:val="left"/>
      <w:pPr>
        <w:ind w:left="4603" w:hanging="425"/>
      </w:pPr>
      <w:rPr>
        <w:rFonts w:hint="default"/>
      </w:rPr>
    </w:lvl>
  </w:abstractNum>
  <w:abstractNum w:abstractNumId="39" w15:restartNumberingAfterBreak="0">
    <w:nsid w:val="49AB6661"/>
    <w:multiLevelType w:val="multilevel"/>
    <w:tmpl w:val="E9724536"/>
    <w:lvl w:ilvl="0">
      <w:start w:val="3"/>
      <w:numFmt w:val="decimal"/>
      <w:lvlText w:val="%1"/>
      <w:lvlJc w:val="left"/>
      <w:pPr>
        <w:ind w:left="691" w:hanging="579"/>
      </w:pPr>
      <w:rPr>
        <w:rFonts w:hint="default"/>
      </w:rPr>
    </w:lvl>
    <w:lvl w:ilvl="1">
      <w:start w:val="1"/>
      <w:numFmt w:val="decimal"/>
      <w:lvlText w:val="%1.%2."/>
      <w:lvlJc w:val="left"/>
      <w:pPr>
        <w:ind w:left="691" w:hanging="579"/>
      </w:pPr>
      <w:rPr>
        <w:rFonts w:ascii="Times New Roman" w:eastAsia="Times New Roman" w:hAnsi="Times New Roman" w:hint="default"/>
        <w:w w:val="127"/>
        <w:sz w:val="18"/>
        <w:szCs w:val="18"/>
      </w:rPr>
    </w:lvl>
    <w:lvl w:ilvl="2">
      <w:start w:val="1"/>
      <w:numFmt w:val="bullet"/>
      <w:lvlText w:val=""/>
      <w:lvlJc w:val="left"/>
      <w:pPr>
        <w:ind w:left="832" w:hanging="360"/>
      </w:pPr>
      <w:rPr>
        <w:rFonts w:ascii="Symbol" w:hAnsi="Symbol" w:hint="default"/>
        <w:w w:val="75"/>
        <w:sz w:val="19"/>
        <w:szCs w:val="19"/>
      </w:rPr>
    </w:lvl>
    <w:lvl w:ilvl="3">
      <w:start w:val="1"/>
      <w:numFmt w:val="bullet"/>
      <w:lvlText w:val="•"/>
      <w:lvlJc w:val="left"/>
      <w:pPr>
        <w:ind w:left="2398" w:hanging="360"/>
      </w:pPr>
      <w:rPr>
        <w:rFonts w:hint="default"/>
      </w:rPr>
    </w:lvl>
    <w:lvl w:ilvl="4">
      <w:start w:val="1"/>
      <w:numFmt w:val="bullet"/>
      <w:lvlText w:val="•"/>
      <w:lvlJc w:val="left"/>
      <w:pPr>
        <w:ind w:left="3181" w:hanging="360"/>
      </w:pPr>
      <w:rPr>
        <w:rFonts w:hint="default"/>
      </w:rPr>
    </w:lvl>
    <w:lvl w:ilvl="5">
      <w:start w:val="1"/>
      <w:numFmt w:val="bullet"/>
      <w:lvlText w:val="•"/>
      <w:lvlJc w:val="left"/>
      <w:pPr>
        <w:ind w:left="3963" w:hanging="360"/>
      </w:pPr>
      <w:rPr>
        <w:rFonts w:hint="default"/>
      </w:rPr>
    </w:lvl>
    <w:lvl w:ilvl="6">
      <w:start w:val="1"/>
      <w:numFmt w:val="bullet"/>
      <w:lvlText w:val="•"/>
      <w:lvlJc w:val="left"/>
      <w:pPr>
        <w:ind w:left="4746" w:hanging="360"/>
      </w:pPr>
      <w:rPr>
        <w:rFonts w:hint="default"/>
      </w:rPr>
    </w:lvl>
    <w:lvl w:ilvl="7">
      <w:start w:val="1"/>
      <w:numFmt w:val="bullet"/>
      <w:lvlText w:val="•"/>
      <w:lvlJc w:val="left"/>
      <w:pPr>
        <w:ind w:left="5529" w:hanging="360"/>
      </w:pPr>
      <w:rPr>
        <w:rFonts w:hint="default"/>
      </w:rPr>
    </w:lvl>
    <w:lvl w:ilvl="8">
      <w:start w:val="1"/>
      <w:numFmt w:val="bullet"/>
      <w:lvlText w:val="•"/>
      <w:lvlJc w:val="left"/>
      <w:pPr>
        <w:ind w:left="6312" w:hanging="360"/>
      </w:pPr>
      <w:rPr>
        <w:rFonts w:hint="default"/>
      </w:rPr>
    </w:lvl>
  </w:abstractNum>
  <w:abstractNum w:abstractNumId="40" w15:restartNumberingAfterBreak="0">
    <w:nsid w:val="4CD97920"/>
    <w:multiLevelType w:val="hybridMultilevel"/>
    <w:tmpl w:val="2D36D170"/>
    <w:lvl w:ilvl="0" w:tplc="6B40D2F2">
      <w:start w:val="259"/>
      <w:numFmt w:val="decimal"/>
      <w:lvlText w:val="%1"/>
      <w:lvlJc w:val="left"/>
      <w:pPr>
        <w:ind w:left="590" w:hanging="293"/>
        <w:jc w:val="right"/>
      </w:pPr>
      <w:rPr>
        <w:rFonts w:ascii="Verdana" w:eastAsia="Verdana" w:hAnsi="Verdana" w:hint="default"/>
        <w:spacing w:val="-1"/>
        <w:w w:val="99"/>
        <w:sz w:val="13"/>
        <w:szCs w:val="13"/>
      </w:rPr>
    </w:lvl>
    <w:lvl w:ilvl="1" w:tplc="2460C252">
      <w:start w:val="1"/>
      <w:numFmt w:val="bullet"/>
      <w:lvlText w:val="•"/>
      <w:lvlJc w:val="left"/>
      <w:pPr>
        <w:ind w:left="1343" w:hanging="293"/>
      </w:pPr>
      <w:rPr>
        <w:rFonts w:hint="default"/>
      </w:rPr>
    </w:lvl>
    <w:lvl w:ilvl="2" w:tplc="7336385A">
      <w:start w:val="1"/>
      <w:numFmt w:val="bullet"/>
      <w:lvlText w:val="•"/>
      <w:lvlJc w:val="left"/>
      <w:pPr>
        <w:ind w:left="2095" w:hanging="293"/>
      </w:pPr>
      <w:rPr>
        <w:rFonts w:hint="default"/>
      </w:rPr>
    </w:lvl>
    <w:lvl w:ilvl="3" w:tplc="2DB4A080">
      <w:start w:val="1"/>
      <w:numFmt w:val="bullet"/>
      <w:lvlText w:val="•"/>
      <w:lvlJc w:val="left"/>
      <w:pPr>
        <w:ind w:left="2848" w:hanging="293"/>
      </w:pPr>
      <w:rPr>
        <w:rFonts w:hint="default"/>
      </w:rPr>
    </w:lvl>
    <w:lvl w:ilvl="4" w:tplc="BA5A8B60">
      <w:start w:val="1"/>
      <w:numFmt w:val="bullet"/>
      <w:lvlText w:val="•"/>
      <w:lvlJc w:val="left"/>
      <w:pPr>
        <w:ind w:left="3601" w:hanging="293"/>
      </w:pPr>
      <w:rPr>
        <w:rFonts w:hint="default"/>
      </w:rPr>
    </w:lvl>
    <w:lvl w:ilvl="5" w:tplc="7BE20DE6">
      <w:start w:val="1"/>
      <w:numFmt w:val="bullet"/>
      <w:lvlText w:val="•"/>
      <w:lvlJc w:val="left"/>
      <w:pPr>
        <w:ind w:left="4354" w:hanging="293"/>
      </w:pPr>
      <w:rPr>
        <w:rFonts w:hint="default"/>
      </w:rPr>
    </w:lvl>
    <w:lvl w:ilvl="6" w:tplc="A2727444">
      <w:start w:val="1"/>
      <w:numFmt w:val="bullet"/>
      <w:lvlText w:val="•"/>
      <w:lvlJc w:val="left"/>
      <w:pPr>
        <w:ind w:left="5106" w:hanging="293"/>
      </w:pPr>
      <w:rPr>
        <w:rFonts w:hint="default"/>
      </w:rPr>
    </w:lvl>
    <w:lvl w:ilvl="7" w:tplc="F80CAA1C">
      <w:start w:val="1"/>
      <w:numFmt w:val="bullet"/>
      <w:lvlText w:val="•"/>
      <w:lvlJc w:val="left"/>
      <w:pPr>
        <w:ind w:left="5859" w:hanging="293"/>
      </w:pPr>
      <w:rPr>
        <w:rFonts w:hint="default"/>
      </w:rPr>
    </w:lvl>
    <w:lvl w:ilvl="8" w:tplc="838E72F4">
      <w:start w:val="1"/>
      <w:numFmt w:val="bullet"/>
      <w:lvlText w:val="•"/>
      <w:lvlJc w:val="left"/>
      <w:pPr>
        <w:ind w:left="6612" w:hanging="293"/>
      </w:pPr>
      <w:rPr>
        <w:rFonts w:hint="default"/>
      </w:rPr>
    </w:lvl>
  </w:abstractNum>
  <w:abstractNum w:abstractNumId="41" w15:restartNumberingAfterBreak="0">
    <w:nsid w:val="4F524D38"/>
    <w:multiLevelType w:val="hybridMultilevel"/>
    <w:tmpl w:val="39FE2A90"/>
    <w:lvl w:ilvl="0" w:tplc="30DE3042">
      <w:start w:val="247"/>
      <w:numFmt w:val="decimal"/>
      <w:lvlText w:val="%1"/>
      <w:lvlJc w:val="left"/>
      <w:pPr>
        <w:ind w:left="470" w:hanging="291"/>
      </w:pPr>
      <w:rPr>
        <w:rFonts w:ascii="Verdana" w:eastAsia="Verdana" w:hAnsi="Verdana" w:hint="default"/>
        <w:spacing w:val="-1"/>
        <w:w w:val="99"/>
        <w:sz w:val="13"/>
        <w:szCs w:val="13"/>
      </w:rPr>
    </w:lvl>
    <w:lvl w:ilvl="1" w:tplc="C7D6D948">
      <w:start w:val="1"/>
      <w:numFmt w:val="bullet"/>
      <w:lvlText w:val="•"/>
      <w:lvlJc w:val="left"/>
      <w:pPr>
        <w:ind w:left="1211" w:hanging="291"/>
      </w:pPr>
      <w:rPr>
        <w:rFonts w:hint="default"/>
      </w:rPr>
    </w:lvl>
    <w:lvl w:ilvl="2" w:tplc="24AEA09E">
      <w:start w:val="1"/>
      <w:numFmt w:val="bullet"/>
      <w:lvlText w:val="•"/>
      <w:lvlJc w:val="left"/>
      <w:pPr>
        <w:ind w:left="1951" w:hanging="291"/>
      </w:pPr>
      <w:rPr>
        <w:rFonts w:hint="default"/>
      </w:rPr>
    </w:lvl>
    <w:lvl w:ilvl="3" w:tplc="6D6A00AC">
      <w:start w:val="1"/>
      <w:numFmt w:val="bullet"/>
      <w:lvlText w:val="•"/>
      <w:lvlJc w:val="left"/>
      <w:pPr>
        <w:ind w:left="2692" w:hanging="291"/>
      </w:pPr>
      <w:rPr>
        <w:rFonts w:hint="default"/>
      </w:rPr>
    </w:lvl>
    <w:lvl w:ilvl="4" w:tplc="1A907ED6">
      <w:start w:val="1"/>
      <w:numFmt w:val="bullet"/>
      <w:lvlText w:val="•"/>
      <w:lvlJc w:val="left"/>
      <w:pPr>
        <w:ind w:left="3433" w:hanging="291"/>
      </w:pPr>
      <w:rPr>
        <w:rFonts w:hint="default"/>
      </w:rPr>
    </w:lvl>
    <w:lvl w:ilvl="5" w:tplc="6232A35C">
      <w:start w:val="1"/>
      <w:numFmt w:val="bullet"/>
      <w:lvlText w:val="•"/>
      <w:lvlJc w:val="left"/>
      <w:pPr>
        <w:ind w:left="4174" w:hanging="291"/>
      </w:pPr>
      <w:rPr>
        <w:rFonts w:hint="default"/>
      </w:rPr>
    </w:lvl>
    <w:lvl w:ilvl="6" w:tplc="8E2E0532">
      <w:start w:val="1"/>
      <w:numFmt w:val="bullet"/>
      <w:lvlText w:val="•"/>
      <w:lvlJc w:val="left"/>
      <w:pPr>
        <w:ind w:left="4914" w:hanging="291"/>
      </w:pPr>
      <w:rPr>
        <w:rFonts w:hint="default"/>
      </w:rPr>
    </w:lvl>
    <w:lvl w:ilvl="7" w:tplc="B8D40AEE">
      <w:start w:val="1"/>
      <w:numFmt w:val="bullet"/>
      <w:lvlText w:val="•"/>
      <w:lvlJc w:val="left"/>
      <w:pPr>
        <w:ind w:left="5655" w:hanging="291"/>
      </w:pPr>
      <w:rPr>
        <w:rFonts w:hint="default"/>
      </w:rPr>
    </w:lvl>
    <w:lvl w:ilvl="8" w:tplc="8F149494">
      <w:start w:val="1"/>
      <w:numFmt w:val="bullet"/>
      <w:lvlText w:val="•"/>
      <w:lvlJc w:val="left"/>
      <w:pPr>
        <w:ind w:left="6396" w:hanging="291"/>
      </w:pPr>
      <w:rPr>
        <w:rFonts w:hint="default"/>
      </w:rPr>
    </w:lvl>
  </w:abstractNum>
  <w:abstractNum w:abstractNumId="42" w15:restartNumberingAfterBreak="0">
    <w:nsid w:val="4FBE791B"/>
    <w:multiLevelType w:val="hybridMultilevel"/>
    <w:tmpl w:val="9A60CBD6"/>
    <w:lvl w:ilvl="0" w:tplc="4CB297F4">
      <w:start w:val="1"/>
      <w:numFmt w:val="decimal"/>
      <w:lvlText w:val="%1)"/>
      <w:lvlJc w:val="left"/>
      <w:pPr>
        <w:ind w:left="212" w:hanging="328"/>
      </w:pPr>
      <w:rPr>
        <w:rFonts w:ascii="Verdana" w:eastAsia="Verdana" w:hAnsi="Verdana" w:hint="default"/>
        <w:spacing w:val="-1"/>
        <w:w w:val="99"/>
        <w:sz w:val="19"/>
        <w:szCs w:val="19"/>
      </w:rPr>
    </w:lvl>
    <w:lvl w:ilvl="1" w:tplc="F210F4EC">
      <w:start w:val="1"/>
      <w:numFmt w:val="bullet"/>
      <w:lvlText w:val="•"/>
      <w:lvlJc w:val="left"/>
      <w:pPr>
        <w:ind w:left="1001" w:hanging="328"/>
      </w:pPr>
      <w:rPr>
        <w:rFonts w:hint="default"/>
      </w:rPr>
    </w:lvl>
    <w:lvl w:ilvl="2" w:tplc="8710002A">
      <w:start w:val="1"/>
      <w:numFmt w:val="bullet"/>
      <w:lvlText w:val="•"/>
      <w:lvlJc w:val="left"/>
      <w:pPr>
        <w:ind w:left="1789" w:hanging="328"/>
      </w:pPr>
      <w:rPr>
        <w:rFonts w:hint="default"/>
      </w:rPr>
    </w:lvl>
    <w:lvl w:ilvl="3" w:tplc="BDB8E3D2">
      <w:start w:val="1"/>
      <w:numFmt w:val="bullet"/>
      <w:lvlText w:val="•"/>
      <w:lvlJc w:val="left"/>
      <w:pPr>
        <w:ind w:left="2578" w:hanging="328"/>
      </w:pPr>
      <w:rPr>
        <w:rFonts w:hint="default"/>
      </w:rPr>
    </w:lvl>
    <w:lvl w:ilvl="4" w:tplc="A2EA9300">
      <w:start w:val="1"/>
      <w:numFmt w:val="bullet"/>
      <w:lvlText w:val="•"/>
      <w:lvlJc w:val="left"/>
      <w:pPr>
        <w:ind w:left="3366" w:hanging="328"/>
      </w:pPr>
      <w:rPr>
        <w:rFonts w:hint="default"/>
      </w:rPr>
    </w:lvl>
    <w:lvl w:ilvl="5" w:tplc="F2380222">
      <w:start w:val="1"/>
      <w:numFmt w:val="bullet"/>
      <w:lvlText w:val="•"/>
      <w:lvlJc w:val="left"/>
      <w:pPr>
        <w:ind w:left="4155" w:hanging="328"/>
      </w:pPr>
      <w:rPr>
        <w:rFonts w:hint="default"/>
      </w:rPr>
    </w:lvl>
    <w:lvl w:ilvl="6" w:tplc="17242D6C">
      <w:start w:val="1"/>
      <w:numFmt w:val="bullet"/>
      <w:lvlText w:val="•"/>
      <w:lvlJc w:val="left"/>
      <w:pPr>
        <w:ind w:left="4943" w:hanging="328"/>
      </w:pPr>
      <w:rPr>
        <w:rFonts w:hint="default"/>
      </w:rPr>
    </w:lvl>
    <w:lvl w:ilvl="7" w:tplc="D16EF2B4">
      <w:start w:val="1"/>
      <w:numFmt w:val="bullet"/>
      <w:lvlText w:val="•"/>
      <w:lvlJc w:val="left"/>
      <w:pPr>
        <w:ind w:left="5732" w:hanging="328"/>
      </w:pPr>
      <w:rPr>
        <w:rFonts w:hint="default"/>
      </w:rPr>
    </w:lvl>
    <w:lvl w:ilvl="8" w:tplc="76680642">
      <w:start w:val="1"/>
      <w:numFmt w:val="bullet"/>
      <w:lvlText w:val="•"/>
      <w:lvlJc w:val="left"/>
      <w:pPr>
        <w:ind w:left="6520" w:hanging="328"/>
      </w:pPr>
      <w:rPr>
        <w:rFonts w:hint="default"/>
      </w:rPr>
    </w:lvl>
  </w:abstractNum>
  <w:abstractNum w:abstractNumId="43" w15:restartNumberingAfterBreak="0">
    <w:nsid w:val="52FD0337"/>
    <w:multiLevelType w:val="hybridMultilevel"/>
    <w:tmpl w:val="F2C079C2"/>
    <w:lvl w:ilvl="0" w:tplc="9A008496">
      <w:start w:val="206"/>
      <w:numFmt w:val="decimal"/>
      <w:lvlText w:val="%1"/>
      <w:lvlJc w:val="left"/>
      <w:pPr>
        <w:ind w:left="470" w:hanging="291"/>
      </w:pPr>
      <w:rPr>
        <w:rFonts w:ascii="Verdana" w:eastAsia="Verdana" w:hAnsi="Verdana" w:hint="default"/>
        <w:spacing w:val="-1"/>
        <w:w w:val="99"/>
        <w:sz w:val="13"/>
        <w:szCs w:val="13"/>
      </w:rPr>
    </w:lvl>
    <w:lvl w:ilvl="1" w:tplc="DEB8D654">
      <w:start w:val="1"/>
      <w:numFmt w:val="bullet"/>
      <w:lvlText w:val="•"/>
      <w:lvlJc w:val="left"/>
      <w:pPr>
        <w:ind w:left="1211" w:hanging="291"/>
      </w:pPr>
      <w:rPr>
        <w:rFonts w:hint="default"/>
      </w:rPr>
    </w:lvl>
    <w:lvl w:ilvl="2" w:tplc="F4A2816C">
      <w:start w:val="1"/>
      <w:numFmt w:val="bullet"/>
      <w:lvlText w:val="•"/>
      <w:lvlJc w:val="left"/>
      <w:pPr>
        <w:ind w:left="1951" w:hanging="291"/>
      </w:pPr>
      <w:rPr>
        <w:rFonts w:hint="default"/>
      </w:rPr>
    </w:lvl>
    <w:lvl w:ilvl="3" w:tplc="7700D7C2">
      <w:start w:val="1"/>
      <w:numFmt w:val="bullet"/>
      <w:lvlText w:val="•"/>
      <w:lvlJc w:val="left"/>
      <w:pPr>
        <w:ind w:left="2692" w:hanging="291"/>
      </w:pPr>
      <w:rPr>
        <w:rFonts w:hint="default"/>
      </w:rPr>
    </w:lvl>
    <w:lvl w:ilvl="4" w:tplc="CC9AC986">
      <w:start w:val="1"/>
      <w:numFmt w:val="bullet"/>
      <w:lvlText w:val="•"/>
      <w:lvlJc w:val="left"/>
      <w:pPr>
        <w:ind w:left="3433" w:hanging="291"/>
      </w:pPr>
      <w:rPr>
        <w:rFonts w:hint="default"/>
      </w:rPr>
    </w:lvl>
    <w:lvl w:ilvl="5" w:tplc="C83E7988">
      <w:start w:val="1"/>
      <w:numFmt w:val="bullet"/>
      <w:lvlText w:val="•"/>
      <w:lvlJc w:val="left"/>
      <w:pPr>
        <w:ind w:left="4174" w:hanging="291"/>
      </w:pPr>
      <w:rPr>
        <w:rFonts w:hint="default"/>
      </w:rPr>
    </w:lvl>
    <w:lvl w:ilvl="6" w:tplc="B664B154">
      <w:start w:val="1"/>
      <w:numFmt w:val="bullet"/>
      <w:lvlText w:val="•"/>
      <w:lvlJc w:val="left"/>
      <w:pPr>
        <w:ind w:left="4914" w:hanging="291"/>
      </w:pPr>
      <w:rPr>
        <w:rFonts w:hint="default"/>
      </w:rPr>
    </w:lvl>
    <w:lvl w:ilvl="7" w:tplc="661CCC5C">
      <w:start w:val="1"/>
      <w:numFmt w:val="bullet"/>
      <w:lvlText w:val="•"/>
      <w:lvlJc w:val="left"/>
      <w:pPr>
        <w:ind w:left="5655" w:hanging="291"/>
      </w:pPr>
      <w:rPr>
        <w:rFonts w:hint="default"/>
      </w:rPr>
    </w:lvl>
    <w:lvl w:ilvl="8" w:tplc="5B485712">
      <w:start w:val="1"/>
      <w:numFmt w:val="bullet"/>
      <w:lvlText w:val="•"/>
      <w:lvlJc w:val="left"/>
      <w:pPr>
        <w:ind w:left="6396" w:hanging="291"/>
      </w:pPr>
      <w:rPr>
        <w:rFonts w:hint="default"/>
      </w:rPr>
    </w:lvl>
  </w:abstractNum>
  <w:abstractNum w:abstractNumId="44" w15:restartNumberingAfterBreak="0">
    <w:nsid w:val="541D2905"/>
    <w:multiLevelType w:val="hybridMultilevel"/>
    <w:tmpl w:val="C02E530C"/>
    <w:lvl w:ilvl="0" w:tplc="836C5444">
      <w:start w:val="198"/>
      <w:numFmt w:val="decimal"/>
      <w:lvlText w:val="%1"/>
      <w:lvlJc w:val="left"/>
      <w:pPr>
        <w:ind w:left="470" w:hanging="291"/>
      </w:pPr>
      <w:rPr>
        <w:rFonts w:ascii="Verdana" w:eastAsia="Verdana" w:hAnsi="Verdana" w:hint="default"/>
        <w:spacing w:val="-1"/>
        <w:w w:val="99"/>
        <w:sz w:val="13"/>
        <w:szCs w:val="13"/>
      </w:rPr>
    </w:lvl>
    <w:lvl w:ilvl="1" w:tplc="14E63B94">
      <w:start w:val="1"/>
      <w:numFmt w:val="bullet"/>
      <w:lvlText w:val="•"/>
      <w:lvlJc w:val="left"/>
      <w:pPr>
        <w:ind w:left="1211" w:hanging="291"/>
      </w:pPr>
      <w:rPr>
        <w:rFonts w:hint="default"/>
      </w:rPr>
    </w:lvl>
    <w:lvl w:ilvl="2" w:tplc="0F408DF8">
      <w:start w:val="1"/>
      <w:numFmt w:val="bullet"/>
      <w:lvlText w:val="•"/>
      <w:lvlJc w:val="left"/>
      <w:pPr>
        <w:ind w:left="1951" w:hanging="291"/>
      </w:pPr>
      <w:rPr>
        <w:rFonts w:hint="default"/>
      </w:rPr>
    </w:lvl>
    <w:lvl w:ilvl="3" w:tplc="DE2834A0">
      <w:start w:val="1"/>
      <w:numFmt w:val="bullet"/>
      <w:lvlText w:val="•"/>
      <w:lvlJc w:val="left"/>
      <w:pPr>
        <w:ind w:left="2692" w:hanging="291"/>
      </w:pPr>
      <w:rPr>
        <w:rFonts w:hint="default"/>
      </w:rPr>
    </w:lvl>
    <w:lvl w:ilvl="4" w:tplc="25B2A890">
      <w:start w:val="1"/>
      <w:numFmt w:val="bullet"/>
      <w:lvlText w:val="•"/>
      <w:lvlJc w:val="left"/>
      <w:pPr>
        <w:ind w:left="3433" w:hanging="291"/>
      </w:pPr>
      <w:rPr>
        <w:rFonts w:hint="default"/>
      </w:rPr>
    </w:lvl>
    <w:lvl w:ilvl="5" w:tplc="15E8AFD0">
      <w:start w:val="1"/>
      <w:numFmt w:val="bullet"/>
      <w:lvlText w:val="•"/>
      <w:lvlJc w:val="left"/>
      <w:pPr>
        <w:ind w:left="4174" w:hanging="291"/>
      </w:pPr>
      <w:rPr>
        <w:rFonts w:hint="default"/>
      </w:rPr>
    </w:lvl>
    <w:lvl w:ilvl="6" w:tplc="6A026DF4">
      <w:start w:val="1"/>
      <w:numFmt w:val="bullet"/>
      <w:lvlText w:val="•"/>
      <w:lvlJc w:val="left"/>
      <w:pPr>
        <w:ind w:left="4914" w:hanging="291"/>
      </w:pPr>
      <w:rPr>
        <w:rFonts w:hint="default"/>
      </w:rPr>
    </w:lvl>
    <w:lvl w:ilvl="7" w:tplc="9CFCE82A">
      <w:start w:val="1"/>
      <w:numFmt w:val="bullet"/>
      <w:lvlText w:val="•"/>
      <w:lvlJc w:val="left"/>
      <w:pPr>
        <w:ind w:left="5655" w:hanging="291"/>
      </w:pPr>
      <w:rPr>
        <w:rFonts w:hint="default"/>
      </w:rPr>
    </w:lvl>
    <w:lvl w:ilvl="8" w:tplc="529EE906">
      <w:start w:val="1"/>
      <w:numFmt w:val="bullet"/>
      <w:lvlText w:val="•"/>
      <w:lvlJc w:val="left"/>
      <w:pPr>
        <w:ind w:left="6396" w:hanging="291"/>
      </w:pPr>
      <w:rPr>
        <w:rFonts w:hint="default"/>
      </w:rPr>
    </w:lvl>
  </w:abstractNum>
  <w:abstractNum w:abstractNumId="45" w15:restartNumberingAfterBreak="0">
    <w:nsid w:val="54C97AE8"/>
    <w:multiLevelType w:val="multilevel"/>
    <w:tmpl w:val="B8983FBA"/>
    <w:lvl w:ilvl="0">
      <w:start w:val="1"/>
      <w:numFmt w:val="decimal"/>
      <w:lvlText w:val="%1"/>
      <w:lvlJc w:val="left"/>
      <w:pPr>
        <w:ind w:left="808" w:hanging="696"/>
      </w:pPr>
      <w:rPr>
        <w:rFonts w:ascii="Times New Roman" w:eastAsia="Times New Roman" w:hAnsi="Times New Roman" w:hint="default"/>
        <w:w w:val="142"/>
        <w:sz w:val="18"/>
        <w:szCs w:val="18"/>
      </w:rPr>
    </w:lvl>
    <w:lvl w:ilvl="1">
      <w:start w:val="1"/>
      <w:numFmt w:val="decimal"/>
      <w:lvlText w:val="%1.%2."/>
      <w:lvlJc w:val="left"/>
      <w:pPr>
        <w:ind w:left="691" w:hanging="579"/>
      </w:pPr>
      <w:rPr>
        <w:rFonts w:ascii="Times New Roman" w:eastAsia="Times New Roman" w:hAnsi="Times New Roman" w:hint="default"/>
        <w:w w:val="127"/>
        <w:sz w:val="18"/>
        <w:szCs w:val="18"/>
      </w:rPr>
    </w:lvl>
    <w:lvl w:ilvl="2">
      <w:start w:val="1"/>
      <w:numFmt w:val="bullet"/>
      <w:lvlText w:val="•"/>
      <w:lvlJc w:val="left"/>
      <w:pPr>
        <w:ind w:left="1594" w:hanging="579"/>
      </w:pPr>
      <w:rPr>
        <w:rFonts w:hint="default"/>
      </w:rPr>
    </w:lvl>
    <w:lvl w:ilvl="3">
      <w:start w:val="1"/>
      <w:numFmt w:val="bullet"/>
      <w:lvlText w:val="•"/>
      <w:lvlJc w:val="left"/>
      <w:pPr>
        <w:ind w:left="2379" w:hanging="579"/>
      </w:pPr>
      <w:rPr>
        <w:rFonts w:hint="default"/>
      </w:rPr>
    </w:lvl>
    <w:lvl w:ilvl="4">
      <w:start w:val="1"/>
      <w:numFmt w:val="bullet"/>
      <w:lvlText w:val="•"/>
      <w:lvlJc w:val="left"/>
      <w:pPr>
        <w:ind w:left="3165" w:hanging="579"/>
      </w:pPr>
      <w:rPr>
        <w:rFonts w:hint="default"/>
      </w:rPr>
    </w:lvl>
    <w:lvl w:ilvl="5">
      <w:start w:val="1"/>
      <w:numFmt w:val="bullet"/>
      <w:lvlText w:val="•"/>
      <w:lvlJc w:val="left"/>
      <w:pPr>
        <w:ind w:left="3950" w:hanging="579"/>
      </w:pPr>
      <w:rPr>
        <w:rFonts w:hint="default"/>
      </w:rPr>
    </w:lvl>
    <w:lvl w:ilvl="6">
      <w:start w:val="1"/>
      <w:numFmt w:val="bullet"/>
      <w:lvlText w:val="•"/>
      <w:lvlJc w:val="left"/>
      <w:pPr>
        <w:ind w:left="4735" w:hanging="579"/>
      </w:pPr>
      <w:rPr>
        <w:rFonts w:hint="default"/>
      </w:rPr>
    </w:lvl>
    <w:lvl w:ilvl="7">
      <w:start w:val="1"/>
      <w:numFmt w:val="bullet"/>
      <w:lvlText w:val="•"/>
      <w:lvlJc w:val="left"/>
      <w:pPr>
        <w:ind w:left="5521" w:hanging="579"/>
      </w:pPr>
      <w:rPr>
        <w:rFonts w:hint="default"/>
      </w:rPr>
    </w:lvl>
    <w:lvl w:ilvl="8">
      <w:start w:val="1"/>
      <w:numFmt w:val="bullet"/>
      <w:lvlText w:val="•"/>
      <w:lvlJc w:val="left"/>
      <w:pPr>
        <w:ind w:left="6306" w:hanging="579"/>
      </w:pPr>
      <w:rPr>
        <w:rFonts w:hint="default"/>
      </w:rPr>
    </w:lvl>
  </w:abstractNum>
  <w:abstractNum w:abstractNumId="46" w15:restartNumberingAfterBreak="0">
    <w:nsid w:val="550155C1"/>
    <w:multiLevelType w:val="hybridMultilevel"/>
    <w:tmpl w:val="1B9C7244"/>
    <w:lvl w:ilvl="0" w:tplc="31EC78BE">
      <w:start w:val="1"/>
      <w:numFmt w:val="decimal"/>
      <w:lvlText w:val="%1)"/>
      <w:lvlJc w:val="left"/>
      <w:pPr>
        <w:ind w:left="112" w:hanging="313"/>
        <w:jc w:val="right"/>
      </w:pPr>
      <w:rPr>
        <w:rFonts w:ascii="Verdana" w:eastAsia="Verdana" w:hAnsi="Verdana" w:hint="default"/>
        <w:spacing w:val="-1"/>
        <w:w w:val="99"/>
        <w:sz w:val="19"/>
        <w:szCs w:val="19"/>
      </w:rPr>
    </w:lvl>
    <w:lvl w:ilvl="1" w:tplc="7554761A">
      <w:start w:val="1"/>
      <w:numFmt w:val="bullet"/>
      <w:lvlText w:val="•"/>
      <w:lvlJc w:val="left"/>
      <w:pPr>
        <w:ind w:left="889" w:hanging="313"/>
      </w:pPr>
      <w:rPr>
        <w:rFonts w:hint="default"/>
      </w:rPr>
    </w:lvl>
    <w:lvl w:ilvl="2" w:tplc="5C92AB9A">
      <w:start w:val="1"/>
      <w:numFmt w:val="bullet"/>
      <w:lvlText w:val="•"/>
      <w:lvlJc w:val="left"/>
      <w:pPr>
        <w:ind w:left="1665" w:hanging="313"/>
      </w:pPr>
      <w:rPr>
        <w:rFonts w:hint="default"/>
      </w:rPr>
    </w:lvl>
    <w:lvl w:ilvl="3" w:tplc="E2CADDEE">
      <w:start w:val="1"/>
      <w:numFmt w:val="bullet"/>
      <w:lvlText w:val="•"/>
      <w:lvlJc w:val="left"/>
      <w:pPr>
        <w:ind w:left="2442" w:hanging="313"/>
      </w:pPr>
      <w:rPr>
        <w:rFonts w:hint="default"/>
      </w:rPr>
    </w:lvl>
    <w:lvl w:ilvl="4" w:tplc="96BC1A24">
      <w:start w:val="1"/>
      <w:numFmt w:val="bullet"/>
      <w:lvlText w:val="•"/>
      <w:lvlJc w:val="left"/>
      <w:pPr>
        <w:ind w:left="3218" w:hanging="313"/>
      </w:pPr>
      <w:rPr>
        <w:rFonts w:hint="default"/>
      </w:rPr>
    </w:lvl>
    <w:lvl w:ilvl="5" w:tplc="33F819BE">
      <w:start w:val="1"/>
      <w:numFmt w:val="bullet"/>
      <w:lvlText w:val="•"/>
      <w:lvlJc w:val="left"/>
      <w:pPr>
        <w:ind w:left="3995" w:hanging="313"/>
      </w:pPr>
      <w:rPr>
        <w:rFonts w:hint="default"/>
      </w:rPr>
    </w:lvl>
    <w:lvl w:ilvl="6" w:tplc="D9E83D52">
      <w:start w:val="1"/>
      <w:numFmt w:val="bullet"/>
      <w:lvlText w:val="•"/>
      <w:lvlJc w:val="left"/>
      <w:pPr>
        <w:ind w:left="4771" w:hanging="313"/>
      </w:pPr>
      <w:rPr>
        <w:rFonts w:hint="default"/>
      </w:rPr>
    </w:lvl>
    <w:lvl w:ilvl="7" w:tplc="042A23AE">
      <w:start w:val="1"/>
      <w:numFmt w:val="bullet"/>
      <w:lvlText w:val="•"/>
      <w:lvlJc w:val="left"/>
      <w:pPr>
        <w:ind w:left="5548" w:hanging="313"/>
      </w:pPr>
      <w:rPr>
        <w:rFonts w:hint="default"/>
      </w:rPr>
    </w:lvl>
    <w:lvl w:ilvl="8" w:tplc="28048AD4">
      <w:start w:val="1"/>
      <w:numFmt w:val="bullet"/>
      <w:lvlText w:val="•"/>
      <w:lvlJc w:val="left"/>
      <w:pPr>
        <w:ind w:left="6324" w:hanging="313"/>
      </w:pPr>
      <w:rPr>
        <w:rFonts w:hint="default"/>
      </w:rPr>
    </w:lvl>
  </w:abstractNum>
  <w:abstractNum w:abstractNumId="47" w15:restartNumberingAfterBreak="0">
    <w:nsid w:val="553C19AD"/>
    <w:multiLevelType w:val="hybridMultilevel"/>
    <w:tmpl w:val="4AC4D312"/>
    <w:lvl w:ilvl="0" w:tplc="EAAC56BC">
      <w:start w:val="1"/>
      <w:numFmt w:val="bullet"/>
      <w:lvlText w:val="□"/>
      <w:lvlJc w:val="left"/>
      <w:pPr>
        <w:ind w:left="580" w:hanging="425"/>
      </w:pPr>
      <w:rPr>
        <w:rFonts w:ascii="Times New Roman" w:eastAsia="Times New Roman" w:hAnsi="Times New Roman" w:hint="default"/>
        <w:w w:val="130"/>
        <w:sz w:val="14"/>
        <w:szCs w:val="14"/>
      </w:rPr>
    </w:lvl>
    <w:lvl w:ilvl="1" w:tplc="CD140108">
      <w:start w:val="1"/>
      <w:numFmt w:val="bullet"/>
      <w:lvlText w:val="•"/>
      <w:lvlJc w:val="left"/>
      <w:pPr>
        <w:ind w:left="1083" w:hanging="425"/>
      </w:pPr>
      <w:rPr>
        <w:rFonts w:hint="default"/>
      </w:rPr>
    </w:lvl>
    <w:lvl w:ilvl="2" w:tplc="0250F6BC">
      <w:start w:val="1"/>
      <w:numFmt w:val="bullet"/>
      <w:lvlText w:val="•"/>
      <w:lvlJc w:val="left"/>
      <w:pPr>
        <w:ind w:left="1586" w:hanging="425"/>
      </w:pPr>
      <w:rPr>
        <w:rFonts w:hint="default"/>
      </w:rPr>
    </w:lvl>
    <w:lvl w:ilvl="3" w:tplc="1BAAAF9A">
      <w:start w:val="1"/>
      <w:numFmt w:val="bullet"/>
      <w:lvlText w:val="•"/>
      <w:lvlJc w:val="left"/>
      <w:pPr>
        <w:ind w:left="2089" w:hanging="425"/>
      </w:pPr>
      <w:rPr>
        <w:rFonts w:hint="default"/>
      </w:rPr>
    </w:lvl>
    <w:lvl w:ilvl="4" w:tplc="362CC23E">
      <w:start w:val="1"/>
      <w:numFmt w:val="bullet"/>
      <w:lvlText w:val="•"/>
      <w:lvlJc w:val="left"/>
      <w:pPr>
        <w:ind w:left="2592" w:hanging="425"/>
      </w:pPr>
      <w:rPr>
        <w:rFonts w:hint="default"/>
      </w:rPr>
    </w:lvl>
    <w:lvl w:ilvl="5" w:tplc="527850E0">
      <w:start w:val="1"/>
      <w:numFmt w:val="bullet"/>
      <w:lvlText w:val="•"/>
      <w:lvlJc w:val="left"/>
      <w:pPr>
        <w:ind w:left="3094" w:hanging="425"/>
      </w:pPr>
      <w:rPr>
        <w:rFonts w:hint="default"/>
      </w:rPr>
    </w:lvl>
    <w:lvl w:ilvl="6" w:tplc="22AEE7E6">
      <w:start w:val="1"/>
      <w:numFmt w:val="bullet"/>
      <w:lvlText w:val="•"/>
      <w:lvlJc w:val="left"/>
      <w:pPr>
        <w:ind w:left="3597" w:hanging="425"/>
      </w:pPr>
      <w:rPr>
        <w:rFonts w:hint="default"/>
      </w:rPr>
    </w:lvl>
    <w:lvl w:ilvl="7" w:tplc="1FFC5418">
      <w:start w:val="1"/>
      <w:numFmt w:val="bullet"/>
      <w:lvlText w:val="•"/>
      <w:lvlJc w:val="left"/>
      <w:pPr>
        <w:ind w:left="4100" w:hanging="425"/>
      </w:pPr>
      <w:rPr>
        <w:rFonts w:hint="default"/>
      </w:rPr>
    </w:lvl>
    <w:lvl w:ilvl="8" w:tplc="B436E82E">
      <w:start w:val="1"/>
      <w:numFmt w:val="bullet"/>
      <w:lvlText w:val="•"/>
      <w:lvlJc w:val="left"/>
      <w:pPr>
        <w:ind w:left="4603" w:hanging="425"/>
      </w:pPr>
      <w:rPr>
        <w:rFonts w:hint="default"/>
      </w:rPr>
    </w:lvl>
  </w:abstractNum>
  <w:abstractNum w:abstractNumId="48" w15:restartNumberingAfterBreak="0">
    <w:nsid w:val="59056547"/>
    <w:multiLevelType w:val="hybridMultilevel"/>
    <w:tmpl w:val="4B02EB38"/>
    <w:lvl w:ilvl="0" w:tplc="7AA21C52">
      <w:start w:val="1"/>
      <w:numFmt w:val="bullet"/>
      <w:lvlText w:val="-"/>
      <w:lvlJc w:val="left"/>
      <w:pPr>
        <w:ind w:left="832" w:hanging="360"/>
      </w:pPr>
      <w:rPr>
        <w:rFonts w:ascii="Times New Roman" w:eastAsia="Times New Roman" w:hAnsi="Times New Roman" w:hint="default"/>
        <w:color w:val="233F60"/>
        <w:w w:val="99"/>
        <w:sz w:val="19"/>
        <w:szCs w:val="19"/>
      </w:rPr>
    </w:lvl>
    <w:lvl w:ilvl="1" w:tplc="D72A0484">
      <w:start w:val="1"/>
      <w:numFmt w:val="bullet"/>
      <w:lvlText w:val="•"/>
      <w:lvlJc w:val="left"/>
      <w:pPr>
        <w:ind w:left="1537" w:hanging="360"/>
      </w:pPr>
      <w:rPr>
        <w:rFonts w:hint="default"/>
      </w:rPr>
    </w:lvl>
    <w:lvl w:ilvl="2" w:tplc="B3C6426A">
      <w:start w:val="1"/>
      <w:numFmt w:val="bullet"/>
      <w:lvlText w:val="•"/>
      <w:lvlJc w:val="left"/>
      <w:pPr>
        <w:ind w:left="2241" w:hanging="360"/>
      </w:pPr>
      <w:rPr>
        <w:rFonts w:hint="default"/>
      </w:rPr>
    </w:lvl>
    <w:lvl w:ilvl="3" w:tplc="6196359A">
      <w:start w:val="1"/>
      <w:numFmt w:val="bullet"/>
      <w:lvlText w:val="•"/>
      <w:lvlJc w:val="left"/>
      <w:pPr>
        <w:ind w:left="2946" w:hanging="360"/>
      </w:pPr>
      <w:rPr>
        <w:rFonts w:hint="default"/>
      </w:rPr>
    </w:lvl>
    <w:lvl w:ilvl="4" w:tplc="C6FA2262">
      <w:start w:val="1"/>
      <w:numFmt w:val="bullet"/>
      <w:lvlText w:val="•"/>
      <w:lvlJc w:val="left"/>
      <w:pPr>
        <w:ind w:left="3650" w:hanging="360"/>
      </w:pPr>
      <w:rPr>
        <w:rFonts w:hint="default"/>
      </w:rPr>
    </w:lvl>
    <w:lvl w:ilvl="5" w:tplc="92962B06">
      <w:start w:val="1"/>
      <w:numFmt w:val="bullet"/>
      <w:lvlText w:val="•"/>
      <w:lvlJc w:val="left"/>
      <w:pPr>
        <w:ind w:left="4355" w:hanging="360"/>
      </w:pPr>
      <w:rPr>
        <w:rFonts w:hint="default"/>
      </w:rPr>
    </w:lvl>
    <w:lvl w:ilvl="6" w:tplc="D7FEE15A">
      <w:start w:val="1"/>
      <w:numFmt w:val="bullet"/>
      <w:lvlText w:val="•"/>
      <w:lvlJc w:val="left"/>
      <w:pPr>
        <w:ind w:left="5059" w:hanging="360"/>
      </w:pPr>
      <w:rPr>
        <w:rFonts w:hint="default"/>
      </w:rPr>
    </w:lvl>
    <w:lvl w:ilvl="7" w:tplc="FBE29DEA">
      <w:start w:val="1"/>
      <w:numFmt w:val="bullet"/>
      <w:lvlText w:val="•"/>
      <w:lvlJc w:val="left"/>
      <w:pPr>
        <w:ind w:left="5764" w:hanging="360"/>
      </w:pPr>
      <w:rPr>
        <w:rFonts w:hint="default"/>
      </w:rPr>
    </w:lvl>
    <w:lvl w:ilvl="8" w:tplc="C336AA5E">
      <w:start w:val="1"/>
      <w:numFmt w:val="bullet"/>
      <w:lvlText w:val="•"/>
      <w:lvlJc w:val="left"/>
      <w:pPr>
        <w:ind w:left="6468" w:hanging="360"/>
      </w:pPr>
      <w:rPr>
        <w:rFonts w:hint="default"/>
      </w:rPr>
    </w:lvl>
  </w:abstractNum>
  <w:abstractNum w:abstractNumId="49" w15:restartNumberingAfterBreak="0">
    <w:nsid w:val="591E28CE"/>
    <w:multiLevelType w:val="multilevel"/>
    <w:tmpl w:val="36A6D40A"/>
    <w:lvl w:ilvl="0">
      <w:start w:val="5"/>
      <w:numFmt w:val="upperLetter"/>
      <w:lvlText w:val="%1-"/>
      <w:lvlJc w:val="left"/>
      <w:pPr>
        <w:ind w:left="932" w:hanging="158"/>
      </w:pPr>
      <w:rPr>
        <w:rFonts w:ascii="Calibri" w:eastAsia="Calibri" w:hAnsi="Calibri" w:hint="default"/>
        <w:color w:val="231F20"/>
        <w:w w:val="110"/>
        <w:sz w:val="18"/>
        <w:szCs w:val="18"/>
      </w:rPr>
    </w:lvl>
    <w:lvl w:ilvl="1">
      <w:start w:val="1"/>
      <w:numFmt w:val="decimal"/>
      <w:lvlText w:val="%2"/>
      <w:lvlJc w:val="left"/>
      <w:pPr>
        <w:ind w:left="1191" w:hanging="596"/>
      </w:pPr>
      <w:rPr>
        <w:rFonts w:ascii="Times New Roman" w:eastAsia="Times New Roman" w:hAnsi="Times New Roman" w:hint="default"/>
        <w:w w:val="142"/>
        <w:sz w:val="18"/>
        <w:szCs w:val="18"/>
      </w:rPr>
    </w:lvl>
    <w:lvl w:ilvl="2">
      <w:start w:val="1"/>
      <w:numFmt w:val="decimal"/>
      <w:lvlText w:val="%2.%3"/>
      <w:lvlJc w:val="left"/>
      <w:pPr>
        <w:ind w:left="1548" w:hanging="358"/>
      </w:pPr>
      <w:rPr>
        <w:rFonts w:ascii="Verdana" w:eastAsia="Verdana" w:hAnsi="Verdana" w:hint="default"/>
        <w:w w:val="99"/>
        <w:sz w:val="18"/>
        <w:szCs w:val="18"/>
      </w:rPr>
    </w:lvl>
    <w:lvl w:ilvl="3">
      <w:start w:val="1"/>
      <w:numFmt w:val="bullet"/>
      <w:lvlText w:val="•"/>
      <w:lvlJc w:val="left"/>
      <w:pPr>
        <w:ind w:left="2339" w:hanging="358"/>
      </w:pPr>
      <w:rPr>
        <w:rFonts w:hint="default"/>
      </w:rPr>
    </w:lvl>
    <w:lvl w:ilvl="4">
      <w:start w:val="1"/>
      <w:numFmt w:val="bullet"/>
      <w:lvlText w:val="•"/>
      <w:lvlJc w:val="left"/>
      <w:pPr>
        <w:ind w:left="3130" w:hanging="358"/>
      </w:pPr>
      <w:rPr>
        <w:rFonts w:hint="default"/>
      </w:rPr>
    </w:lvl>
    <w:lvl w:ilvl="5">
      <w:start w:val="1"/>
      <w:numFmt w:val="bullet"/>
      <w:lvlText w:val="•"/>
      <w:lvlJc w:val="left"/>
      <w:pPr>
        <w:ind w:left="3921" w:hanging="358"/>
      </w:pPr>
      <w:rPr>
        <w:rFonts w:hint="default"/>
      </w:rPr>
    </w:lvl>
    <w:lvl w:ilvl="6">
      <w:start w:val="1"/>
      <w:numFmt w:val="bullet"/>
      <w:lvlText w:val="•"/>
      <w:lvlJc w:val="left"/>
      <w:pPr>
        <w:ind w:left="4713" w:hanging="358"/>
      </w:pPr>
      <w:rPr>
        <w:rFonts w:hint="default"/>
      </w:rPr>
    </w:lvl>
    <w:lvl w:ilvl="7">
      <w:start w:val="1"/>
      <w:numFmt w:val="bullet"/>
      <w:lvlText w:val="•"/>
      <w:lvlJc w:val="left"/>
      <w:pPr>
        <w:ind w:left="5504" w:hanging="358"/>
      </w:pPr>
      <w:rPr>
        <w:rFonts w:hint="default"/>
      </w:rPr>
    </w:lvl>
    <w:lvl w:ilvl="8">
      <w:start w:val="1"/>
      <w:numFmt w:val="bullet"/>
      <w:lvlText w:val="•"/>
      <w:lvlJc w:val="left"/>
      <w:pPr>
        <w:ind w:left="6295" w:hanging="358"/>
      </w:pPr>
      <w:rPr>
        <w:rFonts w:hint="default"/>
      </w:rPr>
    </w:lvl>
  </w:abstractNum>
  <w:abstractNum w:abstractNumId="50" w15:restartNumberingAfterBreak="0">
    <w:nsid w:val="5CFB59BD"/>
    <w:multiLevelType w:val="multilevel"/>
    <w:tmpl w:val="2962F49A"/>
    <w:lvl w:ilvl="0">
      <w:start w:val="4"/>
      <w:numFmt w:val="decimal"/>
      <w:lvlText w:val="%1"/>
      <w:lvlJc w:val="left"/>
      <w:pPr>
        <w:ind w:left="679" w:hanging="553"/>
      </w:pPr>
      <w:rPr>
        <w:rFonts w:hint="default"/>
      </w:rPr>
    </w:lvl>
    <w:lvl w:ilvl="1">
      <w:start w:val="1"/>
      <w:numFmt w:val="decimal"/>
      <w:lvlText w:val="%1.%2"/>
      <w:lvlJc w:val="left"/>
      <w:pPr>
        <w:ind w:left="679" w:hanging="553"/>
      </w:pPr>
      <w:rPr>
        <w:rFonts w:ascii="Times New Roman" w:eastAsia="Times New Roman" w:hAnsi="Times New Roman" w:hint="default"/>
        <w:w w:val="126"/>
        <w:sz w:val="20"/>
        <w:szCs w:val="20"/>
      </w:rPr>
    </w:lvl>
    <w:lvl w:ilvl="2">
      <w:start w:val="1"/>
      <w:numFmt w:val="bullet"/>
      <w:lvlText w:val="•"/>
      <w:lvlJc w:val="left"/>
      <w:pPr>
        <w:ind w:left="2118" w:hanging="553"/>
      </w:pPr>
      <w:rPr>
        <w:rFonts w:hint="default"/>
      </w:rPr>
    </w:lvl>
    <w:lvl w:ilvl="3">
      <w:start w:val="1"/>
      <w:numFmt w:val="bullet"/>
      <w:lvlText w:val="•"/>
      <w:lvlJc w:val="left"/>
      <w:pPr>
        <w:ind w:left="2838" w:hanging="553"/>
      </w:pPr>
      <w:rPr>
        <w:rFonts w:hint="default"/>
      </w:rPr>
    </w:lvl>
    <w:lvl w:ilvl="4">
      <w:start w:val="1"/>
      <w:numFmt w:val="bullet"/>
      <w:lvlText w:val="•"/>
      <w:lvlJc w:val="left"/>
      <w:pPr>
        <w:ind w:left="3558" w:hanging="553"/>
      </w:pPr>
      <w:rPr>
        <w:rFonts w:hint="default"/>
      </w:rPr>
    </w:lvl>
    <w:lvl w:ilvl="5">
      <w:start w:val="1"/>
      <w:numFmt w:val="bullet"/>
      <w:lvlText w:val="•"/>
      <w:lvlJc w:val="left"/>
      <w:pPr>
        <w:ind w:left="4278" w:hanging="553"/>
      </w:pPr>
      <w:rPr>
        <w:rFonts w:hint="default"/>
      </w:rPr>
    </w:lvl>
    <w:lvl w:ilvl="6">
      <w:start w:val="1"/>
      <w:numFmt w:val="bullet"/>
      <w:lvlText w:val="•"/>
      <w:lvlJc w:val="left"/>
      <w:pPr>
        <w:ind w:left="4998" w:hanging="553"/>
      </w:pPr>
      <w:rPr>
        <w:rFonts w:hint="default"/>
      </w:rPr>
    </w:lvl>
    <w:lvl w:ilvl="7">
      <w:start w:val="1"/>
      <w:numFmt w:val="bullet"/>
      <w:lvlText w:val="•"/>
      <w:lvlJc w:val="left"/>
      <w:pPr>
        <w:ind w:left="5718" w:hanging="553"/>
      </w:pPr>
      <w:rPr>
        <w:rFonts w:hint="default"/>
      </w:rPr>
    </w:lvl>
    <w:lvl w:ilvl="8">
      <w:start w:val="1"/>
      <w:numFmt w:val="bullet"/>
      <w:lvlText w:val="•"/>
      <w:lvlJc w:val="left"/>
      <w:pPr>
        <w:ind w:left="6437" w:hanging="553"/>
      </w:pPr>
      <w:rPr>
        <w:rFonts w:hint="default"/>
      </w:rPr>
    </w:lvl>
  </w:abstractNum>
  <w:abstractNum w:abstractNumId="51" w15:restartNumberingAfterBreak="0">
    <w:nsid w:val="5DE8478C"/>
    <w:multiLevelType w:val="hybridMultilevel"/>
    <w:tmpl w:val="14FA4284"/>
    <w:lvl w:ilvl="0" w:tplc="2A8CA744">
      <w:start w:val="1"/>
      <w:numFmt w:val="decimal"/>
      <w:lvlText w:val="%1."/>
      <w:lvlJc w:val="left"/>
      <w:pPr>
        <w:ind w:left="679" w:hanging="567"/>
        <w:jc w:val="right"/>
      </w:pPr>
      <w:rPr>
        <w:rFonts w:ascii="Times New Roman" w:eastAsia="Times New Roman" w:hAnsi="Times New Roman" w:hint="default"/>
        <w:w w:val="141"/>
        <w:sz w:val="20"/>
        <w:szCs w:val="20"/>
      </w:rPr>
    </w:lvl>
    <w:lvl w:ilvl="1" w:tplc="814E0208">
      <w:start w:val="1"/>
      <w:numFmt w:val="decimal"/>
      <w:lvlText w:val="%2."/>
      <w:lvlJc w:val="left"/>
      <w:pPr>
        <w:ind w:left="825" w:hanging="356"/>
      </w:pPr>
      <w:rPr>
        <w:rFonts w:ascii="Verdana" w:eastAsia="Verdana" w:hAnsi="Verdana" w:hint="default"/>
        <w:spacing w:val="-1"/>
        <w:w w:val="99"/>
        <w:sz w:val="19"/>
        <w:szCs w:val="19"/>
      </w:rPr>
    </w:lvl>
    <w:lvl w:ilvl="2" w:tplc="56C2C1F8">
      <w:start w:val="1"/>
      <w:numFmt w:val="bullet"/>
      <w:lvlText w:val="•"/>
      <w:lvlJc w:val="left"/>
      <w:pPr>
        <w:ind w:left="1609" w:hanging="356"/>
      </w:pPr>
      <w:rPr>
        <w:rFonts w:hint="default"/>
      </w:rPr>
    </w:lvl>
    <w:lvl w:ilvl="3" w:tplc="C2EA0040">
      <w:start w:val="1"/>
      <w:numFmt w:val="bullet"/>
      <w:lvlText w:val="•"/>
      <w:lvlJc w:val="left"/>
      <w:pPr>
        <w:ind w:left="2392" w:hanging="356"/>
      </w:pPr>
      <w:rPr>
        <w:rFonts w:hint="default"/>
      </w:rPr>
    </w:lvl>
    <w:lvl w:ilvl="4" w:tplc="D4D69E54">
      <w:start w:val="1"/>
      <w:numFmt w:val="bullet"/>
      <w:lvlText w:val="•"/>
      <w:lvlJc w:val="left"/>
      <w:pPr>
        <w:ind w:left="3176" w:hanging="356"/>
      </w:pPr>
      <w:rPr>
        <w:rFonts w:hint="default"/>
      </w:rPr>
    </w:lvl>
    <w:lvl w:ilvl="5" w:tplc="A5FAE23A">
      <w:start w:val="1"/>
      <w:numFmt w:val="bullet"/>
      <w:lvlText w:val="•"/>
      <w:lvlJc w:val="left"/>
      <w:pPr>
        <w:ind w:left="3959" w:hanging="356"/>
      </w:pPr>
      <w:rPr>
        <w:rFonts w:hint="default"/>
      </w:rPr>
    </w:lvl>
    <w:lvl w:ilvl="6" w:tplc="5024FE5C">
      <w:start w:val="1"/>
      <w:numFmt w:val="bullet"/>
      <w:lvlText w:val="•"/>
      <w:lvlJc w:val="left"/>
      <w:pPr>
        <w:ind w:left="4743" w:hanging="356"/>
      </w:pPr>
      <w:rPr>
        <w:rFonts w:hint="default"/>
      </w:rPr>
    </w:lvl>
    <w:lvl w:ilvl="7" w:tplc="9C4EF172">
      <w:start w:val="1"/>
      <w:numFmt w:val="bullet"/>
      <w:lvlText w:val="•"/>
      <w:lvlJc w:val="left"/>
      <w:pPr>
        <w:ind w:left="5526" w:hanging="356"/>
      </w:pPr>
      <w:rPr>
        <w:rFonts w:hint="default"/>
      </w:rPr>
    </w:lvl>
    <w:lvl w:ilvl="8" w:tplc="24D0C78C">
      <w:start w:val="1"/>
      <w:numFmt w:val="bullet"/>
      <w:lvlText w:val="•"/>
      <w:lvlJc w:val="left"/>
      <w:pPr>
        <w:ind w:left="6310" w:hanging="356"/>
      </w:pPr>
      <w:rPr>
        <w:rFonts w:hint="default"/>
      </w:rPr>
    </w:lvl>
  </w:abstractNum>
  <w:abstractNum w:abstractNumId="52" w15:restartNumberingAfterBreak="0">
    <w:nsid w:val="62EE1F33"/>
    <w:multiLevelType w:val="hybridMultilevel"/>
    <w:tmpl w:val="58460AB0"/>
    <w:lvl w:ilvl="0" w:tplc="79DC8D36">
      <w:start w:val="1"/>
      <w:numFmt w:val="lowerLetter"/>
      <w:lvlText w:val="%1)"/>
      <w:lvlJc w:val="left"/>
      <w:pPr>
        <w:ind w:left="396" w:hanging="284"/>
      </w:pPr>
      <w:rPr>
        <w:rFonts w:ascii="Verdana" w:eastAsia="Verdana" w:hAnsi="Verdana" w:hint="default"/>
        <w:spacing w:val="-2"/>
        <w:w w:val="99"/>
        <w:sz w:val="19"/>
        <w:szCs w:val="19"/>
      </w:rPr>
    </w:lvl>
    <w:lvl w:ilvl="1" w:tplc="BD74A34C">
      <w:start w:val="1"/>
      <w:numFmt w:val="bullet"/>
      <w:lvlText w:val="•"/>
      <w:lvlJc w:val="left"/>
      <w:pPr>
        <w:ind w:left="1144" w:hanging="284"/>
      </w:pPr>
      <w:rPr>
        <w:rFonts w:hint="default"/>
      </w:rPr>
    </w:lvl>
    <w:lvl w:ilvl="2" w:tplc="10AE45EE">
      <w:start w:val="1"/>
      <w:numFmt w:val="bullet"/>
      <w:lvlText w:val="•"/>
      <w:lvlJc w:val="left"/>
      <w:pPr>
        <w:ind w:left="1892" w:hanging="284"/>
      </w:pPr>
      <w:rPr>
        <w:rFonts w:hint="default"/>
      </w:rPr>
    </w:lvl>
    <w:lvl w:ilvl="3" w:tplc="24286A6C">
      <w:start w:val="1"/>
      <w:numFmt w:val="bullet"/>
      <w:lvlText w:val="•"/>
      <w:lvlJc w:val="left"/>
      <w:pPr>
        <w:ind w:left="2640" w:hanging="284"/>
      </w:pPr>
      <w:rPr>
        <w:rFonts w:hint="default"/>
      </w:rPr>
    </w:lvl>
    <w:lvl w:ilvl="4" w:tplc="1212A06A">
      <w:start w:val="1"/>
      <w:numFmt w:val="bullet"/>
      <w:lvlText w:val="•"/>
      <w:lvlJc w:val="left"/>
      <w:pPr>
        <w:ind w:left="3388" w:hanging="284"/>
      </w:pPr>
      <w:rPr>
        <w:rFonts w:hint="default"/>
      </w:rPr>
    </w:lvl>
    <w:lvl w:ilvl="5" w:tplc="A32430E8">
      <w:start w:val="1"/>
      <w:numFmt w:val="bullet"/>
      <w:lvlText w:val="•"/>
      <w:lvlJc w:val="left"/>
      <w:pPr>
        <w:ind w:left="4136" w:hanging="284"/>
      </w:pPr>
      <w:rPr>
        <w:rFonts w:hint="default"/>
      </w:rPr>
    </w:lvl>
    <w:lvl w:ilvl="6" w:tplc="955206D2">
      <w:start w:val="1"/>
      <w:numFmt w:val="bullet"/>
      <w:lvlText w:val="•"/>
      <w:lvlJc w:val="left"/>
      <w:pPr>
        <w:ind w:left="4884" w:hanging="284"/>
      </w:pPr>
      <w:rPr>
        <w:rFonts w:hint="default"/>
      </w:rPr>
    </w:lvl>
    <w:lvl w:ilvl="7" w:tplc="15E66C0E">
      <w:start w:val="1"/>
      <w:numFmt w:val="bullet"/>
      <w:lvlText w:val="•"/>
      <w:lvlJc w:val="left"/>
      <w:pPr>
        <w:ind w:left="5633" w:hanging="284"/>
      </w:pPr>
      <w:rPr>
        <w:rFonts w:hint="default"/>
      </w:rPr>
    </w:lvl>
    <w:lvl w:ilvl="8" w:tplc="E3666F9A">
      <w:start w:val="1"/>
      <w:numFmt w:val="bullet"/>
      <w:lvlText w:val="•"/>
      <w:lvlJc w:val="left"/>
      <w:pPr>
        <w:ind w:left="6381" w:hanging="284"/>
      </w:pPr>
      <w:rPr>
        <w:rFonts w:hint="default"/>
      </w:rPr>
    </w:lvl>
  </w:abstractNum>
  <w:abstractNum w:abstractNumId="53" w15:restartNumberingAfterBreak="0">
    <w:nsid w:val="65C75762"/>
    <w:multiLevelType w:val="hybridMultilevel"/>
    <w:tmpl w:val="0C0EC8E8"/>
    <w:lvl w:ilvl="0" w:tplc="2A2C52FA">
      <w:start w:val="94"/>
      <w:numFmt w:val="decimal"/>
      <w:lvlText w:val="%1"/>
      <w:lvlJc w:val="left"/>
      <w:pPr>
        <w:ind w:left="470" w:hanging="209"/>
      </w:pPr>
      <w:rPr>
        <w:rFonts w:ascii="Verdana" w:eastAsia="Verdana" w:hAnsi="Verdana" w:hint="default"/>
        <w:spacing w:val="-1"/>
        <w:w w:val="99"/>
        <w:sz w:val="13"/>
        <w:szCs w:val="13"/>
      </w:rPr>
    </w:lvl>
    <w:lvl w:ilvl="1" w:tplc="D3A03B60">
      <w:start w:val="1"/>
      <w:numFmt w:val="bullet"/>
      <w:lvlText w:val="•"/>
      <w:lvlJc w:val="left"/>
      <w:pPr>
        <w:ind w:left="1211" w:hanging="209"/>
      </w:pPr>
      <w:rPr>
        <w:rFonts w:hint="default"/>
      </w:rPr>
    </w:lvl>
    <w:lvl w:ilvl="2" w:tplc="5A68B576">
      <w:start w:val="1"/>
      <w:numFmt w:val="bullet"/>
      <w:lvlText w:val="•"/>
      <w:lvlJc w:val="left"/>
      <w:pPr>
        <w:ind w:left="1951" w:hanging="209"/>
      </w:pPr>
      <w:rPr>
        <w:rFonts w:hint="default"/>
      </w:rPr>
    </w:lvl>
    <w:lvl w:ilvl="3" w:tplc="19E25172">
      <w:start w:val="1"/>
      <w:numFmt w:val="bullet"/>
      <w:lvlText w:val="•"/>
      <w:lvlJc w:val="left"/>
      <w:pPr>
        <w:ind w:left="2692" w:hanging="209"/>
      </w:pPr>
      <w:rPr>
        <w:rFonts w:hint="default"/>
      </w:rPr>
    </w:lvl>
    <w:lvl w:ilvl="4" w:tplc="0478BCE2">
      <w:start w:val="1"/>
      <w:numFmt w:val="bullet"/>
      <w:lvlText w:val="•"/>
      <w:lvlJc w:val="left"/>
      <w:pPr>
        <w:ind w:left="3433" w:hanging="209"/>
      </w:pPr>
      <w:rPr>
        <w:rFonts w:hint="default"/>
      </w:rPr>
    </w:lvl>
    <w:lvl w:ilvl="5" w:tplc="DA28A904">
      <w:start w:val="1"/>
      <w:numFmt w:val="bullet"/>
      <w:lvlText w:val="•"/>
      <w:lvlJc w:val="left"/>
      <w:pPr>
        <w:ind w:left="4174" w:hanging="209"/>
      </w:pPr>
      <w:rPr>
        <w:rFonts w:hint="default"/>
      </w:rPr>
    </w:lvl>
    <w:lvl w:ilvl="6" w:tplc="71BC9BE2">
      <w:start w:val="1"/>
      <w:numFmt w:val="bullet"/>
      <w:lvlText w:val="•"/>
      <w:lvlJc w:val="left"/>
      <w:pPr>
        <w:ind w:left="4914" w:hanging="209"/>
      </w:pPr>
      <w:rPr>
        <w:rFonts w:hint="default"/>
      </w:rPr>
    </w:lvl>
    <w:lvl w:ilvl="7" w:tplc="CA36045C">
      <w:start w:val="1"/>
      <w:numFmt w:val="bullet"/>
      <w:lvlText w:val="•"/>
      <w:lvlJc w:val="left"/>
      <w:pPr>
        <w:ind w:left="5655" w:hanging="209"/>
      </w:pPr>
      <w:rPr>
        <w:rFonts w:hint="default"/>
      </w:rPr>
    </w:lvl>
    <w:lvl w:ilvl="8" w:tplc="83ACEEF8">
      <w:start w:val="1"/>
      <w:numFmt w:val="bullet"/>
      <w:lvlText w:val="•"/>
      <w:lvlJc w:val="left"/>
      <w:pPr>
        <w:ind w:left="6396" w:hanging="209"/>
      </w:pPr>
      <w:rPr>
        <w:rFonts w:hint="default"/>
      </w:rPr>
    </w:lvl>
  </w:abstractNum>
  <w:abstractNum w:abstractNumId="54" w15:restartNumberingAfterBreak="0">
    <w:nsid w:val="663D7CAE"/>
    <w:multiLevelType w:val="hybridMultilevel"/>
    <w:tmpl w:val="F84C0FF4"/>
    <w:lvl w:ilvl="0" w:tplc="43B87C8C">
      <w:start w:val="240"/>
      <w:numFmt w:val="decimal"/>
      <w:lvlText w:val="%1"/>
      <w:lvlJc w:val="left"/>
      <w:pPr>
        <w:ind w:left="512" w:hanging="291"/>
      </w:pPr>
      <w:rPr>
        <w:rFonts w:ascii="Verdana" w:eastAsia="Verdana" w:hAnsi="Verdana" w:hint="default"/>
        <w:spacing w:val="-1"/>
        <w:w w:val="99"/>
        <w:sz w:val="13"/>
        <w:szCs w:val="13"/>
      </w:rPr>
    </w:lvl>
    <w:lvl w:ilvl="1" w:tplc="AAF06588">
      <w:start w:val="1"/>
      <w:numFmt w:val="bullet"/>
      <w:lvlText w:val="•"/>
      <w:lvlJc w:val="left"/>
      <w:pPr>
        <w:ind w:left="1259" w:hanging="291"/>
      </w:pPr>
      <w:rPr>
        <w:rFonts w:hint="default"/>
      </w:rPr>
    </w:lvl>
    <w:lvl w:ilvl="2" w:tplc="8B022C3C">
      <w:start w:val="1"/>
      <w:numFmt w:val="bullet"/>
      <w:lvlText w:val="•"/>
      <w:lvlJc w:val="left"/>
      <w:pPr>
        <w:ind w:left="2005" w:hanging="291"/>
      </w:pPr>
      <w:rPr>
        <w:rFonts w:hint="default"/>
      </w:rPr>
    </w:lvl>
    <w:lvl w:ilvl="3" w:tplc="553C7098">
      <w:start w:val="1"/>
      <w:numFmt w:val="bullet"/>
      <w:lvlText w:val="•"/>
      <w:lvlJc w:val="left"/>
      <w:pPr>
        <w:ind w:left="2752" w:hanging="291"/>
      </w:pPr>
      <w:rPr>
        <w:rFonts w:hint="default"/>
      </w:rPr>
    </w:lvl>
    <w:lvl w:ilvl="4" w:tplc="0EA2A954">
      <w:start w:val="1"/>
      <w:numFmt w:val="bullet"/>
      <w:lvlText w:val="•"/>
      <w:lvlJc w:val="left"/>
      <w:pPr>
        <w:ind w:left="3498" w:hanging="291"/>
      </w:pPr>
      <w:rPr>
        <w:rFonts w:hint="default"/>
      </w:rPr>
    </w:lvl>
    <w:lvl w:ilvl="5" w:tplc="86E8FA5A">
      <w:start w:val="1"/>
      <w:numFmt w:val="bullet"/>
      <w:lvlText w:val="•"/>
      <w:lvlJc w:val="left"/>
      <w:pPr>
        <w:ind w:left="4245" w:hanging="291"/>
      </w:pPr>
      <w:rPr>
        <w:rFonts w:hint="default"/>
      </w:rPr>
    </w:lvl>
    <w:lvl w:ilvl="6" w:tplc="1108CAF6">
      <w:start w:val="1"/>
      <w:numFmt w:val="bullet"/>
      <w:lvlText w:val="•"/>
      <w:lvlJc w:val="left"/>
      <w:pPr>
        <w:ind w:left="4991" w:hanging="291"/>
      </w:pPr>
      <w:rPr>
        <w:rFonts w:hint="default"/>
      </w:rPr>
    </w:lvl>
    <w:lvl w:ilvl="7" w:tplc="D9A6634E">
      <w:start w:val="1"/>
      <w:numFmt w:val="bullet"/>
      <w:lvlText w:val="•"/>
      <w:lvlJc w:val="left"/>
      <w:pPr>
        <w:ind w:left="5738" w:hanging="291"/>
      </w:pPr>
      <w:rPr>
        <w:rFonts w:hint="default"/>
      </w:rPr>
    </w:lvl>
    <w:lvl w:ilvl="8" w:tplc="3208C1CC">
      <w:start w:val="1"/>
      <w:numFmt w:val="bullet"/>
      <w:lvlText w:val="•"/>
      <w:lvlJc w:val="left"/>
      <w:pPr>
        <w:ind w:left="6484" w:hanging="291"/>
      </w:pPr>
      <w:rPr>
        <w:rFonts w:hint="default"/>
      </w:rPr>
    </w:lvl>
  </w:abstractNum>
  <w:abstractNum w:abstractNumId="55" w15:restartNumberingAfterBreak="0">
    <w:nsid w:val="66411204"/>
    <w:multiLevelType w:val="hybridMultilevel"/>
    <w:tmpl w:val="91BA1CDE"/>
    <w:lvl w:ilvl="0" w:tplc="CCAA1A08">
      <w:start w:val="250"/>
      <w:numFmt w:val="decimal"/>
      <w:lvlText w:val="%1"/>
      <w:lvlJc w:val="left"/>
      <w:pPr>
        <w:ind w:left="512" w:hanging="291"/>
        <w:jc w:val="right"/>
      </w:pPr>
      <w:rPr>
        <w:rFonts w:ascii="Verdana" w:eastAsia="Verdana" w:hAnsi="Verdana" w:hint="default"/>
        <w:spacing w:val="-1"/>
        <w:w w:val="99"/>
        <w:sz w:val="13"/>
        <w:szCs w:val="13"/>
      </w:rPr>
    </w:lvl>
    <w:lvl w:ilvl="1" w:tplc="08F64020">
      <w:start w:val="1"/>
      <w:numFmt w:val="decimal"/>
      <w:lvlText w:val="%2)"/>
      <w:lvlJc w:val="left"/>
      <w:pPr>
        <w:ind w:left="235" w:hanging="327"/>
      </w:pPr>
      <w:rPr>
        <w:rFonts w:ascii="Verdana" w:eastAsia="Verdana" w:hAnsi="Verdana" w:hint="default"/>
        <w:spacing w:val="-1"/>
        <w:w w:val="99"/>
        <w:sz w:val="19"/>
        <w:szCs w:val="19"/>
      </w:rPr>
    </w:lvl>
    <w:lvl w:ilvl="2" w:tplc="69265DC6">
      <w:start w:val="1"/>
      <w:numFmt w:val="bullet"/>
      <w:lvlText w:val="•"/>
      <w:lvlJc w:val="left"/>
      <w:pPr>
        <w:ind w:left="1342" w:hanging="327"/>
      </w:pPr>
      <w:rPr>
        <w:rFonts w:hint="default"/>
      </w:rPr>
    </w:lvl>
    <w:lvl w:ilvl="3" w:tplc="F1B425A0">
      <w:start w:val="1"/>
      <w:numFmt w:val="bullet"/>
      <w:lvlText w:val="•"/>
      <w:lvlJc w:val="left"/>
      <w:pPr>
        <w:ind w:left="2171" w:hanging="327"/>
      </w:pPr>
      <w:rPr>
        <w:rFonts w:hint="default"/>
      </w:rPr>
    </w:lvl>
    <w:lvl w:ilvl="4" w:tplc="F8FEE808">
      <w:start w:val="1"/>
      <w:numFmt w:val="bullet"/>
      <w:lvlText w:val="•"/>
      <w:lvlJc w:val="left"/>
      <w:pPr>
        <w:ind w:left="3001" w:hanging="327"/>
      </w:pPr>
      <w:rPr>
        <w:rFonts w:hint="default"/>
      </w:rPr>
    </w:lvl>
    <w:lvl w:ilvl="5" w:tplc="32425A96">
      <w:start w:val="1"/>
      <w:numFmt w:val="bullet"/>
      <w:lvlText w:val="•"/>
      <w:lvlJc w:val="left"/>
      <w:pPr>
        <w:ind w:left="3830" w:hanging="327"/>
      </w:pPr>
      <w:rPr>
        <w:rFonts w:hint="default"/>
      </w:rPr>
    </w:lvl>
    <w:lvl w:ilvl="6" w:tplc="9B626DB0">
      <w:start w:val="1"/>
      <w:numFmt w:val="bullet"/>
      <w:lvlText w:val="•"/>
      <w:lvlJc w:val="left"/>
      <w:pPr>
        <w:ind w:left="4659" w:hanging="327"/>
      </w:pPr>
      <w:rPr>
        <w:rFonts w:hint="default"/>
      </w:rPr>
    </w:lvl>
    <w:lvl w:ilvl="7" w:tplc="646E3FBE">
      <w:start w:val="1"/>
      <w:numFmt w:val="bullet"/>
      <w:lvlText w:val="•"/>
      <w:lvlJc w:val="left"/>
      <w:pPr>
        <w:ind w:left="5489" w:hanging="327"/>
      </w:pPr>
      <w:rPr>
        <w:rFonts w:hint="default"/>
      </w:rPr>
    </w:lvl>
    <w:lvl w:ilvl="8" w:tplc="F11E8B12">
      <w:start w:val="1"/>
      <w:numFmt w:val="bullet"/>
      <w:lvlText w:val="•"/>
      <w:lvlJc w:val="left"/>
      <w:pPr>
        <w:ind w:left="6318" w:hanging="327"/>
      </w:pPr>
      <w:rPr>
        <w:rFonts w:hint="default"/>
      </w:rPr>
    </w:lvl>
  </w:abstractNum>
  <w:abstractNum w:abstractNumId="56" w15:restartNumberingAfterBreak="0">
    <w:nsid w:val="68223484"/>
    <w:multiLevelType w:val="hybridMultilevel"/>
    <w:tmpl w:val="D46CD2EA"/>
    <w:lvl w:ilvl="0" w:tplc="E4E00EC2">
      <w:start w:val="55"/>
      <w:numFmt w:val="decimal"/>
      <w:lvlText w:val="%1"/>
      <w:lvlJc w:val="left"/>
      <w:pPr>
        <w:ind w:left="112" w:hanging="209"/>
      </w:pPr>
      <w:rPr>
        <w:rFonts w:ascii="Verdana" w:eastAsia="Verdana" w:hAnsi="Verdana" w:hint="default"/>
        <w:spacing w:val="-1"/>
        <w:w w:val="99"/>
        <w:sz w:val="13"/>
        <w:szCs w:val="13"/>
      </w:rPr>
    </w:lvl>
    <w:lvl w:ilvl="1" w:tplc="A372C7BC">
      <w:start w:val="1"/>
      <w:numFmt w:val="bullet"/>
      <w:lvlText w:val="•"/>
      <w:lvlJc w:val="left"/>
      <w:pPr>
        <w:ind w:left="889" w:hanging="209"/>
      </w:pPr>
      <w:rPr>
        <w:rFonts w:hint="default"/>
      </w:rPr>
    </w:lvl>
    <w:lvl w:ilvl="2" w:tplc="F2F8D870">
      <w:start w:val="1"/>
      <w:numFmt w:val="bullet"/>
      <w:lvlText w:val="•"/>
      <w:lvlJc w:val="left"/>
      <w:pPr>
        <w:ind w:left="1665" w:hanging="209"/>
      </w:pPr>
      <w:rPr>
        <w:rFonts w:hint="default"/>
      </w:rPr>
    </w:lvl>
    <w:lvl w:ilvl="3" w:tplc="F7424090">
      <w:start w:val="1"/>
      <w:numFmt w:val="bullet"/>
      <w:lvlText w:val="•"/>
      <w:lvlJc w:val="left"/>
      <w:pPr>
        <w:ind w:left="2442" w:hanging="209"/>
      </w:pPr>
      <w:rPr>
        <w:rFonts w:hint="default"/>
      </w:rPr>
    </w:lvl>
    <w:lvl w:ilvl="4" w:tplc="519EB1C2">
      <w:start w:val="1"/>
      <w:numFmt w:val="bullet"/>
      <w:lvlText w:val="•"/>
      <w:lvlJc w:val="left"/>
      <w:pPr>
        <w:ind w:left="3218" w:hanging="209"/>
      </w:pPr>
      <w:rPr>
        <w:rFonts w:hint="default"/>
      </w:rPr>
    </w:lvl>
    <w:lvl w:ilvl="5" w:tplc="CB8E91AC">
      <w:start w:val="1"/>
      <w:numFmt w:val="bullet"/>
      <w:lvlText w:val="•"/>
      <w:lvlJc w:val="left"/>
      <w:pPr>
        <w:ind w:left="3995" w:hanging="209"/>
      </w:pPr>
      <w:rPr>
        <w:rFonts w:hint="default"/>
      </w:rPr>
    </w:lvl>
    <w:lvl w:ilvl="6" w:tplc="20723366">
      <w:start w:val="1"/>
      <w:numFmt w:val="bullet"/>
      <w:lvlText w:val="•"/>
      <w:lvlJc w:val="left"/>
      <w:pPr>
        <w:ind w:left="4771" w:hanging="209"/>
      </w:pPr>
      <w:rPr>
        <w:rFonts w:hint="default"/>
      </w:rPr>
    </w:lvl>
    <w:lvl w:ilvl="7" w:tplc="15BC2A1A">
      <w:start w:val="1"/>
      <w:numFmt w:val="bullet"/>
      <w:lvlText w:val="•"/>
      <w:lvlJc w:val="left"/>
      <w:pPr>
        <w:ind w:left="5548" w:hanging="209"/>
      </w:pPr>
      <w:rPr>
        <w:rFonts w:hint="default"/>
      </w:rPr>
    </w:lvl>
    <w:lvl w:ilvl="8" w:tplc="78F85B2A">
      <w:start w:val="1"/>
      <w:numFmt w:val="bullet"/>
      <w:lvlText w:val="•"/>
      <w:lvlJc w:val="left"/>
      <w:pPr>
        <w:ind w:left="6324" w:hanging="209"/>
      </w:pPr>
      <w:rPr>
        <w:rFonts w:hint="default"/>
      </w:rPr>
    </w:lvl>
  </w:abstractNum>
  <w:abstractNum w:abstractNumId="57" w15:restartNumberingAfterBreak="0">
    <w:nsid w:val="68D7443C"/>
    <w:multiLevelType w:val="hybridMultilevel"/>
    <w:tmpl w:val="029EDBB2"/>
    <w:lvl w:ilvl="0" w:tplc="D910E52A">
      <w:start w:val="1"/>
      <w:numFmt w:val="bullet"/>
      <w:lvlText w:val="□"/>
      <w:lvlJc w:val="left"/>
      <w:pPr>
        <w:ind w:left="580" w:hanging="425"/>
      </w:pPr>
      <w:rPr>
        <w:rFonts w:ascii="Times New Roman" w:eastAsia="Times New Roman" w:hAnsi="Times New Roman" w:hint="default"/>
        <w:w w:val="130"/>
        <w:sz w:val="14"/>
        <w:szCs w:val="14"/>
      </w:rPr>
    </w:lvl>
    <w:lvl w:ilvl="1" w:tplc="F9EEC43E">
      <w:start w:val="1"/>
      <w:numFmt w:val="bullet"/>
      <w:lvlText w:val="•"/>
      <w:lvlJc w:val="left"/>
      <w:pPr>
        <w:ind w:left="1083" w:hanging="425"/>
      </w:pPr>
      <w:rPr>
        <w:rFonts w:hint="default"/>
      </w:rPr>
    </w:lvl>
    <w:lvl w:ilvl="2" w:tplc="03A8BFE8">
      <w:start w:val="1"/>
      <w:numFmt w:val="bullet"/>
      <w:lvlText w:val="•"/>
      <w:lvlJc w:val="left"/>
      <w:pPr>
        <w:ind w:left="1586" w:hanging="425"/>
      </w:pPr>
      <w:rPr>
        <w:rFonts w:hint="default"/>
      </w:rPr>
    </w:lvl>
    <w:lvl w:ilvl="3" w:tplc="DA021A1A">
      <w:start w:val="1"/>
      <w:numFmt w:val="bullet"/>
      <w:lvlText w:val="•"/>
      <w:lvlJc w:val="left"/>
      <w:pPr>
        <w:ind w:left="2089" w:hanging="425"/>
      </w:pPr>
      <w:rPr>
        <w:rFonts w:hint="default"/>
      </w:rPr>
    </w:lvl>
    <w:lvl w:ilvl="4" w:tplc="CE8AF96C">
      <w:start w:val="1"/>
      <w:numFmt w:val="bullet"/>
      <w:lvlText w:val="•"/>
      <w:lvlJc w:val="left"/>
      <w:pPr>
        <w:ind w:left="2592" w:hanging="425"/>
      </w:pPr>
      <w:rPr>
        <w:rFonts w:hint="default"/>
      </w:rPr>
    </w:lvl>
    <w:lvl w:ilvl="5" w:tplc="6B0AFECA">
      <w:start w:val="1"/>
      <w:numFmt w:val="bullet"/>
      <w:lvlText w:val="•"/>
      <w:lvlJc w:val="left"/>
      <w:pPr>
        <w:ind w:left="3094" w:hanging="425"/>
      </w:pPr>
      <w:rPr>
        <w:rFonts w:hint="default"/>
      </w:rPr>
    </w:lvl>
    <w:lvl w:ilvl="6" w:tplc="2872F2FC">
      <w:start w:val="1"/>
      <w:numFmt w:val="bullet"/>
      <w:lvlText w:val="•"/>
      <w:lvlJc w:val="left"/>
      <w:pPr>
        <w:ind w:left="3597" w:hanging="425"/>
      </w:pPr>
      <w:rPr>
        <w:rFonts w:hint="default"/>
      </w:rPr>
    </w:lvl>
    <w:lvl w:ilvl="7" w:tplc="3AF88C3A">
      <w:start w:val="1"/>
      <w:numFmt w:val="bullet"/>
      <w:lvlText w:val="•"/>
      <w:lvlJc w:val="left"/>
      <w:pPr>
        <w:ind w:left="4100" w:hanging="425"/>
      </w:pPr>
      <w:rPr>
        <w:rFonts w:hint="default"/>
      </w:rPr>
    </w:lvl>
    <w:lvl w:ilvl="8" w:tplc="1F78C2F4">
      <w:start w:val="1"/>
      <w:numFmt w:val="bullet"/>
      <w:lvlText w:val="•"/>
      <w:lvlJc w:val="left"/>
      <w:pPr>
        <w:ind w:left="4603" w:hanging="425"/>
      </w:pPr>
      <w:rPr>
        <w:rFonts w:hint="default"/>
      </w:rPr>
    </w:lvl>
  </w:abstractNum>
  <w:abstractNum w:abstractNumId="58" w15:restartNumberingAfterBreak="0">
    <w:nsid w:val="69483CDC"/>
    <w:multiLevelType w:val="hybridMultilevel"/>
    <w:tmpl w:val="EA267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D8E38C1"/>
    <w:multiLevelType w:val="multilevel"/>
    <w:tmpl w:val="4224DEAE"/>
    <w:lvl w:ilvl="0">
      <w:start w:val="2"/>
      <w:numFmt w:val="decimal"/>
      <w:lvlText w:val="%1"/>
      <w:lvlJc w:val="left"/>
      <w:pPr>
        <w:ind w:left="964" w:hanging="852"/>
      </w:pPr>
      <w:rPr>
        <w:rFonts w:hint="default"/>
      </w:rPr>
    </w:lvl>
    <w:lvl w:ilvl="1">
      <w:start w:val="2"/>
      <w:numFmt w:val="decimal"/>
      <w:lvlText w:val="%1.%2"/>
      <w:lvlJc w:val="left"/>
      <w:pPr>
        <w:ind w:left="964" w:hanging="852"/>
      </w:pPr>
      <w:rPr>
        <w:rFonts w:hint="default"/>
      </w:rPr>
    </w:lvl>
    <w:lvl w:ilvl="2">
      <w:start w:val="1"/>
      <w:numFmt w:val="decimal"/>
      <w:lvlText w:val="%1.%2.%3"/>
      <w:lvlJc w:val="left"/>
      <w:pPr>
        <w:ind w:left="964" w:hanging="852"/>
      </w:pPr>
      <w:rPr>
        <w:rFonts w:ascii="Times New Roman" w:eastAsia="Times New Roman" w:hAnsi="Times New Roman" w:hint="default"/>
        <w:w w:val="127"/>
        <w:sz w:val="18"/>
        <w:szCs w:val="18"/>
      </w:rPr>
    </w:lvl>
    <w:lvl w:ilvl="3">
      <w:start w:val="1"/>
      <w:numFmt w:val="bullet"/>
      <w:lvlText w:val="•"/>
      <w:lvlJc w:val="left"/>
      <w:pPr>
        <w:ind w:left="3038" w:hanging="852"/>
      </w:pPr>
      <w:rPr>
        <w:rFonts w:hint="default"/>
      </w:rPr>
    </w:lvl>
    <w:lvl w:ilvl="4">
      <w:start w:val="1"/>
      <w:numFmt w:val="bullet"/>
      <w:lvlText w:val="•"/>
      <w:lvlJc w:val="left"/>
      <w:pPr>
        <w:ind w:left="3729" w:hanging="852"/>
      </w:pPr>
      <w:rPr>
        <w:rFonts w:hint="default"/>
      </w:rPr>
    </w:lvl>
    <w:lvl w:ilvl="5">
      <w:start w:val="1"/>
      <w:numFmt w:val="bullet"/>
      <w:lvlText w:val="•"/>
      <w:lvlJc w:val="left"/>
      <w:pPr>
        <w:ind w:left="4420" w:hanging="852"/>
      </w:pPr>
      <w:rPr>
        <w:rFonts w:hint="default"/>
      </w:rPr>
    </w:lvl>
    <w:lvl w:ilvl="6">
      <w:start w:val="1"/>
      <w:numFmt w:val="bullet"/>
      <w:lvlText w:val="•"/>
      <w:lvlJc w:val="left"/>
      <w:pPr>
        <w:ind w:left="5112" w:hanging="852"/>
      </w:pPr>
      <w:rPr>
        <w:rFonts w:hint="default"/>
      </w:rPr>
    </w:lvl>
    <w:lvl w:ilvl="7">
      <w:start w:val="1"/>
      <w:numFmt w:val="bullet"/>
      <w:lvlText w:val="•"/>
      <w:lvlJc w:val="left"/>
      <w:pPr>
        <w:ind w:left="5803" w:hanging="852"/>
      </w:pPr>
      <w:rPr>
        <w:rFonts w:hint="default"/>
      </w:rPr>
    </w:lvl>
    <w:lvl w:ilvl="8">
      <w:start w:val="1"/>
      <w:numFmt w:val="bullet"/>
      <w:lvlText w:val="•"/>
      <w:lvlJc w:val="left"/>
      <w:pPr>
        <w:ind w:left="6494" w:hanging="852"/>
      </w:pPr>
      <w:rPr>
        <w:rFonts w:hint="default"/>
      </w:rPr>
    </w:lvl>
  </w:abstractNum>
  <w:abstractNum w:abstractNumId="60" w15:restartNumberingAfterBreak="0">
    <w:nsid w:val="70D8697A"/>
    <w:multiLevelType w:val="multilevel"/>
    <w:tmpl w:val="73529204"/>
    <w:lvl w:ilvl="0">
      <w:start w:val="1"/>
      <w:numFmt w:val="decimal"/>
      <w:lvlText w:val="%1"/>
      <w:lvlJc w:val="left"/>
      <w:pPr>
        <w:ind w:left="1191" w:hanging="596"/>
      </w:pPr>
      <w:rPr>
        <w:rFonts w:ascii="Times New Roman" w:eastAsia="Times New Roman" w:hAnsi="Times New Roman" w:hint="default"/>
        <w:w w:val="142"/>
        <w:sz w:val="18"/>
        <w:szCs w:val="18"/>
      </w:rPr>
    </w:lvl>
    <w:lvl w:ilvl="1">
      <w:start w:val="1"/>
      <w:numFmt w:val="decimal"/>
      <w:lvlText w:val="%1.%2"/>
      <w:lvlJc w:val="left"/>
      <w:pPr>
        <w:ind w:left="1609" w:hanging="419"/>
      </w:pPr>
      <w:rPr>
        <w:rFonts w:ascii="Verdana" w:eastAsia="Verdana" w:hAnsi="Verdana" w:hint="default"/>
        <w:w w:val="99"/>
        <w:sz w:val="18"/>
        <w:szCs w:val="18"/>
      </w:rPr>
    </w:lvl>
    <w:lvl w:ilvl="2">
      <w:start w:val="1"/>
      <w:numFmt w:val="bullet"/>
      <w:lvlText w:val="•"/>
      <w:lvlJc w:val="left"/>
      <w:pPr>
        <w:ind w:left="1785" w:hanging="419"/>
      </w:pPr>
      <w:rPr>
        <w:rFonts w:hint="default"/>
      </w:rPr>
    </w:lvl>
    <w:lvl w:ilvl="3">
      <w:start w:val="1"/>
      <w:numFmt w:val="bullet"/>
      <w:lvlText w:val="•"/>
      <w:lvlJc w:val="left"/>
      <w:pPr>
        <w:ind w:left="2546" w:hanging="419"/>
      </w:pPr>
      <w:rPr>
        <w:rFonts w:hint="default"/>
      </w:rPr>
    </w:lvl>
    <w:lvl w:ilvl="4">
      <w:start w:val="1"/>
      <w:numFmt w:val="bullet"/>
      <w:lvlText w:val="•"/>
      <w:lvlJc w:val="left"/>
      <w:pPr>
        <w:ind w:left="3308" w:hanging="419"/>
      </w:pPr>
      <w:rPr>
        <w:rFonts w:hint="default"/>
      </w:rPr>
    </w:lvl>
    <w:lvl w:ilvl="5">
      <w:start w:val="1"/>
      <w:numFmt w:val="bullet"/>
      <w:lvlText w:val="•"/>
      <w:lvlJc w:val="left"/>
      <w:pPr>
        <w:ind w:left="4069" w:hanging="419"/>
      </w:pPr>
      <w:rPr>
        <w:rFonts w:hint="default"/>
      </w:rPr>
    </w:lvl>
    <w:lvl w:ilvl="6">
      <w:start w:val="1"/>
      <w:numFmt w:val="bullet"/>
      <w:lvlText w:val="•"/>
      <w:lvlJc w:val="left"/>
      <w:pPr>
        <w:ind w:left="4831" w:hanging="419"/>
      </w:pPr>
      <w:rPr>
        <w:rFonts w:hint="default"/>
      </w:rPr>
    </w:lvl>
    <w:lvl w:ilvl="7">
      <w:start w:val="1"/>
      <w:numFmt w:val="bullet"/>
      <w:lvlText w:val="•"/>
      <w:lvlJc w:val="left"/>
      <w:pPr>
        <w:ind w:left="5593" w:hanging="419"/>
      </w:pPr>
      <w:rPr>
        <w:rFonts w:hint="default"/>
      </w:rPr>
    </w:lvl>
    <w:lvl w:ilvl="8">
      <w:start w:val="1"/>
      <w:numFmt w:val="bullet"/>
      <w:lvlText w:val="•"/>
      <w:lvlJc w:val="left"/>
      <w:pPr>
        <w:ind w:left="6354" w:hanging="419"/>
      </w:pPr>
      <w:rPr>
        <w:rFonts w:hint="default"/>
      </w:rPr>
    </w:lvl>
  </w:abstractNum>
  <w:abstractNum w:abstractNumId="61" w15:restartNumberingAfterBreak="0">
    <w:nsid w:val="72B55738"/>
    <w:multiLevelType w:val="hybridMultilevel"/>
    <w:tmpl w:val="9F483804"/>
    <w:lvl w:ilvl="0" w:tplc="49A0FFBE">
      <w:start w:val="203"/>
      <w:numFmt w:val="decimal"/>
      <w:lvlText w:val="%1"/>
      <w:lvlJc w:val="left"/>
      <w:pPr>
        <w:ind w:left="470" w:hanging="291"/>
      </w:pPr>
      <w:rPr>
        <w:rFonts w:ascii="Verdana" w:eastAsia="Verdana" w:hAnsi="Verdana" w:hint="default"/>
        <w:spacing w:val="-1"/>
        <w:w w:val="99"/>
        <w:sz w:val="13"/>
        <w:szCs w:val="13"/>
      </w:rPr>
    </w:lvl>
    <w:lvl w:ilvl="1" w:tplc="A81E0A7C">
      <w:start w:val="1"/>
      <w:numFmt w:val="bullet"/>
      <w:lvlText w:val="•"/>
      <w:lvlJc w:val="left"/>
      <w:pPr>
        <w:ind w:left="1211" w:hanging="291"/>
      </w:pPr>
      <w:rPr>
        <w:rFonts w:hint="default"/>
      </w:rPr>
    </w:lvl>
    <w:lvl w:ilvl="2" w:tplc="AD8EB5FE">
      <w:start w:val="1"/>
      <w:numFmt w:val="bullet"/>
      <w:lvlText w:val="•"/>
      <w:lvlJc w:val="left"/>
      <w:pPr>
        <w:ind w:left="1951" w:hanging="291"/>
      </w:pPr>
      <w:rPr>
        <w:rFonts w:hint="default"/>
      </w:rPr>
    </w:lvl>
    <w:lvl w:ilvl="3" w:tplc="799002B6">
      <w:start w:val="1"/>
      <w:numFmt w:val="bullet"/>
      <w:lvlText w:val="•"/>
      <w:lvlJc w:val="left"/>
      <w:pPr>
        <w:ind w:left="2692" w:hanging="291"/>
      </w:pPr>
      <w:rPr>
        <w:rFonts w:hint="default"/>
      </w:rPr>
    </w:lvl>
    <w:lvl w:ilvl="4" w:tplc="759E8804">
      <w:start w:val="1"/>
      <w:numFmt w:val="bullet"/>
      <w:lvlText w:val="•"/>
      <w:lvlJc w:val="left"/>
      <w:pPr>
        <w:ind w:left="3433" w:hanging="291"/>
      </w:pPr>
      <w:rPr>
        <w:rFonts w:hint="default"/>
      </w:rPr>
    </w:lvl>
    <w:lvl w:ilvl="5" w:tplc="8342171A">
      <w:start w:val="1"/>
      <w:numFmt w:val="bullet"/>
      <w:lvlText w:val="•"/>
      <w:lvlJc w:val="left"/>
      <w:pPr>
        <w:ind w:left="4174" w:hanging="291"/>
      </w:pPr>
      <w:rPr>
        <w:rFonts w:hint="default"/>
      </w:rPr>
    </w:lvl>
    <w:lvl w:ilvl="6" w:tplc="AA2E53FC">
      <w:start w:val="1"/>
      <w:numFmt w:val="bullet"/>
      <w:lvlText w:val="•"/>
      <w:lvlJc w:val="left"/>
      <w:pPr>
        <w:ind w:left="4914" w:hanging="291"/>
      </w:pPr>
      <w:rPr>
        <w:rFonts w:hint="default"/>
      </w:rPr>
    </w:lvl>
    <w:lvl w:ilvl="7" w:tplc="603E850A">
      <w:start w:val="1"/>
      <w:numFmt w:val="bullet"/>
      <w:lvlText w:val="•"/>
      <w:lvlJc w:val="left"/>
      <w:pPr>
        <w:ind w:left="5655" w:hanging="291"/>
      </w:pPr>
      <w:rPr>
        <w:rFonts w:hint="default"/>
      </w:rPr>
    </w:lvl>
    <w:lvl w:ilvl="8" w:tplc="4EFC75E0">
      <w:start w:val="1"/>
      <w:numFmt w:val="bullet"/>
      <w:lvlText w:val="•"/>
      <w:lvlJc w:val="left"/>
      <w:pPr>
        <w:ind w:left="6396" w:hanging="291"/>
      </w:pPr>
      <w:rPr>
        <w:rFonts w:hint="default"/>
      </w:rPr>
    </w:lvl>
  </w:abstractNum>
  <w:abstractNum w:abstractNumId="62" w15:restartNumberingAfterBreak="0">
    <w:nsid w:val="74040C8D"/>
    <w:multiLevelType w:val="hybridMultilevel"/>
    <w:tmpl w:val="75B8AB62"/>
    <w:lvl w:ilvl="0" w:tplc="4E3A6140">
      <w:start w:val="49"/>
      <w:numFmt w:val="decimal"/>
      <w:lvlText w:val="%1"/>
      <w:lvlJc w:val="left"/>
      <w:pPr>
        <w:ind w:left="470" w:hanging="209"/>
      </w:pPr>
      <w:rPr>
        <w:rFonts w:ascii="Verdana" w:eastAsia="Verdana" w:hAnsi="Verdana" w:hint="default"/>
        <w:spacing w:val="-1"/>
        <w:w w:val="99"/>
        <w:sz w:val="13"/>
        <w:szCs w:val="13"/>
      </w:rPr>
    </w:lvl>
    <w:lvl w:ilvl="1" w:tplc="40C404AA">
      <w:start w:val="1"/>
      <w:numFmt w:val="bullet"/>
      <w:lvlText w:val="•"/>
      <w:lvlJc w:val="left"/>
      <w:pPr>
        <w:ind w:left="1211" w:hanging="209"/>
      </w:pPr>
      <w:rPr>
        <w:rFonts w:hint="default"/>
      </w:rPr>
    </w:lvl>
    <w:lvl w:ilvl="2" w:tplc="6FD0DE84">
      <w:start w:val="1"/>
      <w:numFmt w:val="bullet"/>
      <w:lvlText w:val="•"/>
      <w:lvlJc w:val="left"/>
      <w:pPr>
        <w:ind w:left="1951" w:hanging="209"/>
      </w:pPr>
      <w:rPr>
        <w:rFonts w:hint="default"/>
      </w:rPr>
    </w:lvl>
    <w:lvl w:ilvl="3" w:tplc="0764F210">
      <w:start w:val="1"/>
      <w:numFmt w:val="bullet"/>
      <w:lvlText w:val="•"/>
      <w:lvlJc w:val="left"/>
      <w:pPr>
        <w:ind w:left="2692" w:hanging="209"/>
      </w:pPr>
      <w:rPr>
        <w:rFonts w:hint="default"/>
      </w:rPr>
    </w:lvl>
    <w:lvl w:ilvl="4" w:tplc="FAD0C976">
      <w:start w:val="1"/>
      <w:numFmt w:val="bullet"/>
      <w:lvlText w:val="•"/>
      <w:lvlJc w:val="left"/>
      <w:pPr>
        <w:ind w:left="3433" w:hanging="209"/>
      </w:pPr>
      <w:rPr>
        <w:rFonts w:hint="default"/>
      </w:rPr>
    </w:lvl>
    <w:lvl w:ilvl="5" w:tplc="2766D048">
      <w:start w:val="1"/>
      <w:numFmt w:val="bullet"/>
      <w:lvlText w:val="•"/>
      <w:lvlJc w:val="left"/>
      <w:pPr>
        <w:ind w:left="4174" w:hanging="209"/>
      </w:pPr>
      <w:rPr>
        <w:rFonts w:hint="default"/>
      </w:rPr>
    </w:lvl>
    <w:lvl w:ilvl="6" w:tplc="F0742594">
      <w:start w:val="1"/>
      <w:numFmt w:val="bullet"/>
      <w:lvlText w:val="•"/>
      <w:lvlJc w:val="left"/>
      <w:pPr>
        <w:ind w:left="4914" w:hanging="209"/>
      </w:pPr>
      <w:rPr>
        <w:rFonts w:hint="default"/>
      </w:rPr>
    </w:lvl>
    <w:lvl w:ilvl="7" w:tplc="27F08A62">
      <w:start w:val="1"/>
      <w:numFmt w:val="bullet"/>
      <w:lvlText w:val="•"/>
      <w:lvlJc w:val="left"/>
      <w:pPr>
        <w:ind w:left="5655" w:hanging="209"/>
      </w:pPr>
      <w:rPr>
        <w:rFonts w:hint="default"/>
      </w:rPr>
    </w:lvl>
    <w:lvl w:ilvl="8" w:tplc="7910E5BC">
      <w:start w:val="1"/>
      <w:numFmt w:val="bullet"/>
      <w:lvlText w:val="•"/>
      <w:lvlJc w:val="left"/>
      <w:pPr>
        <w:ind w:left="6396" w:hanging="209"/>
      </w:pPr>
      <w:rPr>
        <w:rFonts w:hint="default"/>
      </w:rPr>
    </w:lvl>
  </w:abstractNum>
  <w:abstractNum w:abstractNumId="63" w15:restartNumberingAfterBreak="0">
    <w:nsid w:val="749301FF"/>
    <w:multiLevelType w:val="hybridMultilevel"/>
    <w:tmpl w:val="6122BFC4"/>
    <w:lvl w:ilvl="0" w:tplc="56D6CDB0">
      <w:start w:val="1"/>
      <w:numFmt w:val="lowerRoman"/>
      <w:lvlText w:val="%1)"/>
      <w:lvlJc w:val="left"/>
      <w:pPr>
        <w:ind w:left="215" w:hanging="116"/>
      </w:pPr>
      <w:rPr>
        <w:rFonts w:hint="default"/>
        <w:u w:val="single" w:color="000000"/>
      </w:rPr>
    </w:lvl>
    <w:lvl w:ilvl="1" w:tplc="4E96279C">
      <w:start w:val="1"/>
      <w:numFmt w:val="bullet"/>
      <w:lvlText w:val="•"/>
      <w:lvlJc w:val="left"/>
      <w:pPr>
        <w:ind w:left="1003" w:hanging="116"/>
      </w:pPr>
      <w:rPr>
        <w:rFonts w:hint="default"/>
      </w:rPr>
    </w:lvl>
    <w:lvl w:ilvl="2" w:tplc="FB3E23C2">
      <w:start w:val="1"/>
      <w:numFmt w:val="bullet"/>
      <w:lvlText w:val="•"/>
      <w:lvlJc w:val="left"/>
      <w:pPr>
        <w:ind w:left="1791" w:hanging="116"/>
      </w:pPr>
      <w:rPr>
        <w:rFonts w:hint="default"/>
      </w:rPr>
    </w:lvl>
    <w:lvl w:ilvl="3" w:tplc="2264D234">
      <w:start w:val="1"/>
      <w:numFmt w:val="bullet"/>
      <w:lvlText w:val="•"/>
      <w:lvlJc w:val="left"/>
      <w:pPr>
        <w:ind w:left="2579" w:hanging="116"/>
      </w:pPr>
      <w:rPr>
        <w:rFonts w:hint="default"/>
      </w:rPr>
    </w:lvl>
    <w:lvl w:ilvl="4" w:tplc="BEAEB0D4">
      <w:start w:val="1"/>
      <w:numFmt w:val="bullet"/>
      <w:lvlText w:val="•"/>
      <w:lvlJc w:val="left"/>
      <w:pPr>
        <w:ind w:left="3368" w:hanging="116"/>
      </w:pPr>
      <w:rPr>
        <w:rFonts w:hint="default"/>
      </w:rPr>
    </w:lvl>
    <w:lvl w:ilvl="5" w:tplc="41D86474">
      <w:start w:val="1"/>
      <w:numFmt w:val="bullet"/>
      <w:lvlText w:val="•"/>
      <w:lvlJc w:val="left"/>
      <w:pPr>
        <w:ind w:left="4156" w:hanging="116"/>
      </w:pPr>
      <w:rPr>
        <w:rFonts w:hint="default"/>
      </w:rPr>
    </w:lvl>
    <w:lvl w:ilvl="6" w:tplc="47DAE754">
      <w:start w:val="1"/>
      <w:numFmt w:val="bullet"/>
      <w:lvlText w:val="•"/>
      <w:lvlJc w:val="left"/>
      <w:pPr>
        <w:ind w:left="4944" w:hanging="116"/>
      </w:pPr>
      <w:rPr>
        <w:rFonts w:hint="default"/>
      </w:rPr>
    </w:lvl>
    <w:lvl w:ilvl="7" w:tplc="056432D0">
      <w:start w:val="1"/>
      <w:numFmt w:val="bullet"/>
      <w:lvlText w:val="•"/>
      <w:lvlJc w:val="left"/>
      <w:pPr>
        <w:ind w:left="5732" w:hanging="116"/>
      </w:pPr>
      <w:rPr>
        <w:rFonts w:hint="default"/>
      </w:rPr>
    </w:lvl>
    <w:lvl w:ilvl="8" w:tplc="C6425F02">
      <w:start w:val="1"/>
      <w:numFmt w:val="bullet"/>
      <w:lvlText w:val="•"/>
      <w:lvlJc w:val="left"/>
      <w:pPr>
        <w:ind w:left="6521" w:hanging="116"/>
      </w:pPr>
      <w:rPr>
        <w:rFonts w:hint="default"/>
      </w:rPr>
    </w:lvl>
  </w:abstractNum>
  <w:abstractNum w:abstractNumId="64" w15:restartNumberingAfterBreak="0">
    <w:nsid w:val="74AB0620"/>
    <w:multiLevelType w:val="hybridMultilevel"/>
    <w:tmpl w:val="783642D6"/>
    <w:lvl w:ilvl="0" w:tplc="80DABBFC">
      <w:start w:val="130"/>
      <w:numFmt w:val="decimal"/>
      <w:lvlText w:val="%1"/>
      <w:lvlJc w:val="left"/>
      <w:pPr>
        <w:ind w:left="112" w:hanging="291"/>
      </w:pPr>
      <w:rPr>
        <w:rFonts w:ascii="Verdana" w:eastAsia="Verdana" w:hAnsi="Verdana" w:hint="default"/>
        <w:spacing w:val="-1"/>
        <w:w w:val="99"/>
        <w:sz w:val="13"/>
        <w:szCs w:val="13"/>
      </w:rPr>
    </w:lvl>
    <w:lvl w:ilvl="1" w:tplc="68CCF036">
      <w:start w:val="1"/>
      <w:numFmt w:val="bullet"/>
      <w:lvlText w:val="•"/>
      <w:lvlJc w:val="left"/>
      <w:pPr>
        <w:ind w:left="889" w:hanging="291"/>
      </w:pPr>
      <w:rPr>
        <w:rFonts w:hint="default"/>
      </w:rPr>
    </w:lvl>
    <w:lvl w:ilvl="2" w:tplc="C6C061DE">
      <w:start w:val="1"/>
      <w:numFmt w:val="bullet"/>
      <w:lvlText w:val="•"/>
      <w:lvlJc w:val="left"/>
      <w:pPr>
        <w:ind w:left="1665" w:hanging="291"/>
      </w:pPr>
      <w:rPr>
        <w:rFonts w:hint="default"/>
      </w:rPr>
    </w:lvl>
    <w:lvl w:ilvl="3" w:tplc="090091BC">
      <w:start w:val="1"/>
      <w:numFmt w:val="bullet"/>
      <w:lvlText w:val="•"/>
      <w:lvlJc w:val="left"/>
      <w:pPr>
        <w:ind w:left="2442" w:hanging="291"/>
      </w:pPr>
      <w:rPr>
        <w:rFonts w:hint="default"/>
      </w:rPr>
    </w:lvl>
    <w:lvl w:ilvl="4" w:tplc="3F88932E">
      <w:start w:val="1"/>
      <w:numFmt w:val="bullet"/>
      <w:lvlText w:val="•"/>
      <w:lvlJc w:val="left"/>
      <w:pPr>
        <w:ind w:left="3218" w:hanging="291"/>
      </w:pPr>
      <w:rPr>
        <w:rFonts w:hint="default"/>
      </w:rPr>
    </w:lvl>
    <w:lvl w:ilvl="5" w:tplc="C1266466">
      <w:start w:val="1"/>
      <w:numFmt w:val="bullet"/>
      <w:lvlText w:val="•"/>
      <w:lvlJc w:val="left"/>
      <w:pPr>
        <w:ind w:left="3995" w:hanging="291"/>
      </w:pPr>
      <w:rPr>
        <w:rFonts w:hint="default"/>
      </w:rPr>
    </w:lvl>
    <w:lvl w:ilvl="6" w:tplc="2EE2DA34">
      <w:start w:val="1"/>
      <w:numFmt w:val="bullet"/>
      <w:lvlText w:val="•"/>
      <w:lvlJc w:val="left"/>
      <w:pPr>
        <w:ind w:left="4771" w:hanging="291"/>
      </w:pPr>
      <w:rPr>
        <w:rFonts w:hint="default"/>
      </w:rPr>
    </w:lvl>
    <w:lvl w:ilvl="7" w:tplc="A384A798">
      <w:start w:val="1"/>
      <w:numFmt w:val="bullet"/>
      <w:lvlText w:val="•"/>
      <w:lvlJc w:val="left"/>
      <w:pPr>
        <w:ind w:left="5548" w:hanging="291"/>
      </w:pPr>
      <w:rPr>
        <w:rFonts w:hint="default"/>
      </w:rPr>
    </w:lvl>
    <w:lvl w:ilvl="8" w:tplc="13C6E60C">
      <w:start w:val="1"/>
      <w:numFmt w:val="bullet"/>
      <w:lvlText w:val="•"/>
      <w:lvlJc w:val="left"/>
      <w:pPr>
        <w:ind w:left="6324" w:hanging="291"/>
      </w:pPr>
      <w:rPr>
        <w:rFonts w:hint="default"/>
      </w:rPr>
    </w:lvl>
  </w:abstractNum>
  <w:abstractNum w:abstractNumId="65" w15:restartNumberingAfterBreak="0">
    <w:nsid w:val="74B92EC2"/>
    <w:multiLevelType w:val="hybridMultilevel"/>
    <w:tmpl w:val="EA3A47EE"/>
    <w:lvl w:ilvl="0" w:tplc="FC201A08">
      <w:start w:val="62"/>
      <w:numFmt w:val="decimal"/>
      <w:lvlText w:val="%1"/>
      <w:lvlJc w:val="left"/>
      <w:pPr>
        <w:ind w:left="470" w:hanging="209"/>
      </w:pPr>
      <w:rPr>
        <w:rFonts w:ascii="Verdana" w:eastAsia="Verdana" w:hAnsi="Verdana" w:hint="default"/>
        <w:spacing w:val="-1"/>
        <w:w w:val="99"/>
        <w:sz w:val="13"/>
        <w:szCs w:val="13"/>
      </w:rPr>
    </w:lvl>
    <w:lvl w:ilvl="1" w:tplc="00D2E6FE">
      <w:start w:val="67"/>
      <w:numFmt w:val="decimal"/>
      <w:lvlText w:val="%2"/>
      <w:lvlJc w:val="left"/>
      <w:pPr>
        <w:ind w:left="192" w:hanging="209"/>
      </w:pPr>
      <w:rPr>
        <w:rFonts w:ascii="Verdana" w:eastAsia="Verdana" w:hAnsi="Verdana" w:hint="default"/>
        <w:spacing w:val="-1"/>
        <w:w w:val="99"/>
        <w:sz w:val="13"/>
        <w:szCs w:val="13"/>
      </w:rPr>
    </w:lvl>
    <w:lvl w:ilvl="2" w:tplc="4926A858">
      <w:start w:val="1"/>
      <w:numFmt w:val="bullet"/>
      <w:lvlText w:val="•"/>
      <w:lvlJc w:val="left"/>
      <w:pPr>
        <w:ind w:left="1293" w:hanging="209"/>
      </w:pPr>
      <w:rPr>
        <w:rFonts w:hint="default"/>
      </w:rPr>
    </w:lvl>
    <w:lvl w:ilvl="3" w:tplc="EB20E164">
      <w:start w:val="1"/>
      <w:numFmt w:val="bullet"/>
      <w:lvlText w:val="•"/>
      <w:lvlJc w:val="left"/>
      <w:pPr>
        <w:ind w:left="2116" w:hanging="209"/>
      </w:pPr>
      <w:rPr>
        <w:rFonts w:hint="default"/>
      </w:rPr>
    </w:lvl>
    <w:lvl w:ilvl="4" w:tplc="692296A0">
      <w:start w:val="1"/>
      <w:numFmt w:val="bullet"/>
      <w:lvlText w:val="•"/>
      <w:lvlJc w:val="left"/>
      <w:pPr>
        <w:ind w:left="2939" w:hanging="209"/>
      </w:pPr>
      <w:rPr>
        <w:rFonts w:hint="default"/>
      </w:rPr>
    </w:lvl>
    <w:lvl w:ilvl="5" w:tplc="E90C360C">
      <w:start w:val="1"/>
      <w:numFmt w:val="bullet"/>
      <w:lvlText w:val="•"/>
      <w:lvlJc w:val="left"/>
      <w:pPr>
        <w:ind w:left="3762" w:hanging="209"/>
      </w:pPr>
      <w:rPr>
        <w:rFonts w:hint="default"/>
      </w:rPr>
    </w:lvl>
    <w:lvl w:ilvl="6" w:tplc="EE0E3680">
      <w:start w:val="1"/>
      <w:numFmt w:val="bullet"/>
      <w:lvlText w:val="•"/>
      <w:lvlJc w:val="left"/>
      <w:pPr>
        <w:ind w:left="4585" w:hanging="209"/>
      </w:pPr>
      <w:rPr>
        <w:rFonts w:hint="default"/>
      </w:rPr>
    </w:lvl>
    <w:lvl w:ilvl="7" w:tplc="3A7AAEB4">
      <w:start w:val="1"/>
      <w:numFmt w:val="bullet"/>
      <w:lvlText w:val="•"/>
      <w:lvlJc w:val="left"/>
      <w:pPr>
        <w:ind w:left="5408" w:hanging="209"/>
      </w:pPr>
      <w:rPr>
        <w:rFonts w:hint="default"/>
      </w:rPr>
    </w:lvl>
    <w:lvl w:ilvl="8" w:tplc="E13C63B0">
      <w:start w:val="1"/>
      <w:numFmt w:val="bullet"/>
      <w:lvlText w:val="•"/>
      <w:lvlJc w:val="left"/>
      <w:pPr>
        <w:ind w:left="6231" w:hanging="209"/>
      </w:pPr>
      <w:rPr>
        <w:rFonts w:hint="default"/>
      </w:rPr>
    </w:lvl>
  </w:abstractNum>
  <w:abstractNum w:abstractNumId="66" w15:restartNumberingAfterBreak="0">
    <w:nsid w:val="78007AA9"/>
    <w:multiLevelType w:val="hybridMultilevel"/>
    <w:tmpl w:val="F9469872"/>
    <w:lvl w:ilvl="0" w:tplc="E228A31C">
      <w:start w:val="121"/>
      <w:numFmt w:val="decimal"/>
      <w:lvlText w:val="%1"/>
      <w:lvlJc w:val="left"/>
      <w:pPr>
        <w:ind w:left="470" w:hanging="291"/>
      </w:pPr>
      <w:rPr>
        <w:rFonts w:ascii="Verdana" w:eastAsia="Verdana" w:hAnsi="Verdana" w:hint="default"/>
        <w:spacing w:val="-1"/>
        <w:w w:val="99"/>
        <w:sz w:val="13"/>
        <w:szCs w:val="13"/>
      </w:rPr>
    </w:lvl>
    <w:lvl w:ilvl="1" w:tplc="EC6206B2">
      <w:start w:val="1"/>
      <w:numFmt w:val="bullet"/>
      <w:lvlText w:val="•"/>
      <w:lvlJc w:val="left"/>
      <w:pPr>
        <w:ind w:left="1211" w:hanging="291"/>
      </w:pPr>
      <w:rPr>
        <w:rFonts w:hint="default"/>
      </w:rPr>
    </w:lvl>
    <w:lvl w:ilvl="2" w:tplc="2544F190">
      <w:start w:val="1"/>
      <w:numFmt w:val="bullet"/>
      <w:lvlText w:val="•"/>
      <w:lvlJc w:val="left"/>
      <w:pPr>
        <w:ind w:left="1951" w:hanging="291"/>
      </w:pPr>
      <w:rPr>
        <w:rFonts w:hint="default"/>
      </w:rPr>
    </w:lvl>
    <w:lvl w:ilvl="3" w:tplc="A5CAAF14">
      <w:start w:val="1"/>
      <w:numFmt w:val="bullet"/>
      <w:lvlText w:val="•"/>
      <w:lvlJc w:val="left"/>
      <w:pPr>
        <w:ind w:left="2692" w:hanging="291"/>
      </w:pPr>
      <w:rPr>
        <w:rFonts w:hint="default"/>
      </w:rPr>
    </w:lvl>
    <w:lvl w:ilvl="4" w:tplc="49407ECE">
      <w:start w:val="1"/>
      <w:numFmt w:val="bullet"/>
      <w:lvlText w:val="•"/>
      <w:lvlJc w:val="left"/>
      <w:pPr>
        <w:ind w:left="3433" w:hanging="291"/>
      </w:pPr>
      <w:rPr>
        <w:rFonts w:hint="default"/>
      </w:rPr>
    </w:lvl>
    <w:lvl w:ilvl="5" w:tplc="13F28102">
      <w:start w:val="1"/>
      <w:numFmt w:val="bullet"/>
      <w:lvlText w:val="•"/>
      <w:lvlJc w:val="left"/>
      <w:pPr>
        <w:ind w:left="4174" w:hanging="291"/>
      </w:pPr>
      <w:rPr>
        <w:rFonts w:hint="default"/>
      </w:rPr>
    </w:lvl>
    <w:lvl w:ilvl="6" w:tplc="A7329D24">
      <w:start w:val="1"/>
      <w:numFmt w:val="bullet"/>
      <w:lvlText w:val="•"/>
      <w:lvlJc w:val="left"/>
      <w:pPr>
        <w:ind w:left="4914" w:hanging="291"/>
      </w:pPr>
      <w:rPr>
        <w:rFonts w:hint="default"/>
      </w:rPr>
    </w:lvl>
    <w:lvl w:ilvl="7" w:tplc="D46827BA">
      <w:start w:val="1"/>
      <w:numFmt w:val="bullet"/>
      <w:lvlText w:val="•"/>
      <w:lvlJc w:val="left"/>
      <w:pPr>
        <w:ind w:left="5655" w:hanging="291"/>
      </w:pPr>
      <w:rPr>
        <w:rFonts w:hint="default"/>
      </w:rPr>
    </w:lvl>
    <w:lvl w:ilvl="8" w:tplc="4F746CEA">
      <w:start w:val="1"/>
      <w:numFmt w:val="bullet"/>
      <w:lvlText w:val="•"/>
      <w:lvlJc w:val="left"/>
      <w:pPr>
        <w:ind w:left="6396" w:hanging="291"/>
      </w:pPr>
      <w:rPr>
        <w:rFonts w:hint="default"/>
      </w:rPr>
    </w:lvl>
  </w:abstractNum>
  <w:abstractNum w:abstractNumId="67" w15:restartNumberingAfterBreak="0">
    <w:nsid w:val="795B77DC"/>
    <w:multiLevelType w:val="hybridMultilevel"/>
    <w:tmpl w:val="2C148600"/>
    <w:lvl w:ilvl="0" w:tplc="0FF6936C">
      <w:start w:val="1"/>
      <w:numFmt w:val="decimal"/>
      <w:lvlText w:val="%1)"/>
      <w:lvlJc w:val="left"/>
      <w:pPr>
        <w:ind w:left="232" w:hanging="281"/>
      </w:pPr>
      <w:rPr>
        <w:rFonts w:ascii="Verdana" w:eastAsia="Verdana" w:hAnsi="Verdana" w:hint="default"/>
        <w:spacing w:val="-1"/>
        <w:w w:val="99"/>
        <w:sz w:val="19"/>
        <w:szCs w:val="19"/>
      </w:rPr>
    </w:lvl>
    <w:lvl w:ilvl="1" w:tplc="3C3E6AF0">
      <w:start w:val="1"/>
      <w:numFmt w:val="bullet"/>
      <w:lvlText w:val="•"/>
      <w:lvlJc w:val="left"/>
      <w:pPr>
        <w:ind w:left="1021" w:hanging="281"/>
      </w:pPr>
      <w:rPr>
        <w:rFonts w:hint="default"/>
      </w:rPr>
    </w:lvl>
    <w:lvl w:ilvl="2" w:tplc="1A9C5C24">
      <w:start w:val="1"/>
      <w:numFmt w:val="bullet"/>
      <w:lvlText w:val="•"/>
      <w:lvlJc w:val="left"/>
      <w:pPr>
        <w:ind w:left="1809" w:hanging="281"/>
      </w:pPr>
      <w:rPr>
        <w:rFonts w:hint="default"/>
      </w:rPr>
    </w:lvl>
    <w:lvl w:ilvl="3" w:tplc="5CB2A29E">
      <w:start w:val="1"/>
      <w:numFmt w:val="bullet"/>
      <w:lvlText w:val="•"/>
      <w:lvlJc w:val="left"/>
      <w:pPr>
        <w:ind w:left="2598" w:hanging="281"/>
      </w:pPr>
      <w:rPr>
        <w:rFonts w:hint="default"/>
      </w:rPr>
    </w:lvl>
    <w:lvl w:ilvl="4" w:tplc="126896B6">
      <w:start w:val="1"/>
      <w:numFmt w:val="bullet"/>
      <w:lvlText w:val="•"/>
      <w:lvlJc w:val="left"/>
      <w:pPr>
        <w:ind w:left="3386" w:hanging="281"/>
      </w:pPr>
      <w:rPr>
        <w:rFonts w:hint="default"/>
      </w:rPr>
    </w:lvl>
    <w:lvl w:ilvl="5" w:tplc="4036C5A8">
      <w:start w:val="1"/>
      <w:numFmt w:val="bullet"/>
      <w:lvlText w:val="•"/>
      <w:lvlJc w:val="left"/>
      <w:pPr>
        <w:ind w:left="4175" w:hanging="281"/>
      </w:pPr>
      <w:rPr>
        <w:rFonts w:hint="default"/>
      </w:rPr>
    </w:lvl>
    <w:lvl w:ilvl="6" w:tplc="308A978C">
      <w:start w:val="1"/>
      <w:numFmt w:val="bullet"/>
      <w:lvlText w:val="•"/>
      <w:lvlJc w:val="left"/>
      <w:pPr>
        <w:ind w:left="4963" w:hanging="281"/>
      </w:pPr>
      <w:rPr>
        <w:rFonts w:hint="default"/>
      </w:rPr>
    </w:lvl>
    <w:lvl w:ilvl="7" w:tplc="5EA44252">
      <w:start w:val="1"/>
      <w:numFmt w:val="bullet"/>
      <w:lvlText w:val="•"/>
      <w:lvlJc w:val="left"/>
      <w:pPr>
        <w:ind w:left="5752" w:hanging="281"/>
      </w:pPr>
      <w:rPr>
        <w:rFonts w:hint="default"/>
      </w:rPr>
    </w:lvl>
    <w:lvl w:ilvl="8" w:tplc="AD5062AA">
      <w:start w:val="1"/>
      <w:numFmt w:val="bullet"/>
      <w:lvlText w:val="•"/>
      <w:lvlJc w:val="left"/>
      <w:pPr>
        <w:ind w:left="6540" w:hanging="281"/>
      </w:pPr>
      <w:rPr>
        <w:rFonts w:hint="default"/>
      </w:rPr>
    </w:lvl>
  </w:abstractNum>
  <w:num w:numId="1">
    <w:abstractNumId w:val="16"/>
  </w:num>
  <w:num w:numId="2">
    <w:abstractNumId w:val="48"/>
  </w:num>
  <w:num w:numId="3">
    <w:abstractNumId w:val="29"/>
  </w:num>
  <w:num w:numId="4">
    <w:abstractNumId w:val="14"/>
  </w:num>
  <w:num w:numId="5">
    <w:abstractNumId w:val="27"/>
  </w:num>
  <w:num w:numId="6">
    <w:abstractNumId w:val="28"/>
  </w:num>
  <w:num w:numId="7">
    <w:abstractNumId w:val="42"/>
  </w:num>
  <w:num w:numId="8">
    <w:abstractNumId w:val="36"/>
  </w:num>
  <w:num w:numId="9">
    <w:abstractNumId w:val="63"/>
  </w:num>
  <w:num w:numId="10">
    <w:abstractNumId w:val="10"/>
  </w:num>
  <w:num w:numId="11">
    <w:abstractNumId w:val="0"/>
  </w:num>
  <w:num w:numId="12">
    <w:abstractNumId w:val="6"/>
  </w:num>
  <w:num w:numId="13">
    <w:abstractNumId w:val="34"/>
  </w:num>
  <w:num w:numId="14">
    <w:abstractNumId w:val="1"/>
  </w:num>
  <w:num w:numId="15">
    <w:abstractNumId w:val="31"/>
  </w:num>
  <w:num w:numId="16">
    <w:abstractNumId w:val="8"/>
  </w:num>
  <w:num w:numId="17">
    <w:abstractNumId w:val="4"/>
  </w:num>
  <w:num w:numId="18">
    <w:abstractNumId w:val="15"/>
  </w:num>
  <w:num w:numId="19">
    <w:abstractNumId w:val="20"/>
  </w:num>
  <w:num w:numId="20">
    <w:abstractNumId w:val="67"/>
  </w:num>
  <w:num w:numId="21">
    <w:abstractNumId w:val="40"/>
  </w:num>
  <w:num w:numId="22">
    <w:abstractNumId w:val="30"/>
  </w:num>
  <w:num w:numId="23">
    <w:abstractNumId w:val="23"/>
  </w:num>
  <w:num w:numId="24">
    <w:abstractNumId w:val="22"/>
  </w:num>
  <w:num w:numId="25">
    <w:abstractNumId w:val="55"/>
  </w:num>
  <w:num w:numId="26">
    <w:abstractNumId w:val="41"/>
  </w:num>
  <w:num w:numId="27">
    <w:abstractNumId w:val="26"/>
  </w:num>
  <w:num w:numId="28">
    <w:abstractNumId w:val="32"/>
  </w:num>
  <w:num w:numId="29">
    <w:abstractNumId w:val="54"/>
  </w:num>
  <w:num w:numId="30">
    <w:abstractNumId w:val="25"/>
  </w:num>
  <w:num w:numId="31">
    <w:abstractNumId w:val="13"/>
  </w:num>
  <w:num w:numId="32">
    <w:abstractNumId w:val="46"/>
  </w:num>
  <w:num w:numId="33">
    <w:abstractNumId w:val="39"/>
  </w:num>
  <w:num w:numId="34">
    <w:abstractNumId w:val="43"/>
  </w:num>
  <w:num w:numId="35">
    <w:abstractNumId w:val="61"/>
  </w:num>
  <w:num w:numId="36">
    <w:abstractNumId w:val="44"/>
  </w:num>
  <w:num w:numId="37">
    <w:abstractNumId w:val="18"/>
  </w:num>
  <w:num w:numId="38">
    <w:abstractNumId w:val="7"/>
  </w:num>
  <w:num w:numId="39">
    <w:abstractNumId w:val="19"/>
  </w:num>
  <w:num w:numId="40">
    <w:abstractNumId w:val="33"/>
  </w:num>
  <w:num w:numId="41">
    <w:abstractNumId w:val="37"/>
  </w:num>
  <w:num w:numId="42">
    <w:abstractNumId w:val="2"/>
  </w:num>
  <w:num w:numId="43">
    <w:abstractNumId w:val="64"/>
  </w:num>
  <w:num w:numId="44">
    <w:abstractNumId w:val="66"/>
  </w:num>
  <w:num w:numId="45">
    <w:abstractNumId w:val="59"/>
  </w:num>
  <w:num w:numId="46">
    <w:abstractNumId w:val="53"/>
  </w:num>
  <w:num w:numId="47">
    <w:abstractNumId w:val="17"/>
  </w:num>
  <w:num w:numId="48">
    <w:abstractNumId w:val="35"/>
  </w:num>
  <w:num w:numId="49">
    <w:abstractNumId w:val="24"/>
  </w:num>
  <w:num w:numId="50">
    <w:abstractNumId w:val="9"/>
  </w:num>
  <w:num w:numId="51">
    <w:abstractNumId w:val="12"/>
  </w:num>
  <w:num w:numId="52">
    <w:abstractNumId w:val="57"/>
  </w:num>
  <w:num w:numId="53">
    <w:abstractNumId w:val="38"/>
  </w:num>
  <w:num w:numId="54">
    <w:abstractNumId w:val="47"/>
  </w:num>
  <w:num w:numId="55">
    <w:abstractNumId w:val="65"/>
  </w:num>
  <w:num w:numId="56">
    <w:abstractNumId w:val="52"/>
  </w:num>
  <w:num w:numId="57">
    <w:abstractNumId w:val="56"/>
  </w:num>
  <w:num w:numId="58">
    <w:abstractNumId w:val="62"/>
  </w:num>
  <w:num w:numId="59">
    <w:abstractNumId w:val="5"/>
  </w:num>
  <w:num w:numId="60">
    <w:abstractNumId w:val="45"/>
  </w:num>
  <w:num w:numId="61">
    <w:abstractNumId w:val="3"/>
  </w:num>
  <w:num w:numId="62">
    <w:abstractNumId w:val="21"/>
  </w:num>
  <w:num w:numId="63">
    <w:abstractNumId w:val="50"/>
  </w:num>
  <w:num w:numId="64">
    <w:abstractNumId w:val="11"/>
  </w:num>
  <w:num w:numId="65">
    <w:abstractNumId w:val="51"/>
  </w:num>
  <w:num w:numId="66">
    <w:abstractNumId w:val="60"/>
  </w:num>
  <w:num w:numId="67">
    <w:abstractNumId w:val="49"/>
  </w:num>
  <w:num w:numId="68">
    <w:abstractNumId w:val="5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23EE2"/>
    <w:rsid w:val="00055324"/>
    <w:rsid w:val="00077920"/>
    <w:rsid w:val="00096ECF"/>
    <w:rsid w:val="000A3BB7"/>
    <w:rsid w:val="000C1401"/>
    <w:rsid w:val="00150DA1"/>
    <w:rsid w:val="00157B80"/>
    <w:rsid w:val="00166CA6"/>
    <w:rsid w:val="001869CD"/>
    <w:rsid w:val="001F2648"/>
    <w:rsid w:val="002E30B3"/>
    <w:rsid w:val="0035268C"/>
    <w:rsid w:val="00371E5F"/>
    <w:rsid w:val="00392D70"/>
    <w:rsid w:val="0040131A"/>
    <w:rsid w:val="00436FCA"/>
    <w:rsid w:val="00476FA3"/>
    <w:rsid w:val="00523C8C"/>
    <w:rsid w:val="005262F9"/>
    <w:rsid w:val="00576316"/>
    <w:rsid w:val="00590FA6"/>
    <w:rsid w:val="00650F6C"/>
    <w:rsid w:val="00651E9B"/>
    <w:rsid w:val="00652F50"/>
    <w:rsid w:val="00723119"/>
    <w:rsid w:val="00726DD5"/>
    <w:rsid w:val="0074432B"/>
    <w:rsid w:val="0074628B"/>
    <w:rsid w:val="007B0ACE"/>
    <w:rsid w:val="007C18AA"/>
    <w:rsid w:val="007F4F65"/>
    <w:rsid w:val="0083515C"/>
    <w:rsid w:val="00855CC0"/>
    <w:rsid w:val="00856A0D"/>
    <w:rsid w:val="0088409F"/>
    <w:rsid w:val="00886EF6"/>
    <w:rsid w:val="008A1720"/>
    <w:rsid w:val="008C4175"/>
    <w:rsid w:val="00902B8E"/>
    <w:rsid w:val="00904255"/>
    <w:rsid w:val="00910298"/>
    <w:rsid w:val="00933017"/>
    <w:rsid w:val="00957527"/>
    <w:rsid w:val="00963569"/>
    <w:rsid w:val="009F370B"/>
    <w:rsid w:val="00A41502"/>
    <w:rsid w:val="00A824E5"/>
    <w:rsid w:val="00A84DA3"/>
    <w:rsid w:val="00AC27DA"/>
    <w:rsid w:val="00AD05D6"/>
    <w:rsid w:val="00AE0745"/>
    <w:rsid w:val="00B22906"/>
    <w:rsid w:val="00BD2EBC"/>
    <w:rsid w:val="00BF460B"/>
    <w:rsid w:val="00C414D8"/>
    <w:rsid w:val="00C66DBD"/>
    <w:rsid w:val="00C8141B"/>
    <w:rsid w:val="00C92C69"/>
    <w:rsid w:val="00CC3F08"/>
    <w:rsid w:val="00CF10CD"/>
    <w:rsid w:val="00CF68EB"/>
    <w:rsid w:val="00D01959"/>
    <w:rsid w:val="00D05A91"/>
    <w:rsid w:val="00D3377A"/>
    <w:rsid w:val="00D84900"/>
    <w:rsid w:val="00DD0BE3"/>
    <w:rsid w:val="00DF28F7"/>
    <w:rsid w:val="00E009D9"/>
    <w:rsid w:val="00E16104"/>
    <w:rsid w:val="00E23EE2"/>
    <w:rsid w:val="00E35DB2"/>
    <w:rsid w:val="00E61945"/>
    <w:rsid w:val="00EC6D74"/>
    <w:rsid w:val="00EE3CF1"/>
    <w:rsid w:val="00F93705"/>
    <w:rsid w:val="00FB41C3"/>
    <w:rsid w:val="00FC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3"/>
    </o:shapelayout>
  </w:shapeDefaults>
  <w:decimalSymbol w:val="."/>
  <w:listSeparator w:val=","/>
  <w14:docId w14:val="1134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7" w:firstLine="1"/>
      <w:outlineLvl w:val="0"/>
    </w:pPr>
    <w:rPr>
      <w:rFonts w:ascii="Times New Roman" w:eastAsia="Times New Roman" w:hAnsi="Times New Roman"/>
      <w:sz w:val="44"/>
      <w:szCs w:val="44"/>
    </w:rPr>
  </w:style>
  <w:style w:type="paragraph" w:styleId="Heading2">
    <w:name w:val="heading 2"/>
    <w:basedOn w:val="Normal"/>
    <w:uiPriority w:val="9"/>
    <w:unhideWhenUsed/>
    <w:qFormat/>
    <w:pPr>
      <w:ind w:left="679" w:hanging="579"/>
      <w:outlineLvl w:val="1"/>
    </w:pPr>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990"/>
      <w:ind w:left="112"/>
    </w:pPr>
    <w:rPr>
      <w:rFonts w:ascii="Times New Roman" w:eastAsia="Times New Roman" w:hAnsi="Times New Roman"/>
      <w:sz w:val="18"/>
      <w:szCs w:val="18"/>
    </w:rPr>
  </w:style>
  <w:style w:type="paragraph" w:styleId="TOC2">
    <w:name w:val="toc 2"/>
    <w:basedOn w:val="Normal"/>
    <w:uiPriority w:val="39"/>
    <w:qFormat/>
    <w:pPr>
      <w:spacing w:before="71"/>
      <w:ind w:left="1191" w:hanging="596"/>
    </w:pPr>
    <w:rPr>
      <w:rFonts w:ascii="Times New Roman" w:eastAsia="Times New Roman" w:hAnsi="Times New Roman"/>
      <w:sz w:val="18"/>
      <w:szCs w:val="18"/>
    </w:rPr>
  </w:style>
  <w:style w:type="paragraph" w:styleId="TOC3">
    <w:name w:val="toc 3"/>
    <w:basedOn w:val="Normal"/>
    <w:uiPriority w:val="1"/>
    <w:qFormat/>
    <w:pPr>
      <w:spacing w:before="59"/>
      <w:ind w:left="1190" w:hanging="358"/>
    </w:pPr>
    <w:rPr>
      <w:rFonts w:ascii="Verdana" w:eastAsia="Verdana" w:hAnsi="Verdana"/>
      <w:sz w:val="18"/>
      <w:szCs w:val="18"/>
    </w:rPr>
  </w:style>
  <w:style w:type="paragraph" w:styleId="TOC4">
    <w:name w:val="toc 4"/>
    <w:basedOn w:val="Normal"/>
    <w:uiPriority w:val="1"/>
    <w:qFormat/>
    <w:pPr>
      <w:spacing w:before="59"/>
      <w:ind w:left="1786"/>
    </w:pPr>
    <w:rPr>
      <w:rFonts w:ascii="Verdana" w:eastAsia="Verdana" w:hAnsi="Verdana"/>
      <w:sz w:val="18"/>
      <w:szCs w:val="18"/>
    </w:rPr>
  </w:style>
  <w:style w:type="paragraph" w:styleId="BodyText">
    <w:name w:val="Body Text"/>
    <w:basedOn w:val="Normal"/>
    <w:uiPriority w:val="1"/>
    <w:qFormat/>
    <w:pPr>
      <w:ind w:left="112"/>
    </w:pPr>
    <w:rPr>
      <w:rFonts w:ascii="Verdana" w:eastAsia="Verdana" w:hAnsi="Verdana"/>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3515C"/>
    <w:pPr>
      <w:tabs>
        <w:tab w:val="center" w:pos="4153"/>
        <w:tab w:val="right" w:pos="8306"/>
      </w:tabs>
    </w:pPr>
  </w:style>
  <w:style w:type="character" w:customStyle="1" w:styleId="HeaderChar">
    <w:name w:val="Header Char"/>
    <w:basedOn w:val="DefaultParagraphFont"/>
    <w:link w:val="Header"/>
    <w:uiPriority w:val="99"/>
    <w:rsid w:val="0083515C"/>
  </w:style>
  <w:style w:type="paragraph" w:styleId="Footer">
    <w:name w:val="footer"/>
    <w:basedOn w:val="Normal"/>
    <w:link w:val="FooterChar"/>
    <w:unhideWhenUsed/>
    <w:rsid w:val="0083515C"/>
    <w:pPr>
      <w:tabs>
        <w:tab w:val="center" w:pos="4153"/>
        <w:tab w:val="right" w:pos="8306"/>
      </w:tabs>
    </w:pPr>
  </w:style>
  <w:style w:type="character" w:customStyle="1" w:styleId="FooterChar">
    <w:name w:val="Footer Char"/>
    <w:basedOn w:val="DefaultParagraphFont"/>
    <w:link w:val="Footer"/>
    <w:uiPriority w:val="99"/>
    <w:rsid w:val="0083515C"/>
  </w:style>
  <w:style w:type="character" w:styleId="Hyperlink">
    <w:name w:val="Hyperlink"/>
    <w:basedOn w:val="DefaultParagraphFont"/>
    <w:uiPriority w:val="99"/>
    <w:unhideWhenUsed/>
    <w:rsid w:val="00FB41C3"/>
    <w:rPr>
      <w:color w:val="0000FF" w:themeColor="hyperlink"/>
      <w:u w:val="single"/>
    </w:rPr>
  </w:style>
  <w:style w:type="character" w:styleId="UnresolvedMention">
    <w:name w:val="Unresolved Mention"/>
    <w:basedOn w:val="DefaultParagraphFont"/>
    <w:uiPriority w:val="99"/>
    <w:semiHidden/>
    <w:unhideWhenUsed/>
    <w:rsid w:val="00FB41C3"/>
    <w:rPr>
      <w:color w:val="605E5C"/>
      <w:shd w:val="clear" w:color="auto" w:fill="E1DFDD"/>
    </w:rPr>
  </w:style>
  <w:style w:type="table" w:styleId="TableGrid">
    <w:name w:val="Table Grid"/>
    <w:basedOn w:val="TableNormal"/>
    <w:uiPriority w:val="39"/>
    <w:rsid w:val="00FB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3017"/>
    <w:rPr>
      <w:sz w:val="20"/>
      <w:szCs w:val="20"/>
    </w:rPr>
  </w:style>
  <w:style w:type="character" w:customStyle="1" w:styleId="FootnoteTextChar">
    <w:name w:val="Footnote Text Char"/>
    <w:basedOn w:val="DefaultParagraphFont"/>
    <w:link w:val="FootnoteText"/>
    <w:uiPriority w:val="99"/>
    <w:semiHidden/>
    <w:rsid w:val="00933017"/>
    <w:rPr>
      <w:sz w:val="20"/>
      <w:szCs w:val="20"/>
    </w:rPr>
  </w:style>
  <w:style w:type="character" w:styleId="FootnoteReference">
    <w:name w:val="footnote reference"/>
    <w:basedOn w:val="DefaultParagraphFont"/>
    <w:uiPriority w:val="99"/>
    <w:semiHidden/>
    <w:unhideWhenUsed/>
    <w:rsid w:val="00933017"/>
    <w:rPr>
      <w:vertAlign w:val="superscript"/>
    </w:rPr>
  </w:style>
  <w:style w:type="paragraph" w:styleId="BalloonText">
    <w:name w:val="Balloon Text"/>
    <w:basedOn w:val="Normal"/>
    <w:link w:val="BalloonTextChar"/>
    <w:uiPriority w:val="99"/>
    <w:semiHidden/>
    <w:unhideWhenUsed/>
    <w:rsid w:val="00436F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FCA"/>
    <w:rPr>
      <w:rFonts w:ascii="Segoe UI" w:hAnsi="Segoe UI" w:cs="Segoe UI"/>
      <w:sz w:val="18"/>
      <w:szCs w:val="18"/>
    </w:rPr>
  </w:style>
  <w:style w:type="character" w:styleId="PageNumber">
    <w:name w:val="page number"/>
    <w:basedOn w:val="DefaultParagraphFont"/>
    <w:semiHidden/>
    <w:rsid w:val="000A3BB7"/>
  </w:style>
  <w:style w:type="paragraph" w:styleId="TOCHeading">
    <w:name w:val="TOC Heading"/>
    <w:basedOn w:val="Heading1"/>
    <w:next w:val="Normal"/>
    <w:uiPriority w:val="39"/>
    <w:unhideWhenUsed/>
    <w:qFormat/>
    <w:rsid w:val="000A3BB7"/>
    <w:pPr>
      <w:keepNext/>
      <w:keepLines/>
      <w:widowControl/>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data.europa.eu/euodp/en)"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yperlink" Target="http://eur-lex.europa.eu/" TargetMode="External"/><Relationship Id="rId27" Type="http://schemas.openxmlformats.org/officeDocument/2006/relationships/footer" Target="footer2.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B6B11-523F-42BA-B2DE-5403EED5FAE7}">
  <ds:schemaRefs>
    <ds:schemaRef ds:uri="http://schemas.openxmlformats.org/officeDocument/2006/bibliography"/>
  </ds:schemaRefs>
</ds:datastoreItem>
</file>

<file path=customXml/itemProps2.xml><?xml version="1.0" encoding="utf-8"?>
<ds:datastoreItem xmlns:ds="http://schemas.openxmlformats.org/officeDocument/2006/customXml" ds:itemID="{2F0240F6-7735-40A0-8F51-CEAF961A7488}"/>
</file>

<file path=customXml/itemProps3.xml><?xml version="1.0" encoding="utf-8"?>
<ds:datastoreItem xmlns:ds="http://schemas.openxmlformats.org/officeDocument/2006/customXml" ds:itemID="{208AE6AB-F72E-4DEF-A1C9-0892E17653E0}"/>
</file>

<file path=customXml/itemProps4.xml><?xml version="1.0" encoding="utf-8"?>
<ds:datastoreItem xmlns:ds="http://schemas.openxmlformats.org/officeDocument/2006/customXml" ds:itemID="{5DE05690-2E0C-4827-A74C-3498E2CE0135}"/>
</file>

<file path=docProps/app.xml><?xml version="1.0" encoding="utf-8"?>
<Properties xmlns="http://schemas.openxmlformats.org/officeDocument/2006/extended-properties" xmlns:vt="http://schemas.openxmlformats.org/officeDocument/2006/docPropsVTypes">
  <Template>Normal</Template>
  <TotalTime>0</TotalTime>
  <Pages>97</Pages>
  <Words>159549</Words>
  <Characters>90943</Characters>
  <Application>Microsoft Office Word</Application>
  <DocSecurity>0</DocSecurity>
  <Lines>757</Lines>
  <Paragraphs>499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2019-09-11T05:53:00Z</dcterms:created>
  <dcterms:modified xsi:type="dcterms:W3CDTF">2021-02-08T10:59:00Z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219000</vt:r8>
  </property>
</Properties>
</file>