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477" w:rsidRPr="00320FA9" w:rsidRDefault="00085477" w:rsidP="00320FA9">
      <w:pPr>
        <w:jc w:val="both"/>
        <w:rPr>
          <w:rFonts w:ascii="Times New Roman" w:eastAsia="Times New Roman" w:hAnsi="Times New Roman" w:cs="Times New Roman"/>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2"/>
        <w:gridCol w:w="1985"/>
        <w:gridCol w:w="1985"/>
        <w:gridCol w:w="3999"/>
      </w:tblGrid>
      <w:tr w:rsidR="00320FA9" w:rsidRPr="00320FA9" w:rsidTr="00320FA9">
        <w:tc>
          <w:tcPr>
            <w:tcW w:w="636" w:type="pct"/>
          </w:tcPr>
          <w:p w:rsidR="002F58F5" w:rsidRPr="00320FA9" w:rsidRDefault="002F58F5" w:rsidP="00320FA9">
            <w:pPr>
              <w:jc w:val="both"/>
              <w:rPr>
                <w:rFonts w:ascii="Times New Roman" w:eastAsia="Times New Roman" w:hAnsi="Times New Roman" w:cs="Times New Roman"/>
                <w:noProof/>
                <w:sz w:val="24"/>
                <w:szCs w:val="20"/>
              </w:rPr>
            </w:pPr>
            <w:r w:rsidRPr="00320FA9">
              <w:rPr>
                <w:rFonts w:ascii="Times New Roman" w:eastAsia="Times New Roman" w:hAnsi="Times New Roman" w:cs="Times New Roman"/>
                <w:noProof/>
                <w:sz w:val="24"/>
                <w:szCs w:val="20"/>
                <w:lang w:bidi="ar-SA"/>
              </w:rPr>
              <w:drawing>
                <wp:inline distT="0" distB="0" distL="0" distR="0">
                  <wp:extent cx="638175" cy="584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584835"/>
                          </a:xfrm>
                          <a:prstGeom prst="rect">
                            <a:avLst/>
                          </a:prstGeom>
                          <a:noFill/>
                          <a:ln>
                            <a:noFill/>
                          </a:ln>
                        </pic:spPr>
                      </pic:pic>
                    </a:graphicData>
                  </a:graphic>
                </wp:inline>
              </w:drawing>
            </w:r>
          </w:p>
        </w:tc>
        <w:tc>
          <w:tcPr>
            <w:tcW w:w="1087" w:type="pct"/>
          </w:tcPr>
          <w:p w:rsidR="002F58F5" w:rsidRPr="00320FA9" w:rsidRDefault="002F58F5" w:rsidP="00320FA9">
            <w:pPr>
              <w:jc w:val="both"/>
              <w:rPr>
                <w:rFonts w:ascii="Times New Roman" w:eastAsia="Times New Roman" w:hAnsi="Times New Roman" w:cs="Times New Roman"/>
                <w:b/>
                <w:noProof/>
                <w:sz w:val="24"/>
                <w:szCs w:val="20"/>
              </w:rPr>
            </w:pPr>
            <w:r w:rsidRPr="00320FA9">
              <w:rPr>
                <w:rFonts w:ascii="Times New Roman" w:hAnsi="Times New Roman"/>
                <w:b/>
                <w:noProof/>
                <w:sz w:val="24"/>
              </w:rPr>
              <w:t>ANO Pārtikas un lauksaimniecības organizācija</w:t>
            </w:r>
          </w:p>
        </w:tc>
        <w:tc>
          <w:tcPr>
            <w:tcW w:w="1087" w:type="pct"/>
          </w:tcPr>
          <w:p w:rsidR="002F58F5" w:rsidRPr="00320FA9" w:rsidRDefault="002F58F5" w:rsidP="00320FA9">
            <w:pPr>
              <w:jc w:val="both"/>
              <w:rPr>
                <w:rFonts w:ascii="Times New Roman" w:eastAsia="Times New Roman" w:hAnsi="Times New Roman" w:cs="Times New Roman"/>
                <w:noProof/>
                <w:sz w:val="24"/>
                <w:szCs w:val="20"/>
              </w:rPr>
            </w:pPr>
            <w:r w:rsidRPr="00320FA9">
              <w:rPr>
                <w:rFonts w:ascii="Times New Roman" w:eastAsia="Times New Roman" w:hAnsi="Times New Roman" w:cs="Times New Roman"/>
                <w:noProof/>
                <w:sz w:val="24"/>
                <w:szCs w:val="20"/>
                <w:lang w:bidi="ar-SA"/>
              </w:rPr>
              <w:drawing>
                <wp:inline distT="0" distB="0" distL="0" distR="0">
                  <wp:extent cx="1095375" cy="520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520700"/>
                          </a:xfrm>
                          <a:prstGeom prst="rect">
                            <a:avLst/>
                          </a:prstGeom>
                          <a:noFill/>
                          <a:ln>
                            <a:noFill/>
                          </a:ln>
                        </pic:spPr>
                      </pic:pic>
                    </a:graphicData>
                  </a:graphic>
                </wp:inline>
              </w:drawing>
            </w:r>
          </w:p>
        </w:tc>
        <w:tc>
          <w:tcPr>
            <w:tcW w:w="2190" w:type="pct"/>
          </w:tcPr>
          <w:p w:rsidR="002F58F5" w:rsidRPr="00320FA9" w:rsidRDefault="002F58F5" w:rsidP="00320FA9">
            <w:pPr>
              <w:jc w:val="both"/>
              <w:rPr>
                <w:rFonts w:ascii="Times New Roman" w:eastAsia="Times New Roman" w:hAnsi="Times New Roman" w:cs="Times New Roman"/>
                <w:b/>
                <w:noProof/>
                <w:sz w:val="24"/>
                <w:szCs w:val="20"/>
              </w:rPr>
            </w:pPr>
            <w:r w:rsidRPr="00320FA9">
              <w:rPr>
                <w:rFonts w:ascii="Times New Roman" w:hAnsi="Times New Roman"/>
                <w:b/>
                <w:noProof/>
                <w:sz w:val="24"/>
              </w:rPr>
              <w:t>Starptautiskā augu aizsardzības konvencija</w:t>
            </w:r>
          </w:p>
          <w:p w:rsidR="002F58F5" w:rsidRPr="00320FA9" w:rsidRDefault="002F58F5" w:rsidP="00320FA9">
            <w:pPr>
              <w:jc w:val="both"/>
              <w:rPr>
                <w:rFonts w:ascii="Times New Roman" w:eastAsia="Times New Roman" w:hAnsi="Times New Roman" w:cs="Times New Roman"/>
                <w:noProof/>
                <w:color w:val="007434"/>
                <w:sz w:val="24"/>
                <w:szCs w:val="20"/>
              </w:rPr>
            </w:pPr>
            <w:r w:rsidRPr="00320FA9">
              <w:rPr>
                <w:rFonts w:ascii="Times New Roman" w:hAnsi="Times New Roman"/>
                <w:noProof/>
                <w:color w:val="007434"/>
                <w:sz w:val="24"/>
              </w:rPr>
              <w:t>Pasaules augu resursu aizsardzība pret kaitīgiem organismiem</w:t>
            </w:r>
          </w:p>
        </w:tc>
      </w:tr>
    </w:tbl>
    <w:p w:rsidR="002F58F5" w:rsidRDefault="002F58F5" w:rsidP="00320FA9">
      <w:pPr>
        <w:jc w:val="both"/>
        <w:rPr>
          <w:rFonts w:ascii="Times New Roman" w:eastAsia="Times New Roman" w:hAnsi="Times New Roman" w:cs="Times New Roman"/>
          <w:noProof/>
          <w:sz w:val="24"/>
          <w:szCs w:val="20"/>
        </w:rPr>
      </w:pPr>
    </w:p>
    <w:p w:rsidR="00320FA9" w:rsidRDefault="00320FA9" w:rsidP="00320FA9">
      <w:pPr>
        <w:jc w:val="both"/>
        <w:rPr>
          <w:rFonts w:ascii="Times New Roman" w:eastAsia="Times New Roman" w:hAnsi="Times New Roman" w:cs="Times New Roman"/>
          <w:noProof/>
          <w:sz w:val="24"/>
          <w:szCs w:val="20"/>
        </w:rPr>
      </w:pPr>
    </w:p>
    <w:p w:rsidR="00320FA9" w:rsidRPr="00320FA9" w:rsidRDefault="00320FA9" w:rsidP="00320FA9">
      <w:pPr>
        <w:jc w:val="both"/>
        <w:rPr>
          <w:rFonts w:ascii="Times New Roman" w:eastAsia="Times New Roman" w:hAnsi="Times New Roman" w:cs="Times New Roman"/>
          <w:noProof/>
          <w:sz w:val="24"/>
          <w:szCs w:val="20"/>
        </w:rPr>
      </w:pPr>
    </w:p>
    <w:p w:rsidR="002F58F5" w:rsidRPr="00320FA9" w:rsidRDefault="002F58F5" w:rsidP="00320FA9">
      <w:pPr>
        <w:jc w:val="right"/>
        <w:rPr>
          <w:rFonts w:ascii="Times New Roman" w:eastAsia="Times New Roman" w:hAnsi="Times New Roman" w:cs="Times New Roman"/>
          <w:noProof/>
          <w:sz w:val="24"/>
          <w:szCs w:val="20"/>
        </w:rPr>
      </w:pPr>
      <w:r w:rsidRPr="00320FA9">
        <w:rPr>
          <w:rFonts w:ascii="Times New Roman" w:hAnsi="Times New Roman"/>
          <w:noProof/>
          <w:sz w:val="24"/>
        </w:rPr>
        <w:t>FITOSANITĀRO PASĀKUMU STARPTAUTISKAIS STANDARTS NR. 14</w:t>
      </w:r>
    </w:p>
    <w:p w:rsidR="002F58F5" w:rsidRPr="00320FA9" w:rsidRDefault="002F58F5" w:rsidP="00320FA9">
      <w:pPr>
        <w:jc w:val="right"/>
        <w:rPr>
          <w:rFonts w:ascii="Times New Roman" w:eastAsia="Times New Roman" w:hAnsi="Times New Roman" w:cs="Times New Roman"/>
          <w:noProof/>
          <w:sz w:val="24"/>
          <w:szCs w:val="20"/>
        </w:rPr>
      </w:pPr>
    </w:p>
    <w:p w:rsidR="002F58F5" w:rsidRPr="00320FA9" w:rsidRDefault="002F58F5" w:rsidP="00320FA9">
      <w:pPr>
        <w:jc w:val="right"/>
        <w:rPr>
          <w:rFonts w:ascii="Times New Roman" w:eastAsia="Times New Roman" w:hAnsi="Times New Roman" w:cs="Times New Roman"/>
          <w:noProof/>
          <w:sz w:val="24"/>
          <w:szCs w:val="20"/>
        </w:rPr>
      </w:pPr>
    </w:p>
    <w:p w:rsidR="002F58F5" w:rsidRPr="00320FA9" w:rsidRDefault="002F58F5" w:rsidP="00320FA9">
      <w:pPr>
        <w:jc w:val="right"/>
        <w:rPr>
          <w:rFonts w:ascii="Times New Roman" w:eastAsia="Times New Roman" w:hAnsi="Times New Roman" w:cs="Times New Roman"/>
          <w:noProof/>
          <w:sz w:val="24"/>
          <w:szCs w:val="20"/>
        </w:rPr>
      </w:pPr>
    </w:p>
    <w:p w:rsidR="002F58F5" w:rsidRPr="00320FA9" w:rsidRDefault="002F58F5" w:rsidP="00320FA9">
      <w:pPr>
        <w:jc w:val="right"/>
        <w:rPr>
          <w:rFonts w:ascii="Times New Roman" w:eastAsia="Times New Roman" w:hAnsi="Times New Roman" w:cs="Times New Roman"/>
          <w:noProof/>
          <w:sz w:val="24"/>
          <w:szCs w:val="20"/>
        </w:rPr>
      </w:pPr>
    </w:p>
    <w:p w:rsidR="00085477" w:rsidRDefault="00085477" w:rsidP="00320FA9">
      <w:pPr>
        <w:jc w:val="right"/>
        <w:rPr>
          <w:rFonts w:ascii="Times New Roman" w:eastAsia="Times New Roman" w:hAnsi="Times New Roman" w:cs="Times New Roman"/>
          <w:noProof/>
          <w:sz w:val="24"/>
          <w:szCs w:val="20"/>
        </w:rPr>
      </w:pPr>
    </w:p>
    <w:p w:rsidR="00320FA9" w:rsidRDefault="00320FA9" w:rsidP="00320FA9">
      <w:pPr>
        <w:jc w:val="right"/>
        <w:rPr>
          <w:rFonts w:ascii="Times New Roman" w:eastAsia="Times New Roman" w:hAnsi="Times New Roman" w:cs="Times New Roman"/>
          <w:noProof/>
          <w:sz w:val="24"/>
          <w:szCs w:val="20"/>
        </w:rPr>
      </w:pPr>
    </w:p>
    <w:p w:rsidR="00320FA9" w:rsidRDefault="00320FA9" w:rsidP="00320FA9">
      <w:pPr>
        <w:jc w:val="right"/>
        <w:rPr>
          <w:rFonts w:ascii="Times New Roman" w:eastAsia="Times New Roman" w:hAnsi="Times New Roman" w:cs="Times New Roman"/>
          <w:noProof/>
          <w:sz w:val="24"/>
          <w:szCs w:val="20"/>
        </w:rPr>
      </w:pPr>
    </w:p>
    <w:p w:rsidR="00320FA9" w:rsidRDefault="00320FA9" w:rsidP="00320FA9">
      <w:pPr>
        <w:jc w:val="right"/>
        <w:rPr>
          <w:rFonts w:ascii="Times New Roman" w:eastAsia="Times New Roman" w:hAnsi="Times New Roman" w:cs="Times New Roman"/>
          <w:noProof/>
          <w:sz w:val="24"/>
          <w:szCs w:val="20"/>
        </w:rPr>
      </w:pPr>
    </w:p>
    <w:p w:rsidR="00320FA9" w:rsidRDefault="00320FA9" w:rsidP="00320FA9">
      <w:pPr>
        <w:jc w:val="right"/>
        <w:rPr>
          <w:rFonts w:ascii="Times New Roman" w:eastAsia="Times New Roman" w:hAnsi="Times New Roman" w:cs="Times New Roman"/>
          <w:noProof/>
          <w:sz w:val="24"/>
          <w:szCs w:val="20"/>
        </w:rPr>
      </w:pPr>
    </w:p>
    <w:p w:rsidR="00320FA9" w:rsidRPr="00320FA9" w:rsidRDefault="00320FA9" w:rsidP="00320FA9">
      <w:pPr>
        <w:jc w:val="right"/>
        <w:rPr>
          <w:rFonts w:ascii="Times New Roman" w:eastAsia="Times New Roman" w:hAnsi="Times New Roman" w:cs="Times New Roman"/>
          <w:noProof/>
          <w:sz w:val="24"/>
          <w:szCs w:val="20"/>
        </w:rPr>
      </w:pPr>
    </w:p>
    <w:p w:rsidR="00085477" w:rsidRPr="00320FA9" w:rsidRDefault="00085477" w:rsidP="00320FA9">
      <w:pPr>
        <w:jc w:val="right"/>
        <w:rPr>
          <w:rFonts w:ascii="Times New Roman" w:hAnsi="Times New Roman"/>
          <w:noProof/>
          <w:color w:val="A62B43"/>
          <w:sz w:val="48"/>
          <w:szCs w:val="48"/>
        </w:rPr>
      </w:pPr>
      <w:bookmarkStart w:id="0" w:name="14_ISPM_cover_e"/>
      <w:bookmarkEnd w:id="0"/>
      <w:r w:rsidRPr="00320FA9">
        <w:rPr>
          <w:rFonts w:ascii="Times New Roman" w:hAnsi="Times New Roman"/>
          <w:noProof/>
          <w:color w:val="A62B43"/>
          <w:sz w:val="48"/>
          <w:szCs w:val="48"/>
        </w:rPr>
        <w:t>Integrēto pasākumu izmantošana sistēmiskajā pieejā kaitīgo organismu riska pārvaldībai</w:t>
      </w:r>
    </w:p>
    <w:p w:rsidR="00085477" w:rsidRDefault="00085477"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Default="00320FA9" w:rsidP="00320FA9">
      <w:pPr>
        <w:jc w:val="right"/>
        <w:rPr>
          <w:rFonts w:ascii="Times New Roman" w:eastAsia="Calibri" w:hAnsi="Times New Roman" w:cs="Calibri"/>
          <w:noProof/>
          <w:sz w:val="24"/>
          <w:szCs w:val="20"/>
        </w:rPr>
      </w:pPr>
    </w:p>
    <w:p w:rsidR="00320FA9" w:rsidRPr="00320FA9" w:rsidRDefault="00320FA9" w:rsidP="00320FA9">
      <w:pPr>
        <w:jc w:val="right"/>
        <w:rPr>
          <w:rFonts w:ascii="Times New Roman" w:eastAsia="Calibri" w:hAnsi="Times New Roman" w:cs="Calibri"/>
          <w:noProof/>
          <w:sz w:val="24"/>
          <w:szCs w:val="20"/>
        </w:rPr>
      </w:pPr>
    </w:p>
    <w:p w:rsidR="00085477" w:rsidRPr="00320FA9" w:rsidRDefault="00085477" w:rsidP="00320FA9">
      <w:pPr>
        <w:jc w:val="right"/>
        <w:rPr>
          <w:rFonts w:ascii="Times New Roman" w:hAnsi="Times New Roman"/>
          <w:noProof/>
          <w:sz w:val="24"/>
        </w:rPr>
      </w:pPr>
      <w:r w:rsidRPr="00320FA9">
        <w:rPr>
          <w:rFonts w:ascii="Times New Roman" w:hAnsi="Times New Roman"/>
          <w:noProof/>
          <w:sz w:val="24"/>
        </w:rPr>
        <w:t>Sagatavojis Starptautiskās augu aizsardzības konvencijas (</w:t>
      </w:r>
      <w:r w:rsidRPr="00320FA9">
        <w:rPr>
          <w:rFonts w:ascii="Times New Roman" w:hAnsi="Times New Roman"/>
          <w:i/>
          <w:noProof/>
          <w:sz w:val="24"/>
        </w:rPr>
        <w:t>IPPC</w:t>
      </w:r>
      <w:r w:rsidRPr="00320FA9">
        <w:rPr>
          <w:rFonts w:ascii="Times New Roman" w:hAnsi="Times New Roman"/>
          <w:noProof/>
          <w:sz w:val="24"/>
        </w:rPr>
        <w:t>) sekretariāts</w:t>
      </w:r>
    </w:p>
    <w:p w:rsidR="002F58F5" w:rsidRPr="00320FA9" w:rsidRDefault="002F58F5" w:rsidP="00320FA9">
      <w:pPr>
        <w:jc w:val="both"/>
        <w:rPr>
          <w:rFonts w:ascii="Times New Roman" w:eastAsia="Times New Roman" w:hAnsi="Times New Roman"/>
          <w:noProof/>
          <w:sz w:val="24"/>
          <w:szCs w:val="24"/>
        </w:rPr>
      </w:pPr>
      <w:r w:rsidRPr="00320FA9">
        <w:rPr>
          <w:rFonts w:ascii="Times New Roman" w:hAnsi="Times New Roman"/>
          <w:sz w:val="24"/>
        </w:rPr>
        <w:br w:type="page"/>
      </w:r>
    </w:p>
    <w:p w:rsidR="00320FA9" w:rsidRDefault="00320FA9" w:rsidP="00320FA9">
      <w:pPr>
        <w:pStyle w:val="Heading4"/>
        <w:spacing w:before="0"/>
        <w:ind w:left="0"/>
        <w:jc w:val="center"/>
      </w:pPr>
    </w:p>
    <w:p w:rsidR="002F58F5" w:rsidRPr="00320FA9" w:rsidRDefault="00085477" w:rsidP="00320FA9">
      <w:pPr>
        <w:pStyle w:val="Heading4"/>
        <w:spacing w:before="0"/>
        <w:ind w:left="0"/>
        <w:jc w:val="center"/>
        <w:rPr>
          <w:noProof/>
        </w:rPr>
      </w:pPr>
      <w:r w:rsidRPr="00320FA9">
        <w:t>Šī lapa ir ar nolūku atstāta neaizpildīta.</w:t>
      </w:r>
    </w:p>
    <w:p w:rsidR="002F58F5" w:rsidRPr="00320FA9" w:rsidRDefault="002F58F5" w:rsidP="00320FA9">
      <w:pPr>
        <w:jc w:val="both"/>
        <w:rPr>
          <w:rFonts w:ascii="Times New Roman" w:eastAsia="Times New Roman" w:hAnsi="Times New Roman"/>
          <w:noProof/>
          <w:sz w:val="24"/>
          <w:szCs w:val="24"/>
        </w:rPr>
      </w:pPr>
      <w:r w:rsidRPr="00320FA9">
        <w:rPr>
          <w:rFonts w:ascii="Times New Roman" w:hAnsi="Times New Roman"/>
          <w:sz w:val="24"/>
        </w:rPr>
        <w:br w:type="page"/>
      </w:r>
    </w:p>
    <w:p w:rsidR="00085477" w:rsidRPr="00320FA9" w:rsidRDefault="00085477" w:rsidP="00320FA9">
      <w:pPr>
        <w:jc w:val="right"/>
        <w:rPr>
          <w:rFonts w:ascii="Times New Roman" w:hAnsi="Times New Roman"/>
          <w:noProof/>
          <w:sz w:val="24"/>
        </w:rPr>
      </w:pPr>
      <w:r w:rsidRPr="00320FA9">
        <w:rPr>
          <w:rFonts w:ascii="Times New Roman" w:hAnsi="Times New Roman"/>
          <w:noProof/>
          <w:sz w:val="24"/>
        </w:rPr>
        <w:lastRenderedPageBreak/>
        <w:t>FITOSANITĀRO PASĀKUMU STARPTAUTISKIE STANDARTI</w:t>
      </w:r>
    </w:p>
    <w:p w:rsidR="00085477" w:rsidRDefault="00085477" w:rsidP="00320FA9">
      <w:pPr>
        <w:jc w:val="both"/>
        <w:rPr>
          <w:rFonts w:ascii="Times New Roman" w:eastAsia="Arial" w:hAnsi="Times New Roman" w:cs="Arial"/>
          <w:noProof/>
          <w:sz w:val="24"/>
        </w:rPr>
      </w:pPr>
    </w:p>
    <w:p w:rsidR="00320FA9" w:rsidRDefault="00320FA9" w:rsidP="00320FA9">
      <w:pPr>
        <w:jc w:val="both"/>
        <w:rPr>
          <w:rFonts w:ascii="Times New Roman" w:eastAsia="Arial" w:hAnsi="Times New Roman" w:cs="Arial"/>
          <w:noProof/>
          <w:sz w:val="24"/>
        </w:rPr>
      </w:pPr>
    </w:p>
    <w:p w:rsidR="00320FA9" w:rsidRDefault="00320FA9" w:rsidP="00320FA9">
      <w:pPr>
        <w:jc w:val="both"/>
        <w:rPr>
          <w:rFonts w:ascii="Times New Roman" w:eastAsia="Arial" w:hAnsi="Times New Roman" w:cs="Arial"/>
          <w:noProof/>
          <w:sz w:val="24"/>
        </w:rPr>
      </w:pPr>
    </w:p>
    <w:p w:rsidR="00320FA9" w:rsidRDefault="00320FA9" w:rsidP="00320FA9">
      <w:pPr>
        <w:jc w:val="both"/>
        <w:rPr>
          <w:rFonts w:ascii="Times New Roman" w:eastAsia="Arial" w:hAnsi="Times New Roman" w:cs="Arial"/>
          <w:noProof/>
          <w:sz w:val="24"/>
        </w:rPr>
      </w:pPr>
    </w:p>
    <w:p w:rsidR="00320FA9" w:rsidRDefault="00320FA9" w:rsidP="00320FA9">
      <w:pPr>
        <w:jc w:val="both"/>
        <w:rPr>
          <w:rFonts w:ascii="Times New Roman" w:eastAsia="Arial" w:hAnsi="Times New Roman" w:cs="Arial"/>
          <w:noProof/>
          <w:sz w:val="24"/>
        </w:rPr>
      </w:pPr>
    </w:p>
    <w:p w:rsidR="00320FA9" w:rsidRDefault="00320FA9" w:rsidP="00320FA9">
      <w:pPr>
        <w:jc w:val="both"/>
        <w:rPr>
          <w:rFonts w:ascii="Times New Roman" w:eastAsia="Arial" w:hAnsi="Times New Roman" w:cs="Arial"/>
          <w:noProof/>
          <w:sz w:val="24"/>
        </w:rPr>
      </w:pPr>
    </w:p>
    <w:p w:rsidR="00320FA9" w:rsidRDefault="00320FA9" w:rsidP="00320FA9">
      <w:pPr>
        <w:jc w:val="both"/>
        <w:rPr>
          <w:rFonts w:ascii="Times New Roman" w:eastAsia="Arial" w:hAnsi="Times New Roman" w:cs="Arial"/>
          <w:noProof/>
          <w:sz w:val="24"/>
        </w:rPr>
      </w:pPr>
    </w:p>
    <w:p w:rsidR="00320FA9" w:rsidRDefault="00320FA9" w:rsidP="00320FA9">
      <w:pPr>
        <w:jc w:val="both"/>
        <w:rPr>
          <w:rFonts w:ascii="Times New Roman" w:eastAsia="Arial" w:hAnsi="Times New Roman" w:cs="Arial"/>
          <w:noProof/>
          <w:sz w:val="24"/>
        </w:rPr>
      </w:pPr>
    </w:p>
    <w:p w:rsidR="00320FA9" w:rsidRDefault="00320FA9" w:rsidP="00320FA9">
      <w:pPr>
        <w:jc w:val="both"/>
        <w:rPr>
          <w:rFonts w:ascii="Times New Roman" w:eastAsia="Arial" w:hAnsi="Times New Roman" w:cs="Arial"/>
          <w:noProof/>
          <w:sz w:val="24"/>
        </w:rPr>
      </w:pPr>
    </w:p>
    <w:p w:rsidR="00320FA9" w:rsidRPr="00320FA9" w:rsidRDefault="00320FA9" w:rsidP="00320FA9">
      <w:pPr>
        <w:jc w:val="both"/>
        <w:rPr>
          <w:rFonts w:ascii="Times New Roman" w:eastAsia="Arial" w:hAnsi="Times New Roman" w:cs="Arial"/>
          <w:noProof/>
          <w:sz w:val="24"/>
        </w:rPr>
      </w:pPr>
    </w:p>
    <w:p w:rsidR="00085477" w:rsidRPr="00320FA9" w:rsidRDefault="00085477" w:rsidP="00320FA9">
      <w:pPr>
        <w:pStyle w:val="Heading1"/>
        <w:jc w:val="center"/>
        <w:rPr>
          <w:noProof/>
          <w:sz w:val="32"/>
          <w:szCs w:val="32"/>
        </w:rPr>
      </w:pPr>
      <w:bookmarkStart w:id="1" w:name="_Toc472687594"/>
      <w:r w:rsidRPr="00320FA9">
        <w:rPr>
          <w:noProof/>
          <w:sz w:val="32"/>
          <w:szCs w:val="32"/>
        </w:rPr>
        <w:t>FPSS Nr. 14</w:t>
      </w:r>
      <w:bookmarkEnd w:id="1"/>
    </w:p>
    <w:p w:rsidR="00085477" w:rsidRPr="00320FA9" w:rsidRDefault="00085477" w:rsidP="00320FA9">
      <w:pPr>
        <w:jc w:val="center"/>
        <w:rPr>
          <w:rFonts w:ascii="Times New Roman" w:eastAsia="Arial" w:hAnsi="Times New Roman" w:cs="Arial"/>
          <w:b/>
          <w:bCs/>
          <w:noProof/>
          <w:sz w:val="32"/>
          <w:szCs w:val="32"/>
        </w:rPr>
      </w:pPr>
    </w:p>
    <w:p w:rsidR="00085477" w:rsidRPr="00320FA9" w:rsidRDefault="00085477" w:rsidP="00320FA9">
      <w:pPr>
        <w:jc w:val="center"/>
        <w:rPr>
          <w:rFonts w:ascii="Times New Roman" w:hAnsi="Times New Roman"/>
          <w:b/>
          <w:noProof/>
          <w:sz w:val="32"/>
          <w:szCs w:val="32"/>
        </w:rPr>
      </w:pPr>
      <w:r w:rsidRPr="00320FA9">
        <w:rPr>
          <w:rFonts w:ascii="Times New Roman" w:hAnsi="Times New Roman"/>
          <w:b/>
          <w:noProof/>
          <w:sz w:val="32"/>
          <w:szCs w:val="32"/>
        </w:rPr>
        <w:t>Integrēto pasākumu izmantošana sistēmiskajā pieejā kaitīgo organismu riska pārvaldībai</w:t>
      </w:r>
    </w:p>
    <w:p w:rsidR="00085477" w:rsidRDefault="00085477"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Default="00320FA9" w:rsidP="00320FA9">
      <w:pPr>
        <w:jc w:val="both"/>
        <w:rPr>
          <w:rFonts w:ascii="Times New Roman" w:eastAsia="Arial" w:hAnsi="Times New Roman" w:cs="Arial"/>
          <w:b/>
          <w:bCs/>
          <w:noProof/>
          <w:sz w:val="24"/>
          <w:szCs w:val="20"/>
        </w:rPr>
      </w:pPr>
    </w:p>
    <w:p w:rsidR="00320FA9" w:rsidRPr="00320FA9" w:rsidRDefault="00320FA9" w:rsidP="00320FA9">
      <w:pPr>
        <w:jc w:val="both"/>
        <w:rPr>
          <w:rFonts w:ascii="Times New Roman" w:eastAsia="Arial" w:hAnsi="Times New Roman" w:cs="Arial"/>
          <w:b/>
          <w:bCs/>
          <w:noProof/>
          <w:sz w:val="24"/>
          <w:szCs w:val="20"/>
        </w:rPr>
      </w:pPr>
    </w:p>
    <w:p w:rsidR="00320FA9" w:rsidRDefault="00085477" w:rsidP="00320FA9">
      <w:pPr>
        <w:jc w:val="right"/>
        <w:rPr>
          <w:rFonts w:ascii="Times New Roman" w:hAnsi="Times New Roman"/>
          <w:noProof/>
          <w:sz w:val="24"/>
        </w:rPr>
      </w:pPr>
      <w:r w:rsidRPr="00320FA9">
        <w:rPr>
          <w:rFonts w:ascii="Times New Roman" w:hAnsi="Times New Roman"/>
          <w:noProof/>
          <w:sz w:val="24"/>
        </w:rPr>
        <w:t>Sagatavojis Starptautiskās augu aizsar</w:t>
      </w:r>
      <w:r w:rsidR="00320FA9">
        <w:rPr>
          <w:rFonts w:ascii="Times New Roman" w:hAnsi="Times New Roman"/>
          <w:noProof/>
          <w:sz w:val="24"/>
        </w:rPr>
        <w:t>dzības konvencijas sekretariāts</w:t>
      </w:r>
    </w:p>
    <w:p w:rsidR="00085477" w:rsidRPr="00320FA9" w:rsidRDefault="00085477" w:rsidP="00320FA9">
      <w:pPr>
        <w:jc w:val="right"/>
        <w:rPr>
          <w:rFonts w:ascii="Times New Roman" w:eastAsia="Arial" w:hAnsi="Times New Roman" w:cs="Arial"/>
          <w:noProof/>
          <w:sz w:val="24"/>
          <w:szCs w:val="18"/>
        </w:rPr>
      </w:pPr>
      <w:r w:rsidRPr="00320FA9">
        <w:rPr>
          <w:rFonts w:ascii="Times New Roman" w:hAnsi="Times New Roman"/>
          <w:b/>
          <w:noProof/>
          <w:sz w:val="24"/>
        </w:rPr>
        <w:t>Pieņemts 2002. gadā; publicēts 2016. gadā</w:t>
      </w:r>
    </w:p>
    <w:p w:rsidR="00085477" w:rsidRPr="00320FA9" w:rsidRDefault="00085477" w:rsidP="00320FA9">
      <w:pPr>
        <w:jc w:val="right"/>
        <w:rPr>
          <w:rFonts w:ascii="Times New Roman" w:eastAsia="Arial" w:hAnsi="Times New Roman" w:cs="Arial"/>
          <w:b/>
          <w:bCs/>
          <w:noProof/>
          <w:sz w:val="24"/>
          <w:szCs w:val="20"/>
        </w:rPr>
      </w:pPr>
    </w:p>
    <w:p w:rsidR="002F58F5" w:rsidRPr="00320FA9" w:rsidRDefault="002F58F5" w:rsidP="00320FA9">
      <w:pPr>
        <w:jc w:val="right"/>
        <w:rPr>
          <w:rFonts w:ascii="Times New Roman" w:hAnsi="Times New Roman"/>
          <w:noProof/>
          <w:sz w:val="24"/>
        </w:rPr>
      </w:pPr>
      <w:r w:rsidRPr="00320FA9">
        <w:rPr>
          <w:rFonts w:ascii="Times New Roman" w:hAnsi="Times New Roman"/>
          <w:noProof/>
          <w:sz w:val="24"/>
        </w:rPr>
        <w:t>© </w:t>
      </w:r>
      <w:r w:rsidRPr="00320FA9">
        <w:rPr>
          <w:rFonts w:ascii="Times New Roman" w:hAnsi="Times New Roman"/>
          <w:i/>
          <w:noProof/>
          <w:sz w:val="24"/>
        </w:rPr>
        <w:t>FAO</w:t>
      </w:r>
      <w:r w:rsidRPr="00320FA9">
        <w:rPr>
          <w:rFonts w:ascii="Times New Roman" w:hAnsi="Times New Roman"/>
          <w:noProof/>
          <w:sz w:val="24"/>
        </w:rPr>
        <w:t> 2002</w:t>
      </w:r>
    </w:p>
    <w:p w:rsidR="002F58F5" w:rsidRPr="00320FA9" w:rsidRDefault="002F58F5" w:rsidP="00320FA9">
      <w:pPr>
        <w:jc w:val="both"/>
        <w:rPr>
          <w:rFonts w:ascii="Times New Roman" w:eastAsia="Arial" w:hAnsi="Times New Roman" w:cs="Arial"/>
          <w:b/>
          <w:bCs/>
          <w:noProof/>
          <w:sz w:val="24"/>
          <w:szCs w:val="20"/>
        </w:rPr>
      </w:pPr>
      <w:r w:rsidRPr="00320FA9">
        <w:rPr>
          <w:rFonts w:ascii="Times New Roman" w:hAnsi="Times New Roman"/>
          <w:sz w:val="24"/>
        </w:rPr>
        <w:br w:type="page"/>
      </w:r>
    </w:p>
    <w:p w:rsidR="00085477" w:rsidRPr="00320FA9" w:rsidRDefault="00085477" w:rsidP="00320FA9">
      <w:pPr>
        <w:ind w:right="1704"/>
        <w:jc w:val="both"/>
        <w:rPr>
          <w:rFonts w:ascii="Times New Roman" w:eastAsia="Arial" w:hAnsi="Times New Roman" w:cs="Arial"/>
          <w:noProof/>
        </w:rPr>
      </w:pPr>
      <w:r w:rsidRPr="00320FA9">
        <w:rPr>
          <w:rFonts w:ascii="Times New Roman" w:hAnsi="Times New Roman"/>
          <w:noProof/>
        </w:rPr>
        <w:lastRenderedPageBreak/>
        <w:t>Apvienoto Nāciju Organizācijas Pārtikas un lauksaimniecības organizācija [</w:t>
      </w:r>
      <w:r w:rsidRPr="00320FA9">
        <w:rPr>
          <w:rFonts w:ascii="Times New Roman" w:hAnsi="Times New Roman"/>
          <w:i/>
          <w:noProof/>
        </w:rPr>
        <w:t>FAO</w:t>
      </w:r>
      <w:r w:rsidRPr="00320FA9">
        <w:rPr>
          <w:rFonts w:ascii="Times New Roman" w:hAnsi="Times New Roman"/>
          <w:noProof/>
        </w:rPr>
        <w:t xml:space="preserve">] atbalsta šajā izdevumā sniegtā informatīvā materiāla izmantošanu, pavairošanu un izplatīšanu. Ja vien nav norādīts citādi, šo materiālu var kopēt, lejupielādēt un drukāt privāta pētījuma, izpētes vai mācību nolūkā vai izmantot nekomerciālos produktos vai pakalpojumus ar nosacījumu, ka no </w:t>
      </w:r>
      <w:r w:rsidRPr="00320FA9">
        <w:rPr>
          <w:rFonts w:ascii="Times New Roman" w:hAnsi="Times New Roman"/>
          <w:i/>
          <w:noProof/>
        </w:rPr>
        <w:t>FAO</w:t>
      </w:r>
      <w:r w:rsidRPr="00320FA9">
        <w:rPr>
          <w:rFonts w:ascii="Times New Roman" w:hAnsi="Times New Roman"/>
          <w:noProof/>
        </w:rPr>
        <w:t xml:space="preserve"> kā avota un autortiesību turētāja ir saņemts atbilstošs apstiprinājums, un tas nepavisam nenozīmē, ka </w:t>
      </w:r>
      <w:r w:rsidRPr="00320FA9">
        <w:rPr>
          <w:rFonts w:ascii="Times New Roman" w:hAnsi="Times New Roman"/>
          <w:i/>
          <w:noProof/>
        </w:rPr>
        <w:t>FAO</w:t>
      </w:r>
      <w:r w:rsidRPr="00320FA9">
        <w:rPr>
          <w:rFonts w:ascii="Times New Roman" w:hAnsi="Times New Roman"/>
          <w:noProof/>
        </w:rPr>
        <w:t xml:space="preserve"> atbalsta lietotāju uzskatus, produktus vai pakalpojumus.</w:t>
      </w:r>
    </w:p>
    <w:p w:rsidR="00094E34" w:rsidRDefault="00094E34" w:rsidP="00320FA9">
      <w:pPr>
        <w:ind w:right="1704"/>
        <w:jc w:val="both"/>
        <w:rPr>
          <w:rFonts w:ascii="Times New Roman" w:hAnsi="Times New Roman"/>
          <w:noProof/>
        </w:rPr>
      </w:pPr>
    </w:p>
    <w:p w:rsidR="00085477" w:rsidRPr="00320FA9" w:rsidRDefault="00085477" w:rsidP="00320FA9">
      <w:pPr>
        <w:ind w:right="1704"/>
        <w:jc w:val="both"/>
        <w:rPr>
          <w:rFonts w:ascii="Times New Roman" w:eastAsia="Arial" w:hAnsi="Times New Roman" w:cs="Arial"/>
          <w:noProof/>
        </w:rPr>
      </w:pPr>
      <w:r w:rsidRPr="00320FA9">
        <w:rPr>
          <w:rFonts w:ascii="Times New Roman" w:hAnsi="Times New Roman"/>
          <w:noProof/>
        </w:rPr>
        <w:t xml:space="preserve">FPSS pavairošanas gadījumā jānorāda, ka FPSS pašreizējās pieņemtās redakcijas ir iespējams lejupielādēt vietnē </w:t>
      </w:r>
      <w:r w:rsidRPr="00320FA9">
        <w:rPr>
          <w:rFonts w:ascii="Times New Roman" w:hAnsi="Times New Roman"/>
          <w:noProof/>
          <w:color w:val="0000FF"/>
          <w:u w:val="single" w:color="0000FF"/>
        </w:rPr>
        <w:t>www.ippc.int</w:t>
      </w:r>
      <w:r w:rsidRPr="00320FA9">
        <w:rPr>
          <w:rFonts w:ascii="Times New Roman" w:hAnsi="Times New Roman"/>
          <w:noProof/>
        </w:rPr>
        <w:t>.</w:t>
      </w:r>
    </w:p>
    <w:p w:rsidR="00094E34" w:rsidRDefault="00094E34" w:rsidP="00320FA9">
      <w:pPr>
        <w:ind w:right="1704"/>
        <w:jc w:val="both"/>
        <w:rPr>
          <w:rFonts w:ascii="Times New Roman" w:hAnsi="Times New Roman"/>
          <w:noProof/>
        </w:rPr>
      </w:pPr>
    </w:p>
    <w:p w:rsidR="00085477" w:rsidRPr="00320FA9" w:rsidRDefault="00085477" w:rsidP="00320FA9">
      <w:pPr>
        <w:ind w:right="1704"/>
        <w:jc w:val="both"/>
        <w:rPr>
          <w:rFonts w:ascii="Times New Roman" w:eastAsia="Arial" w:hAnsi="Times New Roman" w:cs="Arial"/>
          <w:noProof/>
        </w:rPr>
      </w:pPr>
      <w:r w:rsidRPr="00320FA9">
        <w:rPr>
          <w:rFonts w:ascii="Times New Roman" w:hAnsi="Times New Roman"/>
          <w:noProof/>
        </w:rPr>
        <w:t>Visi tulkošanas un adaptēšanas tiesību, kā arī tālākpārdošanas un citas komerciālās izmantošanas tiesību pieprasījumi tiek veikti vietnē www.fao.org/contact-us/licence-request vai nosūtīti uz e-pasta adresi: copyright@fao.org.</w:t>
      </w:r>
    </w:p>
    <w:p w:rsidR="00094E34" w:rsidRDefault="00094E34" w:rsidP="00320FA9">
      <w:pPr>
        <w:ind w:right="1704"/>
        <w:jc w:val="both"/>
        <w:rPr>
          <w:rFonts w:ascii="Times New Roman" w:hAnsi="Times New Roman"/>
          <w:i/>
          <w:noProof/>
        </w:rPr>
      </w:pPr>
    </w:p>
    <w:p w:rsidR="00085477" w:rsidRPr="00320FA9" w:rsidRDefault="00085477" w:rsidP="00320FA9">
      <w:pPr>
        <w:ind w:right="1704"/>
        <w:jc w:val="both"/>
        <w:rPr>
          <w:rFonts w:ascii="Times New Roman" w:eastAsia="Arial" w:hAnsi="Times New Roman" w:cs="Arial"/>
          <w:noProof/>
        </w:rPr>
      </w:pPr>
      <w:r w:rsidRPr="00320FA9">
        <w:rPr>
          <w:rFonts w:ascii="Times New Roman" w:hAnsi="Times New Roman"/>
          <w:i/>
          <w:noProof/>
        </w:rPr>
        <w:t xml:space="preserve">FAO </w:t>
      </w:r>
      <w:r w:rsidRPr="00320FA9">
        <w:rPr>
          <w:rFonts w:ascii="Times New Roman" w:hAnsi="Times New Roman"/>
          <w:noProof/>
        </w:rPr>
        <w:t xml:space="preserve">informatīvie materiāli ir pieejami </w:t>
      </w:r>
      <w:r w:rsidRPr="00320FA9">
        <w:rPr>
          <w:rFonts w:ascii="Times New Roman" w:hAnsi="Times New Roman"/>
          <w:i/>
          <w:noProof/>
        </w:rPr>
        <w:t xml:space="preserve">FAO </w:t>
      </w:r>
      <w:r w:rsidRPr="00320FA9">
        <w:rPr>
          <w:rFonts w:ascii="Times New Roman" w:hAnsi="Times New Roman"/>
          <w:noProof/>
        </w:rPr>
        <w:t>tīmekļa vietnē (www.fao.org/publications), un tos var iegādāties vietnē: publications-sales@fao.org.</w:t>
      </w:r>
    </w:p>
    <w:p w:rsidR="00094E34" w:rsidRDefault="00094E34" w:rsidP="00320FA9">
      <w:pPr>
        <w:ind w:right="1704"/>
        <w:jc w:val="both"/>
        <w:rPr>
          <w:rFonts w:ascii="Times New Roman" w:hAnsi="Times New Roman"/>
          <w:noProof/>
        </w:rPr>
      </w:pPr>
    </w:p>
    <w:p w:rsidR="00085477" w:rsidRPr="00320FA9" w:rsidRDefault="00085477" w:rsidP="00320FA9">
      <w:pPr>
        <w:ind w:right="1704"/>
        <w:jc w:val="both"/>
        <w:rPr>
          <w:rFonts w:ascii="Times New Roman" w:hAnsi="Times New Roman"/>
          <w:noProof/>
        </w:rPr>
      </w:pPr>
      <w:r w:rsidRPr="00320FA9">
        <w:rPr>
          <w:rFonts w:ascii="Times New Roman" w:hAnsi="Times New Roman"/>
          <w:noProof/>
        </w:rPr>
        <w:t xml:space="preserve">Šajā informatīvajā materiālā </w:t>
      </w:r>
      <w:r w:rsidRPr="00320FA9">
        <w:rPr>
          <w:rFonts w:ascii="Times New Roman" w:hAnsi="Times New Roman"/>
          <w:i/>
          <w:noProof/>
        </w:rPr>
        <w:t>FAO</w:t>
      </w:r>
      <w:r w:rsidRPr="00320FA9">
        <w:rPr>
          <w:rFonts w:ascii="Times New Roman" w:hAnsi="Times New Roman"/>
          <w:noProof/>
        </w:rPr>
        <w:t xml:space="preserve"> norāda izmantotos apzīmējumus un sniedz informāciju, nepaužot savu viedokli attiecībā uz valstu, teritoriju, pilsētu vai apgabalu vai to pārvaldes iestāžu juridisko vai attīstības statusu vai to robežām. Konkrētu uzņēmumu vai ražotāju produktu (neatkarīgi no tā, vai šie produkti ir vai nav patentēti) pieminēšana nenozīmē, ka </w:t>
      </w:r>
      <w:r w:rsidRPr="00320FA9">
        <w:rPr>
          <w:rFonts w:ascii="Times New Roman" w:hAnsi="Times New Roman"/>
          <w:i/>
          <w:noProof/>
        </w:rPr>
        <w:t xml:space="preserve">FAO </w:t>
      </w:r>
      <w:r w:rsidRPr="00320FA9">
        <w:rPr>
          <w:rFonts w:ascii="Times New Roman" w:hAnsi="Times New Roman"/>
          <w:noProof/>
        </w:rPr>
        <w:t xml:space="preserve">tos apstiprina vai iesaka, dodot tiem priekšroku salīdzinājumā ar citiem līdzīgiem produktiem, kas nav pieminēti. Šajā informatīvajā materiālā ir pausti autora(-u) uzskati, kas ne vienmēr atbilst </w:t>
      </w:r>
      <w:r w:rsidRPr="00320FA9">
        <w:rPr>
          <w:rFonts w:ascii="Times New Roman" w:hAnsi="Times New Roman"/>
          <w:i/>
          <w:noProof/>
        </w:rPr>
        <w:t>FAO</w:t>
      </w:r>
      <w:r w:rsidRPr="00320FA9">
        <w:rPr>
          <w:rFonts w:ascii="Times New Roman" w:hAnsi="Times New Roman"/>
          <w:noProof/>
        </w:rPr>
        <w:t xml:space="preserve"> uzskatiem vai politikai.</w:t>
      </w:r>
    </w:p>
    <w:p w:rsidR="00085477" w:rsidRDefault="00085477" w:rsidP="00320FA9">
      <w:pPr>
        <w:ind w:right="1704"/>
        <w:jc w:val="both"/>
        <w:rPr>
          <w:rFonts w:ascii="Times New Roman" w:eastAsia="Arial" w:hAnsi="Times New Roman" w:cs="Arial"/>
          <w:noProof/>
        </w:rPr>
      </w:pPr>
    </w:p>
    <w:p w:rsidR="00320FA9" w:rsidRDefault="00320FA9" w:rsidP="00320FA9">
      <w:pPr>
        <w:ind w:right="1704"/>
        <w:jc w:val="both"/>
        <w:rPr>
          <w:rFonts w:ascii="Times New Roman" w:eastAsia="Arial" w:hAnsi="Times New Roman" w:cs="Arial"/>
          <w:noProof/>
        </w:rPr>
      </w:pPr>
    </w:p>
    <w:p w:rsidR="00320FA9" w:rsidRDefault="00320FA9" w:rsidP="00320FA9">
      <w:pPr>
        <w:ind w:right="1704"/>
        <w:jc w:val="both"/>
        <w:rPr>
          <w:rFonts w:ascii="Times New Roman" w:eastAsia="Arial" w:hAnsi="Times New Roman" w:cs="Arial"/>
          <w:noProof/>
        </w:rPr>
      </w:pPr>
    </w:p>
    <w:p w:rsidR="00320FA9" w:rsidRDefault="00320FA9" w:rsidP="00320FA9">
      <w:pPr>
        <w:ind w:right="1704"/>
        <w:jc w:val="both"/>
        <w:rPr>
          <w:rFonts w:ascii="Times New Roman" w:eastAsia="Arial" w:hAnsi="Times New Roman" w:cs="Arial"/>
          <w:noProof/>
        </w:rPr>
      </w:pPr>
    </w:p>
    <w:p w:rsidR="00320FA9" w:rsidRDefault="00320FA9" w:rsidP="00320FA9">
      <w:pPr>
        <w:ind w:right="1704"/>
        <w:jc w:val="both"/>
        <w:rPr>
          <w:rFonts w:ascii="Times New Roman" w:eastAsia="Arial" w:hAnsi="Times New Roman" w:cs="Arial"/>
          <w:noProof/>
        </w:rPr>
      </w:pPr>
    </w:p>
    <w:p w:rsidR="00320FA9" w:rsidRPr="00320FA9" w:rsidRDefault="00320FA9" w:rsidP="00320FA9">
      <w:pPr>
        <w:ind w:right="1704"/>
        <w:jc w:val="both"/>
        <w:rPr>
          <w:rFonts w:ascii="Times New Roman" w:eastAsia="Arial" w:hAnsi="Times New Roman" w:cs="Arial"/>
          <w:noProof/>
        </w:rPr>
      </w:pPr>
    </w:p>
    <w:p w:rsidR="00085477" w:rsidRPr="00320FA9" w:rsidRDefault="00085477" w:rsidP="00320FA9">
      <w:pPr>
        <w:ind w:right="1704"/>
        <w:jc w:val="both"/>
        <w:rPr>
          <w:rFonts w:ascii="Times New Roman" w:eastAsia="Arial" w:hAnsi="Times New Roman" w:cs="Arial"/>
          <w:noProof/>
        </w:rPr>
      </w:pPr>
    </w:p>
    <w:p w:rsidR="00085477" w:rsidRPr="00320FA9" w:rsidRDefault="00085477" w:rsidP="00094E34">
      <w:pPr>
        <w:ind w:left="426" w:right="1704" w:hanging="426"/>
        <w:jc w:val="both"/>
        <w:rPr>
          <w:rFonts w:ascii="Times New Roman" w:hAnsi="Times New Roman"/>
          <w:b/>
          <w:noProof/>
        </w:rPr>
      </w:pPr>
      <w:r w:rsidRPr="00320FA9">
        <w:rPr>
          <w:rFonts w:ascii="Times New Roman" w:hAnsi="Times New Roman"/>
          <w:b/>
          <w:noProof/>
        </w:rPr>
        <w:t>Publicēšanas vēsture</w:t>
      </w:r>
    </w:p>
    <w:p w:rsidR="00085477" w:rsidRPr="00320FA9" w:rsidRDefault="00085477" w:rsidP="00094E34">
      <w:pPr>
        <w:ind w:left="426" w:right="1704" w:hanging="426"/>
        <w:jc w:val="both"/>
        <w:rPr>
          <w:rFonts w:ascii="Times New Roman" w:hAnsi="Times New Roman"/>
          <w:i/>
          <w:noProof/>
        </w:rPr>
      </w:pPr>
      <w:r w:rsidRPr="00320FA9">
        <w:rPr>
          <w:rFonts w:ascii="Times New Roman" w:hAnsi="Times New Roman"/>
          <w:i/>
          <w:noProof/>
        </w:rPr>
        <w:t>Šī nav standarta oficiāla daļa.</w:t>
      </w:r>
    </w:p>
    <w:p w:rsidR="00085477" w:rsidRPr="00094E34" w:rsidRDefault="00085477" w:rsidP="00094E34">
      <w:pPr>
        <w:ind w:left="426" w:right="1704" w:hanging="426"/>
        <w:jc w:val="both"/>
        <w:rPr>
          <w:rFonts w:ascii="Times New Roman" w:eastAsia="Arial" w:hAnsi="Times New Roman" w:cs="Arial"/>
          <w:noProof/>
        </w:rPr>
      </w:pPr>
      <w:r w:rsidRPr="00320FA9">
        <w:rPr>
          <w:rFonts w:ascii="Times New Roman" w:hAnsi="Times New Roman"/>
          <w:noProof/>
        </w:rPr>
        <w:t xml:space="preserve">09.1997. </w:t>
      </w:r>
      <w:r w:rsidRPr="00320FA9">
        <w:rPr>
          <w:rFonts w:ascii="Times New Roman" w:hAnsi="Times New Roman"/>
          <w:i/>
          <w:noProof/>
        </w:rPr>
        <w:t>TC-RPPO</w:t>
      </w:r>
      <w:r w:rsidRPr="00320FA9">
        <w:rPr>
          <w:rFonts w:ascii="Times New Roman" w:hAnsi="Times New Roman"/>
          <w:noProof/>
        </w:rPr>
        <w:t xml:space="preserve"> pievienoja tematu </w:t>
      </w:r>
      <w:r w:rsidRPr="00320FA9">
        <w:rPr>
          <w:rFonts w:ascii="Times New Roman" w:hAnsi="Times New Roman"/>
          <w:i/>
          <w:noProof/>
        </w:rPr>
        <w:t>Sistēmiskā pieeja fitosanitārajai sertificēšanai</w:t>
      </w:r>
      <w:r w:rsidR="00094E34">
        <w:rPr>
          <w:rFonts w:ascii="Times New Roman" w:eastAsia="Arial" w:hAnsi="Times New Roman" w:cs="Arial"/>
          <w:noProof/>
        </w:rPr>
        <w:t xml:space="preserve"> </w:t>
      </w:r>
      <w:r w:rsidRPr="00320FA9">
        <w:rPr>
          <w:rFonts w:ascii="Times New Roman" w:hAnsi="Times New Roman"/>
          <w:noProof/>
        </w:rPr>
        <w:t>(1997-001)</w:t>
      </w:r>
    </w:p>
    <w:p w:rsidR="00085477" w:rsidRPr="00320FA9" w:rsidRDefault="00085477" w:rsidP="00094E34">
      <w:pPr>
        <w:ind w:left="426" w:right="1704" w:hanging="426"/>
        <w:jc w:val="both"/>
        <w:rPr>
          <w:rFonts w:ascii="Times New Roman" w:eastAsia="Arial" w:hAnsi="Times New Roman" w:cs="Arial"/>
          <w:noProof/>
        </w:rPr>
      </w:pPr>
      <w:r w:rsidRPr="00320FA9">
        <w:rPr>
          <w:rFonts w:ascii="Times New Roman" w:hAnsi="Times New Roman"/>
          <w:noProof/>
        </w:rPr>
        <w:t xml:space="preserve">10.1999. </w:t>
      </w:r>
      <w:r w:rsidRPr="00320FA9">
        <w:rPr>
          <w:rFonts w:ascii="Times New Roman" w:hAnsi="Times New Roman"/>
          <w:i/>
          <w:noProof/>
        </w:rPr>
        <w:t>ICPM-2</w:t>
      </w:r>
      <w:r w:rsidRPr="00320FA9">
        <w:rPr>
          <w:rFonts w:ascii="Times New Roman" w:hAnsi="Times New Roman"/>
          <w:noProof/>
        </w:rPr>
        <w:t xml:space="preserve"> pievienoja tematu </w:t>
      </w:r>
      <w:r w:rsidRPr="00320FA9">
        <w:rPr>
          <w:rFonts w:ascii="Times New Roman" w:hAnsi="Times New Roman"/>
          <w:i/>
          <w:noProof/>
        </w:rPr>
        <w:t>Sistēmiskās pieejas</w:t>
      </w:r>
    </w:p>
    <w:p w:rsidR="00085477" w:rsidRPr="00320FA9" w:rsidRDefault="00085477" w:rsidP="00094E34">
      <w:pPr>
        <w:ind w:left="426" w:right="1704" w:hanging="426"/>
        <w:jc w:val="both"/>
        <w:rPr>
          <w:rFonts w:ascii="Times New Roman" w:hAnsi="Times New Roman"/>
          <w:noProof/>
        </w:rPr>
      </w:pPr>
      <w:r w:rsidRPr="00320FA9">
        <w:rPr>
          <w:rFonts w:ascii="Times New Roman" w:hAnsi="Times New Roman"/>
          <w:noProof/>
        </w:rPr>
        <w:t xml:space="preserve">07.2000. </w:t>
      </w:r>
      <w:r w:rsidRPr="00320FA9">
        <w:rPr>
          <w:rFonts w:ascii="Times New Roman" w:hAnsi="Times New Roman"/>
          <w:i/>
          <w:noProof/>
        </w:rPr>
        <w:t>EWG</w:t>
      </w:r>
      <w:r w:rsidRPr="00320FA9">
        <w:rPr>
          <w:rFonts w:ascii="Times New Roman" w:hAnsi="Times New Roman"/>
          <w:noProof/>
        </w:rPr>
        <w:t xml:space="preserve"> sagatavoja projekta tekstu</w:t>
      </w:r>
    </w:p>
    <w:p w:rsidR="00094E34" w:rsidRDefault="00085477" w:rsidP="00094E34">
      <w:pPr>
        <w:ind w:left="426" w:right="1704" w:hanging="426"/>
        <w:jc w:val="both"/>
        <w:rPr>
          <w:rFonts w:ascii="Times New Roman" w:hAnsi="Times New Roman"/>
          <w:noProof/>
        </w:rPr>
      </w:pPr>
      <w:r w:rsidRPr="00320FA9">
        <w:rPr>
          <w:rFonts w:ascii="Times New Roman" w:hAnsi="Times New Roman"/>
          <w:noProof/>
        </w:rPr>
        <w:t xml:space="preserve">05.2001. </w:t>
      </w:r>
      <w:r w:rsidRPr="00320FA9">
        <w:rPr>
          <w:rFonts w:ascii="Times New Roman" w:hAnsi="Times New Roman"/>
          <w:b/>
          <w:noProof/>
        </w:rPr>
        <w:t>ISC-3</w:t>
      </w:r>
      <w:r w:rsidRPr="00320FA9">
        <w:rPr>
          <w:rFonts w:ascii="Times New Roman" w:hAnsi="Times New Roman"/>
          <w:noProof/>
        </w:rPr>
        <w:t xml:space="preserve"> pārskatīja projekta tekstu un apstiprināja </w:t>
      </w:r>
      <w:r w:rsidRPr="00320FA9">
        <w:rPr>
          <w:rFonts w:ascii="Times New Roman" w:hAnsi="Times New Roman"/>
          <w:i/>
          <w:noProof/>
        </w:rPr>
        <w:t>MC</w:t>
      </w:r>
    </w:p>
    <w:p w:rsidR="00085477" w:rsidRPr="00320FA9" w:rsidRDefault="00085477" w:rsidP="00094E34">
      <w:pPr>
        <w:ind w:left="426" w:right="1704" w:hanging="426"/>
        <w:jc w:val="both"/>
        <w:rPr>
          <w:rFonts w:ascii="Times New Roman" w:hAnsi="Times New Roman"/>
          <w:noProof/>
        </w:rPr>
      </w:pPr>
      <w:r w:rsidRPr="00320FA9">
        <w:rPr>
          <w:rFonts w:ascii="Times New Roman" w:hAnsi="Times New Roman"/>
          <w:noProof/>
        </w:rPr>
        <w:t xml:space="preserve">06.2001. nosūtīja </w:t>
      </w:r>
      <w:r w:rsidRPr="00320FA9">
        <w:rPr>
          <w:rFonts w:ascii="Times New Roman" w:hAnsi="Times New Roman"/>
          <w:i/>
          <w:noProof/>
        </w:rPr>
        <w:t>MC</w:t>
      </w:r>
    </w:p>
    <w:p w:rsidR="00094E34" w:rsidRDefault="00085477" w:rsidP="00094E34">
      <w:pPr>
        <w:ind w:left="426" w:right="1704" w:hanging="426"/>
        <w:jc w:val="both"/>
        <w:rPr>
          <w:rFonts w:ascii="Times New Roman" w:hAnsi="Times New Roman"/>
          <w:noProof/>
        </w:rPr>
      </w:pPr>
      <w:r w:rsidRPr="00320FA9">
        <w:rPr>
          <w:rFonts w:ascii="Times New Roman" w:hAnsi="Times New Roman"/>
          <w:noProof/>
        </w:rPr>
        <w:t xml:space="preserve">11.2001. </w:t>
      </w:r>
      <w:r w:rsidRPr="00320FA9">
        <w:rPr>
          <w:rFonts w:ascii="Times New Roman" w:hAnsi="Times New Roman"/>
          <w:i/>
          <w:noProof/>
        </w:rPr>
        <w:t>ISC-4</w:t>
      </w:r>
      <w:r w:rsidRPr="00320FA9">
        <w:rPr>
          <w:rFonts w:ascii="Times New Roman" w:hAnsi="Times New Roman"/>
          <w:noProof/>
        </w:rPr>
        <w:t xml:space="preserve"> pārskat</w:t>
      </w:r>
      <w:r w:rsidR="00094E34">
        <w:rPr>
          <w:rFonts w:ascii="Times New Roman" w:hAnsi="Times New Roman"/>
          <w:noProof/>
        </w:rPr>
        <w:t>īja projekta tekstu pieņemšanai</w:t>
      </w:r>
    </w:p>
    <w:p w:rsidR="00085477" w:rsidRPr="00320FA9" w:rsidRDefault="00085477" w:rsidP="00094E34">
      <w:pPr>
        <w:ind w:left="426" w:right="1704" w:hanging="426"/>
        <w:jc w:val="both"/>
        <w:rPr>
          <w:rFonts w:ascii="Times New Roman" w:hAnsi="Times New Roman"/>
          <w:noProof/>
        </w:rPr>
      </w:pPr>
      <w:r w:rsidRPr="00320FA9">
        <w:rPr>
          <w:rFonts w:ascii="Times New Roman" w:hAnsi="Times New Roman"/>
          <w:noProof/>
        </w:rPr>
        <w:t xml:space="preserve">03.2002. </w:t>
      </w:r>
      <w:r w:rsidRPr="00320FA9">
        <w:rPr>
          <w:rFonts w:ascii="Times New Roman" w:hAnsi="Times New Roman"/>
          <w:i/>
          <w:noProof/>
        </w:rPr>
        <w:t>ICPM-4</w:t>
      </w:r>
      <w:r w:rsidRPr="00320FA9">
        <w:rPr>
          <w:rFonts w:ascii="Times New Roman" w:hAnsi="Times New Roman"/>
          <w:noProof/>
        </w:rPr>
        <w:t xml:space="preserve"> pieņēma standartu</w:t>
      </w:r>
    </w:p>
    <w:p w:rsidR="00085477" w:rsidRPr="00320FA9" w:rsidRDefault="00085477" w:rsidP="00094E34">
      <w:pPr>
        <w:ind w:left="426" w:right="1704" w:hanging="426"/>
        <w:jc w:val="both"/>
        <w:rPr>
          <w:rFonts w:ascii="Times New Roman" w:hAnsi="Times New Roman"/>
          <w:noProof/>
        </w:rPr>
      </w:pPr>
      <w:r w:rsidRPr="00320FA9">
        <w:rPr>
          <w:rFonts w:ascii="Times New Roman" w:hAnsi="Times New Roman"/>
          <w:b/>
          <w:noProof/>
        </w:rPr>
        <w:t>FPSS NR. 14</w:t>
      </w:r>
      <w:r w:rsidRPr="00320FA9">
        <w:rPr>
          <w:rFonts w:ascii="Times New Roman" w:hAnsi="Times New Roman"/>
          <w:noProof/>
        </w:rPr>
        <w:t xml:space="preserve">. 2002. gads </w:t>
      </w:r>
      <w:r w:rsidRPr="00320FA9">
        <w:rPr>
          <w:rFonts w:ascii="Times New Roman" w:hAnsi="Times New Roman"/>
          <w:i/>
          <w:noProof/>
        </w:rPr>
        <w:t>Integrēto pasākumu izmantošana sistēmiskajā pieejā kaitīgo organismu riska pārvaldībai.</w:t>
      </w:r>
      <w:r w:rsidRPr="00320FA9">
        <w:rPr>
          <w:rFonts w:ascii="Times New Roman" w:hAnsi="Times New Roman"/>
          <w:noProof/>
        </w:rPr>
        <w:t xml:space="preserve"> Roma, </w:t>
      </w:r>
      <w:r w:rsidRPr="00320FA9">
        <w:rPr>
          <w:rFonts w:ascii="Times New Roman" w:hAnsi="Times New Roman"/>
          <w:i/>
          <w:noProof/>
        </w:rPr>
        <w:t>IPPC</w:t>
      </w:r>
      <w:r w:rsidRPr="00320FA9">
        <w:rPr>
          <w:rFonts w:ascii="Times New Roman" w:hAnsi="Times New Roman"/>
          <w:noProof/>
        </w:rPr>
        <w:t xml:space="preserve">, </w:t>
      </w:r>
      <w:r w:rsidRPr="00320FA9">
        <w:rPr>
          <w:rFonts w:ascii="Times New Roman" w:hAnsi="Times New Roman"/>
          <w:i/>
          <w:noProof/>
        </w:rPr>
        <w:t>FAO</w:t>
      </w:r>
    </w:p>
    <w:p w:rsidR="00085477" w:rsidRPr="00320FA9" w:rsidRDefault="00085477" w:rsidP="00094E34">
      <w:pPr>
        <w:ind w:left="426" w:right="1704" w:hanging="426"/>
        <w:jc w:val="both"/>
        <w:rPr>
          <w:rFonts w:ascii="Times New Roman" w:hAnsi="Times New Roman"/>
          <w:noProof/>
        </w:rPr>
      </w:pPr>
    </w:p>
    <w:p w:rsidR="00085477" w:rsidRPr="00320FA9" w:rsidRDefault="00085477" w:rsidP="00094E34">
      <w:pPr>
        <w:ind w:left="426" w:right="1704" w:hanging="426"/>
        <w:jc w:val="both"/>
        <w:rPr>
          <w:rFonts w:ascii="Times New Roman" w:hAnsi="Times New Roman"/>
          <w:noProof/>
        </w:rPr>
      </w:pPr>
      <w:r w:rsidRPr="00320FA9">
        <w:rPr>
          <w:rFonts w:ascii="Times New Roman" w:hAnsi="Times New Roman"/>
          <w:noProof/>
        </w:rPr>
        <w:t xml:space="preserve">07.2010. </w:t>
      </w:r>
      <w:r w:rsidRPr="00320FA9">
        <w:rPr>
          <w:rFonts w:ascii="Times New Roman" w:hAnsi="Times New Roman"/>
          <w:i/>
          <w:noProof/>
        </w:rPr>
        <w:t>IPPC</w:t>
      </w:r>
      <w:r w:rsidRPr="00320FA9">
        <w:rPr>
          <w:rFonts w:ascii="Times New Roman" w:hAnsi="Times New Roman"/>
          <w:noProof/>
        </w:rPr>
        <w:t xml:space="preserve"> sekretariāts grozīja FPSS Nr. 14 ar grozījumiem </w:t>
      </w:r>
      <w:r w:rsidRPr="00320FA9">
        <w:rPr>
          <w:rFonts w:ascii="Times New Roman" w:hAnsi="Times New Roman"/>
          <w:i/>
          <w:noProof/>
        </w:rPr>
        <w:t>CPM-5</w:t>
      </w:r>
      <w:r w:rsidRPr="00320FA9">
        <w:rPr>
          <w:rFonts w:ascii="Times New Roman" w:hAnsi="Times New Roman"/>
          <w:noProof/>
        </w:rPr>
        <w:t> (2010. g.).</w:t>
      </w:r>
    </w:p>
    <w:p w:rsidR="00085477" w:rsidRPr="00320FA9" w:rsidRDefault="00085477" w:rsidP="00094E34">
      <w:pPr>
        <w:ind w:left="426" w:right="1704" w:hanging="426"/>
        <w:jc w:val="both"/>
        <w:rPr>
          <w:rFonts w:ascii="Times New Roman" w:hAnsi="Times New Roman"/>
          <w:noProof/>
        </w:rPr>
      </w:pPr>
      <w:r w:rsidRPr="00320FA9">
        <w:rPr>
          <w:rFonts w:ascii="Times New Roman" w:hAnsi="Times New Roman"/>
          <w:noProof/>
        </w:rPr>
        <w:t xml:space="preserve">01.2014. </w:t>
      </w:r>
      <w:r w:rsidRPr="00320FA9">
        <w:rPr>
          <w:rFonts w:ascii="Times New Roman" w:hAnsi="Times New Roman"/>
          <w:i/>
          <w:noProof/>
        </w:rPr>
        <w:t>IPPC</w:t>
      </w:r>
      <w:r w:rsidRPr="00320FA9">
        <w:rPr>
          <w:rFonts w:ascii="Times New Roman" w:hAnsi="Times New Roman"/>
          <w:noProof/>
        </w:rPr>
        <w:t xml:space="preserve"> sekretariāts norādīja, ka laikposmā no 2002. līdz 2006. gadam 1. pielikumu kļūdaini nomainīja uz papildinājumu. Šo kļūdu izlaboja 2011. gadā, kad standartu pārveidoja.</w:t>
      </w:r>
    </w:p>
    <w:p w:rsidR="00085477" w:rsidRPr="00320FA9" w:rsidRDefault="00085477" w:rsidP="00094E34">
      <w:pPr>
        <w:ind w:left="426" w:right="1704" w:hanging="426"/>
        <w:jc w:val="both"/>
        <w:rPr>
          <w:rFonts w:ascii="Times New Roman" w:hAnsi="Times New Roman"/>
          <w:noProof/>
        </w:rPr>
      </w:pPr>
      <w:r w:rsidRPr="00320FA9">
        <w:rPr>
          <w:rFonts w:ascii="Times New Roman" w:hAnsi="Times New Roman"/>
          <w:noProof/>
        </w:rPr>
        <w:t xml:space="preserve">06.2015. </w:t>
      </w:r>
      <w:r w:rsidRPr="00320FA9">
        <w:rPr>
          <w:rFonts w:ascii="Times New Roman" w:hAnsi="Times New Roman"/>
          <w:i/>
          <w:noProof/>
        </w:rPr>
        <w:t>IPPC</w:t>
      </w:r>
      <w:r w:rsidRPr="00320FA9">
        <w:rPr>
          <w:rFonts w:ascii="Times New Roman" w:hAnsi="Times New Roman"/>
          <w:noProof/>
        </w:rPr>
        <w:t xml:space="preserve"> sekretariāts iekļāva grozījumus un pārveidoja standartus atbilstoši standartu atcelšanas kārtībai no </w:t>
      </w:r>
      <w:r w:rsidRPr="00320FA9">
        <w:rPr>
          <w:rFonts w:ascii="Times New Roman" w:hAnsi="Times New Roman"/>
          <w:i/>
          <w:noProof/>
        </w:rPr>
        <w:t>CPM-10</w:t>
      </w:r>
      <w:r w:rsidRPr="00320FA9">
        <w:rPr>
          <w:rFonts w:ascii="Times New Roman" w:hAnsi="Times New Roman"/>
          <w:noProof/>
        </w:rPr>
        <w:t xml:space="preserve"> (2015. g.).</w:t>
      </w:r>
    </w:p>
    <w:p w:rsidR="00085477" w:rsidRPr="00320FA9" w:rsidRDefault="00085477" w:rsidP="00094E34">
      <w:pPr>
        <w:ind w:left="426" w:right="1704" w:hanging="426"/>
        <w:jc w:val="both"/>
        <w:rPr>
          <w:rFonts w:ascii="Times New Roman" w:hAnsi="Times New Roman"/>
          <w:noProof/>
        </w:rPr>
      </w:pPr>
      <w:r w:rsidRPr="00320FA9">
        <w:rPr>
          <w:rFonts w:ascii="Times New Roman" w:hAnsi="Times New Roman"/>
          <w:noProof/>
        </w:rPr>
        <w:t>Publicēšanas vēsture pēdējo reizi grozīta: 12.2015.</w:t>
      </w:r>
    </w:p>
    <w:p w:rsidR="002F58F5" w:rsidRPr="00320FA9" w:rsidRDefault="002F58F5" w:rsidP="00320FA9">
      <w:pPr>
        <w:jc w:val="both"/>
        <w:rPr>
          <w:rFonts w:ascii="Times New Roman" w:eastAsia="Arial" w:hAnsi="Times New Roman" w:cs="Arial"/>
          <w:noProof/>
          <w:sz w:val="24"/>
          <w:szCs w:val="29"/>
        </w:rPr>
      </w:pPr>
      <w:r w:rsidRPr="00320FA9">
        <w:rPr>
          <w:rFonts w:ascii="Times New Roman" w:hAnsi="Times New Roman"/>
          <w:sz w:val="24"/>
        </w:rPr>
        <w:br w:type="page"/>
      </w:r>
    </w:p>
    <w:p w:rsidR="00546380" w:rsidRDefault="00546380" w:rsidP="00546380">
      <w:pPr>
        <w:pStyle w:val="Heading3"/>
        <w:ind w:left="0" w:firstLine="0"/>
        <w:jc w:val="both"/>
      </w:pPr>
      <w:bookmarkStart w:id="2" w:name="_Toc472687595"/>
    </w:p>
    <w:p w:rsidR="00546380" w:rsidRDefault="00085477" w:rsidP="00546380">
      <w:pPr>
        <w:pStyle w:val="Heading3"/>
        <w:ind w:left="0" w:firstLine="0"/>
        <w:jc w:val="both"/>
        <w:rPr>
          <w:noProof/>
        </w:rPr>
      </w:pPr>
      <w:r w:rsidRPr="00320FA9">
        <w:t>SATURS</w:t>
      </w:r>
      <w:bookmarkEnd w:id="2"/>
    </w:p>
    <w:sdt>
      <w:sdtPr>
        <w:rPr>
          <w:rFonts w:ascii="Times New Roman" w:eastAsiaTheme="minorHAnsi" w:hAnsi="Times New Roman" w:cs="Times New Roman"/>
          <w:color w:val="auto"/>
          <w:sz w:val="24"/>
          <w:szCs w:val="24"/>
          <w:lang w:val="lv-LV" w:eastAsia="lv-LV" w:bidi="lv-LV"/>
        </w:rPr>
        <w:id w:val="-1898346419"/>
        <w:docPartObj>
          <w:docPartGallery w:val="Table of Contents"/>
          <w:docPartUnique/>
        </w:docPartObj>
      </w:sdtPr>
      <w:sdtEndPr>
        <w:rPr>
          <w:b/>
          <w:bCs/>
          <w:noProof/>
        </w:rPr>
      </w:sdtEndPr>
      <w:sdtContent>
        <w:p w:rsidR="00546380" w:rsidRPr="00546380" w:rsidRDefault="00546380" w:rsidP="00546380">
          <w:pPr>
            <w:pStyle w:val="TOCHeading"/>
            <w:rPr>
              <w:rFonts w:ascii="Times New Roman" w:hAnsi="Times New Roman" w:cs="Times New Roman"/>
              <w:noProof/>
              <w:sz w:val="24"/>
              <w:szCs w:val="24"/>
            </w:rPr>
          </w:pPr>
          <w:r w:rsidRPr="00546380">
            <w:rPr>
              <w:rFonts w:ascii="Times New Roman" w:hAnsi="Times New Roman" w:cs="Times New Roman"/>
              <w:sz w:val="24"/>
              <w:szCs w:val="24"/>
            </w:rPr>
            <w:fldChar w:fldCharType="begin"/>
          </w:r>
          <w:r w:rsidRPr="00546380">
            <w:rPr>
              <w:rFonts w:ascii="Times New Roman" w:hAnsi="Times New Roman" w:cs="Times New Roman"/>
              <w:sz w:val="24"/>
              <w:szCs w:val="24"/>
            </w:rPr>
            <w:instrText xml:space="preserve"> TOC \o "1-3" \h \z \u </w:instrText>
          </w:r>
          <w:r w:rsidRPr="00546380">
            <w:rPr>
              <w:rFonts w:ascii="Times New Roman" w:hAnsi="Times New Roman" w:cs="Times New Roman"/>
              <w:sz w:val="24"/>
              <w:szCs w:val="24"/>
            </w:rPr>
            <w:fldChar w:fldCharType="separate"/>
          </w:r>
        </w:p>
        <w:p w:rsidR="00546380" w:rsidRPr="00546380" w:rsidRDefault="00BA75BA">
          <w:pPr>
            <w:pStyle w:val="TOC1"/>
            <w:tabs>
              <w:tab w:val="right" w:leader="dot" w:pos="9065"/>
            </w:tabs>
            <w:rPr>
              <w:rFonts w:eastAsiaTheme="minorEastAsia" w:cs="Times New Roman"/>
              <w:noProof/>
              <w:sz w:val="24"/>
              <w:szCs w:val="24"/>
              <w:lang w:bidi="ar-SA"/>
            </w:rPr>
          </w:pPr>
          <w:hyperlink w:anchor="_Toc472687596" w:history="1">
            <w:r w:rsidR="00546380" w:rsidRPr="00546380">
              <w:rPr>
                <w:rStyle w:val="Hyperlink"/>
                <w:rFonts w:cs="Times New Roman"/>
                <w:noProof/>
                <w:sz w:val="24"/>
                <w:szCs w:val="24"/>
              </w:rPr>
              <w:t>Pieņemšana</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_Toc472687596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6</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597" w:history="1">
            <w:r w:rsidR="00546380" w:rsidRPr="00546380">
              <w:rPr>
                <w:rStyle w:val="Hyperlink"/>
                <w:rFonts w:cs="Times New Roman"/>
                <w:noProof/>
                <w:sz w:val="24"/>
                <w:szCs w:val="24"/>
              </w:rPr>
              <w:t>IEVADS</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_Toc472687597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6</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598" w:history="1">
            <w:r w:rsidR="00546380" w:rsidRPr="00546380">
              <w:rPr>
                <w:rStyle w:val="Hyperlink"/>
                <w:rFonts w:cs="Times New Roman"/>
                <w:noProof/>
                <w:sz w:val="24"/>
                <w:szCs w:val="24"/>
              </w:rPr>
              <w:t>Piemērošanas joma</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_Toc472687598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6</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599" w:history="1">
            <w:r w:rsidR="00546380" w:rsidRPr="00546380">
              <w:rPr>
                <w:rStyle w:val="Hyperlink"/>
                <w:rFonts w:cs="Times New Roman"/>
                <w:noProof/>
                <w:sz w:val="24"/>
                <w:szCs w:val="24"/>
              </w:rPr>
              <w:t>Atsauces</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_Toc472687599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6</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00" w:history="1">
            <w:r w:rsidR="00546380" w:rsidRPr="00546380">
              <w:rPr>
                <w:rStyle w:val="Hyperlink"/>
                <w:rFonts w:cs="Times New Roman"/>
                <w:noProof/>
                <w:sz w:val="24"/>
                <w:szCs w:val="24"/>
              </w:rPr>
              <w:t>Definīcijas</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_Toc472687600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6</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01" w:history="1">
            <w:r w:rsidR="00546380" w:rsidRPr="00546380">
              <w:rPr>
                <w:rStyle w:val="Hyperlink"/>
                <w:rFonts w:cs="Times New Roman"/>
                <w:noProof/>
                <w:sz w:val="24"/>
                <w:szCs w:val="24"/>
              </w:rPr>
              <w:t>Prasību izklāsts</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_Toc472687601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6</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02" w:history="1">
            <w:r w:rsidR="00546380" w:rsidRPr="00546380">
              <w:rPr>
                <w:rStyle w:val="Hyperlink"/>
                <w:rFonts w:cs="Times New Roman"/>
                <w:noProof/>
                <w:sz w:val="24"/>
                <w:szCs w:val="24"/>
              </w:rPr>
              <w:t>PRASĪBAS</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_Toc472687602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8</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03" w:history="1">
            <w:r w:rsidR="00546380" w:rsidRPr="00546380">
              <w:rPr>
                <w:rStyle w:val="Hyperlink"/>
                <w:rFonts w:cs="Times New Roman"/>
                <w:noProof/>
                <w:sz w:val="24"/>
                <w:szCs w:val="24"/>
              </w:rPr>
              <w:t>1. Sistēmisko pieeju mērķis</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_Toc472687603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8</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04" w:history="1">
            <w:r w:rsidR="00546380" w:rsidRPr="00546380">
              <w:rPr>
                <w:rStyle w:val="Hyperlink"/>
                <w:rFonts w:cs="Times New Roman"/>
                <w:noProof/>
                <w:sz w:val="24"/>
                <w:szCs w:val="24"/>
              </w:rPr>
              <w:t>2. Sistēmisko pieeju īpašības</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_Toc472687604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8</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05" w:history="1">
            <w:r w:rsidR="00546380" w:rsidRPr="00546380">
              <w:rPr>
                <w:rStyle w:val="Hyperlink"/>
                <w:rFonts w:cs="Times New Roman"/>
                <w:noProof/>
                <w:sz w:val="24"/>
                <w:szCs w:val="24"/>
              </w:rPr>
              <w:t xml:space="preserve">3. Saistība ar </w:t>
            </w:r>
            <w:r w:rsidR="00546380" w:rsidRPr="00546380">
              <w:rPr>
                <w:rStyle w:val="Hyperlink"/>
                <w:rFonts w:cs="Times New Roman"/>
                <w:i/>
                <w:noProof/>
                <w:sz w:val="24"/>
                <w:szCs w:val="24"/>
              </w:rPr>
              <w:t>PRA</w:t>
            </w:r>
            <w:r w:rsidR="00546380" w:rsidRPr="00546380">
              <w:rPr>
                <w:rStyle w:val="Hyperlink"/>
                <w:rFonts w:cs="Times New Roman"/>
                <w:noProof/>
                <w:sz w:val="24"/>
                <w:szCs w:val="24"/>
              </w:rPr>
              <w:t xml:space="preserve"> un pieejamās kaitīgo organismu riska pārvaldības iespējas</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_Toc472687605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8</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06" w:history="1">
            <w:r w:rsidR="00AB3E58">
              <w:rPr>
                <w:rStyle w:val="Hyperlink"/>
                <w:rFonts w:cs="Times New Roman"/>
                <w:noProof/>
                <w:sz w:val="24"/>
                <w:szCs w:val="24"/>
              </w:rPr>
              <w:t>4. Nesaistītie un savstarpēji saistītie</w:t>
            </w:r>
            <w:r w:rsidR="00546380" w:rsidRPr="00546380">
              <w:rPr>
                <w:rStyle w:val="Hyperlink"/>
                <w:rFonts w:cs="Times New Roman"/>
                <w:noProof/>
                <w:sz w:val="24"/>
                <w:szCs w:val="24"/>
              </w:rPr>
              <w:t xml:space="preserve"> pasākumi</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_Toc472687606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10</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07" w:history="1">
            <w:r w:rsidR="00546380" w:rsidRPr="00546380">
              <w:rPr>
                <w:rStyle w:val="Hyperlink"/>
                <w:rFonts w:cs="Times New Roman"/>
                <w:noProof/>
                <w:sz w:val="24"/>
                <w:szCs w:val="24"/>
              </w:rPr>
              <w:t>5. Izmantošanas apstākļi</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_Toc472687607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10</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08" w:history="1">
            <w:r w:rsidR="00546380" w:rsidRPr="00546380">
              <w:rPr>
                <w:rStyle w:val="Hyperlink"/>
                <w:rFonts w:cs="Times New Roman"/>
                <w:noProof/>
                <w:sz w:val="24"/>
                <w:szCs w:val="24"/>
              </w:rPr>
              <w:t>6. Sistēmisko pieeju veidi</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_Toc472687608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11</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09" w:history="1">
            <w:r w:rsidR="00546380" w:rsidRPr="00546380">
              <w:rPr>
                <w:rStyle w:val="Hyperlink"/>
                <w:rFonts w:cs="Times New Roman"/>
                <w:noProof/>
                <w:sz w:val="24"/>
                <w:szCs w:val="24"/>
              </w:rPr>
              <w:t>7. Pasākumu efektivitāte</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_Toc472687609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11</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10" w:history="1">
            <w:r w:rsidR="00546380" w:rsidRPr="00546380">
              <w:rPr>
                <w:rStyle w:val="Hyperlink"/>
                <w:rFonts w:cs="Times New Roman"/>
                <w:noProof/>
                <w:sz w:val="24"/>
                <w:szCs w:val="24"/>
              </w:rPr>
              <w:t>8. Sistēmisko pieeju izstrāde</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_Toc472687610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11</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11" w:history="1">
            <w:r w:rsidR="00546380" w:rsidRPr="00546380">
              <w:rPr>
                <w:rStyle w:val="Hyperlink"/>
                <w:rFonts w:cs="Times New Roman"/>
                <w:noProof/>
                <w:sz w:val="24"/>
                <w:szCs w:val="24"/>
              </w:rPr>
              <w:t>9. Sistēmisko pieeju novērtēšana</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_Toc472687611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12</w:t>
            </w:r>
            <w:r w:rsidR="00546380" w:rsidRPr="00546380">
              <w:rPr>
                <w:rFonts w:cs="Times New Roman"/>
                <w:noProof/>
                <w:webHidden/>
                <w:sz w:val="24"/>
                <w:szCs w:val="24"/>
              </w:rPr>
              <w:fldChar w:fldCharType="end"/>
            </w:r>
          </w:hyperlink>
        </w:p>
        <w:p w:rsidR="00546380" w:rsidRPr="00546380" w:rsidRDefault="00BA75BA" w:rsidP="00546380">
          <w:pPr>
            <w:pStyle w:val="TOC1"/>
            <w:tabs>
              <w:tab w:val="right" w:leader="dot" w:pos="9065"/>
            </w:tabs>
            <w:ind w:left="1134"/>
            <w:rPr>
              <w:rFonts w:eastAsiaTheme="minorEastAsia" w:cs="Times New Roman"/>
              <w:noProof/>
              <w:sz w:val="24"/>
              <w:szCs w:val="24"/>
              <w:lang w:bidi="ar-SA"/>
            </w:rPr>
          </w:pPr>
          <w:hyperlink w:anchor="_Toc472687612" w:history="1">
            <w:r w:rsidR="00546380" w:rsidRPr="00546380">
              <w:rPr>
                <w:rStyle w:val="Hyperlink"/>
                <w:rFonts w:cs="Times New Roman"/>
                <w:noProof/>
                <w:sz w:val="24"/>
                <w:szCs w:val="24"/>
              </w:rPr>
              <w:t>9.1. Novērtēšanas iespējamais iznākums</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_Toc472687612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12</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13" w:history="1">
            <w:r w:rsidR="00546380" w:rsidRPr="00546380">
              <w:rPr>
                <w:rStyle w:val="Hyperlink"/>
                <w:rFonts w:cs="Times New Roman"/>
                <w:noProof/>
                <w:sz w:val="24"/>
                <w:szCs w:val="24"/>
              </w:rPr>
              <w:t>10. Pienākumi</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_Toc472687613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12</w:t>
            </w:r>
            <w:r w:rsidR="00546380" w:rsidRPr="00546380">
              <w:rPr>
                <w:rFonts w:cs="Times New Roman"/>
                <w:noProof/>
                <w:webHidden/>
                <w:sz w:val="24"/>
                <w:szCs w:val="24"/>
              </w:rPr>
              <w:fldChar w:fldCharType="end"/>
            </w:r>
          </w:hyperlink>
        </w:p>
        <w:p w:rsidR="00546380" w:rsidRPr="00546380" w:rsidRDefault="00BA75BA" w:rsidP="00546380">
          <w:pPr>
            <w:pStyle w:val="TOC1"/>
            <w:tabs>
              <w:tab w:val="right" w:leader="dot" w:pos="9065"/>
            </w:tabs>
            <w:ind w:left="1134"/>
            <w:rPr>
              <w:rFonts w:eastAsiaTheme="minorEastAsia" w:cs="Times New Roman"/>
              <w:noProof/>
              <w:sz w:val="24"/>
              <w:szCs w:val="24"/>
              <w:lang w:bidi="ar-SA"/>
            </w:rPr>
          </w:pPr>
          <w:hyperlink w:anchor="_Toc472687614" w:history="1">
            <w:r w:rsidR="00546380" w:rsidRPr="00546380">
              <w:rPr>
                <w:rStyle w:val="Hyperlink"/>
                <w:rFonts w:cs="Times New Roman"/>
                <w:noProof/>
                <w:sz w:val="24"/>
                <w:szCs w:val="24"/>
              </w:rPr>
              <w:t>10.1. Importētājvalsts pienākumi</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_Toc472687614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13</w:t>
            </w:r>
            <w:r w:rsidR="00546380" w:rsidRPr="00546380">
              <w:rPr>
                <w:rFonts w:cs="Times New Roman"/>
                <w:noProof/>
                <w:webHidden/>
                <w:sz w:val="24"/>
                <w:szCs w:val="24"/>
              </w:rPr>
              <w:fldChar w:fldCharType="end"/>
            </w:r>
          </w:hyperlink>
        </w:p>
        <w:p w:rsidR="00546380" w:rsidRPr="00546380" w:rsidRDefault="00BA75BA" w:rsidP="00546380">
          <w:pPr>
            <w:pStyle w:val="TOC1"/>
            <w:tabs>
              <w:tab w:val="right" w:leader="dot" w:pos="9065"/>
            </w:tabs>
            <w:ind w:left="1134"/>
            <w:rPr>
              <w:rFonts w:eastAsiaTheme="minorEastAsia" w:cs="Times New Roman"/>
              <w:noProof/>
              <w:sz w:val="24"/>
              <w:szCs w:val="24"/>
              <w:lang w:bidi="ar-SA"/>
            </w:rPr>
          </w:pPr>
          <w:hyperlink w:anchor="_Toc472687615" w:history="1">
            <w:r w:rsidR="00546380" w:rsidRPr="00546380">
              <w:rPr>
                <w:rStyle w:val="Hyperlink"/>
                <w:rFonts w:cs="Times New Roman"/>
                <w:noProof/>
                <w:sz w:val="24"/>
                <w:szCs w:val="24"/>
              </w:rPr>
              <w:t>10.2. Eksportētājvalsts pienākumi</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_Toc472687615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13</w:t>
            </w:r>
            <w:r w:rsidR="00546380" w:rsidRPr="00546380">
              <w:rPr>
                <w:rFonts w:cs="Times New Roman"/>
                <w:noProof/>
                <w:webHidden/>
                <w:sz w:val="24"/>
                <w:szCs w:val="24"/>
              </w:rPr>
              <w:fldChar w:fldCharType="end"/>
            </w:r>
          </w:hyperlink>
        </w:p>
        <w:p w:rsidR="00546380" w:rsidRPr="00546380" w:rsidRDefault="00BA75BA">
          <w:pPr>
            <w:pStyle w:val="TOC1"/>
            <w:tabs>
              <w:tab w:val="right" w:leader="dot" w:pos="9065"/>
            </w:tabs>
            <w:rPr>
              <w:rFonts w:eastAsiaTheme="minorEastAsia" w:cs="Times New Roman"/>
              <w:noProof/>
              <w:sz w:val="24"/>
              <w:szCs w:val="24"/>
              <w:lang w:bidi="ar-SA"/>
            </w:rPr>
          </w:pPr>
          <w:hyperlink w:anchor="_Toc472687616" w:history="1">
            <w:r w:rsidR="00546380" w:rsidRPr="00546380">
              <w:rPr>
                <w:rStyle w:val="Hyperlink"/>
                <w:rFonts w:cs="Times New Roman"/>
                <w:noProof/>
                <w:sz w:val="24"/>
                <w:szCs w:val="24"/>
              </w:rPr>
              <w:t>1. PIELIKUMS Kritisko kontroles punktu sistēma</w:t>
            </w:r>
            <w:r w:rsidR="00546380" w:rsidRPr="00546380">
              <w:rPr>
                <w:rFonts w:cs="Times New Roman"/>
                <w:noProof/>
                <w:webHidden/>
                <w:sz w:val="24"/>
                <w:szCs w:val="24"/>
              </w:rPr>
              <w:tab/>
            </w:r>
            <w:r w:rsidR="00546380" w:rsidRPr="00546380">
              <w:rPr>
                <w:rFonts w:cs="Times New Roman"/>
                <w:noProof/>
                <w:webHidden/>
                <w:sz w:val="24"/>
                <w:szCs w:val="24"/>
              </w:rPr>
              <w:fldChar w:fldCharType="begin"/>
            </w:r>
            <w:r w:rsidR="00546380" w:rsidRPr="00546380">
              <w:rPr>
                <w:rFonts w:cs="Times New Roman"/>
                <w:noProof/>
                <w:webHidden/>
                <w:sz w:val="24"/>
                <w:szCs w:val="24"/>
              </w:rPr>
              <w:instrText xml:space="preserve"> PAGEREF _Toc472687616 \h </w:instrText>
            </w:r>
            <w:r w:rsidR="00546380" w:rsidRPr="00546380">
              <w:rPr>
                <w:rFonts w:cs="Times New Roman"/>
                <w:noProof/>
                <w:webHidden/>
                <w:sz w:val="24"/>
                <w:szCs w:val="24"/>
              </w:rPr>
            </w:r>
            <w:r w:rsidR="00546380" w:rsidRPr="00546380">
              <w:rPr>
                <w:rFonts w:cs="Times New Roman"/>
                <w:noProof/>
                <w:webHidden/>
                <w:sz w:val="24"/>
                <w:szCs w:val="24"/>
              </w:rPr>
              <w:fldChar w:fldCharType="separate"/>
            </w:r>
            <w:r w:rsidR="00546380">
              <w:rPr>
                <w:rFonts w:cs="Times New Roman"/>
                <w:noProof/>
                <w:webHidden/>
                <w:sz w:val="24"/>
                <w:szCs w:val="24"/>
              </w:rPr>
              <w:t>14</w:t>
            </w:r>
            <w:r w:rsidR="00546380" w:rsidRPr="00546380">
              <w:rPr>
                <w:rFonts w:cs="Times New Roman"/>
                <w:noProof/>
                <w:webHidden/>
                <w:sz w:val="24"/>
                <w:szCs w:val="24"/>
              </w:rPr>
              <w:fldChar w:fldCharType="end"/>
            </w:r>
          </w:hyperlink>
        </w:p>
        <w:p w:rsidR="00546380" w:rsidRDefault="00546380">
          <w:r w:rsidRPr="00546380">
            <w:rPr>
              <w:rFonts w:ascii="Times New Roman" w:hAnsi="Times New Roman" w:cs="Times New Roman"/>
              <w:b/>
              <w:bCs/>
              <w:noProof/>
              <w:sz w:val="24"/>
              <w:szCs w:val="24"/>
            </w:rPr>
            <w:fldChar w:fldCharType="end"/>
          </w:r>
        </w:p>
      </w:sdtContent>
    </w:sdt>
    <w:p w:rsidR="00546380" w:rsidRDefault="00546380" w:rsidP="00320FA9">
      <w:pPr>
        <w:jc w:val="both"/>
        <w:rPr>
          <w:rFonts w:ascii="Times New Roman" w:hAnsi="Times New Roman"/>
          <w:sz w:val="24"/>
        </w:rPr>
      </w:pPr>
    </w:p>
    <w:p w:rsidR="00546380" w:rsidRDefault="00546380" w:rsidP="00320FA9">
      <w:pPr>
        <w:jc w:val="both"/>
        <w:rPr>
          <w:rFonts w:ascii="Times New Roman" w:hAnsi="Times New Roman"/>
          <w:sz w:val="24"/>
        </w:rPr>
      </w:pPr>
    </w:p>
    <w:p w:rsidR="002F58F5" w:rsidRPr="00320FA9" w:rsidRDefault="002F58F5" w:rsidP="00320FA9">
      <w:pPr>
        <w:jc w:val="both"/>
        <w:rPr>
          <w:rFonts w:ascii="Times New Roman" w:eastAsia="Times New Roman" w:hAnsi="Times New Roman"/>
          <w:noProof/>
          <w:sz w:val="24"/>
        </w:rPr>
      </w:pPr>
      <w:r w:rsidRPr="00320FA9">
        <w:rPr>
          <w:rFonts w:ascii="Times New Roman" w:hAnsi="Times New Roman"/>
          <w:sz w:val="24"/>
        </w:rPr>
        <w:br w:type="page"/>
      </w:r>
    </w:p>
    <w:p w:rsidR="00085477" w:rsidRPr="00320FA9" w:rsidRDefault="00085477" w:rsidP="00094E34">
      <w:pPr>
        <w:pStyle w:val="Heading1"/>
        <w:rPr>
          <w:noProof/>
        </w:rPr>
      </w:pPr>
      <w:bookmarkStart w:id="3" w:name="_Toc472687596"/>
      <w:r w:rsidRPr="00320FA9">
        <w:lastRenderedPageBreak/>
        <w:t>Pieņemšana</w:t>
      </w:r>
      <w:bookmarkStart w:id="4" w:name="_bookmark0"/>
      <w:bookmarkEnd w:id="4"/>
      <w:bookmarkEnd w:id="3"/>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Fitosanitāro pasākumu pagaidu komisija pieņēma šo standartu ceturtajā sanāksmē 2002. gada martā.</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085477" w:rsidP="00320FA9">
      <w:pPr>
        <w:jc w:val="both"/>
        <w:rPr>
          <w:rFonts w:ascii="Times New Roman" w:eastAsia="Times New Roman" w:hAnsi="Times New Roman" w:cs="Times New Roman"/>
          <w:noProof/>
          <w:sz w:val="24"/>
          <w:szCs w:val="25"/>
        </w:rPr>
      </w:pPr>
    </w:p>
    <w:p w:rsidR="00085477" w:rsidRPr="00320FA9" w:rsidRDefault="00085477" w:rsidP="00094E34">
      <w:pPr>
        <w:pStyle w:val="Heading1"/>
        <w:rPr>
          <w:noProof/>
        </w:rPr>
      </w:pPr>
      <w:bookmarkStart w:id="5" w:name="_Toc472687597"/>
      <w:r w:rsidRPr="00320FA9">
        <w:t>IEVADS</w:t>
      </w:r>
      <w:bookmarkStart w:id="6" w:name="_bookmark1"/>
      <w:bookmarkEnd w:id="6"/>
      <w:bookmarkEnd w:id="5"/>
    </w:p>
    <w:p w:rsidR="00085477" w:rsidRPr="00320FA9" w:rsidRDefault="00085477" w:rsidP="00320FA9">
      <w:pPr>
        <w:jc w:val="both"/>
        <w:rPr>
          <w:rFonts w:ascii="Times New Roman" w:eastAsia="Times New Roman" w:hAnsi="Times New Roman" w:cs="Times New Roman"/>
          <w:b/>
          <w:bCs/>
          <w:noProof/>
          <w:sz w:val="24"/>
          <w:szCs w:val="31"/>
        </w:rPr>
      </w:pPr>
    </w:p>
    <w:p w:rsidR="00085477" w:rsidRPr="00320FA9" w:rsidRDefault="00085477" w:rsidP="00094E34">
      <w:pPr>
        <w:pStyle w:val="Heading1"/>
        <w:rPr>
          <w:noProof/>
        </w:rPr>
      </w:pPr>
      <w:bookmarkStart w:id="7" w:name="_Toc472687598"/>
      <w:r w:rsidRPr="00320FA9">
        <w:t>Piemērošanas joma</w:t>
      </w:r>
      <w:bookmarkStart w:id="8" w:name="_bookmark2"/>
      <w:bookmarkEnd w:id="8"/>
      <w:bookmarkEnd w:id="7"/>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Šajā standartā sniegtas norādes integrēto pasākumu izstrādei un novērtēšanai sistēmiskajā pieejā, piedāvājot to kā iespēju kaitīgo organismu riska pārvaldībai atbilstoši attiecīgajiem starptautiskajiem kaitīgo organismu riska analīzes (</w:t>
      </w:r>
      <w:r w:rsidRPr="00320FA9">
        <w:rPr>
          <w:i/>
          <w:noProof/>
          <w:sz w:val="24"/>
        </w:rPr>
        <w:t>PRA</w:t>
      </w:r>
      <w:r w:rsidRPr="00320FA9">
        <w:rPr>
          <w:noProof/>
          <w:sz w:val="24"/>
        </w:rPr>
        <w:t>) standartiem, lai ievērotu fitosanitārās importa prasības attiecībā uz augiem, augu produktiem un citām regulētajām precēm.</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085477" w:rsidP="00094E34">
      <w:pPr>
        <w:pStyle w:val="Heading1"/>
        <w:rPr>
          <w:noProof/>
        </w:rPr>
      </w:pPr>
      <w:bookmarkStart w:id="9" w:name="_Toc472687599"/>
      <w:r w:rsidRPr="00320FA9">
        <w:t>Atsauces</w:t>
      </w:r>
      <w:bookmarkStart w:id="10" w:name="_bookmark3"/>
      <w:bookmarkEnd w:id="10"/>
      <w:bookmarkEnd w:id="9"/>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Šajā standartā ir atsauce uz Fitosanitāro pasākumu starptautiskajiem standartiem (FPSS). FPSS ir pieejami starptautiskajā portālā par fitosanitārajiem jautājumiem (</w:t>
      </w:r>
      <w:r w:rsidRPr="00320FA9">
        <w:rPr>
          <w:i/>
          <w:noProof/>
          <w:sz w:val="24"/>
        </w:rPr>
        <w:t>IPP</w:t>
      </w:r>
      <w:r w:rsidRPr="00320FA9">
        <w:rPr>
          <w:noProof/>
          <w:sz w:val="24"/>
        </w:rPr>
        <w:t>) https://www.ippc.int/core-activities/standards-setting/ispms.</w:t>
      </w:r>
    </w:p>
    <w:p w:rsidR="002F58F5" w:rsidRPr="00320FA9" w:rsidRDefault="002F58F5" w:rsidP="00320FA9">
      <w:pPr>
        <w:jc w:val="both"/>
        <w:rPr>
          <w:rFonts w:ascii="Times New Roman" w:hAnsi="Times New Roman"/>
          <w:b/>
          <w:noProof/>
          <w:sz w:val="24"/>
        </w:rPr>
      </w:pPr>
    </w:p>
    <w:p w:rsidR="00085477" w:rsidRPr="00320FA9" w:rsidRDefault="00085477" w:rsidP="00320FA9">
      <w:pPr>
        <w:jc w:val="both"/>
        <w:rPr>
          <w:rFonts w:ascii="Times New Roman" w:hAnsi="Times New Roman"/>
          <w:noProof/>
          <w:sz w:val="24"/>
        </w:rPr>
      </w:pPr>
      <w:r w:rsidRPr="00320FA9">
        <w:rPr>
          <w:rFonts w:ascii="Times New Roman" w:hAnsi="Times New Roman"/>
          <w:b/>
          <w:noProof/>
          <w:sz w:val="24"/>
        </w:rPr>
        <w:t>Codex Alimentarius</w:t>
      </w:r>
      <w:r w:rsidRPr="00320FA9">
        <w:rPr>
          <w:rFonts w:ascii="Times New Roman" w:hAnsi="Times New Roman"/>
          <w:noProof/>
          <w:sz w:val="24"/>
        </w:rPr>
        <w:t xml:space="preserve">. 2003. </w:t>
      </w:r>
      <w:r w:rsidRPr="00320FA9">
        <w:rPr>
          <w:rFonts w:ascii="Times New Roman" w:hAnsi="Times New Roman"/>
          <w:i/>
          <w:noProof/>
          <w:sz w:val="24"/>
        </w:rPr>
        <w:t>Hazard analysis and critical control point (HACCP) system and guidelines for its application</w:t>
      </w:r>
      <w:r w:rsidRPr="00320FA9">
        <w:rPr>
          <w:rFonts w:ascii="Times New Roman" w:hAnsi="Times New Roman"/>
          <w:noProof/>
          <w:sz w:val="24"/>
        </w:rPr>
        <w:t>. Annex to CAC/RCP 1-1969 (</w:t>
      </w:r>
      <w:r w:rsidRPr="00320FA9">
        <w:rPr>
          <w:rFonts w:ascii="Times New Roman" w:hAnsi="Times New Roman"/>
          <w:i/>
          <w:noProof/>
          <w:sz w:val="24"/>
        </w:rPr>
        <w:t>General principles of food hygiene</w:t>
      </w:r>
      <w:r w:rsidRPr="00320FA9">
        <w:rPr>
          <w:rFonts w:ascii="Times New Roman" w:hAnsi="Times New Roman"/>
          <w:noProof/>
          <w:sz w:val="24"/>
        </w:rPr>
        <w:t xml:space="preserve">) (Rev. 4 - 2003). </w:t>
      </w:r>
      <w:r w:rsidRPr="00320FA9">
        <w:rPr>
          <w:rFonts w:ascii="Times New Roman" w:hAnsi="Times New Roman"/>
          <w:i/>
          <w:noProof/>
          <w:sz w:val="24"/>
        </w:rPr>
        <w:t>Rome, Codex Alimentarius, FAO</w:t>
      </w:r>
      <w:r w:rsidRPr="00320FA9">
        <w:rPr>
          <w:rFonts w:ascii="Times New Roman" w:hAnsi="Times New Roman"/>
          <w:noProof/>
          <w:sz w:val="24"/>
        </w:rPr>
        <w:t xml:space="preserve"> [Pārtikas kodekss, 2003. g. </w:t>
      </w:r>
      <w:r w:rsidRPr="00320FA9">
        <w:rPr>
          <w:rFonts w:ascii="Times New Roman" w:hAnsi="Times New Roman"/>
          <w:i/>
          <w:noProof/>
          <w:sz w:val="24"/>
        </w:rPr>
        <w:t>Bīstamības analīzes un kritisko kontroles punktu sistēma (HACCP) un tās piemērošanas pamatnostādnes</w:t>
      </w:r>
      <w:r w:rsidRPr="00320FA9">
        <w:rPr>
          <w:rFonts w:ascii="Times New Roman" w:hAnsi="Times New Roman"/>
          <w:noProof/>
          <w:sz w:val="24"/>
        </w:rPr>
        <w:t>. CAC/RCP 1-1969 pielikums (</w:t>
      </w:r>
      <w:r w:rsidRPr="00320FA9">
        <w:rPr>
          <w:rFonts w:ascii="Times New Roman" w:hAnsi="Times New Roman"/>
          <w:i/>
          <w:noProof/>
          <w:sz w:val="24"/>
        </w:rPr>
        <w:t>Pārtikas higiēnas vispārējie principi</w:t>
      </w:r>
      <w:r w:rsidRPr="00320FA9">
        <w:rPr>
          <w:rFonts w:ascii="Times New Roman" w:hAnsi="Times New Roman"/>
          <w:noProof/>
          <w:sz w:val="24"/>
        </w:rPr>
        <w:t>) (4. red. - 2003. g.)].</w:t>
      </w:r>
    </w:p>
    <w:p w:rsidR="00085477" w:rsidRPr="00320FA9" w:rsidRDefault="00085477" w:rsidP="00320FA9">
      <w:pPr>
        <w:jc w:val="both"/>
        <w:rPr>
          <w:rFonts w:ascii="Times New Roman" w:eastAsia="Times New Roman" w:hAnsi="Times New Roman" w:cs="Times New Roman"/>
          <w:noProof/>
          <w:sz w:val="24"/>
        </w:rPr>
      </w:pPr>
      <w:r w:rsidRPr="00320FA9">
        <w:rPr>
          <w:rFonts w:ascii="Times New Roman" w:hAnsi="Times New Roman"/>
          <w:b/>
          <w:i/>
          <w:noProof/>
          <w:sz w:val="24"/>
        </w:rPr>
        <w:t>COSAVE</w:t>
      </w:r>
      <w:r w:rsidRPr="00320FA9">
        <w:rPr>
          <w:rFonts w:ascii="Times New Roman" w:hAnsi="Times New Roman"/>
          <w:b/>
          <w:noProof/>
          <w:sz w:val="24"/>
        </w:rPr>
        <w:t xml:space="preserve">. </w:t>
      </w:r>
      <w:r w:rsidRPr="00320FA9">
        <w:rPr>
          <w:rFonts w:ascii="Times New Roman" w:hAnsi="Times New Roman"/>
          <w:noProof/>
          <w:sz w:val="24"/>
        </w:rPr>
        <w:t xml:space="preserve">1998. </w:t>
      </w:r>
      <w:r w:rsidRPr="00320FA9">
        <w:rPr>
          <w:rFonts w:ascii="Times New Roman" w:hAnsi="Times New Roman"/>
          <w:i/>
          <w:noProof/>
          <w:sz w:val="24"/>
        </w:rPr>
        <w:t xml:space="preserve">Lineamientos para un sistema integrado de medidas para mitigación del riesgo de plagas (¨system approach¨) </w:t>
      </w:r>
      <w:r w:rsidRPr="00320FA9">
        <w:rPr>
          <w:rFonts w:ascii="Times New Roman" w:hAnsi="Times New Roman"/>
          <w:noProof/>
          <w:sz w:val="24"/>
        </w:rPr>
        <w:t>[</w:t>
      </w:r>
      <w:r w:rsidRPr="00320FA9">
        <w:rPr>
          <w:rFonts w:ascii="Times New Roman" w:hAnsi="Times New Roman"/>
          <w:i/>
          <w:noProof/>
          <w:sz w:val="24"/>
        </w:rPr>
        <w:t>Integrētās pasākumu sistēmas pamatnostādnes kaitīgo organismu riska mazināšanai</w:t>
      </w:r>
      <w:r w:rsidRPr="00320FA9">
        <w:rPr>
          <w:rFonts w:ascii="Times New Roman" w:hAnsi="Times New Roman"/>
          <w:noProof/>
          <w:sz w:val="24"/>
        </w:rPr>
        <w:t xml:space="preserve"> </w:t>
      </w:r>
      <w:r w:rsidRPr="00320FA9">
        <w:rPr>
          <w:rFonts w:ascii="Times New Roman" w:hAnsi="Times New Roman"/>
          <w:i/>
          <w:noProof/>
          <w:sz w:val="24"/>
        </w:rPr>
        <w:t>(“sistēmiskā pieeja”)</w:t>
      </w:r>
      <w:r w:rsidRPr="00320FA9">
        <w:rPr>
          <w:rFonts w:ascii="Times New Roman" w:hAnsi="Times New Roman"/>
          <w:noProof/>
          <w:sz w:val="24"/>
        </w:rPr>
        <w:t xml:space="preserve">]. </w:t>
      </w:r>
      <w:r w:rsidRPr="00320FA9">
        <w:rPr>
          <w:rFonts w:ascii="Times New Roman" w:hAnsi="Times New Roman"/>
          <w:i/>
          <w:noProof/>
          <w:sz w:val="24"/>
        </w:rPr>
        <w:t>Estandar Regional en Proteccion Fitosanitaria</w:t>
      </w:r>
      <w:r w:rsidRPr="00320FA9">
        <w:rPr>
          <w:rFonts w:ascii="Times New Roman" w:hAnsi="Times New Roman"/>
          <w:noProof/>
          <w:sz w:val="24"/>
        </w:rPr>
        <w:t xml:space="preserve"> 3.13, v. 1.2. </w:t>
      </w:r>
      <w:r w:rsidRPr="00320FA9">
        <w:rPr>
          <w:rFonts w:ascii="Times New Roman" w:hAnsi="Times New Roman"/>
          <w:i/>
          <w:noProof/>
          <w:sz w:val="24"/>
        </w:rPr>
        <w:t>Asunción, Paraguay, Comité de Sanidad Vegetal del Cono Sur</w:t>
      </w:r>
      <w:r w:rsidRPr="00320FA9">
        <w:rPr>
          <w:rFonts w:ascii="Times New Roman" w:hAnsi="Times New Roman"/>
          <w:noProof/>
          <w:sz w:val="24"/>
        </w:rPr>
        <w:t>.</w:t>
      </w:r>
    </w:p>
    <w:p w:rsidR="00085477" w:rsidRPr="00320FA9" w:rsidRDefault="00085477" w:rsidP="00320FA9">
      <w:pPr>
        <w:jc w:val="both"/>
        <w:rPr>
          <w:rFonts w:ascii="Times New Roman" w:hAnsi="Times New Roman"/>
          <w:noProof/>
          <w:sz w:val="24"/>
        </w:rPr>
      </w:pPr>
      <w:r w:rsidRPr="00320FA9">
        <w:rPr>
          <w:rFonts w:ascii="Times New Roman" w:hAnsi="Times New Roman"/>
          <w:b/>
          <w:noProof/>
          <w:sz w:val="24"/>
        </w:rPr>
        <w:t>IPPC</w:t>
      </w:r>
      <w:r w:rsidRPr="00320FA9">
        <w:rPr>
          <w:rFonts w:ascii="Times New Roman" w:hAnsi="Times New Roman"/>
          <w:noProof/>
          <w:sz w:val="24"/>
        </w:rPr>
        <w:t xml:space="preserve">. 1997. </w:t>
      </w:r>
      <w:r w:rsidRPr="00320FA9">
        <w:rPr>
          <w:rFonts w:ascii="Times New Roman" w:hAnsi="Times New Roman"/>
          <w:i/>
          <w:noProof/>
          <w:sz w:val="24"/>
        </w:rPr>
        <w:t>International Plant Protection Convention</w:t>
      </w:r>
      <w:r w:rsidRPr="00320FA9">
        <w:rPr>
          <w:rFonts w:ascii="Times New Roman" w:hAnsi="Times New Roman"/>
          <w:noProof/>
          <w:sz w:val="24"/>
        </w:rPr>
        <w:t>. Rome, IPPC, FAO. [</w:t>
      </w:r>
      <w:r w:rsidRPr="00320FA9">
        <w:rPr>
          <w:rFonts w:ascii="Times New Roman" w:hAnsi="Times New Roman"/>
          <w:i/>
          <w:noProof/>
          <w:sz w:val="24"/>
        </w:rPr>
        <w:t>IPPC</w:t>
      </w:r>
      <w:r w:rsidRPr="00320FA9">
        <w:rPr>
          <w:rFonts w:ascii="Times New Roman" w:hAnsi="Times New Roman"/>
          <w:noProof/>
          <w:sz w:val="24"/>
        </w:rPr>
        <w:t xml:space="preserve">. 1997.g., </w:t>
      </w:r>
      <w:r w:rsidRPr="00320FA9">
        <w:rPr>
          <w:rFonts w:ascii="Times New Roman" w:hAnsi="Times New Roman"/>
          <w:i/>
          <w:noProof/>
          <w:sz w:val="24"/>
        </w:rPr>
        <w:t>Starptautiskā augu aizsardzības konvencija</w:t>
      </w:r>
      <w:r w:rsidRPr="00320FA9">
        <w:rPr>
          <w:rFonts w:ascii="Times New Roman" w:hAnsi="Times New Roman"/>
          <w:noProof/>
          <w:sz w:val="24"/>
        </w:rPr>
        <w:t xml:space="preserve">, Roma, </w:t>
      </w:r>
      <w:r w:rsidRPr="00320FA9">
        <w:rPr>
          <w:rFonts w:ascii="Times New Roman" w:hAnsi="Times New Roman"/>
          <w:i/>
          <w:noProof/>
          <w:sz w:val="24"/>
        </w:rPr>
        <w:t>IPPC</w:t>
      </w:r>
      <w:r w:rsidRPr="00320FA9">
        <w:rPr>
          <w:rFonts w:ascii="Times New Roman" w:hAnsi="Times New Roman"/>
          <w:noProof/>
          <w:sz w:val="24"/>
        </w:rPr>
        <w:t xml:space="preserve">, </w:t>
      </w:r>
      <w:r w:rsidRPr="00320FA9">
        <w:rPr>
          <w:rFonts w:ascii="Times New Roman" w:hAnsi="Times New Roman"/>
          <w:i/>
          <w:noProof/>
          <w:sz w:val="24"/>
        </w:rPr>
        <w:t>FAO</w:t>
      </w:r>
      <w:r w:rsidRPr="00320FA9">
        <w:rPr>
          <w:rFonts w:ascii="Times New Roman" w:hAnsi="Times New Roman"/>
          <w:noProof/>
          <w:sz w:val="24"/>
        </w:rPr>
        <w:t>.]</w:t>
      </w:r>
    </w:p>
    <w:p w:rsidR="00085477" w:rsidRPr="00320FA9" w:rsidRDefault="00085477" w:rsidP="00320FA9">
      <w:pPr>
        <w:jc w:val="both"/>
        <w:rPr>
          <w:rFonts w:ascii="Times New Roman" w:hAnsi="Times New Roman"/>
          <w:noProof/>
          <w:sz w:val="24"/>
        </w:rPr>
      </w:pPr>
      <w:r w:rsidRPr="00320FA9">
        <w:rPr>
          <w:rFonts w:ascii="Times New Roman" w:hAnsi="Times New Roman"/>
          <w:b/>
          <w:noProof/>
          <w:sz w:val="24"/>
        </w:rPr>
        <w:t>WTO</w:t>
      </w:r>
      <w:r w:rsidRPr="00320FA9">
        <w:rPr>
          <w:rFonts w:ascii="Times New Roman" w:hAnsi="Times New Roman"/>
          <w:noProof/>
          <w:sz w:val="24"/>
        </w:rPr>
        <w:t xml:space="preserve">. 1994. </w:t>
      </w:r>
      <w:r w:rsidRPr="00320FA9">
        <w:rPr>
          <w:rFonts w:ascii="Times New Roman" w:hAnsi="Times New Roman"/>
          <w:i/>
          <w:noProof/>
          <w:sz w:val="24"/>
        </w:rPr>
        <w:t>Agreement on the Application of Sanitary and Phytosanitary Measures</w:t>
      </w:r>
      <w:r w:rsidRPr="00320FA9">
        <w:rPr>
          <w:rFonts w:ascii="Times New Roman" w:hAnsi="Times New Roman"/>
          <w:noProof/>
          <w:sz w:val="24"/>
        </w:rPr>
        <w:t xml:space="preserve">. Geneva, World Trade Organization. [PTO. 1994. g., </w:t>
      </w:r>
      <w:r w:rsidRPr="00320FA9">
        <w:rPr>
          <w:rFonts w:ascii="Times New Roman" w:hAnsi="Times New Roman"/>
          <w:i/>
          <w:noProof/>
          <w:sz w:val="24"/>
        </w:rPr>
        <w:t>Nolīgums par sanitāro un fitosanitāro pasākumu piemērošanu</w:t>
      </w:r>
      <w:r w:rsidRPr="00320FA9">
        <w:rPr>
          <w:rFonts w:ascii="Times New Roman" w:hAnsi="Times New Roman"/>
          <w:noProof/>
          <w:sz w:val="24"/>
        </w:rPr>
        <w:t>. Ženēva, Pasaules Tirdzniecības organizācija.]</w:t>
      </w:r>
    </w:p>
    <w:p w:rsidR="00085477" w:rsidRPr="00320FA9" w:rsidRDefault="00085477" w:rsidP="00320FA9">
      <w:pPr>
        <w:jc w:val="both"/>
        <w:rPr>
          <w:rFonts w:ascii="Times New Roman" w:hAnsi="Times New Roman"/>
          <w:noProof/>
          <w:sz w:val="24"/>
        </w:rPr>
      </w:pPr>
    </w:p>
    <w:p w:rsidR="00085477" w:rsidRPr="00320FA9" w:rsidRDefault="00085477" w:rsidP="00094E34">
      <w:pPr>
        <w:pStyle w:val="Heading1"/>
        <w:rPr>
          <w:noProof/>
        </w:rPr>
      </w:pPr>
      <w:bookmarkStart w:id="11" w:name="_Toc472687600"/>
      <w:r w:rsidRPr="00320FA9">
        <w:t>Definīcijas</w:t>
      </w:r>
      <w:bookmarkStart w:id="12" w:name="_bookmark4"/>
      <w:bookmarkEnd w:id="12"/>
      <w:bookmarkEnd w:id="11"/>
    </w:p>
    <w:p w:rsidR="00094E34" w:rsidRDefault="00094E34" w:rsidP="00320FA9">
      <w:pPr>
        <w:jc w:val="both"/>
        <w:rPr>
          <w:rFonts w:ascii="Times New Roman" w:hAnsi="Times New Roman"/>
          <w:noProof/>
          <w:sz w:val="24"/>
        </w:rPr>
      </w:pPr>
    </w:p>
    <w:p w:rsidR="00085477" w:rsidRPr="00320FA9" w:rsidRDefault="00085477" w:rsidP="00320FA9">
      <w:pPr>
        <w:jc w:val="both"/>
        <w:rPr>
          <w:rFonts w:ascii="Times New Roman" w:eastAsia="Times New Roman" w:hAnsi="Times New Roman" w:cs="Times New Roman"/>
          <w:noProof/>
          <w:sz w:val="24"/>
        </w:rPr>
      </w:pPr>
      <w:r w:rsidRPr="00320FA9">
        <w:rPr>
          <w:rFonts w:ascii="Times New Roman" w:hAnsi="Times New Roman"/>
          <w:noProof/>
          <w:sz w:val="24"/>
        </w:rPr>
        <w:t>Šajā standartā izmantotās fitosanitāro terminu definīcijas ir atrodamas FPSS Nr. 5 (</w:t>
      </w:r>
      <w:r w:rsidRPr="00320FA9">
        <w:rPr>
          <w:rFonts w:ascii="Times New Roman" w:hAnsi="Times New Roman"/>
          <w:i/>
          <w:noProof/>
          <w:sz w:val="24"/>
        </w:rPr>
        <w:t>Fitosanitāro terminu glosārijs</w:t>
      </w:r>
      <w:r w:rsidRPr="00320FA9">
        <w:rPr>
          <w:rFonts w:ascii="Times New Roman" w:hAnsi="Times New Roman"/>
          <w:noProof/>
          <w:sz w:val="24"/>
        </w:rPr>
        <w:t>).</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085477" w:rsidP="00094E34">
      <w:pPr>
        <w:pStyle w:val="Heading1"/>
        <w:rPr>
          <w:noProof/>
        </w:rPr>
      </w:pPr>
      <w:bookmarkStart w:id="13" w:name="_Toc472687601"/>
      <w:r w:rsidRPr="00320FA9">
        <w:t>Prasību izklāsts</w:t>
      </w:r>
      <w:bookmarkStart w:id="14" w:name="_bookmark5"/>
      <w:bookmarkEnd w:id="14"/>
      <w:bookmarkEnd w:id="13"/>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FPSS Nr. 2 (</w:t>
      </w:r>
      <w:r w:rsidRPr="00320FA9">
        <w:rPr>
          <w:i/>
          <w:noProof/>
          <w:sz w:val="24"/>
        </w:rPr>
        <w:t>Kaitīgo organismu riska analīzes pamatnostādnes</w:t>
      </w:r>
      <w:r w:rsidRPr="00320FA9">
        <w:rPr>
          <w:noProof/>
          <w:sz w:val="24"/>
        </w:rPr>
        <w:t xml:space="preserve"> [</w:t>
      </w:r>
      <w:r w:rsidRPr="00320FA9">
        <w:rPr>
          <w:i/>
          <w:noProof/>
          <w:sz w:val="24"/>
        </w:rPr>
        <w:t>Framework for pest risk analysis</w:t>
      </w:r>
      <w:r w:rsidRPr="00320FA9">
        <w:rPr>
          <w:noProof/>
          <w:sz w:val="24"/>
        </w:rPr>
        <w:t>]), FPSS Nr. 11 (</w:t>
      </w:r>
      <w:r w:rsidRPr="00320FA9">
        <w:rPr>
          <w:i/>
          <w:noProof/>
          <w:sz w:val="24"/>
        </w:rPr>
        <w:t>Kaitīgo organismu riska analīze karantīnas organismiem</w:t>
      </w:r>
      <w:r w:rsidRPr="00320FA9">
        <w:rPr>
          <w:noProof/>
          <w:sz w:val="24"/>
        </w:rPr>
        <w:t xml:space="preserve"> [</w:t>
      </w:r>
      <w:r w:rsidRPr="00320FA9">
        <w:rPr>
          <w:i/>
          <w:noProof/>
          <w:sz w:val="24"/>
        </w:rPr>
        <w:t>Pest risk analysis for quarantine pests</w:t>
      </w:r>
      <w:r w:rsidRPr="00320FA9">
        <w:rPr>
          <w:noProof/>
          <w:sz w:val="24"/>
        </w:rPr>
        <w:t>]) un FPSS Nr. 21 (</w:t>
      </w:r>
      <w:r w:rsidRPr="00320FA9">
        <w:rPr>
          <w:i/>
          <w:noProof/>
          <w:sz w:val="24"/>
        </w:rPr>
        <w:t>Kaitīgo organismu riska analīze attiecībā uz reglamentētiem augu nekarantīnas organismiem</w:t>
      </w:r>
      <w:r w:rsidRPr="00320FA9">
        <w:rPr>
          <w:noProof/>
          <w:sz w:val="24"/>
        </w:rPr>
        <w:t xml:space="preserve"> [</w:t>
      </w:r>
      <w:r w:rsidRPr="00320FA9">
        <w:rPr>
          <w:i/>
          <w:noProof/>
          <w:sz w:val="24"/>
        </w:rPr>
        <w:t>Pest risk analysis for regulated non-quarantine pests</w:t>
      </w:r>
      <w:r w:rsidRPr="00320FA9">
        <w:rPr>
          <w:noProof/>
          <w:sz w:val="24"/>
        </w:rPr>
        <w:t xml:space="preserve">]) sniegti vispārēji norādījumi par pasākumiem kaitīgo organismu riska pārvaldībai. Sistēmiskās pieejas, kuras skaidri integrē pasākumus kaitīgo organismu riska </w:t>
      </w:r>
      <w:r w:rsidRPr="00320FA9">
        <w:rPr>
          <w:noProof/>
          <w:sz w:val="24"/>
        </w:rPr>
        <w:lastRenderedPageBreak/>
        <w:t>pārvaldībai, varētu sniegt alternatīvu atsevišķiem pasākumiem, lai nodrošinātu atbilstoša līmeņa fitosanitāro aizsardzību, kāda ir importētājvalstī. Tās var izstrādāt arī situācijās, kad nav pieejami atsevišķi pasākumi. Sistēmiskā pieeja rada nepieciešamību integrēt dažādus pasākumus, no kuriem vi</w:t>
      </w:r>
      <w:r w:rsidR="00F85D05">
        <w:rPr>
          <w:noProof/>
          <w:sz w:val="24"/>
        </w:rPr>
        <w:t>smaz divi ir nesaistīti</w:t>
      </w:r>
      <w:r w:rsidRPr="00320FA9">
        <w:rPr>
          <w:noProof/>
          <w:sz w:val="24"/>
        </w:rPr>
        <w:t xml:space="preserve"> ar kumulatīvo ietekmi.</w:t>
      </w:r>
    </w:p>
    <w:p w:rsidR="00094E34" w:rsidRDefault="00094E34" w:rsidP="00320FA9">
      <w:pPr>
        <w:pStyle w:val="BodyText"/>
        <w:spacing w:before="0"/>
        <w:ind w:left="0" w:firstLine="0"/>
        <w:jc w:val="both"/>
        <w:rPr>
          <w:noProof/>
          <w:sz w:val="24"/>
        </w:rPr>
      </w:pPr>
    </w:p>
    <w:p w:rsidR="002F58F5" w:rsidRPr="00320FA9" w:rsidRDefault="00085477" w:rsidP="00320FA9">
      <w:pPr>
        <w:pStyle w:val="BodyText"/>
        <w:spacing w:before="0"/>
        <w:ind w:left="0" w:firstLine="0"/>
        <w:jc w:val="both"/>
        <w:rPr>
          <w:noProof/>
          <w:sz w:val="24"/>
        </w:rPr>
      </w:pPr>
      <w:r w:rsidRPr="00320FA9">
        <w:rPr>
          <w:noProof/>
          <w:sz w:val="24"/>
        </w:rPr>
        <w:t>S</w:t>
      </w:r>
      <w:r w:rsidR="00F85D05">
        <w:rPr>
          <w:noProof/>
          <w:sz w:val="24"/>
        </w:rPr>
        <w:t>istēmiskās pieejas ir ļoti daudzveidīgas</w:t>
      </w:r>
      <w:r w:rsidRPr="00320FA9">
        <w:rPr>
          <w:noProof/>
          <w:sz w:val="24"/>
        </w:rPr>
        <w:t>. Kritisko kontroles punktu sistēmas piemērošana sistēmiskā pieejā var būt noderīga, lai noteiktu un novērtētu punktus izplatīšanas ceļā, kuros var samazināt un uzraudzīt noteikto kaitīgo organismu risku. Sistēmiskās pieejas izstrādē un novērtēšanā var izmantot kvantitatīvās vai kvalitatīvās metodes. Eksportētājvalstis un importētājvalstis var apspriesties un sadarboties sistēmiskās pieejas izstrādē un īstenošanā. Lēmumu par sistēmiskās pieejas pieņemamību pieņem importētājvalsts, izvērtējot tehnisko pamatojumu, minimālo ietekmi, pārredzamību, diskriminācijas aizliegumu, līdzvērtību un darbības iespējamību. Sistēmisko pieeju parasti izstrādā kā izvēles iespēju, kas ir līdzvērtīga pārējiem pasākumiem, bet tomēr mazāk ierobežojoša.</w:t>
      </w:r>
    </w:p>
    <w:p w:rsidR="002F58F5" w:rsidRPr="00320FA9" w:rsidRDefault="002F58F5" w:rsidP="00320FA9">
      <w:pPr>
        <w:jc w:val="both"/>
        <w:rPr>
          <w:rFonts w:ascii="Times New Roman" w:eastAsia="Times New Roman" w:hAnsi="Times New Roman"/>
          <w:noProof/>
          <w:sz w:val="24"/>
        </w:rPr>
      </w:pPr>
      <w:r w:rsidRPr="00320FA9">
        <w:rPr>
          <w:rFonts w:ascii="Times New Roman" w:hAnsi="Times New Roman"/>
          <w:sz w:val="24"/>
        </w:rPr>
        <w:br w:type="page"/>
      </w:r>
    </w:p>
    <w:p w:rsidR="00085477" w:rsidRPr="00320FA9" w:rsidRDefault="00085477" w:rsidP="00094E34">
      <w:pPr>
        <w:pStyle w:val="Heading1"/>
        <w:rPr>
          <w:noProof/>
        </w:rPr>
      </w:pPr>
      <w:bookmarkStart w:id="15" w:name="_Toc472687602"/>
      <w:r w:rsidRPr="00320FA9">
        <w:lastRenderedPageBreak/>
        <w:t>PRASĪBAS</w:t>
      </w:r>
      <w:bookmarkStart w:id="16" w:name="_bookmark6"/>
      <w:bookmarkEnd w:id="16"/>
      <w:bookmarkEnd w:id="15"/>
    </w:p>
    <w:p w:rsidR="00085477" w:rsidRPr="00320FA9" w:rsidRDefault="00085477" w:rsidP="00320FA9">
      <w:pPr>
        <w:jc w:val="both"/>
        <w:rPr>
          <w:rFonts w:ascii="Times New Roman" w:eastAsia="Times New Roman" w:hAnsi="Times New Roman" w:cs="Times New Roman"/>
          <w:b/>
          <w:bCs/>
          <w:noProof/>
          <w:sz w:val="24"/>
          <w:szCs w:val="31"/>
        </w:rPr>
      </w:pPr>
    </w:p>
    <w:p w:rsidR="00085477" w:rsidRPr="00320FA9" w:rsidRDefault="004A0E96" w:rsidP="00094E34">
      <w:pPr>
        <w:pStyle w:val="Heading1"/>
        <w:rPr>
          <w:noProof/>
        </w:rPr>
      </w:pPr>
      <w:bookmarkStart w:id="17" w:name="_Toc472687603"/>
      <w:r w:rsidRPr="00320FA9">
        <w:t>1. Sistēmisko pieeju mērķis</w:t>
      </w:r>
      <w:bookmarkStart w:id="18" w:name="_bookmark7"/>
      <w:bookmarkEnd w:id="18"/>
      <w:bookmarkEnd w:id="17"/>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 xml:space="preserve">Daudzi kaitīgo organismu riska pārvaldības elementi un atsevišķi komponenti ir aprakstīti FPSS Nr. 2, FPSS Nr. 11 un FPSS Nr. 21. Saskaņā ar </w:t>
      </w:r>
      <w:r w:rsidRPr="00320FA9">
        <w:rPr>
          <w:i/>
          <w:noProof/>
          <w:sz w:val="24"/>
        </w:rPr>
        <w:t>IPPC</w:t>
      </w:r>
      <w:r w:rsidRPr="00320FA9">
        <w:rPr>
          <w:noProof/>
          <w:sz w:val="24"/>
        </w:rPr>
        <w:t xml:space="preserve"> 7. panta 2. punkta a) apakšpunktu visiem fitosanitārajiem pasākumiem jābūt tehniski pamatotiem. Sistēmiskā pieeja integrē pasākumus, lai atbilstu fitosanitārajām importa prasībām. Attiecīgos gadījumos sistēmiskā pieeja nodrošina līdzvērtīgu alternatīvu tādām procedūrām kā apstrāde vai aizstāj tādus ierobežojošākus pasākumus kā aizliegums. To iespējams panākt, izvērtējot dažādu nosacījumu un procedūru kopīgo ietekmi. Sistēmiskās pieejas sniedz iespēju izvērtēt procedūras pirms un pēc ražas novākšanas, kas var veicināt efektīvu kaitīgo organismu riska pārvaldību. Izvērtējot kaitīgo organismu riska pārvaldības iespējas, svarīgi apsvērt arī sistēmiskās pieejas, jo attiecīgo pasākumu integrēšana tirdzniecību var ierobežot mazāk nekā citas riska pārvaldības iespējas (jo īpaši tajos gadījumos, kad alternatīva ir aizliegums).</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4A0E96" w:rsidP="00094E34">
      <w:pPr>
        <w:pStyle w:val="Heading1"/>
        <w:rPr>
          <w:noProof/>
        </w:rPr>
      </w:pPr>
      <w:bookmarkStart w:id="19" w:name="_Toc472687604"/>
      <w:r w:rsidRPr="00320FA9">
        <w:t>2. Sistēmisko pieeju īpašības</w:t>
      </w:r>
      <w:bookmarkStart w:id="20" w:name="_bookmark8"/>
      <w:bookmarkEnd w:id="20"/>
      <w:bookmarkEnd w:id="19"/>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 xml:space="preserve">Sistēmiskajai pieejai ir nepieciešams viens vai vairāki pasākumi, kas viens no otra ir neatkarīgi, un var ietvert jebkādu skaitu </w:t>
      </w:r>
      <w:r w:rsidR="00F85D05">
        <w:rPr>
          <w:noProof/>
          <w:sz w:val="24"/>
        </w:rPr>
        <w:t>pasākumu, kas ir savstarpēji saistīti</w:t>
      </w:r>
      <w:r w:rsidRPr="00320FA9">
        <w:rPr>
          <w:noProof/>
          <w:sz w:val="24"/>
        </w:rPr>
        <w:t>. Sistēmiskās pieejas priekšrocība ir spēja risināt ar dažādību un nenoteiktību saistītos jautājumus, mainot pasākumu skaitu un iedarbību, lai nodrošinātu atbilstību fitosanitārajām importa prasībām.</w:t>
      </w:r>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Sistēmiskajā pieejā izmantotos pasākumus var piemērot pirms un/vai pēc ražas novākšanas, ja nacionālajām augu aizsardzības organizācijām (NAAO) ir iespēja uzraudzīt fitosanitārās procedūras un nodrošināt atbilstību tām. Tādējādi sistēmiskajā pieejā var ietilpt pasākumi, kas tiek piemēroti ražošanas vietā, pēc ražas novākšanas, iepakošanas uzņēmumā vai preču pārvadāšanas un izplatīšanas laikā.</w:t>
      </w:r>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Sistēmiskajā pieejā var integrēt arī audzēšana</w:t>
      </w:r>
      <w:r w:rsidR="00F85D05">
        <w:rPr>
          <w:noProof/>
          <w:sz w:val="24"/>
        </w:rPr>
        <w:t>s praksi, augu apstrādi,</w:t>
      </w:r>
      <w:r w:rsidRPr="00320FA9">
        <w:rPr>
          <w:noProof/>
          <w:sz w:val="24"/>
        </w:rPr>
        <w:t xml:space="preserve"> apstrādi pēc ražas novākšanas, pārbaudi un citas procedūras. Tāpat sistēmiskajā pieejā parasti ietilpst riska pārvaldības pasākumi, kas paredzēti piesārņojuma vai atkārtotas invadēšanās novēršanai (piemēram, partiju viendabīguma saglabāšana, pret kaitīgiem organismiem droša iep</w:t>
      </w:r>
      <w:r w:rsidR="00F85D05">
        <w:rPr>
          <w:noProof/>
          <w:sz w:val="24"/>
        </w:rPr>
        <w:t>akojuma pieprasīšana, iepakošanas zonu izklāšana ar aizsargmateriālu</w:t>
      </w:r>
      <w:r w:rsidRPr="00320FA9">
        <w:rPr>
          <w:noProof/>
          <w:sz w:val="24"/>
        </w:rPr>
        <w:t xml:space="preserve"> u. c.). Arī tādas procedūras kā kaitīgo organismu uzraudzība, slazdu izlikšana un paraugu ņemšana var būt sistēmiskās pieejas komponenti.</w:t>
      </w:r>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Sistēmiskajā pieejā var iek</w:t>
      </w:r>
      <w:r w:rsidR="00F85D05">
        <w:rPr>
          <w:noProof/>
          <w:sz w:val="24"/>
        </w:rPr>
        <w:t>ļaut pasākumus, kuros neiznīcina</w:t>
      </w:r>
      <w:r w:rsidRPr="00320FA9">
        <w:rPr>
          <w:noProof/>
          <w:sz w:val="24"/>
        </w:rPr>
        <w:t xml:space="preserve"> kaitīgos organismus un nesamazina to izplatību, tā vietā samazinot šo kaitīgo organismu iekļūšanas vai ieviešanās iespēju (drošības pasākumi). Šādi pasākumi būtu, piemēram, noteikti ražas novākšanas vai pārvadāšanas periodi, brieduma, krāsas, cietības ierobežojumi vai c</w:t>
      </w:r>
      <w:r w:rsidR="00F85D05">
        <w:rPr>
          <w:noProof/>
          <w:sz w:val="24"/>
        </w:rPr>
        <w:t>iti preču nosacījumi, izturīgu</w:t>
      </w:r>
      <w:r w:rsidRPr="00320FA9">
        <w:rPr>
          <w:noProof/>
          <w:sz w:val="24"/>
        </w:rPr>
        <w:t xml:space="preserve"> saimniekaugu izmantošana un ierobežota izplatīšana vai izmantošana galamērķī.</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4A0E96" w:rsidP="00094E34">
      <w:pPr>
        <w:pStyle w:val="Heading1"/>
        <w:rPr>
          <w:noProof/>
        </w:rPr>
      </w:pPr>
      <w:bookmarkStart w:id="21" w:name="_Toc472687605"/>
      <w:r w:rsidRPr="00320FA9">
        <w:t xml:space="preserve">3. Saistība ar </w:t>
      </w:r>
      <w:r w:rsidRPr="00320FA9">
        <w:rPr>
          <w:i/>
        </w:rPr>
        <w:t>PRA</w:t>
      </w:r>
      <w:r w:rsidRPr="00320FA9">
        <w:t xml:space="preserve"> un pieejamās kaitīgo organismu riska pārvaldības iespējas</w:t>
      </w:r>
      <w:bookmarkStart w:id="22" w:name="_bookmark9"/>
      <w:bookmarkEnd w:id="22"/>
      <w:bookmarkEnd w:id="21"/>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Kaitīgo organismu riska novērtējuma (</w:t>
      </w:r>
      <w:r w:rsidRPr="00320FA9">
        <w:rPr>
          <w:i/>
          <w:noProof/>
          <w:sz w:val="24"/>
        </w:rPr>
        <w:t>PRA</w:t>
      </w:r>
      <w:r w:rsidRPr="00320FA9">
        <w:rPr>
          <w:noProof/>
          <w:sz w:val="24"/>
        </w:rPr>
        <w:t xml:space="preserve"> 2. posms) rezultātā gūtos secinājumus izmanto, lai lemtu par kaitīgo organismu riska pārvaldības nepieciešamību un izmantojamo pasākumu iedarbību. Kaitīgo organismu riska pārvaldība (</w:t>
      </w:r>
      <w:r w:rsidRPr="00320FA9">
        <w:rPr>
          <w:i/>
          <w:noProof/>
          <w:sz w:val="24"/>
        </w:rPr>
        <w:t>PRA</w:t>
      </w:r>
      <w:r w:rsidRPr="00320FA9">
        <w:rPr>
          <w:noProof/>
          <w:sz w:val="24"/>
        </w:rPr>
        <w:t xml:space="preserve"> 3. posms) ir process, kurā tiek apzināti veidi, kā reaģēt uz konstatēto risku, novērtējot šo procedūru efektivitāti un iesakot atbilstošākās iespējas.</w:t>
      </w:r>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lastRenderedPageBreak/>
        <w:t>Fitosanitāro pasākumu apvienojums sistēmiskajā pieejā ir viena no iespējām, kuru var izvēlēties par pamatu fitosanitārajām importa prasībām. Tāpat kā attiecībā uz visu kaitīgo organismu riska pārvaldības pasākumu izstrādi, jāņem vērā riska nenoteiktība. (Skatīt FPSS Nr. 11.)</w:t>
      </w:r>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Principā sistēmiskajām pieejām ir jāsastāv no tādu fitosanitāro pasākumu apvienojuma, kurus ir iespējams īstenot eksportētājvalstī. Tomēr gadījumā, ja eksportētājvalsts ierosina pasākumus, kas jāīsteno importētājvalsts teritorijā, un importētājvalsts tam piekrīt, pasākumus importētājvalstī var apvienot sistēmiskajās pieejās.</w:t>
      </w:r>
    </w:p>
    <w:p w:rsidR="002F58F5" w:rsidRPr="00320FA9" w:rsidRDefault="002F58F5"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Turpmāk apkopotas vairākas biežāk izmantotās iespējas.</w:t>
      </w:r>
    </w:p>
    <w:p w:rsidR="002F58F5" w:rsidRPr="00320FA9" w:rsidRDefault="002F58F5" w:rsidP="00320FA9">
      <w:pPr>
        <w:pStyle w:val="BodyText"/>
        <w:spacing w:before="0"/>
        <w:ind w:left="0" w:firstLine="0"/>
        <w:jc w:val="both"/>
        <w:rPr>
          <w:noProof/>
          <w:sz w:val="24"/>
        </w:rPr>
      </w:pPr>
    </w:p>
    <w:p w:rsidR="00085477" w:rsidRPr="00320FA9" w:rsidRDefault="00085477" w:rsidP="00320FA9">
      <w:pPr>
        <w:pStyle w:val="Heading5"/>
        <w:spacing w:before="0"/>
        <w:ind w:left="0"/>
        <w:jc w:val="both"/>
        <w:rPr>
          <w:noProof/>
          <w:sz w:val="24"/>
        </w:rPr>
      </w:pPr>
      <w:r w:rsidRPr="00320FA9">
        <w:rPr>
          <w:noProof/>
          <w:sz w:val="24"/>
        </w:rPr>
        <w:t>Pirms stādīšanas:</w:t>
      </w:r>
    </w:p>
    <w:p w:rsidR="00085477" w:rsidRPr="00320FA9" w:rsidRDefault="00085477" w:rsidP="00094E34">
      <w:pPr>
        <w:pStyle w:val="BodyText"/>
        <w:numPr>
          <w:ilvl w:val="0"/>
          <w:numId w:val="6"/>
        </w:numPr>
        <w:tabs>
          <w:tab w:val="left" w:pos="709"/>
        </w:tabs>
        <w:spacing w:before="0"/>
        <w:ind w:left="709" w:hanging="709"/>
        <w:jc w:val="both"/>
        <w:rPr>
          <w:noProof/>
          <w:sz w:val="24"/>
        </w:rPr>
      </w:pPr>
      <w:r w:rsidRPr="00320FA9">
        <w:rPr>
          <w:noProof/>
          <w:sz w:val="24"/>
        </w:rPr>
        <w:t>veselīgs stādāmais materiāls;</w:t>
      </w:r>
    </w:p>
    <w:p w:rsidR="00085477" w:rsidRPr="00320FA9" w:rsidRDefault="00F85D05" w:rsidP="00094E34">
      <w:pPr>
        <w:pStyle w:val="BodyText"/>
        <w:numPr>
          <w:ilvl w:val="0"/>
          <w:numId w:val="6"/>
        </w:numPr>
        <w:tabs>
          <w:tab w:val="left" w:pos="709"/>
        </w:tabs>
        <w:spacing w:before="0"/>
        <w:ind w:left="709" w:hanging="709"/>
        <w:jc w:val="both"/>
        <w:rPr>
          <w:noProof/>
          <w:sz w:val="24"/>
        </w:rPr>
      </w:pPr>
      <w:r>
        <w:rPr>
          <w:noProof/>
          <w:sz w:val="24"/>
        </w:rPr>
        <w:t>izturīgas</w:t>
      </w:r>
      <w:r w:rsidR="00085477" w:rsidRPr="00320FA9">
        <w:rPr>
          <w:noProof/>
          <w:sz w:val="24"/>
        </w:rPr>
        <w:t xml:space="preserve"> vai mazāk </w:t>
      </w:r>
      <w:r>
        <w:rPr>
          <w:noProof/>
          <w:sz w:val="24"/>
        </w:rPr>
        <w:t>ieņēmīg</w:t>
      </w:r>
      <w:r w:rsidR="00085477" w:rsidRPr="00320FA9">
        <w:rPr>
          <w:noProof/>
          <w:sz w:val="24"/>
        </w:rPr>
        <w:t>as šķirnes;</w:t>
      </w:r>
    </w:p>
    <w:p w:rsidR="00085477" w:rsidRPr="00320FA9" w:rsidRDefault="00085477" w:rsidP="00094E34">
      <w:pPr>
        <w:pStyle w:val="BodyText"/>
        <w:numPr>
          <w:ilvl w:val="0"/>
          <w:numId w:val="6"/>
        </w:numPr>
        <w:tabs>
          <w:tab w:val="left" w:pos="709"/>
        </w:tabs>
        <w:spacing w:before="0"/>
        <w:ind w:left="709" w:hanging="709"/>
        <w:jc w:val="both"/>
        <w:rPr>
          <w:noProof/>
          <w:sz w:val="24"/>
        </w:rPr>
      </w:pPr>
      <w:r w:rsidRPr="00320FA9">
        <w:rPr>
          <w:noProof/>
          <w:sz w:val="24"/>
        </w:rPr>
        <w:t>no kaitīgajiem organismiem brīvas teritorijas, no kaitīgajiem organismiem brīvas ražošanas vietas vai no kaitīgajiem organismiem brīvas ražošanas vietas daļas;</w:t>
      </w:r>
    </w:p>
    <w:p w:rsidR="00085477" w:rsidRDefault="00085477" w:rsidP="00094E34">
      <w:pPr>
        <w:pStyle w:val="BodyText"/>
        <w:numPr>
          <w:ilvl w:val="0"/>
          <w:numId w:val="6"/>
        </w:numPr>
        <w:tabs>
          <w:tab w:val="left" w:pos="709"/>
        </w:tabs>
        <w:spacing w:before="0"/>
        <w:ind w:left="709" w:hanging="709"/>
        <w:jc w:val="both"/>
        <w:rPr>
          <w:noProof/>
          <w:sz w:val="24"/>
        </w:rPr>
      </w:pPr>
      <w:r w:rsidRPr="00320FA9">
        <w:rPr>
          <w:noProof/>
          <w:sz w:val="24"/>
        </w:rPr>
        <w:t>ražotāju reģistrācija un apmācība.</w:t>
      </w:r>
    </w:p>
    <w:p w:rsidR="00094E34" w:rsidRPr="00320FA9" w:rsidRDefault="00094E34" w:rsidP="00094E34">
      <w:pPr>
        <w:pStyle w:val="BodyText"/>
        <w:tabs>
          <w:tab w:val="left" w:pos="706"/>
        </w:tabs>
        <w:spacing w:before="0"/>
        <w:ind w:left="0" w:firstLine="0"/>
        <w:jc w:val="both"/>
        <w:rPr>
          <w:noProof/>
          <w:sz w:val="24"/>
        </w:rPr>
      </w:pPr>
    </w:p>
    <w:p w:rsidR="00085477" w:rsidRPr="00320FA9" w:rsidRDefault="00085477" w:rsidP="00320FA9">
      <w:pPr>
        <w:pStyle w:val="Heading5"/>
        <w:spacing w:before="0"/>
        <w:ind w:left="0"/>
        <w:jc w:val="both"/>
        <w:rPr>
          <w:noProof/>
          <w:sz w:val="24"/>
        </w:rPr>
      </w:pPr>
      <w:r w:rsidRPr="00320FA9">
        <w:rPr>
          <w:noProof/>
          <w:sz w:val="24"/>
        </w:rPr>
        <w:t>Pirms ražas novākšanas:</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lauku sertificēšana/pārvaldība (piemēram, pārbaude, apstrāde pirms ražas novākšanas, pesticīdi, bioloģiskā apkarošana u c.);</w:t>
      </w:r>
    </w:p>
    <w:p w:rsidR="00085477" w:rsidRPr="00320FA9" w:rsidRDefault="00F85D05" w:rsidP="00094E34">
      <w:pPr>
        <w:pStyle w:val="BodyText"/>
        <w:numPr>
          <w:ilvl w:val="0"/>
          <w:numId w:val="6"/>
        </w:numPr>
        <w:tabs>
          <w:tab w:val="left" w:pos="706"/>
        </w:tabs>
        <w:spacing w:before="0"/>
        <w:ind w:left="709" w:hanging="709"/>
        <w:jc w:val="both"/>
        <w:rPr>
          <w:noProof/>
          <w:sz w:val="24"/>
        </w:rPr>
      </w:pPr>
      <w:r>
        <w:rPr>
          <w:noProof/>
          <w:sz w:val="24"/>
        </w:rPr>
        <w:t>aiz</w:t>
      </w:r>
      <w:r w:rsidR="00085477" w:rsidRPr="00320FA9">
        <w:rPr>
          <w:noProof/>
          <w:sz w:val="24"/>
        </w:rPr>
        <w:t>sargājoši apstākļi (piemēram, siltumnīca, augļu ietīšana maisos u. c.);</w:t>
      </w:r>
    </w:p>
    <w:p w:rsidR="00085477" w:rsidRPr="00320FA9" w:rsidRDefault="00F85D05" w:rsidP="00094E34">
      <w:pPr>
        <w:pStyle w:val="BodyText"/>
        <w:numPr>
          <w:ilvl w:val="0"/>
          <w:numId w:val="6"/>
        </w:numPr>
        <w:tabs>
          <w:tab w:val="left" w:pos="706"/>
        </w:tabs>
        <w:spacing w:before="0"/>
        <w:ind w:left="709" w:hanging="709"/>
        <w:jc w:val="both"/>
        <w:rPr>
          <w:noProof/>
          <w:sz w:val="24"/>
        </w:rPr>
      </w:pPr>
      <w:r>
        <w:rPr>
          <w:noProof/>
          <w:sz w:val="24"/>
        </w:rPr>
        <w:t>kaitīgo organismu vairošanās</w:t>
      </w:r>
      <w:r w:rsidR="00085477" w:rsidRPr="00320FA9">
        <w:rPr>
          <w:noProof/>
          <w:sz w:val="24"/>
        </w:rPr>
        <w:t xml:space="preserve"> traucēšana;</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audzēšanas kontro</w:t>
      </w:r>
      <w:r w:rsidR="00F85D05">
        <w:rPr>
          <w:noProof/>
          <w:sz w:val="24"/>
        </w:rPr>
        <w:t>les pasākumi (piemēram, sanitārie</w:t>
      </w:r>
      <w:r w:rsidRPr="00320FA9">
        <w:rPr>
          <w:noProof/>
          <w:sz w:val="24"/>
        </w:rPr>
        <w:t xml:space="preserve"> </w:t>
      </w:r>
      <w:r w:rsidR="00F85D05">
        <w:rPr>
          <w:noProof/>
          <w:sz w:val="24"/>
        </w:rPr>
        <w:t>pasākumi</w:t>
      </w:r>
      <w:r w:rsidRPr="00320FA9">
        <w:rPr>
          <w:noProof/>
          <w:sz w:val="24"/>
        </w:rPr>
        <w:t>/nezāļu kontrole);</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zema kaitīgo organismu izplatība (nepārtraukti vai noteiktos laikos);</w:t>
      </w:r>
    </w:p>
    <w:p w:rsidR="00085477"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testēšana.</w:t>
      </w:r>
    </w:p>
    <w:p w:rsidR="00094E34" w:rsidRPr="00320FA9" w:rsidRDefault="00094E34" w:rsidP="00094E34">
      <w:pPr>
        <w:pStyle w:val="BodyText"/>
        <w:tabs>
          <w:tab w:val="left" w:pos="706"/>
        </w:tabs>
        <w:spacing w:before="0"/>
        <w:ind w:left="0" w:firstLine="0"/>
        <w:jc w:val="both"/>
        <w:rPr>
          <w:noProof/>
          <w:sz w:val="24"/>
        </w:rPr>
      </w:pPr>
    </w:p>
    <w:p w:rsidR="00085477" w:rsidRPr="00320FA9" w:rsidRDefault="00085477" w:rsidP="00320FA9">
      <w:pPr>
        <w:pStyle w:val="Heading5"/>
        <w:spacing w:before="0"/>
        <w:ind w:left="0"/>
        <w:jc w:val="both"/>
        <w:rPr>
          <w:noProof/>
          <w:sz w:val="24"/>
        </w:rPr>
      </w:pPr>
      <w:r w:rsidRPr="00320FA9">
        <w:rPr>
          <w:noProof/>
          <w:sz w:val="24"/>
        </w:rPr>
        <w:t>Ražas novākšana:</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augu novākšana noteiktā attīstības posmā vai gadalaikā;</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invadēto produktu iznīcināšana, pārbaude selekcijai;</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gatavības/brieduma pakāpe;</w:t>
      </w:r>
    </w:p>
    <w:p w:rsidR="00085477" w:rsidRPr="00320FA9" w:rsidRDefault="00F85D05" w:rsidP="00094E34">
      <w:pPr>
        <w:pStyle w:val="BodyText"/>
        <w:numPr>
          <w:ilvl w:val="0"/>
          <w:numId w:val="6"/>
        </w:numPr>
        <w:tabs>
          <w:tab w:val="left" w:pos="706"/>
        </w:tabs>
        <w:spacing w:before="0"/>
        <w:ind w:left="709" w:hanging="709"/>
        <w:jc w:val="both"/>
        <w:rPr>
          <w:noProof/>
          <w:sz w:val="24"/>
        </w:rPr>
      </w:pPr>
      <w:r>
        <w:rPr>
          <w:noProof/>
          <w:sz w:val="24"/>
        </w:rPr>
        <w:t>sanitārie</w:t>
      </w:r>
      <w:r w:rsidR="00085477" w:rsidRPr="00320FA9">
        <w:rPr>
          <w:noProof/>
          <w:sz w:val="24"/>
        </w:rPr>
        <w:t xml:space="preserve"> </w:t>
      </w:r>
      <w:r>
        <w:rPr>
          <w:noProof/>
          <w:sz w:val="24"/>
        </w:rPr>
        <w:t>pasākumi</w:t>
      </w:r>
      <w:r w:rsidR="00085477" w:rsidRPr="00320FA9">
        <w:rPr>
          <w:noProof/>
          <w:sz w:val="24"/>
        </w:rPr>
        <w:t xml:space="preserve"> (piemēram, piesārņotāju, “atkritumu” iznīcināšana);</w:t>
      </w:r>
    </w:p>
    <w:p w:rsidR="00085477" w:rsidRDefault="00F85D05" w:rsidP="00094E34">
      <w:pPr>
        <w:pStyle w:val="BodyText"/>
        <w:numPr>
          <w:ilvl w:val="0"/>
          <w:numId w:val="6"/>
        </w:numPr>
        <w:tabs>
          <w:tab w:val="left" w:pos="706"/>
        </w:tabs>
        <w:spacing w:before="0"/>
        <w:ind w:left="709" w:hanging="709"/>
        <w:jc w:val="both"/>
        <w:rPr>
          <w:noProof/>
          <w:sz w:val="24"/>
        </w:rPr>
      </w:pPr>
      <w:r>
        <w:rPr>
          <w:noProof/>
          <w:sz w:val="24"/>
        </w:rPr>
        <w:t>ražas novākš</w:t>
      </w:r>
      <w:r w:rsidR="00BA75BA">
        <w:rPr>
          <w:noProof/>
          <w:sz w:val="24"/>
        </w:rPr>
        <w:t>anas metode (piemēram, manuāla vai mehāniska (ražas) novākšana</w:t>
      </w:r>
      <w:r w:rsidR="00085477" w:rsidRPr="00320FA9">
        <w:rPr>
          <w:noProof/>
          <w:sz w:val="24"/>
        </w:rPr>
        <w:t>).</w:t>
      </w:r>
    </w:p>
    <w:p w:rsidR="00094E34" w:rsidRPr="00320FA9" w:rsidRDefault="00094E34" w:rsidP="00094E34">
      <w:pPr>
        <w:pStyle w:val="BodyText"/>
        <w:tabs>
          <w:tab w:val="left" w:pos="706"/>
        </w:tabs>
        <w:spacing w:before="0"/>
        <w:ind w:left="0" w:firstLine="0"/>
        <w:jc w:val="both"/>
        <w:rPr>
          <w:noProof/>
          <w:sz w:val="24"/>
        </w:rPr>
      </w:pPr>
    </w:p>
    <w:p w:rsidR="00085477" w:rsidRPr="00320FA9" w:rsidRDefault="00F85D05" w:rsidP="00320FA9">
      <w:pPr>
        <w:pStyle w:val="Heading5"/>
        <w:spacing w:before="0"/>
        <w:ind w:left="0"/>
        <w:jc w:val="both"/>
        <w:rPr>
          <w:noProof/>
          <w:sz w:val="24"/>
        </w:rPr>
      </w:pPr>
      <w:r>
        <w:rPr>
          <w:noProof/>
          <w:sz w:val="24"/>
        </w:rPr>
        <w:t>Apstrāde un glabāšana</w:t>
      </w:r>
      <w:r w:rsidR="00085477" w:rsidRPr="00320FA9">
        <w:rPr>
          <w:noProof/>
          <w:sz w:val="24"/>
        </w:rPr>
        <w:t xml:space="preserve"> pēc ražas novākšanas:</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apstrāde (piemēram, fumigācija, apstarošana, uzglabāšana saldētavā, kontrolējama atmosfēra, mazgāšana, tīrīšana, vaskošana, iemērkšana, karstums u. c.);</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pārbaude un šķirošana (tostarp atlase konkrētām gatavības pakāpēm);</w:t>
      </w:r>
    </w:p>
    <w:p w:rsidR="00085477" w:rsidRPr="00320FA9" w:rsidRDefault="00F85D05" w:rsidP="00094E34">
      <w:pPr>
        <w:pStyle w:val="BodyText"/>
        <w:numPr>
          <w:ilvl w:val="0"/>
          <w:numId w:val="6"/>
        </w:numPr>
        <w:tabs>
          <w:tab w:val="left" w:pos="706"/>
        </w:tabs>
        <w:spacing w:before="0"/>
        <w:ind w:left="709" w:hanging="709"/>
        <w:jc w:val="both"/>
        <w:rPr>
          <w:noProof/>
          <w:sz w:val="24"/>
        </w:rPr>
      </w:pPr>
      <w:r>
        <w:rPr>
          <w:noProof/>
          <w:sz w:val="24"/>
        </w:rPr>
        <w:t>sanitārie</w:t>
      </w:r>
      <w:r w:rsidR="00085477" w:rsidRPr="00320FA9">
        <w:rPr>
          <w:noProof/>
          <w:sz w:val="24"/>
        </w:rPr>
        <w:t xml:space="preserve"> </w:t>
      </w:r>
      <w:r>
        <w:rPr>
          <w:noProof/>
          <w:sz w:val="24"/>
        </w:rPr>
        <w:t>pasākumi</w:t>
      </w:r>
      <w:r w:rsidR="00085477" w:rsidRPr="00320FA9">
        <w:rPr>
          <w:noProof/>
          <w:sz w:val="24"/>
        </w:rPr>
        <w:t xml:space="preserve"> (tostarp saimniekauga daļu noņemšana);</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iepakošanas iekārtu sertificēšana;</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paraugu ņemšana;</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testēšana;</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iepakošanas metode;</w:t>
      </w:r>
    </w:p>
    <w:p w:rsidR="00085477" w:rsidRDefault="00F85D05" w:rsidP="00094E34">
      <w:pPr>
        <w:pStyle w:val="BodyText"/>
        <w:numPr>
          <w:ilvl w:val="0"/>
          <w:numId w:val="6"/>
        </w:numPr>
        <w:tabs>
          <w:tab w:val="left" w:pos="706"/>
        </w:tabs>
        <w:spacing w:before="0"/>
        <w:ind w:left="709" w:hanging="709"/>
        <w:jc w:val="both"/>
        <w:rPr>
          <w:noProof/>
          <w:sz w:val="24"/>
        </w:rPr>
      </w:pPr>
      <w:r>
        <w:rPr>
          <w:noProof/>
          <w:sz w:val="24"/>
        </w:rPr>
        <w:t>uzglabāšanas</w:t>
      </w:r>
      <w:r w:rsidR="00085477" w:rsidRPr="00320FA9">
        <w:rPr>
          <w:noProof/>
          <w:sz w:val="24"/>
        </w:rPr>
        <w:t xml:space="preserve"> zonu</w:t>
      </w:r>
      <w:r>
        <w:rPr>
          <w:noProof/>
          <w:sz w:val="24"/>
        </w:rPr>
        <w:t xml:space="preserve"> izklāšana ar aizsargmateriālu</w:t>
      </w:r>
      <w:r w:rsidR="00085477" w:rsidRPr="00320FA9">
        <w:rPr>
          <w:noProof/>
          <w:sz w:val="24"/>
        </w:rPr>
        <w:t>.</w:t>
      </w:r>
    </w:p>
    <w:p w:rsidR="00094E34" w:rsidRPr="00320FA9" w:rsidRDefault="00094E34" w:rsidP="00094E34">
      <w:pPr>
        <w:pStyle w:val="BodyText"/>
        <w:tabs>
          <w:tab w:val="left" w:pos="706"/>
        </w:tabs>
        <w:spacing w:before="0"/>
        <w:ind w:left="0" w:firstLine="0"/>
        <w:jc w:val="both"/>
        <w:rPr>
          <w:noProof/>
          <w:sz w:val="24"/>
        </w:rPr>
      </w:pPr>
    </w:p>
    <w:p w:rsidR="00085477" w:rsidRPr="00320FA9" w:rsidRDefault="00085477" w:rsidP="00320FA9">
      <w:pPr>
        <w:pStyle w:val="Heading5"/>
        <w:spacing w:before="0"/>
        <w:ind w:left="0"/>
        <w:jc w:val="both"/>
        <w:rPr>
          <w:noProof/>
          <w:sz w:val="24"/>
        </w:rPr>
      </w:pPr>
      <w:r w:rsidRPr="00320FA9">
        <w:rPr>
          <w:noProof/>
          <w:sz w:val="24"/>
        </w:rPr>
        <w:t>Transportēšana un izplatīšana:</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apstrāde vai pārstrāde transportēšanas laikā;</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apstrāde vai pārstrāde pēc ierašanās;</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gala lietošanas, izplatīšanas un ievešanas punktu ierobežojumi;</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importa perioda ierobežojumi, ņemot vērā izcelsmes un galamērķa atšķirīgās sezonas;</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lastRenderedPageBreak/>
        <w:t>iepakošanas metode;</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karantīna pēc ievešanas;</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pārbaude un/vai testēšana;</w:t>
      </w: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transportēšanas ātrums un veids;</w:t>
      </w:r>
    </w:p>
    <w:p w:rsidR="00085477" w:rsidRPr="00320FA9" w:rsidRDefault="00F85D05" w:rsidP="00094E34">
      <w:pPr>
        <w:pStyle w:val="BodyText"/>
        <w:numPr>
          <w:ilvl w:val="0"/>
          <w:numId w:val="6"/>
        </w:numPr>
        <w:tabs>
          <w:tab w:val="left" w:pos="706"/>
        </w:tabs>
        <w:spacing w:before="0"/>
        <w:ind w:left="709" w:hanging="709"/>
        <w:jc w:val="both"/>
        <w:rPr>
          <w:noProof/>
          <w:sz w:val="24"/>
        </w:rPr>
      </w:pPr>
      <w:r>
        <w:rPr>
          <w:noProof/>
          <w:sz w:val="24"/>
        </w:rPr>
        <w:t>sanitārie</w:t>
      </w:r>
      <w:r w:rsidR="00085477" w:rsidRPr="00320FA9">
        <w:rPr>
          <w:noProof/>
          <w:sz w:val="24"/>
        </w:rPr>
        <w:t xml:space="preserve"> </w:t>
      </w:r>
      <w:r>
        <w:rPr>
          <w:noProof/>
          <w:sz w:val="24"/>
        </w:rPr>
        <w:t>pasākumi</w:t>
      </w:r>
      <w:r w:rsidR="00085477" w:rsidRPr="00320FA9">
        <w:rPr>
          <w:noProof/>
          <w:sz w:val="24"/>
        </w:rPr>
        <w:t xml:space="preserve"> (</w:t>
      </w:r>
      <w:r>
        <w:rPr>
          <w:noProof/>
          <w:sz w:val="24"/>
        </w:rPr>
        <w:t>transportēšanas līdzekļi brīvi no piesārņojuma</w:t>
      </w:r>
      <w:r w:rsidR="00085477" w:rsidRPr="00320FA9">
        <w:rPr>
          <w:noProof/>
          <w:sz w:val="24"/>
        </w:rPr>
        <w:t>).</w:t>
      </w:r>
    </w:p>
    <w:p w:rsidR="00085477" w:rsidRPr="00320FA9" w:rsidRDefault="00085477" w:rsidP="00320FA9">
      <w:pPr>
        <w:jc w:val="both"/>
        <w:rPr>
          <w:rFonts w:ascii="Times New Roman" w:eastAsia="Times New Roman" w:hAnsi="Times New Roman" w:cs="Times New Roman"/>
          <w:noProof/>
          <w:sz w:val="24"/>
          <w:szCs w:val="29"/>
        </w:rPr>
      </w:pPr>
    </w:p>
    <w:p w:rsidR="00085477" w:rsidRPr="00320FA9" w:rsidRDefault="00AB3E58" w:rsidP="00094E34">
      <w:pPr>
        <w:pStyle w:val="Heading1"/>
        <w:rPr>
          <w:noProof/>
        </w:rPr>
      </w:pPr>
      <w:bookmarkStart w:id="23" w:name="_Toc472687606"/>
      <w:r>
        <w:t>4. Nesaistītie</w:t>
      </w:r>
      <w:r w:rsidR="004A0E96" w:rsidRPr="00320FA9">
        <w:t xml:space="preserve"> un </w:t>
      </w:r>
      <w:r>
        <w:t>savstarpēji saistītie</w:t>
      </w:r>
      <w:r w:rsidR="004A0E96" w:rsidRPr="00320FA9">
        <w:t xml:space="preserve"> pasākumi</w:t>
      </w:r>
      <w:bookmarkStart w:id="24" w:name="_bookmark10"/>
      <w:bookmarkEnd w:id="24"/>
      <w:bookmarkEnd w:id="23"/>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Sistēmiskā pie</w:t>
      </w:r>
      <w:r w:rsidR="00AB3E58">
        <w:rPr>
          <w:noProof/>
          <w:sz w:val="24"/>
        </w:rPr>
        <w:t>eja var sastāvēt no nesaistītiem</w:t>
      </w:r>
      <w:r w:rsidRPr="00320FA9">
        <w:rPr>
          <w:noProof/>
          <w:sz w:val="24"/>
        </w:rPr>
        <w:t xml:space="preserve"> un </w:t>
      </w:r>
      <w:r w:rsidR="00AB3E58">
        <w:rPr>
          <w:noProof/>
          <w:sz w:val="24"/>
        </w:rPr>
        <w:t>savstarpēji saistītiem</w:t>
      </w:r>
      <w:r w:rsidRPr="00320FA9">
        <w:rPr>
          <w:noProof/>
          <w:sz w:val="24"/>
        </w:rPr>
        <w:t xml:space="preserve"> pasākumiem. Pēc definīcijas sistēmiskajā pieejā </w:t>
      </w:r>
      <w:r w:rsidR="00AB3E58">
        <w:rPr>
          <w:noProof/>
          <w:sz w:val="24"/>
        </w:rPr>
        <w:t>jābūt vismaz diviem nesaistītiem pasākumiem. Nesaistīts</w:t>
      </w:r>
      <w:r w:rsidRPr="00320FA9">
        <w:rPr>
          <w:noProof/>
          <w:sz w:val="24"/>
        </w:rPr>
        <w:t xml:space="preserve"> pasākums var </w:t>
      </w:r>
      <w:r w:rsidR="00AB3E58">
        <w:rPr>
          <w:noProof/>
          <w:sz w:val="24"/>
        </w:rPr>
        <w:t>sastāvēt no vairākiem savstarpēji saistītiem</w:t>
      </w:r>
      <w:r w:rsidRPr="00320FA9">
        <w:rPr>
          <w:noProof/>
          <w:sz w:val="24"/>
        </w:rPr>
        <w:t xml:space="preserve"> pasākumiem.</w:t>
      </w:r>
    </w:p>
    <w:p w:rsidR="00094E34" w:rsidRDefault="00094E34" w:rsidP="00320FA9">
      <w:pPr>
        <w:pStyle w:val="BodyText"/>
        <w:spacing w:before="0"/>
        <w:ind w:left="0" w:firstLine="0"/>
        <w:jc w:val="both"/>
        <w:rPr>
          <w:noProof/>
          <w:sz w:val="24"/>
        </w:rPr>
      </w:pPr>
    </w:p>
    <w:p w:rsidR="00085477" w:rsidRDefault="00AB3E58" w:rsidP="00320FA9">
      <w:pPr>
        <w:pStyle w:val="BodyText"/>
        <w:spacing w:before="0"/>
        <w:ind w:left="0" w:firstLine="0"/>
        <w:jc w:val="both"/>
        <w:rPr>
          <w:noProof/>
          <w:sz w:val="24"/>
        </w:rPr>
      </w:pPr>
      <w:r>
        <w:rPr>
          <w:noProof/>
          <w:sz w:val="24"/>
        </w:rPr>
        <w:t>Savstarpēji saistīto</w:t>
      </w:r>
      <w:r w:rsidR="00085477" w:rsidRPr="00320FA9">
        <w:rPr>
          <w:noProof/>
          <w:sz w:val="24"/>
        </w:rPr>
        <w:t xml:space="preserve"> pasākumu gadījumā neizdošanās varbūtība ir aptuveni kumulatīva. Lai sistēma būtu efekt</w:t>
      </w:r>
      <w:r>
        <w:rPr>
          <w:noProof/>
          <w:sz w:val="24"/>
        </w:rPr>
        <w:t>īva, nepieciešami visi savstarpēji saistītie</w:t>
      </w:r>
      <w:r w:rsidR="00085477" w:rsidRPr="00320FA9">
        <w:rPr>
          <w:noProof/>
          <w:sz w:val="24"/>
        </w:rPr>
        <w:t xml:space="preserve"> pasākumi.</w:t>
      </w:r>
    </w:p>
    <w:p w:rsidR="00094E34" w:rsidRPr="00320FA9" w:rsidRDefault="00094E34" w:rsidP="00320FA9">
      <w:pPr>
        <w:pStyle w:val="BodyText"/>
        <w:spacing w:before="0"/>
        <w:ind w:left="0" w:firstLine="0"/>
        <w:jc w:val="both"/>
        <w:rPr>
          <w:noProof/>
          <w:sz w:val="24"/>
        </w:rPr>
      </w:pPr>
    </w:p>
    <w:p w:rsidR="00085477" w:rsidRPr="00320FA9" w:rsidRDefault="00085477" w:rsidP="00320FA9">
      <w:pPr>
        <w:jc w:val="both"/>
        <w:rPr>
          <w:rFonts w:ascii="Times New Roman" w:hAnsi="Times New Roman"/>
          <w:i/>
          <w:noProof/>
          <w:sz w:val="24"/>
        </w:rPr>
      </w:pPr>
      <w:r w:rsidRPr="00320FA9">
        <w:rPr>
          <w:rFonts w:ascii="Times New Roman" w:hAnsi="Times New Roman"/>
          <w:i/>
          <w:noProof/>
          <w:sz w:val="24"/>
        </w:rPr>
        <w:t>Piemērs</w:t>
      </w:r>
    </w:p>
    <w:p w:rsidR="00085477" w:rsidRDefault="00085477" w:rsidP="00320FA9">
      <w:pPr>
        <w:pStyle w:val="BodyText"/>
        <w:spacing w:before="0"/>
        <w:ind w:left="0" w:firstLine="0"/>
        <w:jc w:val="both"/>
        <w:rPr>
          <w:noProof/>
          <w:sz w:val="24"/>
        </w:rPr>
      </w:pPr>
      <w:r w:rsidRPr="00320FA9">
        <w:rPr>
          <w:noProof/>
          <w:sz w:val="24"/>
        </w:rPr>
        <w:t xml:space="preserve">No kaitīgiem organismiem brīva siltumnīca, kurai nepieciešamas gan divvērtņu </w:t>
      </w:r>
      <w:r w:rsidR="00AB3E58">
        <w:rPr>
          <w:noProof/>
          <w:sz w:val="24"/>
        </w:rPr>
        <w:t>durvis, gan visu ailu izklāšana ar aizsargmateriālu</w:t>
      </w:r>
      <w:r w:rsidRPr="00320FA9">
        <w:rPr>
          <w:noProof/>
          <w:sz w:val="24"/>
        </w:rPr>
        <w:t xml:space="preserve">, ir piemērs, kurā </w:t>
      </w:r>
      <w:r w:rsidR="00AB3E58">
        <w:rPr>
          <w:noProof/>
          <w:sz w:val="24"/>
        </w:rPr>
        <w:t>savstarpēji saistītie</w:t>
      </w:r>
      <w:r w:rsidRPr="00320FA9">
        <w:rPr>
          <w:noProof/>
          <w:sz w:val="24"/>
        </w:rPr>
        <w:t xml:space="preserve"> pasākumi apvienoti, izveidojot ne</w:t>
      </w:r>
      <w:r w:rsidR="00AB3E58">
        <w:rPr>
          <w:noProof/>
          <w:sz w:val="24"/>
        </w:rPr>
        <w:t>saistītu</w:t>
      </w:r>
      <w:r w:rsidRPr="00320FA9">
        <w:rPr>
          <w:noProof/>
          <w:sz w:val="24"/>
        </w:rPr>
        <w:t xml:space="preserve"> pasākumu. Ja varbūtība, ka </w:t>
      </w:r>
      <w:r w:rsidR="00AB3E58">
        <w:rPr>
          <w:noProof/>
          <w:sz w:val="24"/>
        </w:rPr>
        <w:t>izklāšana ar aizsargmateriālu</w:t>
      </w:r>
      <w:r w:rsidRPr="00320FA9">
        <w:rPr>
          <w:noProof/>
          <w:sz w:val="24"/>
        </w:rPr>
        <w:t xml:space="preserve"> nedarbojas ir 0,1, un varbūtība, ka divvērtņu durvis nedarbojas ir 0,1, tad varbūtība, ka siltumnīca tiks invadēta, ir abu vērtību aptuvenā summa. Tāpēc varbūtība, ka vismaz viens no pasākumiem neizdodas, ir abu varbūtību summa mīnus varbūtība, ka abi pasākumu neizdodas vienlaikus. Šajā piemērā varbūtība ir 0,19 (0,1 + 0,1 – 0,01), jo abi pasākumi varētu neizdoties vienlaikus.</w:t>
      </w:r>
    </w:p>
    <w:p w:rsidR="00094E34" w:rsidRPr="00320FA9" w:rsidRDefault="00094E34" w:rsidP="00320FA9">
      <w:pPr>
        <w:pStyle w:val="BodyText"/>
        <w:spacing w:before="0"/>
        <w:ind w:left="0" w:firstLine="0"/>
        <w:jc w:val="both"/>
        <w:rPr>
          <w:noProof/>
          <w:sz w:val="24"/>
        </w:rPr>
      </w:pPr>
    </w:p>
    <w:p w:rsidR="00085477" w:rsidRDefault="00085477" w:rsidP="00320FA9">
      <w:pPr>
        <w:pStyle w:val="BodyText"/>
        <w:spacing w:before="0"/>
        <w:ind w:left="0" w:firstLine="0"/>
        <w:jc w:val="both"/>
        <w:rPr>
          <w:noProof/>
          <w:sz w:val="24"/>
        </w:rPr>
      </w:pPr>
      <w:r w:rsidRPr="00320FA9">
        <w:rPr>
          <w:noProof/>
          <w:sz w:val="24"/>
        </w:rPr>
        <w:t>Ja pas</w:t>
      </w:r>
      <w:r w:rsidR="00AE0C2C">
        <w:rPr>
          <w:noProof/>
          <w:sz w:val="24"/>
        </w:rPr>
        <w:t>ākumi viens ar otru nav saistīti</w:t>
      </w:r>
      <w:r w:rsidRPr="00320FA9">
        <w:rPr>
          <w:noProof/>
          <w:sz w:val="24"/>
        </w:rPr>
        <w:t>, sistēma cietīs neveiksmi tad, ja nei</w:t>
      </w:r>
      <w:r w:rsidR="00AE0C2C">
        <w:rPr>
          <w:noProof/>
          <w:sz w:val="24"/>
        </w:rPr>
        <w:t>zdosies abi pasākumi. Nesaistīto</w:t>
      </w:r>
      <w:r w:rsidRPr="00320FA9">
        <w:rPr>
          <w:noProof/>
          <w:sz w:val="24"/>
        </w:rPr>
        <w:t xml:space="preserve"> pasākumu gadījumā, neizdoša</w:t>
      </w:r>
      <w:r w:rsidR="00AE0C2C">
        <w:rPr>
          <w:noProof/>
          <w:sz w:val="24"/>
        </w:rPr>
        <w:t>nās varbūtība ir visu nesaistīto</w:t>
      </w:r>
      <w:r w:rsidRPr="00320FA9">
        <w:rPr>
          <w:noProof/>
          <w:sz w:val="24"/>
        </w:rPr>
        <w:t xml:space="preserve"> pasākumu rezultāts.</w:t>
      </w:r>
    </w:p>
    <w:p w:rsidR="00094E34" w:rsidRPr="00320FA9" w:rsidRDefault="00094E34" w:rsidP="00320FA9">
      <w:pPr>
        <w:pStyle w:val="BodyText"/>
        <w:spacing w:before="0"/>
        <w:ind w:left="0" w:firstLine="0"/>
        <w:jc w:val="both"/>
        <w:rPr>
          <w:noProof/>
          <w:sz w:val="24"/>
        </w:rPr>
      </w:pPr>
    </w:p>
    <w:p w:rsidR="00085477" w:rsidRPr="00320FA9" w:rsidRDefault="00085477" w:rsidP="00320FA9">
      <w:pPr>
        <w:jc w:val="both"/>
        <w:rPr>
          <w:rFonts w:ascii="Times New Roman" w:hAnsi="Times New Roman"/>
          <w:i/>
          <w:noProof/>
          <w:sz w:val="24"/>
        </w:rPr>
      </w:pPr>
      <w:r w:rsidRPr="00320FA9">
        <w:rPr>
          <w:rFonts w:ascii="Times New Roman" w:hAnsi="Times New Roman"/>
          <w:i/>
          <w:noProof/>
          <w:sz w:val="24"/>
        </w:rPr>
        <w:t>Piemērs</w:t>
      </w:r>
    </w:p>
    <w:p w:rsidR="00085477" w:rsidRPr="00320FA9" w:rsidRDefault="00085477" w:rsidP="00320FA9">
      <w:pPr>
        <w:pStyle w:val="BodyText"/>
        <w:spacing w:before="0"/>
        <w:ind w:left="0" w:firstLine="0"/>
        <w:jc w:val="both"/>
        <w:rPr>
          <w:noProof/>
          <w:sz w:val="24"/>
        </w:rPr>
      </w:pPr>
      <w:r w:rsidRPr="00320FA9">
        <w:rPr>
          <w:noProof/>
          <w:sz w:val="24"/>
        </w:rPr>
        <w:t xml:space="preserve">Ja sūtījuma pārbaudes neizdošanās varbūtība ir 0,05, savukārt </w:t>
      </w:r>
      <w:r w:rsidR="00AE0C2C">
        <w:rPr>
          <w:noProof/>
          <w:sz w:val="24"/>
        </w:rPr>
        <w:t>pārvietošanas</w:t>
      </w:r>
      <w:r w:rsidRPr="00320FA9">
        <w:rPr>
          <w:noProof/>
          <w:sz w:val="24"/>
        </w:rPr>
        <w:t xml:space="preserve"> ierobežošanai uz konkrētām vietām tā ir 0,05, tad varbūtība, ka sistēma cietīs neveiksmi, būs 0,0025 (0,05</w:t>
      </w:r>
      <w:r w:rsidR="00094E34">
        <w:rPr>
          <w:noProof/>
          <w:sz w:val="24"/>
        </w:rPr>
        <w:t xml:space="preserve"> </w:t>
      </w:r>
      <w:r w:rsidRPr="00320FA9">
        <w:rPr>
          <w:noProof/>
          <w:sz w:val="24"/>
        </w:rPr>
        <w:t>× 0,05).</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4A0E96" w:rsidP="00094E34">
      <w:pPr>
        <w:pStyle w:val="Heading1"/>
        <w:rPr>
          <w:noProof/>
        </w:rPr>
      </w:pPr>
      <w:bookmarkStart w:id="25" w:name="_Toc472687607"/>
      <w:r w:rsidRPr="00320FA9">
        <w:t>5. Izmantošanas apstākļi</w:t>
      </w:r>
      <w:bookmarkStart w:id="26" w:name="_bookmark11"/>
      <w:bookmarkEnd w:id="26"/>
      <w:bookmarkEnd w:id="25"/>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 xml:space="preserve">Iespēju izmantot sistēmiskās pieejas var apsvērt, ja </w:t>
      </w:r>
      <w:r w:rsidR="00AE0C2C">
        <w:rPr>
          <w:noProof/>
          <w:sz w:val="24"/>
        </w:rPr>
        <w:t>atbilst viens vai vairāki</w:t>
      </w:r>
      <w:r w:rsidRPr="00320FA9">
        <w:rPr>
          <w:noProof/>
          <w:sz w:val="24"/>
        </w:rPr>
        <w:t xml:space="preserve"> </w:t>
      </w:r>
      <w:r w:rsidR="00AE0C2C">
        <w:rPr>
          <w:noProof/>
          <w:sz w:val="24"/>
        </w:rPr>
        <w:t>no turpmāk minētajiem gadījumiem</w:t>
      </w:r>
      <w:r w:rsidRPr="00320FA9">
        <w:rPr>
          <w:noProof/>
          <w:sz w:val="24"/>
        </w:rPr>
        <w:t>.</w:t>
      </w:r>
    </w:p>
    <w:p w:rsidR="004A0E96" w:rsidRPr="00320FA9" w:rsidRDefault="004A0E96" w:rsidP="00320FA9">
      <w:pPr>
        <w:pStyle w:val="BodyText"/>
        <w:spacing w:before="0"/>
        <w:ind w:left="0" w:firstLine="0"/>
        <w:jc w:val="both"/>
        <w:rPr>
          <w:noProof/>
          <w:sz w:val="24"/>
        </w:rPr>
      </w:pPr>
    </w:p>
    <w:p w:rsidR="00085477" w:rsidRPr="00320FA9" w:rsidRDefault="00085477" w:rsidP="00094E34">
      <w:pPr>
        <w:pStyle w:val="BodyText"/>
        <w:numPr>
          <w:ilvl w:val="0"/>
          <w:numId w:val="6"/>
        </w:numPr>
        <w:tabs>
          <w:tab w:val="left" w:pos="706"/>
        </w:tabs>
        <w:spacing w:before="0"/>
        <w:ind w:left="709" w:hanging="709"/>
        <w:jc w:val="both"/>
        <w:rPr>
          <w:noProof/>
          <w:sz w:val="24"/>
        </w:rPr>
      </w:pPr>
      <w:r w:rsidRPr="00320FA9">
        <w:rPr>
          <w:noProof/>
          <w:sz w:val="24"/>
        </w:rPr>
        <w:t>Individuālie pasākumi:</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neatbilst fitosanitārajām importa prasībām;</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nav pieejami (vai varētu kļūt nepieejami);</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ir kaitīgi (precēm, cilvēku veselībai, videi);</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izmaksu ziņā ir neefektīvi;</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pārlieku ierobežo tirdzniecību;</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nav īstenojami;</w:t>
      </w:r>
    </w:p>
    <w:p w:rsidR="00085477" w:rsidRPr="00320FA9" w:rsidRDefault="00085477" w:rsidP="00094E34">
      <w:pPr>
        <w:pStyle w:val="BodyText"/>
        <w:numPr>
          <w:ilvl w:val="0"/>
          <w:numId w:val="5"/>
        </w:numPr>
        <w:tabs>
          <w:tab w:val="left" w:pos="706"/>
        </w:tabs>
        <w:spacing w:before="0"/>
        <w:ind w:left="709" w:hanging="709"/>
        <w:jc w:val="both"/>
        <w:rPr>
          <w:noProof/>
          <w:sz w:val="24"/>
        </w:rPr>
      </w:pPr>
      <w:r w:rsidRPr="00320FA9">
        <w:rPr>
          <w:noProof/>
          <w:sz w:val="24"/>
        </w:rPr>
        <w:t>kaitīgā organisma un kaitīgā organisma-saimniekauga attiecības ir labi zināmas;</w:t>
      </w:r>
    </w:p>
    <w:p w:rsidR="00085477" w:rsidRPr="00320FA9" w:rsidRDefault="00085477" w:rsidP="00094E34">
      <w:pPr>
        <w:pStyle w:val="BodyText"/>
        <w:numPr>
          <w:ilvl w:val="0"/>
          <w:numId w:val="5"/>
        </w:numPr>
        <w:tabs>
          <w:tab w:val="left" w:pos="706"/>
        </w:tabs>
        <w:spacing w:before="0"/>
        <w:ind w:left="709" w:hanging="709"/>
        <w:jc w:val="both"/>
        <w:rPr>
          <w:noProof/>
          <w:sz w:val="24"/>
        </w:rPr>
      </w:pPr>
      <w:r w:rsidRPr="00320FA9">
        <w:rPr>
          <w:noProof/>
          <w:sz w:val="24"/>
        </w:rPr>
        <w:t>pierādīts, ka sistēmiskā pieeja ir efektīva līdzīgā kaitīgo organismu/preču situācijā;</w:t>
      </w:r>
    </w:p>
    <w:p w:rsidR="00085477" w:rsidRPr="00320FA9" w:rsidRDefault="00085477" w:rsidP="00094E34">
      <w:pPr>
        <w:pStyle w:val="BodyText"/>
        <w:numPr>
          <w:ilvl w:val="0"/>
          <w:numId w:val="5"/>
        </w:numPr>
        <w:tabs>
          <w:tab w:val="left" w:pos="706"/>
        </w:tabs>
        <w:spacing w:before="0"/>
        <w:ind w:left="709" w:hanging="709"/>
        <w:jc w:val="both"/>
        <w:rPr>
          <w:noProof/>
          <w:sz w:val="24"/>
        </w:rPr>
      </w:pPr>
      <w:r w:rsidRPr="00320FA9">
        <w:rPr>
          <w:noProof/>
          <w:sz w:val="24"/>
        </w:rPr>
        <w:t>individuālo pasākumu efektivitāti iespējams novērtēt kvalitatīvi vai kvantitatīvi;</w:t>
      </w:r>
    </w:p>
    <w:p w:rsidR="00085477" w:rsidRPr="00320FA9" w:rsidRDefault="00085477" w:rsidP="00094E34">
      <w:pPr>
        <w:pStyle w:val="BodyText"/>
        <w:numPr>
          <w:ilvl w:val="0"/>
          <w:numId w:val="5"/>
        </w:numPr>
        <w:tabs>
          <w:tab w:val="left" w:pos="706"/>
        </w:tabs>
        <w:spacing w:before="0"/>
        <w:ind w:left="709" w:hanging="709"/>
        <w:jc w:val="both"/>
        <w:rPr>
          <w:noProof/>
          <w:sz w:val="24"/>
        </w:rPr>
      </w:pPr>
      <w:r w:rsidRPr="00320FA9">
        <w:rPr>
          <w:noProof/>
          <w:sz w:val="24"/>
        </w:rPr>
        <w:t>attiecīgā audzēšanas, ražas novākšanas, iepakošanas, transportēšanas un izplatīšanas prakse ir labi zināma un standartizēta;</w:t>
      </w:r>
    </w:p>
    <w:p w:rsidR="00085477" w:rsidRPr="00320FA9" w:rsidRDefault="00085477" w:rsidP="00094E34">
      <w:pPr>
        <w:pStyle w:val="BodyText"/>
        <w:numPr>
          <w:ilvl w:val="0"/>
          <w:numId w:val="5"/>
        </w:numPr>
        <w:tabs>
          <w:tab w:val="left" w:pos="706"/>
        </w:tabs>
        <w:spacing w:before="0"/>
        <w:ind w:left="709" w:hanging="709"/>
        <w:jc w:val="both"/>
        <w:rPr>
          <w:noProof/>
          <w:sz w:val="24"/>
        </w:rPr>
      </w:pPr>
      <w:r w:rsidRPr="00320FA9">
        <w:rPr>
          <w:noProof/>
          <w:sz w:val="24"/>
        </w:rPr>
        <w:lastRenderedPageBreak/>
        <w:t>individuālos pasākumus var uzraudzīt un koriģēt;</w:t>
      </w:r>
    </w:p>
    <w:p w:rsidR="00085477" w:rsidRPr="00320FA9" w:rsidRDefault="00085477" w:rsidP="00094E34">
      <w:pPr>
        <w:pStyle w:val="BodyText"/>
        <w:numPr>
          <w:ilvl w:val="0"/>
          <w:numId w:val="5"/>
        </w:numPr>
        <w:tabs>
          <w:tab w:val="left" w:pos="706"/>
        </w:tabs>
        <w:spacing w:before="0"/>
        <w:ind w:left="709" w:hanging="709"/>
        <w:jc w:val="both"/>
        <w:rPr>
          <w:noProof/>
          <w:sz w:val="24"/>
        </w:rPr>
      </w:pPr>
      <w:r w:rsidRPr="00320FA9">
        <w:rPr>
          <w:noProof/>
          <w:sz w:val="24"/>
        </w:rPr>
        <w:t>kaitīgo organismu izplatība ir zināma un var tikt uzraudzīta;</w:t>
      </w:r>
    </w:p>
    <w:p w:rsidR="00085477" w:rsidRPr="00320FA9" w:rsidRDefault="00085477" w:rsidP="00094E34">
      <w:pPr>
        <w:pStyle w:val="BodyText"/>
        <w:numPr>
          <w:ilvl w:val="0"/>
          <w:numId w:val="5"/>
        </w:numPr>
        <w:tabs>
          <w:tab w:val="left" w:pos="706"/>
        </w:tabs>
        <w:spacing w:before="0"/>
        <w:ind w:left="709" w:hanging="709"/>
        <w:jc w:val="both"/>
        <w:rPr>
          <w:noProof/>
          <w:sz w:val="24"/>
        </w:rPr>
      </w:pPr>
      <w:r w:rsidRPr="00320FA9">
        <w:rPr>
          <w:noProof/>
          <w:sz w:val="24"/>
        </w:rPr>
        <w:t>sistēmiskā pieeja izmaksu ziņā ir efektīva</w:t>
      </w:r>
      <w:r w:rsidR="00AE0C2C">
        <w:rPr>
          <w:noProof/>
          <w:sz w:val="24"/>
        </w:rPr>
        <w:t xml:space="preserve"> </w:t>
      </w:r>
      <w:r w:rsidRPr="00320FA9">
        <w:rPr>
          <w:noProof/>
          <w:sz w:val="24"/>
        </w:rPr>
        <w:t>(piemēram, izvērtējot preču vērtību un/vai apjomu).</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4A0E96" w:rsidP="00094E34">
      <w:pPr>
        <w:pStyle w:val="Heading1"/>
        <w:rPr>
          <w:noProof/>
        </w:rPr>
      </w:pPr>
      <w:bookmarkStart w:id="27" w:name="_Toc472687608"/>
      <w:r w:rsidRPr="00320FA9">
        <w:t>6. Sistēmisko pieeju veidi</w:t>
      </w:r>
      <w:bookmarkStart w:id="28" w:name="_bookmark12"/>
      <w:bookmarkEnd w:id="28"/>
      <w:bookmarkEnd w:id="27"/>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Sistēmiskās pieejas ir</w:t>
      </w:r>
      <w:r w:rsidR="00AE0C2C">
        <w:rPr>
          <w:noProof/>
          <w:sz w:val="24"/>
        </w:rPr>
        <w:t xml:space="preserve"> daudzveidīgas un</w:t>
      </w:r>
      <w:r w:rsidRPr="00320FA9">
        <w:rPr>
          <w:noProof/>
          <w:sz w:val="24"/>
        </w:rPr>
        <w:t xml:space="preserve"> dažādas stingrības, sākot no sistēmām, kurās vienkārši apvienoti </w:t>
      </w:r>
      <w:r w:rsidR="00AE0C2C">
        <w:rPr>
          <w:noProof/>
          <w:sz w:val="24"/>
        </w:rPr>
        <w:t>nesaistīti</w:t>
      </w:r>
      <w:r w:rsidRPr="00320FA9">
        <w:rPr>
          <w:noProof/>
          <w:sz w:val="24"/>
        </w:rPr>
        <w:t xml:space="preserve"> un jau zināmi efektīvi pasākumi, beidzot ar tādām sarežģītākām un precīzākām sistēmām kā kritisko kontroles punktu sistēmas (sk. 1. pielikumu).</w:t>
      </w:r>
    </w:p>
    <w:p w:rsidR="00085477" w:rsidRPr="00320FA9" w:rsidRDefault="00085477" w:rsidP="00320FA9">
      <w:pPr>
        <w:jc w:val="both"/>
        <w:rPr>
          <w:rFonts w:ascii="Times New Roman" w:eastAsia="Times New Roman" w:hAnsi="Times New Roman" w:cs="Times New Roman"/>
          <w:noProof/>
          <w:sz w:val="24"/>
          <w:szCs w:val="29"/>
        </w:rPr>
      </w:pPr>
    </w:p>
    <w:p w:rsidR="00085477" w:rsidRDefault="00085477" w:rsidP="00320FA9">
      <w:pPr>
        <w:pStyle w:val="BodyText"/>
        <w:spacing w:before="0"/>
        <w:ind w:left="0" w:firstLine="0"/>
        <w:jc w:val="both"/>
        <w:rPr>
          <w:noProof/>
          <w:sz w:val="24"/>
        </w:rPr>
      </w:pPr>
      <w:r w:rsidRPr="00320FA9">
        <w:rPr>
          <w:noProof/>
          <w:sz w:val="24"/>
        </w:rPr>
        <w:t>Par efektīvām var uzskatīt arī citas sistēmas, kuru pamatā ir tādu pasākumu apvienojums, kas neatbilst kritisko kontroles punktu sistēmas prasībām. Tomēr kritisko kontroles punktu koncepcijas piemērošana parasti var būt noderīga citu sistēmisko pieeju izstrādē. Piemēram, nefitosanitārās sertificēšanas programmās var būt elementi, kas ir noderīgi arī kaitīgo organismu riska pārvaldībai un var ietilpt sistēmiskajā pieejā, ja vien procesa fitosanitārie elementi ir obligāti un NAAO tos var uzraudzīt un kontrolēt.</w:t>
      </w:r>
    </w:p>
    <w:p w:rsidR="00094E34" w:rsidRPr="00320FA9"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Lai pasākumu uzskatītu par sistēmiskajai pieejai nepieciešamo elementu, minimālās prasības nosaka, ka pasākumam ir jābūt:</w:t>
      </w:r>
    </w:p>
    <w:p w:rsidR="00085477" w:rsidRPr="00320FA9" w:rsidRDefault="00085477" w:rsidP="00094E34">
      <w:pPr>
        <w:pStyle w:val="BodyText"/>
        <w:numPr>
          <w:ilvl w:val="0"/>
          <w:numId w:val="4"/>
        </w:numPr>
        <w:tabs>
          <w:tab w:val="left" w:pos="706"/>
        </w:tabs>
        <w:spacing w:before="0"/>
        <w:ind w:left="709" w:hanging="709"/>
        <w:jc w:val="both"/>
        <w:rPr>
          <w:noProof/>
          <w:sz w:val="24"/>
        </w:rPr>
      </w:pPr>
      <w:r w:rsidRPr="00320FA9">
        <w:rPr>
          <w:noProof/>
          <w:sz w:val="24"/>
        </w:rPr>
        <w:t>skaidri definētam;</w:t>
      </w:r>
    </w:p>
    <w:p w:rsidR="00085477" w:rsidRPr="00320FA9" w:rsidRDefault="00085477" w:rsidP="00094E34">
      <w:pPr>
        <w:pStyle w:val="BodyText"/>
        <w:numPr>
          <w:ilvl w:val="0"/>
          <w:numId w:val="4"/>
        </w:numPr>
        <w:tabs>
          <w:tab w:val="left" w:pos="706"/>
        </w:tabs>
        <w:spacing w:before="0"/>
        <w:ind w:left="709" w:hanging="709"/>
        <w:jc w:val="both"/>
        <w:rPr>
          <w:noProof/>
          <w:sz w:val="24"/>
        </w:rPr>
      </w:pPr>
      <w:r w:rsidRPr="00320FA9">
        <w:rPr>
          <w:noProof/>
          <w:sz w:val="24"/>
        </w:rPr>
        <w:t>efektīvam;</w:t>
      </w:r>
    </w:p>
    <w:p w:rsidR="00085477" w:rsidRPr="00320FA9" w:rsidRDefault="00085477" w:rsidP="00094E34">
      <w:pPr>
        <w:pStyle w:val="BodyText"/>
        <w:numPr>
          <w:ilvl w:val="0"/>
          <w:numId w:val="4"/>
        </w:numPr>
        <w:tabs>
          <w:tab w:val="left" w:pos="706"/>
        </w:tabs>
        <w:spacing w:before="0"/>
        <w:ind w:left="709" w:hanging="709"/>
        <w:jc w:val="both"/>
        <w:rPr>
          <w:noProof/>
          <w:sz w:val="24"/>
        </w:rPr>
      </w:pPr>
      <w:r w:rsidRPr="00320FA9">
        <w:rPr>
          <w:noProof/>
          <w:sz w:val="24"/>
        </w:rPr>
        <w:t>oficiāli pieprasītam (obligātam);</w:t>
      </w:r>
    </w:p>
    <w:p w:rsidR="00085477" w:rsidRPr="00320FA9" w:rsidRDefault="00085477" w:rsidP="00094E34">
      <w:pPr>
        <w:pStyle w:val="BodyText"/>
        <w:numPr>
          <w:ilvl w:val="0"/>
          <w:numId w:val="4"/>
        </w:numPr>
        <w:tabs>
          <w:tab w:val="left" w:pos="706"/>
        </w:tabs>
        <w:spacing w:before="0"/>
        <w:ind w:left="709" w:hanging="709"/>
        <w:jc w:val="both"/>
        <w:rPr>
          <w:noProof/>
          <w:sz w:val="24"/>
        </w:rPr>
      </w:pPr>
      <w:r w:rsidRPr="00320FA9">
        <w:rPr>
          <w:noProof/>
          <w:sz w:val="24"/>
        </w:rPr>
        <w:t>uzraugāmam un kontrolējamam, ko veic atbildīgā NAAO.</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4A0E96" w:rsidP="00094E34">
      <w:pPr>
        <w:pStyle w:val="Heading1"/>
        <w:rPr>
          <w:noProof/>
        </w:rPr>
      </w:pPr>
      <w:bookmarkStart w:id="29" w:name="_Toc472687609"/>
      <w:r w:rsidRPr="00320FA9">
        <w:t>7. Pasākumu efektivitāte</w:t>
      </w:r>
      <w:bookmarkStart w:id="30" w:name="_bookmark13"/>
      <w:bookmarkEnd w:id="30"/>
      <w:bookmarkEnd w:id="29"/>
    </w:p>
    <w:p w:rsidR="00094E34" w:rsidRDefault="00094E34" w:rsidP="00320FA9">
      <w:pPr>
        <w:pStyle w:val="BodyText"/>
        <w:spacing w:before="0"/>
        <w:ind w:left="0" w:firstLine="0"/>
        <w:jc w:val="both"/>
        <w:rPr>
          <w:noProof/>
          <w:sz w:val="24"/>
        </w:rPr>
      </w:pPr>
    </w:p>
    <w:p w:rsidR="00085477" w:rsidRDefault="00085477" w:rsidP="00320FA9">
      <w:pPr>
        <w:pStyle w:val="BodyText"/>
        <w:spacing w:before="0"/>
        <w:ind w:left="0" w:firstLine="0"/>
        <w:jc w:val="both"/>
        <w:rPr>
          <w:noProof/>
          <w:sz w:val="24"/>
        </w:rPr>
      </w:pPr>
      <w:r w:rsidRPr="00320FA9">
        <w:rPr>
          <w:noProof/>
          <w:sz w:val="24"/>
        </w:rPr>
        <w:t>Sistēmiskās pieejas var izstrādāt vai novērtēt kvantitatīvi, kvalitatīvi vai izmantojot abas šīs metodes. Kvantitatīvā pieeja var būt atbilstošāka, ja ir pieejami piemēroti dati, piemēram, dati, kas parasti ir saistīti ar apstrādes efektivitātes noteikšanu. Kvalitatīvā pieeja jāapsver gadījumā, kad efektivitāti novērtē ar eksperta atzinumu.</w:t>
      </w:r>
    </w:p>
    <w:p w:rsidR="00094E34" w:rsidRPr="00320FA9"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Efekt</w:t>
      </w:r>
      <w:r w:rsidR="00AE0C2C">
        <w:rPr>
          <w:noProof/>
          <w:sz w:val="24"/>
        </w:rPr>
        <w:t>ivitāti, kas piemīt nesaistītiem</w:t>
      </w:r>
      <w:r w:rsidRPr="00320FA9">
        <w:rPr>
          <w:noProof/>
          <w:sz w:val="24"/>
        </w:rPr>
        <w:t xml:space="preserve"> pasākumiem, kurus var izmantot kaitīgo organismu sastopamības samazināšanai, var izteikt dažādi (piemēram, pēc mirstības, sastopamības samazināšanās, saimniekaugu uzņēmības). Sistēmiskās pieejas vispārējās efektivitātes </w:t>
      </w:r>
      <w:r w:rsidR="00AE0C2C">
        <w:rPr>
          <w:noProof/>
          <w:sz w:val="24"/>
        </w:rPr>
        <w:t>pamatā ir nepieciešamo nesaistīto</w:t>
      </w:r>
      <w:r w:rsidRPr="00320FA9">
        <w:rPr>
          <w:noProof/>
          <w:sz w:val="24"/>
        </w:rPr>
        <w:t xml:space="preserve"> pasākumu kopējā efektivitāte. Kad vien iespējams, tā jāizsaka kvantitatīvā izteiksmē ar ticamības intervālu. Piemēram, konkrētā situācijā var noteikt, ka efektivitāte būs ne vairāk par pieciem invadētiem augļiem no viena miljona augļu kopskaita ar 95 % ticamību. Ja šādi aprēķini nav iespējami vai netiek veikti, efektivitāti var izteikt kvalitatīvi kā augstu, vidēju vai zemu.</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4A0E96" w:rsidP="00094E34">
      <w:pPr>
        <w:pStyle w:val="Heading1"/>
        <w:rPr>
          <w:noProof/>
        </w:rPr>
      </w:pPr>
      <w:bookmarkStart w:id="31" w:name="_Toc472687610"/>
      <w:r w:rsidRPr="00320FA9">
        <w:t>8. Sistēmisko pieeju izstrāde</w:t>
      </w:r>
      <w:bookmarkStart w:id="32" w:name="_bookmark14"/>
      <w:bookmarkEnd w:id="32"/>
      <w:bookmarkEnd w:id="31"/>
    </w:p>
    <w:p w:rsidR="00094E34" w:rsidRDefault="00094E34" w:rsidP="00320FA9">
      <w:pPr>
        <w:pStyle w:val="BodyText"/>
        <w:spacing w:before="0"/>
        <w:ind w:left="0" w:firstLine="0"/>
        <w:jc w:val="both"/>
        <w:rPr>
          <w:noProof/>
          <w:sz w:val="24"/>
        </w:rPr>
      </w:pPr>
    </w:p>
    <w:p w:rsidR="00085477" w:rsidRDefault="00085477" w:rsidP="00320FA9">
      <w:pPr>
        <w:pStyle w:val="BodyText"/>
        <w:spacing w:before="0"/>
        <w:ind w:left="0" w:firstLine="0"/>
        <w:jc w:val="both"/>
        <w:rPr>
          <w:noProof/>
          <w:sz w:val="24"/>
        </w:rPr>
      </w:pPr>
      <w:r w:rsidRPr="00320FA9">
        <w:rPr>
          <w:noProof/>
          <w:sz w:val="24"/>
        </w:rPr>
        <w:t>Sistēmiskās pieejas izstrādi var veikt importētājvalsts vai eksportētājvalsts, bet ideālā gadījumā tas notiek, sadarbojoties abām valstīm. Sistēmisko pieeju izstrādes process var ietvert apspriešanos ar nozares pārstāvjiem, zinātniskajām aprindām un tirdzniecības partneriem. Tomēr par sistēmiskās pieejas piemērotību attiecīgajām prasībām lemj importētājvalsts NAAO, izvērtējot tehnisko pamatojumu, minimālo ietekmi, pārredzamību, diskriminācijas aizliegumu, līdzvērtību un darbības iespējamību.</w:t>
      </w:r>
    </w:p>
    <w:p w:rsidR="00094E34" w:rsidRPr="00320FA9" w:rsidRDefault="00094E34" w:rsidP="00320FA9">
      <w:pPr>
        <w:pStyle w:val="BodyText"/>
        <w:spacing w:before="0"/>
        <w:ind w:left="0" w:firstLine="0"/>
        <w:jc w:val="both"/>
        <w:rPr>
          <w:noProof/>
          <w:sz w:val="24"/>
        </w:rPr>
      </w:pPr>
    </w:p>
    <w:p w:rsidR="00085477" w:rsidRDefault="00085477" w:rsidP="00320FA9">
      <w:pPr>
        <w:pStyle w:val="BodyText"/>
        <w:spacing w:before="0"/>
        <w:ind w:left="0" w:firstLine="0"/>
        <w:jc w:val="both"/>
        <w:rPr>
          <w:noProof/>
          <w:sz w:val="24"/>
        </w:rPr>
      </w:pPr>
      <w:r w:rsidRPr="00320FA9">
        <w:rPr>
          <w:noProof/>
          <w:sz w:val="24"/>
        </w:rPr>
        <w:t xml:space="preserve">Sistēmiskajā pieejā var ietilpt pasākumi, kas ir pievienoti vai pastiprināti, lai kompensētu </w:t>
      </w:r>
      <w:r w:rsidRPr="00320FA9">
        <w:rPr>
          <w:noProof/>
          <w:sz w:val="24"/>
        </w:rPr>
        <w:lastRenderedPageBreak/>
        <w:t>nenoteiktību datu iztrūkumu, dažādības vai pieredzes trūkuma dēļ procedūru piemērošanā. Attiecīgajai kompensēšanas pakāpei sistēmiskajā pieejā jāatbilst nenoteiktības līmenim.</w:t>
      </w:r>
    </w:p>
    <w:p w:rsidR="00094E34" w:rsidRPr="00320FA9" w:rsidRDefault="00094E34" w:rsidP="00320FA9">
      <w:pPr>
        <w:pStyle w:val="BodyText"/>
        <w:spacing w:before="0"/>
        <w:ind w:left="0" w:firstLine="0"/>
        <w:jc w:val="both"/>
        <w:rPr>
          <w:noProof/>
          <w:sz w:val="24"/>
        </w:rPr>
      </w:pPr>
    </w:p>
    <w:p w:rsidR="00085477" w:rsidRDefault="00085477" w:rsidP="00320FA9">
      <w:pPr>
        <w:pStyle w:val="BodyText"/>
        <w:spacing w:before="0"/>
        <w:ind w:left="0" w:firstLine="0"/>
        <w:jc w:val="both"/>
        <w:rPr>
          <w:noProof/>
          <w:sz w:val="24"/>
        </w:rPr>
      </w:pPr>
      <w:r w:rsidRPr="00320FA9">
        <w:rPr>
          <w:noProof/>
          <w:sz w:val="24"/>
        </w:rPr>
        <w:t>Pieredze un papildinformācijas sniegšana var rosināt atkārtotu pasākumu skaita un iedarbības izvērtēšanu ar mērķi attiecīgi mainīt sistēmisko pieeju.</w:t>
      </w:r>
    </w:p>
    <w:p w:rsidR="00094E34" w:rsidRPr="00320FA9"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Sis</w:t>
      </w:r>
      <w:r w:rsidR="00560D9B">
        <w:rPr>
          <w:noProof/>
          <w:sz w:val="24"/>
        </w:rPr>
        <w:t>tēmiskās pieejas izstrāde ietver</w:t>
      </w:r>
      <w:r w:rsidRPr="00320FA9">
        <w:rPr>
          <w:noProof/>
          <w:sz w:val="24"/>
        </w:rPr>
        <w:t>:</w:t>
      </w:r>
    </w:p>
    <w:p w:rsidR="00085477" w:rsidRPr="00320FA9" w:rsidRDefault="00085477" w:rsidP="00094E34">
      <w:pPr>
        <w:pStyle w:val="BodyText"/>
        <w:numPr>
          <w:ilvl w:val="0"/>
          <w:numId w:val="4"/>
        </w:numPr>
        <w:tabs>
          <w:tab w:val="left" w:pos="706"/>
        </w:tabs>
        <w:spacing w:before="0"/>
        <w:ind w:left="709" w:hanging="709"/>
        <w:jc w:val="both"/>
        <w:rPr>
          <w:noProof/>
          <w:sz w:val="24"/>
        </w:rPr>
      </w:pPr>
      <w:r w:rsidRPr="00320FA9">
        <w:rPr>
          <w:noProof/>
          <w:sz w:val="24"/>
        </w:rPr>
        <w:t>kaitīg</w:t>
      </w:r>
      <w:r w:rsidR="00560D9B">
        <w:rPr>
          <w:noProof/>
          <w:sz w:val="24"/>
        </w:rPr>
        <w:t>ā organisma riska identitātes un izplatīšanas ceļa apraksta</w:t>
      </w:r>
      <w:r w:rsidRPr="00320FA9">
        <w:rPr>
          <w:noProof/>
          <w:sz w:val="24"/>
        </w:rPr>
        <w:t xml:space="preserve"> no </w:t>
      </w:r>
      <w:r w:rsidR="00560D9B">
        <w:rPr>
          <w:i/>
          <w:noProof/>
          <w:sz w:val="24"/>
        </w:rPr>
        <w:t xml:space="preserve">PAR </w:t>
      </w:r>
      <w:r w:rsidR="00560D9B">
        <w:rPr>
          <w:noProof/>
          <w:sz w:val="24"/>
        </w:rPr>
        <w:t>iegūšanu</w:t>
      </w:r>
      <w:r w:rsidRPr="00320FA9">
        <w:rPr>
          <w:noProof/>
          <w:sz w:val="24"/>
        </w:rPr>
        <w:t>;</w:t>
      </w:r>
    </w:p>
    <w:p w:rsidR="00085477" w:rsidRPr="00320FA9" w:rsidRDefault="00560D9B" w:rsidP="00094E34">
      <w:pPr>
        <w:pStyle w:val="BodyText"/>
        <w:numPr>
          <w:ilvl w:val="0"/>
          <w:numId w:val="4"/>
        </w:numPr>
        <w:tabs>
          <w:tab w:val="left" w:pos="706"/>
        </w:tabs>
        <w:spacing w:before="0"/>
        <w:ind w:left="709" w:hanging="709"/>
        <w:jc w:val="both"/>
        <w:rPr>
          <w:noProof/>
          <w:sz w:val="24"/>
        </w:rPr>
      </w:pPr>
      <w:r>
        <w:rPr>
          <w:noProof/>
          <w:sz w:val="24"/>
        </w:rPr>
        <w:t>noteikšanu</w:t>
      </w:r>
      <w:r w:rsidR="00085477" w:rsidRPr="00320FA9">
        <w:rPr>
          <w:noProof/>
          <w:sz w:val="24"/>
        </w:rPr>
        <w:t>, kur un kad notiek vai ir piemērojami pārvaldības pasākumi (kontroles punkti);</w:t>
      </w:r>
    </w:p>
    <w:p w:rsidR="00085477" w:rsidRPr="00320FA9" w:rsidRDefault="00560D9B" w:rsidP="00094E34">
      <w:pPr>
        <w:pStyle w:val="BodyText"/>
        <w:numPr>
          <w:ilvl w:val="0"/>
          <w:numId w:val="4"/>
        </w:numPr>
        <w:tabs>
          <w:tab w:val="left" w:pos="706"/>
        </w:tabs>
        <w:spacing w:before="0"/>
        <w:ind w:left="709" w:hanging="709"/>
        <w:jc w:val="both"/>
        <w:rPr>
          <w:noProof/>
          <w:sz w:val="24"/>
        </w:rPr>
      </w:pPr>
      <w:r>
        <w:rPr>
          <w:noProof/>
          <w:sz w:val="24"/>
        </w:rPr>
        <w:t>sistēmai būtisko pasākumu</w:t>
      </w:r>
      <w:r w:rsidR="00085477" w:rsidRPr="00320FA9">
        <w:rPr>
          <w:noProof/>
          <w:sz w:val="24"/>
        </w:rPr>
        <w:t xml:space="preserve"> no citiem faktoriem vai nosacījumiem</w:t>
      </w:r>
      <w:r>
        <w:rPr>
          <w:noProof/>
          <w:sz w:val="24"/>
        </w:rPr>
        <w:t xml:space="preserve"> nošķiršanu</w:t>
      </w:r>
      <w:r w:rsidR="00085477" w:rsidRPr="00320FA9">
        <w:rPr>
          <w:noProof/>
          <w:sz w:val="24"/>
        </w:rPr>
        <w:t>;</w:t>
      </w:r>
    </w:p>
    <w:p w:rsidR="00085477" w:rsidRPr="00320FA9" w:rsidRDefault="00560D9B" w:rsidP="00094E34">
      <w:pPr>
        <w:pStyle w:val="BodyText"/>
        <w:numPr>
          <w:ilvl w:val="0"/>
          <w:numId w:val="4"/>
        </w:numPr>
        <w:tabs>
          <w:tab w:val="left" w:pos="706"/>
        </w:tabs>
        <w:spacing w:before="0"/>
        <w:ind w:left="709" w:hanging="709"/>
        <w:jc w:val="both"/>
        <w:rPr>
          <w:noProof/>
          <w:sz w:val="24"/>
        </w:rPr>
      </w:pPr>
      <w:r>
        <w:rPr>
          <w:noProof/>
          <w:sz w:val="24"/>
        </w:rPr>
        <w:t xml:space="preserve">nesaistīto </w:t>
      </w:r>
      <w:r w:rsidR="00085477" w:rsidRPr="00320FA9">
        <w:rPr>
          <w:noProof/>
          <w:sz w:val="24"/>
        </w:rPr>
        <w:t xml:space="preserve">un </w:t>
      </w:r>
      <w:r>
        <w:rPr>
          <w:noProof/>
          <w:sz w:val="24"/>
        </w:rPr>
        <w:t>savstarpēji saistīto pasākumu un iespēju</w:t>
      </w:r>
      <w:r w:rsidR="00085477" w:rsidRPr="00320FA9">
        <w:rPr>
          <w:noProof/>
          <w:sz w:val="24"/>
        </w:rPr>
        <w:t xml:space="preserve"> </w:t>
      </w:r>
      <w:r>
        <w:rPr>
          <w:noProof/>
          <w:sz w:val="24"/>
        </w:rPr>
        <w:t>noteikšanu nenoteiktības</w:t>
      </w:r>
      <w:r w:rsidR="00085477" w:rsidRPr="00320FA9">
        <w:rPr>
          <w:noProof/>
          <w:sz w:val="24"/>
        </w:rPr>
        <w:t xml:space="preserve"> kompensēšanai;</w:t>
      </w:r>
    </w:p>
    <w:p w:rsidR="00085477" w:rsidRPr="00320FA9" w:rsidRDefault="00560D9B" w:rsidP="00094E34">
      <w:pPr>
        <w:pStyle w:val="BodyText"/>
        <w:numPr>
          <w:ilvl w:val="0"/>
          <w:numId w:val="4"/>
        </w:numPr>
        <w:tabs>
          <w:tab w:val="left" w:pos="706"/>
        </w:tabs>
        <w:spacing w:before="0"/>
        <w:ind w:left="709" w:hanging="709"/>
        <w:jc w:val="both"/>
        <w:rPr>
          <w:noProof/>
          <w:sz w:val="24"/>
        </w:rPr>
      </w:pPr>
      <w:r>
        <w:rPr>
          <w:noProof/>
          <w:sz w:val="24"/>
        </w:rPr>
        <w:t>sistēmai būtiskās pasākumu individuālās un integrētās efektivitātes novērtēšanu</w:t>
      </w:r>
      <w:r w:rsidR="00085477" w:rsidRPr="00320FA9">
        <w:rPr>
          <w:noProof/>
          <w:sz w:val="24"/>
        </w:rPr>
        <w:t>;</w:t>
      </w:r>
    </w:p>
    <w:p w:rsidR="00085477" w:rsidRPr="00320FA9" w:rsidRDefault="00560D9B" w:rsidP="00094E34">
      <w:pPr>
        <w:pStyle w:val="BodyText"/>
        <w:numPr>
          <w:ilvl w:val="0"/>
          <w:numId w:val="4"/>
        </w:numPr>
        <w:tabs>
          <w:tab w:val="left" w:pos="706"/>
        </w:tabs>
        <w:spacing w:before="0"/>
        <w:ind w:left="709" w:hanging="709"/>
        <w:jc w:val="both"/>
        <w:rPr>
          <w:noProof/>
          <w:sz w:val="24"/>
        </w:rPr>
      </w:pPr>
      <w:r>
        <w:rPr>
          <w:noProof/>
          <w:sz w:val="24"/>
        </w:rPr>
        <w:t>iespējamības un tirdzniecības ierobežotības novērtēšanu</w:t>
      </w:r>
      <w:r w:rsidR="00085477" w:rsidRPr="00320FA9">
        <w:rPr>
          <w:noProof/>
          <w:sz w:val="24"/>
        </w:rPr>
        <w:t>;</w:t>
      </w:r>
    </w:p>
    <w:p w:rsidR="00085477" w:rsidRPr="00320FA9" w:rsidRDefault="00560D9B" w:rsidP="00094E34">
      <w:pPr>
        <w:pStyle w:val="BodyText"/>
        <w:numPr>
          <w:ilvl w:val="0"/>
          <w:numId w:val="4"/>
        </w:numPr>
        <w:tabs>
          <w:tab w:val="left" w:pos="706"/>
        </w:tabs>
        <w:spacing w:before="0"/>
        <w:ind w:left="709" w:hanging="709"/>
        <w:jc w:val="both"/>
        <w:rPr>
          <w:noProof/>
          <w:sz w:val="24"/>
        </w:rPr>
      </w:pPr>
      <w:r>
        <w:rPr>
          <w:noProof/>
          <w:sz w:val="24"/>
        </w:rPr>
        <w:t>apspriešanos</w:t>
      </w:r>
      <w:r w:rsidR="00085477" w:rsidRPr="00320FA9">
        <w:rPr>
          <w:noProof/>
          <w:sz w:val="24"/>
        </w:rPr>
        <w:t>;</w:t>
      </w:r>
    </w:p>
    <w:p w:rsidR="00085477" w:rsidRPr="00320FA9" w:rsidRDefault="00560D9B" w:rsidP="00094E34">
      <w:pPr>
        <w:pStyle w:val="BodyText"/>
        <w:numPr>
          <w:ilvl w:val="0"/>
          <w:numId w:val="4"/>
        </w:numPr>
        <w:tabs>
          <w:tab w:val="left" w:pos="706"/>
        </w:tabs>
        <w:spacing w:before="0"/>
        <w:ind w:left="709" w:hanging="709"/>
        <w:jc w:val="both"/>
        <w:rPr>
          <w:noProof/>
          <w:sz w:val="24"/>
        </w:rPr>
      </w:pPr>
      <w:r>
        <w:rPr>
          <w:noProof/>
          <w:sz w:val="24"/>
        </w:rPr>
        <w:t>īstenošanu</w:t>
      </w:r>
      <w:r w:rsidR="00085477" w:rsidRPr="00320FA9">
        <w:rPr>
          <w:noProof/>
          <w:sz w:val="24"/>
        </w:rPr>
        <w:t>, iz</w:t>
      </w:r>
      <w:r>
        <w:rPr>
          <w:noProof/>
          <w:sz w:val="24"/>
        </w:rPr>
        <w:t>mantojot dokumentāciju, un ziņošanu</w:t>
      </w:r>
      <w:r w:rsidR="00085477" w:rsidRPr="00320FA9">
        <w:rPr>
          <w:noProof/>
          <w:sz w:val="24"/>
        </w:rPr>
        <w:t>;</w:t>
      </w:r>
    </w:p>
    <w:p w:rsidR="00085477" w:rsidRPr="00320FA9" w:rsidRDefault="00560D9B" w:rsidP="00094E34">
      <w:pPr>
        <w:pStyle w:val="BodyText"/>
        <w:numPr>
          <w:ilvl w:val="0"/>
          <w:numId w:val="4"/>
        </w:numPr>
        <w:tabs>
          <w:tab w:val="left" w:pos="706"/>
        </w:tabs>
        <w:spacing w:before="0"/>
        <w:ind w:left="709" w:hanging="709"/>
        <w:jc w:val="both"/>
        <w:rPr>
          <w:noProof/>
          <w:sz w:val="24"/>
        </w:rPr>
      </w:pPr>
      <w:r>
        <w:rPr>
          <w:noProof/>
          <w:sz w:val="24"/>
        </w:rPr>
        <w:t>pēc nepieciešamības pārskatīšanu un mainīšanu</w:t>
      </w:r>
      <w:r w:rsidR="00085477" w:rsidRPr="00320FA9">
        <w:rPr>
          <w:noProof/>
          <w:sz w:val="24"/>
        </w:rPr>
        <w:t>.</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4A0E96" w:rsidP="00094E34">
      <w:pPr>
        <w:pStyle w:val="Heading1"/>
        <w:rPr>
          <w:noProof/>
        </w:rPr>
      </w:pPr>
      <w:bookmarkStart w:id="33" w:name="_Toc472687611"/>
      <w:r w:rsidRPr="00320FA9">
        <w:t>9. Sistēmisko pieeju novērtēšana</w:t>
      </w:r>
      <w:bookmarkStart w:id="34" w:name="_bookmark15"/>
      <w:bookmarkEnd w:id="34"/>
      <w:bookmarkEnd w:id="33"/>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Novērtējot sistēmiskās pieejas atbilstību fitosanitārajām importa prasībām, to, vai tās tiek izpildītas vai nē, jārīkojas šādi:</w:t>
      </w:r>
    </w:p>
    <w:p w:rsidR="00085477" w:rsidRPr="00320FA9" w:rsidRDefault="00085477" w:rsidP="00094E34">
      <w:pPr>
        <w:pStyle w:val="BodyText"/>
        <w:numPr>
          <w:ilvl w:val="0"/>
          <w:numId w:val="4"/>
        </w:numPr>
        <w:tabs>
          <w:tab w:val="left" w:pos="706"/>
        </w:tabs>
        <w:spacing w:before="0"/>
        <w:ind w:left="709" w:hanging="709"/>
        <w:jc w:val="both"/>
        <w:rPr>
          <w:noProof/>
          <w:sz w:val="24"/>
        </w:rPr>
      </w:pPr>
      <w:r w:rsidRPr="00320FA9">
        <w:rPr>
          <w:noProof/>
          <w:sz w:val="24"/>
        </w:rPr>
        <w:t>jāizvērtē esošo sistēmisko pieeju būtiskums gadījumos ar līdzīgiem vai tādiem pašiem kaitīgajiem organismiem citās precēs;</w:t>
      </w:r>
    </w:p>
    <w:p w:rsidR="00085477" w:rsidRPr="00320FA9" w:rsidRDefault="00085477" w:rsidP="00094E34">
      <w:pPr>
        <w:pStyle w:val="BodyText"/>
        <w:numPr>
          <w:ilvl w:val="0"/>
          <w:numId w:val="4"/>
        </w:numPr>
        <w:tabs>
          <w:tab w:val="left" w:pos="706"/>
        </w:tabs>
        <w:spacing w:before="0"/>
        <w:ind w:left="709" w:hanging="709"/>
        <w:jc w:val="both"/>
        <w:rPr>
          <w:noProof/>
          <w:sz w:val="24"/>
        </w:rPr>
      </w:pPr>
      <w:r w:rsidRPr="00320FA9">
        <w:rPr>
          <w:noProof/>
          <w:sz w:val="24"/>
        </w:rPr>
        <w:t>jāizvērtē sistēmisko pieeju būtiskums gadījumos ar citiem kaitīgajiem organismiem tajās pašās precēs;</w:t>
      </w:r>
    </w:p>
    <w:p w:rsidR="00085477" w:rsidRPr="00320FA9" w:rsidRDefault="00085477" w:rsidP="00094E34">
      <w:pPr>
        <w:pStyle w:val="BodyText"/>
        <w:numPr>
          <w:ilvl w:val="0"/>
          <w:numId w:val="4"/>
        </w:numPr>
        <w:tabs>
          <w:tab w:val="left" w:pos="706"/>
        </w:tabs>
        <w:spacing w:before="0"/>
        <w:ind w:left="709" w:hanging="709"/>
        <w:jc w:val="both"/>
        <w:rPr>
          <w:noProof/>
          <w:sz w:val="24"/>
        </w:rPr>
      </w:pPr>
      <w:r w:rsidRPr="00320FA9">
        <w:rPr>
          <w:noProof/>
          <w:sz w:val="24"/>
        </w:rPr>
        <w:t>jāizvērtē sniegtā informācija par:</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pasākumu efektivitāti;</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00560D9B">
        <w:rPr>
          <w:noProof/>
          <w:sz w:val="24"/>
        </w:rPr>
        <w:t>uzraudzību un pārtveršanu, paraugu ņemšanas datiem</w:t>
      </w:r>
      <w:r w:rsidRPr="00320FA9">
        <w:rPr>
          <w:noProof/>
          <w:sz w:val="24"/>
        </w:rPr>
        <w:t xml:space="preserve"> (kaitīgo organismu sastopamību);</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kaitīgo organismu un saimniekaugu attiecībām;</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00560D9B">
        <w:rPr>
          <w:noProof/>
          <w:sz w:val="24"/>
        </w:rPr>
        <w:t>kultūraugu</w:t>
      </w:r>
      <w:r w:rsidRPr="00320FA9">
        <w:rPr>
          <w:noProof/>
          <w:sz w:val="24"/>
        </w:rPr>
        <w:t xml:space="preserve"> apsaimniekošanas praksi;</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pārbaudes procedūrām;</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tirdzniecības ietekmi un izmaksām, tostarp laika faktoru;</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jāizvērtē dati atbilstoši vēlamajiem ticamības līmeņiem un attiecīgos gadījumos jāņem vērā nenoteiktības kompensēšanas iespējas.</w:t>
      </w:r>
    </w:p>
    <w:p w:rsidR="00085477" w:rsidRPr="00320FA9" w:rsidRDefault="00085477" w:rsidP="00320FA9">
      <w:pPr>
        <w:jc w:val="both"/>
        <w:rPr>
          <w:rFonts w:ascii="Times New Roman" w:eastAsia="Times New Roman" w:hAnsi="Times New Roman" w:cs="Times New Roman"/>
          <w:noProof/>
          <w:sz w:val="24"/>
          <w:szCs w:val="26"/>
        </w:rPr>
      </w:pPr>
    </w:p>
    <w:p w:rsidR="00085477" w:rsidRPr="00320FA9" w:rsidRDefault="004A0E96" w:rsidP="00094E34">
      <w:pPr>
        <w:pStyle w:val="Heading1"/>
        <w:rPr>
          <w:noProof/>
        </w:rPr>
      </w:pPr>
      <w:bookmarkStart w:id="35" w:name="_Toc472687612"/>
      <w:r w:rsidRPr="00320FA9">
        <w:t>9.1. Novērtēšanas iespējamais iznākums</w:t>
      </w:r>
      <w:bookmarkStart w:id="36" w:name="_bookmark16"/>
      <w:bookmarkEnd w:id="36"/>
      <w:bookmarkEnd w:id="35"/>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Tas var ietvert noteikšanu, vai sistemātiskā pieeja ir:</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pieņemama;</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nepieņemama:</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efektīva, bet neiespējama;</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nepietiekami efektīva (nepieciešams lielāks pasākumu skaits vai stiprums);</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nevajadzīgi ierobežojoša (nepieciešams mazāks pasākumu skaits vai stiprums);</w:t>
      </w:r>
    </w:p>
    <w:p w:rsidR="00085477" w:rsidRPr="00320FA9" w:rsidRDefault="004A0E96" w:rsidP="00094E34">
      <w:pPr>
        <w:pStyle w:val="BodyText"/>
        <w:tabs>
          <w:tab w:val="left" w:pos="1271"/>
        </w:tabs>
        <w:spacing w:before="0"/>
        <w:ind w:left="1134" w:hanging="425"/>
        <w:jc w:val="both"/>
        <w:rPr>
          <w:noProof/>
          <w:sz w:val="24"/>
        </w:rPr>
      </w:pPr>
      <w:r w:rsidRPr="00320FA9">
        <w:rPr>
          <w:noProof/>
          <w:sz w:val="24"/>
        </w:rPr>
        <w:t>-</w:t>
      </w:r>
      <w:r w:rsidRPr="00320FA9">
        <w:rPr>
          <w:sz w:val="24"/>
        </w:rPr>
        <w:tab/>
      </w:r>
      <w:r w:rsidRPr="00320FA9">
        <w:rPr>
          <w:noProof/>
          <w:sz w:val="24"/>
        </w:rPr>
        <w:t>to nav iespējams novērtēt nepietiekamu datu vai nepieņemami augstas nenoteiktības dēļ.</w:t>
      </w:r>
    </w:p>
    <w:p w:rsidR="004A0E96" w:rsidRPr="00320FA9" w:rsidRDefault="004A0E96"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Ja sistēmiskā pieeja ir atzīta par nepieņemamu, šā lēmuma pamatojums sīki jāapraksta un jāiesniedz tirdzniecības partneriem, lai veicinātu iespējamo uzlabojumu noteikšanu.</w:t>
      </w:r>
    </w:p>
    <w:p w:rsidR="00085477" w:rsidRPr="00320FA9" w:rsidRDefault="00085477" w:rsidP="00320FA9">
      <w:pPr>
        <w:jc w:val="both"/>
        <w:rPr>
          <w:rFonts w:ascii="Times New Roman" w:eastAsia="Times New Roman" w:hAnsi="Times New Roman" w:cs="Times New Roman"/>
          <w:noProof/>
          <w:sz w:val="24"/>
        </w:rPr>
      </w:pPr>
    </w:p>
    <w:p w:rsidR="00085477" w:rsidRPr="00320FA9" w:rsidRDefault="004A0E96" w:rsidP="00094E34">
      <w:pPr>
        <w:pStyle w:val="Heading1"/>
        <w:rPr>
          <w:noProof/>
        </w:rPr>
      </w:pPr>
      <w:bookmarkStart w:id="37" w:name="_Toc472687613"/>
      <w:r w:rsidRPr="00320FA9">
        <w:t>10. Pienākumi</w:t>
      </w:r>
      <w:bookmarkStart w:id="38" w:name="_bookmark17"/>
      <w:bookmarkEnd w:id="38"/>
      <w:bookmarkEnd w:id="37"/>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Valstīm ir pienākums ievērot līdzvērtības principu, izvērtējot kaitīgo organismu riska pārvaldības alternatīvas, kas veicinās drošu tirdzniecību. Sistēmiskās pieejas sniedz būtiskas iespējas izstrādāt jaunas un alternatīvas kaitīgo organismu riska pārvaldības stratēģijas, bet to izstrādei un īstenošanai ir nepieciešama apspriešanās un sadarbība. Atkarībā no sistēmiskajā pieejā ietverto pasākumu skaita un būtības var būt nepieciešams ievērojams datu apjoms. Eksportētājvalstīm un importētājvalstīm jāsadarbojas pietiekamu datu nodrošināšanā un savlaicīgā attiecīgās informācijas apmaiņā attiecībā uz visu kaitīgo organismu riska pārvaldības pasākumu, tostarp sistēmisko pieeju, izstrādi un īstenošanu.</w:t>
      </w:r>
    </w:p>
    <w:p w:rsidR="00085477" w:rsidRPr="00320FA9" w:rsidRDefault="00085477" w:rsidP="00320FA9">
      <w:pPr>
        <w:jc w:val="both"/>
        <w:rPr>
          <w:rFonts w:ascii="Times New Roman" w:eastAsia="Times New Roman" w:hAnsi="Times New Roman" w:cs="Times New Roman"/>
          <w:noProof/>
          <w:sz w:val="24"/>
          <w:szCs w:val="29"/>
        </w:rPr>
      </w:pPr>
    </w:p>
    <w:p w:rsidR="00085477" w:rsidRPr="00320FA9" w:rsidRDefault="004A0E96" w:rsidP="00094E34">
      <w:pPr>
        <w:pStyle w:val="Heading1"/>
        <w:rPr>
          <w:noProof/>
        </w:rPr>
      </w:pPr>
      <w:bookmarkStart w:id="39" w:name="_Toc472687614"/>
      <w:r w:rsidRPr="00320FA9">
        <w:t>10.1. Importētājvalsts pienākumi</w:t>
      </w:r>
      <w:bookmarkStart w:id="40" w:name="_bookmark18"/>
      <w:bookmarkEnd w:id="40"/>
      <w:bookmarkEnd w:id="39"/>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Importētājvalstij jāsniedz konkrēta informācija par tās prasībām. Tajā ietilpst informācijas un sistēmas prasību precizēšana:</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jānosaka attiecīgie kaitīgie organismi;</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jāprecizē fitosanitārās importa prasības;</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jāapraksta nepieciešamā nodrošinājuma (piemēram, sertificēšanas) veidi un apmērs;</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jānosaka tādi punkti, kuriem nepieciešama pārbaude.</w:t>
      </w:r>
    </w:p>
    <w:p w:rsidR="004A0E96" w:rsidRPr="00320FA9" w:rsidRDefault="004A0E96" w:rsidP="00320FA9">
      <w:pPr>
        <w:pStyle w:val="BodyText"/>
        <w:spacing w:before="0"/>
        <w:ind w:left="0" w:firstLine="0"/>
        <w:jc w:val="both"/>
        <w:rPr>
          <w:noProof/>
          <w:sz w:val="24"/>
        </w:rPr>
      </w:pPr>
    </w:p>
    <w:p w:rsidR="00085477" w:rsidRDefault="00085477" w:rsidP="00320FA9">
      <w:pPr>
        <w:pStyle w:val="BodyText"/>
        <w:spacing w:before="0"/>
        <w:ind w:left="0" w:firstLine="0"/>
        <w:jc w:val="both"/>
        <w:rPr>
          <w:noProof/>
          <w:sz w:val="24"/>
        </w:rPr>
      </w:pPr>
      <w:r w:rsidRPr="00320FA9">
        <w:rPr>
          <w:noProof/>
          <w:sz w:val="24"/>
        </w:rPr>
        <w:t>Attiecīgos gadījumos importētājvalstīm, apspriežoties ar eksportētājvalsti, jāizvēlas pasākumi, kas vismazāk ierobežo tirdzniecību, ja vien ir iespēja izvēlēties.</w:t>
      </w:r>
    </w:p>
    <w:p w:rsidR="00094E34" w:rsidRPr="00320FA9"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Importētājvalstij var būt arī citi pienākumi, tostarp:</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ierosināt uzlabojumus vai alternatīvas iespējas;</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auditēt (sistēmiskās pieejas plānots novērtējums un pārbaude);</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precizēt rīcību neatbilstības gadījumā;</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pārskatīt un sniegt atgriezenisko saikni.</w:t>
      </w:r>
    </w:p>
    <w:p w:rsidR="004A0E96" w:rsidRPr="00320FA9" w:rsidRDefault="004A0E96" w:rsidP="00320FA9">
      <w:pPr>
        <w:pStyle w:val="BodyText"/>
        <w:spacing w:before="0"/>
        <w:ind w:left="0" w:firstLine="0"/>
        <w:jc w:val="both"/>
        <w:rPr>
          <w:noProof/>
          <w:sz w:val="24"/>
        </w:rPr>
      </w:pPr>
    </w:p>
    <w:p w:rsidR="00085477" w:rsidRDefault="00085477" w:rsidP="00320FA9">
      <w:pPr>
        <w:pStyle w:val="BodyText"/>
        <w:spacing w:before="0"/>
        <w:ind w:left="0" w:firstLine="0"/>
        <w:jc w:val="both"/>
        <w:rPr>
          <w:noProof/>
          <w:sz w:val="24"/>
        </w:rPr>
      </w:pPr>
      <w:r w:rsidRPr="00320FA9">
        <w:rPr>
          <w:noProof/>
          <w:sz w:val="24"/>
        </w:rPr>
        <w:t>Ja importētājvalstis piekrīt noteiktu pasākumu īstenošanai savā teritorijā, importētājvalstis ir atbildīgas par šo pasākumu īstenošanu.</w:t>
      </w:r>
    </w:p>
    <w:p w:rsidR="00094E34" w:rsidRPr="00320FA9"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Pieņemtie fitosanitārie pasākumi jāpublicē (</w:t>
      </w:r>
      <w:r w:rsidRPr="00320FA9">
        <w:rPr>
          <w:i/>
          <w:noProof/>
          <w:sz w:val="24"/>
        </w:rPr>
        <w:t xml:space="preserve">IPPC </w:t>
      </w:r>
      <w:r w:rsidRPr="00320FA9">
        <w:rPr>
          <w:noProof/>
          <w:sz w:val="24"/>
        </w:rPr>
        <w:t>7. panta 2. punkta b) apakšpunkts).</w:t>
      </w:r>
    </w:p>
    <w:p w:rsidR="00085477" w:rsidRPr="00320FA9" w:rsidRDefault="00085477" w:rsidP="00320FA9">
      <w:pPr>
        <w:jc w:val="both"/>
        <w:rPr>
          <w:rFonts w:ascii="Times New Roman" w:eastAsia="Times New Roman" w:hAnsi="Times New Roman" w:cs="Times New Roman"/>
          <w:noProof/>
          <w:sz w:val="24"/>
          <w:szCs w:val="26"/>
        </w:rPr>
      </w:pPr>
    </w:p>
    <w:p w:rsidR="00085477" w:rsidRPr="00320FA9" w:rsidRDefault="004A0E96" w:rsidP="00094E34">
      <w:pPr>
        <w:pStyle w:val="Heading1"/>
        <w:rPr>
          <w:noProof/>
        </w:rPr>
      </w:pPr>
      <w:bookmarkStart w:id="41" w:name="_Toc472687615"/>
      <w:r w:rsidRPr="00320FA9">
        <w:t>10.2. Eksportētājvalsts pienākumi</w:t>
      </w:r>
      <w:bookmarkStart w:id="42" w:name="_bookmark19"/>
      <w:bookmarkEnd w:id="42"/>
      <w:bookmarkEnd w:id="41"/>
    </w:p>
    <w:p w:rsidR="00094E34"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Eksportētājvalstij jāsniedz pietiekama informācija, lai palīdzētu sistēmiskās pieejas novērtēšanā un pieņemšanā. Tā var būt informācija par:</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preci, ražošanas vietu un paredzamo sūtījumu apjomu un biežumu;</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attiecīgo ražošanu, raža</w:t>
      </w:r>
      <w:r w:rsidR="00560D9B">
        <w:rPr>
          <w:noProof/>
          <w:sz w:val="24"/>
        </w:rPr>
        <w:t>s</w:t>
      </w:r>
      <w:r w:rsidR="00BA75BA">
        <w:rPr>
          <w:noProof/>
          <w:sz w:val="24"/>
        </w:rPr>
        <w:t xml:space="preserve"> novākšanu, iepakošanu/pārvadāšanu</w:t>
      </w:r>
      <w:bookmarkStart w:id="43" w:name="_GoBack"/>
      <w:bookmarkEnd w:id="43"/>
      <w:r w:rsidRPr="00320FA9">
        <w:rPr>
          <w:noProof/>
          <w:sz w:val="24"/>
        </w:rPr>
        <w:t>, transportēšanu;</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kaitīgo organismu un saimniekaugu attiecībām;</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kaitīgo organismu pārvaldības pasākumiem, kas ierosināti sistēmiskajai pieejai, un attiecīgie dati par efektivitāti;</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attiecīgajām atsaucēm.</w:t>
      </w:r>
    </w:p>
    <w:p w:rsidR="004A0E96" w:rsidRPr="00320FA9" w:rsidRDefault="004A0E96" w:rsidP="00320FA9">
      <w:pPr>
        <w:pStyle w:val="BodyText"/>
        <w:tabs>
          <w:tab w:val="left" w:pos="706"/>
        </w:tabs>
        <w:spacing w:before="0"/>
        <w:ind w:left="0" w:firstLine="0"/>
        <w:jc w:val="both"/>
        <w:rPr>
          <w:noProof/>
          <w:sz w:val="24"/>
        </w:rPr>
      </w:pPr>
    </w:p>
    <w:p w:rsidR="00094E34" w:rsidRPr="00320FA9" w:rsidRDefault="00085477" w:rsidP="00320FA9">
      <w:pPr>
        <w:pStyle w:val="BodyText"/>
        <w:spacing w:before="0"/>
        <w:ind w:left="0" w:firstLine="0"/>
        <w:jc w:val="both"/>
        <w:rPr>
          <w:noProof/>
          <w:sz w:val="24"/>
        </w:rPr>
      </w:pPr>
      <w:r w:rsidRPr="00320FA9">
        <w:rPr>
          <w:noProof/>
          <w:sz w:val="24"/>
        </w:rPr>
        <w:t>Eksportētājvalstij ir arī citi pienākumi, tostarp:</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uzraudzīt/auditēt sistēmas efektivitāti un ziņot par to;</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veikt attiecīgas koriģējošās darbības;</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veikt attiecīgu uzskaiti;</w:t>
      </w:r>
    </w:p>
    <w:p w:rsidR="00085477" w:rsidRPr="00320FA9" w:rsidRDefault="00085477" w:rsidP="00094E34">
      <w:pPr>
        <w:pStyle w:val="BodyText"/>
        <w:numPr>
          <w:ilvl w:val="0"/>
          <w:numId w:val="3"/>
        </w:numPr>
        <w:tabs>
          <w:tab w:val="left" w:pos="706"/>
        </w:tabs>
        <w:spacing w:before="0"/>
        <w:ind w:left="709" w:hanging="709"/>
        <w:jc w:val="both"/>
        <w:rPr>
          <w:noProof/>
          <w:sz w:val="24"/>
        </w:rPr>
      </w:pPr>
      <w:r w:rsidRPr="00320FA9">
        <w:rPr>
          <w:noProof/>
          <w:sz w:val="24"/>
        </w:rPr>
        <w:t>nodrošināt fitosanitāro sertificēšanu atbilstoši sistēmas prasībām.</w:t>
      </w:r>
    </w:p>
    <w:p w:rsidR="00094E34" w:rsidRDefault="00094E34">
      <w:pPr>
        <w:rPr>
          <w:rFonts w:ascii="Times New Roman" w:eastAsia="Times New Roman" w:hAnsi="Times New Roman" w:cs="Times New Roman"/>
          <w:noProof/>
          <w:sz w:val="24"/>
          <w:szCs w:val="28"/>
        </w:rPr>
      </w:pPr>
      <w:r>
        <w:rPr>
          <w:rFonts w:ascii="Times New Roman" w:eastAsia="Times New Roman" w:hAnsi="Times New Roman" w:cs="Times New Roman"/>
          <w:noProof/>
          <w:sz w:val="24"/>
          <w:szCs w:val="28"/>
        </w:rPr>
        <w:lastRenderedPageBreak/>
        <w:br w:type="page"/>
      </w:r>
    </w:p>
    <w:p w:rsidR="00085477" w:rsidRPr="00320FA9" w:rsidRDefault="00085477" w:rsidP="00320FA9">
      <w:pPr>
        <w:jc w:val="both"/>
        <w:rPr>
          <w:rFonts w:ascii="Times New Roman" w:eastAsia="Times New Roman" w:hAnsi="Times New Roman" w:cs="Times New Roman"/>
          <w:noProof/>
          <w:sz w:val="24"/>
          <w:szCs w:val="28"/>
        </w:rPr>
      </w:pPr>
    </w:p>
    <w:p w:rsidR="00085477" w:rsidRPr="00320FA9" w:rsidRDefault="00085477" w:rsidP="00094E34">
      <w:pPr>
        <w:jc w:val="center"/>
        <w:rPr>
          <w:rFonts w:ascii="Times New Roman" w:hAnsi="Times New Roman"/>
          <w:noProof/>
          <w:sz w:val="24"/>
        </w:rPr>
      </w:pPr>
      <w:r w:rsidRPr="00320FA9">
        <w:rPr>
          <w:rFonts w:ascii="Times New Roman" w:hAnsi="Times New Roman"/>
          <w:noProof/>
          <w:sz w:val="24"/>
        </w:rPr>
        <w:t>Šis pielikums ir šī standarta preskriptīvā daļa.</w:t>
      </w:r>
    </w:p>
    <w:p w:rsidR="00085477" w:rsidRPr="00320FA9" w:rsidRDefault="00085477" w:rsidP="00320FA9">
      <w:pPr>
        <w:jc w:val="both"/>
        <w:rPr>
          <w:rFonts w:ascii="Times New Roman" w:eastAsia="Times New Roman" w:hAnsi="Times New Roman" w:cs="Times New Roman"/>
          <w:noProof/>
          <w:sz w:val="24"/>
          <w:szCs w:val="26"/>
        </w:rPr>
      </w:pPr>
    </w:p>
    <w:p w:rsidR="00085477" w:rsidRPr="00320FA9" w:rsidRDefault="00085477" w:rsidP="00094E34">
      <w:pPr>
        <w:pStyle w:val="Heading1"/>
        <w:rPr>
          <w:noProof/>
        </w:rPr>
      </w:pPr>
      <w:bookmarkStart w:id="44" w:name="_Toc472687616"/>
      <w:r w:rsidRPr="00320FA9">
        <w:t>1. PIELIKUMS Kritisko kontroles punktu sistēma</w:t>
      </w:r>
      <w:bookmarkStart w:id="45" w:name="_bookmark20"/>
      <w:bookmarkEnd w:id="45"/>
      <w:bookmarkEnd w:id="44"/>
    </w:p>
    <w:p w:rsidR="00094E34" w:rsidRDefault="00094E34" w:rsidP="00320FA9">
      <w:pPr>
        <w:pStyle w:val="BodyText"/>
        <w:spacing w:before="0"/>
        <w:ind w:left="0" w:firstLine="0"/>
        <w:jc w:val="both"/>
        <w:rPr>
          <w:noProof/>
          <w:sz w:val="24"/>
        </w:rPr>
      </w:pPr>
    </w:p>
    <w:p w:rsidR="00085477" w:rsidRDefault="00085477" w:rsidP="00320FA9">
      <w:pPr>
        <w:pStyle w:val="BodyText"/>
        <w:spacing w:before="0"/>
        <w:ind w:left="0" w:firstLine="0"/>
        <w:jc w:val="both"/>
        <w:rPr>
          <w:noProof/>
          <w:sz w:val="24"/>
        </w:rPr>
      </w:pPr>
      <w:r w:rsidRPr="00320FA9">
        <w:rPr>
          <w:noProof/>
          <w:sz w:val="24"/>
        </w:rPr>
        <w:t>Kritiskajā kontroles punktu sistēmā ietilpst šādas procedūras:</w:t>
      </w:r>
    </w:p>
    <w:p w:rsidR="00094E34" w:rsidRPr="00320FA9" w:rsidRDefault="00094E34" w:rsidP="00320FA9">
      <w:pPr>
        <w:pStyle w:val="BodyText"/>
        <w:spacing w:before="0"/>
        <w:ind w:left="0" w:firstLine="0"/>
        <w:jc w:val="both"/>
        <w:rPr>
          <w:noProof/>
          <w:sz w:val="24"/>
        </w:rPr>
      </w:pPr>
    </w:p>
    <w:p w:rsidR="00085477" w:rsidRPr="00320FA9" w:rsidRDefault="00085477" w:rsidP="00094E34">
      <w:pPr>
        <w:pStyle w:val="BodyText"/>
        <w:numPr>
          <w:ilvl w:val="0"/>
          <w:numId w:val="2"/>
        </w:numPr>
        <w:tabs>
          <w:tab w:val="left" w:pos="706"/>
        </w:tabs>
        <w:spacing w:before="0"/>
        <w:ind w:left="709" w:hanging="709"/>
        <w:jc w:val="both"/>
        <w:rPr>
          <w:noProof/>
          <w:sz w:val="24"/>
        </w:rPr>
      </w:pPr>
      <w:r w:rsidRPr="00320FA9">
        <w:rPr>
          <w:noProof/>
          <w:sz w:val="24"/>
        </w:rPr>
        <w:t>noteikt pasākumu apdraudējumu un mērķus noteiktajā sistēmā;</w:t>
      </w:r>
    </w:p>
    <w:p w:rsidR="00085477" w:rsidRPr="00320FA9" w:rsidRDefault="00085477" w:rsidP="00094E34">
      <w:pPr>
        <w:pStyle w:val="BodyText"/>
        <w:numPr>
          <w:ilvl w:val="0"/>
          <w:numId w:val="2"/>
        </w:numPr>
        <w:tabs>
          <w:tab w:val="left" w:pos="706"/>
        </w:tabs>
        <w:spacing w:before="0"/>
        <w:ind w:left="709" w:hanging="709"/>
        <w:jc w:val="both"/>
        <w:rPr>
          <w:noProof/>
          <w:sz w:val="24"/>
        </w:rPr>
      </w:pPr>
      <w:r w:rsidRPr="00320FA9">
        <w:rPr>
          <w:noProof/>
          <w:sz w:val="24"/>
        </w:rPr>
        <w:t>noteikt neatkarīgās procedūras, kuras var uzraudzīt un kontrolēt;</w:t>
      </w:r>
    </w:p>
    <w:p w:rsidR="00085477" w:rsidRPr="00320FA9" w:rsidRDefault="00085477" w:rsidP="00094E34">
      <w:pPr>
        <w:pStyle w:val="BodyText"/>
        <w:numPr>
          <w:ilvl w:val="0"/>
          <w:numId w:val="2"/>
        </w:numPr>
        <w:tabs>
          <w:tab w:val="left" w:pos="706"/>
        </w:tabs>
        <w:spacing w:before="0"/>
        <w:ind w:left="709" w:hanging="709"/>
        <w:jc w:val="both"/>
        <w:rPr>
          <w:noProof/>
          <w:sz w:val="24"/>
        </w:rPr>
      </w:pPr>
      <w:r w:rsidRPr="00320FA9">
        <w:rPr>
          <w:noProof/>
          <w:sz w:val="24"/>
        </w:rPr>
        <w:t>noteikt kritērijus vai ierobežojumus katras neatkarīgās procedūras pieņemšanai/nepieņemšanai;</w:t>
      </w:r>
    </w:p>
    <w:p w:rsidR="00085477" w:rsidRPr="00320FA9" w:rsidRDefault="00085477" w:rsidP="00094E34">
      <w:pPr>
        <w:pStyle w:val="BodyText"/>
        <w:numPr>
          <w:ilvl w:val="0"/>
          <w:numId w:val="2"/>
        </w:numPr>
        <w:tabs>
          <w:tab w:val="left" w:pos="706"/>
        </w:tabs>
        <w:spacing w:before="0"/>
        <w:ind w:left="709" w:hanging="709"/>
        <w:jc w:val="both"/>
        <w:rPr>
          <w:noProof/>
          <w:sz w:val="24"/>
        </w:rPr>
      </w:pPr>
      <w:r w:rsidRPr="00320FA9">
        <w:rPr>
          <w:noProof/>
          <w:sz w:val="24"/>
        </w:rPr>
        <w:t>īstenot sistēmu ar uzraudzību atbilstoši vēlamajam ticamības līmenim;</w:t>
      </w:r>
    </w:p>
    <w:p w:rsidR="00085477" w:rsidRPr="00320FA9" w:rsidRDefault="00085477" w:rsidP="00094E34">
      <w:pPr>
        <w:pStyle w:val="BodyText"/>
        <w:numPr>
          <w:ilvl w:val="0"/>
          <w:numId w:val="2"/>
        </w:numPr>
        <w:tabs>
          <w:tab w:val="left" w:pos="706"/>
        </w:tabs>
        <w:spacing w:before="0"/>
        <w:ind w:left="709" w:hanging="709"/>
        <w:jc w:val="both"/>
        <w:rPr>
          <w:noProof/>
          <w:sz w:val="24"/>
        </w:rPr>
      </w:pPr>
      <w:r w:rsidRPr="00320FA9">
        <w:rPr>
          <w:noProof/>
          <w:sz w:val="24"/>
        </w:rPr>
        <w:t>veikt koriģējošu darbību, ja uzraudzības rezultāti norāda, ka kritēriji nav izpildīti;</w:t>
      </w:r>
    </w:p>
    <w:p w:rsidR="00085477" w:rsidRPr="00320FA9" w:rsidRDefault="00085477" w:rsidP="00094E34">
      <w:pPr>
        <w:pStyle w:val="BodyText"/>
        <w:numPr>
          <w:ilvl w:val="0"/>
          <w:numId w:val="2"/>
        </w:numPr>
        <w:tabs>
          <w:tab w:val="left" w:pos="706"/>
        </w:tabs>
        <w:spacing w:before="0"/>
        <w:ind w:left="709" w:hanging="709"/>
        <w:jc w:val="both"/>
        <w:rPr>
          <w:noProof/>
          <w:sz w:val="24"/>
        </w:rPr>
      </w:pPr>
      <w:r w:rsidRPr="00320FA9">
        <w:rPr>
          <w:noProof/>
          <w:sz w:val="24"/>
        </w:rPr>
        <w:t>pārskatīt vai testēt, lai apstiprinātu sistēmas efektivitāti un ticamību;</w:t>
      </w:r>
    </w:p>
    <w:p w:rsidR="00085477" w:rsidRPr="00320FA9" w:rsidRDefault="00085477" w:rsidP="00094E34">
      <w:pPr>
        <w:pStyle w:val="BodyText"/>
        <w:numPr>
          <w:ilvl w:val="0"/>
          <w:numId w:val="2"/>
        </w:numPr>
        <w:tabs>
          <w:tab w:val="left" w:pos="706"/>
        </w:tabs>
        <w:spacing w:before="0"/>
        <w:ind w:left="709" w:hanging="709"/>
        <w:jc w:val="both"/>
        <w:rPr>
          <w:noProof/>
          <w:sz w:val="24"/>
        </w:rPr>
      </w:pPr>
      <w:r w:rsidRPr="00320FA9">
        <w:rPr>
          <w:noProof/>
          <w:sz w:val="24"/>
        </w:rPr>
        <w:t>veikt atbilstošu uzskaiti un uzturēt dokumentāciju.</w:t>
      </w:r>
    </w:p>
    <w:p w:rsidR="004A0E96" w:rsidRPr="00320FA9" w:rsidRDefault="004A0E96" w:rsidP="00320FA9">
      <w:pPr>
        <w:pStyle w:val="BodyText"/>
        <w:spacing w:before="0"/>
        <w:ind w:left="0" w:firstLine="0"/>
        <w:jc w:val="both"/>
        <w:rPr>
          <w:noProof/>
          <w:sz w:val="24"/>
        </w:rPr>
      </w:pPr>
    </w:p>
    <w:p w:rsidR="00085477" w:rsidRDefault="00085477" w:rsidP="00320FA9">
      <w:pPr>
        <w:pStyle w:val="BodyText"/>
        <w:spacing w:before="0"/>
        <w:ind w:left="0" w:firstLine="0"/>
        <w:jc w:val="both"/>
        <w:rPr>
          <w:noProof/>
          <w:sz w:val="24"/>
        </w:rPr>
      </w:pPr>
      <w:r w:rsidRPr="00320FA9">
        <w:rPr>
          <w:noProof/>
          <w:sz w:val="24"/>
        </w:rPr>
        <w:t>Šāda veida sistēmas piemērs tiek izmantots pārtikas drošības jomā, un to sauc par riska analīzes un kritisko kontroles punktu (</w:t>
      </w:r>
      <w:r w:rsidRPr="00320FA9">
        <w:rPr>
          <w:i/>
          <w:noProof/>
          <w:sz w:val="24"/>
        </w:rPr>
        <w:t>HACCP</w:t>
      </w:r>
      <w:r w:rsidRPr="00320FA9">
        <w:rPr>
          <w:noProof/>
          <w:sz w:val="24"/>
        </w:rPr>
        <w:t>) sistēmu.</w:t>
      </w:r>
    </w:p>
    <w:p w:rsidR="00094E34" w:rsidRPr="00320FA9" w:rsidRDefault="00094E34" w:rsidP="00320FA9">
      <w:pPr>
        <w:pStyle w:val="BodyText"/>
        <w:spacing w:before="0"/>
        <w:ind w:left="0" w:firstLine="0"/>
        <w:jc w:val="both"/>
        <w:rPr>
          <w:noProof/>
          <w:sz w:val="24"/>
        </w:rPr>
      </w:pPr>
    </w:p>
    <w:p w:rsidR="00085477" w:rsidRDefault="00085477" w:rsidP="00320FA9">
      <w:pPr>
        <w:pStyle w:val="BodyText"/>
        <w:spacing w:before="0"/>
        <w:ind w:left="0" w:firstLine="0"/>
        <w:jc w:val="both"/>
        <w:rPr>
          <w:noProof/>
          <w:sz w:val="24"/>
        </w:rPr>
      </w:pPr>
      <w:r w:rsidRPr="00320FA9">
        <w:rPr>
          <w:noProof/>
          <w:sz w:val="24"/>
        </w:rPr>
        <w:t>Kritisko kontroles punktu sistēmas izmantošana fitosanitāriem mērķiem var būt noderīga, lai noteiktu un novērtētu apdraudējumu, kā arī punktus izplatīšanas ceļā, kur risku var samazināt, uzraudzīt un nepieciešamības gadījumā koriģēt. Kritisko kontroles punktu sistēmas izmantošana fitosanitāriem mērķiem nenorāda un nenozīmē, ka visiem kontroles punktiem ir nepieciešama kontroles piemērošana. Tomēr kritisko kontroles punktu sistēmas balstās tikai uz konkrētām neatkarīgām procedūrām, kas zināmas kā kontroles punkti. Uz tām attiecas riska pārvaldības procedūras, kuru ieguldījumu sistēmas efektivitātē var novērtēt un kontrolēt.</w:t>
      </w:r>
    </w:p>
    <w:p w:rsidR="00094E34" w:rsidRPr="00320FA9" w:rsidRDefault="00094E34" w:rsidP="00320FA9">
      <w:pPr>
        <w:pStyle w:val="BodyText"/>
        <w:spacing w:before="0"/>
        <w:ind w:left="0" w:firstLine="0"/>
        <w:jc w:val="both"/>
        <w:rPr>
          <w:noProof/>
          <w:sz w:val="24"/>
        </w:rPr>
      </w:pPr>
    </w:p>
    <w:p w:rsidR="00085477" w:rsidRPr="00320FA9" w:rsidRDefault="00085477" w:rsidP="00320FA9">
      <w:pPr>
        <w:pStyle w:val="BodyText"/>
        <w:spacing w:before="0"/>
        <w:ind w:left="0" w:firstLine="0"/>
        <w:jc w:val="both"/>
        <w:rPr>
          <w:noProof/>
          <w:sz w:val="24"/>
        </w:rPr>
      </w:pPr>
      <w:r w:rsidRPr="00320FA9">
        <w:rPr>
          <w:noProof/>
          <w:sz w:val="24"/>
        </w:rPr>
        <w:t>Tāpēc sistēmiskās pieejas fitosanitāriem mērķiem var ietvert komponentus, kam nav jābūt pilnīgi atbilstošiem kritisko kontroles punktu koncepcijai, jo tos uzskata par būtiskiem elementiem sistēmiskajā pieejā fitosanitāriem mērķiem. Piemēram, noteikti pasākumi vai nosacījumi pastāv vai ir iekļauti, lai kompensētu nenoteiktību. Tos nevar uzraudzīt kā neatkarīgas procedūras (piemēram, šķirošanu pakošanas vietā) vai var uzraudzīt, bet ne kontrolēt (piemēram, saikniekauga izvēle/uzņēmība).</w:t>
      </w:r>
    </w:p>
    <w:p w:rsidR="004A0E96" w:rsidRPr="00320FA9" w:rsidRDefault="004A0E96" w:rsidP="00320FA9">
      <w:pPr>
        <w:jc w:val="both"/>
        <w:rPr>
          <w:rFonts w:ascii="Times New Roman" w:eastAsia="Times New Roman" w:hAnsi="Times New Roman"/>
          <w:noProof/>
          <w:sz w:val="24"/>
          <w:szCs w:val="24"/>
        </w:rPr>
      </w:pPr>
      <w:r w:rsidRPr="00320FA9">
        <w:rPr>
          <w:rFonts w:ascii="Times New Roman" w:hAnsi="Times New Roman"/>
          <w:sz w:val="24"/>
        </w:rPr>
        <w:br w:type="page"/>
      </w:r>
    </w:p>
    <w:p w:rsidR="00094E34" w:rsidRDefault="00094E34" w:rsidP="00320FA9">
      <w:pPr>
        <w:pStyle w:val="Heading4"/>
        <w:spacing w:before="0"/>
        <w:ind w:left="0"/>
        <w:jc w:val="both"/>
      </w:pPr>
    </w:p>
    <w:p w:rsidR="00085477" w:rsidRPr="00320FA9" w:rsidRDefault="00085477" w:rsidP="00094E34">
      <w:pPr>
        <w:pStyle w:val="Heading4"/>
        <w:spacing w:before="0"/>
        <w:ind w:left="0"/>
        <w:jc w:val="center"/>
        <w:rPr>
          <w:noProof/>
        </w:rPr>
      </w:pPr>
      <w:r w:rsidRPr="00320FA9">
        <w:t>Šī lapa ir ar nolūku atstāta neaizpildīta.</w:t>
      </w:r>
    </w:p>
    <w:p w:rsidR="004A0E96" w:rsidRPr="00320FA9" w:rsidRDefault="004A0E96" w:rsidP="00320FA9">
      <w:pPr>
        <w:jc w:val="both"/>
        <w:rPr>
          <w:rFonts w:ascii="Times New Roman" w:eastAsia="Times New Roman" w:hAnsi="Times New Roman" w:cs="Times New Roman"/>
          <w:noProof/>
          <w:sz w:val="24"/>
          <w:szCs w:val="20"/>
        </w:rPr>
      </w:pPr>
      <w:r w:rsidRPr="00320FA9">
        <w:rPr>
          <w:rFonts w:ascii="Times New Roman" w:hAnsi="Times New Roman"/>
          <w:sz w:val="24"/>
        </w:rPr>
        <w:br w:type="page"/>
      </w: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94E34" w:rsidRPr="00094E34" w:rsidRDefault="00094E34" w:rsidP="00320FA9">
      <w:pPr>
        <w:jc w:val="both"/>
        <w:rPr>
          <w:rFonts w:ascii="Times New Roman" w:hAnsi="Times New Roman"/>
          <w:i/>
          <w:noProof/>
          <w:color w:val="A41B35"/>
        </w:rPr>
      </w:pPr>
    </w:p>
    <w:p w:rsidR="00085477" w:rsidRPr="00094E34" w:rsidRDefault="00085477" w:rsidP="00094E34">
      <w:pPr>
        <w:ind w:right="1704"/>
        <w:jc w:val="both"/>
        <w:rPr>
          <w:rFonts w:ascii="Times New Roman" w:hAnsi="Times New Roman"/>
          <w:b/>
          <w:noProof/>
          <w:color w:val="A41B35"/>
          <w:sz w:val="24"/>
          <w:szCs w:val="24"/>
        </w:rPr>
      </w:pPr>
      <w:r w:rsidRPr="00094E34">
        <w:rPr>
          <w:rFonts w:ascii="Times New Roman" w:hAnsi="Times New Roman"/>
          <w:b/>
          <w:i/>
          <w:noProof/>
          <w:color w:val="A41B35"/>
          <w:sz w:val="24"/>
          <w:szCs w:val="24"/>
        </w:rPr>
        <w:t>IPPC</w:t>
      </w:r>
      <w:bookmarkStart w:id="46" w:name="_ISPM_back_e"/>
      <w:bookmarkEnd w:id="46"/>
    </w:p>
    <w:p w:rsidR="00085477" w:rsidRPr="00094E34" w:rsidRDefault="00085477" w:rsidP="00094E34">
      <w:pPr>
        <w:ind w:right="1704"/>
        <w:jc w:val="both"/>
        <w:rPr>
          <w:rFonts w:ascii="Times New Roman" w:hAnsi="Times New Roman"/>
          <w:noProof/>
        </w:rPr>
      </w:pPr>
      <w:r w:rsidRPr="00094E34">
        <w:rPr>
          <w:rFonts w:ascii="Times New Roman" w:hAnsi="Times New Roman"/>
          <w:noProof/>
        </w:rPr>
        <w:t>Starptautiskā augu aizsardzības konvencija (</w:t>
      </w:r>
      <w:r w:rsidRPr="00094E34">
        <w:rPr>
          <w:rFonts w:ascii="Times New Roman" w:hAnsi="Times New Roman"/>
          <w:i/>
          <w:noProof/>
        </w:rPr>
        <w:t>IPPC</w:t>
      </w:r>
      <w:r w:rsidRPr="00094E34">
        <w:rPr>
          <w:rFonts w:ascii="Times New Roman" w:hAnsi="Times New Roman"/>
          <w:noProof/>
        </w:rPr>
        <w:t>) ir starptautiska vienošanās par augu veselību, kuras mērķis ir aizsargāt kultivētos un savvaļas augus, novēršot kaitīgo organismu ievešanu un izplatību. Starptautiskā ceļošana un tirdzniecība ir intensīvāka nekā jebkad iepriekš. Cilvēkiem un precēm ceļojot pa pasauli, līdzi ceļo arī organismi, kas rada risku augiem.</w:t>
      </w:r>
    </w:p>
    <w:p w:rsidR="00085477" w:rsidRPr="00094E34" w:rsidRDefault="00085477" w:rsidP="00094E34">
      <w:pPr>
        <w:ind w:right="1704"/>
        <w:jc w:val="both"/>
        <w:rPr>
          <w:rFonts w:ascii="Times New Roman" w:eastAsia="Arial" w:hAnsi="Times New Roman" w:cs="Arial"/>
          <w:noProof/>
        </w:rPr>
      </w:pPr>
    </w:p>
    <w:p w:rsidR="00085477" w:rsidRPr="00094E34" w:rsidRDefault="00085477" w:rsidP="00094E34">
      <w:pPr>
        <w:ind w:right="1704"/>
        <w:jc w:val="both"/>
        <w:rPr>
          <w:rFonts w:ascii="Times New Roman" w:hAnsi="Times New Roman"/>
          <w:b/>
          <w:noProof/>
        </w:rPr>
      </w:pPr>
      <w:r w:rsidRPr="00094E34">
        <w:rPr>
          <w:rFonts w:ascii="Times New Roman" w:hAnsi="Times New Roman"/>
          <w:b/>
          <w:noProof/>
        </w:rPr>
        <w:t>Organizācija</w:t>
      </w:r>
    </w:p>
    <w:p w:rsidR="00085477" w:rsidRPr="00094E34" w:rsidRDefault="00085477" w:rsidP="00094E34">
      <w:pPr>
        <w:numPr>
          <w:ilvl w:val="0"/>
          <w:numId w:val="1"/>
        </w:numPr>
        <w:tabs>
          <w:tab w:val="left" w:pos="709"/>
        </w:tabs>
        <w:ind w:left="709" w:right="1704" w:hanging="709"/>
        <w:jc w:val="both"/>
        <w:rPr>
          <w:rFonts w:ascii="Times New Roman" w:hAnsi="Times New Roman"/>
          <w:noProof/>
        </w:rPr>
      </w:pPr>
      <w:r w:rsidRPr="00094E34">
        <w:rPr>
          <w:rFonts w:ascii="Times New Roman" w:hAnsi="Times New Roman"/>
          <w:i/>
          <w:noProof/>
        </w:rPr>
        <w:t>IPPC</w:t>
      </w:r>
      <w:r w:rsidRPr="00094E34">
        <w:rPr>
          <w:rFonts w:ascii="Times New Roman" w:hAnsi="Times New Roman"/>
          <w:noProof/>
        </w:rPr>
        <w:t xml:space="preserve"> ir vairāk nekā 180 līgumslēdzējpuses.</w:t>
      </w:r>
    </w:p>
    <w:p w:rsidR="00085477" w:rsidRPr="00094E34" w:rsidRDefault="00085477" w:rsidP="00094E34">
      <w:pPr>
        <w:numPr>
          <w:ilvl w:val="0"/>
          <w:numId w:val="1"/>
        </w:numPr>
        <w:tabs>
          <w:tab w:val="left" w:pos="709"/>
        </w:tabs>
        <w:ind w:left="709" w:right="1704" w:hanging="709"/>
        <w:jc w:val="both"/>
        <w:rPr>
          <w:rFonts w:ascii="Times New Roman" w:hAnsi="Times New Roman"/>
          <w:noProof/>
        </w:rPr>
      </w:pPr>
      <w:r w:rsidRPr="00094E34">
        <w:rPr>
          <w:rFonts w:ascii="Times New Roman" w:hAnsi="Times New Roman"/>
          <w:noProof/>
        </w:rPr>
        <w:t xml:space="preserve">Katrai līgumslēdzējpusei ir sava nacionālā augu aizsardzības organizācija (NAAO) un oficiāla </w:t>
      </w:r>
      <w:r w:rsidRPr="00094E34">
        <w:rPr>
          <w:rFonts w:ascii="Times New Roman" w:hAnsi="Times New Roman"/>
          <w:i/>
          <w:noProof/>
        </w:rPr>
        <w:t>IPPC</w:t>
      </w:r>
      <w:r w:rsidRPr="00094E34">
        <w:rPr>
          <w:rFonts w:ascii="Times New Roman" w:hAnsi="Times New Roman"/>
          <w:noProof/>
        </w:rPr>
        <w:t xml:space="preserve"> kontaktpersona.</w:t>
      </w:r>
    </w:p>
    <w:p w:rsidR="00085477" w:rsidRPr="00094E34" w:rsidRDefault="00085477" w:rsidP="00094E34">
      <w:pPr>
        <w:numPr>
          <w:ilvl w:val="0"/>
          <w:numId w:val="1"/>
        </w:numPr>
        <w:tabs>
          <w:tab w:val="left" w:pos="709"/>
        </w:tabs>
        <w:ind w:left="709" w:right="1704" w:hanging="709"/>
        <w:jc w:val="both"/>
        <w:rPr>
          <w:rFonts w:ascii="Times New Roman" w:hAnsi="Times New Roman"/>
          <w:noProof/>
        </w:rPr>
      </w:pPr>
      <w:r w:rsidRPr="00094E34">
        <w:rPr>
          <w:rFonts w:ascii="Times New Roman" w:hAnsi="Times New Roman"/>
          <w:noProof/>
        </w:rPr>
        <w:t xml:space="preserve">Lai valstīs veicinātu </w:t>
      </w:r>
      <w:r w:rsidRPr="00094E34">
        <w:rPr>
          <w:rFonts w:ascii="Times New Roman" w:hAnsi="Times New Roman"/>
          <w:i/>
          <w:noProof/>
        </w:rPr>
        <w:t>IPPC</w:t>
      </w:r>
      <w:r w:rsidRPr="00094E34">
        <w:rPr>
          <w:rFonts w:ascii="Times New Roman" w:hAnsi="Times New Roman"/>
          <w:noProof/>
        </w:rPr>
        <w:t xml:space="preserve"> īstenošanu, darbojas deviņas reģionālās augu aizsardzības organizācijas (RAAO).</w:t>
      </w:r>
    </w:p>
    <w:p w:rsidR="00085477" w:rsidRPr="00094E34" w:rsidRDefault="00085477" w:rsidP="00094E34">
      <w:pPr>
        <w:numPr>
          <w:ilvl w:val="0"/>
          <w:numId w:val="1"/>
        </w:numPr>
        <w:tabs>
          <w:tab w:val="left" w:pos="709"/>
        </w:tabs>
        <w:ind w:left="709" w:right="1704" w:hanging="709"/>
        <w:jc w:val="both"/>
        <w:rPr>
          <w:rFonts w:ascii="Times New Roman" w:hAnsi="Times New Roman"/>
          <w:noProof/>
        </w:rPr>
      </w:pPr>
      <w:r w:rsidRPr="00094E34">
        <w:rPr>
          <w:rFonts w:ascii="Times New Roman" w:hAnsi="Times New Roman"/>
          <w:i/>
          <w:noProof/>
        </w:rPr>
        <w:t>IPPC</w:t>
      </w:r>
      <w:r w:rsidRPr="00094E34">
        <w:rPr>
          <w:rFonts w:ascii="Times New Roman" w:hAnsi="Times New Roman"/>
          <w:noProof/>
        </w:rPr>
        <w:t xml:space="preserve"> sadarbojas ar attiecīgajām starptautiskajām organizācijām, lai palīdzētu uzlabot reģionālās un valstu spējas.</w:t>
      </w:r>
    </w:p>
    <w:p w:rsidR="00085477" w:rsidRPr="00094E34" w:rsidRDefault="00085477" w:rsidP="00094E34">
      <w:pPr>
        <w:numPr>
          <w:ilvl w:val="0"/>
          <w:numId w:val="1"/>
        </w:numPr>
        <w:tabs>
          <w:tab w:val="left" w:pos="709"/>
        </w:tabs>
        <w:ind w:left="709" w:right="1704" w:hanging="709"/>
        <w:jc w:val="both"/>
        <w:rPr>
          <w:rFonts w:ascii="Times New Roman" w:hAnsi="Times New Roman"/>
          <w:noProof/>
        </w:rPr>
      </w:pPr>
      <w:r w:rsidRPr="00094E34">
        <w:rPr>
          <w:rFonts w:ascii="Times New Roman" w:hAnsi="Times New Roman"/>
          <w:noProof/>
        </w:rPr>
        <w:t>ANO Pārtikas un lauksaimniecības organizācija (</w:t>
      </w:r>
      <w:r w:rsidRPr="00094E34">
        <w:rPr>
          <w:rFonts w:ascii="Times New Roman" w:hAnsi="Times New Roman"/>
          <w:i/>
          <w:noProof/>
        </w:rPr>
        <w:t>FAO</w:t>
      </w:r>
      <w:r w:rsidRPr="00094E34">
        <w:rPr>
          <w:rFonts w:ascii="Times New Roman" w:hAnsi="Times New Roman"/>
          <w:noProof/>
        </w:rPr>
        <w:t>) nodrošina sekretariāta pakalpojumus.</w:t>
      </w:r>
    </w:p>
    <w:p w:rsidR="00085477" w:rsidRDefault="00085477" w:rsidP="00094E34">
      <w:pPr>
        <w:ind w:right="1704"/>
        <w:jc w:val="both"/>
        <w:rPr>
          <w:rFonts w:ascii="Times New Roman" w:eastAsia="Arial" w:hAnsi="Times New Roman" w:cs="Arial"/>
          <w:noProof/>
        </w:rPr>
      </w:pPr>
    </w:p>
    <w:p w:rsidR="00094E34" w:rsidRDefault="00094E34" w:rsidP="00094E34">
      <w:pPr>
        <w:ind w:right="1704"/>
        <w:jc w:val="both"/>
        <w:rPr>
          <w:rFonts w:ascii="Times New Roman" w:eastAsia="Arial" w:hAnsi="Times New Roman" w:cs="Arial"/>
          <w:noProof/>
        </w:rPr>
      </w:pPr>
    </w:p>
    <w:p w:rsidR="00094E34" w:rsidRDefault="00094E34" w:rsidP="00094E34">
      <w:pPr>
        <w:ind w:right="1704"/>
        <w:jc w:val="both"/>
        <w:rPr>
          <w:rFonts w:ascii="Times New Roman" w:eastAsia="Arial" w:hAnsi="Times New Roman" w:cs="Arial"/>
          <w:noProof/>
        </w:rPr>
      </w:pPr>
    </w:p>
    <w:p w:rsidR="00094E34" w:rsidRDefault="00094E34" w:rsidP="00094E34">
      <w:pPr>
        <w:ind w:right="1704"/>
        <w:jc w:val="both"/>
        <w:rPr>
          <w:rFonts w:ascii="Times New Roman" w:eastAsia="Arial" w:hAnsi="Times New Roman" w:cs="Arial"/>
          <w:noProof/>
        </w:rPr>
      </w:pPr>
    </w:p>
    <w:p w:rsidR="00094E34" w:rsidRDefault="00094E34" w:rsidP="00094E34">
      <w:pPr>
        <w:ind w:right="1704"/>
        <w:jc w:val="both"/>
        <w:rPr>
          <w:rFonts w:ascii="Times New Roman" w:eastAsia="Arial" w:hAnsi="Times New Roman" w:cs="Arial"/>
          <w:noProof/>
        </w:rPr>
      </w:pPr>
    </w:p>
    <w:p w:rsidR="00094E34" w:rsidRDefault="00094E34" w:rsidP="00094E34">
      <w:pPr>
        <w:ind w:right="1704"/>
        <w:jc w:val="both"/>
        <w:rPr>
          <w:rFonts w:ascii="Times New Roman" w:eastAsia="Arial" w:hAnsi="Times New Roman" w:cs="Arial"/>
          <w:noProof/>
        </w:rPr>
      </w:pPr>
    </w:p>
    <w:p w:rsidR="00094E34" w:rsidRDefault="00094E34" w:rsidP="00094E34">
      <w:pPr>
        <w:ind w:right="1704"/>
        <w:jc w:val="both"/>
        <w:rPr>
          <w:rFonts w:ascii="Times New Roman" w:eastAsia="Arial" w:hAnsi="Times New Roman" w:cs="Arial"/>
          <w:noProof/>
        </w:rPr>
      </w:pPr>
    </w:p>
    <w:p w:rsidR="00094E34" w:rsidRDefault="00094E34" w:rsidP="00094E34">
      <w:pPr>
        <w:ind w:right="1704"/>
        <w:jc w:val="both"/>
        <w:rPr>
          <w:rFonts w:ascii="Times New Roman" w:eastAsia="Arial" w:hAnsi="Times New Roman" w:cs="Arial"/>
          <w:noProof/>
        </w:rPr>
      </w:pPr>
    </w:p>
    <w:p w:rsidR="00094E34" w:rsidRDefault="00094E34" w:rsidP="00094E34">
      <w:pPr>
        <w:ind w:right="1704"/>
        <w:jc w:val="both"/>
        <w:rPr>
          <w:rFonts w:ascii="Times New Roman" w:eastAsia="Arial" w:hAnsi="Times New Roman" w:cs="Arial"/>
          <w:noProof/>
        </w:rPr>
      </w:pPr>
    </w:p>
    <w:p w:rsidR="00094E34" w:rsidRPr="00094E34" w:rsidRDefault="00094E34" w:rsidP="00094E34">
      <w:pPr>
        <w:ind w:right="1704"/>
        <w:jc w:val="both"/>
        <w:rPr>
          <w:rFonts w:ascii="Times New Roman" w:eastAsia="Arial" w:hAnsi="Times New Roman" w:cs="Arial"/>
          <w:noProof/>
        </w:rPr>
      </w:pPr>
    </w:p>
    <w:p w:rsidR="002F58F5" w:rsidRPr="00094E34" w:rsidRDefault="00085477" w:rsidP="00094E34">
      <w:pPr>
        <w:ind w:right="1704"/>
        <w:jc w:val="both"/>
        <w:rPr>
          <w:rFonts w:ascii="Times New Roman" w:eastAsia="Arial" w:hAnsi="Times New Roman" w:cs="Arial"/>
          <w:noProof/>
        </w:rPr>
      </w:pPr>
      <w:r w:rsidRPr="00094E34">
        <w:rPr>
          <w:rFonts w:ascii="Times New Roman" w:eastAsia="Arial" w:hAnsi="Times New Roman" w:cs="Arial"/>
          <w:noProof/>
          <w:lang w:bidi="ar-SA"/>
        </w:rPr>
        <w:drawing>
          <wp:anchor distT="0" distB="0" distL="114300" distR="114300" simplePos="0" relativeHeight="251659264" behindDoc="0" locked="0" layoutInCell="1" allowOverlap="1">
            <wp:simplePos x="1041991" y="0"/>
            <wp:positionH relativeFrom="column">
              <wp:align>left</wp:align>
            </wp:positionH>
            <wp:positionV relativeFrom="paragraph">
              <wp:align>top</wp:align>
            </wp:positionV>
            <wp:extent cx="886685" cy="457200"/>
            <wp:effectExtent l="0" t="0" r="0" b="0"/>
            <wp:wrapSquare wrapText="bothSides"/>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6685" cy="457200"/>
                    </a:xfrm>
                    <a:prstGeom prst="rect">
                      <a:avLst/>
                    </a:prstGeom>
                  </pic:spPr>
                </pic:pic>
              </a:graphicData>
            </a:graphic>
          </wp:anchor>
        </w:drawing>
      </w:r>
    </w:p>
    <w:p w:rsidR="00085477" w:rsidRPr="00094E34" w:rsidRDefault="00085477" w:rsidP="00094E34">
      <w:pPr>
        <w:ind w:right="1704"/>
        <w:jc w:val="both"/>
        <w:rPr>
          <w:rFonts w:ascii="Times New Roman" w:eastAsia="Arial" w:hAnsi="Times New Roman" w:cs="Arial"/>
          <w:noProof/>
        </w:rPr>
      </w:pPr>
    </w:p>
    <w:p w:rsidR="00085477" w:rsidRPr="00094E34" w:rsidRDefault="00085477" w:rsidP="00094E34">
      <w:pPr>
        <w:ind w:right="1704"/>
        <w:jc w:val="both"/>
        <w:rPr>
          <w:rFonts w:ascii="Times New Roman" w:eastAsia="Arial" w:hAnsi="Times New Roman" w:cs="Arial"/>
          <w:noProof/>
        </w:rPr>
      </w:pPr>
    </w:p>
    <w:p w:rsidR="00085477" w:rsidRPr="00094E34" w:rsidRDefault="00085477" w:rsidP="00094E34">
      <w:pPr>
        <w:ind w:right="1704"/>
        <w:jc w:val="both"/>
        <w:rPr>
          <w:rFonts w:ascii="Times New Roman" w:hAnsi="Times New Roman"/>
          <w:b/>
          <w:noProof/>
        </w:rPr>
      </w:pPr>
      <w:r w:rsidRPr="00094E34">
        <w:rPr>
          <w:rFonts w:ascii="Times New Roman" w:hAnsi="Times New Roman"/>
          <w:b/>
          <w:noProof/>
        </w:rPr>
        <w:t>Starptautiskā augu aizsardzības konvencija (</w:t>
      </w:r>
      <w:r w:rsidRPr="00094E34">
        <w:rPr>
          <w:rFonts w:ascii="Times New Roman" w:hAnsi="Times New Roman"/>
          <w:b/>
          <w:i/>
          <w:noProof/>
        </w:rPr>
        <w:t>IPPC</w:t>
      </w:r>
      <w:r w:rsidRPr="00094E34">
        <w:rPr>
          <w:rFonts w:ascii="Times New Roman" w:hAnsi="Times New Roman"/>
          <w:b/>
          <w:noProof/>
        </w:rPr>
        <w:t>)</w:t>
      </w:r>
    </w:p>
    <w:p w:rsidR="004A0E96" w:rsidRPr="00094E34" w:rsidRDefault="004A0E96" w:rsidP="00094E34">
      <w:pPr>
        <w:ind w:right="1704"/>
        <w:jc w:val="both"/>
        <w:rPr>
          <w:rFonts w:ascii="Times New Roman" w:hAnsi="Times New Roman"/>
          <w:noProof/>
        </w:rPr>
      </w:pPr>
    </w:p>
    <w:p w:rsidR="004A0E96" w:rsidRPr="00094E34" w:rsidRDefault="00085477" w:rsidP="00094E34">
      <w:pPr>
        <w:ind w:right="1704"/>
        <w:jc w:val="both"/>
        <w:rPr>
          <w:rFonts w:ascii="Times New Roman" w:hAnsi="Times New Roman"/>
          <w:noProof/>
        </w:rPr>
      </w:pPr>
      <w:r w:rsidRPr="00094E34">
        <w:rPr>
          <w:rFonts w:ascii="Times New Roman" w:hAnsi="Times New Roman"/>
          <w:i/>
          <w:noProof/>
        </w:rPr>
        <w:t>Viale delle Terme di Caracalla</w:t>
      </w:r>
      <w:r w:rsidRPr="00094E34">
        <w:rPr>
          <w:rFonts w:ascii="Times New Roman" w:hAnsi="Times New Roman"/>
          <w:noProof/>
        </w:rPr>
        <w:t>, 00153 Roma, Itālija</w:t>
      </w:r>
    </w:p>
    <w:p w:rsidR="00085477" w:rsidRPr="00094E34" w:rsidRDefault="00085477" w:rsidP="00094E34">
      <w:pPr>
        <w:ind w:right="1704"/>
        <w:jc w:val="both"/>
        <w:rPr>
          <w:rFonts w:ascii="Times New Roman" w:hAnsi="Times New Roman"/>
          <w:noProof/>
        </w:rPr>
      </w:pPr>
      <w:r w:rsidRPr="00094E34">
        <w:rPr>
          <w:rFonts w:ascii="Times New Roman" w:hAnsi="Times New Roman"/>
          <w:noProof/>
        </w:rPr>
        <w:t>Tālr.: +39 06 5705 4812, fakss: +39 06 5705 4819</w:t>
      </w:r>
    </w:p>
    <w:p w:rsidR="00085477" w:rsidRPr="00094E34" w:rsidRDefault="00085477" w:rsidP="00094E34">
      <w:pPr>
        <w:ind w:right="1704"/>
        <w:jc w:val="both"/>
        <w:rPr>
          <w:rFonts w:ascii="Times New Roman" w:eastAsia="Arial" w:hAnsi="Times New Roman" w:cs="Arial"/>
          <w:noProof/>
        </w:rPr>
      </w:pPr>
      <w:r w:rsidRPr="00094E34">
        <w:rPr>
          <w:rFonts w:ascii="Times New Roman" w:hAnsi="Times New Roman"/>
          <w:noProof/>
        </w:rPr>
        <w:t>E-pasts: ippc@fao.org - Tīmeklī: www.ippc.int</w:t>
      </w:r>
    </w:p>
    <w:sectPr w:rsidR="00085477" w:rsidRPr="00094E34" w:rsidSect="00320FA9">
      <w:headerReference w:type="even" r:id="rId11"/>
      <w:headerReference w:type="default" r:id="rId12"/>
      <w:footerReference w:type="even"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49" w:rsidRPr="00085477" w:rsidRDefault="004A0E96">
      <w:pPr>
        <w:rPr>
          <w:noProof/>
        </w:rPr>
      </w:pPr>
      <w:r w:rsidRPr="00085477">
        <w:rPr>
          <w:noProof/>
        </w:rPr>
        <w:separator/>
      </w:r>
    </w:p>
  </w:endnote>
  <w:endnote w:type="continuationSeparator" w:id="0">
    <w:p w:rsidR="00817549" w:rsidRPr="00085477" w:rsidRDefault="004A0E96">
      <w:pPr>
        <w:rPr>
          <w:noProof/>
        </w:rPr>
      </w:pPr>
      <w:r w:rsidRPr="0008547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A8" w:rsidRPr="00085477" w:rsidRDefault="00291DA8">
    <w:pPr>
      <w:spacing w:line="14" w:lineRule="auto"/>
      <w:rPr>
        <w:noProof/>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A9" w:rsidRPr="004F5D11" w:rsidRDefault="00320FA9" w:rsidP="00320FA9">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320FA9" w:rsidRPr="004F5D11" w:rsidRDefault="00320FA9" w:rsidP="00320FA9">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320FA9" w:rsidRPr="004F5D11" w:rsidRDefault="00320FA9" w:rsidP="00320FA9">
    <w:pPr>
      <w:pStyle w:val="Header"/>
      <w:tabs>
        <w:tab w:val="clear" w:pos="4153"/>
        <w:tab w:val="clear" w:pos="8306"/>
        <w:tab w:val="right" w:pos="9072"/>
      </w:tabs>
      <w:jc w:val="both"/>
      <w:rPr>
        <w:rStyle w:val="PageNumber"/>
        <w:rFonts w:ascii="Times New Roman" w:hAnsi="Times New Roman"/>
        <w:sz w:val="20"/>
        <w:szCs w:val="20"/>
      </w:rPr>
    </w:pPr>
  </w:p>
  <w:p w:rsidR="00320FA9" w:rsidRPr="004F5D11" w:rsidRDefault="00320FA9" w:rsidP="00320FA9">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BA75BA">
      <w:rPr>
        <w:rStyle w:val="PageNumber"/>
        <w:rFonts w:ascii="Times New Roman" w:hAnsi="Times New Roman"/>
        <w:noProof/>
        <w:sz w:val="20"/>
        <w:szCs w:val="20"/>
      </w:rPr>
      <w:t>13</w:t>
    </w:r>
    <w:r w:rsidRPr="004F5D11">
      <w:rPr>
        <w:rStyle w:val="PageNumber"/>
        <w:rFonts w:ascii="Times New Roman" w:hAnsi="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A9" w:rsidRPr="004F5D11" w:rsidRDefault="00320FA9" w:rsidP="00320FA9">
    <w:pPr>
      <w:pStyle w:val="Header"/>
      <w:tabs>
        <w:tab w:val="clear" w:pos="4153"/>
        <w:tab w:val="clear" w:pos="8306"/>
        <w:tab w:val="left" w:pos="9072"/>
      </w:tabs>
      <w:jc w:val="both"/>
      <w:rPr>
        <w:rStyle w:val="PageNumber"/>
        <w:rFonts w:ascii="Times New Roman" w:hAnsi="Times New Roman"/>
        <w:sz w:val="20"/>
        <w:szCs w:val="20"/>
      </w:rPr>
    </w:pPr>
  </w:p>
  <w:p w:rsidR="00320FA9" w:rsidRPr="004F5D11" w:rsidRDefault="00320FA9" w:rsidP="00320FA9">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320FA9" w:rsidRPr="004F5D11" w:rsidRDefault="00320FA9" w:rsidP="00320FA9">
    <w:pPr>
      <w:pStyle w:val="Header"/>
      <w:tabs>
        <w:tab w:val="clear" w:pos="4153"/>
        <w:tab w:val="clear" w:pos="8306"/>
        <w:tab w:val="left" w:pos="9072"/>
      </w:tabs>
      <w:jc w:val="both"/>
      <w:rPr>
        <w:rStyle w:val="PageNumber"/>
        <w:rFonts w:ascii="Times New Roman" w:hAnsi="Times New Roman"/>
        <w:sz w:val="20"/>
        <w:szCs w:val="20"/>
      </w:rPr>
    </w:pPr>
  </w:p>
  <w:p w:rsidR="00320FA9" w:rsidRPr="004F5D11" w:rsidRDefault="00320FA9" w:rsidP="00320FA9">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49" w:rsidRPr="00085477" w:rsidRDefault="004A0E96">
      <w:pPr>
        <w:rPr>
          <w:noProof/>
        </w:rPr>
      </w:pPr>
      <w:r w:rsidRPr="00085477">
        <w:rPr>
          <w:noProof/>
        </w:rPr>
        <w:separator/>
      </w:r>
    </w:p>
  </w:footnote>
  <w:footnote w:type="continuationSeparator" w:id="0">
    <w:p w:rsidR="00817549" w:rsidRPr="00085477" w:rsidRDefault="004A0E96">
      <w:pPr>
        <w:rPr>
          <w:noProof/>
        </w:rPr>
      </w:pPr>
      <w:r w:rsidRPr="00085477">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A8" w:rsidRPr="00085477" w:rsidRDefault="00291DA8">
    <w:pPr>
      <w:spacing w:line="14" w:lineRule="auto"/>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A9" w:rsidRPr="004F5D11" w:rsidRDefault="00320FA9" w:rsidP="00320FA9">
    <w:pPr>
      <w:pStyle w:val="Header"/>
      <w:tabs>
        <w:tab w:val="clear" w:pos="4153"/>
        <w:tab w:val="clear" w:pos="8306"/>
      </w:tabs>
      <w:jc w:val="both"/>
      <w:rPr>
        <w:rStyle w:val="PageNumber"/>
        <w:rFonts w:ascii="Times New Roman" w:hAnsi="Times New Roman"/>
        <w:sz w:val="20"/>
        <w:szCs w:val="20"/>
      </w:rPr>
    </w:pPr>
  </w:p>
  <w:p w:rsidR="00320FA9" w:rsidRPr="004F5D11" w:rsidRDefault="00320FA9" w:rsidP="00320FA9">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320FA9" w:rsidRPr="004F5D11" w:rsidRDefault="00320FA9" w:rsidP="00320FA9">
    <w:pPr>
      <w:pStyle w:val="Header"/>
      <w:jc w:val="both"/>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A9" w:rsidRPr="004F5D11" w:rsidRDefault="00320FA9" w:rsidP="00320FA9">
    <w:pPr>
      <w:pBdr>
        <w:bottom w:val="single" w:sz="12" w:space="5" w:color="auto"/>
      </w:pBdr>
      <w:jc w:val="both"/>
      <w:rPr>
        <w:rFonts w:ascii="Times New Roman" w:hAnsi="Times New Roman"/>
        <w:spacing w:val="-2"/>
        <w:sz w:val="20"/>
        <w:szCs w:val="20"/>
      </w:rPr>
    </w:pPr>
  </w:p>
  <w:p w:rsidR="00320FA9" w:rsidRPr="004F5D11" w:rsidRDefault="00320FA9" w:rsidP="00320FA9">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B08EA"/>
    <w:multiLevelType w:val="hybridMultilevel"/>
    <w:tmpl w:val="4CE2FB0C"/>
    <w:lvl w:ilvl="0" w:tplc="C2D87C70">
      <w:start w:val="1"/>
      <w:numFmt w:val="bullet"/>
      <w:lvlText w:val="-"/>
      <w:lvlJc w:val="left"/>
      <w:pPr>
        <w:ind w:left="705" w:hanging="567"/>
      </w:pPr>
      <w:rPr>
        <w:rFonts w:ascii="Times New Roman" w:eastAsia="Times New Roman" w:hAnsi="Times New Roman" w:hint="default"/>
        <w:sz w:val="22"/>
        <w:szCs w:val="22"/>
      </w:rPr>
    </w:lvl>
    <w:lvl w:ilvl="1" w:tplc="71F2F01E">
      <w:start w:val="1"/>
      <w:numFmt w:val="bullet"/>
      <w:lvlText w:val="•"/>
      <w:lvlJc w:val="left"/>
      <w:pPr>
        <w:ind w:left="1569" w:hanging="567"/>
      </w:pPr>
      <w:rPr>
        <w:rFonts w:hint="default"/>
      </w:rPr>
    </w:lvl>
    <w:lvl w:ilvl="2" w:tplc="5E5084CC">
      <w:start w:val="1"/>
      <w:numFmt w:val="bullet"/>
      <w:lvlText w:val="•"/>
      <w:lvlJc w:val="left"/>
      <w:pPr>
        <w:ind w:left="2433" w:hanging="567"/>
      </w:pPr>
      <w:rPr>
        <w:rFonts w:hint="default"/>
      </w:rPr>
    </w:lvl>
    <w:lvl w:ilvl="3" w:tplc="2F68F8C6">
      <w:start w:val="1"/>
      <w:numFmt w:val="bullet"/>
      <w:lvlText w:val="•"/>
      <w:lvlJc w:val="left"/>
      <w:pPr>
        <w:ind w:left="3297" w:hanging="567"/>
      </w:pPr>
      <w:rPr>
        <w:rFonts w:hint="default"/>
      </w:rPr>
    </w:lvl>
    <w:lvl w:ilvl="4" w:tplc="884A1222">
      <w:start w:val="1"/>
      <w:numFmt w:val="bullet"/>
      <w:lvlText w:val="•"/>
      <w:lvlJc w:val="left"/>
      <w:pPr>
        <w:ind w:left="4161" w:hanging="567"/>
      </w:pPr>
      <w:rPr>
        <w:rFonts w:hint="default"/>
      </w:rPr>
    </w:lvl>
    <w:lvl w:ilvl="5" w:tplc="EB2478C6">
      <w:start w:val="1"/>
      <w:numFmt w:val="bullet"/>
      <w:lvlText w:val="•"/>
      <w:lvlJc w:val="left"/>
      <w:pPr>
        <w:ind w:left="5025" w:hanging="567"/>
      </w:pPr>
      <w:rPr>
        <w:rFonts w:hint="default"/>
      </w:rPr>
    </w:lvl>
    <w:lvl w:ilvl="6" w:tplc="DE7603DA">
      <w:start w:val="1"/>
      <w:numFmt w:val="bullet"/>
      <w:lvlText w:val="•"/>
      <w:lvlJc w:val="left"/>
      <w:pPr>
        <w:ind w:left="5889" w:hanging="567"/>
      </w:pPr>
      <w:rPr>
        <w:rFonts w:hint="default"/>
      </w:rPr>
    </w:lvl>
    <w:lvl w:ilvl="7" w:tplc="42FE8BB4">
      <w:start w:val="1"/>
      <w:numFmt w:val="bullet"/>
      <w:lvlText w:val="•"/>
      <w:lvlJc w:val="left"/>
      <w:pPr>
        <w:ind w:left="6754" w:hanging="567"/>
      </w:pPr>
      <w:rPr>
        <w:rFonts w:hint="default"/>
      </w:rPr>
    </w:lvl>
    <w:lvl w:ilvl="8" w:tplc="08CA9CFC">
      <w:start w:val="1"/>
      <w:numFmt w:val="bullet"/>
      <w:lvlText w:val="•"/>
      <w:lvlJc w:val="left"/>
      <w:pPr>
        <w:ind w:left="7618" w:hanging="567"/>
      </w:pPr>
      <w:rPr>
        <w:rFonts w:hint="default"/>
      </w:rPr>
    </w:lvl>
  </w:abstractNum>
  <w:abstractNum w:abstractNumId="1">
    <w:nsid w:val="5A716F8D"/>
    <w:multiLevelType w:val="multilevel"/>
    <w:tmpl w:val="E17AB65E"/>
    <w:lvl w:ilvl="0">
      <w:start w:val="1"/>
      <w:numFmt w:val="decimal"/>
      <w:lvlText w:val="%1."/>
      <w:lvlJc w:val="left"/>
      <w:pPr>
        <w:ind w:left="705" w:hanging="567"/>
        <w:jc w:val="left"/>
      </w:pPr>
      <w:rPr>
        <w:rFonts w:ascii="Times New Roman" w:eastAsia="Times New Roman" w:hAnsi="Times New Roman" w:hint="default"/>
        <w:b/>
        <w:bCs/>
        <w:sz w:val="24"/>
        <w:szCs w:val="24"/>
      </w:rPr>
    </w:lvl>
    <w:lvl w:ilvl="1">
      <w:start w:val="1"/>
      <w:numFmt w:val="decimal"/>
      <w:lvlText w:val="%1.%2"/>
      <w:lvlJc w:val="left"/>
      <w:pPr>
        <w:ind w:left="705" w:hanging="567"/>
        <w:jc w:val="left"/>
      </w:pPr>
      <w:rPr>
        <w:rFonts w:ascii="Times New Roman" w:eastAsia="Times New Roman" w:hAnsi="Times New Roman" w:hint="default"/>
        <w:b/>
        <w:bCs/>
        <w:sz w:val="24"/>
        <w:szCs w:val="24"/>
      </w:rPr>
    </w:lvl>
    <w:lvl w:ilvl="2">
      <w:start w:val="1"/>
      <w:numFmt w:val="bullet"/>
      <w:lvlText w:val="•"/>
      <w:lvlJc w:val="left"/>
      <w:pPr>
        <w:ind w:left="2433" w:hanging="567"/>
      </w:pPr>
      <w:rPr>
        <w:rFonts w:hint="default"/>
      </w:rPr>
    </w:lvl>
    <w:lvl w:ilvl="3">
      <w:start w:val="1"/>
      <w:numFmt w:val="bullet"/>
      <w:lvlText w:val="•"/>
      <w:lvlJc w:val="left"/>
      <w:pPr>
        <w:ind w:left="3297" w:hanging="567"/>
      </w:pPr>
      <w:rPr>
        <w:rFonts w:hint="default"/>
      </w:rPr>
    </w:lvl>
    <w:lvl w:ilvl="4">
      <w:start w:val="1"/>
      <w:numFmt w:val="bullet"/>
      <w:lvlText w:val="•"/>
      <w:lvlJc w:val="left"/>
      <w:pPr>
        <w:ind w:left="4161" w:hanging="567"/>
      </w:pPr>
      <w:rPr>
        <w:rFonts w:hint="default"/>
      </w:rPr>
    </w:lvl>
    <w:lvl w:ilvl="5">
      <w:start w:val="1"/>
      <w:numFmt w:val="bullet"/>
      <w:lvlText w:val="•"/>
      <w:lvlJc w:val="left"/>
      <w:pPr>
        <w:ind w:left="5025" w:hanging="567"/>
      </w:pPr>
      <w:rPr>
        <w:rFonts w:hint="default"/>
      </w:rPr>
    </w:lvl>
    <w:lvl w:ilvl="6">
      <w:start w:val="1"/>
      <w:numFmt w:val="bullet"/>
      <w:lvlText w:val="•"/>
      <w:lvlJc w:val="left"/>
      <w:pPr>
        <w:ind w:left="5889" w:hanging="567"/>
      </w:pPr>
      <w:rPr>
        <w:rFonts w:hint="default"/>
      </w:rPr>
    </w:lvl>
    <w:lvl w:ilvl="7">
      <w:start w:val="1"/>
      <w:numFmt w:val="bullet"/>
      <w:lvlText w:val="•"/>
      <w:lvlJc w:val="left"/>
      <w:pPr>
        <w:ind w:left="6754" w:hanging="567"/>
      </w:pPr>
      <w:rPr>
        <w:rFonts w:hint="default"/>
      </w:rPr>
    </w:lvl>
    <w:lvl w:ilvl="8">
      <w:start w:val="1"/>
      <w:numFmt w:val="bullet"/>
      <w:lvlText w:val="•"/>
      <w:lvlJc w:val="left"/>
      <w:pPr>
        <w:ind w:left="7618" w:hanging="567"/>
      </w:pPr>
      <w:rPr>
        <w:rFonts w:hint="default"/>
      </w:rPr>
    </w:lvl>
  </w:abstractNum>
  <w:abstractNum w:abstractNumId="2">
    <w:nsid w:val="5B8410E2"/>
    <w:multiLevelType w:val="hybridMultilevel"/>
    <w:tmpl w:val="E4B0CB34"/>
    <w:lvl w:ilvl="0" w:tplc="07742738">
      <w:start w:val="1"/>
      <w:numFmt w:val="bullet"/>
      <w:lvlText w:val="-"/>
      <w:lvlJc w:val="left"/>
      <w:pPr>
        <w:ind w:left="705" w:hanging="567"/>
      </w:pPr>
      <w:rPr>
        <w:rFonts w:ascii="Times New Roman" w:eastAsia="Times New Roman" w:hAnsi="Times New Roman" w:hint="default"/>
        <w:sz w:val="22"/>
        <w:szCs w:val="22"/>
      </w:rPr>
    </w:lvl>
    <w:lvl w:ilvl="1" w:tplc="F306D10C">
      <w:start w:val="1"/>
      <w:numFmt w:val="bullet"/>
      <w:lvlText w:val="•"/>
      <w:lvlJc w:val="left"/>
      <w:pPr>
        <w:ind w:left="1569" w:hanging="567"/>
      </w:pPr>
      <w:rPr>
        <w:rFonts w:hint="default"/>
      </w:rPr>
    </w:lvl>
    <w:lvl w:ilvl="2" w:tplc="4A840308">
      <w:start w:val="1"/>
      <w:numFmt w:val="bullet"/>
      <w:lvlText w:val="•"/>
      <w:lvlJc w:val="left"/>
      <w:pPr>
        <w:ind w:left="2433" w:hanging="567"/>
      </w:pPr>
      <w:rPr>
        <w:rFonts w:hint="default"/>
      </w:rPr>
    </w:lvl>
    <w:lvl w:ilvl="3" w:tplc="9AE6075E">
      <w:start w:val="1"/>
      <w:numFmt w:val="bullet"/>
      <w:lvlText w:val="•"/>
      <w:lvlJc w:val="left"/>
      <w:pPr>
        <w:ind w:left="3297" w:hanging="567"/>
      </w:pPr>
      <w:rPr>
        <w:rFonts w:hint="default"/>
      </w:rPr>
    </w:lvl>
    <w:lvl w:ilvl="4" w:tplc="E30E20A6">
      <w:start w:val="1"/>
      <w:numFmt w:val="bullet"/>
      <w:lvlText w:val="•"/>
      <w:lvlJc w:val="left"/>
      <w:pPr>
        <w:ind w:left="4161" w:hanging="567"/>
      </w:pPr>
      <w:rPr>
        <w:rFonts w:hint="default"/>
      </w:rPr>
    </w:lvl>
    <w:lvl w:ilvl="5" w:tplc="012068E4">
      <w:start w:val="1"/>
      <w:numFmt w:val="bullet"/>
      <w:lvlText w:val="•"/>
      <w:lvlJc w:val="left"/>
      <w:pPr>
        <w:ind w:left="5025" w:hanging="567"/>
      </w:pPr>
      <w:rPr>
        <w:rFonts w:hint="default"/>
      </w:rPr>
    </w:lvl>
    <w:lvl w:ilvl="6" w:tplc="72F48180">
      <w:start w:val="1"/>
      <w:numFmt w:val="bullet"/>
      <w:lvlText w:val="•"/>
      <w:lvlJc w:val="left"/>
      <w:pPr>
        <w:ind w:left="5889" w:hanging="567"/>
      </w:pPr>
      <w:rPr>
        <w:rFonts w:hint="default"/>
      </w:rPr>
    </w:lvl>
    <w:lvl w:ilvl="7" w:tplc="7DDAB06A">
      <w:start w:val="1"/>
      <w:numFmt w:val="bullet"/>
      <w:lvlText w:val="•"/>
      <w:lvlJc w:val="left"/>
      <w:pPr>
        <w:ind w:left="6754" w:hanging="567"/>
      </w:pPr>
      <w:rPr>
        <w:rFonts w:hint="default"/>
      </w:rPr>
    </w:lvl>
    <w:lvl w:ilvl="8" w:tplc="80A6CA64">
      <w:start w:val="1"/>
      <w:numFmt w:val="bullet"/>
      <w:lvlText w:val="•"/>
      <w:lvlJc w:val="left"/>
      <w:pPr>
        <w:ind w:left="7618" w:hanging="567"/>
      </w:pPr>
      <w:rPr>
        <w:rFonts w:hint="default"/>
      </w:rPr>
    </w:lvl>
  </w:abstractNum>
  <w:abstractNum w:abstractNumId="3">
    <w:nsid w:val="60FB3D92"/>
    <w:multiLevelType w:val="hybridMultilevel"/>
    <w:tmpl w:val="7422C600"/>
    <w:lvl w:ilvl="0" w:tplc="93B29162">
      <w:start w:val="1"/>
      <w:numFmt w:val="decimal"/>
      <w:lvlText w:val="%1)"/>
      <w:lvlJc w:val="left"/>
      <w:pPr>
        <w:ind w:left="705" w:hanging="567"/>
        <w:jc w:val="left"/>
      </w:pPr>
      <w:rPr>
        <w:rFonts w:hint="default"/>
        <w:sz w:val="24"/>
        <w:szCs w:val="24"/>
      </w:rPr>
    </w:lvl>
    <w:lvl w:ilvl="1" w:tplc="7A627BA0">
      <w:start w:val="1"/>
      <w:numFmt w:val="bullet"/>
      <w:lvlText w:val="•"/>
      <w:lvlJc w:val="left"/>
      <w:pPr>
        <w:ind w:left="1569" w:hanging="567"/>
      </w:pPr>
      <w:rPr>
        <w:rFonts w:hint="default"/>
      </w:rPr>
    </w:lvl>
    <w:lvl w:ilvl="2" w:tplc="4DD41FF6">
      <w:start w:val="1"/>
      <w:numFmt w:val="bullet"/>
      <w:lvlText w:val="•"/>
      <w:lvlJc w:val="left"/>
      <w:pPr>
        <w:ind w:left="2433" w:hanging="567"/>
      </w:pPr>
      <w:rPr>
        <w:rFonts w:hint="default"/>
      </w:rPr>
    </w:lvl>
    <w:lvl w:ilvl="3" w:tplc="8368C7DA">
      <w:start w:val="1"/>
      <w:numFmt w:val="bullet"/>
      <w:lvlText w:val="•"/>
      <w:lvlJc w:val="left"/>
      <w:pPr>
        <w:ind w:left="3297" w:hanging="567"/>
      </w:pPr>
      <w:rPr>
        <w:rFonts w:hint="default"/>
      </w:rPr>
    </w:lvl>
    <w:lvl w:ilvl="4" w:tplc="7C30B112">
      <w:start w:val="1"/>
      <w:numFmt w:val="bullet"/>
      <w:lvlText w:val="•"/>
      <w:lvlJc w:val="left"/>
      <w:pPr>
        <w:ind w:left="4161" w:hanging="567"/>
      </w:pPr>
      <w:rPr>
        <w:rFonts w:hint="default"/>
      </w:rPr>
    </w:lvl>
    <w:lvl w:ilvl="5" w:tplc="AE800A38">
      <w:start w:val="1"/>
      <w:numFmt w:val="bullet"/>
      <w:lvlText w:val="•"/>
      <w:lvlJc w:val="left"/>
      <w:pPr>
        <w:ind w:left="5025" w:hanging="567"/>
      </w:pPr>
      <w:rPr>
        <w:rFonts w:hint="default"/>
      </w:rPr>
    </w:lvl>
    <w:lvl w:ilvl="6" w:tplc="428AFF44">
      <w:start w:val="1"/>
      <w:numFmt w:val="bullet"/>
      <w:lvlText w:val="•"/>
      <w:lvlJc w:val="left"/>
      <w:pPr>
        <w:ind w:left="5889" w:hanging="567"/>
      </w:pPr>
      <w:rPr>
        <w:rFonts w:hint="default"/>
      </w:rPr>
    </w:lvl>
    <w:lvl w:ilvl="7" w:tplc="7A741604">
      <w:start w:val="1"/>
      <w:numFmt w:val="bullet"/>
      <w:lvlText w:val="•"/>
      <w:lvlJc w:val="left"/>
      <w:pPr>
        <w:ind w:left="6754" w:hanging="567"/>
      </w:pPr>
      <w:rPr>
        <w:rFonts w:hint="default"/>
      </w:rPr>
    </w:lvl>
    <w:lvl w:ilvl="8" w:tplc="D750A5BC">
      <w:start w:val="1"/>
      <w:numFmt w:val="bullet"/>
      <w:lvlText w:val="•"/>
      <w:lvlJc w:val="left"/>
      <w:pPr>
        <w:ind w:left="7618" w:hanging="567"/>
      </w:pPr>
      <w:rPr>
        <w:rFonts w:hint="default"/>
      </w:rPr>
    </w:lvl>
  </w:abstractNum>
  <w:abstractNum w:abstractNumId="4">
    <w:nsid w:val="61C4663F"/>
    <w:multiLevelType w:val="multilevel"/>
    <w:tmpl w:val="C308C67A"/>
    <w:lvl w:ilvl="0">
      <w:start w:val="1"/>
      <w:numFmt w:val="decimal"/>
      <w:lvlText w:val="%1."/>
      <w:lvlJc w:val="left"/>
      <w:pPr>
        <w:ind w:left="563" w:hanging="425"/>
        <w:jc w:val="left"/>
      </w:pPr>
      <w:rPr>
        <w:rFonts w:ascii="Times New Roman" w:eastAsia="Times New Roman" w:hAnsi="Times New Roman" w:hint="default"/>
        <w:sz w:val="22"/>
        <w:szCs w:val="22"/>
      </w:rPr>
    </w:lvl>
    <w:lvl w:ilvl="1">
      <w:start w:val="1"/>
      <w:numFmt w:val="decimal"/>
      <w:lvlText w:val="%1.%2"/>
      <w:lvlJc w:val="left"/>
      <w:pPr>
        <w:ind w:left="1415" w:hanging="852"/>
        <w:jc w:val="left"/>
      </w:pPr>
      <w:rPr>
        <w:rFonts w:ascii="Times New Roman" w:eastAsia="Times New Roman" w:hAnsi="Times New Roman" w:hint="default"/>
        <w:sz w:val="22"/>
        <w:szCs w:val="22"/>
      </w:rPr>
    </w:lvl>
    <w:lvl w:ilvl="2">
      <w:start w:val="1"/>
      <w:numFmt w:val="bullet"/>
      <w:lvlText w:val="•"/>
      <w:lvlJc w:val="left"/>
      <w:pPr>
        <w:ind w:left="2296" w:hanging="852"/>
      </w:pPr>
      <w:rPr>
        <w:rFonts w:hint="default"/>
      </w:rPr>
    </w:lvl>
    <w:lvl w:ilvl="3">
      <w:start w:val="1"/>
      <w:numFmt w:val="bullet"/>
      <w:lvlText w:val="•"/>
      <w:lvlJc w:val="left"/>
      <w:pPr>
        <w:ind w:left="3178" w:hanging="852"/>
      </w:pPr>
      <w:rPr>
        <w:rFonts w:hint="default"/>
      </w:rPr>
    </w:lvl>
    <w:lvl w:ilvl="4">
      <w:start w:val="1"/>
      <w:numFmt w:val="bullet"/>
      <w:lvlText w:val="•"/>
      <w:lvlJc w:val="left"/>
      <w:pPr>
        <w:ind w:left="4059" w:hanging="852"/>
      </w:pPr>
      <w:rPr>
        <w:rFonts w:hint="default"/>
      </w:rPr>
    </w:lvl>
    <w:lvl w:ilvl="5">
      <w:start w:val="1"/>
      <w:numFmt w:val="bullet"/>
      <w:lvlText w:val="•"/>
      <w:lvlJc w:val="left"/>
      <w:pPr>
        <w:ind w:left="4940" w:hanging="852"/>
      </w:pPr>
      <w:rPr>
        <w:rFonts w:hint="default"/>
      </w:rPr>
    </w:lvl>
    <w:lvl w:ilvl="6">
      <w:start w:val="1"/>
      <w:numFmt w:val="bullet"/>
      <w:lvlText w:val="•"/>
      <w:lvlJc w:val="left"/>
      <w:pPr>
        <w:ind w:left="5821" w:hanging="852"/>
      </w:pPr>
      <w:rPr>
        <w:rFonts w:hint="default"/>
      </w:rPr>
    </w:lvl>
    <w:lvl w:ilvl="7">
      <w:start w:val="1"/>
      <w:numFmt w:val="bullet"/>
      <w:lvlText w:val="•"/>
      <w:lvlJc w:val="left"/>
      <w:pPr>
        <w:ind w:left="6702" w:hanging="852"/>
      </w:pPr>
      <w:rPr>
        <w:rFonts w:hint="default"/>
      </w:rPr>
    </w:lvl>
    <w:lvl w:ilvl="8">
      <w:start w:val="1"/>
      <w:numFmt w:val="bullet"/>
      <w:lvlText w:val="•"/>
      <w:lvlJc w:val="left"/>
      <w:pPr>
        <w:ind w:left="7584" w:hanging="852"/>
      </w:pPr>
      <w:rPr>
        <w:rFonts w:hint="default"/>
      </w:rPr>
    </w:lvl>
  </w:abstractNum>
  <w:abstractNum w:abstractNumId="5">
    <w:nsid w:val="743A2D79"/>
    <w:multiLevelType w:val="hybridMultilevel"/>
    <w:tmpl w:val="67104478"/>
    <w:lvl w:ilvl="0" w:tplc="17FC7A32">
      <w:start w:val="1"/>
      <w:numFmt w:val="bullet"/>
      <w:lvlText w:val="◆"/>
      <w:lvlJc w:val="left"/>
      <w:pPr>
        <w:ind w:left="387" w:hanging="284"/>
      </w:pPr>
      <w:rPr>
        <w:rFonts w:ascii="Arial" w:eastAsia="Arial" w:hAnsi="Arial" w:hint="default"/>
        <w:position w:val="4"/>
        <w:sz w:val="12"/>
        <w:szCs w:val="12"/>
      </w:rPr>
    </w:lvl>
    <w:lvl w:ilvl="1" w:tplc="4296F71A">
      <w:start w:val="1"/>
      <w:numFmt w:val="bullet"/>
      <w:lvlText w:val="•"/>
      <w:lvlJc w:val="left"/>
      <w:pPr>
        <w:ind w:left="1385" w:hanging="284"/>
      </w:pPr>
      <w:rPr>
        <w:rFonts w:hint="default"/>
      </w:rPr>
    </w:lvl>
    <w:lvl w:ilvl="2" w:tplc="483A5C88">
      <w:start w:val="1"/>
      <w:numFmt w:val="bullet"/>
      <w:lvlText w:val="•"/>
      <w:lvlJc w:val="left"/>
      <w:pPr>
        <w:ind w:left="2383" w:hanging="284"/>
      </w:pPr>
      <w:rPr>
        <w:rFonts w:hint="default"/>
      </w:rPr>
    </w:lvl>
    <w:lvl w:ilvl="3" w:tplc="36862E8E">
      <w:start w:val="1"/>
      <w:numFmt w:val="bullet"/>
      <w:lvlText w:val="•"/>
      <w:lvlJc w:val="left"/>
      <w:pPr>
        <w:ind w:left="3380" w:hanging="284"/>
      </w:pPr>
      <w:rPr>
        <w:rFonts w:hint="default"/>
      </w:rPr>
    </w:lvl>
    <w:lvl w:ilvl="4" w:tplc="8D5A23EC">
      <w:start w:val="1"/>
      <w:numFmt w:val="bullet"/>
      <w:lvlText w:val="•"/>
      <w:lvlJc w:val="left"/>
      <w:pPr>
        <w:ind w:left="4378" w:hanging="284"/>
      </w:pPr>
      <w:rPr>
        <w:rFonts w:hint="default"/>
      </w:rPr>
    </w:lvl>
    <w:lvl w:ilvl="5" w:tplc="829CFB90">
      <w:start w:val="1"/>
      <w:numFmt w:val="bullet"/>
      <w:lvlText w:val="•"/>
      <w:lvlJc w:val="left"/>
      <w:pPr>
        <w:ind w:left="5376" w:hanging="284"/>
      </w:pPr>
      <w:rPr>
        <w:rFonts w:hint="default"/>
      </w:rPr>
    </w:lvl>
    <w:lvl w:ilvl="6" w:tplc="513A963A">
      <w:start w:val="1"/>
      <w:numFmt w:val="bullet"/>
      <w:lvlText w:val="•"/>
      <w:lvlJc w:val="left"/>
      <w:pPr>
        <w:ind w:left="6374" w:hanging="284"/>
      </w:pPr>
      <w:rPr>
        <w:rFonts w:hint="default"/>
      </w:rPr>
    </w:lvl>
    <w:lvl w:ilvl="7" w:tplc="B6E0575A">
      <w:start w:val="1"/>
      <w:numFmt w:val="bullet"/>
      <w:lvlText w:val="•"/>
      <w:lvlJc w:val="left"/>
      <w:pPr>
        <w:ind w:left="7372" w:hanging="284"/>
      </w:pPr>
      <w:rPr>
        <w:rFonts w:hint="default"/>
      </w:rPr>
    </w:lvl>
    <w:lvl w:ilvl="8" w:tplc="AB2AF8F0">
      <w:start w:val="1"/>
      <w:numFmt w:val="bullet"/>
      <w:lvlText w:val="•"/>
      <w:lvlJc w:val="left"/>
      <w:pPr>
        <w:ind w:left="8369" w:hanging="284"/>
      </w:pPr>
      <w:rPr>
        <w:rFonts w:hint="default"/>
      </w:rPr>
    </w:lvl>
  </w:abstractNum>
  <w:abstractNum w:abstractNumId="6">
    <w:nsid w:val="7E914E54"/>
    <w:multiLevelType w:val="hybridMultilevel"/>
    <w:tmpl w:val="703AC7EE"/>
    <w:lvl w:ilvl="0" w:tplc="7FA8B8B6">
      <w:start w:val="1"/>
      <w:numFmt w:val="bullet"/>
      <w:lvlText w:val="-"/>
      <w:lvlJc w:val="left"/>
      <w:pPr>
        <w:ind w:left="705" w:hanging="567"/>
      </w:pPr>
      <w:rPr>
        <w:rFonts w:ascii="Times New Roman" w:eastAsia="Times New Roman" w:hAnsi="Times New Roman" w:hint="default"/>
        <w:sz w:val="22"/>
        <w:szCs w:val="22"/>
      </w:rPr>
    </w:lvl>
    <w:lvl w:ilvl="1" w:tplc="964E96E0">
      <w:start w:val="1"/>
      <w:numFmt w:val="bullet"/>
      <w:lvlText w:val="•"/>
      <w:lvlJc w:val="left"/>
      <w:pPr>
        <w:ind w:left="1569" w:hanging="567"/>
      </w:pPr>
      <w:rPr>
        <w:rFonts w:hint="default"/>
      </w:rPr>
    </w:lvl>
    <w:lvl w:ilvl="2" w:tplc="94C84D22">
      <w:start w:val="1"/>
      <w:numFmt w:val="bullet"/>
      <w:lvlText w:val="•"/>
      <w:lvlJc w:val="left"/>
      <w:pPr>
        <w:ind w:left="2433" w:hanging="567"/>
      </w:pPr>
      <w:rPr>
        <w:rFonts w:hint="default"/>
      </w:rPr>
    </w:lvl>
    <w:lvl w:ilvl="3" w:tplc="6DEA0AFA">
      <w:start w:val="1"/>
      <w:numFmt w:val="bullet"/>
      <w:lvlText w:val="•"/>
      <w:lvlJc w:val="left"/>
      <w:pPr>
        <w:ind w:left="3297" w:hanging="567"/>
      </w:pPr>
      <w:rPr>
        <w:rFonts w:hint="default"/>
      </w:rPr>
    </w:lvl>
    <w:lvl w:ilvl="4" w:tplc="8E18DA38">
      <w:start w:val="1"/>
      <w:numFmt w:val="bullet"/>
      <w:lvlText w:val="•"/>
      <w:lvlJc w:val="left"/>
      <w:pPr>
        <w:ind w:left="4161" w:hanging="567"/>
      </w:pPr>
      <w:rPr>
        <w:rFonts w:hint="default"/>
      </w:rPr>
    </w:lvl>
    <w:lvl w:ilvl="5" w:tplc="452C2B10">
      <w:start w:val="1"/>
      <w:numFmt w:val="bullet"/>
      <w:lvlText w:val="•"/>
      <w:lvlJc w:val="left"/>
      <w:pPr>
        <w:ind w:left="5025" w:hanging="567"/>
      </w:pPr>
      <w:rPr>
        <w:rFonts w:hint="default"/>
      </w:rPr>
    </w:lvl>
    <w:lvl w:ilvl="6" w:tplc="7BFE4954">
      <w:start w:val="1"/>
      <w:numFmt w:val="bullet"/>
      <w:lvlText w:val="•"/>
      <w:lvlJc w:val="left"/>
      <w:pPr>
        <w:ind w:left="5889" w:hanging="567"/>
      </w:pPr>
      <w:rPr>
        <w:rFonts w:hint="default"/>
      </w:rPr>
    </w:lvl>
    <w:lvl w:ilvl="7" w:tplc="A2CC016A">
      <w:start w:val="1"/>
      <w:numFmt w:val="bullet"/>
      <w:lvlText w:val="•"/>
      <w:lvlJc w:val="left"/>
      <w:pPr>
        <w:ind w:left="6754" w:hanging="567"/>
      </w:pPr>
      <w:rPr>
        <w:rFonts w:hint="default"/>
      </w:rPr>
    </w:lvl>
    <w:lvl w:ilvl="8" w:tplc="8B00FA58">
      <w:start w:val="1"/>
      <w:numFmt w:val="bullet"/>
      <w:lvlText w:val="•"/>
      <w:lvlJc w:val="left"/>
      <w:pPr>
        <w:ind w:left="7618" w:hanging="567"/>
      </w:pPr>
      <w:rPr>
        <w:rFonts w:hint="default"/>
      </w:rPr>
    </w:lvl>
  </w:abstractNum>
  <w:abstractNum w:abstractNumId="7">
    <w:nsid w:val="7FED78BF"/>
    <w:multiLevelType w:val="hybridMultilevel"/>
    <w:tmpl w:val="0C1E4EB0"/>
    <w:lvl w:ilvl="0" w:tplc="0E5C1FA2">
      <w:start w:val="1"/>
      <w:numFmt w:val="bullet"/>
      <w:lvlText w:val="-"/>
      <w:lvlJc w:val="left"/>
      <w:pPr>
        <w:ind w:left="705" w:hanging="567"/>
      </w:pPr>
      <w:rPr>
        <w:rFonts w:ascii="Times New Roman" w:eastAsia="Times New Roman" w:hAnsi="Times New Roman" w:hint="default"/>
        <w:sz w:val="22"/>
        <w:szCs w:val="22"/>
      </w:rPr>
    </w:lvl>
    <w:lvl w:ilvl="1" w:tplc="E376EBE2">
      <w:start w:val="1"/>
      <w:numFmt w:val="bullet"/>
      <w:lvlText w:val="•"/>
      <w:lvlJc w:val="left"/>
      <w:pPr>
        <w:ind w:left="1569" w:hanging="567"/>
      </w:pPr>
      <w:rPr>
        <w:rFonts w:hint="default"/>
      </w:rPr>
    </w:lvl>
    <w:lvl w:ilvl="2" w:tplc="01427F58">
      <w:start w:val="1"/>
      <w:numFmt w:val="bullet"/>
      <w:lvlText w:val="•"/>
      <w:lvlJc w:val="left"/>
      <w:pPr>
        <w:ind w:left="2433" w:hanging="567"/>
      </w:pPr>
      <w:rPr>
        <w:rFonts w:hint="default"/>
      </w:rPr>
    </w:lvl>
    <w:lvl w:ilvl="3" w:tplc="F4CCD2BA">
      <w:start w:val="1"/>
      <w:numFmt w:val="bullet"/>
      <w:lvlText w:val="•"/>
      <w:lvlJc w:val="left"/>
      <w:pPr>
        <w:ind w:left="3297" w:hanging="567"/>
      </w:pPr>
      <w:rPr>
        <w:rFonts w:hint="default"/>
      </w:rPr>
    </w:lvl>
    <w:lvl w:ilvl="4" w:tplc="D0FAAA80">
      <w:start w:val="1"/>
      <w:numFmt w:val="bullet"/>
      <w:lvlText w:val="•"/>
      <w:lvlJc w:val="left"/>
      <w:pPr>
        <w:ind w:left="4161" w:hanging="567"/>
      </w:pPr>
      <w:rPr>
        <w:rFonts w:hint="default"/>
      </w:rPr>
    </w:lvl>
    <w:lvl w:ilvl="5" w:tplc="76365C90">
      <w:start w:val="1"/>
      <w:numFmt w:val="bullet"/>
      <w:lvlText w:val="•"/>
      <w:lvlJc w:val="left"/>
      <w:pPr>
        <w:ind w:left="5025" w:hanging="567"/>
      </w:pPr>
      <w:rPr>
        <w:rFonts w:hint="default"/>
      </w:rPr>
    </w:lvl>
    <w:lvl w:ilvl="6" w:tplc="52F017C6">
      <w:start w:val="1"/>
      <w:numFmt w:val="bullet"/>
      <w:lvlText w:val="•"/>
      <w:lvlJc w:val="left"/>
      <w:pPr>
        <w:ind w:left="5889" w:hanging="567"/>
      </w:pPr>
      <w:rPr>
        <w:rFonts w:hint="default"/>
      </w:rPr>
    </w:lvl>
    <w:lvl w:ilvl="7" w:tplc="785834EC">
      <w:start w:val="1"/>
      <w:numFmt w:val="bullet"/>
      <w:lvlText w:val="•"/>
      <w:lvlJc w:val="left"/>
      <w:pPr>
        <w:ind w:left="6754" w:hanging="567"/>
      </w:pPr>
      <w:rPr>
        <w:rFonts w:hint="default"/>
      </w:rPr>
    </w:lvl>
    <w:lvl w:ilvl="8" w:tplc="BAC4624E">
      <w:start w:val="1"/>
      <w:numFmt w:val="bullet"/>
      <w:lvlText w:val="•"/>
      <w:lvlJc w:val="left"/>
      <w:pPr>
        <w:ind w:left="7618" w:hanging="567"/>
      </w:pPr>
      <w:rPr>
        <w:rFonts w:hint="default"/>
      </w:rPr>
    </w:lvl>
  </w:abstractNum>
  <w:num w:numId="1">
    <w:abstractNumId w:val="5"/>
  </w:num>
  <w:num w:numId="2">
    <w:abstractNumId w:val="3"/>
  </w:num>
  <w:num w:numId="3">
    <w:abstractNumId w:val="0"/>
  </w:num>
  <w:num w:numId="4">
    <w:abstractNumId w:val="6"/>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
  <w:rsids>
    <w:rsidRoot w:val="00291DA8"/>
    <w:rsid w:val="00085477"/>
    <w:rsid w:val="00094E34"/>
    <w:rsid w:val="00291DA8"/>
    <w:rsid w:val="002F58F5"/>
    <w:rsid w:val="00320FA9"/>
    <w:rsid w:val="004A0E96"/>
    <w:rsid w:val="00546380"/>
    <w:rsid w:val="00560D9B"/>
    <w:rsid w:val="00817549"/>
    <w:rsid w:val="00AB3E58"/>
    <w:rsid w:val="00AE0C2C"/>
    <w:rsid w:val="00BA75BA"/>
    <w:rsid w:val="00F85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094E34"/>
    <w:pPr>
      <w:jc w:val="both"/>
      <w:outlineLvl w:val="0"/>
    </w:pPr>
    <w:rPr>
      <w:rFonts w:ascii="Times New Roman" w:eastAsia="Arial" w:hAnsi="Times New Roman"/>
      <w:b/>
      <w:bCs/>
      <w:sz w:val="24"/>
      <w:szCs w:val="36"/>
    </w:rPr>
  </w:style>
  <w:style w:type="paragraph" w:styleId="Heading2">
    <w:name w:val="heading 2"/>
    <w:basedOn w:val="Normal"/>
    <w:uiPriority w:val="1"/>
    <w:qFormat/>
    <w:pPr>
      <w:ind w:left="20"/>
      <w:outlineLvl w:val="1"/>
    </w:pPr>
    <w:rPr>
      <w:rFonts w:ascii="Calibri" w:eastAsia="Calibri" w:hAnsi="Calibri"/>
      <w:sz w:val="28"/>
      <w:szCs w:val="28"/>
    </w:rPr>
  </w:style>
  <w:style w:type="paragraph" w:styleId="Heading3">
    <w:name w:val="heading 3"/>
    <w:basedOn w:val="Normal"/>
    <w:uiPriority w:val="1"/>
    <w:qFormat/>
    <w:pPr>
      <w:ind w:left="705" w:hanging="567"/>
      <w:outlineLvl w:val="2"/>
    </w:pPr>
    <w:rPr>
      <w:rFonts w:ascii="Times New Roman" w:eastAsia="Times New Roman" w:hAnsi="Times New Roman"/>
      <w:b/>
      <w:bCs/>
      <w:sz w:val="24"/>
      <w:szCs w:val="24"/>
    </w:rPr>
  </w:style>
  <w:style w:type="paragraph" w:styleId="Heading4">
    <w:name w:val="heading 4"/>
    <w:basedOn w:val="Normal"/>
    <w:uiPriority w:val="1"/>
    <w:qFormat/>
    <w:pPr>
      <w:spacing w:before="48"/>
      <w:ind w:left="2570"/>
      <w:outlineLvl w:val="3"/>
    </w:pPr>
    <w:rPr>
      <w:rFonts w:ascii="Times New Roman" w:eastAsia="Times New Roman" w:hAnsi="Times New Roman"/>
      <w:sz w:val="24"/>
      <w:szCs w:val="24"/>
    </w:rPr>
  </w:style>
  <w:style w:type="paragraph" w:styleId="Heading5">
    <w:name w:val="heading 5"/>
    <w:basedOn w:val="Normal"/>
    <w:uiPriority w:val="1"/>
    <w:qFormat/>
    <w:pPr>
      <w:spacing w:before="186"/>
      <w:ind w:left="138"/>
      <w:outlineLvl w:val="4"/>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563" w:hanging="425"/>
    </w:pPr>
    <w:rPr>
      <w:rFonts w:ascii="Times New Roman" w:eastAsia="Times New Roman" w:hAnsi="Times New Roman"/>
    </w:rPr>
  </w:style>
  <w:style w:type="paragraph" w:styleId="TOC2">
    <w:name w:val="toc 2"/>
    <w:basedOn w:val="Normal"/>
    <w:uiPriority w:val="1"/>
    <w:qFormat/>
    <w:pPr>
      <w:spacing w:before="59"/>
      <w:ind w:left="1415" w:hanging="852"/>
    </w:pPr>
    <w:rPr>
      <w:rFonts w:ascii="Times New Roman" w:eastAsia="Times New Roman" w:hAnsi="Times New Roman"/>
    </w:rPr>
  </w:style>
  <w:style w:type="paragraph" w:styleId="BodyText">
    <w:name w:val="Body Text"/>
    <w:basedOn w:val="Normal"/>
    <w:uiPriority w:val="1"/>
    <w:qFormat/>
    <w:pPr>
      <w:spacing w:before="59"/>
      <w:ind w:left="705" w:hanging="567"/>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85477"/>
    <w:pPr>
      <w:tabs>
        <w:tab w:val="center" w:pos="4153"/>
        <w:tab w:val="right" w:pos="8306"/>
      </w:tabs>
    </w:pPr>
  </w:style>
  <w:style w:type="character" w:customStyle="1" w:styleId="HeaderChar">
    <w:name w:val="Header Char"/>
    <w:basedOn w:val="DefaultParagraphFont"/>
    <w:link w:val="Header"/>
    <w:uiPriority w:val="99"/>
    <w:rsid w:val="00085477"/>
  </w:style>
  <w:style w:type="paragraph" w:styleId="Footer">
    <w:name w:val="footer"/>
    <w:basedOn w:val="Normal"/>
    <w:link w:val="FooterChar"/>
    <w:unhideWhenUsed/>
    <w:rsid w:val="00085477"/>
    <w:pPr>
      <w:tabs>
        <w:tab w:val="center" w:pos="4153"/>
        <w:tab w:val="right" w:pos="8306"/>
      </w:tabs>
    </w:pPr>
  </w:style>
  <w:style w:type="character" w:customStyle="1" w:styleId="FooterChar">
    <w:name w:val="Footer Char"/>
    <w:basedOn w:val="DefaultParagraphFont"/>
    <w:link w:val="Footer"/>
    <w:uiPriority w:val="99"/>
    <w:rsid w:val="00085477"/>
  </w:style>
  <w:style w:type="table" w:styleId="TableGrid">
    <w:name w:val="Table Grid"/>
    <w:basedOn w:val="TableNormal"/>
    <w:uiPriority w:val="39"/>
    <w:rsid w:val="002F58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320FA9"/>
  </w:style>
  <w:style w:type="paragraph" w:styleId="TOCHeading">
    <w:name w:val="TOC Heading"/>
    <w:basedOn w:val="Heading1"/>
    <w:next w:val="Normal"/>
    <w:uiPriority w:val="39"/>
    <w:unhideWhenUsed/>
    <w:qFormat/>
    <w:rsid w:val="00546380"/>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3">
    <w:name w:val="toc 3"/>
    <w:basedOn w:val="Normal"/>
    <w:next w:val="Normal"/>
    <w:autoRedefine/>
    <w:uiPriority w:val="39"/>
    <w:unhideWhenUsed/>
    <w:rsid w:val="00546380"/>
    <w:pPr>
      <w:spacing w:after="100"/>
      <w:ind w:left="440"/>
    </w:pPr>
  </w:style>
  <w:style w:type="character" w:styleId="Hyperlink">
    <w:name w:val="Hyperlink"/>
    <w:basedOn w:val="DefaultParagraphFont"/>
    <w:uiPriority w:val="99"/>
    <w:unhideWhenUsed/>
    <w:rsid w:val="00546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AD0C2-3754-4199-A4CE-5020E132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17856</Words>
  <Characters>10178</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2016-12-05T13:27:00Z</dcterms:created>
  <dcterms:modified xsi:type="dcterms:W3CDTF">2017-04-18T11:19:00Z</dcterms:modified>
</cp:coreProperties>
</file>