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12"/>
        <w:gridCol w:w="1435"/>
        <w:gridCol w:w="2584"/>
      </w:tblGrid>
      <w:tr w:rsidR="001E0810" w14:paraId="60704B44" w14:textId="77777777" w:rsidTr="001E0810">
        <w:tc>
          <w:tcPr>
            <w:tcW w:w="2799" w:type="pct"/>
            <w:vMerge w:val="restart"/>
          </w:tcPr>
          <w:p w14:paraId="36F8ED93" w14:textId="5BF527F6" w:rsidR="001E0810" w:rsidRDefault="001E0810" w:rsidP="00074729">
            <w:pPr>
              <w:pStyle w:val="BodyText"/>
              <w:ind w:left="0" w:firstLine="0"/>
              <w:jc w:val="both"/>
              <w:rPr>
                <w:rFonts w:ascii="Times New Roman" w:hAnsi="Times New Roman" w:cs="Times New Roman"/>
                <w:noProof/>
              </w:rPr>
            </w:pPr>
            <w:r>
              <w:rPr>
                <w:rFonts w:ascii="Times New Roman" w:hAnsi="Times New Roman"/>
                <w:sz w:val="28"/>
              </w:rPr>
              <w:t>Eiropas Komiteja spīdzināšanas un necilvēcīgas vai pazemojošas rīcības vai soda novēršanai (</w:t>
            </w:r>
            <w:r>
              <w:rPr>
                <w:rFonts w:ascii="Times New Roman" w:hAnsi="Times New Roman"/>
                <w:i/>
                <w:iCs/>
                <w:sz w:val="28"/>
              </w:rPr>
              <w:t>CPT</w:t>
            </w:r>
            <w:r>
              <w:rPr>
                <w:rFonts w:ascii="Times New Roman" w:hAnsi="Times New Roman"/>
                <w:sz w:val="28"/>
              </w:rPr>
              <w:t>)</w:t>
            </w:r>
          </w:p>
        </w:tc>
        <w:tc>
          <w:tcPr>
            <w:tcW w:w="786" w:type="pct"/>
          </w:tcPr>
          <w:p w14:paraId="06BEE68A" w14:textId="77777777" w:rsidR="001E0810" w:rsidRDefault="001E0810" w:rsidP="00AE63A3">
            <w:pPr>
              <w:pStyle w:val="BodyText"/>
              <w:ind w:left="0"/>
              <w:jc w:val="both"/>
              <w:rPr>
                <w:rFonts w:ascii="Times New Roman" w:hAnsi="Times New Roman" w:cs="Times New Roman"/>
                <w:noProof/>
              </w:rPr>
            </w:pPr>
          </w:p>
        </w:tc>
        <w:tc>
          <w:tcPr>
            <w:tcW w:w="1415" w:type="pct"/>
            <w:vMerge w:val="restart"/>
          </w:tcPr>
          <w:p w14:paraId="649EF035" w14:textId="77777777" w:rsidR="001E0810" w:rsidRDefault="001E0810" w:rsidP="00AE63A3">
            <w:pPr>
              <w:pStyle w:val="BodyText"/>
              <w:ind w:left="0"/>
              <w:jc w:val="center"/>
              <w:rPr>
                <w:rFonts w:ascii="Times New Roman" w:hAnsi="Times New Roman" w:cs="Times New Roman"/>
                <w:noProof/>
              </w:rPr>
            </w:pPr>
            <w:r>
              <w:rPr>
                <w:rFonts w:ascii="Times New Roman" w:hAnsi="Times New Roman"/>
                <w:sz w:val="20"/>
              </w:rPr>
              <w:t>EIROPAS PADOME</w:t>
            </w:r>
          </w:p>
          <w:p w14:paraId="4072044F" w14:textId="77777777" w:rsidR="001E0810" w:rsidRDefault="001E0810" w:rsidP="00AE63A3">
            <w:pPr>
              <w:pStyle w:val="BodyText"/>
              <w:ind w:left="0"/>
              <w:jc w:val="center"/>
              <w:rPr>
                <w:rFonts w:ascii="Times New Roman" w:hAnsi="Times New Roman" w:cs="Times New Roman"/>
                <w:noProof/>
              </w:rPr>
            </w:pPr>
            <w:r>
              <w:rPr>
                <w:rFonts w:ascii="Times New Roman" w:hAnsi="Times New Roman"/>
                <w:noProof/>
              </w:rPr>
              <w:drawing>
                <wp:inline distT="0" distB="0" distL="0" distR="0" wp14:anchorId="5C116E1E" wp14:editId="23BA5662">
                  <wp:extent cx="1280763" cy="1057275"/>
                  <wp:effectExtent l="0" t="0" r="0" b="0"/>
                  <wp:docPr id="1"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10;&#10;Description automatically generated"/>
                          <pic:cNvPicPr/>
                        </pic:nvPicPr>
                        <pic:blipFill>
                          <a:blip r:embed="rId11"/>
                          <a:stretch>
                            <a:fillRect/>
                          </a:stretch>
                        </pic:blipFill>
                        <pic:spPr>
                          <a:xfrm>
                            <a:off x="0" y="0"/>
                            <a:ext cx="1285434" cy="1061131"/>
                          </a:xfrm>
                          <a:prstGeom prst="rect">
                            <a:avLst/>
                          </a:prstGeom>
                        </pic:spPr>
                      </pic:pic>
                    </a:graphicData>
                  </a:graphic>
                </wp:inline>
              </w:drawing>
            </w:r>
          </w:p>
          <w:p w14:paraId="711C297B" w14:textId="77777777" w:rsidR="001E0810" w:rsidRDefault="001E0810" w:rsidP="00AE63A3">
            <w:pPr>
              <w:pStyle w:val="BodyText"/>
              <w:ind w:left="0"/>
              <w:jc w:val="center"/>
              <w:rPr>
                <w:rFonts w:ascii="Times New Roman" w:hAnsi="Times New Roman" w:cs="Times New Roman"/>
                <w:noProof/>
              </w:rPr>
            </w:pPr>
            <w:r>
              <w:rPr>
                <w:rFonts w:ascii="Times New Roman" w:hAnsi="Times New Roman"/>
                <w:i/>
                <w:iCs/>
                <w:sz w:val="20"/>
              </w:rPr>
              <w:t>CONSEIL DE L’EUROPE</w:t>
            </w:r>
          </w:p>
        </w:tc>
      </w:tr>
      <w:tr w:rsidR="001E0810" w14:paraId="496860AA" w14:textId="77777777" w:rsidTr="001E0810">
        <w:tc>
          <w:tcPr>
            <w:tcW w:w="2799" w:type="pct"/>
            <w:vMerge/>
          </w:tcPr>
          <w:p w14:paraId="4F046C02" w14:textId="77777777" w:rsidR="001E0810" w:rsidRDefault="001E0810" w:rsidP="00AE63A3">
            <w:pPr>
              <w:pStyle w:val="BodyText"/>
              <w:ind w:left="0"/>
              <w:jc w:val="both"/>
              <w:rPr>
                <w:rFonts w:ascii="Times New Roman" w:hAnsi="Times New Roman" w:cs="Times New Roman"/>
                <w:noProof/>
              </w:rPr>
            </w:pPr>
          </w:p>
        </w:tc>
        <w:tc>
          <w:tcPr>
            <w:tcW w:w="786" w:type="pct"/>
          </w:tcPr>
          <w:p w14:paraId="77B06FAD" w14:textId="77777777" w:rsidR="001E0810" w:rsidRDefault="001E0810" w:rsidP="00AE63A3">
            <w:pPr>
              <w:pStyle w:val="BodyText"/>
              <w:ind w:left="0"/>
              <w:jc w:val="both"/>
              <w:rPr>
                <w:rFonts w:ascii="Times New Roman" w:hAnsi="Times New Roman" w:cs="Times New Roman"/>
                <w:noProof/>
              </w:rPr>
            </w:pPr>
          </w:p>
        </w:tc>
        <w:tc>
          <w:tcPr>
            <w:tcW w:w="1415" w:type="pct"/>
            <w:vMerge/>
          </w:tcPr>
          <w:p w14:paraId="46B92FB7" w14:textId="77777777" w:rsidR="001E0810" w:rsidRDefault="001E0810" w:rsidP="00AE63A3">
            <w:pPr>
              <w:pStyle w:val="BodyText"/>
              <w:ind w:left="0"/>
              <w:jc w:val="center"/>
              <w:rPr>
                <w:rFonts w:ascii="Times New Roman" w:hAnsi="Times New Roman" w:cs="Times New Roman"/>
                <w:noProof/>
              </w:rPr>
            </w:pPr>
          </w:p>
        </w:tc>
      </w:tr>
      <w:tr w:rsidR="001E0810" w14:paraId="1747AAF5" w14:textId="77777777" w:rsidTr="001E0810">
        <w:trPr>
          <w:trHeight w:val="1554"/>
        </w:trPr>
        <w:tc>
          <w:tcPr>
            <w:tcW w:w="2799" w:type="pct"/>
            <w:vAlign w:val="center"/>
          </w:tcPr>
          <w:p w14:paraId="445123C9" w14:textId="7B4E7FAC" w:rsidR="001E0810" w:rsidRPr="00DB4571" w:rsidRDefault="001B7496" w:rsidP="00AE63A3">
            <w:pPr>
              <w:rPr>
                <w:rFonts w:ascii="Times New Roman" w:hAnsi="Times New Roman" w:cs="Times New Roman"/>
                <w:b/>
                <w:noProof/>
                <w:sz w:val="24"/>
                <w:szCs w:val="24"/>
              </w:rPr>
            </w:pPr>
            <w:r>
              <w:rPr>
                <w:rFonts w:ascii="Times New Roman" w:hAnsi="Times New Roman"/>
                <w:b/>
                <w:sz w:val="24"/>
              </w:rPr>
              <w:t>Faktu lapa</w:t>
            </w:r>
          </w:p>
        </w:tc>
        <w:tc>
          <w:tcPr>
            <w:tcW w:w="786" w:type="pct"/>
          </w:tcPr>
          <w:p w14:paraId="77D6C18A" w14:textId="77777777" w:rsidR="001E0810" w:rsidRDefault="001E0810" w:rsidP="00AE63A3">
            <w:pPr>
              <w:pStyle w:val="BodyText"/>
              <w:ind w:left="0"/>
              <w:jc w:val="both"/>
              <w:rPr>
                <w:rFonts w:ascii="Times New Roman" w:hAnsi="Times New Roman" w:cs="Times New Roman"/>
                <w:noProof/>
              </w:rPr>
            </w:pPr>
          </w:p>
        </w:tc>
        <w:tc>
          <w:tcPr>
            <w:tcW w:w="1415" w:type="pct"/>
            <w:vMerge/>
          </w:tcPr>
          <w:p w14:paraId="04CBBE14" w14:textId="77777777" w:rsidR="001E0810" w:rsidRDefault="001E0810" w:rsidP="00AE63A3">
            <w:pPr>
              <w:pStyle w:val="BodyText"/>
              <w:ind w:left="0"/>
              <w:jc w:val="center"/>
              <w:rPr>
                <w:rFonts w:ascii="Times New Roman" w:hAnsi="Times New Roman" w:cs="Times New Roman"/>
                <w:noProof/>
              </w:rPr>
            </w:pPr>
          </w:p>
        </w:tc>
      </w:tr>
      <w:tr w:rsidR="001E0810" w14:paraId="005BC7ED" w14:textId="77777777" w:rsidTr="001E0810">
        <w:tc>
          <w:tcPr>
            <w:tcW w:w="2799" w:type="pct"/>
          </w:tcPr>
          <w:p w14:paraId="33763A7E" w14:textId="208A0C7A" w:rsidR="001E0810" w:rsidRDefault="001E0810" w:rsidP="00AE63A3">
            <w:pPr>
              <w:pStyle w:val="BodyText"/>
              <w:ind w:left="0"/>
              <w:jc w:val="both"/>
              <w:rPr>
                <w:rFonts w:ascii="Times New Roman" w:hAnsi="Times New Roman" w:cs="Times New Roman"/>
                <w:noProof/>
              </w:rPr>
            </w:pPr>
            <w:r>
              <w:rPr>
                <w:rFonts w:ascii="Times New Roman" w:hAnsi="Times New Roman"/>
              </w:rPr>
              <w:t>201</w:t>
            </w:r>
            <w:r w:rsidR="00416E3D">
              <w:rPr>
                <w:rFonts w:ascii="Times New Roman" w:hAnsi="Times New Roman"/>
              </w:rPr>
              <w:t>201</w:t>
            </w:r>
            <w:r>
              <w:rPr>
                <w:rFonts w:ascii="Times New Roman" w:hAnsi="Times New Roman"/>
              </w:rPr>
              <w:t>7. gada 21. marts</w:t>
            </w:r>
          </w:p>
        </w:tc>
        <w:tc>
          <w:tcPr>
            <w:tcW w:w="786" w:type="pct"/>
          </w:tcPr>
          <w:p w14:paraId="59AEC42C" w14:textId="77777777" w:rsidR="001E0810" w:rsidRDefault="001E0810" w:rsidP="00AE63A3">
            <w:pPr>
              <w:pStyle w:val="BodyText"/>
              <w:ind w:left="0"/>
              <w:jc w:val="both"/>
              <w:rPr>
                <w:rFonts w:ascii="Times New Roman" w:hAnsi="Times New Roman" w:cs="Times New Roman"/>
                <w:noProof/>
              </w:rPr>
            </w:pPr>
          </w:p>
        </w:tc>
        <w:tc>
          <w:tcPr>
            <w:tcW w:w="1415" w:type="pct"/>
          </w:tcPr>
          <w:p w14:paraId="20A8A201" w14:textId="3980FB76" w:rsidR="001E0810" w:rsidRDefault="001E0810" w:rsidP="00AE63A3">
            <w:pPr>
              <w:pStyle w:val="BodyText"/>
              <w:tabs>
                <w:tab w:val="left" w:pos="8518"/>
              </w:tabs>
              <w:ind w:left="0"/>
              <w:jc w:val="right"/>
              <w:rPr>
                <w:rFonts w:ascii="Times New Roman" w:hAnsi="Times New Roman" w:cs="Times New Roman"/>
                <w:noProof/>
              </w:rPr>
            </w:pPr>
            <w:r>
              <w:rPr>
                <w:rFonts w:ascii="Times New Roman" w:hAnsi="Times New Roman"/>
              </w:rPr>
              <w:t>CPT/Inf(2017)3</w:t>
            </w:r>
          </w:p>
        </w:tc>
      </w:tr>
    </w:tbl>
    <w:p w14:paraId="23F3240E" w14:textId="77777777" w:rsidR="00C46A1B" w:rsidRPr="00A1106D" w:rsidRDefault="00C46A1B" w:rsidP="00A1106D">
      <w:pPr>
        <w:jc w:val="both"/>
        <w:rPr>
          <w:rFonts w:ascii="Times New Roman" w:eastAsia="Times New Roman" w:hAnsi="Times New Roman" w:cs="Times New Roman"/>
          <w:noProof/>
          <w:sz w:val="24"/>
          <w:szCs w:val="24"/>
        </w:rPr>
      </w:pPr>
    </w:p>
    <w:p w14:paraId="1346895A" w14:textId="56E7E635" w:rsidR="00C46A1B" w:rsidRPr="00A1106D" w:rsidRDefault="001B7496" w:rsidP="00A1106D">
      <w:pPr>
        <w:jc w:val="both"/>
        <w:rPr>
          <w:rFonts w:ascii="Times New Roman" w:hAnsi="Times New Roman" w:cs="Times New Roman"/>
          <w:i/>
          <w:noProof/>
          <w:sz w:val="24"/>
          <w:szCs w:val="24"/>
        </w:rPr>
      </w:pPr>
      <w:r>
        <w:rPr>
          <w:rFonts w:ascii="Times New Roman" w:hAnsi="Times New Roman"/>
          <w:i/>
          <w:sz w:val="24"/>
        </w:rPr>
        <w:t>Faktu lapas</w:t>
      </w:r>
      <w:r w:rsidR="00C46A1B">
        <w:rPr>
          <w:rFonts w:ascii="Times New Roman" w:hAnsi="Times New Roman"/>
          <w:i/>
          <w:sz w:val="24"/>
        </w:rPr>
        <w:t xml:space="preserve"> tiek izdot</w:t>
      </w:r>
      <w:r>
        <w:rPr>
          <w:rFonts w:ascii="Times New Roman" w:hAnsi="Times New Roman"/>
          <w:i/>
          <w:sz w:val="24"/>
        </w:rPr>
        <w:t>as</w:t>
      </w:r>
      <w:r w:rsidR="00C46A1B">
        <w:rPr>
          <w:rFonts w:ascii="Times New Roman" w:hAnsi="Times New Roman"/>
          <w:i/>
          <w:sz w:val="24"/>
        </w:rPr>
        <w:t xml:space="preserve"> ar CPT izpildsekretāra atļauju.</w:t>
      </w:r>
    </w:p>
    <w:p w14:paraId="140FF300" w14:textId="19EF203A" w:rsidR="00C46A1B" w:rsidRDefault="00C46A1B" w:rsidP="00A1106D">
      <w:pPr>
        <w:jc w:val="both"/>
        <w:rPr>
          <w:rFonts w:ascii="Times New Roman" w:eastAsia="Calibri" w:hAnsi="Times New Roman" w:cs="Times New Roman"/>
          <w:i/>
          <w:noProof/>
          <w:sz w:val="24"/>
          <w:szCs w:val="24"/>
        </w:rPr>
      </w:pPr>
      <w:r>
        <w:rPr>
          <w:rFonts w:ascii="Times New Roman" w:hAnsi="Times New Roman"/>
          <w:i/>
          <w:sz w:val="24"/>
        </w:rPr>
        <w:t xml:space="preserve">To mērķis ir atspoguļot CPT standartus par galvenajiem jautājumiem. </w:t>
      </w:r>
      <w:r w:rsidR="00CC5735" w:rsidRPr="00CC5735">
        <w:rPr>
          <w:rFonts w:ascii="Times New Roman" w:hAnsi="Times New Roman"/>
          <w:i/>
          <w:sz w:val="24"/>
        </w:rPr>
        <w:t xml:space="preserve">Tomēr tās nav izsmeļošas, jo īpaši saistībā ar atsaucēm uz CPT valstu </w:t>
      </w:r>
      <w:r w:rsidR="0039376E" w:rsidRPr="0039376E">
        <w:rPr>
          <w:rFonts w:ascii="Times New Roman" w:hAnsi="Times New Roman"/>
          <w:i/>
          <w:sz w:val="24"/>
        </w:rPr>
        <w:t xml:space="preserve">vizīšu </w:t>
      </w:r>
      <w:r w:rsidR="00CC5735" w:rsidRPr="00CC5735">
        <w:rPr>
          <w:rFonts w:ascii="Times New Roman" w:hAnsi="Times New Roman"/>
          <w:i/>
          <w:sz w:val="24"/>
        </w:rPr>
        <w:t>ziņojumiem.</w:t>
      </w:r>
    </w:p>
    <w:p w14:paraId="47167190" w14:textId="4B58619A" w:rsidR="00A1106D" w:rsidRDefault="00A1106D" w:rsidP="00A1106D">
      <w:pPr>
        <w:jc w:val="both"/>
        <w:rPr>
          <w:rFonts w:ascii="Times New Roman" w:eastAsia="Calibri" w:hAnsi="Times New Roman" w:cs="Times New Roman"/>
          <w:i/>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D91BE5" w:rsidRPr="008113F3" w14:paraId="102DD7DE" w14:textId="77777777" w:rsidTr="00AE63A3">
        <w:trPr>
          <w:trHeight w:val="708"/>
        </w:trPr>
        <w:tc>
          <w:tcPr>
            <w:tcW w:w="5000" w:type="pct"/>
            <w:vAlign w:val="center"/>
          </w:tcPr>
          <w:p w14:paraId="52FEB335" w14:textId="0A6943F4" w:rsidR="00D91BE5" w:rsidRPr="00D91BE5" w:rsidRDefault="00D91BE5" w:rsidP="00D91BE5">
            <w:pPr>
              <w:pStyle w:val="BodyText"/>
              <w:spacing w:before="0"/>
              <w:ind w:left="0" w:firstLine="0"/>
              <w:jc w:val="center"/>
              <w:rPr>
                <w:rFonts w:ascii="Times New Roman" w:hAnsi="Times New Roman" w:cs="Times New Roman"/>
                <w:b/>
                <w:bCs/>
                <w:noProof/>
                <w:sz w:val="32"/>
                <w:szCs w:val="32"/>
              </w:rPr>
            </w:pPr>
            <w:r>
              <w:rPr>
                <w:rFonts w:ascii="Times New Roman" w:hAnsi="Times New Roman"/>
                <w:b/>
                <w:sz w:val="32"/>
              </w:rPr>
              <w:t>Ar imigranta statusu saistīta aizturēšana</w:t>
            </w:r>
          </w:p>
        </w:tc>
      </w:tr>
    </w:tbl>
    <w:p w14:paraId="430B8351" w14:textId="77777777" w:rsidR="00A1106D" w:rsidRPr="00A1106D" w:rsidRDefault="00A1106D" w:rsidP="00A1106D">
      <w:pPr>
        <w:jc w:val="both"/>
        <w:rPr>
          <w:rFonts w:ascii="Times New Roman" w:eastAsia="Calibri" w:hAnsi="Times New Roman" w:cs="Times New Roman"/>
          <w:i/>
          <w:noProof/>
          <w:sz w:val="24"/>
          <w:szCs w:val="24"/>
        </w:rPr>
      </w:pPr>
    </w:p>
    <w:p w14:paraId="0847C5EC" w14:textId="77777777" w:rsidR="00C46A1B" w:rsidRPr="002839A8" w:rsidRDefault="00C46A1B" w:rsidP="00A1106D">
      <w:pPr>
        <w:pStyle w:val="Heading1"/>
        <w:ind w:left="0" w:firstLine="0"/>
        <w:jc w:val="both"/>
        <w:rPr>
          <w:rFonts w:ascii="Times New Roman" w:hAnsi="Times New Roman" w:cs="Times New Roman"/>
          <w:noProof/>
          <w:sz w:val="24"/>
          <w:szCs w:val="24"/>
        </w:rPr>
      </w:pPr>
      <w:r w:rsidRPr="002839A8">
        <w:rPr>
          <w:rFonts w:ascii="Times New Roman" w:hAnsi="Times New Roman"/>
          <w:sz w:val="24"/>
        </w:rPr>
        <w:t>Ievads</w:t>
      </w:r>
      <w:bookmarkStart w:id="0" w:name="Introduction"/>
      <w:bookmarkEnd w:id="0"/>
    </w:p>
    <w:p w14:paraId="0A4C7F4D" w14:textId="77777777" w:rsidR="00D01250" w:rsidRDefault="00D01250" w:rsidP="00D01250">
      <w:pPr>
        <w:pStyle w:val="BodyText"/>
        <w:tabs>
          <w:tab w:val="left" w:pos="912"/>
        </w:tabs>
        <w:spacing w:before="0"/>
        <w:ind w:left="0" w:firstLine="0"/>
        <w:jc w:val="both"/>
        <w:rPr>
          <w:rFonts w:ascii="Times New Roman" w:hAnsi="Times New Roman" w:cs="Times New Roman"/>
          <w:noProof/>
        </w:rPr>
      </w:pPr>
    </w:p>
    <w:p w14:paraId="4480AA9A" w14:textId="14C2A54F" w:rsidR="00C46A1B" w:rsidRPr="00A1106D" w:rsidRDefault="00C46A1B" w:rsidP="00D01250">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i/>
          <w:iCs/>
        </w:rPr>
        <w:t>CPT</w:t>
      </w:r>
      <w:r>
        <w:rPr>
          <w:rFonts w:ascii="Times New Roman" w:hAnsi="Times New Roman"/>
        </w:rPr>
        <w:t xml:space="preserve"> darbā galvenā uzmanība ir pievērsta ar imigranta statusu saistītai aizturēšanai. Tā ir simtiem reižu apmeklējusi imigrantu izmitināšanas vietas un izstrādājusi detalizētu standartu kopumu.</w:t>
      </w:r>
    </w:p>
    <w:p w14:paraId="171DB4CF" w14:textId="7C4357C1" w:rsidR="00C46A1B" w:rsidRPr="00A1106D" w:rsidRDefault="00C46A1B" w:rsidP="00D01250">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i/>
          <w:iCs/>
        </w:rPr>
        <w:t>CPT</w:t>
      </w:r>
      <w:r>
        <w:rPr>
          <w:rFonts w:ascii="Times New Roman" w:hAnsi="Times New Roman"/>
        </w:rPr>
        <w:t xml:space="preserve"> standartu pamatā ir tiesiskie principi, kas izriet no starptautiskiem (cilvēktiesību) dokumentiem, piemēram, Eiropas Cilvēktiesību konvencijas (ECK)</w:t>
      </w:r>
      <w:r w:rsidR="00C42A0D">
        <w:rPr>
          <w:rStyle w:val="FootnoteReference"/>
          <w:rFonts w:ascii="Times New Roman" w:hAnsi="Times New Roman" w:cs="Times New Roman"/>
          <w:noProof/>
        </w:rPr>
        <w:footnoteReference w:id="1"/>
      </w:r>
      <w:r>
        <w:rPr>
          <w:rFonts w:ascii="Times New Roman" w:hAnsi="Times New Roman"/>
        </w:rPr>
        <w:t>, Ministru komitejas dokumenta “Twenty Guidelines on Forced Return” [Divdesmit pamatnostādnes piespiedu atgriešanai]</w:t>
      </w:r>
      <w:r w:rsidR="00C42A0D">
        <w:rPr>
          <w:rStyle w:val="FootnoteReference"/>
          <w:rFonts w:ascii="Times New Roman" w:hAnsi="Times New Roman" w:cs="Times New Roman"/>
          <w:noProof/>
        </w:rPr>
        <w:footnoteReference w:id="2"/>
      </w:r>
      <w:r>
        <w:rPr>
          <w:rFonts w:ascii="Times New Roman" w:hAnsi="Times New Roman"/>
        </w:rPr>
        <w:t>, attiecīgajiem Apvienoto Nāciju Organizācijas (ANO) līgumiem un 2008. gada Eiropas Savienības (ES) Atgriešanas direktīvas</w:t>
      </w:r>
      <w:r w:rsidR="00C42A0D">
        <w:rPr>
          <w:rStyle w:val="FootnoteReference"/>
          <w:rFonts w:ascii="Times New Roman" w:hAnsi="Times New Roman" w:cs="Times New Roman"/>
          <w:noProof/>
        </w:rPr>
        <w:footnoteReference w:id="3"/>
      </w:r>
      <w:r>
        <w:rPr>
          <w:rFonts w:ascii="Times New Roman" w:hAnsi="Times New Roman"/>
        </w:rPr>
        <w:t>.</w:t>
      </w:r>
    </w:p>
    <w:p w14:paraId="69AE1B06" w14:textId="77777777" w:rsidR="00C46A1B" w:rsidRPr="00A1106D" w:rsidRDefault="00C46A1B" w:rsidP="00D01250">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Ārvalstu pilsonim var atņemt brīvību tad, ja viņš (iespējams) ir pārkāpis uz ārvalstniekiem attiecināmu tiesību aktu, piemēram, par nelikumīgu ieceļošanu, nelikumīgu uzturēšanos utt. Bieži vien šādu aizturēšanu dēvē par “ar imigranta statusu saistītu aizturēšanu”, kas vairums Eiropas Padomes dalībvalstu ir administratīvas aizturēšanas veids.</w:t>
      </w:r>
    </w:p>
    <w:p w14:paraId="574FAD5D" w14:textId="77777777" w:rsidR="00C46A1B" w:rsidRPr="00A1106D" w:rsidRDefault="00C46A1B" w:rsidP="00D01250">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Saskaņā ar ECK 5. panta noteikumiem šis brīvības atņemšanas veids ir atļauts, ja tiek veikti pasākumi izraidīšanas nolūkā vai neatļautas ieceļošanas valstī novēršanai. Brīvības atņemšana neatbilstīgiem migrantiem nedrīkst būt patvaļīga vai automātiski izrietēt no tiesību aktu par ārvalstniekiem (iespējama) pārkāpuma. Citiem vārdiem sakot, ar imigranta statusu saistītai aizturēšanai jābūt izņēmuma, samērīgam un attiecīgi individuāli izvērtētam pasākumam, kas nepieciešams prettiesiskas imigrācijas novēršanai.</w:t>
      </w:r>
    </w:p>
    <w:p w14:paraId="26BAB01D" w14:textId="77777777" w:rsidR="00C46A1B" w:rsidRPr="00A1106D" w:rsidRDefault="00C46A1B" w:rsidP="00D01250">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Saskaņā ar tās administratīvo būtību ar imigranta statusu saistītai aizturēšanai nedrīkst būt sodīšanas rakstura: tā nav sankcija vai sods. Tāpēc aizturētajiem imigrantiem </w:t>
      </w:r>
      <w:r>
        <w:rPr>
          <w:rFonts w:ascii="Times New Roman" w:hAnsi="Times New Roman"/>
        </w:rPr>
        <w:lastRenderedPageBreak/>
        <w:t>jābūt nodrošinātam viņu tiesiskajam statusam atbilstošam režīmam un sadzīves apstākļiem.</w:t>
      </w:r>
    </w:p>
    <w:p w14:paraId="63030E84" w14:textId="77777777" w:rsidR="00C46A1B" w:rsidRPr="00A1106D" w:rsidRDefault="00C46A1B" w:rsidP="00D01250">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Jāuzsver, ka “patvēruma meklētāji” nav “aizturētie imigranti”, lai gan attiecīgās personas var par tādām kļūt, ja viņu patvēruma pieteikums tiek noraidīts un uzturēšanās atļauja valstī tiek anulēta.</w:t>
      </w:r>
    </w:p>
    <w:p w14:paraId="491FE2FA" w14:textId="77777777" w:rsidR="00EE6893" w:rsidRDefault="00EE6893" w:rsidP="00A1106D">
      <w:pPr>
        <w:jc w:val="both"/>
        <w:rPr>
          <w:rFonts w:ascii="Times New Roman" w:eastAsia="Calibri" w:hAnsi="Times New Roman" w:cs="Times New Roman"/>
          <w:noProof/>
          <w:sz w:val="24"/>
          <w:szCs w:val="24"/>
        </w:rPr>
      </w:pPr>
    </w:p>
    <w:p w14:paraId="66A87391" w14:textId="34FB6EA2" w:rsidR="00C46A1B" w:rsidRPr="00A1106D" w:rsidRDefault="0024387C" w:rsidP="0024387C">
      <w:pPr>
        <w:pStyle w:val="Heading1"/>
        <w:tabs>
          <w:tab w:val="left" w:pos="434"/>
        </w:tabs>
        <w:ind w:left="0" w:firstLine="0"/>
        <w:jc w:val="both"/>
        <w:rPr>
          <w:rFonts w:ascii="Times New Roman" w:hAnsi="Times New Roman" w:cs="Times New Roman"/>
          <w:noProof/>
          <w:sz w:val="24"/>
          <w:szCs w:val="24"/>
        </w:rPr>
      </w:pPr>
      <w:bookmarkStart w:id="1" w:name="1._Detention_as_a_last_resort"/>
      <w:bookmarkEnd w:id="1"/>
      <w:r>
        <w:rPr>
          <w:rFonts w:ascii="Times New Roman" w:hAnsi="Times New Roman"/>
          <w:sz w:val="24"/>
        </w:rPr>
        <w:t>1. Aizturēšana kā galējais līdzeklis</w:t>
      </w:r>
    </w:p>
    <w:p w14:paraId="36D28299" w14:textId="77777777" w:rsidR="00BD1E25" w:rsidRDefault="00BD1E25" w:rsidP="00BD1E25">
      <w:pPr>
        <w:pStyle w:val="BodyText"/>
        <w:tabs>
          <w:tab w:val="left" w:pos="851"/>
        </w:tabs>
        <w:spacing w:before="0"/>
        <w:ind w:left="284" w:firstLine="0"/>
        <w:jc w:val="both"/>
        <w:rPr>
          <w:rFonts w:ascii="Times New Roman" w:hAnsi="Times New Roman" w:cs="Times New Roman"/>
          <w:noProof/>
        </w:rPr>
      </w:pPr>
    </w:p>
    <w:p w14:paraId="67666195" w14:textId="4E39FAF2" w:rsidR="00C46A1B" w:rsidRPr="00A1106D" w:rsidRDefault="00C46A1B" w:rsidP="00BD1E25">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Brīvības atņemšanai saskaņā ar tiesību aktiem par ārvalstniekiem jābūt tikai </w:t>
      </w:r>
      <w:r>
        <w:rPr>
          <w:rFonts w:ascii="Times New Roman" w:hAnsi="Times New Roman"/>
          <w:b/>
        </w:rPr>
        <w:t>galējam līdzeklim</w:t>
      </w:r>
      <w:r>
        <w:rPr>
          <w:rFonts w:ascii="Times New Roman" w:hAnsi="Times New Roman"/>
        </w:rPr>
        <w:t xml:space="preserve"> pēc </w:t>
      </w:r>
      <w:r>
        <w:rPr>
          <w:rFonts w:ascii="Times New Roman" w:hAnsi="Times New Roman"/>
          <w:b/>
        </w:rPr>
        <w:t>rūpīgas un individuālas katra gadījuma pārbaudes</w:t>
      </w:r>
      <w:r>
        <w:rPr>
          <w:rFonts w:ascii="Times New Roman" w:hAnsi="Times New Roman"/>
        </w:rPr>
        <w:t>. Turklāt periodiski jāpārskata turpmāka tās piemērošanas nepieciešamība. Ja vien iespējams, jāizstrādā un jāizmanto alternatīvi (ar brīvības atņemšanu nesaistīti) pasākumi.</w:t>
      </w:r>
      <w:r w:rsidR="00C10C52">
        <w:rPr>
          <w:rStyle w:val="FootnoteReference"/>
          <w:rFonts w:ascii="Times New Roman" w:hAnsi="Times New Roman" w:cs="Times New Roman"/>
          <w:noProof/>
        </w:rPr>
        <w:footnoteReference w:id="4"/>
      </w:r>
    </w:p>
    <w:p w14:paraId="5DBA7E26" w14:textId="0CD3E716" w:rsidR="00C46A1B" w:rsidRPr="00A1106D" w:rsidRDefault="00C46A1B" w:rsidP="00BD1E25">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Ikreiz, kad izņēmuma gadījumā tiek atņemta brīvība </w:t>
      </w:r>
      <w:r>
        <w:rPr>
          <w:rFonts w:ascii="Times New Roman" w:hAnsi="Times New Roman"/>
          <w:b/>
          <w:bCs/>
        </w:rPr>
        <w:t>patvēruma meklētājiem</w:t>
      </w:r>
      <w:r>
        <w:rPr>
          <w:rFonts w:ascii="Times New Roman" w:hAnsi="Times New Roman"/>
        </w:rPr>
        <w:t>, kuri gaida sava pieteikuma izskatīšanas rezultātu, atbilstoši statusam viņiem jāpiešķir plašs aizsardzības pasākumu klāsts, kas ir lielāks par to, ko piemēro neatbilstīgiem migrantiem, un viņi jānošķir no ārvalstniekiem, kas nav iesnieguši starptautiskās aizsardzības pieteikumu.</w:t>
      </w:r>
      <w:r w:rsidR="00C10C52">
        <w:rPr>
          <w:rStyle w:val="FootnoteReference"/>
          <w:rFonts w:ascii="Times New Roman" w:hAnsi="Times New Roman" w:cs="Times New Roman"/>
          <w:noProof/>
        </w:rPr>
        <w:footnoteReference w:id="5"/>
      </w:r>
    </w:p>
    <w:p w14:paraId="56865CA8" w14:textId="2FBCDE6C" w:rsidR="00C46A1B" w:rsidRPr="00A1106D" w:rsidRDefault="00C46A1B" w:rsidP="00BD1E25">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Ja, pamatojoties uz tiesību aktiem par ārvalstniekiem, tiek aizturēti vienas ģimenes locekļi, </w:t>
      </w:r>
      <w:r>
        <w:rPr>
          <w:rFonts w:ascii="Times New Roman" w:hAnsi="Times New Roman"/>
          <w:b/>
          <w:bCs/>
        </w:rPr>
        <w:t>jācenšas viņus nenošķirt</w:t>
      </w:r>
      <w:r>
        <w:rPr>
          <w:rFonts w:ascii="Times New Roman" w:hAnsi="Times New Roman"/>
        </w:rPr>
        <w:t>.</w:t>
      </w:r>
      <w:r w:rsidR="00C10C52">
        <w:rPr>
          <w:rStyle w:val="FootnoteReference"/>
          <w:rFonts w:ascii="Times New Roman" w:hAnsi="Times New Roman" w:cs="Times New Roman"/>
          <w:noProof/>
        </w:rPr>
        <w:footnoteReference w:id="6"/>
      </w:r>
    </w:p>
    <w:p w14:paraId="7B9D8599" w14:textId="7B743706" w:rsidR="00C46A1B" w:rsidRPr="00A1106D" w:rsidRDefault="00C46A1B" w:rsidP="00BD1E25">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i/>
          <w:iCs/>
        </w:rPr>
        <w:t>CPT</w:t>
      </w:r>
      <w:r>
        <w:rPr>
          <w:rFonts w:ascii="Times New Roman" w:hAnsi="Times New Roman"/>
        </w:rPr>
        <w:t xml:space="preserve"> uzskata, ka personu ilgstošu aizturēšanu, kas tiek īstenota saskaņā ar tiesību aktiem par ārvalstniekiem, </w:t>
      </w:r>
      <w:r>
        <w:rPr>
          <w:rFonts w:ascii="Times New Roman" w:hAnsi="Times New Roman"/>
          <w:b/>
          <w:bCs/>
        </w:rPr>
        <w:t>bez noteikta termiņa un ar neskaidrām izredzēm uz atbrīvošanu</w:t>
      </w:r>
      <w:r>
        <w:rPr>
          <w:rFonts w:ascii="Times New Roman" w:hAnsi="Times New Roman"/>
        </w:rPr>
        <w:t>, var viegli uzskatīt par necilvēcīgu rīcību.</w:t>
      </w:r>
      <w:r w:rsidR="00C10C52">
        <w:rPr>
          <w:rStyle w:val="FootnoteReference"/>
          <w:rFonts w:ascii="Times New Roman" w:hAnsi="Times New Roman" w:cs="Times New Roman"/>
          <w:noProof/>
        </w:rPr>
        <w:footnoteReference w:id="7"/>
      </w:r>
    </w:p>
    <w:p w14:paraId="651B465A" w14:textId="77777777" w:rsidR="00C46A1B" w:rsidRPr="00A1106D" w:rsidRDefault="00C46A1B" w:rsidP="00A1106D">
      <w:pPr>
        <w:jc w:val="both"/>
        <w:rPr>
          <w:rFonts w:ascii="Times New Roman" w:eastAsia="Calibri" w:hAnsi="Times New Roman" w:cs="Times New Roman"/>
          <w:noProof/>
          <w:sz w:val="24"/>
          <w:szCs w:val="24"/>
        </w:rPr>
      </w:pPr>
    </w:p>
    <w:p w14:paraId="6266C9A1" w14:textId="319EB883" w:rsidR="00C46A1B" w:rsidRPr="00A1106D" w:rsidRDefault="0024387C" w:rsidP="0024387C">
      <w:pPr>
        <w:pStyle w:val="Heading1"/>
        <w:tabs>
          <w:tab w:val="left" w:pos="434"/>
        </w:tabs>
        <w:ind w:left="0" w:firstLine="0"/>
        <w:jc w:val="both"/>
        <w:rPr>
          <w:rFonts w:ascii="Times New Roman" w:hAnsi="Times New Roman" w:cs="Times New Roman"/>
          <w:noProof/>
          <w:sz w:val="24"/>
          <w:szCs w:val="24"/>
        </w:rPr>
      </w:pPr>
      <w:bookmarkStart w:id="2" w:name="2._Safeguards_during_detention"/>
      <w:bookmarkEnd w:id="2"/>
      <w:r>
        <w:rPr>
          <w:rFonts w:ascii="Times New Roman" w:hAnsi="Times New Roman"/>
          <w:sz w:val="24"/>
        </w:rPr>
        <w:t>2. Aizsardzības pasākumi aizturēšanas laikā</w:t>
      </w:r>
    </w:p>
    <w:p w14:paraId="0204E88A" w14:textId="77777777" w:rsidR="00BD1E25" w:rsidRDefault="00BD1E25" w:rsidP="00BD1E25">
      <w:pPr>
        <w:pStyle w:val="BodyText"/>
        <w:tabs>
          <w:tab w:val="left" w:pos="851"/>
        </w:tabs>
        <w:spacing w:before="0"/>
        <w:jc w:val="both"/>
        <w:rPr>
          <w:rFonts w:ascii="Times New Roman" w:hAnsi="Times New Roman" w:cs="Times New Roman"/>
          <w:noProof/>
        </w:rPr>
      </w:pPr>
    </w:p>
    <w:p w14:paraId="1C5204A6" w14:textId="59AC1960" w:rsidR="00C46A1B" w:rsidRPr="00A1106D" w:rsidRDefault="00C46A1B" w:rsidP="00BD1E25">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Katram brīvības atņemšanas gadījumam jābūt pamatotam ar pienācīgu individuālu lēmumu par aizturēšanu, kam jābūt viegli pieejamam iestādē, kurā attiecīgā persona tiek turēta, turklāt lēmums par aizturēšanu jāsagatavo, tiklīdz notikusi brīvības atņemšana vai iespējami drīz pēc tās. Šī pamatprasība tieši tāpat jāievēro attiecībā uz neatbilstīgiem migrantiem, kam atņemta brīvība. Turklāt tāda vienota un visaptveroša katras personas aizturēšanas protokola ieviešana, kurā fiksēti visi šīs personas aizturēšanas aspekti un visas ar to saistītās darbības, pastiprina galvenos aizsardzības pasākumus personām, ko aizturējušas tiesībaizsardzības iestādes.</w:t>
      </w:r>
      <w:r w:rsidR="00C10C52">
        <w:rPr>
          <w:rStyle w:val="FootnoteReference"/>
          <w:rFonts w:ascii="Times New Roman" w:hAnsi="Times New Roman" w:cs="Times New Roman"/>
          <w:noProof/>
        </w:rPr>
        <w:footnoteReference w:id="8"/>
      </w:r>
    </w:p>
    <w:p w14:paraId="11892202" w14:textId="0162C7A6" w:rsidR="00C46A1B" w:rsidRPr="00A1106D" w:rsidRDefault="00C46A1B" w:rsidP="00BD1E25">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Aizturētajiem neatbilstīgajiem migrantiem no paša brīvības atņemšanas sākuma jābūt iespējai izmantot trīs </w:t>
      </w:r>
      <w:r>
        <w:rPr>
          <w:rFonts w:ascii="Times New Roman" w:hAnsi="Times New Roman"/>
          <w:b/>
          <w:bCs/>
        </w:rPr>
        <w:t>pamattiesību</w:t>
      </w:r>
      <w:r>
        <w:rPr>
          <w:rFonts w:ascii="Times New Roman" w:hAnsi="Times New Roman"/>
        </w:rPr>
        <w:t xml:space="preserve"> veidus, tāpat kā tas iespējams citām aizturēto personu kategorijām. Šīs tiesības ir: 1) tiesības vērsties pie advokāta, 2) tiesības vērsties pie ārsta un 3) tiesības par aizturēšanas faktu informēt radinieku vai citu trešo personu pēc savas izvēles.</w:t>
      </w:r>
      <w:r w:rsidR="00C10C52">
        <w:rPr>
          <w:rStyle w:val="FootnoteReference"/>
          <w:rFonts w:ascii="Times New Roman" w:hAnsi="Times New Roman" w:cs="Times New Roman"/>
          <w:noProof/>
        </w:rPr>
        <w:footnoteReference w:id="9"/>
      </w:r>
    </w:p>
    <w:p w14:paraId="54EA6810" w14:textId="55F785E5" w:rsidR="00C46A1B" w:rsidRPr="00A1106D" w:rsidRDefault="00C46A1B" w:rsidP="00BD1E25">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Tiesībām </w:t>
      </w:r>
      <w:r>
        <w:rPr>
          <w:rFonts w:ascii="Times New Roman" w:hAnsi="Times New Roman"/>
          <w:b/>
          <w:bCs/>
        </w:rPr>
        <w:t>vērsties pie advokāta</w:t>
      </w:r>
      <w:r>
        <w:rPr>
          <w:rFonts w:ascii="Times New Roman" w:hAnsi="Times New Roman"/>
        </w:rPr>
        <w:t xml:space="preserve"> būtu jāietver tiesības runāt ar advokātu bez citu personu klātbūtnes, kā arī saņemt juridisku konsultāciju jautājumos, kas saistīti ar uzturēšanos, aizturēšanu un izraidīšanu. Tas nozīmē, ka gadījumos, kad neatbilstīgajiem migrantiem pašiem nav iespējas izvēlēties un apmaksāt advokātu, viņiem jābūt iespējai saņemt juridisko palīdzību.</w:t>
      </w:r>
      <w:r w:rsidR="00C10C52">
        <w:rPr>
          <w:rStyle w:val="FootnoteReference"/>
          <w:rFonts w:ascii="Times New Roman" w:hAnsi="Times New Roman" w:cs="Times New Roman"/>
          <w:noProof/>
        </w:rPr>
        <w:footnoteReference w:id="10"/>
      </w:r>
    </w:p>
    <w:p w14:paraId="3FA716A3" w14:textId="015DF3F4" w:rsidR="00C46A1B" w:rsidRPr="00A1106D" w:rsidRDefault="00C46A1B" w:rsidP="00BD1E25">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Visi jaunpienākušie aizturētie būtu nekavējoties </w:t>
      </w:r>
      <w:r>
        <w:rPr>
          <w:rFonts w:ascii="Times New Roman" w:hAnsi="Times New Roman"/>
          <w:b/>
          <w:bCs/>
        </w:rPr>
        <w:t>jāapskata ārstam</w:t>
      </w:r>
      <w:r>
        <w:rPr>
          <w:rFonts w:ascii="Times New Roman" w:hAnsi="Times New Roman"/>
        </w:rPr>
        <w:t xml:space="preserve"> vai atbilstīgi </w:t>
      </w:r>
      <w:r>
        <w:rPr>
          <w:rFonts w:ascii="Times New Roman" w:hAnsi="Times New Roman"/>
        </w:rPr>
        <w:lastRenderedPageBreak/>
        <w:t>kvalificētai medicīnas māsai, kas sagatavo ziņojumu ārstam.</w:t>
      </w:r>
      <w:r w:rsidR="00C10C52">
        <w:rPr>
          <w:rStyle w:val="FootnoteReference"/>
          <w:rFonts w:ascii="Times New Roman" w:hAnsi="Times New Roman" w:cs="Times New Roman"/>
          <w:noProof/>
        </w:rPr>
        <w:footnoteReference w:id="11"/>
      </w:r>
    </w:p>
    <w:p w14:paraId="081C497A" w14:textId="541675EE" w:rsidR="00C46A1B" w:rsidRPr="00A1106D" w:rsidRDefault="00C46A1B" w:rsidP="00BD1E25">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b/>
          <w:bCs/>
        </w:rPr>
        <w:t xml:space="preserve">Radinieka vai </w:t>
      </w:r>
      <w:r>
        <w:rPr>
          <w:rFonts w:ascii="Times New Roman" w:hAnsi="Times New Roman"/>
        </w:rPr>
        <w:t>paša izvēlētas</w:t>
      </w:r>
      <w:r>
        <w:rPr>
          <w:rFonts w:ascii="Times New Roman" w:hAnsi="Times New Roman"/>
          <w:b/>
          <w:bCs/>
        </w:rPr>
        <w:t xml:space="preserve"> trešās personas informēšana</w:t>
      </w:r>
      <w:r>
        <w:rPr>
          <w:rFonts w:ascii="Times New Roman" w:hAnsi="Times New Roman"/>
        </w:rPr>
        <w:t xml:space="preserve"> par piemēroto aizturēšanu tiek ievērojami veicināta, ja brīvības atņemšanas laikā neatbilstīgajiem migrantiem atļauj paturēt savus mobilos tālruņus vai vismaz viņiem ir piekļuve tiem.</w:t>
      </w:r>
      <w:r w:rsidR="00C10C52">
        <w:rPr>
          <w:rStyle w:val="FootnoteReference"/>
          <w:rFonts w:ascii="Times New Roman" w:hAnsi="Times New Roman" w:cs="Times New Roman"/>
          <w:noProof/>
        </w:rPr>
        <w:footnoteReference w:id="12"/>
      </w:r>
    </w:p>
    <w:p w14:paraId="16E07D5A" w14:textId="65D8A79C"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Papildus šiem trim pamata aizsardzības pasākumiem starptautiskos tiesību aktos ir atzītas aizturēto neatbilstīgo migrantu tiesības lūgt </w:t>
      </w:r>
      <w:r>
        <w:rPr>
          <w:rFonts w:ascii="Times New Roman" w:hAnsi="Times New Roman"/>
          <w:b/>
          <w:bCs/>
        </w:rPr>
        <w:t>konsulāro palīdzību</w:t>
      </w:r>
      <w:r>
        <w:rPr>
          <w:rFonts w:ascii="Times New Roman" w:hAnsi="Times New Roman"/>
        </w:rPr>
        <w:t>. Tomēr, tā kā ne visi neatbilstīgie migranti vēlēsies sazināties ar savas valsts iestādēm, šo tiesību izmantošana jāatstāj attiecīgās personas ziņā.</w:t>
      </w:r>
      <w:r w:rsidR="0069424E">
        <w:rPr>
          <w:rStyle w:val="FootnoteReference"/>
          <w:rFonts w:ascii="Times New Roman" w:hAnsi="Times New Roman" w:cs="Times New Roman"/>
          <w:noProof/>
        </w:rPr>
        <w:footnoteReference w:id="13"/>
      </w:r>
    </w:p>
    <w:p w14:paraId="3D35B160" w14:textId="54D943F5"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Aizturētajiem neatbilstīgajiem migrantiem bez kavēšanās un viņiem saprotamā valodā ir jātiek skaidri </w:t>
      </w:r>
      <w:r>
        <w:rPr>
          <w:rFonts w:ascii="Times New Roman" w:hAnsi="Times New Roman"/>
          <w:b/>
          <w:bCs/>
        </w:rPr>
        <w:t>informētiem</w:t>
      </w:r>
      <w:r>
        <w:rPr>
          <w:rFonts w:ascii="Times New Roman" w:hAnsi="Times New Roman"/>
        </w:rPr>
        <w:t xml:space="preserve"> </w:t>
      </w:r>
      <w:r>
        <w:rPr>
          <w:rFonts w:ascii="Times New Roman" w:hAnsi="Times New Roman"/>
          <w:b/>
          <w:bCs/>
        </w:rPr>
        <w:t>par viņu tiesībām</w:t>
      </w:r>
      <w:r>
        <w:rPr>
          <w:rFonts w:ascii="Times New Roman" w:hAnsi="Times New Roman"/>
        </w:rPr>
        <w:t xml:space="preserve"> un viņiem piemērojamo </w:t>
      </w:r>
      <w:r>
        <w:rPr>
          <w:rFonts w:ascii="Times New Roman" w:hAnsi="Times New Roman"/>
          <w:b/>
          <w:bCs/>
        </w:rPr>
        <w:t>procedūru</w:t>
      </w:r>
      <w:r>
        <w:rPr>
          <w:rFonts w:ascii="Times New Roman" w:hAnsi="Times New Roman"/>
        </w:rPr>
        <w:t>. Šim nolūkam visiem aizturētajiem imigrantiem regulāri jātiek izsniegtam dokumentam, kurā norādīta šī informācija; dokumentam jābūt pieejamam valodās, kurās visbiežāk runā attiecīgās personas, un vajadzības gadījumā jānodrošina tulka pakalpojumi. Attiecīgajām personām rakstveidā jāapstiprina, ka tās ir informētas par savām tiesībām viņiem saprotamā valodā.</w:t>
      </w:r>
      <w:r w:rsidR="0069424E">
        <w:rPr>
          <w:rStyle w:val="FootnoteReference"/>
          <w:rFonts w:ascii="Times New Roman" w:hAnsi="Times New Roman" w:cs="Times New Roman"/>
          <w:noProof/>
        </w:rPr>
        <w:footnoteReference w:id="14"/>
      </w:r>
    </w:p>
    <w:p w14:paraId="4FE274E2" w14:textId="0ADCBE2F"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Vajadzības gadījumā ārvalstniekiem jāsaņem kvalificētu </w:t>
      </w:r>
      <w:r>
        <w:rPr>
          <w:rFonts w:ascii="Times New Roman" w:hAnsi="Times New Roman"/>
          <w:b/>
          <w:bCs/>
        </w:rPr>
        <w:t>tulku</w:t>
      </w:r>
      <w:r>
        <w:rPr>
          <w:rFonts w:ascii="Times New Roman" w:hAnsi="Times New Roman"/>
        </w:rPr>
        <w:t xml:space="preserve"> palīdzība. Principā ir jāizvairās izmantot par tulkiem citus aizturētos.</w:t>
      </w:r>
      <w:r w:rsidR="0069424E">
        <w:rPr>
          <w:rStyle w:val="FootnoteReference"/>
          <w:rFonts w:ascii="Times New Roman" w:hAnsi="Times New Roman" w:cs="Times New Roman"/>
          <w:noProof/>
        </w:rPr>
        <w:footnoteReference w:id="15"/>
      </w:r>
    </w:p>
    <w:p w14:paraId="3DAAE71B" w14:textId="5FC254B6"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Aizturētajiem neatbilstīgajiem migrantiem jābūt visām iespējām uzturēt </w:t>
      </w:r>
      <w:r>
        <w:rPr>
          <w:rFonts w:ascii="Times New Roman" w:hAnsi="Times New Roman"/>
          <w:b/>
          <w:bCs/>
        </w:rPr>
        <w:t>pilnvērtīgus sakarus ar ārpasauli</w:t>
      </w:r>
      <w:r>
        <w:rPr>
          <w:rFonts w:ascii="Times New Roman" w:hAnsi="Times New Roman"/>
        </w:rPr>
        <w:t xml:space="preserve"> un regulāri piekļūt tālrunim vai saviem mobilajiem tālruņiem.</w:t>
      </w:r>
      <w:r w:rsidR="0069424E">
        <w:rPr>
          <w:rStyle w:val="FootnoteReference"/>
          <w:rFonts w:ascii="Times New Roman" w:hAnsi="Times New Roman" w:cs="Times New Roman"/>
          <w:noProof/>
        </w:rPr>
        <w:footnoteReference w:id="16"/>
      </w:r>
    </w:p>
    <w:p w14:paraId="6070CAF4" w14:textId="20AA4CE6"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Jāveic nepieciešamie pasākumi, lai aizturētajiem neatbilstīgajiem migrantiem </w:t>
      </w:r>
      <w:r>
        <w:rPr>
          <w:rFonts w:ascii="Times New Roman" w:hAnsi="Times New Roman"/>
          <w:b/>
          <w:bCs/>
        </w:rPr>
        <w:t>pastāvīgi būtu iespējams konsultēties ar advokātu vai ārstu</w:t>
      </w:r>
      <w:r>
        <w:rPr>
          <w:rFonts w:ascii="Times New Roman" w:hAnsi="Times New Roman"/>
        </w:rPr>
        <w:t xml:space="preserve">, </w:t>
      </w:r>
      <w:r>
        <w:rPr>
          <w:rFonts w:ascii="Times New Roman" w:hAnsi="Times New Roman"/>
          <w:b/>
          <w:bCs/>
        </w:rPr>
        <w:t>tikties</w:t>
      </w:r>
      <w:r>
        <w:rPr>
          <w:rFonts w:ascii="Times New Roman" w:hAnsi="Times New Roman"/>
        </w:rPr>
        <w:t xml:space="preserve"> ar NVO pārstāvjiem, ģimenes locekļiem vai citām personām pēc pašu izvēles, kā arī sazināties ar viņiem pa tālruni.</w:t>
      </w:r>
      <w:r w:rsidR="0069424E">
        <w:rPr>
          <w:rStyle w:val="FootnoteReference"/>
          <w:rFonts w:ascii="Times New Roman" w:hAnsi="Times New Roman" w:cs="Times New Roman"/>
          <w:noProof/>
        </w:rPr>
        <w:footnoteReference w:id="17"/>
      </w:r>
    </w:p>
    <w:p w14:paraId="6226CBCE" w14:textId="66CA3781"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Gan aizturēto imigrantu, gan personāla interesēs ir svarīgi izstrādāt skaidrus ikvienas </w:t>
      </w:r>
      <w:r w:rsidR="006C719C">
        <w:rPr>
          <w:rFonts w:ascii="Times New Roman" w:hAnsi="Times New Roman"/>
        </w:rPr>
        <w:t>aizturēšanas</w:t>
      </w:r>
      <w:r>
        <w:rPr>
          <w:rFonts w:ascii="Times New Roman" w:hAnsi="Times New Roman"/>
        </w:rPr>
        <w:t xml:space="preserve"> vietas </w:t>
      </w:r>
      <w:r>
        <w:rPr>
          <w:rFonts w:ascii="Times New Roman" w:hAnsi="Times New Roman"/>
          <w:b/>
          <w:bCs/>
        </w:rPr>
        <w:t>iekšējās kārtības noteikumus</w:t>
      </w:r>
      <w:r>
        <w:rPr>
          <w:rFonts w:ascii="Times New Roman" w:hAnsi="Times New Roman"/>
        </w:rPr>
        <w:t xml:space="preserve"> un nodrošināt šo noteikumu kopiju pieejamību atbilstīgajās valodās.</w:t>
      </w:r>
      <w:r w:rsidR="0069424E">
        <w:rPr>
          <w:rStyle w:val="FootnoteReference"/>
          <w:rFonts w:ascii="Times New Roman" w:hAnsi="Times New Roman" w:cs="Times New Roman"/>
          <w:noProof/>
        </w:rPr>
        <w:footnoteReference w:id="18"/>
      </w:r>
    </w:p>
    <w:p w14:paraId="05657D86" w14:textId="3EA00888"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Aizturētajiem neatbilstīgajiem migrantiem jābūt pieejamiem </w:t>
      </w:r>
      <w:r>
        <w:rPr>
          <w:rFonts w:ascii="Times New Roman" w:hAnsi="Times New Roman"/>
          <w:b/>
          <w:bCs/>
        </w:rPr>
        <w:t>efektīviem tiesiskās aizsardzības līdzekļiem</w:t>
      </w:r>
      <w:r>
        <w:rPr>
          <w:rFonts w:ascii="Times New Roman" w:hAnsi="Times New Roman"/>
        </w:rPr>
        <w:t xml:space="preserve">, kas steidzamības kārtā tiesas iestādei ļauj izvērtēt, vai viņiem ir likumīgi piemērota brīvības atņemšana. Izskatīšanai tiesā jāietver mutvārdu process, kurā tiek nodrošināta juridiskā palīdzība, ko cilvēkiem bez pietiekamiem līdzekļiem sniedz bez maksas, un tulkošana (vajadzības gadījumā). Turklāt aizturētie neatbilstīgie migranti būtu skaidri </w:t>
      </w:r>
      <w:r>
        <w:rPr>
          <w:rFonts w:ascii="Times New Roman" w:hAnsi="Times New Roman"/>
          <w:b/>
          <w:bCs/>
        </w:rPr>
        <w:t>jāinformē par šo tiesiskās aizsardzības līdzekli</w:t>
      </w:r>
      <w:r>
        <w:rPr>
          <w:rFonts w:ascii="Times New Roman" w:hAnsi="Times New Roman"/>
        </w:rPr>
        <w:t xml:space="preserve">. </w:t>
      </w:r>
      <w:r>
        <w:rPr>
          <w:rFonts w:ascii="Times New Roman" w:hAnsi="Times New Roman"/>
          <w:b/>
          <w:bCs/>
        </w:rPr>
        <w:t>Neatkarīgai iestādei periodiski jāizskata</w:t>
      </w:r>
      <w:r>
        <w:rPr>
          <w:rFonts w:ascii="Times New Roman" w:hAnsi="Times New Roman"/>
        </w:rPr>
        <w:t xml:space="preserve"> jautājums par ilgstošas aizturēšanas nepieciešamību.</w:t>
      </w:r>
      <w:r w:rsidR="00707478">
        <w:rPr>
          <w:rStyle w:val="FootnoteReference"/>
          <w:rFonts w:ascii="Times New Roman" w:hAnsi="Times New Roman" w:cs="Times New Roman"/>
          <w:noProof/>
        </w:rPr>
        <w:footnoteReference w:id="19"/>
      </w:r>
    </w:p>
    <w:p w14:paraId="218D2F6F" w14:textId="77777777" w:rsidR="00C46A1B" w:rsidRPr="00A1106D" w:rsidRDefault="00C46A1B" w:rsidP="00A1106D">
      <w:pPr>
        <w:jc w:val="both"/>
        <w:rPr>
          <w:rFonts w:ascii="Times New Roman" w:eastAsia="Calibri" w:hAnsi="Times New Roman" w:cs="Times New Roman"/>
          <w:noProof/>
          <w:sz w:val="24"/>
          <w:szCs w:val="24"/>
        </w:rPr>
      </w:pPr>
    </w:p>
    <w:p w14:paraId="4061802E" w14:textId="1BBD7EC4" w:rsidR="00C46A1B" w:rsidRPr="00A1106D" w:rsidRDefault="0024387C" w:rsidP="0024387C">
      <w:pPr>
        <w:pStyle w:val="Heading1"/>
        <w:tabs>
          <w:tab w:val="left" w:pos="434"/>
        </w:tabs>
        <w:ind w:left="0" w:firstLine="0"/>
        <w:jc w:val="both"/>
        <w:rPr>
          <w:rFonts w:ascii="Times New Roman" w:hAnsi="Times New Roman" w:cs="Times New Roman"/>
          <w:noProof/>
          <w:sz w:val="24"/>
          <w:szCs w:val="24"/>
        </w:rPr>
      </w:pPr>
      <w:bookmarkStart w:id="3" w:name="3._Suitable_premises"/>
      <w:bookmarkEnd w:id="3"/>
      <w:r>
        <w:rPr>
          <w:rFonts w:ascii="Times New Roman" w:hAnsi="Times New Roman"/>
          <w:sz w:val="24"/>
        </w:rPr>
        <w:t>3. Piemērotas telpas</w:t>
      </w:r>
    </w:p>
    <w:p w14:paraId="3903E6E4" w14:textId="77777777" w:rsidR="0024387C" w:rsidRDefault="0024387C" w:rsidP="0024387C">
      <w:pPr>
        <w:pStyle w:val="BodyText"/>
        <w:tabs>
          <w:tab w:val="left" w:pos="812"/>
        </w:tabs>
        <w:spacing w:before="0"/>
        <w:ind w:left="0" w:firstLine="0"/>
        <w:jc w:val="both"/>
        <w:rPr>
          <w:rFonts w:ascii="Times New Roman" w:hAnsi="Times New Roman" w:cs="Times New Roman"/>
          <w:noProof/>
        </w:rPr>
      </w:pPr>
    </w:p>
    <w:p w14:paraId="777F29CB" w14:textId="5E71EE31"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b/>
          <w:bCs/>
        </w:rPr>
        <w:t>Ieslodzījuma vieta</w:t>
      </w:r>
      <w:r>
        <w:rPr>
          <w:rFonts w:ascii="Times New Roman" w:hAnsi="Times New Roman"/>
        </w:rPr>
        <w:t xml:space="preserve"> pēc būtības nav piemērota tādu personu </w:t>
      </w:r>
      <w:r w:rsidR="005925AE">
        <w:rPr>
          <w:rFonts w:ascii="Times New Roman" w:hAnsi="Times New Roman"/>
        </w:rPr>
        <w:t>aizturēšanai</w:t>
      </w:r>
      <w:r>
        <w:rPr>
          <w:rFonts w:ascii="Times New Roman" w:hAnsi="Times New Roman"/>
        </w:rPr>
        <w:t>, kas nav notiesātas un arī netiek turētas aizdomās par noziedzīga nodarījuma izdarīšanu.</w:t>
      </w:r>
      <w:r w:rsidR="00912F78">
        <w:rPr>
          <w:rStyle w:val="FootnoteReference"/>
          <w:rFonts w:ascii="Times New Roman" w:hAnsi="Times New Roman" w:cs="Times New Roman"/>
          <w:noProof/>
        </w:rPr>
        <w:footnoteReference w:id="20"/>
      </w:r>
    </w:p>
    <w:p w14:paraId="60036393" w14:textId="4C3F46B7" w:rsidR="00A1106D" w:rsidRPr="00912F78" w:rsidRDefault="00C46A1B" w:rsidP="00A1106D">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Aizturētie imigranti bieži vien sākotnēji tiek turēti </w:t>
      </w:r>
      <w:r>
        <w:rPr>
          <w:rFonts w:ascii="Times New Roman" w:hAnsi="Times New Roman"/>
          <w:b/>
          <w:bCs/>
        </w:rPr>
        <w:t>“uzturēšanās vietās robežšķērsošanas punktos”</w:t>
      </w:r>
      <w:r>
        <w:rPr>
          <w:rFonts w:ascii="Times New Roman" w:hAnsi="Times New Roman"/>
        </w:rPr>
        <w:t xml:space="preserve">, </w:t>
      </w:r>
      <w:r>
        <w:rPr>
          <w:rFonts w:ascii="Times New Roman" w:hAnsi="Times New Roman"/>
          <w:b/>
          <w:bCs/>
        </w:rPr>
        <w:t>lidostas tranzītzonās un policijas iecirkņos</w:t>
      </w:r>
      <w:r>
        <w:rPr>
          <w:rFonts w:ascii="Times New Roman" w:hAnsi="Times New Roman"/>
        </w:rPr>
        <w:t xml:space="preserve">. Ir skaidrs, ka </w:t>
      </w:r>
      <w:r>
        <w:rPr>
          <w:rFonts w:ascii="Times New Roman" w:hAnsi="Times New Roman"/>
        </w:rPr>
        <w:lastRenderedPageBreak/>
        <w:t>šīs vietas bieži vien nav piemērotas cilvēku izmitināšanai, jo īpaši, lai ilgstoši tajās uzturētos. Tāpēc aizturēto imigrantu uzturēšanās laiks šādās iestādēs būtu jāsamazina līdz nepieciešamajam minimumam (t. i., mazāk nekā 24 stundas).</w:t>
      </w:r>
      <w:r w:rsidR="00912F78">
        <w:rPr>
          <w:rStyle w:val="FootnoteReference"/>
          <w:rFonts w:ascii="Times New Roman" w:hAnsi="Times New Roman" w:cs="Times New Roman"/>
          <w:noProof/>
        </w:rPr>
        <w:footnoteReference w:id="21"/>
      </w:r>
    </w:p>
    <w:p w14:paraId="3AAFCCDD" w14:textId="6ED85B87"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rPr>
        <w:t xml:space="preserve">Personas, kas aizturētas saskaņā ar tiesību aktiem par ārvalstniekiem, būtu jāizvieto </w:t>
      </w:r>
      <w:r>
        <w:rPr>
          <w:rFonts w:ascii="Times New Roman" w:hAnsi="Times New Roman"/>
          <w:b/>
          <w:bCs/>
        </w:rPr>
        <w:t>šim nolūkam īpaši iekārtotos centros</w:t>
      </w:r>
      <w:r>
        <w:rPr>
          <w:rFonts w:ascii="Times New Roman" w:hAnsi="Times New Roman"/>
        </w:rPr>
        <w:t>, nodrošinot sadzīves apstākļus un režīmu, kas atbilst viņu tiesiskajam statusam. Projektējot un iekārtojot šādas telpas, jānodrošina, lai tās iespējami mazāk atgādinātu brīvības atņemšanas iestādes vidi.</w:t>
      </w:r>
      <w:r w:rsidR="00F665C0">
        <w:rPr>
          <w:rStyle w:val="FootnoteReference"/>
          <w:rFonts w:ascii="Times New Roman" w:hAnsi="Times New Roman" w:cs="Times New Roman"/>
          <w:noProof/>
        </w:rPr>
        <w:footnoteReference w:id="22"/>
      </w:r>
    </w:p>
    <w:p w14:paraId="055318D9" w14:textId="4E15C318"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r>
        <w:rPr>
          <w:rFonts w:ascii="Times New Roman" w:hAnsi="Times New Roman"/>
          <w:b/>
          <w:bCs/>
        </w:rPr>
        <w:t>Aizturētās sievietes</w:t>
      </w:r>
      <w:r>
        <w:rPr>
          <w:rFonts w:ascii="Times New Roman" w:hAnsi="Times New Roman"/>
        </w:rPr>
        <w:t xml:space="preserve"> jātur tādā zonā, kas ir nošķirta no zonas, kurā uzturas aizturētie vīrieši, un jānodrošina šo sieviešu privātās dzīves neaizskaramība.</w:t>
      </w:r>
      <w:r w:rsidR="00F665C0">
        <w:rPr>
          <w:rStyle w:val="FootnoteReference"/>
          <w:rFonts w:ascii="Times New Roman" w:hAnsi="Times New Roman" w:cs="Times New Roman"/>
          <w:noProof/>
        </w:rPr>
        <w:footnoteReference w:id="23"/>
      </w:r>
    </w:p>
    <w:p w14:paraId="5FECF926" w14:textId="77777777" w:rsidR="00C46A1B" w:rsidRPr="00A1106D" w:rsidRDefault="00C46A1B" w:rsidP="0024387C">
      <w:pPr>
        <w:pStyle w:val="BodyText"/>
        <w:numPr>
          <w:ilvl w:val="0"/>
          <w:numId w:val="3"/>
        </w:numPr>
        <w:tabs>
          <w:tab w:val="left" w:pos="851"/>
        </w:tabs>
        <w:spacing w:before="0"/>
        <w:ind w:left="284" w:firstLine="0"/>
        <w:jc w:val="both"/>
        <w:rPr>
          <w:rFonts w:ascii="Times New Roman" w:hAnsi="Times New Roman" w:cs="Times New Roman"/>
          <w:noProof/>
        </w:rPr>
      </w:pPr>
    </w:p>
    <w:p w14:paraId="211F091D" w14:textId="3719FD0A" w:rsidR="00C46A1B" w:rsidRPr="00A1106D" w:rsidRDefault="0024387C" w:rsidP="0024387C">
      <w:pPr>
        <w:pStyle w:val="Heading1"/>
        <w:tabs>
          <w:tab w:val="left" w:pos="434"/>
        </w:tabs>
        <w:ind w:left="0" w:firstLine="0"/>
        <w:jc w:val="both"/>
        <w:rPr>
          <w:rFonts w:ascii="Times New Roman" w:hAnsi="Times New Roman" w:cs="Times New Roman"/>
          <w:b w:val="0"/>
          <w:bCs w:val="0"/>
          <w:noProof/>
          <w:sz w:val="24"/>
          <w:szCs w:val="24"/>
        </w:rPr>
      </w:pPr>
      <w:bookmarkStart w:id="4" w:name="4._Adequate_material_conditions_for_long"/>
      <w:bookmarkEnd w:id="4"/>
      <w:r>
        <w:rPr>
          <w:rFonts w:ascii="Times New Roman" w:hAnsi="Times New Roman"/>
          <w:sz w:val="24"/>
        </w:rPr>
        <w:t>4. Atbilstoši sadzīves apstākļi ilgākam uzturēšanās laikam (ilgāk nekā 24 stundas)</w:t>
      </w:r>
      <w:r w:rsidR="00F665C0" w:rsidRPr="00AF25C6">
        <w:rPr>
          <w:rStyle w:val="FootnoteReference"/>
          <w:rFonts w:ascii="Times New Roman" w:hAnsi="Times New Roman" w:cs="Times New Roman"/>
          <w:b w:val="0"/>
          <w:bCs w:val="0"/>
          <w:noProof/>
          <w:sz w:val="24"/>
          <w:szCs w:val="24"/>
        </w:rPr>
        <w:footnoteReference w:id="24"/>
      </w:r>
    </w:p>
    <w:p w14:paraId="2A06594D" w14:textId="77777777" w:rsidR="0024387C" w:rsidRPr="0024387C" w:rsidRDefault="0024387C" w:rsidP="0024387C">
      <w:pPr>
        <w:tabs>
          <w:tab w:val="left" w:pos="812"/>
        </w:tabs>
        <w:jc w:val="both"/>
        <w:rPr>
          <w:rFonts w:ascii="Times New Roman" w:eastAsia="Calibri" w:hAnsi="Times New Roman" w:cs="Times New Roman"/>
          <w:noProof/>
          <w:sz w:val="24"/>
          <w:szCs w:val="24"/>
        </w:rPr>
      </w:pPr>
    </w:p>
    <w:p w14:paraId="3EAD5D00" w14:textId="7A4363C7" w:rsidR="00C46A1B" w:rsidRPr="00A1106D" w:rsidRDefault="00C46A1B" w:rsidP="00AF25C6">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Imigrantu izmitināšanas centros jābūt </w:t>
      </w:r>
      <w:r>
        <w:rPr>
          <w:rFonts w:ascii="Times New Roman" w:hAnsi="Times New Roman"/>
          <w:b/>
          <w:bCs/>
          <w:sz w:val="24"/>
        </w:rPr>
        <w:t>atbilstīgi mēbelētām, tīrām</w:t>
      </w:r>
      <w:r>
        <w:rPr>
          <w:rFonts w:ascii="Times New Roman" w:hAnsi="Times New Roman"/>
          <w:sz w:val="24"/>
        </w:rPr>
        <w:t xml:space="preserve"> un </w:t>
      </w:r>
      <w:r>
        <w:rPr>
          <w:rFonts w:ascii="Times New Roman" w:hAnsi="Times New Roman"/>
          <w:b/>
          <w:bCs/>
          <w:sz w:val="24"/>
        </w:rPr>
        <w:t>izremontētām</w:t>
      </w:r>
      <w:r>
        <w:rPr>
          <w:rFonts w:ascii="Times New Roman" w:hAnsi="Times New Roman"/>
          <w:sz w:val="24"/>
        </w:rPr>
        <w:t xml:space="preserve"> telpām, kurās paredzēta izvietoto cilvēku skaitam </w:t>
      </w:r>
      <w:r>
        <w:rPr>
          <w:rFonts w:ascii="Times New Roman" w:hAnsi="Times New Roman"/>
          <w:b/>
          <w:bCs/>
          <w:sz w:val="24"/>
        </w:rPr>
        <w:t>pietiekama dzīvojamā platība</w:t>
      </w:r>
      <w:r>
        <w:rPr>
          <w:rFonts w:ascii="Times New Roman" w:hAnsi="Times New Roman"/>
          <w:sz w:val="24"/>
        </w:rPr>
        <w:t>.</w:t>
      </w:r>
      <w:r w:rsidR="00F665C0">
        <w:rPr>
          <w:rStyle w:val="FootnoteReference"/>
          <w:rFonts w:ascii="Times New Roman" w:hAnsi="Times New Roman" w:cs="Times New Roman"/>
          <w:noProof/>
          <w:sz w:val="24"/>
          <w:szCs w:val="24"/>
        </w:rPr>
        <w:footnoteReference w:id="25"/>
      </w:r>
    </w:p>
    <w:p w14:paraId="1BD59D12" w14:textId="2B7B5706" w:rsidR="00C46A1B" w:rsidRPr="00A1106D" w:rsidRDefault="00C46A1B" w:rsidP="00AF25C6">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Šajos centros jābūt atbilstošam </w:t>
      </w:r>
      <w:r>
        <w:rPr>
          <w:rFonts w:ascii="Times New Roman" w:hAnsi="Times New Roman"/>
          <w:b/>
          <w:bCs/>
          <w:sz w:val="24"/>
        </w:rPr>
        <w:t>apgaismojumam</w:t>
      </w:r>
      <w:r>
        <w:rPr>
          <w:rFonts w:ascii="Times New Roman" w:hAnsi="Times New Roman"/>
          <w:sz w:val="24"/>
        </w:rPr>
        <w:t xml:space="preserve"> (tostarp dienasgaismai), </w:t>
      </w:r>
      <w:r>
        <w:rPr>
          <w:rFonts w:ascii="Times New Roman" w:hAnsi="Times New Roman"/>
          <w:b/>
          <w:bCs/>
          <w:sz w:val="24"/>
        </w:rPr>
        <w:t>ventilācijai</w:t>
      </w:r>
      <w:r>
        <w:rPr>
          <w:rFonts w:ascii="Times New Roman" w:hAnsi="Times New Roman"/>
          <w:sz w:val="24"/>
        </w:rPr>
        <w:t xml:space="preserve"> un </w:t>
      </w:r>
      <w:r>
        <w:rPr>
          <w:rFonts w:ascii="Times New Roman" w:hAnsi="Times New Roman"/>
          <w:b/>
          <w:bCs/>
          <w:sz w:val="24"/>
        </w:rPr>
        <w:t>apkurei</w:t>
      </w:r>
      <w:r>
        <w:rPr>
          <w:rFonts w:ascii="Times New Roman" w:hAnsi="Times New Roman"/>
          <w:sz w:val="24"/>
        </w:rPr>
        <w:t>.</w:t>
      </w:r>
      <w:r w:rsidR="00F665C0">
        <w:rPr>
          <w:rStyle w:val="FootnoteReference"/>
          <w:rFonts w:ascii="Times New Roman" w:hAnsi="Times New Roman" w:cs="Times New Roman"/>
          <w:noProof/>
          <w:sz w:val="24"/>
          <w:szCs w:val="24"/>
        </w:rPr>
        <w:footnoteReference w:id="26"/>
      </w:r>
    </w:p>
    <w:p w14:paraId="6CF78DBC" w14:textId="235A1691" w:rsidR="00C46A1B" w:rsidRPr="00A1106D" w:rsidRDefault="00C46A1B" w:rsidP="00AF25C6">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Visās izmitināšanas zonās, kur personāls nav nepārtraukti klātesošs, jāuzstāda </w:t>
      </w:r>
      <w:r>
        <w:rPr>
          <w:rFonts w:ascii="Times New Roman" w:hAnsi="Times New Roman"/>
          <w:b/>
          <w:bCs/>
        </w:rPr>
        <w:t>izsaukuma poga</w:t>
      </w:r>
      <w:r>
        <w:rPr>
          <w:rFonts w:ascii="Times New Roman" w:hAnsi="Times New Roman"/>
        </w:rPr>
        <w:t>.</w:t>
      </w:r>
      <w:r w:rsidR="00F665C0">
        <w:rPr>
          <w:rStyle w:val="FootnoteReference"/>
          <w:rFonts w:ascii="Times New Roman" w:hAnsi="Times New Roman" w:cs="Times New Roman"/>
          <w:noProof/>
        </w:rPr>
        <w:footnoteReference w:id="27"/>
      </w:r>
    </w:p>
    <w:p w14:paraId="70054919" w14:textId="77777777" w:rsidR="00C46A1B" w:rsidRPr="00A1106D" w:rsidRDefault="00C46A1B" w:rsidP="00AF25C6">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Visām aizturētajām personām:</w:t>
      </w:r>
    </w:p>
    <w:p w14:paraId="15D24230" w14:textId="79542304" w:rsidR="00C46A1B" w:rsidRPr="00A1106D" w:rsidRDefault="00C46A1B" w:rsidP="00AF25C6">
      <w:pPr>
        <w:numPr>
          <w:ilvl w:val="2"/>
          <w:numId w:val="2"/>
        </w:numPr>
        <w:tabs>
          <w:tab w:val="left" w:pos="1134"/>
          <w:tab w:val="left" w:pos="1192"/>
        </w:tabs>
        <w:ind w:left="567" w:firstLine="0"/>
        <w:jc w:val="both"/>
        <w:rPr>
          <w:rFonts w:ascii="Times New Roman" w:eastAsia="Calibri" w:hAnsi="Times New Roman" w:cs="Times New Roman"/>
          <w:noProof/>
          <w:sz w:val="24"/>
          <w:szCs w:val="24"/>
        </w:rPr>
      </w:pPr>
      <w:r>
        <w:rPr>
          <w:rFonts w:ascii="Times New Roman" w:hAnsi="Times New Roman"/>
          <w:sz w:val="24"/>
        </w:rPr>
        <w:t xml:space="preserve">jābūt nodrošinātai </w:t>
      </w:r>
      <w:r>
        <w:rPr>
          <w:rFonts w:ascii="Times New Roman" w:hAnsi="Times New Roman"/>
          <w:b/>
          <w:bCs/>
          <w:sz w:val="24"/>
        </w:rPr>
        <w:t>gulta</w:t>
      </w:r>
      <w:r>
        <w:rPr>
          <w:rFonts w:ascii="Times New Roman" w:hAnsi="Times New Roman"/>
          <w:sz w:val="24"/>
        </w:rPr>
        <w:t xml:space="preserve">i vai guļvietas pamatnei, tīram </w:t>
      </w:r>
      <w:r>
        <w:rPr>
          <w:rFonts w:ascii="Times New Roman" w:hAnsi="Times New Roman"/>
          <w:b/>
          <w:bCs/>
          <w:sz w:val="24"/>
        </w:rPr>
        <w:t>matracim</w:t>
      </w:r>
      <w:r>
        <w:rPr>
          <w:rFonts w:ascii="Times New Roman" w:hAnsi="Times New Roman"/>
          <w:sz w:val="24"/>
        </w:rPr>
        <w:t xml:space="preserve"> un tīrām </w:t>
      </w:r>
      <w:r>
        <w:rPr>
          <w:rFonts w:ascii="Times New Roman" w:hAnsi="Times New Roman"/>
          <w:b/>
          <w:bCs/>
          <w:sz w:val="24"/>
        </w:rPr>
        <w:t>segām</w:t>
      </w:r>
      <w:r>
        <w:rPr>
          <w:rFonts w:ascii="Times New Roman" w:hAnsi="Times New Roman"/>
          <w:sz w:val="24"/>
        </w:rPr>
        <w:t>;</w:t>
      </w:r>
      <w:r w:rsidR="00F665C0">
        <w:rPr>
          <w:rStyle w:val="FootnoteReference"/>
          <w:rFonts w:ascii="Times New Roman" w:hAnsi="Times New Roman" w:cs="Times New Roman"/>
          <w:noProof/>
          <w:sz w:val="24"/>
          <w:szCs w:val="24"/>
        </w:rPr>
        <w:footnoteReference w:id="28"/>
      </w:r>
    </w:p>
    <w:p w14:paraId="3E41F9E3" w14:textId="771D6588" w:rsidR="00C46A1B" w:rsidRPr="00A1106D" w:rsidRDefault="00C46A1B" w:rsidP="00AF25C6">
      <w:pPr>
        <w:numPr>
          <w:ilvl w:val="2"/>
          <w:numId w:val="2"/>
        </w:numPr>
        <w:tabs>
          <w:tab w:val="left" w:pos="1134"/>
          <w:tab w:val="left" w:pos="1192"/>
        </w:tabs>
        <w:ind w:left="567" w:firstLine="0"/>
        <w:jc w:val="both"/>
        <w:rPr>
          <w:rFonts w:ascii="Times New Roman" w:eastAsia="Calibri" w:hAnsi="Times New Roman" w:cs="Times New Roman"/>
          <w:noProof/>
          <w:sz w:val="24"/>
          <w:szCs w:val="24"/>
        </w:rPr>
      </w:pPr>
      <w:r>
        <w:rPr>
          <w:rFonts w:ascii="Times New Roman" w:hAnsi="Times New Roman"/>
          <w:sz w:val="24"/>
        </w:rPr>
        <w:t xml:space="preserve">jābūt brīvai piekļuvei </w:t>
      </w:r>
      <w:r>
        <w:rPr>
          <w:rFonts w:ascii="Times New Roman" w:hAnsi="Times New Roman"/>
          <w:b/>
          <w:bCs/>
          <w:sz w:val="24"/>
        </w:rPr>
        <w:t>tualetes telpām</w:t>
      </w:r>
      <w:r>
        <w:rPr>
          <w:rFonts w:ascii="Times New Roman" w:hAnsi="Times New Roman"/>
          <w:sz w:val="24"/>
        </w:rPr>
        <w:t>, tostarp naktī;</w:t>
      </w:r>
      <w:r w:rsidR="00F665C0">
        <w:rPr>
          <w:rStyle w:val="FootnoteReference"/>
          <w:rFonts w:ascii="Times New Roman" w:hAnsi="Times New Roman" w:cs="Times New Roman"/>
          <w:noProof/>
          <w:sz w:val="24"/>
          <w:szCs w:val="24"/>
        </w:rPr>
        <w:footnoteReference w:id="29"/>
      </w:r>
    </w:p>
    <w:p w14:paraId="041C5A20" w14:textId="6CA657B1" w:rsidR="00C46A1B" w:rsidRPr="00A1106D" w:rsidRDefault="00C46A1B" w:rsidP="00AF25C6">
      <w:pPr>
        <w:pStyle w:val="BodyText"/>
        <w:numPr>
          <w:ilvl w:val="2"/>
          <w:numId w:val="2"/>
        </w:numPr>
        <w:tabs>
          <w:tab w:val="left" w:pos="1134"/>
          <w:tab w:val="left" w:pos="1192"/>
        </w:tabs>
        <w:spacing w:before="0"/>
        <w:ind w:left="567" w:firstLine="0"/>
        <w:jc w:val="both"/>
        <w:rPr>
          <w:rFonts w:ascii="Times New Roman" w:hAnsi="Times New Roman" w:cs="Times New Roman"/>
          <w:noProof/>
        </w:rPr>
      </w:pPr>
      <w:r>
        <w:rPr>
          <w:rFonts w:ascii="Times New Roman" w:hAnsi="Times New Roman"/>
        </w:rPr>
        <w:t xml:space="preserve">regulāri bez maksas jābūt nodrošinātam pamata </w:t>
      </w:r>
      <w:r>
        <w:rPr>
          <w:rFonts w:ascii="Times New Roman" w:hAnsi="Times New Roman"/>
          <w:b/>
          <w:bCs/>
        </w:rPr>
        <w:t>higiēnas piederumu komplektam</w:t>
      </w:r>
      <w:r>
        <w:rPr>
          <w:rFonts w:ascii="Times New Roman" w:hAnsi="Times New Roman"/>
        </w:rPr>
        <w:t xml:space="preserve"> (tostarp atbilstošam ziepju daudzumam, veļas pulverim, tualetes papīram, šampūnam, skūšanās piederumiem, zobu pastai un zobu birstei);</w:t>
      </w:r>
      <w:r w:rsidR="00F665C0">
        <w:rPr>
          <w:rStyle w:val="FootnoteReference"/>
          <w:rFonts w:ascii="Times New Roman" w:hAnsi="Times New Roman" w:cs="Times New Roman"/>
          <w:noProof/>
        </w:rPr>
        <w:footnoteReference w:id="30"/>
      </w:r>
    </w:p>
    <w:p w14:paraId="4EBA3D3D" w14:textId="4620DD13" w:rsidR="00C46A1B" w:rsidRPr="00A1106D" w:rsidRDefault="00C46A1B" w:rsidP="00AF25C6">
      <w:pPr>
        <w:numPr>
          <w:ilvl w:val="2"/>
          <w:numId w:val="2"/>
        </w:numPr>
        <w:tabs>
          <w:tab w:val="left" w:pos="1134"/>
          <w:tab w:val="left" w:pos="1192"/>
        </w:tabs>
        <w:ind w:left="567" w:firstLine="0"/>
        <w:jc w:val="both"/>
        <w:rPr>
          <w:rFonts w:ascii="Times New Roman" w:eastAsia="Calibri" w:hAnsi="Times New Roman" w:cs="Times New Roman"/>
          <w:noProof/>
          <w:sz w:val="24"/>
          <w:szCs w:val="24"/>
        </w:rPr>
      </w:pPr>
      <w:r>
        <w:rPr>
          <w:rFonts w:ascii="Times New Roman" w:hAnsi="Times New Roman"/>
          <w:sz w:val="24"/>
        </w:rPr>
        <w:t xml:space="preserve">jābūt piekļuvei </w:t>
      </w:r>
      <w:r>
        <w:rPr>
          <w:rFonts w:ascii="Times New Roman" w:hAnsi="Times New Roman"/>
          <w:b/>
          <w:bCs/>
          <w:sz w:val="24"/>
        </w:rPr>
        <w:t>dušai</w:t>
      </w:r>
      <w:r>
        <w:rPr>
          <w:rFonts w:ascii="Times New Roman" w:hAnsi="Times New Roman"/>
          <w:sz w:val="24"/>
        </w:rPr>
        <w:t xml:space="preserve"> un </w:t>
      </w:r>
      <w:r>
        <w:rPr>
          <w:rFonts w:ascii="Times New Roman" w:hAnsi="Times New Roman"/>
          <w:b/>
          <w:bCs/>
          <w:sz w:val="24"/>
        </w:rPr>
        <w:t>karstam ūdenim</w:t>
      </w:r>
      <w:r>
        <w:rPr>
          <w:rFonts w:ascii="Times New Roman" w:hAnsi="Times New Roman"/>
          <w:sz w:val="24"/>
        </w:rPr>
        <w:t>;</w:t>
      </w:r>
      <w:r w:rsidR="00F665C0">
        <w:rPr>
          <w:rStyle w:val="FootnoteReference"/>
          <w:rFonts w:ascii="Times New Roman" w:hAnsi="Times New Roman" w:cs="Times New Roman"/>
          <w:noProof/>
          <w:sz w:val="24"/>
          <w:szCs w:val="24"/>
        </w:rPr>
        <w:footnoteReference w:id="31"/>
      </w:r>
    </w:p>
    <w:p w14:paraId="59CC2F2A" w14:textId="7B3AD9DC" w:rsidR="00C46A1B" w:rsidRPr="00A1106D" w:rsidRDefault="00C46A1B" w:rsidP="00AF25C6">
      <w:pPr>
        <w:pStyle w:val="BodyText"/>
        <w:numPr>
          <w:ilvl w:val="2"/>
          <w:numId w:val="2"/>
        </w:numPr>
        <w:tabs>
          <w:tab w:val="left" w:pos="1134"/>
          <w:tab w:val="left" w:pos="1192"/>
        </w:tabs>
        <w:spacing w:before="0"/>
        <w:ind w:left="567" w:firstLine="0"/>
        <w:jc w:val="both"/>
        <w:rPr>
          <w:rFonts w:ascii="Times New Roman" w:hAnsi="Times New Roman" w:cs="Times New Roman"/>
          <w:noProof/>
        </w:rPr>
      </w:pPr>
      <w:r>
        <w:rPr>
          <w:rFonts w:ascii="Times New Roman" w:hAnsi="Times New Roman"/>
        </w:rPr>
        <w:t xml:space="preserve">jātiek piedāvātai iespēja uzturēšanās laikā valkāt pašām savu </w:t>
      </w:r>
      <w:r>
        <w:rPr>
          <w:rFonts w:ascii="Times New Roman" w:hAnsi="Times New Roman"/>
          <w:b/>
          <w:bCs/>
        </w:rPr>
        <w:t>apģērbu</w:t>
      </w:r>
      <w:r>
        <w:rPr>
          <w:rFonts w:ascii="Times New Roman" w:hAnsi="Times New Roman"/>
        </w:rPr>
        <w:t>, ja tas ir piemērots, un vajadzības gadījumā to izmazgāt un salabot;</w:t>
      </w:r>
      <w:r w:rsidR="00F665C0">
        <w:rPr>
          <w:rStyle w:val="FootnoteReference"/>
          <w:rFonts w:ascii="Times New Roman" w:hAnsi="Times New Roman" w:cs="Times New Roman"/>
          <w:noProof/>
        </w:rPr>
        <w:footnoteReference w:id="32"/>
      </w:r>
    </w:p>
    <w:p w14:paraId="093A4E94" w14:textId="4748BD0A" w:rsidR="00C46A1B" w:rsidRPr="00A1106D" w:rsidRDefault="00C46A1B" w:rsidP="00AF25C6">
      <w:pPr>
        <w:numPr>
          <w:ilvl w:val="2"/>
          <w:numId w:val="2"/>
        </w:numPr>
        <w:tabs>
          <w:tab w:val="left" w:pos="1134"/>
          <w:tab w:val="left" w:pos="1192"/>
        </w:tabs>
        <w:ind w:left="567" w:firstLine="0"/>
        <w:jc w:val="both"/>
        <w:rPr>
          <w:rFonts w:ascii="Times New Roman" w:eastAsia="Calibri" w:hAnsi="Times New Roman" w:cs="Times New Roman"/>
          <w:noProof/>
          <w:sz w:val="24"/>
          <w:szCs w:val="24"/>
        </w:rPr>
      </w:pPr>
      <w:r>
        <w:rPr>
          <w:rFonts w:ascii="Times New Roman" w:hAnsi="Times New Roman"/>
          <w:sz w:val="24"/>
        </w:rPr>
        <w:t xml:space="preserve">jābūt nodrošinātām nepieciešamajām precēm un piederumiem </w:t>
      </w:r>
      <w:r>
        <w:rPr>
          <w:rFonts w:ascii="Times New Roman" w:hAnsi="Times New Roman"/>
          <w:b/>
          <w:bCs/>
          <w:sz w:val="24"/>
        </w:rPr>
        <w:t>dzīvojamās telpas tīrības uzturēšanai</w:t>
      </w:r>
      <w:r>
        <w:rPr>
          <w:rFonts w:ascii="Times New Roman" w:hAnsi="Times New Roman"/>
          <w:sz w:val="24"/>
        </w:rPr>
        <w:t>;</w:t>
      </w:r>
      <w:r w:rsidR="00F665C0">
        <w:rPr>
          <w:rStyle w:val="FootnoteReference"/>
          <w:rFonts w:ascii="Times New Roman" w:hAnsi="Times New Roman" w:cs="Times New Roman"/>
          <w:noProof/>
          <w:sz w:val="24"/>
          <w:szCs w:val="24"/>
        </w:rPr>
        <w:footnoteReference w:id="33"/>
      </w:r>
    </w:p>
    <w:p w14:paraId="1CE541F5" w14:textId="19308007" w:rsidR="00C46A1B" w:rsidRPr="00A1106D" w:rsidRDefault="00C46A1B" w:rsidP="00AF25C6">
      <w:pPr>
        <w:numPr>
          <w:ilvl w:val="2"/>
          <w:numId w:val="2"/>
        </w:numPr>
        <w:tabs>
          <w:tab w:val="left" w:pos="1134"/>
          <w:tab w:val="left" w:pos="1192"/>
        </w:tabs>
        <w:ind w:left="567" w:firstLine="0"/>
        <w:jc w:val="both"/>
        <w:rPr>
          <w:rFonts w:ascii="Times New Roman" w:eastAsia="Calibri" w:hAnsi="Times New Roman" w:cs="Times New Roman"/>
          <w:noProof/>
          <w:sz w:val="24"/>
          <w:szCs w:val="24"/>
        </w:rPr>
      </w:pPr>
      <w:r>
        <w:rPr>
          <w:rFonts w:ascii="Times New Roman" w:hAnsi="Times New Roman"/>
          <w:sz w:val="24"/>
        </w:rPr>
        <w:t xml:space="preserve">jābūt nodrošinātai </w:t>
      </w:r>
      <w:r>
        <w:rPr>
          <w:rFonts w:ascii="Times New Roman" w:hAnsi="Times New Roman"/>
          <w:b/>
          <w:bCs/>
          <w:sz w:val="24"/>
        </w:rPr>
        <w:t>slēdzamai telpai</w:t>
      </w:r>
      <w:r>
        <w:rPr>
          <w:rFonts w:ascii="Times New Roman" w:hAnsi="Times New Roman"/>
          <w:sz w:val="24"/>
        </w:rPr>
        <w:t xml:space="preserve"> personisko mantu glabāšanai;</w:t>
      </w:r>
      <w:r w:rsidR="00F665C0">
        <w:rPr>
          <w:rStyle w:val="FootnoteReference"/>
          <w:rFonts w:ascii="Times New Roman" w:hAnsi="Times New Roman" w:cs="Times New Roman"/>
          <w:noProof/>
          <w:sz w:val="24"/>
          <w:szCs w:val="24"/>
        </w:rPr>
        <w:footnoteReference w:id="34"/>
      </w:r>
    </w:p>
    <w:p w14:paraId="222024B4" w14:textId="0A66F206" w:rsidR="00C46A1B" w:rsidRPr="00A1106D" w:rsidRDefault="00C46A1B" w:rsidP="00AF25C6">
      <w:pPr>
        <w:pStyle w:val="BodyText"/>
        <w:numPr>
          <w:ilvl w:val="2"/>
          <w:numId w:val="2"/>
        </w:numPr>
        <w:tabs>
          <w:tab w:val="left" w:pos="1134"/>
          <w:tab w:val="left" w:pos="1192"/>
        </w:tabs>
        <w:spacing w:before="0"/>
        <w:ind w:left="567" w:firstLine="0"/>
        <w:jc w:val="both"/>
        <w:rPr>
          <w:rFonts w:ascii="Times New Roman" w:hAnsi="Times New Roman" w:cs="Times New Roman"/>
          <w:noProof/>
        </w:rPr>
      </w:pPr>
      <w:r>
        <w:rPr>
          <w:rFonts w:ascii="Times New Roman" w:hAnsi="Times New Roman"/>
        </w:rPr>
        <w:t xml:space="preserve">jābūt piekļuvei </w:t>
      </w:r>
      <w:r>
        <w:rPr>
          <w:rFonts w:ascii="Times New Roman" w:hAnsi="Times New Roman"/>
          <w:b/>
          <w:bCs/>
        </w:rPr>
        <w:t>pārtikai</w:t>
      </w:r>
      <w:r>
        <w:rPr>
          <w:rFonts w:ascii="Times New Roman" w:hAnsi="Times New Roman"/>
        </w:rPr>
        <w:t xml:space="preserve"> un </w:t>
      </w:r>
      <w:r>
        <w:rPr>
          <w:rFonts w:ascii="Times New Roman" w:hAnsi="Times New Roman"/>
          <w:b/>
          <w:bCs/>
        </w:rPr>
        <w:t>dzeramajam ūdenim</w:t>
      </w:r>
      <w:r>
        <w:rPr>
          <w:rFonts w:ascii="Times New Roman" w:hAnsi="Times New Roman"/>
        </w:rPr>
        <w:t>.</w:t>
      </w:r>
      <w:r w:rsidR="00F665C0">
        <w:rPr>
          <w:rStyle w:val="FootnoteReference"/>
          <w:rFonts w:ascii="Times New Roman" w:hAnsi="Times New Roman" w:cs="Times New Roman"/>
          <w:noProof/>
        </w:rPr>
        <w:footnoteReference w:id="35"/>
      </w:r>
      <w:r>
        <w:rPr>
          <w:rFonts w:ascii="Times New Roman" w:hAnsi="Times New Roman"/>
        </w:rPr>
        <w:t xml:space="preserve"> Maltītēs jāņem vērā ārvalstnieku reliģiskās prasības un ēšanas paradumi.</w:t>
      </w:r>
      <w:r w:rsidR="00F665C0">
        <w:rPr>
          <w:rStyle w:val="FootnoteReference"/>
          <w:rFonts w:ascii="Times New Roman" w:hAnsi="Times New Roman" w:cs="Times New Roman"/>
          <w:noProof/>
        </w:rPr>
        <w:footnoteReference w:id="36"/>
      </w:r>
    </w:p>
    <w:p w14:paraId="34162E46" w14:textId="77777777" w:rsidR="00A1106D" w:rsidRDefault="00A1106D" w:rsidP="00F050E0">
      <w:pPr>
        <w:keepNext/>
        <w:keepLines/>
        <w:jc w:val="both"/>
        <w:rPr>
          <w:rFonts w:ascii="Times New Roman" w:eastAsia="Calibri" w:hAnsi="Times New Roman" w:cs="Times New Roman"/>
          <w:noProof/>
          <w:sz w:val="24"/>
          <w:szCs w:val="24"/>
        </w:rPr>
      </w:pPr>
    </w:p>
    <w:p w14:paraId="65968E3A" w14:textId="3FD9E912" w:rsidR="00C46A1B" w:rsidRPr="00A1106D" w:rsidRDefault="0024387C" w:rsidP="00F050E0">
      <w:pPr>
        <w:pStyle w:val="Heading1"/>
        <w:keepNext/>
        <w:keepLines/>
        <w:tabs>
          <w:tab w:val="left" w:pos="434"/>
        </w:tabs>
        <w:ind w:left="0" w:firstLine="0"/>
        <w:jc w:val="both"/>
        <w:rPr>
          <w:rFonts w:ascii="Times New Roman" w:hAnsi="Times New Roman" w:cs="Times New Roman"/>
          <w:noProof/>
          <w:sz w:val="24"/>
          <w:szCs w:val="24"/>
        </w:rPr>
      </w:pPr>
      <w:bookmarkStart w:id="5" w:name="5._Open_regime"/>
      <w:bookmarkEnd w:id="5"/>
      <w:r>
        <w:rPr>
          <w:rFonts w:ascii="Times New Roman" w:hAnsi="Times New Roman"/>
          <w:sz w:val="24"/>
        </w:rPr>
        <w:t>5. Atvērtais režīms</w:t>
      </w:r>
    </w:p>
    <w:p w14:paraId="18474C2E" w14:textId="77777777" w:rsidR="0024387C" w:rsidRPr="0024387C" w:rsidRDefault="0024387C" w:rsidP="00F050E0">
      <w:pPr>
        <w:keepNext/>
        <w:keepLines/>
        <w:tabs>
          <w:tab w:val="left" w:pos="812"/>
        </w:tabs>
        <w:jc w:val="both"/>
        <w:rPr>
          <w:rFonts w:ascii="Times New Roman" w:eastAsia="Calibri" w:hAnsi="Times New Roman" w:cs="Times New Roman"/>
          <w:noProof/>
          <w:sz w:val="24"/>
          <w:szCs w:val="24"/>
        </w:rPr>
      </w:pPr>
    </w:p>
    <w:p w14:paraId="5BDB2601" w14:textId="0207DD58" w:rsidR="00C46A1B" w:rsidRPr="00A1106D" w:rsidRDefault="00C46A1B" w:rsidP="00F050E0">
      <w:pPr>
        <w:keepNext/>
        <w:keepLines/>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Neatbilstīgo migrantu izmitināšanas apstākļiem būtu jāatspoguļo viņiem piemērotās brīvības atņemšanas būtība, proti, jābūt nelieliem ierobežojumiem un daudzveidīgam nodarbību režīmam. Izmitināšanas vietā </w:t>
      </w:r>
      <w:r>
        <w:rPr>
          <w:rFonts w:ascii="Times New Roman" w:hAnsi="Times New Roman"/>
          <w:b/>
          <w:bCs/>
          <w:sz w:val="24"/>
        </w:rPr>
        <w:t>pēc iespējas mazāk jāierobežo aizturēto personu pārvietošanās brīvība</w:t>
      </w:r>
      <w:r>
        <w:rPr>
          <w:rFonts w:ascii="Times New Roman" w:hAnsi="Times New Roman"/>
          <w:sz w:val="24"/>
        </w:rPr>
        <w:t>.</w:t>
      </w:r>
      <w:r w:rsidR="007A1AB3">
        <w:rPr>
          <w:rStyle w:val="FootnoteReference"/>
          <w:rFonts w:ascii="Times New Roman" w:hAnsi="Times New Roman" w:cs="Times New Roman"/>
          <w:noProof/>
          <w:sz w:val="24"/>
          <w:szCs w:val="24"/>
        </w:rPr>
        <w:footnoteReference w:id="37"/>
      </w:r>
    </w:p>
    <w:p w14:paraId="014DD387" w14:textId="28D2F37A" w:rsidR="00C46A1B" w:rsidRPr="00A1106D" w:rsidRDefault="00C46A1B" w:rsidP="00EE6893">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Aizturētajiem neatbilstīgajiem migrantiem principā jābūt brīvai piekļuvei </w:t>
      </w:r>
      <w:r>
        <w:rPr>
          <w:rFonts w:ascii="Times New Roman" w:hAnsi="Times New Roman"/>
          <w:b/>
          <w:bCs/>
        </w:rPr>
        <w:t>pastaigām svaigā gaisā</w:t>
      </w:r>
      <w:r>
        <w:rPr>
          <w:rFonts w:ascii="Times New Roman" w:hAnsi="Times New Roman"/>
        </w:rPr>
        <w:t xml:space="preserve"> visas dienas garumā (t. i., ievērojami vairāk par vienu stundu dienā), un vietām, kas paredzētas pastaigām svaigā gaisā, jābūt atbilstoši aprīkotām (ar soliņiem, nojumēm utt.).</w:t>
      </w:r>
      <w:r w:rsidR="007A1AB3">
        <w:rPr>
          <w:rStyle w:val="FootnoteReference"/>
          <w:rFonts w:ascii="Times New Roman" w:hAnsi="Times New Roman" w:cs="Times New Roman"/>
          <w:noProof/>
        </w:rPr>
        <w:footnoteReference w:id="38"/>
      </w:r>
    </w:p>
    <w:p w14:paraId="21B88962" w14:textId="10E65BE9" w:rsidR="00C46A1B" w:rsidRPr="00A1106D" w:rsidRDefault="00C46A1B" w:rsidP="00EE6893">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b/>
          <w:bCs/>
          <w:sz w:val="24"/>
        </w:rPr>
        <w:t>Jo ilgāku laiku personas ir aizturētas, jo plašākam jābūt</w:t>
      </w:r>
      <w:r>
        <w:rPr>
          <w:rFonts w:ascii="Times New Roman" w:hAnsi="Times New Roman"/>
          <w:sz w:val="24"/>
        </w:rPr>
        <w:t xml:space="preserve"> tām piedāvāto </w:t>
      </w:r>
      <w:r>
        <w:rPr>
          <w:rFonts w:ascii="Times New Roman" w:hAnsi="Times New Roman"/>
          <w:b/>
          <w:bCs/>
          <w:sz w:val="24"/>
        </w:rPr>
        <w:t>aktivitāšu klāstam</w:t>
      </w:r>
      <w:r>
        <w:rPr>
          <w:rFonts w:ascii="Times New Roman" w:hAnsi="Times New Roman"/>
          <w:sz w:val="24"/>
        </w:rPr>
        <w:t>.</w:t>
      </w:r>
      <w:r w:rsidR="007A1AB3">
        <w:rPr>
          <w:rStyle w:val="FootnoteReference"/>
          <w:rFonts w:ascii="Times New Roman" w:eastAsia="Calibri" w:hAnsi="Times New Roman" w:cs="Times New Roman"/>
          <w:noProof/>
          <w:sz w:val="24"/>
          <w:szCs w:val="24"/>
        </w:rPr>
        <w:footnoteReference w:id="39"/>
      </w:r>
      <w:r>
        <w:rPr>
          <w:rFonts w:ascii="Times New Roman" w:hAnsi="Times New Roman"/>
          <w:sz w:val="24"/>
        </w:rPr>
        <w:t xml:space="preserve"> Mērķtiecīgas nodarbības ar imigranta statusu saistītas aizturēšanas kontekstā cita starpā var ietvert valodu nodarbības, IT/datorzinību apguvi, dārzkopības, mākslas un amatniecības nodarbības, ēdiena gatavošanas prasmju un tā sauktās “dažādu kultūru virtuves” tradīciju apguvi.</w:t>
      </w:r>
      <w:r w:rsidR="007A1AB3">
        <w:rPr>
          <w:rStyle w:val="FootnoteReference"/>
          <w:rFonts w:ascii="Times New Roman" w:eastAsia="Calibri" w:hAnsi="Times New Roman" w:cs="Times New Roman"/>
          <w:noProof/>
          <w:sz w:val="24"/>
          <w:szCs w:val="24"/>
        </w:rPr>
        <w:footnoteReference w:id="40"/>
      </w:r>
    </w:p>
    <w:p w14:paraId="3F7B35F1" w14:textId="2912A744" w:rsidR="00C46A1B" w:rsidRPr="00A1106D" w:rsidRDefault="00C46A1B" w:rsidP="00EE6893">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Imigrantu izmitināšanas centros jāiekļauj piekļuve </w:t>
      </w:r>
      <w:r>
        <w:rPr>
          <w:rFonts w:ascii="Times New Roman" w:hAnsi="Times New Roman"/>
          <w:b/>
          <w:bCs/>
          <w:sz w:val="24"/>
        </w:rPr>
        <w:t>atpūtas istabai</w:t>
      </w:r>
      <w:r>
        <w:rPr>
          <w:rFonts w:ascii="Times New Roman" w:hAnsi="Times New Roman"/>
          <w:sz w:val="24"/>
        </w:rPr>
        <w:t xml:space="preserve">, </w:t>
      </w:r>
      <w:r>
        <w:rPr>
          <w:rFonts w:ascii="Times New Roman" w:hAnsi="Times New Roman"/>
          <w:b/>
          <w:bCs/>
          <w:sz w:val="24"/>
        </w:rPr>
        <w:t>radio/televīzijai</w:t>
      </w:r>
      <w:r>
        <w:rPr>
          <w:rFonts w:ascii="Times New Roman" w:hAnsi="Times New Roman"/>
          <w:sz w:val="24"/>
        </w:rPr>
        <w:t xml:space="preserve"> un </w:t>
      </w:r>
      <w:r>
        <w:rPr>
          <w:rFonts w:ascii="Times New Roman" w:hAnsi="Times New Roman"/>
          <w:b/>
          <w:bCs/>
          <w:sz w:val="24"/>
        </w:rPr>
        <w:t>laikrakstiem/žurnāliem</w:t>
      </w:r>
      <w:r>
        <w:rPr>
          <w:rFonts w:ascii="Times New Roman" w:hAnsi="Times New Roman"/>
          <w:sz w:val="24"/>
        </w:rPr>
        <w:t xml:space="preserve">, kā arī citiem </w:t>
      </w:r>
      <w:r>
        <w:rPr>
          <w:rFonts w:ascii="Times New Roman" w:hAnsi="Times New Roman"/>
          <w:b/>
          <w:bCs/>
          <w:sz w:val="24"/>
        </w:rPr>
        <w:t>piemērotiem atpūtas veidiem</w:t>
      </w:r>
      <w:r>
        <w:rPr>
          <w:rFonts w:ascii="Times New Roman" w:hAnsi="Times New Roman"/>
          <w:sz w:val="24"/>
        </w:rPr>
        <w:t xml:space="preserve"> (piemēram, galda spēlēm, galda tenisam, sportam),</w:t>
      </w:r>
      <w:r w:rsidR="007A1AB3">
        <w:rPr>
          <w:rStyle w:val="FootnoteReference"/>
          <w:rFonts w:ascii="Times New Roman" w:hAnsi="Times New Roman" w:cs="Times New Roman"/>
          <w:noProof/>
          <w:sz w:val="24"/>
          <w:szCs w:val="24"/>
        </w:rPr>
        <w:footnoteReference w:id="41"/>
      </w:r>
      <w:r>
        <w:rPr>
          <w:rFonts w:ascii="Times New Roman" w:hAnsi="Times New Roman"/>
          <w:sz w:val="24"/>
        </w:rPr>
        <w:t xml:space="preserve"> </w:t>
      </w:r>
      <w:r>
        <w:rPr>
          <w:rFonts w:ascii="Times New Roman" w:hAnsi="Times New Roman"/>
          <w:b/>
          <w:bCs/>
          <w:sz w:val="24"/>
        </w:rPr>
        <w:t>bibliotēkai</w:t>
      </w:r>
      <w:r>
        <w:rPr>
          <w:rFonts w:ascii="Times New Roman" w:hAnsi="Times New Roman"/>
          <w:sz w:val="24"/>
        </w:rPr>
        <w:t xml:space="preserve"> un </w:t>
      </w:r>
      <w:r>
        <w:rPr>
          <w:rFonts w:ascii="Times New Roman" w:hAnsi="Times New Roman"/>
          <w:b/>
          <w:bCs/>
          <w:sz w:val="24"/>
        </w:rPr>
        <w:t>lūgšanu telpai</w:t>
      </w:r>
      <w:r>
        <w:rPr>
          <w:rFonts w:ascii="Times New Roman" w:hAnsi="Times New Roman"/>
          <w:sz w:val="24"/>
        </w:rPr>
        <w:t>.</w:t>
      </w:r>
      <w:r w:rsidR="007A1AB3">
        <w:rPr>
          <w:rStyle w:val="FootnoteReference"/>
          <w:rFonts w:ascii="Times New Roman" w:hAnsi="Times New Roman" w:cs="Times New Roman"/>
          <w:noProof/>
          <w:sz w:val="24"/>
          <w:szCs w:val="24"/>
        </w:rPr>
        <w:footnoteReference w:id="42"/>
      </w:r>
      <w:r>
        <w:rPr>
          <w:rFonts w:ascii="Times New Roman" w:hAnsi="Times New Roman"/>
          <w:sz w:val="24"/>
        </w:rPr>
        <w:t xml:space="preserve"> Visām daudzvietīgajām telpām jābūt aprīkotām ar galdiem un krēsliem atbilstoši aizturēto personu skaitam.</w:t>
      </w:r>
      <w:r w:rsidR="007A1AB3">
        <w:rPr>
          <w:rStyle w:val="FootnoteReference"/>
          <w:rFonts w:ascii="Times New Roman" w:hAnsi="Times New Roman" w:cs="Times New Roman"/>
          <w:noProof/>
          <w:sz w:val="24"/>
          <w:szCs w:val="24"/>
        </w:rPr>
        <w:footnoteReference w:id="43"/>
      </w:r>
    </w:p>
    <w:p w14:paraId="74D12C83" w14:textId="54125597" w:rsidR="00C46A1B" w:rsidRPr="00A1106D" w:rsidRDefault="00C46A1B" w:rsidP="00EE6893">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Prezumpcijai jābūt par labu aizturēto ārvalstnieku </w:t>
      </w:r>
      <w:r w:rsidR="00BD29B8" w:rsidRPr="00BD29B8">
        <w:rPr>
          <w:rFonts w:ascii="Times New Roman" w:hAnsi="Times New Roman"/>
        </w:rPr>
        <w:t xml:space="preserve">atklātām </w:t>
      </w:r>
      <w:r w:rsidR="00BD29B8" w:rsidRPr="00BD29B8">
        <w:rPr>
          <w:rFonts w:ascii="Times New Roman" w:hAnsi="Times New Roman"/>
          <w:b/>
          <w:bCs/>
        </w:rPr>
        <w:t>vizītēm</w:t>
      </w:r>
      <w:r>
        <w:rPr>
          <w:rFonts w:ascii="Times New Roman" w:hAnsi="Times New Roman"/>
        </w:rPr>
        <w:t xml:space="preserve">. </w:t>
      </w:r>
      <w:r w:rsidR="00BD29B8" w:rsidRPr="00BD29B8">
        <w:rPr>
          <w:rFonts w:ascii="Times New Roman" w:hAnsi="Times New Roman"/>
        </w:rPr>
        <w:t xml:space="preserve">Vizīšu </w:t>
      </w:r>
      <w:r>
        <w:rPr>
          <w:rFonts w:ascii="Times New Roman" w:hAnsi="Times New Roman"/>
        </w:rPr>
        <w:t>telpās aizturētajiem imigrantiem atvērtos apstākļos jāļauj tikties ar ģimeni un draugiem, kas viņus apmeklē, un videi jābūt piemērotai bērniem (tostarp jābūt bērnu rotaļu laukumam). Ja izņēmuma kārtā uzskatāms, ka konkrētam ārvalstniekam ir nepieciešams noteikt ierobežojumus, tas jādara, pamatojoties uz individuālu riska novērtējumu.</w:t>
      </w:r>
      <w:r w:rsidR="007A1AB3">
        <w:rPr>
          <w:rStyle w:val="FootnoteReference"/>
          <w:rFonts w:ascii="Times New Roman" w:hAnsi="Times New Roman" w:cs="Times New Roman"/>
          <w:noProof/>
        </w:rPr>
        <w:footnoteReference w:id="44"/>
      </w:r>
    </w:p>
    <w:p w14:paraId="17A58A8A" w14:textId="5FB6AE38" w:rsidR="00C46A1B" w:rsidRPr="00A1106D" w:rsidRDefault="00C46A1B" w:rsidP="00EE6893">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Aizturētajiem imigrantiem jātiek piedāvātai iespējai uzņemt apmeklētājus vairākas reizes nedēļā. Viņiem jābūt atļautam vismaz vienam apmeklējumam nedēļā vismaz uz vienu stundu.</w:t>
      </w:r>
      <w:r w:rsidR="00643510">
        <w:rPr>
          <w:rStyle w:val="FootnoteReference"/>
          <w:rFonts w:ascii="Times New Roman" w:hAnsi="Times New Roman" w:cs="Times New Roman"/>
          <w:noProof/>
        </w:rPr>
        <w:footnoteReference w:id="45"/>
      </w:r>
    </w:p>
    <w:p w14:paraId="44C087CE" w14:textId="54E2C4D9" w:rsidR="00C46A1B" w:rsidRPr="00A1106D" w:rsidRDefault="00C46A1B" w:rsidP="00EE6893">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Aizturētajiem imigrantiem jābūt </w:t>
      </w:r>
      <w:r>
        <w:rPr>
          <w:rFonts w:ascii="Times New Roman" w:hAnsi="Times New Roman"/>
          <w:b/>
          <w:bCs/>
        </w:rPr>
        <w:t>piekļuvei datoriem</w:t>
      </w:r>
      <w:r>
        <w:rPr>
          <w:rFonts w:ascii="Times New Roman" w:hAnsi="Times New Roman"/>
        </w:rPr>
        <w:t xml:space="preserve">, kā arī IP balss pārraides vai </w:t>
      </w:r>
      <w:r>
        <w:rPr>
          <w:rFonts w:ascii="Times New Roman" w:hAnsi="Times New Roman"/>
          <w:i/>
          <w:iCs/>
        </w:rPr>
        <w:t>Skype</w:t>
      </w:r>
      <w:r>
        <w:rPr>
          <w:rFonts w:ascii="Times New Roman" w:hAnsi="Times New Roman"/>
        </w:rPr>
        <w:t xml:space="preserve"> aprīkojumam un pamatpiekļuvei internetam.</w:t>
      </w:r>
      <w:r w:rsidR="00643510">
        <w:rPr>
          <w:rStyle w:val="FootnoteReference"/>
          <w:rFonts w:ascii="Times New Roman" w:hAnsi="Times New Roman" w:cs="Times New Roman"/>
          <w:noProof/>
        </w:rPr>
        <w:footnoteReference w:id="46"/>
      </w:r>
    </w:p>
    <w:p w14:paraId="2926C21A" w14:textId="77777777" w:rsidR="00C46A1B" w:rsidRPr="00A1106D" w:rsidRDefault="00C46A1B" w:rsidP="00A1106D">
      <w:pPr>
        <w:jc w:val="both"/>
        <w:rPr>
          <w:rFonts w:ascii="Times New Roman" w:eastAsia="Calibri" w:hAnsi="Times New Roman" w:cs="Times New Roman"/>
          <w:noProof/>
          <w:sz w:val="24"/>
          <w:szCs w:val="24"/>
        </w:rPr>
      </w:pPr>
    </w:p>
    <w:p w14:paraId="41076CF2" w14:textId="7966AB39" w:rsidR="00C46A1B" w:rsidRPr="00A1106D" w:rsidRDefault="00EE6893" w:rsidP="00EE6893">
      <w:pPr>
        <w:pStyle w:val="Heading1"/>
        <w:tabs>
          <w:tab w:val="left" w:pos="434"/>
        </w:tabs>
        <w:ind w:left="0" w:firstLine="0"/>
        <w:jc w:val="both"/>
        <w:rPr>
          <w:rFonts w:ascii="Times New Roman" w:hAnsi="Times New Roman" w:cs="Times New Roman"/>
          <w:noProof/>
          <w:sz w:val="24"/>
          <w:szCs w:val="24"/>
        </w:rPr>
      </w:pPr>
      <w:bookmarkStart w:id="6" w:name="6._Qualified_staff"/>
      <w:bookmarkEnd w:id="6"/>
      <w:r>
        <w:rPr>
          <w:rFonts w:ascii="Times New Roman" w:hAnsi="Times New Roman"/>
          <w:sz w:val="24"/>
        </w:rPr>
        <w:t>6. Kvalificēts personāls</w:t>
      </w:r>
    </w:p>
    <w:p w14:paraId="7C40DCA2" w14:textId="77777777" w:rsidR="00EE6893" w:rsidRDefault="00EE6893" w:rsidP="00EE6893">
      <w:pPr>
        <w:pStyle w:val="BodyText"/>
        <w:tabs>
          <w:tab w:val="left" w:pos="812"/>
        </w:tabs>
        <w:spacing w:before="0"/>
        <w:ind w:left="0" w:firstLine="0"/>
        <w:jc w:val="both"/>
        <w:rPr>
          <w:rFonts w:ascii="Times New Roman" w:hAnsi="Times New Roman" w:cs="Times New Roman"/>
          <w:noProof/>
        </w:rPr>
      </w:pPr>
    </w:p>
    <w:p w14:paraId="54EB5927" w14:textId="1C63F64C" w:rsidR="00C46A1B" w:rsidRPr="00A1106D" w:rsidRDefault="00C46A1B" w:rsidP="00EE6893">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Ir rūpīgi jāizvēlas un atbilstoši jāmāca personāls darbam izmitināšanas centros, kas paredzēti aizturētajiem imigrantiem.</w:t>
      </w:r>
      <w:r w:rsidR="002112D4">
        <w:rPr>
          <w:rStyle w:val="FootnoteReference"/>
          <w:rFonts w:ascii="Times New Roman" w:hAnsi="Times New Roman" w:cs="Times New Roman"/>
          <w:noProof/>
        </w:rPr>
        <w:footnoteReference w:id="47"/>
      </w:r>
    </w:p>
    <w:p w14:paraId="63C813D1" w14:textId="25DD5A97" w:rsidR="00C46A1B" w:rsidRPr="00A1106D" w:rsidRDefault="00C46A1B" w:rsidP="00EE6893">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Darbiniekiem jāpiemīt ļoti labām </w:t>
      </w:r>
      <w:r>
        <w:rPr>
          <w:rFonts w:ascii="Times New Roman" w:hAnsi="Times New Roman"/>
          <w:b/>
          <w:bCs/>
          <w:sz w:val="24"/>
        </w:rPr>
        <w:t>saskarsmes spējām un kultūras sensitivitātes</w:t>
      </w:r>
      <w:r>
        <w:rPr>
          <w:rFonts w:ascii="Times New Roman" w:hAnsi="Times New Roman"/>
          <w:sz w:val="24"/>
        </w:rPr>
        <w:t xml:space="preserve"> </w:t>
      </w:r>
      <w:r>
        <w:rPr>
          <w:rFonts w:ascii="Times New Roman" w:hAnsi="Times New Roman"/>
          <w:sz w:val="24"/>
        </w:rPr>
        <w:lastRenderedPageBreak/>
        <w:t xml:space="preserve">izpratnei, ņemot vērā aizturēto personu daudzveidīgo priekšvēsturi. Turklāt vismaz dažiem no viņiem jābūt atbilstošām </w:t>
      </w:r>
      <w:r>
        <w:rPr>
          <w:rFonts w:ascii="Times New Roman" w:hAnsi="Times New Roman"/>
          <w:b/>
          <w:bCs/>
          <w:sz w:val="24"/>
        </w:rPr>
        <w:t>valodas prasmēm</w:t>
      </w:r>
      <w:r>
        <w:rPr>
          <w:rFonts w:ascii="Times New Roman" w:hAnsi="Times New Roman"/>
          <w:sz w:val="24"/>
        </w:rPr>
        <w:t>.</w:t>
      </w:r>
      <w:r w:rsidR="002112D4">
        <w:rPr>
          <w:rStyle w:val="FootnoteReference"/>
          <w:rFonts w:ascii="Times New Roman" w:hAnsi="Times New Roman" w:cs="Times New Roman"/>
          <w:noProof/>
          <w:sz w:val="24"/>
          <w:szCs w:val="24"/>
        </w:rPr>
        <w:footnoteReference w:id="48"/>
      </w:r>
    </w:p>
    <w:p w14:paraId="0DAD3349" w14:textId="11C9B05B" w:rsidR="00C46A1B" w:rsidRPr="00A1106D" w:rsidRDefault="00C46A1B" w:rsidP="00EE6893">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Viņiem jābūt arī mācītiem </w:t>
      </w:r>
      <w:r>
        <w:rPr>
          <w:rFonts w:ascii="Times New Roman" w:hAnsi="Times New Roman"/>
          <w:b/>
          <w:bCs/>
          <w:sz w:val="24"/>
        </w:rPr>
        <w:t>atpazīt</w:t>
      </w:r>
      <w:r>
        <w:rPr>
          <w:rFonts w:ascii="Times New Roman" w:hAnsi="Times New Roman"/>
          <w:sz w:val="24"/>
        </w:rPr>
        <w:t xml:space="preserve"> aizturēto personu </w:t>
      </w:r>
      <w:r>
        <w:rPr>
          <w:rFonts w:ascii="Times New Roman" w:hAnsi="Times New Roman"/>
          <w:b/>
          <w:bCs/>
          <w:sz w:val="24"/>
        </w:rPr>
        <w:t>iespējamās stresa reakcijas pazīmes</w:t>
      </w:r>
      <w:r>
        <w:rPr>
          <w:rFonts w:ascii="Times New Roman" w:hAnsi="Times New Roman"/>
          <w:sz w:val="24"/>
        </w:rPr>
        <w:t xml:space="preserve"> un atbilstoši rīkoties.</w:t>
      </w:r>
      <w:r w:rsidR="0010558F">
        <w:rPr>
          <w:rStyle w:val="FootnoteReference"/>
          <w:rFonts w:ascii="Times New Roman" w:hAnsi="Times New Roman" w:cs="Times New Roman"/>
          <w:noProof/>
          <w:sz w:val="24"/>
          <w:szCs w:val="24"/>
        </w:rPr>
        <w:footnoteReference w:id="49"/>
      </w:r>
    </w:p>
    <w:p w14:paraId="489542BF" w14:textId="51346445" w:rsidR="00C46A1B" w:rsidRPr="00A1106D" w:rsidRDefault="00C46A1B" w:rsidP="00EE6893">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b/>
          <w:bCs/>
        </w:rPr>
        <w:t>Gan sieviešu, gan vīriešu dzimuma darbinieku</w:t>
      </w:r>
      <w:r>
        <w:rPr>
          <w:rFonts w:ascii="Times New Roman" w:hAnsi="Times New Roman"/>
        </w:rPr>
        <w:t xml:space="preserve"> klātbūtne var labvēlīgi ietekmēt gaisotni izmitināšanas vietā un veicināt tajā normālai videi tuvas vides izveidošanu.</w:t>
      </w:r>
      <w:r w:rsidR="005748FF">
        <w:rPr>
          <w:rStyle w:val="FootnoteReference"/>
          <w:rFonts w:ascii="Times New Roman" w:hAnsi="Times New Roman" w:cs="Times New Roman"/>
          <w:noProof/>
        </w:rPr>
        <w:footnoteReference w:id="50"/>
      </w:r>
      <w:r>
        <w:rPr>
          <w:rFonts w:ascii="Times New Roman" w:hAnsi="Times New Roman"/>
        </w:rPr>
        <w:t xml:space="preserve"> Visās iestādēs, kurās izmitina aizturētās sievietes, jāgarantē sieviešu dzimuma personāla klātbūtne.</w:t>
      </w:r>
      <w:r w:rsidR="005748FF">
        <w:rPr>
          <w:rStyle w:val="FootnoteReference"/>
          <w:rFonts w:ascii="Times New Roman" w:hAnsi="Times New Roman" w:cs="Times New Roman"/>
          <w:noProof/>
        </w:rPr>
        <w:footnoteReference w:id="51"/>
      </w:r>
    </w:p>
    <w:p w14:paraId="212E8151" w14:textId="21C8FB73" w:rsidR="00C46A1B" w:rsidRPr="00A1106D" w:rsidRDefault="00C46A1B" w:rsidP="00EE6893">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Vietai, ko izmanto ar imigranta statusu saistītai aizturēšanai, nevajadzētu atgādināt brīvības atņemšanas iestādes vidi, – tas nozīmē, ka imigrantu izmitināšanas vietu personāls </w:t>
      </w:r>
      <w:r>
        <w:rPr>
          <w:rFonts w:ascii="Times New Roman" w:hAnsi="Times New Roman"/>
          <w:b/>
          <w:bCs/>
          <w:sz w:val="24"/>
        </w:rPr>
        <w:t>nedrīkst būt ekipēts ar nūjām, roku dzelžiem vai piparu gāzes baloniņiem</w:t>
      </w:r>
      <w:r>
        <w:rPr>
          <w:rFonts w:ascii="Times New Roman" w:hAnsi="Times New Roman"/>
          <w:sz w:val="24"/>
        </w:rPr>
        <w:t>.</w:t>
      </w:r>
      <w:r w:rsidR="005748FF">
        <w:rPr>
          <w:rStyle w:val="FootnoteReference"/>
          <w:rFonts w:ascii="Times New Roman" w:hAnsi="Times New Roman" w:cs="Times New Roman"/>
          <w:noProof/>
          <w:sz w:val="24"/>
          <w:szCs w:val="24"/>
        </w:rPr>
        <w:footnoteReference w:id="52"/>
      </w:r>
    </w:p>
    <w:p w14:paraId="1023B16F" w14:textId="77777777" w:rsidR="00C46A1B" w:rsidRPr="00A1106D" w:rsidRDefault="00C46A1B" w:rsidP="00A1106D">
      <w:pPr>
        <w:jc w:val="both"/>
        <w:rPr>
          <w:rFonts w:ascii="Times New Roman" w:eastAsia="Calibri" w:hAnsi="Times New Roman" w:cs="Times New Roman"/>
          <w:noProof/>
          <w:sz w:val="24"/>
          <w:szCs w:val="24"/>
        </w:rPr>
      </w:pPr>
    </w:p>
    <w:p w14:paraId="445A9ADC" w14:textId="4036D55E" w:rsidR="00C46A1B" w:rsidRPr="00A1106D" w:rsidRDefault="00EE6893" w:rsidP="00EE6893">
      <w:pPr>
        <w:pStyle w:val="Heading1"/>
        <w:tabs>
          <w:tab w:val="left" w:pos="434"/>
        </w:tabs>
        <w:ind w:left="0" w:firstLine="0"/>
        <w:jc w:val="both"/>
        <w:rPr>
          <w:rFonts w:ascii="Times New Roman" w:hAnsi="Times New Roman" w:cs="Times New Roman"/>
          <w:noProof/>
          <w:sz w:val="24"/>
          <w:szCs w:val="24"/>
        </w:rPr>
      </w:pPr>
      <w:bookmarkStart w:id="7" w:name="7._Discipline,_segregation_and_means_of_"/>
      <w:bookmarkEnd w:id="7"/>
      <w:r>
        <w:rPr>
          <w:rFonts w:ascii="Times New Roman" w:hAnsi="Times New Roman"/>
          <w:sz w:val="24"/>
        </w:rPr>
        <w:t xml:space="preserve">7. Disciplīna, nošķiršana un </w:t>
      </w:r>
      <w:r w:rsidR="005419D1">
        <w:rPr>
          <w:rFonts w:ascii="Times New Roman" w:hAnsi="Times New Roman"/>
          <w:sz w:val="24"/>
        </w:rPr>
        <w:t>ierobežošanas</w:t>
      </w:r>
      <w:r>
        <w:rPr>
          <w:rFonts w:ascii="Times New Roman" w:hAnsi="Times New Roman"/>
          <w:sz w:val="24"/>
        </w:rPr>
        <w:t xml:space="preserve"> līdzekļi</w:t>
      </w:r>
    </w:p>
    <w:p w14:paraId="5B7FB383" w14:textId="77777777" w:rsidR="00EE6893" w:rsidRDefault="00EE6893" w:rsidP="00EE6893">
      <w:pPr>
        <w:pStyle w:val="BodyText"/>
        <w:tabs>
          <w:tab w:val="left" w:pos="812"/>
        </w:tabs>
        <w:spacing w:before="0"/>
        <w:ind w:left="0" w:firstLine="0"/>
        <w:jc w:val="both"/>
        <w:rPr>
          <w:rFonts w:ascii="Times New Roman" w:hAnsi="Times New Roman" w:cs="Times New Roman"/>
          <w:noProof/>
        </w:rPr>
      </w:pPr>
    </w:p>
    <w:p w14:paraId="62F3B1DA" w14:textId="4FE952A2" w:rsidR="00C46A1B" w:rsidRPr="00A1106D" w:rsidRDefault="00C46A1B" w:rsidP="009605EB">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Attiecībā uz </w:t>
      </w:r>
      <w:r>
        <w:rPr>
          <w:rFonts w:ascii="Times New Roman" w:hAnsi="Times New Roman"/>
          <w:b/>
          <w:bCs/>
        </w:rPr>
        <w:t>disciplīnu</w:t>
      </w:r>
      <w:r>
        <w:rPr>
          <w:rFonts w:ascii="Times New Roman" w:hAnsi="Times New Roman"/>
        </w:rPr>
        <w:t xml:space="preserve"> oficiāli jānosaka un jāpiemēro praksē skaidras procedūras; jebkuras pelēkās zonas ietver neoficiālas (un nekontrolētas) sistēmas rašanās risku.</w:t>
      </w:r>
      <w:r w:rsidR="005748FF">
        <w:rPr>
          <w:rStyle w:val="FootnoteReference"/>
          <w:rFonts w:ascii="Times New Roman" w:hAnsi="Times New Roman" w:cs="Times New Roman"/>
          <w:noProof/>
        </w:rPr>
        <w:footnoteReference w:id="53"/>
      </w:r>
      <w:r>
        <w:rPr>
          <w:rFonts w:ascii="Times New Roman" w:hAnsi="Times New Roman"/>
        </w:rPr>
        <w:t xml:space="preserve"> Šajā kontekstā </w:t>
      </w:r>
      <w:r>
        <w:rPr>
          <w:rFonts w:ascii="Times New Roman" w:hAnsi="Times New Roman"/>
          <w:i/>
          <w:iCs/>
        </w:rPr>
        <w:t>CPT</w:t>
      </w:r>
      <w:r>
        <w:rPr>
          <w:rFonts w:ascii="Times New Roman" w:hAnsi="Times New Roman"/>
        </w:rPr>
        <w:t xml:space="preserve"> iesaka:</w:t>
      </w:r>
    </w:p>
    <w:p w14:paraId="39FAE06C" w14:textId="77777777" w:rsidR="00C46A1B" w:rsidRPr="00A1106D" w:rsidRDefault="00C46A1B" w:rsidP="009605EB">
      <w:pPr>
        <w:pStyle w:val="BodyText"/>
        <w:numPr>
          <w:ilvl w:val="2"/>
          <w:numId w:val="2"/>
        </w:numPr>
        <w:tabs>
          <w:tab w:val="left" w:pos="1134"/>
        </w:tabs>
        <w:spacing w:before="0"/>
        <w:ind w:left="567" w:firstLine="0"/>
        <w:jc w:val="both"/>
        <w:rPr>
          <w:rFonts w:ascii="Times New Roman" w:hAnsi="Times New Roman" w:cs="Times New Roman"/>
          <w:noProof/>
        </w:rPr>
      </w:pPr>
      <w:r>
        <w:rPr>
          <w:rFonts w:ascii="Times New Roman" w:hAnsi="Times New Roman"/>
        </w:rPr>
        <w:t>izstrādāt oficiālus disciplinārus noteikumus to ārvalstnieku uzturēšanās centriem, kas aizturēti saskaņā ar tiesību aktiem par ārvalstniekiem. Šajos noteikumos jāparedz aizturēto tiesības tikt uzklausītiem par pārkāpumiem, kurus tie, iespējams, izdarījuši, un tiesības uzliktos sodus pārsūdzēt augstākā instancē;</w:t>
      </w:r>
    </w:p>
    <w:p w14:paraId="68805C1C" w14:textId="09EE2F4D" w:rsidR="00C46A1B" w:rsidRPr="00A1106D" w:rsidRDefault="00C46A1B" w:rsidP="009605EB">
      <w:pPr>
        <w:pStyle w:val="BodyText"/>
        <w:numPr>
          <w:ilvl w:val="2"/>
          <w:numId w:val="2"/>
        </w:numPr>
        <w:tabs>
          <w:tab w:val="left" w:pos="1134"/>
        </w:tabs>
        <w:spacing w:before="0"/>
        <w:ind w:left="567" w:firstLine="0"/>
        <w:jc w:val="both"/>
        <w:rPr>
          <w:rFonts w:ascii="Times New Roman" w:hAnsi="Times New Roman" w:cs="Times New Roman"/>
          <w:noProof/>
        </w:rPr>
      </w:pPr>
      <w:r>
        <w:rPr>
          <w:rFonts w:ascii="Times New Roman" w:hAnsi="Times New Roman"/>
        </w:rPr>
        <w:t>jāpieņem skaidra disciplināra procedūra, kas aizturētajām personām dod tiesības saņemt rakstveida informāciju par viņiem izvirzītajām apsūdzībām un savā vārdā izsaukt lieciniekus.</w:t>
      </w:r>
      <w:r w:rsidR="005748FF">
        <w:rPr>
          <w:rStyle w:val="FootnoteReference"/>
          <w:rFonts w:ascii="Times New Roman" w:hAnsi="Times New Roman" w:cs="Times New Roman"/>
          <w:noProof/>
        </w:rPr>
        <w:footnoteReference w:id="54"/>
      </w:r>
    </w:p>
    <w:p w14:paraId="6ED184B4" w14:textId="43F13E8E" w:rsidR="00C46A1B" w:rsidRPr="005748FF" w:rsidRDefault="00C46A1B" w:rsidP="00A1106D">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Ja tiek piemērota </w:t>
      </w:r>
      <w:r>
        <w:rPr>
          <w:rFonts w:ascii="Times New Roman" w:hAnsi="Times New Roman"/>
          <w:b/>
          <w:bCs/>
        </w:rPr>
        <w:t>nošķiršana</w:t>
      </w:r>
      <w:r>
        <w:rPr>
          <w:rFonts w:ascii="Times New Roman" w:hAnsi="Times New Roman"/>
        </w:rPr>
        <w:t xml:space="preserve"> (piemēram, drošības apsvērumu dēļ), attiecīgajiem ārvalstniekiem jāsaņem šāda lēmuma kopija un informācija par iespējām pārsūdzēt piemēroto pasākumu ārējai iestādei, nošķiršanai jābūt uz noteiktu termiņu, un jāizveido atsevišķs reģistrs (kurā norādīta pilna informācija, piemēram, nošķiršanas sākuma un beigu datums un laiks, nošķiršanas pamatojums utt.).</w:t>
      </w:r>
      <w:r w:rsidR="005748FF">
        <w:rPr>
          <w:rStyle w:val="FootnoteReference"/>
          <w:rFonts w:ascii="Times New Roman" w:hAnsi="Times New Roman" w:cs="Times New Roman"/>
          <w:noProof/>
        </w:rPr>
        <w:footnoteReference w:id="55"/>
      </w:r>
    </w:p>
    <w:p w14:paraId="535F22C0" w14:textId="396EBCF4" w:rsidR="00C46A1B" w:rsidRPr="00A1106D" w:rsidRDefault="00C46A1B" w:rsidP="005748FF">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Nošķirtajiem aizturētajiem jābūt iespējai atpūsties, brīvai piekļuvei tualetes telpām un regulārai piekļuvei dušai, kā arī vismaz vienai stundai pastaigām svaigā gaisā katru dienu un piekļuvei lasāmvielai.</w:t>
      </w:r>
      <w:r w:rsidR="005748FF">
        <w:rPr>
          <w:rStyle w:val="FootnoteReference"/>
          <w:rFonts w:ascii="Times New Roman" w:hAnsi="Times New Roman" w:cs="Times New Roman"/>
          <w:noProof/>
        </w:rPr>
        <w:footnoteReference w:id="56"/>
      </w:r>
    </w:p>
    <w:p w14:paraId="03C5079B" w14:textId="06BB5A71" w:rsidR="00C46A1B" w:rsidRPr="00A1106D" w:rsidRDefault="00C46A1B" w:rsidP="005748FF">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Sistemātiska aizturēto imigrantu saslēgšana </w:t>
      </w:r>
      <w:r>
        <w:rPr>
          <w:rFonts w:ascii="Times New Roman" w:hAnsi="Times New Roman"/>
          <w:b/>
          <w:bCs/>
        </w:rPr>
        <w:t>roku dzelžos</w:t>
      </w:r>
      <w:r>
        <w:rPr>
          <w:rFonts w:ascii="Times New Roman" w:hAnsi="Times New Roman"/>
        </w:rPr>
        <w:t xml:space="preserve"> katru reizi, kad viņi atstāj savu izmitināšanas vietu, piemēram, tiek pārvietoti uz slimnīcu, ir nesamērīga; </w:t>
      </w:r>
      <w:r w:rsidR="008D182E">
        <w:rPr>
          <w:rFonts w:ascii="Times New Roman" w:hAnsi="Times New Roman"/>
        </w:rPr>
        <w:t>ierobežošanas</w:t>
      </w:r>
      <w:r>
        <w:rPr>
          <w:rFonts w:ascii="Times New Roman" w:hAnsi="Times New Roman"/>
        </w:rPr>
        <w:t xml:space="preserve"> līdzekļu izmantošana jāapsver individuāli un pamatojoties uz proporcionalitātes principu.</w:t>
      </w:r>
      <w:r w:rsidR="005748FF">
        <w:rPr>
          <w:rStyle w:val="FootnoteReference"/>
          <w:rFonts w:ascii="Times New Roman" w:hAnsi="Times New Roman" w:cs="Times New Roman"/>
          <w:noProof/>
        </w:rPr>
        <w:footnoteReference w:id="57"/>
      </w:r>
    </w:p>
    <w:p w14:paraId="38C16F58" w14:textId="77777777" w:rsidR="00C46A1B" w:rsidRPr="00A1106D" w:rsidRDefault="00C46A1B" w:rsidP="00A1106D">
      <w:pPr>
        <w:jc w:val="both"/>
        <w:rPr>
          <w:rFonts w:ascii="Times New Roman" w:eastAsia="Calibri" w:hAnsi="Times New Roman" w:cs="Times New Roman"/>
          <w:noProof/>
          <w:sz w:val="24"/>
          <w:szCs w:val="24"/>
        </w:rPr>
      </w:pPr>
    </w:p>
    <w:p w14:paraId="6FD958FC" w14:textId="10903A63" w:rsidR="00C46A1B" w:rsidRPr="00A1106D" w:rsidRDefault="005748FF" w:rsidP="00F050E0">
      <w:pPr>
        <w:pStyle w:val="Heading1"/>
        <w:keepNext/>
        <w:keepLines/>
        <w:tabs>
          <w:tab w:val="left" w:pos="434"/>
        </w:tabs>
        <w:ind w:left="0" w:firstLine="0"/>
        <w:jc w:val="both"/>
        <w:rPr>
          <w:rFonts w:ascii="Times New Roman" w:hAnsi="Times New Roman" w:cs="Times New Roman"/>
          <w:noProof/>
          <w:sz w:val="24"/>
          <w:szCs w:val="24"/>
        </w:rPr>
      </w:pPr>
      <w:bookmarkStart w:id="8" w:name="8._Monitoring_and_complaints_mechanisms"/>
      <w:bookmarkEnd w:id="8"/>
      <w:r>
        <w:rPr>
          <w:rFonts w:ascii="Times New Roman" w:hAnsi="Times New Roman"/>
          <w:sz w:val="24"/>
        </w:rPr>
        <w:lastRenderedPageBreak/>
        <w:t>8. Uzraudzības un sūdzību iesniegšanas mehānismi</w:t>
      </w:r>
    </w:p>
    <w:p w14:paraId="15ADCB0F" w14:textId="77777777" w:rsidR="005748FF" w:rsidRDefault="005748FF" w:rsidP="00F050E0">
      <w:pPr>
        <w:pStyle w:val="BodyText"/>
        <w:keepNext/>
        <w:keepLines/>
        <w:tabs>
          <w:tab w:val="left" w:pos="812"/>
        </w:tabs>
        <w:spacing w:before="0"/>
        <w:ind w:left="0" w:firstLine="0"/>
        <w:jc w:val="both"/>
        <w:rPr>
          <w:rFonts w:ascii="Times New Roman" w:hAnsi="Times New Roman" w:cs="Times New Roman"/>
          <w:noProof/>
        </w:rPr>
      </w:pPr>
    </w:p>
    <w:p w14:paraId="0037A979" w14:textId="344D03A3" w:rsidR="00C46A1B" w:rsidRPr="00A1106D" w:rsidRDefault="00C46A1B" w:rsidP="00F050E0">
      <w:pPr>
        <w:pStyle w:val="BodyText"/>
        <w:keepNext/>
        <w:keepLines/>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Neatbilstīgo migrantu izvietošanas vietu neatkarīga uzraudzība ir svarīgs priekšnosacījums, lai novērstu sliktu izturēšanos un, vispārīgāk, nodrošinātu apmierinošus izmitināšanas apstākļus. </w:t>
      </w:r>
      <w:r w:rsidR="00052E72" w:rsidRPr="00052E72">
        <w:rPr>
          <w:rFonts w:ascii="Times New Roman" w:hAnsi="Times New Roman"/>
        </w:rPr>
        <w:t>Lai uzraudzības vizītes būtu pilnīgi efektīvas, tām jābūt gan biežām, gan iepriekš nepieteiktām</w:t>
      </w:r>
      <w:r>
        <w:rPr>
          <w:rFonts w:ascii="Times New Roman" w:hAnsi="Times New Roman"/>
        </w:rPr>
        <w:t>. Turklāt uzraudzības iestādēm jābūt tiesīgām iztaujāt neatbilstīgos migrantus bez citu personu klātbūtnes, kā arī pārbaudīt visus jautājumus saistībā ar izturēšanos pret viņiem (vispārējiem izmitināšanas apstākļiem, aizturēšanas protokoliem un citiem dokumentiem, aizturētās personas tiesību ievērošanu, veselības aprūpi u. c.).</w:t>
      </w:r>
      <w:r w:rsidR="005748FF">
        <w:rPr>
          <w:rStyle w:val="FootnoteReference"/>
          <w:rFonts w:ascii="Times New Roman" w:hAnsi="Times New Roman" w:cs="Times New Roman"/>
          <w:noProof/>
        </w:rPr>
        <w:footnoteReference w:id="58"/>
      </w:r>
    </w:p>
    <w:p w14:paraId="726D260D" w14:textId="776DB1BC" w:rsidR="00C46A1B" w:rsidRPr="00A1106D" w:rsidRDefault="00C46A1B" w:rsidP="005748FF">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Efektīva </w:t>
      </w:r>
      <w:r>
        <w:rPr>
          <w:rFonts w:ascii="Times New Roman" w:hAnsi="Times New Roman"/>
          <w:b/>
          <w:bCs/>
        </w:rPr>
        <w:t>sūdzību</w:t>
      </w:r>
      <w:r>
        <w:rPr>
          <w:rFonts w:ascii="Times New Roman" w:hAnsi="Times New Roman"/>
        </w:rPr>
        <w:t xml:space="preserve"> iesniegšanas un izskatīšanas kārtība ir būtiska tiesiskā garantija pret sliktu izturēšanos ar imigranta statusu saistītas aizturēšanas laikā. Sūdzību iesniegšanas un izskatīšanas kārtībai jānodrošina, ka aizturētie imigranti var nosūtīt sūdzību gan iestādes iekšienē, gan ārpus tās un konfidenciāli sazināties ar attiecīgo sūdzību izskatīšanas iestādi.</w:t>
      </w:r>
      <w:r w:rsidR="005748FF">
        <w:rPr>
          <w:rStyle w:val="FootnoteReference"/>
          <w:rFonts w:ascii="Times New Roman" w:hAnsi="Times New Roman" w:cs="Times New Roman"/>
          <w:noProof/>
        </w:rPr>
        <w:footnoteReference w:id="59"/>
      </w:r>
    </w:p>
    <w:p w14:paraId="6059A92C" w14:textId="77777777" w:rsidR="00C46A1B" w:rsidRPr="00A1106D" w:rsidRDefault="00C46A1B" w:rsidP="00A1106D">
      <w:pPr>
        <w:jc w:val="both"/>
        <w:rPr>
          <w:rFonts w:ascii="Times New Roman" w:eastAsia="Calibri" w:hAnsi="Times New Roman" w:cs="Times New Roman"/>
          <w:noProof/>
          <w:sz w:val="24"/>
          <w:szCs w:val="24"/>
        </w:rPr>
      </w:pPr>
    </w:p>
    <w:p w14:paraId="6ABBED26" w14:textId="722FC10F" w:rsidR="00C46A1B" w:rsidRPr="00A1106D" w:rsidRDefault="005748FF" w:rsidP="005748FF">
      <w:pPr>
        <w:pStyle w:val="Heading1"/>
        <w:tabs>
          <w:tab w:val="left" w:pos="434"/>
        </w:tabs>
        <w:ind w:left="0" w:firstLine="0"/>
        <w:jc w:val="both"/>
        <w:rPr>
          <w:rFonts w:ascii="Times New Roman" w:hAnsi="Times New Roman" w:cs="Times New Roman"/>
          <w:noProof/>
          <w:sz w:val="24"/>
          <w:szCs w:val="24"/>
        </w:rPr>
      </w:pPr>
      <w:bookmarkStart w:id="9" w:name="9._Adequate_health_care"/>
      <w:bookmarkEnd w:id="9"/>
      <w:r>
        <w:rPr>
          <w:rFonts w:ascii="Times New Roman" w:hAnsi="Times New Roman"/>
          <w:sz w:val="24"/>
        </w:rPr>
        <w:t>9. Pienācīga veselības aprūpe</w:t>
      </w:r>
    </w:p>
    <w:p w14:paraId="720B7530" w14:textId="77777777" w:rsidR="005748FF" w:rsidRPr="005748FF" w:rsidRDefault="005748FF" w:rsidP="005748FF">
      <w:pPr>
        <w:tabs>
          <w:tab w:val="left" w:pos="812"/>
        </w:tabs>
        <w:jc w:val="both"/>
        <w:rPr>
          <w:rFonts w:ascii="Times New Roman" w:eastAsia="Calibri" w:hAnsi="Times New Roman" w:cs="Times New Roman"/>
          <w:noProof/>
          <w:sz w:val="24"/>
          <w:szCs w:val="24"/>
        </w:rPr>
      </w:pPr>
    </w:p>
    <w:p w14:paraId="4685C7C9" w14:textId="4753B9CB" w:rsidR="00C46A1B" w:rsidRPr="00A1106D" w:rsidRDefault="00C46A1B" w:rsidP="0005445A">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b/>
          <w:bCs/>
          <w:sz w:val="24"/>
        </w:rPr>
        <w:t>Visu jaunpienākušo aizturēto veselības pārbaude</w:t>
      </w:r>
      <w:r>
        <w:rPr>
          <w:rFonts w:ascii="Times New Roman" w:hAnsi="Times New Roman"/>
          <w:sz w:val="24"/>
        </w:rPr>
        <w:t xml:space="preserve"> ir gan aizturēto, gan personāla interesēs, jo īpaši tāpēc, lai identificētu personas, kas varētu sev kaitēt, pārbaudītu transmisīvo slimību esību un laikus reģistrētu jebkādus miesas bojājumus.</w:t>
      </w:r>
      <w:r w:rsidR="005748FF">
        <w:rPr>
          <w:rStyle w:val="FootnoteReference"/>
          <w:rFonts w:ascii="Times New Roman" w:hAnsi="Times New Roman" w:cs="Times New Roman"/>
          <w:noProof/>
          <w:sz w:val="24"/>
          <w:szCs w:val="24"/>
        </w:rPr>
        <w:footnoteReference w:id="60"/>
      </w:r>
    </w:p>
    <w:p w14:paraId="154E42F6" w14:textId="5AE95726" w:rsidR="00C46A1B" w:rsidRPr="00A1106D" w:rsidRDefault="00C46A1B" w:rsidP="0005445A">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Visiem jaunpienākušajiem aizturētajiem ir jābūt nodrošinātai visaptverošai </w:t>
      </w:r>
      <w:r>
        <w:rPr>
          <w:rFonts w:ascii="Times New Roman" w:hAnsi="Times New Roman"/>
          <w:b/>
          <w:bCs/>
        </w:rPr>
        <w:t>veselības pārbaude</w:t>
      </w:r>
      <w:r>
        <w:rPr>
          <w:rFonts w:ascii="Times New Roman" w:hAnsi="Times New Roman"/>
        </w:rPr>
        <w:t>i (tostarp transmisīvo slimību esības pārbaudei), ko veic ārsts vai pilnīgi kvalificēta medicīnas māsa, kura iespējami drīz pēc jaunpienākušo aizturēto uzņemšanas sagatavo ziņojumu ārstam.</w:t>
      </w:r>
      <w:r w:rsidR="005748FF">
        <w:rPr>
          <w:rStyle w:val="FootnoteReference"/>
          <w:rFonts w:ascii="Times New Roman" w:hAnsi="Times New Roman" w:cs="Times New Roman"/>
          <w:noProof/>
        </w:rPr>
        <w:footnoteReference w:id="61"/>
      </w:r>
    </w:p>
    <w:p w14:paraId="766BA225" w14:textId="77777777" w:rsidR="00C46A1B" w:rsidRPr="00A1106D" w:rsidRDefault="00C46A1B" w:rsidP="0005445A">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b/>
          <w:bCs/>
          <w:sz w:val="24"/>
        </w:rPr>
        <w:t>Ierakstā, ko sagatavo pēc jebkura aizturētā</w:t>
      </w:r>
      <w:r>
        <w:rPr>
          <w:rFonts w:ascii="Times New Roman" w:hAnsi="Times New Roman"/>
          <w:sz w:val="24"/>
        </w:rPr>
        <w:t xml:space="preserve"> – neatkarīgi no tā, vai viņš ir jaunpienācējs vai nav, – </w:t>
      </w:r>
      <w:r>
        <w:rPr>
          <w:rFonts w:ascii="Times New Roman" w:hAnsi="Times New Roman"/>
          <w:b/>
          <w:bCs/>
          <w:sz w:val="24"/>
        </w:rPr>
        <w:t>medicīniskās apskates</w:t>
      </w:r>
      <w:r>
        <w:rPr>
          <w:rFonts w:ascii="Times New Roman" w:hAnsi="Times New Roman"/>
          <w:sz w:val="24"/>
        </w:rPr>
        <w:t>, jāiekļauj:</w:t>
      </w:r>
    </w:p>
    <w:p w14:paraId="1A3849EC" w14:textId="71C3D7D3" w:rsidR="00C46A1B" w:rsidRPr="00A1106D" w:rsidRDefault="0005445A" w:rsidP="0005445A">
      <w:pPr>
        <w:pStyle w:val="BodyText"/>
        <w:tabs>
          <w:tab w:val="left" w:pos="812"/>
          <w:tab w:val="left" w:pos="1555"/>
        </w:tabs>
        <w:spacing w:before="0"/>
        <w:ind w:left="567" w:firstLine="0"/>
        <w:jc w:val="both"/>
        <w:rPr>
          <w:rFonts w:ascii="Times New Roman" w:hAnsi="Times New Roman" w:cs="Times New Roman"/>
          <w:noProof/>
        </w:rPr>
      </w:pPr>
      <w:r>
        <w:rPr>
          <w:rFonts w:ascii="Times New Roman" w:hAnsi="Times New Roman"/>
        </w:rPr>
        <w:t>i) pilnīgs objektīvs medicīnisks slēdziens, kas iegūts rūpīgā medicīniskajā apskatē;</w:t>
      </w:r>
    </w:p>
    <w:p w14:paraId="7C78AC89" w14:textId="36CE29F8" w:rsidR="00C46A1B" w:rsidRPr="00A1106D" w:rsidRDefault="0005445A" w:rsidP="0005445A">
      <w:pPr>
        <w:pStyle w:val="BodyText"/>
        <w:tabs>
          <w:tab w:val="left" w:pos="812"/>
          <w:tab w:val="left" w:pos="1555"/>
        </w:tabs>
        <w:spacing w:before="0"/>
        <w:ind w:left="567" w:firstLine="0"/>
        <w:jc w:val="both"/>
        <w:rPr>
          <w:rFonts w:ascii="Times New Roman" w:hAnsi="Times New Roman" w:cs="Times New Roman"/>
          <w:noProof/>
        </w:rPr>
      </w:pPr>
      <w:r>
        <w:rPr>
          <w:rFonts w:ascii="Times New Roman" w:hAnsi="Times New Roman"/>
        </w:rPr>
        <w:t>ii) medicīniskajai apskatei būtiski attiecīgās personas paskaidrojumi, tostarp tās sūdzības par sliktu izturēšanos;</w:t>
      </w:r>
    </w:p>
    <w:p w14:paraId="3C8000C0" w14:textId="31F83813" w:rsidR="00C46A1B" w:rsidRPr="00A1106D" w:rsidRDefault="0005445A" w:rsidP="0005445A">
      <w:pPr>
        <w:pStyle w:val="BodyText"/>
        <w:tabs>
          <w:tab w:val="left" w:pos="812"/>
          <w:tab w:val="left" w:pos="1555"/>
        </w:tabs>
        <w:spacing w:before="0"/>
        <w:ind w:left="567" w:firstLine="0"/>
        <w:jc w:val="both"/>
        <w:rPr>
          <w:rFonts w:ascii="Times New Roman" w:hAnsi="Times New Roman" w:cs="Times New Roman"/>
          <w:noProof/>
        </w:rPr>
      </w:pPr>
      <w:r>
        <w:rPr>
          <w:rFonts w:ascii="Times New Roman" w:hAnsi="Times New Roman"/>
        </w:rPr>
        <w:t>iii) ārsta novērojumi, ņemot vērā i) un ii) punktā minēto, norādot arī uz izteikto apgalvojumu atbilstību objektīvam medicīniskam slēdzienam.</w:t>
      </w:r>
    </w:p>
    <w:p w14:paraId="15A99EB1" w14:textId="52F19AE1" w:rsidR="00C46A1B" w:rsidRPr="00A1106D" w:rsidRDefault="00C46A1B" w:rsidP="000E032A">
      <w:pPr>
        <w:pStyle w:val="BodyText"/>
        <w:tabs>
          <w:tab w:val="left" w:pos="812"/>
        </w:tabs>
        <w:spacing w:before="0"/>
        <w:ind w:left="567" w:firstLine="0"/>
        <w:jc w:val="both"/>
        <w:rPr>
          <w:rFonts w:ascii="Times New Roman" w:hAnsi="Times New Roman" w:cs="Times New Roman"/>
          <w:noProof/>
        </w:rPr>
      </w:pPr>
      <w:r>
        <w:rPr>
          <w:rFonts w:ascii="Times New Roman" w:hAnsi="Times New Roman"/>
        </w:rPr>
        <w:t xml:space="preserve">Turklāt katras apskates </w:t>
      </w:r>
      <w:r>
        <w:rPr>
          <w:rFonts w:ascii="Times New Roman" w:hAnsi="Times New Roman"/>
          <w:b/>
          <w:bCs/>
        </w:rPr>
        <w:t>rezultātiem</w:t>
      </w:r>
      <w:r>
        <w:rPr>
          <w:rFonts w:ascii="Times New Roman" w:hAnsi="Times New Roman"/>
        </w:rPr>
        <w:t>, tostarp iepriekš minētajiem paskaidrojumiem un ārsta novērojumiem, ir jābūt pieejamiem attiecīgajam aizturētajam un tā advokātam.</w:t>
      </w:r>
      <w:r w:rsidR="005748FF">
        <w:rPr>
          <w:rStyle w:val="FootnoteReference"/>
          <w:rFonts w:ascii="Times New Roman" w:hAnsi="Times New Roman" w:cs="Times New Roman"/>
          <w:noProof/>
        </w:rPr>
        <w:footnoteReference w:id="62"/>
      </w:r>
    </w:p>
    <w:p w14:paraId="52BF4368" w14:textId="48D04F7E" w:rsidR="00C46A1B" w:rsidRPr="00A1106D" w:rsidRDefault="00C46A1B" w:rsidP="0005445A">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Vienmēr, kad tiek reģistrēti </w:t>
      </w:r>
      <w:r>
        <w:rPr>
          <w:rFonts w:ascii="Times New Roman" w:hAnsi="Times New Roman"/>
          <w:b/>
          <w:bCs/>
        </w:rPr>
        <w:t>miesas bojājumi</w:t>
      </w:r>
      <w:r>
        <w:rPr>
          <w:rFonts w:ascii="Times New Roman" w:hAnsi="Times New Roman"/>
        </w:rPr>
        <w:t xml:space="preserve">, kas atbilst aizturētās personas apgalvojumiem par sliktu izturēšanos (vai tādi, kas pat bez šādiem apgalvojumiem norāda uz sliktu izturēšanos), informācija nekavējoties un regulāri ir </w:t>
      </w:r>
      <w:r>
        <w:rPr>
          <w:rFonts w:ascii="Times New Roman" w:hAnsi="Times New Roman"/>
          <w:b/>
          <w:bCs/>
        </w:rPr>
        <w:t>jāpaziņo attiecīgajam prokuroram</w:t>
      </w:r>
      <w:r>
        <w:rPr>
          <w:rFonts w:ascii="Times New Roman" w:hAnsi="Times New Roman"/>
        </w:rPr>
        <w:t xml:space="preserve"> neatkarīgi no tā, vai attiecīgā persona to vēlas.</w:t>
      </w:r>
      <w:r w:rsidR="005748FF">
        <w:rPr>
          <w:rStyle w:val="FootnoteReference"/>
          <w:rFonts w:ascii="Times New Roman" w:hAnsi="Times New Roman" w:cs="Times New Roman"/>
          <w:noProof/>
        </w:rPr>
        <w:footnoteReference w:id="63"/>
      </w:r>
    </w:p>
    <w:p w14:paraId="0E89D9BB" w14:textId="63E7CD2D" w:rsidR="00C46A1B" w:rsidRPr="00A1106D" w:rsidRDefault="00C46A1B" w:rsidP="0005445A">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b/>
          <w:bCs/>
        </w:rPr>
        <w:t>Medicīniskā konfidencialitāte</w:t>
      </w:r>
      <w:r>
        <w:rPr>
          <w:rFonts w:ascii="Times New Roman" w:hAnsi="Times New Roman"/>
        </w:rPr>
        <w:t xml:space="preserve"> jāievēro tādā pašā veidā kā ārpus brīvības atņemšanas iestādes; jo īpaši jānodrošina, lai neatbilstīgo migrantu medicīniskās lietas nebūtu pieejamas personālam, kas nav medicīnas darbinieki; gluži pretēji — tās ir jāuzglabā slēgtā vietā medicīnas māsai vai ārstam. Turklāt visas </w:t>
      </w:r>
      <w:r>
        <w:rPr>
          <w:rFonts w:ascii="Times New Roman" w:hAnsi="Times New Roman"/>
          <w:b/>
          <w:bCs/>
        </w:rPr>
        <w:t>medicīniskās apskates</w:t>
      </w:r>
      <w:r>
        <w:rPr>
          <w:rFonts w:ascii="Times New Roman" w:hAnsi="Times New Roman"/>
        </w:rPr>
        <w:t xml:space="preserve"> jāveic ārpus personāla dzirdamības un, ja vien ārsts konkrētā gadījumā nav pieprasījis citādi, arī </w:t>
      </w:r>
      <w:r>
        <w:rPr>
          <w:rFonts w:ascii="Times New Roman" w:hAnsi="Times New Roman"/>
        </w:rPr>
        <w:lastRenderedPageBreak/>
        <w:t>redzamības zonas.</w:t>
      </w:r>
      <w:r w:rsidR="005748FF">
        <w:rPr>
          <w:rStyle w:val="FootnoteReference"/>
          <w:rFonts w:ascii="Times New Roman" w:hAnsi="Times New Roman" w:cs="Times New Roman"/>
          <w:noProof/>
        </w:rPr>
        <w:footnoteReference w:id="64"/>
      </w:r>
    </w:p>
    <w:p w14:paraId="59729274" w14:textId="7447204D" w:rsidR="00C46A1B" w:rsidRPr="00A1106D" w:rsidRDefault="00C46A1B" w:rsidP="0005445A">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Visos aizturēto neatbilstīgo migrantu izmitināšanas centros katru dienu obligāti jābūt pieejamai </w:t>
      </w:r>
      <w:r>
        <w:rPr>
          <w:rFonts w:ascii="Times New Roman" w:hAnsi="Times New Roman"/>
          <w:b/>
          <w:bCs/>
        </w:rPr>
        <w:t>personai, kurai ir vismaz atzīta medicīnas māsas kvalifikācija</w:t>
      </w:r>
      <w:r>
        <w:rPr>
          <w:rFonts w:ascii="Times New Roman" w:hAnsi="Times New Roman"/>
        </w:rPr>
        <w:t>. Šādai personai pirmām kārtām būtu jāveic jaunpienākušo aizturēto sākotnējā veselības pārbaude (jo īpaši attiecībā uz transmisīvajām slimībām, tostarp tuberkulozi), jāpieņem lūgumi tikties ar ārstu, jānodrošina izrakstīto zāļu sagāde un izdalīšana, jākārto medicīniskā dokumentācija un jāuzrauga vispārējie higiēniskie apstākļi.</w:t>
      </w:r>
      <w:r w:rsidR="005748FF">
        <w:rPr>
          <w:rStyle w:val="FootnoteReference"/>
          <w:rFonts w:ascii="Times New Roman" w:hAnsi="Times New Roman" w:cs="Times New Roman"/>
          <w:noProof/>
        </w:rPr>
        <w:footnoteReference w:id="65"/>
      </w:r>
    </w:p>
    <w:p w14:paraId="1B695CD6" w14:textId="354C4547" w:rsidR="00C46A1B" w:rsidRPr="00A1106D" w:rsidRDefault="00C46A1B" w:rsidP="0005445A">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Vienmēr, kad valodas problēmu dēļ medicīnas un/vai aprūpes darbinieki nespēj veikt pienācīgu diagnostisko novērtējumu, viņiem nekavējoties jātiek nodrošinātiem kvalificēta </w:t>
      </w:r>
      <w:r>
        <w:rPr>
          <w:rFonts w:ascii="Times New Roman" w:hAnsi="Times New Roman"/>
          <w:b/>
          <w:bCs/>
        </w:rPr>
        <w:t>tulka</w:t>
      </w:r>
      <w:r>
        <w:rPr>
          <w:rFonts w:ascii="Times New Roman" w:hAnsi="Times New Roman"/>
        </w:rPr>
        <w:t xml:space="preserve"> pakalpojumiem.</w:t>
      </w:r>
      <w:r w:rsidR="005748FF">
        <w:rPr>
          <w:rStyle w:val="FootnoteReference"/>
          <w:rFonts w:ascii="Times New Roman" w:hAnsi="Times New Roman" w:cs="Times New Roman"/>
          <w:noProof/>
        </w:rPr>
        <w:footnoteReference w:id="66"/>
      </w:r>
    </w:p>
    <w:p w14:paraId="341B3869" w14:textId="3D5F3655" w:rsidR="00C46A1B" w:rsidRPr="00A1106D" w:rsidRDefault="00C46A1B" w:rsidP="0005445A">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Aizturētajiem neatbilstīgajiem migrantiem jābūt pilnīgi </w:t>
      </w:r>
      <w:r>
        <w:rPr>
          <w:rFonts w:ascii="Times New Roman" w:hAnsi="Times New Roman"/>
          <w:b/>
          <w:bCs/>
          <w:sz w:val="24"/>
        </w:rPr>
        <w:t xml:space="preserve">informētiem par </w:t>
      </w:r>
      <w:r>
        <w:rPr>
          <w:rFonts w:ascii="Times New Roman" w:hAnsi="Times New Roman"/>
          <w:sz w:val="24"/>
        </w:rPr>
        <w:t>viņiem piedāvāto</w:t>
      </w:r>
      <w:r>
        <w:rPr>
          <w:rFonts w:ascii="Times New Roman" w:hAnsi="Times New Roman"/>
          <w:b/>
          <w:bCs/>
          <w:sz w:val="24"/>
        </w:rPr>
        <w:t xml:space="preserve"> ārstēšanu</w:t>
      </w:r>
      <w:r>
        <w:rPr>
          <w:rFonts w:ascii="Times New Roman" w:hAnsi="Times New Roman"/>
          <w:sz w:val="24"/>
        </w:rPr>
        <w:t>.</w:t>
      </w:r>
      <w:r w:rsidR="00A640A7">
        <w:rPr>
          <w:rStyle w:val="FootnoteReference"/>
          <w:rFonts w:ascii="Times New Roman" w:hAnsi="Times New Roman" w:cs="Times New Roman"/>
          <w:noProof/>
          <w:sz w:val="24"/>
          <w:szCs w:val="24"/>
        </w:rPr>
        <w:footnoteReference w:id="67"/>
      </w:r>
    </w:p>
    <w:p w14:paraId="134FF69A" w14:textId="6EF03941" w:rsidR="00C46A1B" w:rsidRPr="00A1106D" w:rsidRDefault="00C46A1B" w:rsidP="0005445A">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Aizturētajiem jābūt nodrošinātai atbilstošai piekļuvei </w:t>
      </w:r>
      <w:r>
        <w:rPr>
          <w:rFonts w:ascii="Times New Roman" w:hAnsi="Times New Roman"/>
          <w:b/>
          <w:bCs/>
          <w:sz w:val="24"/>
        </w:rPr>
        <w:t>psiholoģiskajai palīdzībai</w:t>
      </w:r>
      <w:r>
        <w:rPr>
          <w:rFonts w:ascii="Times New Roman" w:hAnsi="Times New Roman"/>
          <w:sz w:val="24"/>
        </w:rPr>
        <w:t xml:space="preserve"> un </w:t>
      </w:r>
      <w:r>
        <w:rPr>
          <w:rFonts w:ascii="Times New Roman" w:hAnsi="Times New Roman"/>
          <w:b/>
          <w:bCs/>
          <w:sz w:val="24"/>
        </w:rPr>
        <w:t>psihiatriskajai aprūpei</w:t>
      </w:r>
      <w:r>
        <w:rPr>
          <w:rFonts w:ascii="Times New Roman" w:hAnsi="Times New Roman"/>
          <w:sz w:val="24"/>
        </w:rPr>
        <w:t>.</w:t>
      </w:r>
      <w:r w:rsidR="00A640A7">
        <w:rPr>
          <w:rStyle w:val="FootnoteReference"/>
          <w:rFonts w:ascii="Times New Roman" w:hAnsi="Times New Roman" w:cs="Times New Roman"/>
          <w:noProof/>
          <w:sz w:val="24"/>
          <w:szCs w:val="24"/>
        </w:rPr>
        <w:footnoteReference w:id="68"/>
      </w:r>
      <w:r>
        <w:rPr>
          <w:rFonts w:ascii="Times New Roman" w:hAnsi="Times New Roman"/>
          <w:sz w:val="24"/>
        </w:rPr>
        <w:t xml:space="preserve"> Turklāt jāievieš procedūras un mācības, lai novērstu </w:t>
      </w:r>
      <w:r>
        <w:rPr>
          <w:rFonts w:ascii="Times New Roman" w:hAnsi="Times New Roman"/>
          <w:b/>
          <w:bCs/>
          <w:sz w:val="24"/>
        </w:rPr>
        <w:t>darbības, kas saistītas ar</w:t>
      </w:r>
      <w:r>
        <w:rPr>
          <w:rFonts w:ascii="Times New Roman" w:hAnsi="Times New Roman"/>
          <w:sz w:val="24"/>
        </w:rPr>
        <w:t xml:space="preserve"> </w:t>
      </w:r>
      <w:r>
        <w:rPr>
          <w:rFonts w:ascii="Times New Roman" w:hAnsi="Times New Roman"/>
          <w:b/>
          <w:bCs/>
          <w:sz w:val="24"/>
        </w:rPr>
        <w:t>paškaitējumu, un pašnāvības</w:t>
      </w:r>
      <w:r>
        <w:rPr>
          <w:rFonts w:ascii="Times New Roman" w:hAnsi="Times New Roman"/>
          <w:sz w:val="24"/>
        </w:rPr>
        <w:t>.</w:t>
      </w:r>
      <w:r w:rsidR="00A640A7">
        <w:rPr>
          <w:rStyle w:val="FootnoteReference"/>
          <w:rFonts w:ascii="Times New Roman" w:hAnsi="Times New Roman" w:cs="Times New Roman"/>
          <w:noProof/>
          <w:sz w:val="24"/>
          <w:szCs w:val="24"/>
        </w:rPr>
        <w:footnoteReference w:id="69"/>
      </w:r>
    </w:p>
    <w:p w14:paraId="7DB43F58" w14:textId="77777777" w:rsidR="00C46A1B" w:rsidRPr="00A1106D" w:rsidRDefault="00C46A1B" w:rsidP="00A1106D">
      <w:pPr>
        <w:jc w:val="both"/>
        <w:rPr>
          <w:rFonts w:ascii="Times New Roman" w:eastAsia="Calibri" w:hAnsi="Times New Roman" w:cs="Times New Roman"/>
          <w:noProof/>
          <w:sz w:val="24"/>
          <w:szCs w:val="24"/>
        </w:rPr>
      </w:pPr>
    </w:p>
    <w:p w14:paraId="06EF052A" w14:textId="6A347385" w:rsidR="00C46A1B" w:rsidRPr="00A1106D" w:rsidRDefault="005748FF" w:rsidP="005748FF">
      <w:pPr>
        <w:pStyle w:val="Heading1"/>
        <w:tabs>
          <w:tab w:val="left" w:pos="597"/>
        </w:tabs>
        <w:ind w:left="0" w:firstLine="0"/>
        <w:jc w:val="both"/>
        <w:rPr>
          <w:rFonts w:ascii="Times New Roman" w:hAnsi="Times New Roman" w:cs="Times New Roman"/>
          <w:noProof/>
          <w:sz w:val="24"/>
          <w:szCs w:val="24"/>
        </w:rPr>
      </w:pPr>
      <w:bookmarkStart w:id="10" w:name="10._Care_of_vulnerable_persons_(in_parti"/>
      <w:bookmarkEnd w:id="10"/>
      <w:r>
        <w:rPr>
          <w:rFonts w:ascii="Times New Roman" w:hAnsi="Times New Roman"/>
          <w:sz w:val="24"/>
        </w:rPr>
        <w:t xml:space="preserve">10. </w:t>
      </w:r>
      <w:r w:rsidR="000B4FA9">
        <w:rPr>
          <w:rFonts w:ascii="Times New Roman" w:hAnsi="Times New Roman"/>
          <w:sz w:val="24"/>
        </w:rPr>
        <w:t xml:space="preserve">Mazāk </w:t>
      </w:r>
      <w:r>
        <w:rPr>
          <w:rFonts w:ascii="Times New Roman" w:hAnsi="Times New Roman"/>
          <w:sz w:val="24"/>
        </w:rPr>
        <w:t>aizsargātu personu (jo īpaši bērnu) aprūpe</w:t>
      </w:r>
    </w:p>
    <w:p w14:paraId="42FD2C8D" w14:textId="77777777" w:rsidR="005748FF" w:rsidRDefault="005748FF" w:rsidP="005748FF">
      <w:pPr>
        <w:pStyle w:val="BodyText"/>
        <w:tabs>
          <w:tab w:val="left" w:pos="812"/>
        </w:tabs>
        <w:spacing w:before="0"/>
        <w:ind w:left="0" w:firstLine="0"/>
        <w:jc w:val="both"/>
        <w:rPr>
          <w:rFonts w:ascii="Times New Roman" w:hAnsi="Times New Roman" w:cs="Times New Roman"/>
          <w:noProof/>
        </w:rPr>
      </w:pPr>
    </w:p>
    <w:p w14:paraId="1AA5C8D8" w14:textId="2C6CB9CB" w:rsidR="00C46A1B" w:rsidRPr="00A1106D" w:rsidRDefault="00C46A1B" w:rsidP="00027662">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Būtu jāievieš īpašas </w:t>
      </w:r>
      <w:r>
        <w:rPr>
          <w:rFonts w:ascii="Times New Roman" w:hAnsi="Times New Roman"/>
          <w:b/>
          <w:bCs/>
        </w:rPr>
        <w:t>pārbaudes un izvērtēšanas</w:t>
      </w:r>
      <w:r>
        <w:rPr>
          <w:rFonts w:ascii="Times New Roman" w:hAnsi="Times New Roman"/>
        </w:rPr>
        <w:t xml:space="preserve"> procedūras, kuru mērķis ir identificēt spīdzināšanas upurus un citas personas, kas atrodas neaizsargātības situācijā, un jānodrošina atbilstoša </w:t>
      </w:r>
      <w:r>
        <w:rPr>
          <w:rFonts w:ascii="Times New Roman" w:hAnsi="Times New Roman"/>
          <w:b/>
          <w:bCs/>
        </w:rPr>
        <w:t>aprūpe</w:t>
      </w:r>
      <w:r>
        <w:rPr>
          <w:rFonts w:ascii="Times New Roman" w:hAnsi="Times New Roman"/>
        </w:rPr>
        <w:t xml:space="preserve">. Šajā saistībā </w:t>
      </w:r>
      <w:r>
        <w:rPr>
          <w:rFonts w:ascii="Times New Roman" w:hAnsi="Times New Roman"/>
          <w:i/>
          <w:iCs/>
        </w:rPr>
        <w:t>CPT</w:t>
      </w:r>
      <w:r>
        <w:rPr>
          <w:rFonts w:ascii="Times New Roman" w:hAnsi="Times New Roman"/>
        </w:rPr>
        <w:t xml:space="preserve"> uzskata, ka attiecībā uz konkrētām mazāk aizsargātām personu kategorijām jāpiemēro </w:t>
      </w:r>
      <w:r>
        <w:rPr>
          <w:rFonts w:ascii="Times New Roman" w:hAnsi="Times New Roman"/>
          <w:b/>
          <w:bCs/>
        </w:rPr>
        <w:t>jēgpilnas alternatīvas</w:t>
      </w:r>
      <w:r>
        <w:rPr>
          <w:rFonts w:ascii="Times New Roman" w:hAnsi="Times New Roman"/>
        </w:rPr>
        <w:t>, nevis aizturēšana. Šajās kategorijās cita starpā ietilpst spīdzināšanas upuri, cilvēktirdzniecības upuri, grūtnieces un barojošas mātes, bērni, ģimenes ar maziem bērniem, vecāka gadagājuma cilvēki un personas ar invaliditāti.</w:t>
      </w:r>
      <w:r w:rsidR="00A640A7">
        <w:rPr>
          <w:rStyle w:val="FootnoteReference"/>
          <w:rFonts w:ascii="Times New Roman" w:hAnsi="Times New Roman" w:cs="Times New Roman"/>
          <w:noProof/>
        </w:rPr>
        <w:footnoteReference w:id="70"/>
      </w:r>
    </w:p>
    <w:p w14:paraId="79EF0B35" w14:textId="03286746" w:rsidR="00A1106D" w:rsidRPr="002A790E" w:rsidRDefault="00C46A1B" w:rsidP="00027662">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i/>
          <w:iCs/>
          <w:sz w:val="24"/>
        </w:rPr>
        <w:t>CPT</w:t>
      </w:r>
      <w:r>
        <w:rPr>
          <w:rFonts w:ascii="Times New Roman" w:hAnsi="Times New Roman"/>
          <w:sz w:val="24"/>
        </w:rPr>
        <w:t xml:space="preserve"> vēlas atgādināt savu nostāju, ka jāvelta visas pūles, lai </w:t>
      </w:r>
      <w:r>
        <w:rPr>
          <w:rFonts w:ascii="Times New Roman" w:hAnsi="Times New Roman"/>
          <w:b/>
          <w:bCs/>
          <w:sz w:val="24"/>
        </w:rPr>
        <w:t>novērstu brīvības atņemšanu neatbilstīgiem migrantiem, kuri ir bērni</w:t>
      </w:r>
      <w:r>
        <w:rPr>
          <w:rFonts w:ascii="Times New Roman" w:hAnsi="Times New Roman"/>
          <w:sz w:val="24"/>
        </w:rPr>
        <w:t>.</w:t>
      </w:r>
      <w:r w:rsidR="003E2D0C">
        <w:rPr>
          <w:rStyle w:val="FootnoteReference"/>
          <w:rFonts w:ascii="Times New Roman" w:hAnsi="Times New Roman" w:cs="Times New Roman"/>
          <w:noProof/>
          <w:sz w:val="24"/>
          <w:szCs w:val="24"/>
        </w:rPr>
        <w:footnoteReference w:id="71"/>
      </w:r>
    </w:p>
    <w:p w14:paraId="2FB27F0E" w14:textId="4BDE69EA" w:rsidR="00C46A1B" w:rsidRPr="00A1106D" w:rsidRDefault="00C46A1B" w:rsidP="00027662">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sz w:val="24"/>
        </w:rPr>
        <w:t xml:space="preserve">Ja izņēmuma kārtā </w:t>
      </w:r>
      <w:r>
        <w:rPr>
          <w:rFonts w:ascii="Times New Roman" w:hAnsi="Times New Roman"/>
          <w:b/>
          <w:bCs/>
          <w:sz w:val="24"/>
        </w:rPr>
        <w:t>bērni kopā ar vecākiem tiek turēti izmitināšanas centrā</w:t>
      </w:r>
      <w:r>
        <w:rPr>
          <w:rFonts w:ascii="Times New Roman" w:hAnsi="Times New Roman"/>
          <w:sz w:val="24"/>
        </w:rPr>
        <w:t>, brīvības atņemšanai vajadzētu ilgt iespējami īsu laikposmu. Mātei (vai jebkuram citam primārajam aprūpētājam) un bērnam jābūt kopā izmitinātiem iestādē, kas atbilst viņu īpašajām vajadzībām.</w:t>
      </w:r>
      <w:r w:rsidR="0074117E">
        <w:rPr>
          <w:rStyle w:val="FootnoteReference"/>
          <w:rFonts w:ascii="Times New Roman" w:hAnsi="Times New Roman" w:cs="Times New Roman"/>
          <w:noProof/>
          <w:sz w:val="24"/>
          <w:szCs w:val="24"/>
        </w:rPr>
        <w:footnoteReference w:id="72"/>
      </w:r>
    </w:p>
    <w:p w14:paraId="6DC119E5" w14:textId="1DA359C7" w:rsidR="00C46A1B" w:rsidRPr="00A1106D" w:rsidRDefault="00C46A1B" w:rsidP="00027662">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i/>
          <w:iCs/>
        </w:rPr>
        <w:t>CPT</w:t>
      </w:r>
      <w:r>
        <w:rPr>
          <w:rFonts w:ascii="Times New Roman" w:hAnsi="Times New Roman"/>
        </w:rPr>
        <w:t xml:space="preserve"> piekrīt Apvienoto Nāciju Organizācijas Bērnu tiesību komitejai, kura uzskata: “Saskaņā ar Konvencijas [par bērna tiesībām] 37. pantu un bērna interešu principu </w:t>
      </w:r>
      <w:r>
        <w:rPr>
          <w:rFonts w:ascii="Times New Roman" w:hAnsi="Times New Roman"/>
          <w:b/>
          <w:bCs/>
        </w:rPr>
        <w:t>nepavadītus un nošķirtus bērnus parasti nevajadzētu aizturēt</w:t>
      </w:r>
      <w:r>
        <w:rPr>
          <w:rFonts w:ascii="Times New Roman" w:hAnsi="Times New Roman"/>
        </w:rPr>
        <w:t>. Bērnu nedrīkst aizturēt tikai tādēļ, ka viņš ir nepavadīts vai nošķirts, vai arī viņa migrācijas vai uzturēšanās statusa vai to trūkuma dēļ.”</w:t>
      </w:r>
      <w:r w:rsidR="0074117E">
        <w:rPr>
          <w:rStyle w:val="FootnoteReference"/>
          <w:rFonts w:ascii="Times New Roman" w:hAnsi="Times New Roman" w:cs="Times New Roman"/>
          <w:noProof/>
        </w:rPr>
        <w:footnoteReference w:id="73"/>
      </w:r>
      <w:r>
        <w:rPr>
          <w:rFonts w:ascii="Times New Roman" w:hAnsi="Times New Roman"/>
        </w:rPr>
        <w:t xml:space="preserve"> Turklāt citas Eiropas Padomes institūcijas, piemēram, Parlamentārā asambleja</w:t>
      </w:r>
      <w:r w:rsidR="00571940">
        <w:rPr>
          <w:rStyle w:val="FootnoteReference"/>
          <w:rFonts w:ascii="Times New Roman" w:hAnsi="Times New Roman" w:cs="Times New Roman"/>
          <w:noProof/>
        </w:rPr>
        <w:footnoteReference w:id="74"/>
      </w:r>
      <w:r>
        <w:rPr>
          <w:rFonts w:ascii="Times New Roman" w:hAnsi="Times New Roman"/>
        </w:rPr>
        <w:t xml:space="preserve"> un cilvēktiesību komisārs,</w:t>
      </w:r>
      <w:r w:rsidR="00571940">
        <w:rPr>
          <w:rStyle w:val="FootnoteReference"/>
          <w:rFonts w:ascii="Times New Roman" w:hAnsi="Times New Roman" w:cs="Times New Roman"/>
          <w:noProof/>
        </w:rPr>
        <w:footnoteReference w:id="75"/>
      </w:r>
      <w:r>
        <w:rPr>
          <w:rFonts w:ascii="Times New Roman" w:hAnsi="Times New Roman"/>
        </w:rPr>
        <w:t xml:space="preserve"> ir norādījušas, ka nepavadītus bērnus nevajadzētu </w:t>
      </w:r>
      <w:r>
        <w:rPr>
          <w:rFonts w:ascii="Times New Roman" w:hAnsi="Times New Roman"/>
        </w:rPr>
        <w:lastRenderedPageBreak/>
        <w:t>aizturēt.</w:t>
      </w:r>
      <w:r w:rsidR="00571940">
        <w:rPr>
          <w:rStyle w:val="FootnoteReference"/>
          <w:rFonts w:ascii="Times New Roman" w:hAnsi="Times New Roman" w:cs="Times New Roman"/>
          <w:noProof/>
        </w:rPr>
        <w:footnoteReference w:id="76"/>
      </w:r>
    </w:p>
    <w:p w14:paraId="240B4FEB" w14:textId="77E291EE" w:rsidR="00C46A1B" w:rsidRPr="00A1106D" w:rsidRDefault="00C46A1B" w:rsidP="00027662">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Iespējami drīz pēc tam, kad iestādes uzzinājušas par </w:t>
      </w:r>
      <w:r>
        <w:rPr>
          <w:rFonts w:ascii="Times New Roman" w:hAnsi="Times New Roman"/>
          <w:b/>
          <w:bCs/>
        </w:rPr>
        <w:t>nepavadīta nepilngadīgā</w:t>
      </w:r>
      <w:r>
        <w:rPr>
          <w:rFonts w:ascii="Times New Roman" w:hAnsi="Times New Roman"/>
        </w:rPr>
        <w:t xml:space="preserve"> klātbūtni, profesionālai, kvalificētai personai jāveic sākotnējā iztaujāšana valodā, kuru bērns saprot. Jāizvērtē bērna </w:t>
      </w:r>
      <w:r>
        <w:rPr>
          <w:rFonts w:ascii="Times New Roman" w:hAnsi="Times New Roman"/>
          <w:b/>
          <w:bCs/>
        </w:rPr>
        <w:t>konkrētie neaizsargātības</w:t>
      </w:r>
      <w:r>
        <w:rPr>
          <w:rFonts w:ascii="Times New Roman" w:hAnsi="Times New Roman"/>
        </w:rPr>
        <w:t xml:space="preserve"> </w:t>
      </w:r>
      <w:r>
        <w:rPr>
          <w:rFonts w:ascii="Times New Roman" w:hAnsi="Times New Roman"/>
          <w:b/>
          <w:bCs/>
        </w:rPr>
        <w:t>cēloņi</w:t>
      </w:r>
      <w:r>
        <w:rPr>
          <w:rFonts w:ascii="Times New Roman" w:hAnsi="Times New Roman"/>
        </w:rPr>
        <w:t>, tostarp tie, kas saistīti ar vecumu, veselību, psihosociālajiem faktoriem un citām aizsardzības vajadzībām (tostarp tām vajadzībām, kas izriet no pārdzīvotās vardarbības, nelikumīgas pārvadāšanas vai traumas).</w:t>
      </w:r>
      <w:r w:rsidR="007D002F">
        <w:rPr>
          <w:rStyle w:val="FootnoteReference"/>
          <w:rFonts w:ascii="Times New Roman" w:hAnsi="Times New Roman" w:cs="Times New Roman"/>
          <w:noProof/>
        </w:rPr>
        <w:footnoteReference w:id="77"/>
      </w:r>
      <w:r>
        <w:rPr>
          <w:rFonts w:ascii="Times New Roman" w:hAnsi="Times New Roman"/>
        </w:rPr>
        <w:t xml:space="preserve"> Jādara viss iespējamais, lai veicinātu viņu tūlītēju atbrīvošanu no izmitināšanas vietas un ievietošanu atbilstīgākā aprūpē.</w:t>
      </w:r>
      <w:r w:rsidR="007D002F">
        <w:rPr>
          <w:rStyle w:val="FootnoteReference"/>
          <w:rFonts w:ascii="Times New Roman" w:hAnsi="Times New Roman" w:cs="Times New Roman"/>
          <w:noProof/>
        </w:rPr>
        <w:footnoteReference w:id="78"/>
      </w:r>
    </w:p>
    <w:p w14:paraId="6105A93C" w14:textId="6CE2CA15" w:rsidR="00C46A1B" w:rsidRPr="00A1106D" w:rsidRDefault="00C46A1B" w:rsidP="00027662">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b/>
          <w:bCs/>
        </w:rPr>
        <w:t>Nepavadītam vai nošķirtam bērnam</w:t>
      </w:r>
      <w:r>
        <w:rPr>
          <w:rFonts w:ascii="Times New Roman" w:hAnsi="Times New Roman"/>
        </w:rPr>
        <w:t xml:space="preserve">, kam atņemta brīvība, jānodrošina tūlītēja bezmaksas juridiskā un cita veida pienācīga palīdzība, tostarp tāda </w:t>
      </w:r>
      <w:r>
        <w:rPr>
          <w:rFonts w:ascii="Times New Roman" w:hAnsi="Times New Roman"/>
          <w:b/>
          <w:bCs/>
        </w:rPr>
        <w:t>aizbildņa</w:t>
      </w:r>
      <w:r>
        <w:rPr>
          <w:rFonts w:ascii="Times New Roman" w:hAnsi="Times New Roman"/>
        </w:rPr>
        <w:t xml:space="preserve"> vai </w:t>
      </w:r>
      <w:r>
        <w:rPr>
          <w:rFonts w:ascii="Times New Roman" w:hAnsi="Times New Roman"/>
          <w:b/>
          <w:bCs/>
        </w:rPr>
        <w:t>likumīgā pārstāvja</w:t>
      </w:r>
      <w:r w:rsidR="00087B63">
        <w:rPr>
          <w:rStyle w:val="FootnoteReference"/>
          <w:rFonts w:ascii="Times New Roman" w:hAnsi="Times New Roman" w:cs="Times New Roman"/>
          <w:b/>
          <w:noProof/>
        </w:rPr>
        <w:footnoteReference w:id="79"/>
      </w:r>
      <w:r>
        <w:rPr>
          <w:rFonts w:ascii="Times New Roman" w:hAnsi="Times New Roman"/>
        </w:rPr>
        <w:t xml:space="preserve"> iecelšana, kas bērnu informēs par viņa tiesisko statusu un efektīvi aizsargās viņa intereses. Lai uzraudzītu aizbildnības kvalitāti, jāievieš arī atbilstīgi pārbaudes mehānismi.</w:t>
      </w:r>
      <w:r w:rsidR="00087B63">
        <w:rPr>
          <w:rStyle w:val="FootnoteReference"/>
          <w:rFonts w:ascii="Times New Roman" w:hAnsi="Times New Roman" w:cs="Times New Roman"/>
          <w:noProof/>
        </w:rPr>
        <w:footnoteReference w:id="80"/>
      </w:r>
    </w:p>
    <w:p w14:paraId="313A4BD9" w14:textId="2FD2EE31" w:rsidR="00C46A1B" w:rsidRPr="00A1106D" w:rsidRDefault="00C46A1B" w:rsidP="00027662">
      <w:pPr>
        <w:numPr>
          <w:ilvl w:val="1"/>
          <w:numId w:val="2"/>
        </w:numPr>
        <w:tabs>
          <w:tab w:val="left" w:pos="812"/>
        </w:tabs>
        <w:ind w:left="284" w:firstLine="0"/>
        <w:jc w:val="both"/>
        <w:rPr>
          <w:rFonts w:ascii="Times New Roman" w:eastAsia="Calibri" w:hAnsi="Times New Roman" w:cs="Times New Roman"/>
          <w:noProof/>
          <w:sz w:val="24"/>
          <w:szCs w:val="24"/>
        </w:rPr>
      </w:pPr>
      <w:r>
        <w:rPr>
          <w:rFonts w:ascii="Times New Roman" w:hAnsi="Times New Roman"/>
          <w:b/>
          <w:bCs/>
          <w:sz w:val="24"/>
        </w:rPr>
        <w:t>Bērni</w:t>
      </w:r>
      <w:r>
        <w:rPr>
          <w:rFonts w:ascii="Times New Roman" w:hAnsi="Times New Roman"/>
          <w:sz w:val="24"/>
        </w:rPr>
        <w:t xml:space="preserve"> būtu jātur tikai </w:t>
      </w:r>
      <w:r>
        <w:rPr>
          <w:rFonts w:ascii="Times New Roman" w:hAnsi="Times New Roman"/>
          <w:b/>
          <w:bCs/>
          <w:sz w:val="24"/>
        </w:rPr>
        <w:t>centros, kas paredzēti viņu īpašajām vajadzībām</w:t>
      </w:r>
      <w:r>
        <w:rPr>
          <w:rFonts w:ascii="Times New Roman" w:hAnsi="Times New Roman"/>
          <w:sz w:val="24"/>
        </w:rPr>
        <w:t>, un tajos jābūt pienācīgi mācītam vīriešu un sieviešu dzimuma personālam.</w:t>
      </w:r>
      <w:r w:rsidR="004943F6">
        <w:rPr>
          <w:rStyle w:val="FootnoteReference"/>
          <w:rFonts w:ascii="Times New Roman" w:hAnsi="Times New Roman" w:cs="Times New Roman"/>
          <w:noProof/>
          <w:sz w:val="24"/>
          <w:szCs w:val="24"/>
        </w:rPr>
        <w:footnoteReference w:id="81"/>
      </w:r>
    </w:p>
    <w:p w14:paraId="247C90A3" w14:textId="74CC486B" w:rsidR="00C46A1B" w:rsidRPr="00A1106D" w:rsidRDefault="00C46A1B" w:rsidP="00027662">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Lai ierobežotu izmantošanas risku, jāveic īpaši pasākumi, lai </w:t>
      </w:r>
      <w:r>
        <w:rPr>
          <w:rFonts w:ascii="Times New Roman" w:hAnsi="Times New Roman"/>
          <w:b/>
          <w:bCs/>
        </w:rPr>
        <w:t>dzīvojamās telpas</w:t>
      </w:r>
      <w:r>
        <w:rPr>
          <w:rFonts w:ascii="Times New Roman" w:hAnsi="Times New Roman"/>
        </w:rPr>
        <w:t xml:space="preserve"> piemērotu </w:t>
      </w:r>
      <w:r>
        <w:rPr>
          <w:rFonts w:ascii="Times New Roman" w:hAnsi="Times New Roman"/>
          <w:b/>
          <w:bCs/>
        </w:rPr>
        <w:t>bērniem</w:t>
      </w:r>
      <w:r>
        <w:rPr>
          <w:rFonts w:ascii="Times New Roman" w:hAnsi="Times New Roman"/>
        </w:rPr>
        <w:t>, piemēram, nošķirtu viņus no pieaugušajiem, izņemot, ja bērna interešu nodrošināšanas nolūkā uzskatāms, ka tas nebūtu jādara. Šāds gadījums varētu būt, piemēram, kad bērni ir kopā ar saviem vecākiem vai citiem tuviem radiniekiem. Šādā gadījumā visiem spēkiem jācenšas izvairīties no ģimenes sašķelšanas.</w:t>
      </w:r>
      <w:r w:rsidR="004943F6">
        <w:rPr>
          <w:rStyle w:val="FootnoteReference"/>
          <w:rFonts w:ascii="Times New Roman" w:hAnsi="Times New Roman" w:cs="Times New Roman"/>
          <w:noProof/>
        </w:rPr>
        <w:footnoteReference w:id="82"/>
      </w:r>
    </w:p>
    <w:p w14:paraId="7A184D21" w14:textId="64C2B491" w:rsidR="00C46A1B" w:rsidRPr="00027662" w:rsidRDefault="00C46A1B" w:rsidP="00027662">
      <w:pPr>
        <w:pStyle w:val="BodyText"/>
        <w:numPr>
          <w:ilvl w:val="1"/>
          <w:numId w:val="2"/>
        </w:numPr>
        <w:tabs>
          <w:tab w:val="left" w:pos="812"/>
        </w:tabs>
        <w:spacing w:before="0"/>
        <w:ind w:left="284" w:firstLine="0"/>
        <w:jc w:val="both"/>
        <w:rPr>
          <w:rFonts w:ascii="Times New Roman" w:hAnsi="Times New Roman" w:cs="Times New Roman"/>
          <w:noProof/>
        </w:rPr>
      </w:pPr>
      <w:r>
        <w:rPr>
          <w:rFonts w:ascii="Times New Roman" w:hAnsi="Times New Roman"/>
        </w:rPr>
        <w:t xml:space="preserve">Bērniem, kam atņemta brīvība, jātiek piedāvātām dažādām radošām </w:t>
      </w:r>
      <w:r>
        <w:rPr>
          <w:rFonts w:ascii="Times New Roman" w:hAnsi="Times New Roman"/>
          <w:b/>
          <w:bCs/>
        </w:rPr>
        <w:t>nodarbībām</w:t>
      </w:r>
      <w:r>
        <w:rPr>
          <w:rFonts w:ascii="Times New Roman" w:hAnsi="Times New Roman"/>
        </w:rPr>
        <w:t xml:space="preserve"> (īpaši uzsverot bērna iespēju turpināt izglītību).</w:t>
      </w:r>
      <w:r w:rsidR="0009342F">
        <w:rPr>
          <w:rStyle w:val="FootnoteReference"/>
          <w:rFonts w:ascii="Times New Roman" w:hAnsi="Times New Roman" w:cs="Times New Roman"/>
          <w:noProof/>
        </w:rPr>
        <w:footnoteReference w:id="83"/>
      </w:r>
    </w:p>
    <w:sectPr w:rsidR="00C46A1B" w:rsidRPr="00027662" w:rsidSect="007771A4">
      <w:headerReference w:type="default" r:id="rId12"/>
      <w:footerReference w:type="default" r:id="rId13"/>
      <w:headerReference w:type="first" r:id="rId14"/>
      <w:footerReference w:type="first" r:id="rId15"/>
      <w:pgSz w:w="11910"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2976" w14:textId="77777777" w:rsidR="006D5880" w:rsidRPr="00C46A1B" w:rsidRDefault="006D5880">
      <w:pPr>
        <w:rPr>
          <w:noProof/>
        </w:rPr>
      </w:pPr>
      <w:r w:rsidRPr="00C46A1B">
        <w:rPr>
          <w:noProof/>
        </w:rPr>
        <w:separator/>
      </w:r>
    </w:p>
  </w:endnote>
  <w:endnote w:type="continuationSeparator" w:id="0">
    <w:p w14:paraId="5EFD56A3" w14:textId="77777777" w:rsidR="006D5880" w:rsidRPr="00C46A1B" w:rsidRDefault="006D5880">
      <w:pPr>
        <w:rPr>
          <w:noProof/>
        </w:rPr>
      </w:pPr>
      <w:r w:rsidRPr="00C46A1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950F" w14:textId="77777777" w:rsidR="007771A4" w:rsidRPr="003E47FA" w:rsidRDefault="007771A4" w:rsidP="007771A4">
    <w:pPr>
      <w:pStyle w:val="Header"/>
      <w:tabs>
        <w:tab w:val="left" w:pos="9072"/>
      </w:tabs>
      <w:jc w:val="both"/>
      <w:rPr>
        <w:rStyle w:val="PageNumber"/>
        <w:rFonts w:ascii="Times New Roman" w:hAnsi="Times New Roman" w:cs="Times New Roman"/>
        <w:sz w:val="20"/>
        <w:szCs w:val="20"/>
      </w:rPr>
    </w:pPr>
  </w:p>
  <w:p w14:paraId="08F8592A" w14:textId="77777777" w:rsidR="007771A4" w:rsidRPr="003E47FA" w:rsidRDefault="007771A4" w:rsidP="007771A4">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3A814559" w14:textId="77777777" w:rsidR="007771A4" w:rsidRPr="003E47FA" w:rsidRDefault="007771A4" w:rsidP="007771A4">
    <w:pPr>
      <w:pStyle w:val="Header"/>
      <w:tabs>
        <w:tab w:val="right" w:pos="9072"/>
      </w:tabs>
      <w:jc w:val="both"/>
      <w:rPr>
        <w:rStyle w:val="PageNumber"/>
        <w:rFonts w:ascii="Times New Roman" w:hAnsi="Times New Roman" w:cs="Times New Roman"/>
        <w:sz w:val="20"/>
        <w:szCs w:val="20"/>
      </w:rPr>
    </w:pPr>
  </w:p>
  <w:p w14:paraId="0C4E3DCE" w14:textId="3BFB8CC7" w:rsidR="007771A4" w:rsidRPr="00890BB0" w:rsidRDefault="007771A4" w:rsidP="007771A4">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sidR="00F050E0">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0987C69F" w14:textId="6D62090E" w:rsidR="0012294B" w:rsidRPr="00C46A1B" w:rsidRDefault="0012294B">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146A" w14:textId="77777777" w:rsidR="009A75C2" w:rsidRPr="003F25D0" w:rsidRDefault="009A75C2" w:rsidP="009A75C2">
    <w:pPr>
      <w:pStyle w:val="Header"/>
      <w:tabs>
        <w:tab w:val="left" w:pos="9072"/>
      </w:tabs>
      <w:jc w:val="both"/>
      <w:rPr>
        <w:rStyle w:val="PageNumber"/>
        <w:rFonts w:ascii="Times New Roman" w:hAnsi="Times New Roman"/>
        <w:sz w:val="20"/>
        <w:szCs w:val="18"/>
      </w:rPr>
    </w:pPr>
  </w:p>
  <w:p w14:paraId="4DC614E0" w14:textId="77777777" w:rsidR="009A75C2" w:rsidRPr="003F25D0" w:rsidRDefault="009A75C2" w:rsidP="009A75C2">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431BC492" w14:textId="77777777" w:rsidR="009A75C2" w:rsidRPr="003F25D0" w:rsidRDefault="009A75C2" w:rsidP="009A75C2">
    <w:pPr>
      <w:pStyle w:val="Header"/>
      <w:tabs>
        <w:tab w:val="left" w:pos="9072"/>
      </w:tabs>
      <w:jc w:val="both"/>
      <w:rPr>
        <w:rStyle w:val="PageNumber"/>
        <w:rFonts w:ascii="Times New Roman" w:hAnsi="Times New Roman"/>
        <w:sz w:val="20"/>
        <w:szCs w:val="18"/>
      </w:rPr>
    </w:pPr>
  </w:p>
  <w:p w14:paraId="1B50DDCC" w14:textId="62DC403F" w:rsidR="009A75C2" w:rsidRPr="003F25D0" w:rsidRDefault="009A75C2" w:rsidP="009A75C2">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202</w:t>
    </w:r>
    <w:r w:rsidR="00F050E0">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C2EC" w14:textId="77777777" w:rsidR="006D5880" w:rsidRPr="00C46A1B" w:rsidRDefault="006D5880">
      <w:pPr>
        <w:rPr>
          <w:noProof/>
        </w:rPr>
      </w:pPr>
      <w:r w:rsidRPr="00C46A1B">
        <w:rPr>
          <w:noProof/>
        </w:rPr>
        <w:separator/>
      </w:r>
    </w:p>
  </w:footnote>
  <w:footnote w:type="continuationSeparator" w:id="0">
    <w:p w14:paraId="5C9A7D26" w14:textId="77777777" w:rsidR="006D5880" w:rsidRPr="00C46A1B" w:rsidRDefault="006D5880">
      <w:pPr>
        <w:rPr>
          <w:noProof/>
        </w:rPr>
      </w:pPr>
      <w:r w:rsidRPr="00C46A1B">
        <w:rPr>
          <w:noProof/>
        </w:rPr>
        <w:continuationSeparator/>
      </w:r>
    </w:p>
  </w:footnote>
  <w:footnote w:id="1">
    <w:p w14:paraId="737C141E" w14:textId="225204FA" w:rsidR="00C42A0D" w:rsidRPr="00C42A0D" w:rsidRDefault="00C42A0D">
      <w:pPr>
        <w:pStyle w:val="FootnoteText"/>
      </w:pPr>
      <w:r>
        <w:rPr>
          <w:rStyle w:val="FootnoteReference"/>
        </w:rPr>
        <w:footnoteRef/>
      </w:r>
      <w:r>
        <w:t xml:space="preserve"> </w:t>
      </w:r>
      <w:r>
        <w:rPr>
          <w:rFonts w:ascii="Times New Roman" w:hAnsi="Times New Roman"/>
        </w:rPr>
        <w:t>Jo īpaši 3., 5. un 8. pants.</w:t>
      </w:r>
    </w:p>
  </w:footnote>
  <w:footnote w:id="2">
    <w:p w14:paraId="05B6585A" w14:textId="4CAFC456" w:rsidR="00C42A0D" w:rsidRPr="00C42A0D" w:rsidRDefault="00C42A0D" w:rsidP="00C42A0D">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rPr>
        <w:t>CM(2005)40 galīgā redakcija, 2005. gada 9. maijs, jo īpaši 10. un 11. pamatnostādne.</w:t>
      </w:r>
    </w:p>
  </w:footnote>
  <w:footnote w:id="3">
    <w:p w14:paraId="0D6C2EF8" w14:textId="77777777" w:rsidR="00C42A0D" w:rsidRPr="00EE6893" w:rsidRDefault="00C42A0D" w:rsidP="00C42A0D">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rPr>
        <w:t>Eiropas Parlamenta un Padomes 2008. gada 16. decembra Direktīva 2008/115/EK par kopīgiem standartiem un procedūrām dalībvalstīs attiecībā uz to trešo valstu valstspiederīgo atgriešanu, kas dalībvalstī uzturas nelikumīgi.</w:t>
      </w:r>
    </w:p>
    <w:p w14:paraId="3E8A76C2" w14:textId="6FC946D2" w:rsidR="00C42A0D" w:rsidRPr="00C42A0D" w:rsidRDefault="00C42A0D" w:rsidP="00C42A0D">
      <w:pPr>
        <w:jc w:val="both"/>
        <w:rPr>
          <w:rFonts w:ascii="Times New Roman" w:hAnsi="Times New Roman" w:cs="Times New Roman"/>
          <w:noProof/>
          <w:sz w:val="20"/>
          <w:szCs w:val="20"/>
        </w:rPr>
      </w:pPr>
      <w:r>
        <w:rPr>
          <w:rFonts w:ascii="Times New Roman" w:hAnsi="Times New Roman"/>
          <w:sz w:val="20"/>
        </w:rPr>
        <w:t>Direktīva attiecas uz visām Eiropas Savienības dalībvalstīm, izņemot Apvienoto Karalisti un Īriju. Tiktāl, cik tas attiecas uz tiem, kas ieceļo teritorijā bez atļaujas, tā attiecas uz Dāniju un Šengenas asociētajām valstīm (Islandi, Lihtenšteinu, Norvēģiju un Šveici).</w:t>
      </w:r>
    </w:p>
  </w:footnote>
  <w:footnote w:id="4">
    <w:p w14:paraId="215CE63D" w14:textId="0B47FE9C" w:rsidR="00C10C52" w:rsidRPr="00C10C52" w:rsidRDefault="00C10C52">
      <w:pPr>
        <w:pStyle w:val="FootnoteText"/>
      </w:pPr>
      <w:r>
        <w:rPr>
          <w:rStyle w:val="FootnoteReference"/>
        </w:rPr>
        <w:footnoteRef/>
      </w:r>
      <w:r>
        <w:t xml:space="preserve"> </w:t>
      </w:r>
      <w:r>
        <w:rPr>
          <w:rFonts w:ascii="Times New Roman" w:hAnsi="Times New Roman"/>
          <w:u w:color="0000FF"/>
        </w:rPr>
        <w:t xml:space="preserve">Malta: 2004. gada </w:t>
      </w:r>
      <w:r w:rsidR="001709A4" w:rsidRPr="001709A4">
        <w:rPr>
          <w:rFonts w:ascii="Times New Roman" w:hAnsi="Times New Roman"/>
          <w:u w:color="0000FF"/>
        </w:rPr>
        <w:t>vizīte</w:t>
      </w:r>
      <w:r>
        <w:rPr>
          <w:rFonts w:ascii="Times New Roman" w:hAnsi="Times New Roman"/>
          <w:u w:color="0000FF"/>
        </w:rPr>
        <w:t>, 14. punkts</w:t>
      </w:r>
      <w:r>
        <w:rPr>
          <w:rFonts w:ascii="Times New Roman" w:hAnsi="Times New Roman"/>
        </w:rPr>
        <w:t xml:space="preserve">; </w:t>
      </w:r>
      <w:r>
        <w:rPr>
          <w:rFonts w:ascii="Times New Roman" w:hAnsi="Times New Roman"/>
          <w:u w:color="0000FF"/>
        </w:rPr>
        <w:t xml:space="preserve">Serbija un Melnkalne: 2004. gada </w:t>
      </w:r>
      <w:r w:rsidR="001709A4" w:rsidRPr="001709A4">
        <w:rPr>
          <w:rFonts w:ascii="Times New Roman" w:hAnsi="Times New Roman"/>
          <w:u w:color="0000FF"/>
        </w:rPr>
        <w:t>vizīte</w:t>
      </w:r>
      <w:r>
        <w:rPr>
          <w:rFonts w:ascii="Times New Roman" w:hAnsi="Times New Roman"/>
          <w:u w:color="0000FF"/>
        </w:rPr>
        <w:t>, 65. punkts.</w:t>
      </w:r>
    </w:p>
  </w:footnote>
  <w:footnote w:id="5">
    <w:p w14:paraId="3855007F" w14:textId="41064D17" w:rsidR="00C10C52" w:rsidRPr="00C10C52" w:rsidRDefault="00C10C52" w:rsidP="00C10C52">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19. vispārējais ziņojums par </w:t>
      </w:r>
      <w:r>
        <w:rPr>
          <w:rFonts w:ascii="Times New Roman" w:hAnsi="Times New Roman"/>
          <w:i/>
          <w:iCs/>
          <w:sz w:val="20"/>
          <w:u w:color="0000FF"/>
        </w:rPr>
        <w:t>CPT</w:t>
      </w:r>
      <w:r>
        <w:rPr>
          <w:rFonts w:ascii="Times New Roman" w:hAnsi="Times New Roman"/>
          <w:sz w:val="20"/>
          <w:u w:color="0000FF"/>
        </w:rPr>
        <w:t xml:space="preserve"> darbību, 76. punkts</w:t>
      </w:r>
      <w:r>
        <w:rPr>
          <w:rFonts w:ascii="Times New Roman" w:hAnsi="Times New Roman"/>
          <w:sz w:val="20"/>
        </w:rPr>
        <w:t xml:space="preserve">; </w:t>
      </w:r>
      <w:r>
        <w:rPr>
          <w:rFonts w:ascii="Times New Roman" w:hAnsi="Times New Roman"/>
          <w:sz w:val="20"/>
          <w:u w:color="0000FF"/>
        </w:rPr>
        <w:t xml:space="preserve">Spānija: 2014. gada </w:t>
      </w:r>
      <w:r w:rsidR="001709A4" w:rsidRPr="001709A4">
        <w:rPr>
          <w:rFonts w:ascii="Times New Roman" w:hAnsi="Times New Roman"/>
          <w:sz w:val="20"/>
          <w:u w:color="0000FF"/>
        </w:rPr>
        <w:t>vizīte</w:t>
      </w:r>
      <w:r>
        <w:rPr>
          <w:rFonts w:ascii="Times New Roman" w:hAnsi="Times New Roman"/>
          <w:sz w:val="20"/>
          <w:u w:color="0000FF"/>
        </w:rPr>
        <w:t>, 9. punkts.</w:t>
      </w:r>
    </w:p>
  </w:footnote>
  <w:footnote w:id="6">
    <w:p w14:paraId="7BADA960" w14:textId="6DA98522" w:rsidR="00C10C52" w:rsidRPr="00C10C52" w:rsidRDefault="00C10C52">
      <w:pPr>
        <w:pStyle w:val="FootnoteText"/>
      </w:pPr>
      <w:r>
        <w:rPr>
          <w:rStyle w:val="FootnoteReference"/>
        </w:rPr>
        <w:footnoteRef/>
      </w:r>
      <w:r>
        <w:t xml:space="preserve"> </w:t>
      </w:r>
      <w:r>
        <w:rPr>
          <w:rFonts w:ascii="Times New Roman" w:hAnsi="Times New Roman"/>
          <w:u w:color="0000FF"/>
        </w:rPr>
        <w:t xml:space="preserve">Vācija: 2005. gada </w:t>
      </w:r>
      <w:r w:rsidR="001709A4" w:rsidRPr="001709A4">
        <w:rPr>
          <w:rFonts w:ascii="Times New Roman" w:hAnsi="Times New Roman"/>
          <w:u w:color="0000FF"/>
        </w:rPr>
        <w:t>vizīte</w:t>
      </w:r>
      <w:r>
        <w:rPr>
          <w:rFonts w:ascii="Times New Roman" w:hAnsi="Times New Roman"/>
          <w:u w:color="0000FF"/>
        </w:rPr>
        <w:t>, 56. punkts</w:t>
      </w:r>
      <w:r>
        <w:rPr>
          <w:rFonts w:ascii="Times New Roman" w:hAnsi="Times New Roman"/>
        </w:rPr>
        <w:t xml:space="preserve">; </w:t>
      </w:r>
      <w:r>
        <w:rPr>
          <w:rFonts w:ascii="Times New Roman" w:hAnsi="Times New Roman"/>
          <w:u w:color="0000FF"/>
        </w:rPr>
        <w:t xml:space="preserve">19. vispārējais ziņojums par </w:t>
      </w:r>
      <w:r>
        <w:rPr>
          <w:rFonts w:ascii="Times New Roman" w:hAnsi="Times New Roman"/>
          <w:i/>
          <w:iCs/>
          <w:u w:color="0000FF"/>
        </w:rPr>
        <w:t>CPT</w:t>
      </w:r>
      <w:r>
        <w:rPr>
          <w:rFonts w:ascii="Times New Roman" w:hAnsi="Times New Roman"/>
          <w:u w:color="0000FF"/>
        </w:rPr>
        <w:t xml:space="preserve"> darbību, 87. punkts.</w:t>
      </w:r>
    </w:p>
  </w:footnote>
  <w:footnote w:id="7">
    <w:p w14:paraId="346FDDC9" w14:textId="2597EAC6" w:rsidR="00C10C52" w:rsidRPr="00C10C52" w:rsidRDefault="00C10C52">
      <w:pPr>
        <w:pStyle w:val="FootnoteText"/>
      </w:pPr>
      <w:r>
        <w:rPr>
          <w:rStyle w:val="FootnoteReference"/>
        </w:rPr>
        <w:footnoteRef/>
      </w:r>
      <w:r>
        <w:t xml:space="preserve"> </w:t>
      </w:r>
      <w:r>
        <w:rPr>
          <w:rFonts w:ascii="Times New Roman" w:hAnsi="Times New Roman"/>
          <w:u w:color="0000FF"/>
        </w:rPr>
        <w:t xml:space="preserve">Bulgārija: 2008. gada </w:t>
      </w:r>
      <w:r w:rsidR="001709A4" w:rsidRPr="001709A4">
        <w:rPr>
          <w:rFonts w:ascii="Times New Roman" w:hAnsi="Times New Roman"/>
          <w:u w:color="0000FF"/>
        </w:rPr>
        <w:t>vizīte</w:t>
      </w:r>
      <w:r>
        <w:rPr>
          <w:rFonts w:ascii="Times New Roman" w:hAnsi="Times New Roman"/>
          <w:u w:color="0000FF"/>
        </w:rPr>
        <w:t>, 29. punkts.</w:t>
      </w:r>
    </w:p>
  </w:footnote>
  <w:footnote w:id="8">
    <w:p w14:paraId="3A56540A" w14:textId="303BF7E8" w:rsidR="00C10C52" w:rsidRPr="00C10C52" w:rsidRDefault="00C10C52">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85. punkts.</w:t>
      </w:r>
    </w:p>
  </w:footnote>
  <w:footnote w:id="9">
    <w:p w14:paraId="4591E3E0" w14:textId="41A00BBD" w:rsidR="00C10C52" w:rsidRPr="00C10C52" w:rsidRDefault="00C10C52">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81. punkts.</w:t>
      </w:r>
    </w:p>
  </w:footnote>
  <w:footnote w:id="10">
    <w:p w14:paraId="13D87E6E" w14:textId="36C9FA2C" w:rsidR="00C10C52" w:rsidRPr="00C10C52" w:rsidRDefault="00C10C52">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82. punkts.</w:t>
      </w:r>
    </w:p>
  </w:footnote>
  <w:footnote w:id="11">
    <w:p w14:paraId="0C648F51" w14:textId="4D692044" w:rsidR="00C10C52" w:rsidRPr="00C10C52" w:rsidRDefault="00C10C52" w:rsidP="00C10C52">
      <w:pPr>
        <w:jc w:val="both"/>
        <w:rPr>
          <w:rFonts w:ascii="Times New Roman" w:eastAsia="Calibri" w:hAnsi="Times New Roman" w:cs="Times New Roman"/>
          <w:noProof/>
          <w:sz w:val="20"/>
          <w:szCs w:val="20"/>
        </w:rPr>
      </w:pPr>
      <w:r>
        <w:rPr>
          <w:rStyle w:val="FootnoteReference"/>
        </w:rPr>
        <w:footnoteRef/>
      </w:r>
      <w:r>
        <w:rPr>
          <w:rFonts w:ascii="Times New Roman" w:hAnsi="Times New Roman"/>
          <w:sz w:val="20"/>
          <w:u w:color="0000FF"/>
        </w:rPr>
        <w:t xml:space="preserve"> 19. vispārējais ziņojums par </w:t>
      </w:r>
      <w:r>
        <w:rPr>
          <w:rFonts w:ascii="Times New Roman" w:hAnsi="Times New Roman"/>
          <w:i/>
          <w:iCs/>
          <w:sz w:val="20"/>
          <w:u w:color="0000FF"/>
        </w:rPr>
        <w:t>CPT</w:t>
      </w:r>
      <w:r>
        <w:rPr>
          <w:rFonts w:ascii="Times New Roman" w:hAnsi="Times New Roman"/>
          <w:sz w:val="20"/>
          <w:u w:color="0000FF"/>
        </w:rPr>
        <w:t xml:space="preserve"> darbību, 82. punkts.</w:t>
      </w:r>
    </w:p>
  </w:footnote>
  <w:footnote w:id="12">
    <w:p w14:paraId="7CB70F30" w14:textId="7FBCDF5A" w:rsidR="00C10C52" w:rsidRPr="001709A4" w:rsidRDefault="00C10C52" w:rsidP="001709A4">
      <w:pPr>
        <w:jc w:val="both"/>
        <w:rPr>
          <w:rFonts w:ascii="Times New Roman" w:eastAsia="Calibri" w:hAnsi="Times New Roman" w:cs="Times New Roman"/>
          <w:noProof/>
          <w:sz w:val="20"/>
          <w:szCs w:val="20"/>
        </w:rPr>
      </w:pPr>
      <w:r>
        <w:rPr>
          <w:rStyle w:val="FootnoteReference"/>
        </w:rPr>
        <w:footnoteRef/>
      </w:r>
      <w:r>
        <w:rPr>
          <w:rFonts w:ascii="Times New Roman" w:hAnsi="Times New Roman"/>
          <w:sz w:val="20"/>
          <w:u w:color="0000FF"/>
        </w:rPr>
        <w:t xml:space="preserve"> 19. vispārējais ziņojums par </w:t>
      </w:r>
      <w:r>
        <w:rPr>
          <w:rFonts w:ascii="Times New Roman" w:hAnsi="Times New Roman"/>
          <w:i/>
          <w:iCs/>
          <w:sz w:val="20"/>
          <w:u w:color="0000FF"/>
        </w:rPr>
        <w:t>CPT</w:t>
      </w:r>
      <w:r>
        <w:rPr>
          <w:rFonts w:ascii="Times New Roman" w:hAnsi="Times New Roman"/>
          <w:sz w:val="20"/>
          <w:u w:color="0000FF"/>
        </w:rPr>
        <w:t xml:space="preserve"> darbību, 82. punkts.</w:t>
      </w:r>
    </w:p>
  </w:footnote>
  <w:footnote w:id="13">
    <w:p w14:paraId="43A2FA31" w14:textId="6C00C575" w:rsidR="0069424E" w:rsidRPr="0069424E" w:rsidRDefault="0069424E">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83. punkts.</w:t>
      </w:r>
    </w:p>
  </w:footnote>
  <w:footnote w:id="14">
    <w:p w14:paraId="2E10EA9E" w14:textId="3804DCCF" w:rsidR="0069424E" w:rsidRPr="0069424E" w:rsidRDefault="0069424E">
      <w:pPr>
        <w:pStyle w:val="FootnoteText"/>
      </w:pPr>
      <w:r>
        <w:rPr>
          <w:rStyle w:val="FootnoteReference"/>
        </w:rPr>
        <w:footnoteRef/>
      </w:r>
      <w:r>
        <w:t xml:space="preserve"> </w:t>
      </w:r>
      <w:r>
        <w:rPr>
          <w:rFonts w:ascii="Times New Roman" w:hAnsi="Times New Roman"/>
          <w:u w:color="0000FF"/>
        </w:rPr>
        <w:t xml:space="preserve">Nīderlande (Antiļas): 2007. gada </w:t>
      </w:r>
      <w:r w:rsidR="001709A4" w:rsidRPr="001709A4">
        <w:rPr>
          <w:rFonts w:ascii="Times New Roman" w:hAnsi="Times New Roman"/>
          <w:u w:color="0000FF"/>
        </w:rPr>
        <w:t>vizīte</w:t>
      </w:r>
      <w:r>
        <w:rPr>
          <w:rFonts w:ascii="Times New Roman" w:hAnsi="Times New Roman"/>
          <w:u w:color="0000FF"/>
        </w:rPr>
        <w:t>, 36. punkts</w:t>
      </w:r>
      <w:r>
        <w:rPr>
          <w:rFonts w:ascii="Times New Roman" w:hAnsi="Times New Roman"/>
        </w:rPr>
        <w:t xml:space="preserve">; </w:t>
      </w:r>
      <w:r>
        <w:rPr>
          <w:rFonts w:ascii="Times New Roman" w:hAnsi="Times New Roman"/>
          <w:u w:color="0000FF"/>
        </w:rPr>
        <w:t xml:space="preserve">Rumānija: 2006. gada </w:t>
      </w:r>
      <w:r w:rsidR="001709A4" w:rsidRPr="001709A4">
        <w:rPr>
          <w:rFonts w:ascii="Times New Roman" w:hAnsi="Times New Roman"/>
          <w:u w:color="0000FF"/>
        </w:rPr>
        <w:t>vizīte</w:t>
      </w:r>
      <w:r>
        <w:rPr>
          <w:rFonts w:ascii="Times New Roman" w:hAnsi="Times New Roman"/>
          <w:u w:color="0000FF"/>
        </w:rPr>
        <w:t>, 61. punkts.</w:t>
      </w:r>
    </w:p>
  </w:footnote>
  <w:footnote w:id="15">
    <w:p w14:paraId="5178BE1B" w14:textId="29C79200" w:rsidR="0069424E" w:rsidRPr="0069424E" w:rsidRDefault="0069424E">
      <w:pPr>
        <w:pStyle w:val="FootnoteText"/>
      </w:pPr>
      <w:r>
        <w:rPr>
          <w:rStyle w:val="FootnoteReference"/>
        </w:rPr>
        <w:footnoteRef/>
      </w:r>
      <w:r>
        <w:t xml:space="preserve"> </w:t>
      </w:r>
      <w:r>
        <w:rPr>
          <w:rFonts w:ascii="Times New Roman" w:hAnsi="Times New Roman"/>
          <w:u w:color="0000FF"/>
        </w:rPr>
        <w:t xml:space="preserve">Bulgārija: 2010. gada </w:t>
      </w:r>
      <w:r w:rsidR="00624957" w:rsidRPr="00624957">
        <w:rPr>
          <w:rFonts w:ascii="Times New Roman" w:hAnsi="Times New Roman"/>
          <w:u w:color="0000FF"/>
        </w:rPr>
        <w:t>vizīte</w:t>
      </w:r>
      <w:r>
        <w:rPr>
          <w:rFonts w:ascii="Times New Roman" w:hAnsi="Times New Roman"/>
          <w:u w:color="0000FF"/>
        </w:rPr>
        <w:t>, 53. punkts.</w:t>
      </w:r>
    </w:p>
  </w:footnote>
  <w:footnote w:id="16">
    <w:p w14:paraId="3D38B903" w14:textId="494A1357" w:rsidR="0069424E" w:rsidRPr="0069424E" w:rsidRDefault="0069424E">
      <w:pPr>
        <w:pStyle w:val="FootnoteText"/>
      </w:pPr>
      <w:r>
        <w:rPr>
          <w:rStyle w:val="FootnoteReference"/>
        </w:rPr>
        <w:footnoteRef/>
      </w:r>
      <w:r>
        <w:t xml:space="preserve"> </w:t>
      </w:r>
      <w:r>
        <w:rPr>
          <w:rFonts w:ascii="Times New Roman" w:hAnsi="Times New Roman"/>
          <w:u w:color="0000FF"/>
        </w:rPr>
        <w:t xml:space="preserve">Ungārija: 2015. gada </w:t>
      </w:r>
      <w:r w:rsidR="00624957" w:rsidRPr="00624957">
        <w:rPr>
          <w:rFonts w:ascii="Times New Roman" w:hAnsi="Times New Roman"/>
          <w:u w:color="0000FF"/>
        </w:rPr>
        <w:t>vizīte</w:t>
      </w:r>
      <w:r>
        <w:rPr>
          <w:rFonts w:ascii="Times New Roman" w:hAnsi="Times New Roman"/>
          <w:u w:color="0000FF"/>
        </w:rPr>
        <w:t>, 70. punkts</w:t>
      </w:r>
      <w:r>
        <w:rPr>
          <w:rFonts w:ascii="Times New Roman" w:hAnsi="Times New Roman"/>
        </w:rPr>
        <w:t xml:space="preserve">; </w:t>
      </w:r>
      <w:r>
        <w:rPr>
          <w:rFonts w:ascii="Times New Roman" w:hAnsi="Times New Roman"/>
          <w:u w:color="0000FF"/>
        </w:rPr>
        <w:t xml:space="preserve">19. vispārējais ziņojums par </w:t>
      </w:r>
      <w:r>
        <w:rPr>
          <w:rFonts w:ascii="Times New Roman" w:hAnsi="Times New Roman"/>
          <w:i/>
          <w:iCs/>
          <w:u w:color="0000FF"/>
        </w:rPr>
        <w:t>CPT</w:t>
      </w:r>
      <w:r>
        <w:rPr>
          <w:rFonts w:ascii="Times New Roman" w:hAnsi="Times New Roman"/>
          <w:u w:color="0000FF"/>
        </w:rPr>
        <w:t xml:space="preserve"> darbību, 79. punkts</w:t>
      </w:r>
      <w:r>
        <w:rPr>
          <w:rFonts w:ascii="Times New Roman" w:hAnsi="Times New Roman"/>
        </w:rPr>
        <w:t xml:space="preserve">; </w:t>
      </w:r>
      <w:r>
        <w:rPr>
          <w:rFonts w:ascii="Times New Roman" w:hAnsi="Times New Roman"/>
          <w:u w:color="0000FF"/>
        </w:rPr>
        <w:t>Serbija un</w:t>
      </w:r>
      <w:r>
        <w:rPr>
          <w:rFonts w:ascii="Times New Roman" w:hAnsi="Times New Roman"/>
        </w:rPr>
        <w:t xml:space="preserve"> </w:t>
      </w:r>
      <w:r>
        <w:rPr>
          <w:rFonts w:ascii="Times New Roman" w:hAnsi="Times New Roman"/>
          <w:u w:color="0000FF"/>
        </w:rPr>
        <w:t xml:space="preserve">Melnkalne: 2004. gada </w:t>
      </w:r>
      <w:r w:rsidR="00624957" w:rsidRPr="00624957">
        <w:rPr>
          <w:rFonts w:ascii="Times New Roman" w:hAnsi="Times New Roman"/>
          <w:u w:color="0000FF"/>
        </w:rPr>
        <w:t>vizīte</w:t>
      </w:r>
      <w:r>
        <w:rPr>
          <w:rFonts w:ascii="Times New Roman" w:hAnsi="Times New Roman"/>
          <w:u w:color="0000FF"/>
        </w:rPr>
        <w:t>, 78. punkts.</w:t>
      </w:r>
    </w:p>
  </w:footnote>
  <w:footnote w:id="17">
    <w:p w14:paraId="4054CC0D" w14:textId="41ADAC44" w:rsidR="0069424E" w:rsidRPr="0069424E" w:rsidRDefault="0069424E">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87. punkts.</w:t>
      </w:r>
    </w:p>
  </w:footnote>
  <w:footnote w:id="18">
    <w:p w14:paraId="5DE6E0F6" w14:textId="7DF62460" w:rsidR="0069424E" w:rsidRPr="0069424E" w:rsidRDefault="0069424E">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88. punkts.</w:t>
      </w:r>
    </w:p>
  </w:footnote>
  <w:footnote w:id="19">
    <w:p w14:paraId="1C741456" w14:textId="26674AAA" w:rsidR="00707478" w:rsidRPr="00707478" w:rsidRDefault="00707478">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86. punkts.</w:t>
      </w:r>
    </w:p>
  </w:footnote>
  <w:footnote w:id="20">
    <w:p w14:paraId="733D702F" w14:textId="62DB9F6B" w:rsidR="00912F78" w:rsidRPr="00912F78" w:rsidRDefault="00912F78">
      <w:pPr>
        <w:pStyle w:val="FootnoteText"/>
      </w:pPr>
      <w:r>
        <w:rPr>
          <w:rStyle w:val="FootnoteReference"/>
        </w:rPr>
        <w:footnoteRef/>
      </w:r>
      <w:r>
        <w:t xml:space="preserve"> </w:t>
      </w:r>
      <w:r>
        <w:rPr>
          <w:rFonts w:ascii="Times New Roman" w:hAnsi="Times New Roman"/>
          <w:u w:color="0000FF"/>
        </w:rPr>
        <w:t xml:space="preserve">Īrija: 2014. gada </w:t>
      </w:r>
      <w:r w:rsidR="00624957" w:rsidRPr="00624957">
        <w:rPr>
          <w:rFonts w:ascii="Times New Roman" w:hAnsi="Times New Roman"/>
          <w:u w:color="0000FF"/>
        </w:rPr>
        <w:t>vizīte</w:t>
      </w:r>
      <w:r>
        <w:rPr>
          <w:rFonts w:ascii="Times New Roman" w:hAnsi="Times New Roman"/>
          <w:u w:color="0000FF"/>
        </w:rPr>
        <w:t>, 19. punkts.</w:t>
      </w:r>
    </w:p>
  </w:footnote>
  <w:footnote w:id="21">
    <w:p w14:paraId="2600EB4F" w14:textId="3D575F9C" w:rsidR="00912F78" w:rsidRPr="00912F78" w:rsidRDefault="00912F78">
      <w:pPr>
        <w:pStyle w:val="FootnoteText"/>
      </w:pPr>
      <w:r>
        <w:rPr>
          <w:rStyle w:val="FootnoteReference"/>
        </w:rPr>
        <w:footnoteRef/>
      </w:r>
      <w:r>
        <w:rPr>
          <w:rFonts w:ascii="Times New Roman" w:hAnsi="Times New Roman"/>
          <w:u w:color="0000FF"/>
        </w:rPr>
        <w:t xml:space="preserve"> 7. vispārējais ziņojums par </w:t>
      </w:r>
      <w:r>
        <w:rPr>
          <w:rFonts w:ascii="Times New Roman" w:hAnsi="Times New Roman"/>
          <w:i/>
          <w:iCs/>
          <w:u w:color="0000FF"/>
        </w:rPr>
        <w:t>CPT</w:t>
      </w:r>
      <w:r>
        <w:rPr>
          <w:rFonts w:ascii="Times New Roman" w:hAnsi="Times New Roman"/>
          <w:u w:color="0000FF"/>
        </w:rPr>
        <w:t xml:space="preserve"> darbību, 27. punkts.</w:t>
      </w:r>
    </w:p>
  </w:footnote>
  <w:footnote w:id="22">
    <w:p w14:paraId="7D3C2E5E" w14:textId="27BE9CEA" w:rsidR="00F665C0" w:rsidRPr="00F665C0" w:rsidRDefault="00F665C0">
      <w:pPr>
        <w:pStyle w:val="FootnoteText"/>
      </w:pPr>
      <w:r>
        <w:rPr>
          <w:rStyle w:val="FootnoteReference"/>
        </w:rPr>
        <w:footnoteRef/>
      </w:r>
      <w:r>
        <w:t xml:space="preserve"> </w:t>
      </w:r>
      <w:r>
        <w:rPr>
          <w:rFonts w:ascii="Times New Roman" w:hAnsi="Times New Roman"/>
          <w:u w:color="0000FF"/>
        </w:rPr>
        <w:t xml:space="preserve">Malta: 2008. gada </w:t>
      </w:r>
      <w:r w:rsidR="00624957" w:rsidRPr="00624957">
        <w:rPr>
          <w:rFonts w:ascii="Times New Roman" w:hAnsi="Times New Roman"/>
          <w:u w:color="0000FF"/>
        </w:rPr>
        <w:t>vizīte</w:t>
      </w:r>
      <w:r>
        <w:rPr>
          <w:rFonts w:ascii="Times New Roman" w:hAnsi="Times New Roman"/>
          <w:u w:color="0000FF"/>
        </w:rPr>
        <w:t>, 51. punkts.</w:t>
      </w:r>
    </w:p>
  </w:footnote>
  <w:footnote w:id="23">
    <w:p w14:paraId="33EA5A91" w14:textId="1FCC483F" w:rsidR="00F665C0" w:rsidRPr="00F665C0" w:rsidRDefault="00F665C0">
      <w:pPr>
        <w:pStyle w:val="FootnoteText"/>
      </w:pPr>
      <w:r>
        <w:rPr>
          <w:rStyle w:val="FootnoteReference"/>
        </w:rPr>
        <w:footnoteRef/>
      </w:r>
      <w:r>
        <w:t xml:space="preserve"> </w:t>
      </w:r>
      <w:r>
        <w:rPr>
          <w:rFonts w:ascii="Times New Roman" w:hAnsi="Times New Roman"/>
          <w:u w:color="0000FF"/>
        </w:rPr>
        <w:t xml:space="preserve">Grieķija: 2011. gada </w:t>
      </w:r>
      <w:r w:rsidR="008E12B1" w:rsidRPr="008E12B1">
        <w:rPr>
          <w:rFonts w:ascii="Times New Roman" w:hAnsi="Times New Roman"/>
          <w:u w:color="0000FF"/>
        </w:rPr>
        <w:t>vizīte</w:t>
      </w:r>
      <w:r>
        <w:rPr>
          <w:rFonts w:ascii="Times New Roman" w:hAnsi="Times New Roman"/>
          <w:u w:color="0000FF"/>
        </w:rPr>
        <w:t>, 38. punkts.</w:t>
      </w:r>
    </w:p>
  </w:footnote>
  <w:footnote w:id="24">
    <w:p w14:paraId="7B0D3D99" w14:textId="732BFD8B" w:rsidR="00F665C0" w:rsidRPr="00F665C0" w:rsidRDefault="00F665C0">
      <w:pPr>
        <w:pStyle w:val="FootnoteText"/>
      </w:pPr>
      <w:r>
        <w:rPr>
          <w:rStyle w:val="FootnoteReference"/>
        </w:rPr>
        <w:footnoteRef/>
      </w:r>
      <w:r>
        <w:t xml:space="preserve"> </w:t>
      </w:r>
      <w:r>
        <w:rPr>
          <w:rFonts w:ascii="Times New Roman" w:hAnsi="Times New Roman"/>
          <w:u w:color="0000FF"/>
        </w:rPr>
        <w:t xml:space="preserve">Grieķija: 2013. gada </w:t>
      </w:r>
      <w:r w:rsidR="008E12B1" w:rsidRPr="008E12B1">
        <w:rPr>
          <w:rFonts w:ascii="Times New Roman" w:hAnsi="Times New Roman"/>
          <w:u w:color="0000FF"/>
        </w:rPr>
        <w:t>vizīte</w:t>
      </w:r>
      <w:r>
        <w:rPr>
          <w:rFonts w:ascii="Times New Roman" w:hAnsi="Times New Roman"/>
          <w:u w:color="0000FF"/>
        </w:rPr>
        <w:t>, 51. punkts.</w:t>
      </w:r>
    </w:p>
  </w:footnote>
  <w:footnote w:id="25">
    <w:p w14:paraId="0657B5DE" w14:textId="7B5D584B" w:rsidR="00F665C0" w:rsidRPr="00F665C0" w:rsidRDefault="00F665C0" w:rsidP="00F665C0">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“Bijusī Dienvidslāvijas Maķedonijas Republika”: 2014. gada </w:t>
      </w:r>
      <w:r w:rsidR="00F507F4" w:rsidRPr="00F507F4">
        <w:rPr>
          <w:rFonts w:ascii="Times New Roman" w:hAnsi="Times New Roman"/>
          <w:sz w:val="20"/>
          <w:u w:color="0000FF"/>
        </w:rPr>
        <w:t>vizīte</w:t>
      </w:r>
      <w:r>
        <w:rPr>
          <w:rFonts w:ascii="Times New Roman" w:hAnsi="Times New Roman"/>
          <w:sz w:val="20"/>
          <w:u w:color="0000FF"/>
        </w:rPr>
        <w:t>, 113. punkts.</w:t>
      </w:r>
    </w:p>
  </w:footnote>
  <w:footnote w:id="26">
    <w:p w14:paraId="35C6406C" w14:textId="7A61F87A" w:rsidR="00F665C0" w:rsidRPr="00F665C0" w:rsidRDefault="00F665C0">
      <w:pPr>
        <w:pStyle w:val="FootnoteText"/>
      </w:pPr>
      <w:r>
        <w:rPr>
          <w:rStyle w:val="FootnoteReference"/>
        </w:rPr>
        <w:footnoteRef/>
      </w:r>
      <w:r>
        <w:t xml:space="preserve"> </w:t>
      </w:r>
      <w:r>
        <w:rPr>
          <w:rFonts w:ascii="Times New Roman" w:hAnsi="Times New Roman"/>
          <w:u w:color="0000FF"/>
        </w:rPr>
        <w:t xml:space="preserve">Ukraina: 2002. gada </w:t>
      </w:r>
      <w:r w:rsidR="00F507F4" w:rsidRPr="00F507F4">
        <w:rPr>
          <w:rFonts w:ascii="Times New Roman" w:hAnsi="Times New Roman"/>
          <w:u w:color="0000FF"/>
        </w:rPr>
        <w:t>vizīte</w:t>
      </w:r>
      <w:r>
        <w:rPr>
          <w:rFonts w:ascii="Times New Roman" w:hAnsi="Times New Roman"/>
          <w:u w:color="0000FF"/>
        </w:rPr>
        <w:t>, 62. punkts.</w:t>
      </w:r>
    </w:p>
  </w:footnote>
  <w:footnote w:id="27">
    <w:p w14:paraId="5220706C" w14:textId="466CC363" w:rsidR="00F665C0" w:rsidRPr="00F665C0" w:rsidRDefault="00F665C0">
      <w:pPr>
        <w:pStyle w:val="FootnoteText"/>
      </w:pPr>
      <w:r>
        <w:rPr>
          <w:rStyle w:val="FootnoteReference"/>
        </w:rPr>
        <w:footnoteRef/>
      </w:r>
      <w:r>
        <w:t xml:space="preserve"> </w:t>
      </w:r>
      <w:r>
        <w:rPr>
          <w:rFonts w:ascii="Times New Roman" w:hAnsi="Times New Roman"/>
          <w:u w:color="0000FF"/>
        </w:rPr>
        <w:t xml:space="preserve">Grieķija: 2011. gada </w:t>
      </w:r>
      <w:r w:rsidR="00F507F4" w:rsidRPr="00F507F4">
        <w:rPr>
          <w:rFonts w:ascii="Times New Roman" w:hAnsi="Times New Roman"/>
          <w:u w:color="0000FF"/>
        </w:rPr>
        <w:t>vizīte</w:t>
      </w:r>
      <w:r>
        <w:rPr>
          <w:rFonts w:ascii="Times New Roman" w:hAnsi="Times New Roman"/>
          <w:u w:color="0000FF"/>
        </w:rPr>
        <w:t>, 38. punkts.</w:t>
      </w:r>
    </w:p>
  </w:footnote>
  <w:footnote w:id="28">
    <w:p w14:paraId="2BD0548E" w14:textId="0BE8928D" w:rsidR="00F665C0" w:rsidRPr="00F665C0" w:rsidRDefault="00F665C0">
      <w:pPr>
        <w:pStyle w:val="FootnoteText"/>
      </w:pPr>
      <w:r>
        <w:rPr>
          <w:rStyle w:val="FootnoteReference"/>
        </w:rPr>
        <w:footnoteRef/>
      </w:r>
      <w:r>
        <w:t xml:space="preserve"> </w:t>
      </w:r>
      <w:r>
        <w:rPr>
          <w:rFonts w:ascii="Times New Roman" w:hAnsi="Times New Roman"/>
          <w:u w:color="0000FF"/>
        </w:rPr>
        <w:t xml:space="preserve">Grieķija: 2007. gada </w:t>
      </w:r>
      <w:r w:rsidR="00F507F4" w:rsidRPr="00F507F4">
        <w:rPr>
          <w:rFonts w:ascii="Times New Roman" w:hAnsi="Times New Roman"/>
          <w:u w:color="0000FF"/>
        </w:rPr>
        <w:t>vizīte</w:t>
      </w:r>
      <w:r>
        <w:rPr>
          <w:rFonts w:ascii="Times New Roman" w:hAnsi="Times New Roman"/>
          <w:u w:color="0000FF"/>
        </w:rPr>
        <w:t>, 25. punkts.</w:t>
      </w:r>
    </w:p>
  </w:footnote>
  <w:footnote w:id="29">
    <w:p w14:paraId="3DCD1276" w14:textId="6462FB2E" w:rsidR="00F665C0" w:rsidRPr="00F665C0" w:rsidRDefault="00F665C0">
      <w:pPr>
        <w:pStyle w:val="FootnoteText"/>
      </w:pPr>
      <w:r>
        <w:rPr>
          <w:rStyle w:val="FootnoteReference"/>
        </w:rPr>
        <w:footnoteRef/>
      </w:r>
      <w:r>
        <w:t xml:space="preserve"> </w:t>
      </w:r>
      <w:r>
        <w:rPr>
          <w:rFonts w:ascii="Times New Roman" w:hAnsi="Times New Roman"/>
          <w:u w:color="0000FF"/>
        </w:rPr>
        <w:t xml:space="preserve">Grieķija: 2011. gada </w:t>
      </w:r>
      <w:r w:rsidR="00F507F4" w:rsidRPr="00F507F4">
        <w:rPr>
          <w:rFonts w:ascii="Times New Roman" w:hAnsi="Times New Roman"/>
          <w:u w:color="0000FF"/>
        </w:rPr>
        <w:t>vizīte</w:t>
      </w:r>
      <w:r>
        <w:rPr>
          <w:rFonts w:ascii="Times New Roman" w:hAnsi="Times New Roman"/>
          <w:u w:color="0000FF"/>
        </w:rPr>
        <w:t>, 38. punkts.</w:t>
      </w:r>
    </w:p>
  </w:footnote>
  <w:footnote w:id="30">
    <w:p w14:paraId="447F1B49" w14:textId="5B1AFB35" w:rsidR="00F665C0" w:rsidRPr="00F665C0" w:rsidRDefault="00F665C0">
      <w:pPr>
        <w:pStyle w:val="FootnoteText"/>
      </w:pPr>
      <w:r>
        <w:rPr>
          <w:rStyle w:val="FootnoteReference"/>
        </w:rPr>
        <w:footnoteRef/>
      </w:r>
      <w:r>
        <w:t xml:space="preserve"> </w:t>
      </w:r>
      <w:r>
        <w:rPr>
          <w:rFonts w:ascii="Times New Roman" w:hAnsi="Times New Roman"/>
          <w:u w:color="0000FF"/>
        </w:rPr>
        <w:t xml:space="preserve">Grieķija: 2011. gada </w:t>
      </w:r>
      <w:r w:rsidR="00F507F4" w:rsidRPr="00F507F4">
        <w:rPr>
          <w:rFonts w:ascii="Times New Roman" w:hAnsi="Times New Roman"/>
          <w:u w:color="0000FF"/>
        </w:rPr>
        <w:t>vizīte</w:t>
      </w:r>
      <w:r>
        <w:rPr>
          <w:rFonts w:ascii="Times New Roman" w:hAnsi="Times New Roman"/>
          <w:u w:color="0000FF"/>
        </w:rPr>
        <w:t>, 38. punkts.</w:t>
      </w:r>
    </w:p>
  </w:footnote>
  <w:footnote w:id="31">
    <w:p w14:paraId="75CE0A20" w14:textId="045A52B8" w:rsidR="00F665C0" w:rsidRPr="00F665C0" w:rsidRDefault="00F665C0">
      <w:pPr>
        <w:pStyle w:val="FootnoteText"/>
      </w:pPr>
      <w:r>
        <w:rPr>
          <w:rStyle w:val="FootnoteReference"/>
        </w:rPr>
        <w:footnoteRef/>
      </w:r>
      <w:r>
        <w:t xml:space="preserve"> </w:t>
      </w:r>
      <w:r>
        <w:rPr>
          <w:rFonts w:ascii="Times New Roman" w:hAnsi="Times New Roman"/>
          <w:u w:color="0000FF"/>
        </w:rPr>
        <w:t xml:space="preserve">Grieķija: 2013. gada </w:t>
      </w:r>
      <w:r w:rsidR="00F507F4" w:rsidRPr="00F507F4">
        <w:rPr>
          <w:rFonts w:ascii="Times New Roman" w:hAnsi="Times New Roman"/>
          <w:u w:color="0000FF"/>
        </w:rPr>
        <w:t>vizīte</w:t>
      </w:r>
      <w:r>
        <w:rPr>
          <w:rFonts w:ascii="Times New Roman" w:hAnsi="Times New Roman"/>
          <w:u w:color="0000FF"/>
        </w:rPr>
        <w:t>, 51. punkts.</w:t>
      </w:r>
    </w:p>
  </w:footnote>
  <w:footnote w:id="32">
    <w:p w14:paraId="1BC4CAE1" w14:textId="48A345AE" w:rsidR="00F665C0" w:rsidRPr="00F665C0" w:rsidRDefault="00F665C0">
      <w:pPr>
        <w:pStyle w:val="FootnoteText"/>
      </w:pPr>
      <w:r>
        <w:rPr>
          <w:rStyle w:val="FootnoteReference"/>
        </w:rPr>
        <w:footnoteRef/>
      </w:r>
      <w:r>
        <w:t xml:space="preserve"> </w:t>
      </w:r>
      <w:r>
        <w:rPr>
          <w:rFonts w:ascii="Times New Roman" w:hAnsi="Times New Roman"/>
          <w:u w:color="0000FF"/>
        </w:rPr>
        <w:t xml:space="preserve">Horvātija: 2007. gada </w:t>
      </w:r>
      <w:r w:rsidR="00F507F4" w:rsidRPr="00F507F4">
        <w:rPr>
          <w:rFonts w:ascii="Times New Roman" w:hAnsi="Times New Roman"/>
          <w:u w:color="0000FF"/>
        </w:rPr>
        <w:t>vizīte</w:t>
      </w:r>
      <w:r>
        <w:rPr>
          <w:rFonts w:ascii="Times New Roman" w:hAnsi="Times New Roman"/>
          <w:u w:color="0000FF"/>
        </w:rPr>
        <w:t>, 37. punkts.</w:t>
      </w:r>
    </w:p>
  </w:footnote>
  <w:footnote w:id="33">
    <w:p w14:paraId="4C89029F" w14:textId="3DD4770E" w:rsidR="00F665C0" w:rsidRPr="00F665C0" w:rsidRDefault="00F665C0">
      <w:pPr>
        <w:pStyle w:val="FootnoteText"/>
      </w:pPr>
      <w:r>
        <w:rPr>
          <w:rStyle w:val="FootnoteReference"/>
        </w:rPr>
        <w:footnoteRef/>
      </w:r>
      <w:r>
        <w:t xml:space="preserve"> </w:t>
      </w:r>
      <w:r>
        <w:rPr>
          <w:rFonts w:ascii="Times New Roman" w:hAnsi="Times New Roman"/>
          <w:u w:color="0000FF"/>
        </w:rPr>
        <w:t xml:space="preserve">“Bijusī Dienvidslāvijas Maķedonijas Republika”: 2014. gada </w:t>
      </w:r>
      <w:r w:rsidR="00F507F4" w:rsidRPr="00F507F4">
        <w:rPr>
          <w:rFonts w:ascii="Times New Roman" w:hAnsi="Times New Roman"/>
          <w:u w:color="0000FF"/>
        </w:rPr>
        <w:t>vizīte</w:t>
      </w:r>
      <w:r>
        <w:rPr>
          <w:rFonts w:ascii="Times New Roman" w:hAnsi="Times New Roman"/>
          <w:u w:color="0000FF"/>
        </w:rPr>
        <w:t>, 120. punkts.</w:t>
      </w:r>
    </w:p>
  </w:footnote>
  <w:footnote w:id="34">
    <w:p w14:paraId="74AC567F" w14:textId="59804C66" w:rsidR="00F665C0" w:rsidRPr="00F665C0" w:rsidRDefault="00F665C0">
      <w:pPr>
        <w:pStyle w:val="FootnoteText"/>
      </w:pPr>
      <w:r>
        <w:rPr>
          <w:rStyle w:val="FootnoteReference"/>
        </w:rPr>
        <w:footnoteRef/>
      </w:r>
      <w:r>
        <w:t xml:space="preserve"> </w:t>
      </w:r>
      <w:r>
        <w:rPr>
          <w:rFonts w:ascii="Times New Roman" w:hAnsi="Times New Roman"/>
          <w:u w:color="0000FF"/>
        </w:rPr>
        <w:t xml:space="preserve">Horvātija: 2007. gada </w:t>
      </w:r>
      <w:r w:rsidR="00F507F4" w:rsidRPr="00F507F4">
        <w:rPr>
          <w:rFonts w:ascii="Times New Roman" w:hAnsi="Times New Roman"/>
          <w:u w:color="0000FF"/>
        </w:rPr>
        <w:t>vizīte</w:t>
      </w:r>
      <w:r>
        <w:rPr>
          <w:rFonts w:ascii="Times New Roman" w:hAnsi="Times New Roman"/>
          <w:u w:color="0000FF"/>
        </w:rPr>
        <w:t>, 35. punkts.</w:t>
      </w:r>
    </w:p>
  </w:footnote>
  <w:footnote w:id="35">
    <w:p w14:paraId="6EEC6553" w14:textId="2A496FEB" w:rsidR="00F665C0" w:rsidRPr="00F665C0" w:rsidRDefault="00F665C0" w:rsidP="00F665C0">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Ungārija: 2005. gada </w:t>
      </w:r>
      <w:r w:rsidR="00F507F4" w:rsidRPr="00F507F4">
        <w:rPr>
          <w:rFonts w:ascii="Times New Roman" w:hAnsi="Times New Roman"/>
          <w:sz w:val="20"/>
          <w:u w:color="0000FF"/>
        </w:rPr>
        <w:t>vizīte</w:t>
      </w:r>
      <w:r>
        <w:rPr>
          <w:rFonts w:ascii="Times New Roman" w:hAnsi="Times New Roman"/>
          <w:sz w:val="20"/>
          <w:u w:color="0000FF"/>
        </w:rPr>
        <w:t>, 53. punkts.</w:t>
      </w:r>
    </w:p>
  </w:footnote>
  <w:footnote w:id="36">
    <w:p w14:paraId="2A5F7472" w14:textId="24B6F26D" w:rsidR="00F665C0" w:rsidRPr="00F665C0" w:rsidRDefault="00F665C0" w:rsidP="00F665C0">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“Bijusī Dienvidslāvijas Maķedonijas Republika”: 2014. gada </w:t>
      </w:r>
      <w:r w:rsidR="00F507F4" w:rsidRPr="00F507F4">
        <w:rPr>
          <w:rFonts w:ascii="Times New Roman" w:hAnsi="Times New Roman"/>
          <w:sz w:val="20"/>
          <w:u w:color="0000FF"/>
        </w:rPr>
        <w:t>vizīte</w:t>
      </w:r>
      <w:r>
        <w:rPr>
          <w:rFonts w:ascii="Times New Roman" w:hAnsi="Times New Roman"/>
          <w:sz w:val="20"/>
          <w:u w:color="0000FF"/>
        </w:rPr>
        <w:t>, 120. punkts.</w:t>
      </w:r>
    </w:p>
  </w:footnote>
  <w:footnote w:id="37">
    <w:p w14:paraId="02C31B97" w14:textId="39CE335E" w:rsidR="007A1AB3" w:rsidRPr="007A1AB3" w:rsidRDefault="007A1AB3" w:rsidP="007A1AB3">
      <w:pPr>
        <w:jc w:val="both"/>
        <w:rPr>
          <w:rFonts w:ascii="Times New Roman" w:eastAsia="Calibri" w:hAnsi="Times New Roman" w:cs="Times New Roman"/>
          <w:noProof/>
          <w:sz w:val="20"/>
          <w:szCs w:val="20"/>
        </w:rPr>
      </w:pPr>
      <w:r>
        <w:rPr>
          <w:rStyle w:val="FootnoteReference"/>
        </w:rPr>
        <w:footnoteRef/>
      </w:r>
      <w:r>
        <w:rPr>
          <w:rFonts w:ascii="Times New Roman" w:hAnsi="Times New Roman"/>
          <w:sz w:val="20"/>
          <w:u w:color="0000FF"/>
        </w:rPr>
        <w:t xml:space="preserve"> 19. vispārējais ziņojums par </w:t>
      </w:r>
      <w:r>
        <w:rPr>
          <w:rFonts w:ascii="Times New Roman" w:hAnsi="Times New Roman"/>
          <w:i/>
          <w:iCs/>
          <w:sz w:val="20"/>
          <w:u w:color="0000FF"/>
        </w:rPr>
        <w:t>CPT</w:t>
      </w:r>
      <w:r>
        <w:rPr>
          <w:rFonts w:ascii="Times New Roman" w:hAnsi="Times New Roman"/>
          <w:sz w:val="20"/>
          <w:u w:color="0000FF"/>
        </w:rPr>
        <w:t xml:space="preserve"> darbību, 79. punkts.</w:t>
      </w:r>
    </w:p>
  </w:footnote>
  <w:footnote w:id="38">
    <w:p w14:paraId="3FD35202" w14:textId="30C3B991" w:rsidR="007A1AB3" w:rsidRPr="007A1AB3" w:rsidRDefault="007A1AB3" w:rsidP="007A1AB3">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Ungārija: 2015. gada </w:t>
      </w:r>
      <w:r w:rsidR="00394635" w:rsidRPr="00394635">
        <w:rPr>
          <w:rFonts w:ascii="Times New Roman" w:hAnsi="Times New Roman"/>
          <w:sz w:val="20"/>
          <w:u w:color="0000FF"/>
        </w:rPr>
        <w:t>vizīte</w:t>
      </w:r>
      <w:r>
        <w:rPr>
          <w:rFonts w:ascii="Times New Roman" w:hAnsi="Times New Roman"/>
          <w:sz w:val="20"/>
          <w:u w:color="0000FF"/>
        </w:rPr>
        <w:t>, 42. punkts</w:t>
      </w:r>
      <w:r>
        <w:rPr>
          <w:rFonts w:ascii="Times New Roman" w:hAnsi="Times New Roman"/>
          <w:sz w:val="20"/>
        </w:rPr>
        <w:t xml:space="preserve">; </w:t>
      </w:r>
      <w:r>
        <w:rPr>
          <w:rFonts w:ascii="Times New Roman" w:hAnsi="Times New Roman"/>
          <w:sz w:val="20"/>
          <w:u w:color="0000FF"/>
        </w:rPr>
        <w:t xml:space="preserve">Francija: 2010. gada </w:t>
      </w:r>
      <w:r w:rsidR="00394635" w:rsidRPr="00394635">
        <w:rPr>
          <w:rFonts w:ascii="Times New Roman" w:hAnsi="Times New Roman"/>
          <w:sz w:val="20"/>
          <w:u w:color="0000FF"/>
        </w:rPr>
        <w:t>vizīte</w:t>
      </w:r>
      <w:r>
        <w:rPr>
          <w:rFonts w:ascii="Times New Roman" w:hAnsi="Times New Roman"/>
          <w:sz w:val="20"/>
          <w:u w:color="0000FF"/>
        </w:rPr>
        <w:t>, 43. punkts</w:t>
      </w:r>
      <w:r>
        <w:rPr>
          <w:rFonts w:ascii="Times New Roman" w:hAnsi="Times New Roman"/>
          <w:sz w:val="20"/>
        </w:rPr>
        <w:t xml:space="preserve">; </w:t>
      </w:r>
      <w:r>
        <w:rPr>
          <w:rFonts w:ascii="Times New Roman" w:hAnsi="Times New Roman"/>
          <w:sz w:val="20"/>
          <w:u w:color="0000FF"/>
        </w:rPr>
        <w:t xml:space="preserve">Ukraina: 2009. gada </w:t>
      </w:r>
      <w:r w:rsidR="00394635" w:rsidRPr="00394635">
        <w:rPr>
          <w:rFonts w:ascii="Times New Roman" w:hAnsi="Times New Roman"/>
          <w:sz w:val="20"/>
          <w:u w:color="0000FF"/>
        </w:rPr>
        <w:t>vizīte</w:t>
      </w:r>
      <w:r>
        <w:rPr>
          <w:rFonts w:ascii="Times New Roman" w:hAnsi="Times New Roman"/>
          <w:sz w:val="20"/>
          <w:u w:color="0000FF"/>
        </w:rPr>
        <w:t>, 62. punkts.</w:t>
      </w:r>
    </w:p>
  </w:footnote>
  <w:footnote w:id="39">
    <w:p w14:paraId="4C40BE6D" w14:textId="107A72CB" w:rsidR="007A1AB3" w:rsidRPr="007A1AB3" w:rsidRDefault="007A1AB3">
      <w:pPr>
        <w:pStyle w:val="FootnoteText"/>
      </w:pPr>
      <w:r>
        <w:rPr>
          <w:rStyle w:val="FootnoteReference"/>
        </w:rPr>
        <w:footnoteRef/>
      </w:r>
      <w:r>
        <w:t xml:space="preserve"> </w:t>
      </w:r>
      <w:r>
        <w:rPr>
          <w:rFonts w:ascii="Times New Roman" w:hAnsi="Times New Roman"/>
          <w:u w:color="0000FF"/>
        </w:rPr>
        <w:t xml:space="preserve">Kipra: 2013. gada </w:t>
      </w:r>
      <w:r w:rsidR="00394635" w:rsidRPr="00394635">
        <w:rPr>
          <w:rFonts w:ascii="Times New Roman" w:hAnsi="Times New Roman"/>
          <w:u w:color="0000FF"/>
        </w:rPr>
        <w:t>vizīte</w:t>
      </w:r>
      <w:r>
        <w:rPr>
          <w:rFonts w:ascii="Times New Roman" w:hAnsi="Times New Roman"/>
          <w:u w:color="0000FF"/>
        </w:rPr>
        <w:t>, 45. punkts.</w:t>
      </w:r>
    </w:p>
  </w:footnote>
  <w:footnote w:id="40">
    <w:p w14:paraId="7060A7DF" w14:textId="217AD92B" w:rsidR="007A1AB3" w:rsidRPr="007A1AB3" w:rsidRDefault="007A1AB3" w:rsidP="007A1AB3">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Dānija: 2014. gada </w:t>
      </w:r>
      <w:r w:rsidR="00394635" w:rsidRPr="00394635">
        <w:rPr>
          <w:rFonts w:ascii="Times New Roman" w:hAnsi="Times New Roman"/>
          <w:sz w:val="20"/>
          <w:u w:color="0000FF"/>
        </w:rPr>
        <w:t>vizīte</w:t>
      </w:r>
      <w:r>
        <w:rPr>
          <w:rFonts w:ascii="Times New Roman" w:hAnsi="Times New Roman"/>
          <w:sz w:val="20"/>
          <w:u w:color="0000FF"/>
        </w:rPr>
        <w:t>, 78. punkts</w:t>
      </w:r>
      <w:r>
        <w:rPr>
          <w:rFonts w:ascii="Times New Roman" w:hAnsi="Times New Roman"/>
          <w:sz w:val="20"/>
        </w:rPr>
        <w:t xml:space="preserve">; </w:t>
      </w:r>
      <w:r>
        <w:rPr>
          <w:rFonts w:ascii="Times New Roman" w:hAnsi="Times New Roman"/>
          <w:sz w:val="20"/>
          <w:u w:color="0000FF"/>
        </w:rPr>
        <w:t xml:space="preserve">Apvienotā Karaliste: 2012. gada </w:t>
      </w:r>
      <w:r w:rsidR="00394635" w:rsidRPr="00394635">
        <w:rPr>
          <w:rFonts w:ascii="Times New Roman" w:hAnsi="Times New Roman"/>
          <w:sz w:val="20"/>
          <w:u w:color="0000FF"/>
        </w:rPr>
        <w:t>vizīte</w:t>
      </w:r>
      <w:r>
        <w:rPr>
          <w:rFonts w:ascii="Times New Roman" w:hAnsi="Times New Roman"/>
          <w:sz w:val="20"/>
          <w:u w:color="0000FF"/>
        </w:rPr>
        <w:t>, 120. punkts.</w:t>
      </w:r>
    </w:p>
  </w:footnote>
  <w:footnote w:id="41">
    <w:p w14:paraId="17B0676C" w14:textId="570EDFC4" w:rsidR="007A1AB3" w:rsidRPr="007A1AB3" w:rsidRDefault="007A1AB3">
      <w:pPr>
        <w:pStyle w:val="FootnoteText"/>
      </w:pPr>
      <w:r>
        <w:rPr>
          <w:rStyle w:val="FootnoteReference"/>
        </w:rPr>
        <w:footnoteRef/>
      </w:r>
      <w:r>
        <w:t xml:space="preserve"> </w:t>
      </w:r>
      <w:r>
        <w:rPr>
          <w:rFonts w:ascii="Times New Roman" w:hAnsi="Times New Roman"/>
          <w:u w:color="0000FF"/>
        </w:rPr>
        <w:t xml:space="preserve">“Bijusī Dienvidslāvijas Maķedonijas Republika”: 2014. gada </w:t>
      </w:r>
      <w:r w:rsidR="00394635" w:rsidRPr="00394635">
        <w:rPr>
          <w:rFonts w:ascii="Times New Roman" w:hAnsi="Times New Roman"/>
          <w:u w:color="0000FF"/>
        </w:rPr>
        <w:t>vizīte</w:t>
      </w:r>
      <w:r>
        <w:rPr>
          <w:rFonts w:ascii="Times New Roman" w:hAnsi="Times New Roman"/>
          <w:u w:color="0000FF"/>
        </w:rPr>
        <w:t>, 113. punkts.</w:t>
      </w:r>
    </w:p>
  </w:footnote>
  <w:footnote w:id="42">
    <w:p w14:paraId="38A304B9" w14:textId="02656D2C" w:rsidR="007A1AB3" w:rsidRPr="007A1AB3" w:rsidRDefault="007A1AB3" w:rsidP="007A1AB3">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“Bijusī Dienvidslāvijas Maķedonijas Republika”: 2014. gada </w:t>
      </w:r>
      <w:r w:rsidR="00394635" w:rsidRPr="00394635">
        <w:rPr>
          <w:rFonts w:ascii="Times New Roman" w:hAnsi="Times New Roman"/>
          <w:sz w:val="20"/>
          <w:u w:color="0000FF"/>
        </w:rPr>
        <w:t>vizīte</w:t>
      </w:r>
      <w:r>
        <w:rPr>
          <w:rFonts w:ascii="Times New Roman" w:hAnsi="Times New Roman"/>
          <w:sz w:val="20"/>
          <w:u w:color="0000FF"/>
        </w:rPr>
        <w:t>, 120. punkts.</w:t>
      </w:r>
    </w:p>
  </w:footnote>
  <w:footnote w:id="43">
    <w:p w14:paraId="4BA7B4DE" w14:textId="3F6B291F" w:rsidR="007A1AB3" w:rsidRPr="007A1AB3" w:rsidRDefault="007A1AB3">
      <w:pPr>
        <w:pStyle w:val="FootnoteText"/>
      </w:pPr>
      <w:r>
        <w:rPr>
          <w:rStyle w:val="FootnoteReference"/>
        </w:rPr>
        <w:footnoteRef/>
      </w:r>
      <w:r>
        <w:t xml:space="preserve"> </w:t>
      </w:r>
      <w:r>
        <w:rPr>
          <w:rFonts w:ascii="Times New Roman" w:hAnsi="Times New Roman"/>
          <w:u w:color="0000FF"/>
        </w:rPr>
        <w:t xml:space="preserve">Grieķija: 2013. gada </w:t>
      </w:r>
      <w:r w:rsidR="00394635" w:rsidRPr="00394635">
        <w:rPr>
          <w:rFonts w:ascii="Times New Roman" w:hAnsi="Times New Roman"/>
          <w:u w:color="0000FF"/>
        </w:rPr>
        <w:t>vizīte</w:t>
      </w:r>
      <w:r>
        <w:rPr>
          <w:rFonts w:ascii="Times New Roman" w:hAnsi="Times New Roman"/>
          <w:u w:color="0000FF"/>
        </w:rPr>
        <w:t>, 72. punkts.</w:t>
      </w:r>
    </w:p>
  </w:footnote>
  <w:footnote w:id="44">
    <w:p w14:paraId="584B5144" w14:textId="1CBEC111" w:rsidR="007A1AB3" w:rsidRPr="007A1AB3" w:rsidRDefault="007A1AB3">
      <w:pPr>
        <w:pStyle w:val="FootnoteText"/>
      </w:pPr>
      <w:r>
        <w:rPr>
          <w:rStyle w:val="FootnoteReference"/>
        </w:rPr>
        <w:footnoteRef/>
      </w:r>
      <w:r>
        <w:t xml:space="preserve"> </w:t>
      </w:r>
      <w:r>
        <w:rPr>
          <w:rFonts w:ascii="Times New Roman" w:hAnsi="Times New Roman"/>
          <w:u w:color="0000FF"/>
        </w:rPr>
        <w:t xml:space="preserve">Čehijas Republika: 2014. gada </w:t>
      </w:r>
      <w:r w:rsidR="00394635" w:rsidRPr="00394635">
        <w:rPr>
          <w:rFonts w:ascii="Times New Roman" w:hAnsi="Times New Roman"/>
          <w:u w:color="0000FF"/>
        </w:rPr>
        <w:t>vizīte</w:t>
      </w:r>
      <w:r>
        <w:rPr>
          <w:rFonts w:ascii="Times New Roman" w:hAnsi="Times New Roman"/>
          <w:u w:color="0000FF"/>
        </w:rPr>
        <w:t>, 41. punkts</w:t>
      </w:r>
      <w:r>
        <w:rPr>
          <w:rFonts w:ascii="Times New Roman" w:hAnsi="Times New Roman"/>
        </w:rPr>
        <w:t xml:space="preserve">; </w:t>
      </w:r>
      <w:r>
        <w:rPr>
          <w:rFonts w:ascii="Times New Roman" w:hAnsi="Times New Roman"/>
          <w:u w:color="0000FF"/>
        </w:rPr>
        <w:t xml:space="preserve">Nīderlande: 2011. gada </w:t>
      </w:r>
      <w:r w:rsidR="00394635" w:rsidRPr="00394635">
        <w:rPr>
          <w:rFonts w:ascii="Times New Roman" w:hAnsi="Times New Roman"/>
          <w:u w:color="0000FF"/>
        </w:rPr>
        <w:t>vizīte</w:t>
      </w:r>
      <w:r>
        <w:rPr>
          <w:rFonts w:ascii="Times New Roman" w:hAnsi="Times New Roman"/>
          <w:u w:color="0000FF"/>
        </w:rPr>
        <w:t xml:space="preserve">, 72. punkts; Ungārija: 2009. gada </w:t>
      </w:r>
      <w:r w:rsidR="00394635" w:rsidRPr="00394635">
        <w:rPr>
          <w:rFonts w:ascii="Times New Roman" w:hAnsi="Times New Roman"/>
          <w:u w:color="0000FF"/>
        </w:rPr>
        <w:t>vizīte</w:t>
      </w:r>
      <w:r>
        <w:rPr>
          <w:rFonts w:ascii="Times New Roman" w:hAnsi="Times New Roman"/>
          <w:u w:color="0000FF"/>
        </w:rPr>
        <w:t>,</w:t>
      </w:r>
      <w:r>
        <w:rPr>
          <w:rFonts w:ascii="Times New Roman" w:hAnsi="Times New Roman"/>
        </w:rPr>
        <w:t xml:space="preserve"> </w:t>
      </w:r>
      <w:r>
        <w:rPr>
          <w:rFonts w:ascii="Times New Roman" w:hAnsi="Times New Roman"/>
          <w:u w:color="0000FF"/>
        </w:rPr>
        <w:t>44. punkts</w:t>
      </w:r>
      <w:r>
        <w:rPr>
          <w:rFonts w:ascii="Times New Roman" w:hAnsi="Times New Roman"/>
        </w:rPr>
        <w:t xml:space="preserve">; </w:t>
      </w:r>
      <w:r>
        <w:rPr>
          <w:rFonts w:ascii="Times New Roman" w:hAnsi="Times New Roman"/>
          <w:u w:color="0000FF"/>
        </w:rPr>
        <w:t xml:space="preserve">Austrija: 2014. gada </w:t>
      </w:r>
      <w:r w:rsidR="00394635" w:rsidRPr="00394635">
        <w:rPr>
          <w:rFonts w:ascii="Times New Roman" w:hAnsi="Times New Roman"/>
          <w:u w:color="0000FF"/>
        </w:rPr>
        <w:t>vizīte</w:t>
      </w:r>
      <w:r>
        <w:rPr>
          <w:rFonts w:ascii="Times New Roman" w:hAnsi="Times New Roman"/>
          <w:u w:color="0000FF"/>
        </w:rPr>
        <w:t>, 49. punkts</w:t>
      </w:r>
      <w:r>
        <w:rPr>
          <w:rFonts w:ascii="Times New Roman" w:hAnsi="Times New Roman"/>
        </w:rPr>
        <w:t>.</w:t>
      </w:r>
    </w:p>
  </w:footnote>
  <w:footnote w:id="45">
    <w:p w14:paraId="7E468171" w14:textId="74ABE6E3" w:rsidR="00643510" w:rsidRPr="00643510" w:rsidRDefault="00643510">
      <w:pPr>
        <w:pStyle w:val="FootnoteText"/>
      </w:pPr>
      <w:r>
        <w:rPr>
          <w:rStyle w:val="FootnoteReference"/>
        </w:rPr>
        <w:footnoteRef/>
      </w:r>
      <w:r>
        <w:t xml:space="preserve"> </w:t>
      </w:r>
      <w:r>
        <w:rPr>
          <w:rFonts w:ascii="Times New Roman" w:hAnsi="Times New Roman"/>
          <w:u w:color="0000FF"/>
        </w:rPr>
        <w:t xml:space="preserve">Vācija: 2010. gada </w:t>
      </w:r>
      <w:r w:rsidR="005419D1" w:rsidRPr="005419D1">
        <w:rPr>
          <w:rFonts w:ascii="Times New Roman" w:hAnsi="Times New Roman"/>
          <w:u w:color="0000FF"/>
        </w:rPr>
        <w:t>vizīte</w:t>
      </w:r>
      <w:r>
        <w:rPr>
          <w:rFonts w:ascii="Times New Roman" w:hAnsi="Times New Roman"/>
          <w:u w:color="0000FF"/>
        </w:rPr>
        <w:t>, 44. punkts.</w:t>
      </w:r>
    </w:p>
  </w:footnote>
  <w:footnote w:id="46">
    <w:p w14:paraId="1AA6AC00" w14:textId="7FEB9FB2" w:rsidR="00643510" w:rsidRPr="00643510" w:rsidRDefault="00643510">
      <w:pPr>
        <w:pStyle w:val="FootnoteText"/>
      </w:pPr>
      <w:r>
        <w:rPr>
          <w:rStyle w:val="FootnoteReference"/>
        </w:rPr>
        <w:footnoteRef/>
      </w:r>
      <w:r>
        <w:t xml:space="preserve"> </w:t>
      </w:r>
      <w:r>
        <w:rPr>
          <w:rFonts w:ascii="Times New Roman" w:hAnsi="Times New Roman"/>
          <w:u w:color="0000FF"/>
        </w:rPr>
        <w:t xml:space="preserve">Dānija: 2014. gada </w:t>
      </w:r>
      <w:r w:rsidR="005419D1" w:rsidRPr="005419D1">
        <w:rPr>
          <w:rFonts w:ascii="Times New Roman" w:hAnsi="Times New Roman"/>
          <w:u w:color="0000FF"/>
        </w:rPr>
        <w:t>vizīte</w:t>
      </w:r>
      <w:r>
        <w:rPr>
          <w:rFonts w:ascii="Times New Roman" w:hAnsi="Times New Roman"/>
          <w:u w:color="0000FF"/>
        </w:rPr>
        <w:t>, 82. punkts</w:t>
      </w:r>
      <w:r>
        <w:rPr>
          <w:rFonts w:ascii="Times New Roman" w:hAnsi="Times New Roman"/>
        </w:rPr>
        <w:t xml:space="preserve">; </w:t>
      </w:r>
      <w:r>
        <w:rPr>
          <w:rFonts w:ascii="Times New Roman" w:hAnsi="Times New Roman"/>
          <w:u w:color="0000FF"/>
        </w:rPr>
        <w:t xml:space="preserve">“Bijusī Dienvidslāvijas Maķedonijas Republika”: 2014. gada </w:t>
      </w:r>
      <w:r w:rsidR="005419D1" w:rsidRPr="005419D1">
        <w:rPr>
          <w:rFonts w:ascii="Times New Roman" w:hAnsi="Times New Roman"/>
          <w:u w:color="0000FF"/>
        </w:rPr>
        <w:t>vizīte</w:t>
      </w:r>
      <w:r>
        <w:rPr>
          <w:rFonts w:ascii="Times New Roman" w:hAnsi="Times New Roman"/>
          <w:u w:color="0000FF"/>
        </w:rPr>
        <w:t>, 133. punkts.</w:t>
      </w:r>
    </w:p>
  </w:footnote>
  <w:footnote w:id="47">
    <w:p w14:paraId="41EC942E" w14:textId="44B59507" w:rsidR="002112D4" w:rsidRPr="002112D4" w:rsidRDefault="002112D4" w:rsidP="002112D4">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Luksemburga: 2015. gada </w:t>
      </w:r>
      <w:r w:rsidR="005419D1" w:rsidRPr="005419D1">
        <w:rPr>
          <w:rFonts w:ascii="Times New Roman" w:hAnsi="Times New Roman"/>
          <w:sz w:val="20"/>
          <w:u w:color="0000FF"/>
        </w:rPr>
        <w:t>vizīte</w:t>
      </w:r>
      <w:r>
        <w:rPr>
          <w:rFonts w:ascii="Times New Roman" w:hAnsi="Times New Roman"/>
          <w:sz w:val="20"/>
          <w:u w:color="0000FF"/>
        </w:rPr>
        <w:t>, 111. punkts</w:t>
      </w:r>
      <w:r>
        <w:rPr>
          <w:rFonts w:ascii="Times New Roman" w:hAnsi="Times New Roman"/>
          <w:sz w:val="20"/>
        </w:rPr>
        <w:t xml:space="preserve">; </w:t>
      </w:r>
      <w:r>
        <w:rPr>
          <w:rFonts w:ascii="Times New Roman" w:hAnsi="Times New Roman"/>
          <w:sz w:val="20"/>
          <w:u w:color="0000FF"/>
        </w:rPr>
        <w:t xml:space="preserve">Čehijas Republika: 2014. gada </w:t>
      </w:r>
      <w:r w:rsidR="005419D1" w:rsidRPr="005419D1">
        <w:rPr>
          <w:rFonts w:ascii="Times New Roman" w:hAnsi="Times New Roman"/>
          <w:sz w:val="20"/>
          <w:u w:color="0000FF"/>
        </w:rPr>
        <w:t>vizīte</w:t>
      </w:r>
      <w:r>
        <w:rPr>
          <w:rFonts w:ascii="Times New Roman" w:hAnsi="Times New Roman"/>
          <w:sz w:val="20"/>
          <w:u w:color="0000FF"/>
        </w:rPr>
        <w:t>, 37. punkts.</w:t>
      </w:r>
    </w:p>
  </w:footnote>
  <w:footnote w:id="48">
    <w:p w14:paraId="37E92607" w14:textId="1964F74A" w:rsidR="002112D4" w:rsidRPr="002112D4" w:rsidRDefault="002112D4" w:rsidP="002112D4">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Luksemburga: 2015. gada </w:t>
      </w:r>
      <w:r w:rsidR="005419D1" w:rsidRPr="005419D1">
        <w:rPr>
          <w:rFonts w:ascii="Times New Roman" w:hAnsi="Times New Roman"/>
          <w:sz w:val="20"/>
          <w:u w:color="0000FF"/>
        </w:rPr>
        <w:t>vizīte</w:t>
      </w:r>
      <w:r>
        <w:rPr>
          <w:rFonts w:ascii="Times New Roman" w:hAnsi="Times New Roman"/>
          <w:sz w:val="20"/>
          <w:u w:color="0000FF"/>
        </w:rPr>
        <w:t>, 111. punkts</w:t>
      </w:r>
      <w:r>
        <w:rPr>
          <w:rFonts w:ascii="Times New Roman" w:hAnsi="Times New Roman"/>
          <w:sz w:val="20"/>
        </w:rPr>
        <w:t xml:space="preserve">; </w:t>
      </w:r>
      <w:r>
        <w:rPr>
          <w:rFonts w:ascii="Times New Roman" w:hAnsi="Times New Roman"/>
          <w:sz w:val="20"/>
          <w:u w:color="0000FF"/>
        </w:rPr>
        <w:t xml:space="preserve">Čehijas Republika: 2014. gada </w:t>
      </w:r>
      <w:r w:rsidR="005419D1" w:rsidRPr="005419D1">
        <w:rPr>
          <w:rFonts w:ascii="Times New Roman" w:hAnsi="Times New Roman"/>
          <w:sz w:val="20"/>
          <w:u w:color="0000FF"/>
        </w:rPr>
        <w:t>vizīte</w:t>
      </w:r>
      <w:r>
        <w:rPr>
          <w:rFonts w:ascii="Times New Roman" w:hAnsi="Times New Roman"/>
          <w:sz w:val="20"/>
          <w:u w:color="0000FF"/>
        </w:rPr>
        <w:t>, 37. punkts.</w:t>
      </w:r>
    </w:p>
  </w:footnote>
  <w:footnote w:id="49">
    <w:p w14:paraId="017F3B99" w14:textId="6D8C2E43" w:rsidR="0010558F" w:rsidRPr="0010558F" w:rsidRDefault="0010558F" w:rsidP="0010558F">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Luksemburga: 2015. gada </w:t>
      </w:r>
      <w:r w:rsidR="005419D1" w:rsidRPr="005419D1">
        <w:rPr>
          <w:rFonts w:ascii="Times New Roman" w:hAnsi="Times New Roman"/>
          <w:sz w:val="20"/>
          <w:u w:color="0000FF"/>
        </w:rPr>
        <w:t>vizīte</w:t>
      </w:r>
      <w:r>
        <w:rPr>
          <w:rFonts w:ascii="Times New Roman" w:hAnsi="Times New Roman"/>
          <w:sz w:val="20"/>
          <w:u w:color="0000FF"/>
        </w:rPr>
        <w:t>, 111. punkts</w:t>
      </w:r>
      <w:r>
        <w:rPr>
          <w:rFonts w:ascii="Times New Roman" w:hAnsi="Times New Roman"/>
          <w:sz w:val="20"/>
        </w:rPr>
        <w:t xml:space="preserve">; </w:t>
      </w:r>
      <w:r>
        <w:rPr>
          <w:rFonts w:ascii="Times New Roman" w:hAnsi="Times New Roman"/>
          <w:sz w:val="20"/>
          <w:u w:color="0000FF"/>
        </w:rPr>
        <w:t xml:space="preserve">Čehijas Republika: 2014. gada </w:t>
      </w:r>
      <w:r w:rsidR="005419D1" w:rsidRPr="005419D1">
        <w:rPr>
          <w:rFonts w:ascii="Times New Roman" w:hAnsi="Times New Roman"/>
          <w:sz w:val="20"/>
          <w:u w:color="0000FF"/>
        </w:rPr>
        <w:t>vizīte</w:t>
      </w:r>
      <w:r>
        <w:rPr>
          <w:rFonts w:ascii="Times New Roman" w:hAnsi="Times New Roman"/>
          <w:sz w:val="20"/>
          <w:u w:color="0000FF"/>
        </w:rPr>
        <w:t>, 37. punkts.</w:t>
      </w:r>
    </w:p>
  </w:footnote>
  <w:footnote w:id="50">
    <w:p w14:paraId="223E04F8" w14:textId="06F5DFC4" w:rsidR="005748FF" w:rsidRPr="005748FF" w:rsidRDefault="005748FF" w:rsidP="005748FF">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Grieķija: 2013. gada </w:t>
      </w:r>
      <w:r w:rsidR="005419D1" w:rsidRPr="005419D1">
        <w:rPr>
          <w:rFonts w:ascii="Times New Roman" w:hAnsi="Times New Roman"/>
          <w:sz w:val="20"/>
          <w:u w:color="0000FF"/>
        </w:rPr>
        <w:t>vizīte</w:t>
      </w:r>
      <w:r>
        <w:rPr>
          <w:rFonts w:ascii="Times New Roman" w:hAnsi="Times New Roman"/>
          <w:sz w:val="20"/>
          <w:u w:color="0000FF"/>
        </w:rPr>
        <w:t>, 79. punkts.</w:t>
      </w:r>
    </w:p>
  </w:footnote>
  <w:footnote w:id="51">
    <w:p w14:paraId="61F7935D" w14:textId="72D68A43" w:rsidR="005748FF" w:rsidRPr="005748FF" w:rsidRDefault="005748FF">
      <w:pPr>
        <w:pStyle w:val="FootnoteText"/>
      </w:pPr>
      <w:r>
        <w:rPr>
          <w:rStyle w:val="FootnoteReference"/>
        </w:rPr>
        <w:footnoteRef/>
      </w:r>
      <w:r>
        <w:t xml:space="preserve"> </w:t>
      </w:r>
      <w:r>
        <w:rPr>
          <w:rFonts w:ascii="Times New Roman" w:hAnsi="Times New Roman"/>
          <w:u w:color="0000FF"/>
        </w:rPr>
        <w:t xml:space="preserve">Malta: 2004. gada </w:t>
      </w:r>
      <w:r w:rsidR="005419D1" w:rsidRPr="005419D1">
        <w:rPr>
          <w:rFonts w:ascii="Times New Roman" w:hAnsi="Times New Roman"/>
          <w:u w:color="0000FF"/>
        </w:rPr>
        <w:t>vizīte</w:t>
      </w:r>
      <w:r>
        <w:rPr>
          <w:rFonts w:ascii="Times New Roman" w:hAnsi="Times New Roman"/>
          <w:u w:color="0000FF"/>
        </w:rPr>
        <w:t>, 61. punkts.</w:t>
      </w:r>
    </w:p>
  </w:footnote>
  <w:footnote w:id="52">
    <w:p w14:paraId="36632D34" w14:textId="51ADEE1E" w:rsidR="005748FF" w:rsidRPr="005748FF" w:rsidRDefault="005748FF">
      <w:pPr>
        <w:pStyle w:val="FootnoteText"/>
      </w:pPr>
      <w:r>
        <w:rPr>
          <w:rStyle w:val="FootnoteReference"/>
        </w:rPr>
        <w:footnoteRef/>
      </w:r>
      <w:r>
        <w:t xml:space="preserve"> </w:t>
      </w:r>
      <w:r>
        <w:rPr>
          <w:rFonts w:ascii="Times New Roman" w:hAnsi="Times New Roman"/>
          <w:u w:color="0000FF"/>
        </w:rPr>
        <w:t xml:space="preserve">Norvēģija: 2011. gada </w:t>
      </w:r>
      <w:r w:rsidR="005419D1" w:rsidRPr="005419D1">
        <w:rPr>
          <w:rFonts w:ascii="Times New Roman" w:hAnsi="Times New Roman"/>
          <w:u w:color="0000FF"/>
        </w:rPr>
        <w:t>vizīte</w:t>
      </w:r>
      <w:r>
        <w:rPr>
          <w:rFonts w:ascii="Times New Roman" w:hAnsi="Times New Roman"/>
          <w:u w:color="0000FF"/>
        </w:rPr>
        <w:t>, 38. punkts</w:t>
      </w:r>
      <w:r>
        <w:rPr>
          <w:rFonts w:ascii="Times New Roman" w:hAnsi="Times New Roman"/>
        </w:rPr>
        <w:t xml:space="preserve">; </w:t>
      </w:r>
      <w:r>
        <w:rPr>
          <w:rFonts w:ascii="Times New Roman" w:hAnsi="Times New Roman"/>
          <w:u w:color="0000FF"/>
        </w:rPr>
        <w:t xml:space="preserve">Latvija: 2011. gada </w:t>
      </w:r>
      <w:r w:rsidR="005419D1" w:rsidRPr="005419D1">
        <w:rPr>
          <w:rFonts w:ascii="Times New Roman" w:hAnsi="Times New Roman"/>
          <w:u w:color="0000FF"/>
        </w:rPr>
        <w:t>vizīte</w:t>
      </w:r>
      <w:r>
        <w:rPr>
          <w:rFonts w:ascii="Times New Roman" w:hAnsi="Times New Roman"/>
          <w:u w:color="0000FF"/>
        </w:rPr>
        <w:t>, 36. punkts.</w:t>
      </w:r>
    </w:p>
  </w:footnote>
  <w:footnote w:id="53">
    <w:p w14:paraId="4513E0F3" w14:textId="4324926C" w:rsidR="005748FF" w:rsidRPr="005748FF" w:rsidRDefault="005748FF">
      <w:pPr>
        <w:pStyle w:val="FootnoteText"/>
      </w:pPr>
      <w:r>
        <w:rPr>
          <w:rStyle w:val="FootnoteReference"/>
        </w:rPr>
        <w:footnoteRef/>
      </w:r>
      <w:r>
        <w:t xml:space="preserve"> </w:t>
      </w:r>
      <w:r>
        <w:rPr>
          <w:rFonts w:ascii="Times New Roman" w:hAnsi="Times New Roman"/>
          <w:u w:color="0000FF"/>
        </w:rPr>
        <w:t xml:space="preserve">Malta: 2004. gada </w:t>
      </w:r>
      <w:r w:rsidR="005419D1" w:rsidRPr="005419D1">
        <w:rPr>
          <w:rFonts w:ascii="Times New Roman" w:hAnsi="Times New Roman"/>
          <w:u w:color="0000FF"/>
        </w:rPr>
        <w:t>vizīte</w:t>
      </w:r>
      <w:r>
        <w:rPr>
          <w:rFonts w:ascii="Times New Roman" w:hAnsi="Times New Roman"/>
          <w:u w:color="0000FF"/>
        </w:rPr>
        <w:t>, 64. punkts.</w:t>
      </w:r>
    </w:p>
  </w:footnote>
  <w:footnote w:id="54">
    <w:p w14:paraId="11995DA4" w14:textId="40DB5D6F" w:rsidR="005748FF" w:rsidRPr="005748FF" w:rsidRDefault="005748FF">
      <w:pPr>
        <w:pStyle w:val="FootnoteText"/>
      </w:pPr>
      <w:r>
        <w:rPr>
          <w:rStyle w:val="FootnoteReference"/>
        </w:rPr>
        <w:footnoteRef/>
      </w:r>
      <w:r>
        <w:t xml:space="preserve"> </w:t>
      </w:r>
      <w:r>
        <w:rPr>
          <w:rFonts w:ascii="Times New Roman" w:hAnsi="Times New Roman"/>
          <w:u w:color="0000FF"/>
        </w:rPr>
        <w:t xml:space="preserve">19. vispārējais ziņojums par </w:t>
      </w:r>
      <w:r>
        <w:rPr>
          <w:rFonts w:ascii="Times New Roman" w:hAnsi="Times New Roman"/>
          <w:i/>
          <w:iCs/>
          <w:u w:color="0000FF"/>
        </w:rPr>
        <w:t>CPT</w:t>
      </w:r>
      <w:r>
        <w:rPr>
          <w:rFonts w:ascii="Times New Roman" w:hAnsi="Times New Roman"/>
          <w:u w:color="0000FF"/>
        </w:rPr>
        <w:t xml:space="preserve"> darbību, 88. punkts</w:t>
      </w:r>
      <w:r>
        <w:rPr>
          <w:rFonts w:ascii="Times New Roman" w:hAnsi="Times New Roman"/>
        </w:rPr>
        <w:t xml:space="preserve">; </w:t>
      </w:r>
      <w:r>
        <w:rPr>
          <w:rFonts w:ascii="Times New Roman" w:hAnsi="Times New Roman"/>
          <w:u w:color="0000FF"/>
        </w:rPr>
        <w:t xml:space="preserve">Ukraina: 2009. gada </w:t>
      </w:r>
      <w:r w:rsidR="005419D1" w:rsidRPr="005419D1">
        <w:rPr>
          <w:rFonts w:ascii="Times New Roman" w:hAnsi="Times New Roman"/>
          <w:u w:color="0000FF"/>
        </w:rPr>
        <w:t>vizīte</w:t>
      </w:r>
      <w:r>
        <w:rPr>
          <w:rFonts w:ascii="Times New Roman" w:hAnsi="Times New Roman"/>
          <w:u w:color="0000FF"/>
        </w:rPr>
        <w:t>, 71. punkts</w:t>
      </w:r>
      <w:r>
        <w:rPr>
          <w:rFonts w:ascii="Times New Roman" w:hAnsi="Times New Roman"/>
        </w:rPr>
        <w:t xml:space="preserve">; </w:t>
      </w:r>
      <w:r>
        <w:rPr>
          <w:rFonts w:ascii="Times New Roman" w:hAnsi="Times New Roman"/>
          <w:u w:color="0000FF"/>
        </w:rPr>
        <w:t xml:space="preserve">Bulgārija: 2008. gada </w:t>
      </w:r>
      <w:r w:rsidR="005419D1" w:rsidRPr="005419D1">
        <w:rPr>
          <w:rFonts w:ascii="Times New Roman" w:hAnsi="Times New Roman"/>
          <w:u w:color="0000FF"/>
        </w:rPr>
        <w:t>vizīte</w:t>
      </w:r>
      <w:r>
        <w:rPr>
          <w:rFonts w:ascii="Times New Roman" w:hAnsi="Times New Roman"/>
          <w:u w:color="0000FF"/>
        </w:rPr>
        <w:t>,</w:t>
      </w:r>
      <w:r>
        <w:rPr>
          <w:rFonts w:ascii="Times New Roman" w:hAnsi="Times New Roman"/>
        </w:rPr>
        <w:t xml:space="preserve"> </w:t>
      </w:r>
      <w:r>
        <w:rPr>
          <w:rFonts w:ascii="Times New Roman" w:hAnsi="Times New Roman"/>
          <w:u w:color="0000FF"/>
        </w:rPr>
        <w:t>44. punkts</w:t>
      </w:r>
      <w:r>
        <w:rPr>
          <w:rFonts w:ascii="Times New Roman" w:hAnsi="Times New Roman"/>
        </w:rPr>
        <w:t xml:space="preserve">; </w:t>
      </w:r>
      <w:r>
        <w:rPr>
          <w:rFonts w:ascii="Times New Roman" w:hAnsi="Times New Roman"/>
          <w:u w:color="0000FF"/>
        </w:rPr>
        <w:t xml:space="preserve">Francija: 2006. gada </w:t>
      </w:r>
      <w:r w:rsidR="005419D1" w:rsidRPr="005419D1">
        <w:rPr>
          <w:rFonts w:ascii="Times New Roman" w:hAnsi="Times New Roman"/>
          <w:u w:color="0000FF"/>
        </w:rPr>
        <w:t>vizīte</w:t>
      </w:r>
      <w:r>
        <w:rPr>
          <w:rFonts w:ascii="Times New Roman" w:hAnsi="Times New Roman"/>
          <w:u w:color="0000FF"/>
        </w:rPr>
        <w:t>, 76. punkts.</w:t>
      </w:r>
    </w:p>
  </w:footnote>
  <w:footnote w:id="55">
    <w:p w14:paraId="2A647167" w14:textId="7958A5CB" w:rsidR="005748FF" w:rsidRPr="005748FF" w:rsidRDefault="005748FF">
      <w:pPr>
        <w:pStyle w:val="FootnoteText"/>
      </w:pPr>
      <w:r>
        <w:rPr>
          <w:rStyle w:val="FootnoteReference"/>
        </w:rPr>
        <w:footnoteRef/>
      </w:r>
      <w:r>
        <w:t xml:space="preserve"> </w:t>
      </w:r>
      <w:r>
        <w:rPr>
          <w:rFonts w:ascii="Times New Roman" w:hAnsi="Times New Roman"/>
          <w:u w:color="0000FF"/>
        </w:rPr>
        <w:t xml:space="preserve">19. vispārējais ziņojums par </w:t>
      </w:r>
      <w:r>
        <w:rPr>
          <w:rFonts w:ascii="Times New Roman" w:hAnsi="Times New Roman"/>
          <w:i/>
          <w:iCs/>
          <w:u w:color="0000FF"/>
        </w:rPr>
        <w:t>CPT</w:t>
      </w:r>
      <w:r>
        <w:rPr>
          <w:rFonts w:ascii="Times New Roman" w:hAnsi="Times New Roman"/>
          <w:u w:color="0000FF"/>
        </w:rPr>
        <w:t xml:space="preserve"> darbību, 88. punkts</w:t>
      </w:r>
      <w:r>
        <w:rPr>
          <w:rFonts w:ascii="Times New Roman" w:hAnsi="Times New Roman"/>
        </w:rPr>
        <w:t xml:space="preserve">; </w:t>
      </w:r>
      <w:r>
        <w:rPr>
          <w:rFonts w:ascii="Times New Roman" w:hAnsi="Times New Roman"/>
          <w:u w:color="0000FF"/>
        </w:rPr>
        <w:t xml:space="preserve">Ukraina: 2009. gada </w:t>
      </w:r>
      <w:r w:rsidR="005419D1" w:rsidRPr="005419D1">
        <w:rPr>
          <w:rFonts w:ascii="Times New Roman" w:hAnsi="Times New Roman"/>
          <w:u w:color="0000FF"/>
        </w:rPr>
        <w:t>vizīte</w:t>
      </w:r>
      <w:r>
        <w:rPr>
          <w:rFonts w:ascii="Times New Roman" w:hAnsi="Times New Roman"/>
          <w:u w:color="0000FF"/>
        </w:rPr>
        <w:t>, 71. punkts</w:t>
      </w:r>
      <w:r>
        <w:rPr>
          <w:rFonts w:ascii="Times New Roman" w:hAnsi="Times New Roman"/>
        </w:rPr>
        <w:t xml:space="preserve">; </w:t>
      </w:r>
      <w:r>
        <w:rPr>
          <w:rFonts w:ascii="Times New Roman" w:hAnsi="Times New Roman"/>
          <w:u w:color="0000FF"/>
        </w:rPr>
        <w:t xml:space="preserve">Bulgārija: 2008. gada </w:t>
      </w:r>
      <w:r w:rsidR="005419D1" w:rsidRPr="005419D1">
        <w:rPr>
          <w:rFonts w:ascii="Times New Roman" w:hAnsi="Times New Roman"/>
          <w:u w:color="0000FF"/>
        </w:rPr>
        <w:t>vizīte</w:t>
      </w:r>
      <w:r>
        <w:rPr>
          <w:rFonts w:ascii="Times New Roman" w:hAnsi="Times New Roman"/>
          <w:u w:color="0000FF"/>
        </w:rPr>
        <w:t>,</w:t>
      </w:r>
      <w:r>
        <w:rPr>
          <w:rFonts w:ascii="Times New Roman" w:hAnsi="Times New Roman"/>
        </w:rPr>
        <w:t xml:space="preserve"> </w:t>
      </w:r>
      <w:r>
        <w:rPr>
          <w:rFonts w:ascii="Times New Roman" w:hAnsi="Times New Roman"/>
          <w:u w:color="0000FF"/>
        </w:rPr>
        <w:t>44. punkts</w:t>
      </w:r>
      <w:r>
        <w:rPr>
          <w:rFonts w:ascii="Times New Roman" w:hAnsi="Times New Roman"/>
        </w:rPr>
        <w:t xml:space="preserve">; </w:t>
      </w:r>
      <w:r>
        <w:rPr>
          <w:rFonts w:ascii="Times New Roman" w:hAnsi="Times New Roman"/>
          <w:u w:color="0000FF"/>
        </w:rPr>
        <w:t xml:space="preserve">Francija: 2006. gada </w:t>
      </w:r>
      <w:r w:rsidR="005419D1" w:rsidRPr="005419D1">
        <w:rPr>
          <w:rFonts w:ascii="Times New Roman" w:hAnsi="Times New Roman"/>
          <w:u w:color="0000FF"/>
        </w:rPr>
        <w:t>vizīte</w:t>
      </w:r>
      <w:r>
        <w:rPr>
          <w:rFonts w:ascii="Times New Roman" w:hAnsi="Times New Roman"/>
          <w:u w:color="0000FF"/>
        </w:rPr>
        <w:t>, 76. punkts</w:t>
      </w:r>
      <w:r>
        <w:rPr>
          <w:rFonts w:ascii="Times New Roman" w:hAnsi="Times New Roman"/>
        </w:rPr>
        <w:t>.</w:t>
      </w:r>
    </w:p>
  </w:footnote>
  <w:footnote w:id="56">
    <w:p w14:paraId="68539EA6" w14:textId="39188793" w:rsidR="005748FF" w:rsidRPr="005748FF" w:rsidRDefault="005748FF" w:rsidP="005748FF">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Ukraina: 2009. gada </w:t>
      </w:r>
      <w:r w:rsidR="005419D1" w:rsidRPr="005419D1">
        <w:rPr>
          <w:rFonts w:ascii="Times New Roman" w:hAnsi="Times New Roman"/>
          <w:sz w:val="20"/>
          <w:u w:color="0000FF"/>
        </w:rPr>
        <w:t>vizīte</w:t>
      </w:r>
      <w:r>
        <w:rPr>
          <w:rFonts w:ascii="Times New Roman" w:hAnsi="Times New Roman"/>
          <w:sz w:val="20"/>
          <w:u w:color="0000FF"/>
        </w:rPr>
        <w:t>, 71. punkts</w:t>
      </w:r>
      <w:r>
        <w:rPr>
          <w:rFonts w:ascii="Times New Roman" w:hAnsi="Times New Roman"/>
          <w:sz w:val="20"/>
        </w:rPr>
        <w:t xml:space="preserve">; </w:t>
      </w:r>
      <w:r>
        <w:rPr>
          <w:rFonts w:ascii="Times New Roman" w:hAnsi="Times New Roman"/>
          <w:sz w:val="20"/>
          <w:u w:color="0000FF"/>
        </w:rPr>
        <w:t xml:space="preserve">Bulgārija: 2008. gada </w:t>
      </w:r>
      <w:r w:rsidR="005419D1" w:rsidRPr="005419D1">
        <w:rPr>
          <w:rFonts w:ascii="Times New Roman" w:hAnsi="Times New Roman"/>
          <w:sz w:val="20"/>
          <w:u w:color="0000FF"/>
        </w:rPr>
        <w:t>vizīte</w:t>
      </w:r>
      <w:r>
        <w:rPr>
          <w:rFonts w:ascii="Times New Roman" w:hAnsi="Times New Roman"/>
          <w:sz w:val="20"/>
          <w:u w:color="0000FF"/>
        </w:rPr>
        <w:t>, 44. punkts.</w:t>
      </w:r>
    </w:p>
  </w:footnote>
  <w:footnote w:id="57">
    <w:p w14:paraId="56A443DB" w14:textId="07F9AF3A" w:rsidR="005748FF" w:rsidRPr="005748FF" w:rsidRDefault="005748FF" w:rsidP="005748FF">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Nīderlande: 2011. gada </w:t>
      </w:r>
      <w:r w:rsidR="005419D1" w:rsidRPr="005419D1">
        <w:rPr>
          <w:rFonts w:ascii="Times New Roman" w:hAnsi="Times New Roman"/>
          <w:sz w:val="20"/>
          <w:u w:color="0000FF"/>
        </w:rPr>
        <w:t>vizīte</w:t>
      </w:r>
      <w:r>
        <w:rPr>
          <w:rFonts w:ascii="Times New Roman" w:hAnsi="Times New Roman"/>
          <w:sz w:val="20"/>
          <w:u w:color="0000FF"/>
        </w:rPr>
        <w:t>, 56. punkts</w:t>
      </w:r>
      <w:r>
        <w:rPr>
          <w:rFonts w:ascii="Times New Roman" w:hAnsi="Times New Roman"/>
          <w:sz w:val="20"/>
        </w:rPr>
        <w:t xml:space="preserve">; </w:t>
      </w:r>
      <w:r>
        <w:rPr>
          <w:rFonts w:ascii="Times New Roman" w:hAnsi="Times New Roman"/>
          <w:sz w:val="20"/>
          <w:u w:color="0000FF"/>
        </w:rPr>
        <w:t xml:space="preserve">Malta: 2004. gada </w:t>
      </w:r>
      <w:r w:rsidR="0092662B" w:rsidRPr="0092662B">
        <w:rPr>
          <w:rFonts w:ascii="Times New Roman" w:hAnsi="Times New Roman"/>
          <w:sz w:val="20"/>
          <w:u w:color="0000FF"/>
        </w:rPr>
        <w:t>vizīte</w:t>
      </w:r>
      <w:r>
        <w:rPr>
          <w:rFonts w:ascii="Times New Roman" w:hAnsi="Times New Roman"/>
          <w:sz w:val="20"/>
          <w:u w:color="0000FF"/>
        </w:rPr>
        <w:t>, 67. punkts.</w:t>
      </w:r>
    </w:p>
  </w:footnote>
  <w:footnote w:id="58">
    <w:p w14:paraId="098DE545" w14:textId="6A708BE4" w:rsidR="005748FF" w:rsidRPr="005748FF" w:rsidRDefault="005748FF">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89. punkts.</w:t>
      </w:r>
    </w:p>
  </w:footnote>
  <w:footnote w:id="59">
    <w:p w14:paraId="46487155" w14:textId="261A5046" w:rsidR="005748FF" w:rsidRPr="005748FF" w:rsidRDefault="005748FF" w:rsidP="005748FF">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Apvienotā Karaliste: 2012. gada </w:t>
      </w:r>
      <w:r w:rsidR="004F7F72" w:rsidRPr="004F7F72">
        <w:rPr>
          <w:rFonts w:ascii="Times New Roman" w:hAnsi="Times New Roman"/>
          <w:sz w:val="20"/>
          <w:u w:color="0000FF"/>
        </w:rPr>
        <w:t>vizīte</w:t>
      </w:r>
      <w:r>
        <w:rPr>
          <w:rFonts w:ascii="Times New Roman" w:hAnsi="Times New Roman"/>
          <w:sz w:val="20"/>
          <w:u w:color="0000FF"/>
        </w:rPr>
        <w:t>, 136. punkts</w:t>
      </w:r>
      <w:r>
        <w:rPr>
          <w:rFonts w:ascii="Times New Roman" w:hAnsi="Times New Roman"/>
          <w:sz w:val="20"/>
        </w:rPr>
        <w:t xml:space="preserve">; </w:t>
      </w:r>
      <w:r>
        <w:rPr>
          <w:rFonts w:ascii="Times New Roman" w:hAnsi="Times New Roman"/>
          <w:sz w:val="20"/>
          <w:u w:color="0000FF"/>
        </w:rPr>
        <w:t xml:space="preserve">Spānija: 2011. gada </w:t>
      </w:r>
      <w:r w:rsidR="004F7F72" w:rsidRPr="004F7F72">
        <w:rPr>
          <w:rFonts w:ascii="Times New Roman" w:hAnsi="Times New Roman"/>
          <w:sz w:val="20"/>
          <w:u w:color="0000FF"/>
        </w:rPr>
        <w:t>vizīte</w:t>
      </w:r>
      <w:r>
        <w:rPr>
          <w:rFonts w:ascii="Times New Roman" w:hAnsi="Times New Roman"/>
          <w:sz w:val="20"/>
          <w:u w:color="0000FF"/>
        </w:rPr>
        <w:t>, 97. punkts.</w:t>
      </w:r>
    </w:p>
  </w:footnote>
  <w:footnote w:id="60">
    <w:p w14:paraId="64EC17B2" w14:textId="77C21E2B" w:rsidR="005748FF" w:rsidRPr="005748FF" w:rsidRDefault="005748FF">
      <w:pPr>
        <w:pStyle w:val="FootnoteText"/>
      </w:pPr>
      <w:r>
        <w:rPr>
          <w:rStyle w:val="FootnoteReference"/>
        </w:rPr>
        <w:footnoteRef/>
      </w:r>
      <w:r>
        <w:t xml:space="preserve"> </w:t>
      </w:r>
      <w:r>
        <w:rPr>
          <w:rFonts w:ascii="Times New Roman" w:hAnsi="Times New Roman"/>
          <w:u w:color="0000FF"/>
        </w:rPr>
        <w:t xml:space="preserve">Zviedrija: 2015. gada </w:t>
      </w:r>
      <w:r w:rsidR="00110E49" w:rsidRPr="00110E49">
        <w:rPr>
          <w:rFonts w:ascii="Times New Roman" w:hAnsi="Times New Roman"/>
          <w:u w:color="0000FF"/>
        </w:rPr>
        <w:t>vizīte</w:t>
      </w:r>
      <w:r>
        <w:rPr>
          <w:rFonts w:ascii="Times New Roman" w:hAnsi="Times New Roman"/>
          <w:u w:color="0000FF"/>
        </w:rPr>
        <w:t>, 37. punkts.</w:t>
      </w:r>
    </w:p>
  </w:footnote>
  <w:footnote w:id="61">
    <w:p w14:paraId="44C124EC" w14:textId="04BEA7EA" w:rsidR="005748FF" w:rsidRPr="005748FF" w:rsidRDefault="005748FF">
      <w:pPr>
        <w:pStyle w:val="FootnoteText"/>
      </w:pPr>
      <w:r>
        <w:rPr>
          <w:rStyle w:val="FootnoteReference"/>
        </w:rPr>
        <w:footnoteRef/>
      </w:r>
      <w:r>
        <w:t xml:space="preserve"> </w:t>
      </w:r>
      <w:r>
        <w:rPr>
          <w:rFonts w:ascii="Times New Roman" w:hAnsi="Times New Roman"/>
          <w:u w:color="0000FF"/>
        </w:rPr>
        <w:t xml:space="preserve">Zviedrija: 2015. gada </w:t>
      </w:r>
      <w:r w:rsidR="00110E49" w:rsidRPr="00110E49">
        <w:rPr>
          <w:rFonts w:ascii="Times New Roman" w:hAnsi="Times New Roman"/>
          <w:u w:color="0000FF"/>
        </w:rPr>
        <w:t>vizīte</w:t>
      </w:r>
      <w:r>
        <w:rPr>
          <w:rFonts w:ascii="Times New Roman" w:hAnsi="Times New Roman"/>
          <w:u w:color="0000FF"/>
        </w:rPr>
        <w:t>, 37. punkts.</w:t>
      </w:r>
    </w:p>
  </w:footnote>
  <w:footnote w:id="62">
    <w:p w14:paraId="19CF9A95" w14:textId="15E52BBA" w:rsidR="005748FF" w:rsidRPr="005748FF" w:rsidRDefault="005748FF">
      <w:pPr>
        <w:pStyle w:val="FootnoteText"/>
      </w:pPr>
      <w:r>
        <w:rPr>
          <w:rStyle w:val="FootnoteReference"/>
        </w:rPr>
        <w:footnoteRef/>
      </w:r>
      <w:r>
        <w:t xml:space="preserve"> </w:t>
      </w:r>
      <w:r>
        <w:rPr>
          <w:rFonts w:ascii="Times New Roman" w:hAnsi="Times New Roman"/>
          <w:u w:color="0000FF"/>
        </w:rPr>
        <w:t xml:space="preserve">Austrija: 2014. gada </w:t>
      </w:r>
      <w:r w:rsidR="00110E49" w:rsidRPr="00110E49">
        <w:rPr>
          <w:rFonts w:ascii="Times New Roman" w:hAnsi="Times New Roman"/>
          <w:u w:color="0000FF"/>
        </w:rPr>
        <w:t>vizīte</w:t>
      </w:r>
      <w:r>
        <w:rPr>
          <w:rFonts w:ascii="Times New Roman" w:hAnsi="Times New Roman"/>
          <w:u w:color="0000FF"/>
        </w:rPr>
        <w:t>, 46. punkts.</w:t>
      </w:r>
    </w:p>
  </w:footnote>
  <w:footnote w:id="63">
    <w:p w14:paraId="7A867846" w14:textId="4AF39188" w:rsidR="005748FF" w:rsidRPr="005748FF" w:rsidRDefault="005748FF" w:rsidP="005748FF">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Austrija: 2014. gada </w:t>
      </w:r>
      <w:r w:rsidR="00110E49" w:rsidRPr="00110E49">
        <w:rPr>
          <w:rFonts w:ascii="Times New Roman" w:hAnsi="Times New Roman"/>
          <w:sz w:val="20"/>
          <w:u w:color="0000FF"/>
        </w:rPr>
        <w:t>vizīte</w:t>
      </w:r>
      <w:r>
        <w:rPr>
          <w:rFonts w:ascii="Times New Roman" w:hAnsi="Times New Roman"/>
          <w:sz w:val="20"/>
          <w:u w:color="0000FF"/>
        </w:rPr>
        <w:t>, 46. punkts.</w:t>
      </w:r>
    </w:p>
  </w:footnote>
  <w:footnote w:id="64">
    <w:p w14:paraId="4EB722B8" w14:textId="398F468D" w:rsidR="005748FF" w:rsidRPr="005748FF" w:rsidRDefault="005748FF">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92. punkts.</w:t>
      </w:r>
    </w:p>
  </w:footnote>
  <w:footnote w:id="65">
    <w:p w14:paraId="67AF205B" w14:textId="563BCC4C" w:rsidR="005748FF" w:rsidRPr="005748FF" w:rsidRDefault="005748FF">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91. punkts.</w:t>
      </w:r>
    </w:p>
  </w:footnote>
  <w:footnote w:id="66">
    <w:p w14:paraId="4A0A82A5" w14:textId="3FF07D5B" w:rsidR="005748FF" w:rsidRPr="005748FF" w:rsidRDefault="005748FF">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92. punkts.</w:t>
      </w:r>
    </w:p>
  </w:footnote>
  <w:footnote w:id="67">
    <w:p w14:paraId="08B42224" w14:textId="6780307D" w:rsidR="00A640A7" w:rsidRPr="00A640A7" w:rsidRDefault="00A640A7" w:rsidP="00A640A7">
      <w:pPr>
        <w:jc w:val="both"/>
        <w:rPr>
          <w:rFonts w:ascii="Times New Roman" w:eastAsia="Calibri" w:hAnsi="Times New Roman" w:cs="Times New Roman"/>
          <w:noProof/>
          <w:sz w:val="20"/>
          <w:szCs w:val="20"/>
        </w:rPr>
      </w:pPr>
      <w:r>
        <w:rPr>
          <w:rStyle w:val="FootnoteReference"/>
        </w:rPr>
        <w:footnoteRef/>
      </w:r>
      <w:r>
        <w:rPr>
          <w:rFonts w:ascii="Times New Roman" w:hAnsi="Times New Roman"/>
          <w:sz w:val="20"/>
          <w:u w:color="0000FF"/>
        </w:rPr>
        <w:t xml:space="preserve"> 19. vispārējais ziņojums par </w:t>
      </w:r>
      <w:r>
        <w:rPr>
          <w:rFonts w:ascii="Times New Roman" w:hAnsi="Times New Roman"/>
          <w:i/>
          <w:iCs/>
          <w:sz w:val="20"/>
          <w:u w:color="0000FF"/>
        </w:rPr>
        <w:t>CPT</w:t>
      </w:r>
      <w:r>
        <w:rPr>
          <w:rFonts w:ascii="Times New Roman" w:hAnsi="Times New Roman"/>
          <w:sz w:val="20"/>
          <w:u w:color="0000FF"/>
        </w:rPr>
        <w:t xml:space="preserve"> darbību, 92. punkts.</w:t>
      </w:r>
    </w:p>
  </w:footnote>
  <w:footnote w:id="68">
    <w:p w14:paraId="5A6E191D" w14:textId="0AF39A9B" w:rsidR="00A640A7" w:rsidRPr="00A640A7" w:rsidRDefault="00A640A7" w:rsidP="00A640A7">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Somija: 2014. gada </w:t>
      </w:r>
      <w:r w:rsidR="002174D3" w:rsidRPr="002174D3">
        <w:rPr>
          <w:rFonts w:ascii="Times New Roman" w:hAnsi="Times New Roman"/>
          <w:sz w:val="20"/>
          <w:u w:color="0000FF"/>
        </w:rPr>
        <w:t>vizīte</w:t>
      </w:r>
      <w:r>
        <w:rPr>
          <w:rFonts w:ascii="Times New Roman" w:hAnsi="Times New Roman"/>
          <w:sz w:val="20"/>
          <w:u w:color="0000FF"/>
        </w:rPr>
        <w:t>, 36. punkts.</w:t>
      </w:r>
    </w:p>
  </w:footnote>
  <w:footnote w:id="69">
    <w:p w14:paraId="10D16FE6" w14:textId="3D751CE8" w:rsidR="00A640A7" w:rsidRPr="00A640A7" w:rsidRDefault="00A640A7">
      <w:pPr>
        <w:pStyle w:val="FootnoteText"/>
      </w:pPr>
      <w:r>
        <w:rPr>
          <w:rStyle w:val="FootnoteReference"/>
        </w:rPr>
        <w:footnoteRef/>
      </w:r>
      <w:r>
        <w:t xml:space="preserve"> </w:t>
      </w:r>
      <w:r>
        <w:rPr>
          <w:rFonts w:ascii="Times New Roman" w:hAnsi="Times New Roman"/>
          <w:u w:color="0000FF"/>
        </w:rPr>
        <w:t xml:space="preserve">Grieķija: 2015. gada </w:t>
      </w:r>
      <w:r w:rsidR="002174D3" w:rsidRPr="002174D3">
        <w:rPr>
          <w:rFonts w:ascii="Times New Roman" w:hAnsi="Times New Roman"/>
          <w:u w:color="0000FF"/>
        </w:rPr>
        <w:t>vizīte</w:t>
      </w:r>
      <w:r>
        <w:rPr>
          <w:rFonts w:ascii="Times New Roman" w:hAnsi="Times New Roman"/>
          <w:u w:color="0000FF"/>
        </w:rPr>
        <w:t>, 117. punkts.</w:t>
      </w:r>
    </w:p>
  </w:footnote>
  <w:footnote w:id="70">
    <w:p w14:paraId="62206621" w14:textId="0AF9726B" w:rsidR="00A640A7" w:rsidRPr="00A640A7" w:rsidRDefault="00A640A7">
      <w:pPr>
        <w:pStyle w:val="FootnoteText"/>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color="0000FF"/>
        </w:rPr>
        <w:t xml:space="preserve">Ungārija: 2015. gada </w:t>
      </w:r>
      <w:r w:rsidR="00A34BAC" w:rsidRPr="00A34BAC">
        <w:rPr>
          <w:rFonts w:ascii="Times New Roman" w:hAnsi="Times New Roman"/>
          <w:u w:color="0000FF"/>
        </w:rPr>
        <w:t>vizīte</w:t>
      </w:r>
      <w:r>
        <w:rPr>
          <w:rFonts w:ascii="Times New Roman" w:hAnsi="Times New Roman"/>
          <w:u w:color="0000FF"/>
        </w:rPr>
        <w:t>, 51. punkts</w:t>
      </w:r>
      <w:r>
        <w:rPr>
          <w:rFonts w:ascii="Times New Roman" w:hAnsi="Times New Roman"/>
        </w:rPr>
        <w:t xml:space="preserve">; </w:t>
      </w:r>
      <w:r>
        <w:rPr>
          <w:rFonts w:ascii="Times New Roman" w:hAnsi="Times New Roman"/>
          <w:u w:color="0000FF"/>
        </w:rPr>
        <w:t xml:space="preserve">Dānija: 2014. gada </w:t>
      </w:r>
      <w:r w:rsidR="00A34BAC" w:rsidRPr="00A34BAC">
        <w:rPr>
          <w:rFonts w:ascii="Times New Roman" w:hAnsi="Times New Roman"/>
          <w:u w:color="0000FF"/>
        </w:rPr>
        <w:t>vizīte</w:t>
      </w:r>
      <w:r>
        <w:rPr>
          <w:rFonts w:ascii="Times New Roman" w:hAnsi="Times New Roman"/>
          <w:u w:color="0000FF"/>
        </w:rPr>
        <w:t>, 77.–79. punkts</w:t>
      </w:r>
      <w:r>
        <w:rPr>
          <w:rFonts w:ascii="Times New Roman" w:hAnsi="Times New Roman"/>
        </w:rPr>
        <w:t xml:space="preserve">; </w:t>
      </w:r>
      <w:r>
        <w:rPr>
          <w:rFonts w:ascii="Times New Roman" w:hAnsi="Times New Roman"/>
          <w:u w:color="0000FF"/>
        </w:rPr>
        <w:t xml:space="preserve">Kipra: 2013. gada </w:t>
      </w:r>
      <w:r w:rsidR="00A34BAC" w:rsidRPr="00A34BAC">
        <w:rPr>
          <w:rFonts w:ascii="Times New Roman" w:hAnsi="Times New Roman"/>
          <w:u w:color="0000FF"/>
        </w:rPr>
        <w:t>vizīte</w:t>
      </w:r>
      <w:r>
        <w:rPr>
          <w:rFonts w:ascii="Times New Roman" w:hAnsi="Times New Roman"/>
          <w:u w:color="0000FF"/>
        </w:rPr>
        <w:t>, 33. punkts</w:t>
      </w:r>
      <w:r>
        <w:rPr>
          <w:rFonts w:ascii="Times New Roman" w:hAnsi="Times New Roman"/>
        </w:rPr>
        <w:t xml:space="preserve">; </w:t>
      </w:r>
      <w:r>
        <w:rPr>
          <w:rFonts w:ascii="Times New Roman" w:hAnsi="Times New Roman"/>
          <w:u w:color="0000FF"/>
        </w:rPr>
        <w:t>Apvienotā</w:t>
      </w:r>
      <w:r>
        <w:rPr>
          <w:rFonts w:ascii="Times New Roman" w:hAnsi="Times New Roman"/>
        </w:rPr>
        <w:t xml:space="preserve"> </w:t>
      </w:r>
      <w:r>
        <w:rPr>
          <w:rFonts w:ascii="Times New Roman" w:hAnsi="Times New Roman"/>
          <w:u w:color="0000FF"/>
        </w:rPr>
        <w:t xml:space="preserve">Karaliste: 2012. gada (septembra) </w:t>
      </w:r>
      <w:r w:rsidR="00A34BAC" w:rsidRPr="00A34BAC">
        <w:rPr>
          <w:rFonts w:ascii="Times New Roman" w:hAnsi="Times New Roman"/>
          <w:u w:color="0000FF"/>
        </w:rPr>
        <w:t>vizīte</w:t>
      </w:r>
      <w:r>
        <w:rPr>
          <w:rFonts w:ascii="Times New Roman" w:hAnsi="Times New Roman"/>
          <w:u w:color="0000FF"/>
        </w:rPr>
        <w:t>132. un 133. punkts</w:t>
      </w:r>
      <w:r>
        <w:rPr>
          <w:rFonts w:ascii="Times New Roman" w:hAnsi="Times New Roman"/>
        </w:rPr>
        <w:t xml:space="preserve">; </w:t>
      </w:r>
      <w:r>
        <w:rPr>
          <w:rFonts w:ascii="Times New Roman" w:hAnsi="Times New Roman"/>
          <w:u w:color="0000FF"/>
        </w:rPr>
        <w:t xml:space="preserve">19. vispārējais ziņojums par </w:t>
      </w:r>
      <w:r>
        <w:rPr>
          <w:rFonts w:ascii="Times New Roman" w:hAnsi="Times New Roman"/>
          <w:i/>
          <w:iCs/>
          <w:u w:color="0000FF"/>
        </w:rPr>
        <w:t>CPT</w:t>
      </w:r>
      <w:r>
        <w:rPr>
          <w:rFonts w:ascii="Times New Roman" w:hAnsi="Times New Roman"/>
          <w:u w:color="0000FF"/>
        </w:rPr>
        <w:t xml:space="preserve"> darbību, 75</w:t>
      </w:r>
      <w:r>
        <w:rPr>
          <w:rFonts w:ascii="Times New Roman" w:hAnsi="Times New Roman"/>
        </w:rPr>
        <w:t xml:space="preserve">. </w:t>
      </w:r>
      <w:r>
        <w:rPr>
          <w:rFonts w:ascii="Times New Roman" w:hAnsi="Times New Roman"/>
          <w:u w:color="0000FF"/>
        </w:rPr>
        <w:t>un 76. punkts</w:t>
      </w:r>
      <w:r>
        <w:rPr>
          <w:rFonts w:ascii="Times New Roman" w:hAnsi="Times New Roman"/>
        </w:rPr>
        <w:t xml:space="preserve">; </w:t>
      </w:r>
      <w:r>
        <w:rPr>
          <w:rFonts w:ascii="Times New Roman" w:hAnsi="Times New Roman"/>
          <w:u w:color="0000FF"/>
        </w:rPr>
        <w:t xml:space="preserve">Malta: 2008. gada </w:t>
      </w:r>
      <w:r w:rsidR="00A34BAC" w:rsidRPr="00A34BAC">
        <w:rPr>
          <w:rFonts w:ascii="Times New Roman" w:hAnsi="Times New Roman"/>
          <w:u w:color="0000FF"/>
        </w:rPr>
        <w:t>vizīte</w:t>
      </w:r>
      <w:r>
        <w:rPr>
          <w:rFonts w:ascii="Times New Roman" w:hAnsi="Times New Roman"/>
          <w:u w:color="0000FF"/>
        </w:rPr>
        <w:t>, 68. punkts</w:t>
      </w:r>
      <w:r>
        <w:rPr>
          <w:rFonts w:ascii="Times New Roman" w:hAnsi="Times New Roman"/>
        </w:rPr>
        <w:t>.</w:t>
      </w:r>
    </w:p>
  </w:footnote>
  <w:footnote w:id="71">
    <w:p w14:paraId="400E9430" w14:textId="589338A2" w:rsidR="003E2D0C" w:rsidRPr="003E2D0C" w:rsidRDefault="003E2D0C">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97. punkts.</w:t>
      </w:r>
    </w:p>
  </w:footnote>
  <w:footnote w:id="72">
    <w:p w14:paraId="2E92255A" w14:textId="6A4F2916" w:rsidR="0074117E" w:rsidRPr="0074117E" w:rsidRDefault="0074117E" w:rsidP="0074117E">
      <w:pPr>
        <w:jc w:val="both"/>
        <w:rPr>
          <w:rFonts w:ascii="Times New Roman" w:eastAsia="Calibri" w:hAnsi="Times New Roman" w:cs="Times New Roman"/>
          <w:noProof/>
          <w:sz w:val="20"/>
          <w:szCs w:val="20"/>
        </w:rPr>
      </w:pPr>
      <w:r>
        <w:rPr>
          <w:rStyle w:val="FootnoteReference"/>
        </w:rPr>
        <w:footnoteRef/>
      </w:r>
      <w:r>
        <w:t xml:space="preserve"> </w:t>
      </w:r>
      <w:r>
        <w:rPr>
          <w:rFonts w:ascii="Times New Roman" w:hAnsi="Times New Roman"/>
          <w:sz w:val="20"/>
          <w:u w:color="0000FF"/>
        </w:rPr>
        <w:t xml:space="preserve">Kipra: 2013. gada </w:t>
      </w:r>
      <w:r w:rsidR="00A34BAC" w:rsidRPr="00A34BAC">
        <w:rPr>
          <w:rFonts w:ascii="Times New Roman" w:hAnsi="Times New Roman"/>
          <w:sz w:val="20"/>
          <w:u w:color="0000FF"/>
        </w:rPr>
        <w:t>vizīte</w:t>
      </w:r>
      <w:r>
        <w:rPr>
          <w:rFonts w:ascii="Times New Roman" w:hAnsi="Times New Roman"/>
          <w:sz w:val="20"/>
          <w:u w:color="0000FF"/>
        </w:rPr>
        <w:t>, 36. punkts</w:t>
      </w:r>
      <w:r>
        <w:rPr>
          <w:rFonts w:ascii="Times New Roman" w:hAnsi="Times New Roman"/>
          <w:sz w:val="20"/>
        </w:rPr>
        <w:t xml:space="preserve">; </w:t>
      </w:r>
      <w:r>
        <w:rPr>
          <w:rFonts w:ascii="Times New Roman" w:hAnsi="Times New Roman"/>
          <w:sz w:val="20"/>
          <w:u w:color="0000FF"/>
        </w:rPr>
        <w:t xml:space="preserve">Čehijas Republika: 2014. gada </w:t>
      </w:r>
      <w:r w:rsidR="00A34BAC" w:rsidRPr="00A34BAC">
        <w:rPr>
          <w:rFonts w:ascii="Times New Roman" w:hAnsi="Times New Roman"/>
          <w:sz w:val="20"/>
          <w:u w:color="0000FF"/>
        </w:rPr>
        <w:t>vizīte</w:t>
      </w:r>
      <w:r>
        <w:rPr>
          <w:rFonts w:ascii="Times New Roman" w:hAnsi="Times New Roman"/>
          <w:sz w:val="20"/>
          <w:u w:color="0000FF"/>
        </w:rPr>
        <w:t>, 32. punkts.</w:t>
      </w:r>
    </w:p>
  </w:footnote>
  <w:footnote w:id="73">
    <w:p w14:paraId="5958D485" w14:textId="4848C5D6" w:rsidR="0074117E" w:rsidRPr="0074117E" w:rsidRDefault="0074117E">
      <w:pPr>
        <w:pStyle w:val="FootnoteText"/>
      </w:pPr>
      <w:r>
        <w:rPr>
          <w:rStyle w:val="FootnoteReference"/>
        </w:rPr>
        <w:footnoteRef/>
      </w:r>
      <w:r>
        <w:t xml:space="preserve"> </w:t>
      </w:r>
      <w:r>
        <w:rPr>
          <w:rFonts w:ascii="Times New Roman" w:hAnsi="Times New Roman"/>
        </w:rPr>
        <w:t>Bērnu tiesību komitejas 2005. gada 1. septembra Vispārējā komentāra Nr. 6 (2005) “Rīcība attiecībā uz nepavadītiem un nošķirtiem bērniem ārpus viņu izcelsmes valsts” (2005) CRC/GC/2005/6 61. punkts.</w:t>
      </w:r>
    </w:p>
  </w:footnote>
  <w:footnote w:id="74">
    <w:p w14:paraId="4633A761" w14:textId="7363A4BD" w:rsidR="00571940" w:rsidRPr="00571940" w:rsidRDefault="00571940">
      <w:pPr>
        <w:pStyle w:val="FootnoteText"/>
      </w:pPr>
      <w:r>
        <w:rPr>
          <w:rStyle w:val="FootnoteReference"/>
        </w:rPr>
        <w:footnoteRef/>
      </w:r>
      <w:r>
        <w:t xml:space="preserve"> </w:t>
      </w:r>
      <w:r>
        <w:rPr>
          <w:rFonts w:ascii="Times New Roman" w:hAnsi="Times New Roman"/>
        </w:rPr>
        <w:t>Eiropas Padomes Parlamentārās asamblejas 2010. gada 28. janvāra Rezolūcijas Nr. 1707 (2010) “Detention of asylum seekers and irregular migrants in Europe” [Patvēruma meklētāju un neatbilstīgo migrantu aizturēšana Eiropā] 9.1.9. punkts un 2014. gada 3. oktobra Rezolūcijas Nr. 2020 (2014) “The alternatives to immigration detention of children” [Alternatīvas ar imigranta statusu saistītai bērnu aizturēšanai] 3. punkts.</w:t>
      </w:r>
    </w:p>
  </w:footnote>
  <w:footnote w:id="75">
    <w:p w14:paraId="2674FB8C" w14:textId="52A6509B" w:rsidR="00571940" w:rsidRPr="00571940" w:rsidRDefault="00571940">
      <w:pPr>
        <w:pStyle w:val="FootnoteText"/>
      </w:pPr>
      <w:r>
        <w:rPr>
          <w:rStyle w:val="FootnoteReference"/>
        </w:rPr>
        <w:footnoteRef/>
      </w:r>
      <w:r>
        <w:t xml:space="preserve"> </w:t>
      </w:r>
      <w:r>
        <w:rPr>
          <w:rFonts w:ascii="Times New Roman" w:hAnsi="Times New Roman"/>
        </w:rPr>
        <w:t>Cilvēktiesību komisāra 2010. gada 25. jūnija dokuments “Positions on the rights of minor migrants in an irregular situation” [Nostāja par nepilngadīgo imigrantu tiesībām nenoregulētā situācijā], CommDH/PositionPaper(2010)6.</w:t>
      </w:r>
    </w:p>
  </w:footnote>
  <w:footnote w:id="76">
    <w:p w14:paraId="1EB7F49F" w14:textId="3ED890D3" w:rsidR="00571940" w:rsidRPr="00571940" w:rsidRDefault="00571940">
      <w:pPr>
        <w:pStyle w:val="FootnoteText"/>
      </w:pPr>
      <w:r>
        <w:rPr>
          <w:rStyle w:val="FootnoteReference"/>
        </w:rPr>
        <w:footnoteRef/>
      </w:r>
      <w:r>
        <w:t xml:space="preserve"> </w:t>
      </w:r>
      <w:r>
        <w:rPr>
          <w:rFonts w:ascii="Times New Roman" w:hAnsi="Times New Roman"/>
          <w:u w:color="0000FF"/>
        </w:rPr>
        <w:t xml:space="preserve">Somija: 2014. gada </w:t>
      </w:r>
      <w:r w:rsidR="00FB413E" w:rsidRPr="00FB413E">
        <w:rPr>
          <w:rFonts w:ascii="Times New Roman" w:hAnsi="Times New Roman"/>
          <w:u w:color="0000FF"/>
        </w:rPr>
        <w:t>vizīte</w:t>
      </w:r>
      <w:r>
        <w:rPr>
          <w:rFonts w:ascii="Times New Roman" w:hAnsi="Times New Roman"/>
          <w:u w:color="0000FF"/>
        </w:rPr>
        <w:t>, 29. punkts.</w:t>
      </w:r>
    </w:p>
  </w:footnote>
  <w:footnote w:id="77">
    <w:p w14:paraId="375FC067" w14:textId="51C5CA3E" w:rsidR="007D002F" w:rsidRPr="007D002F" w:rsidRDefault="007D002F" w:rsidP="007D002F">
      <w:pPr>
        <w:jc w:val="both"/>
        <w:rPr>
          <w:rFonts w:ascii="Times New Roman" w:eastAsia="Calibri" w:hAnsi="Times New Roman" w:cs="Times New Roman"/>
          <w:noProof/>
          <w:sz w:val="20"/>
          <w:szCs w:val="20"/>
        </w:rPr>
      </w:pPr>
      <w:r>
        <w:rPr>
          <w:rStyle w:val="FootnoteReference"/>
        </w:rPr>
        <w:footnoteRef/>
      </w:r>
      <w:r>
        <w:rPr>
          <w:rFonts w:ascii="Times New Roman" w:hAnsi="Times New Roman"/>
          <w:sz w:val="20"/>
          <w:u w:color="0000FF"/>
        </w:rPr>
        <w:t xml:space="preserve"> 19. vispārējais ziņojums par </w:t>
      </w:r>
      <w:r>
        <w:rPr>
          <w:rFonts w:ascii="Times New Roman" w:hAnsi="Times New Roman"/>
          <w:i/>
          <w:iCs/>
          <w:sz w:val="20"/>
          <w:u w:color="0000FF"/>
        </w:rPr>
        <w:t>CPT</w:t>
      </w:r>
      <w:r>
        <w:rPr>
          <w:rFonts w:ascii="Times New Roman" w:hAnsi="Times New Roman"/>
          <w:sz w:val="20"/>
          <w:u w:color="0000FF"/>
        </w:rPr>
        <w:t xml:space="preserve"> darbību, 98. punkts.</w:t>
      </w:r>
    </w:p>
  </w:footnote>
  <w:footnote w:id="78">
    <w:p w14:paraId="4A054DFF" w14:textId="666C28E6" w:rsidR="007D002F" w:rsidRPr="007D002F" w:rsidRDefault="007D002F">
      <w:pPr>
        <w:pStyle w:val="FootnoteText"/>
      </w:pPr>
      <w:r>
        <w:rPr>
          <w:rStyle w:val="FootnoteReference"/>
        </w:rPr>
        <w:footnoteRef/>
      </w:r>
      <w:r>
        <w:t xml:space="preserve"> </w:t>
      </w:r>
      <w:r>
        <w:rPr>
          <w:rFonts w:ascii="Times New Roman" w:hAnsi="Times New Roman"/>
          <w:u w:color="0000FF"/>
        </w:rPr>
        <w:t xml:space="preserve">Dānija: 2014. gada </w:t>
      </w:r>
      <w:r w:rsidR="00FB413E" w:rsidRPr="00FB413E">
        <w:rPr>
          <w:rFonts w:ascii="Times New Roman" w:hAnsi="Times New Roman"/>
          <w:u w:color="0000FF"/>
        </w:rPr>
        <w:t>vizīte</w:t>
      </w:r>
      <w:r>
        <w:rPr>
          <w:rFonts w:ascii="Times New Roman" w:hAnsi="Times New Roman"/>
          <w:u w:color="0000FF"/>
        </w:rPr>
        <w:t>, 77. punkts.</w:t>
      </w:r>
    </w:p>
  </w:footnote>
  <w:footnote w:id="79">
    <w:p w14:paraId="23DD4DAF" w14:textId="5A0E4634" w:rsidR="00087B63" w:rsidRPr="00087B63" w:rsidRDefault="00087B63">
      <w:pPr>
        <w:pStyle w:val="FootnoteText"/>
      </w:pPr>
      <w:r>
        <w:rPr>
          <w:rStyle w:val="FootnoteReference"/>
        </w:rPr>
        <w:footnoteRef/>
      </w:r>
      <w:r>
        <w:t xml:space="preserve"> </w:t>
      </w:r>
      <w:r>
        <w:rPr>
          <w:rFonts w:ascii="Times New Roman" w:hAnsi="Times New Roman"/>
          <w:u w:color="0000FF"/>
        </w:rPr>
        <w:t xml:space="preserve">“Bijusī Dienvidslāvijas Maķedonijas Republika”: 2014. gada </w:t>
      </w:r>
      <w:r w:rsidR="0065026F" w:rsidRPr="0065026F">
        <w:rPr>
          <w:rFonts w:ascii="Times New Roman" w:hAnsi="Times New Roman"/>
          <w:u w:color="0000FF"/>
        </w:rPr>
        <w:t>vizīte</w:t>
      </w:r>
      <w:r>
        <w:rPr>
          <w:rFonts w:ascii="Times New Roman" w:hAnsi="Times New Roman"/>
          <w:u w:color="0000FF"/>
        </w:rPr>
        <w:t>, 122. punkts.</w:t>
      </w:r>
    </w:p>
  </w:footnote>
  <w:footnote w:id="80">
    <w:p w14:paraId="536F69A2" w14:textId="02AB7E36" w:rsidR="00087B63" w:rsidRPr="00087B63" w:rsidRDefault="00087B63">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98. punkts.</w:t>
      </w:r>
    </w:p>
  </w:footnote>
  <w:footnote w:id="81">
    <w:p w14:paraId="4A08AB29" w14:textId="32FDAE32" w:rsidR="004943F6" w:rsidRPr="004943F6" w:rsidRDefault="004943F6">
      <w:pPr>
        <w:pStyle w:val="FootnoteText"/>
      </w:pPr>
      <w:r>
        <w:rPr>
          <w:rStyle w:val="FootnoteReference"/>
        </w:rPr>
        <w:footnoteRef/>
      </w:r>
      <w:r>
        <w:t xml:space="preserve"> </w:t>
      </w:r>
      <w:r>
        <w:rPr>
          <w:rFonts w:ascii="Times New Roman" w:hAnsi="Times New Roman"/>
          <w:u w:color="0000FF"/>
        </w:rPr>
        <w:t xml:space="preserve">Grieķija: 2015. gada </w:t>
      </w:r>
      <w:r w:rsidR="0065026F" w:rsidRPr="0065026F">
        <w:rPr>
          <w:rFonts w:ascii="Times New Roman" w:hAnsi="Times New Roman"/>
          <w:u w:color="0000FF"/>
        </w:rPr>
        <w:t>vizīte</w:t>
      </w:r>
      <w:r>
        <w:rPr>
          <w:rFonts w:ascii="Times New Roman" w:hAnsi="Times New Roman"/>
          <w:u w:color="0000FF"/>
        </w:rPr>
        <w:t>, 108. punkts.</w:t>
      </w:r>
    </w:p>
  </w:footnote>
  <w:footnote w:id="82">
    <w:p w14:paraId="5C03368B" w14:textId="3A3D0AD0" w:rsidR="004943F6" w:rsidRPr="004943F6" w:rsidRDefault="004943F6">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100. punkts.</w:t>
      </w:r>
    </w:p>
  </w:footnote>
  <w:footnote w:id="83">
    <w:p w14:paraId="54C53BA9" w14:textId="00A44F3F" w:rsidR="0009342F" w:rsidRPr="0009342F" w:rsidRDefault="0009342F">
      <w:pPr>
        <w:pStyle w:val="FootnoteText"/>
      </w:pPr>
      <w:r>
        <w:rPr>
          <w:rStyle w:val="FootnoteReference"/>
        </w:rPr>
        <w:footnoteRef/>
      </w:r>
      <w:r>
        <w:rPr>
          <w:rFonts w:ascii="Times New Roman" w:hAnsi="Times New Roman"/>
          <w:u w:color="0000FF"/>
        </w:rPr>
        <w:t xml:space="preserve"> 19. vispārējais ziņojums par </w:t>
      </w:r>
      <w:r>
        <w:rPr>
          <w:rFonts w:ascii="Times New Roman" w:hAnsi="Times New Roman"/>
          <w:i/>
          <w:iCs/>
          <w:u w:color="0000FF"/>
        </w:rPr>
        <w:t>CPT</w:t>
      </w:r>
      <w:r>
        <w:rPr>
          <w:rFonts w:ascii="Times New Roman" w:hAnsi="Times New Roman"/>
          <w:u w:color="0000FF"/>
        </w:rPr>
        <w:t xml:space="preserve"> darbību, 99.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8B8B" w14:textId="77777777" w:rsidR="00602B53" w:rsidRPr="0075517C" w:rsidRDefault="00602B53" w:rsidP="00602B53">
    <w:pPr>
      <w:pStyle w:val="Header"/>
      <w:rPr>
        <w:rStyle w:val="PageNumber"/>
        <w:rFonts w:ascii="Times New Roman" w:hAnsi="Times New Roman" w:cs="Times New Roman"/>
        <w:sz w:val="20"/>
        <w:szCs w:val="20"/>
      </w:rPr>
    </w:pPr>
    <w:bookmarkStart w:id="11" w:name="_Hlk496261784"/>
    <w:bookmarkStart w:id="12" w:name="_Hlk496261785"/>
    <w:bookmarkStart w:id="13" w:name="_Hlk496261786"/>
    <w:bookmarkStart w:id="14" w:name="_Hlk502757728"/>
    <w:bookmarkStart w:id="15" w:name="_Hlk502757729"/>
    <w:bookmarkStart w:id="16" w:name="_Hlk502757738"/>
    <w:bookmarkStart w:id="17" w:name="_Hlk502757739"/>
    <w:bookmarkStart w:id="18" w:name="_Hlk30491084"/>
    <w:bookmarkStart w:id="19" w:name="_Hlk30491085"/>
  </w:p>
  <w:p w14:paraId="4D183474" w14:textId="77777777" w:rsidR="00602B53" w:rsidRPr="0075517C" w:rsidRDefault="00602B53" w:rsidP="00602B53">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1"/>
  <w:bookmarkEnd w:id="12"/>
  <w:bookmarkEnd w:id="13"/>
  <w:bookmarkEnd w:id="14"/>
  <w:bookmarkEnd w:id="15"/>
  <w:bookmarkEnd w:id="16"/>
  <w:bookmarkEnd w:id="17"/>
  <w:bookmarkEnd w:id="18"/>
  <w:bookmarkEnd w:id="19"/>
  <w:p w14:paraId="34A121A1" w14:textId="77777777" w:rsidR="00602B53" w:rsidRPr="0075517C" w:rsidRDefault="00602B53" w:rsidP="00602B53">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E4BC" w14:textId="77777777" w:rsidR="00847C75" w:rsidRPr="000F66E7" w:rsidRDefault="00847C75" w:rsidP="00847C75">
    <w:pPr>
      <w:pBdr>
        <w:bottom w:val="single" w:sz="12" w:space="5" w:color="auto"/>
      </w:pBdr>
      <w:rPr>
        <w:rFonts w:ascii="Times New Roman" w:hAnsi="Times New Roman" w:cs="Times New Roman"/>
        <w:spacing w:val="-2"/>
        <w:sz w:val="20"/>
        <w:szCs w:val="20"/>
      </w:rPr>
    </w:pPr>
  </w:p>
  <w:p w14:paraId="0703FAE2" w14:textId="77777777" w:rsidR="00847C75" w:rsidRDefault="00847C75" w:rsidP="0084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D00"/>
    <w:multiLevelType w:val="hybridMultilevel"/>
    <w:tmpl w:val="DDEC2C26"/>
    <w:lvl w:ilvl="0" w:tplc="FC980FD2">
      <w:start w:val="1"/>
      <w:numFmt w:val="decimal"/>
      <w:lvlText w:val="%1."/>
      <w:lvlJc w:val="left"/>
      <w:pPr>
        <w:ind w:left="434" w:hanging="320"/>
      </w:pPr>
      <w:rPr>
        <w:rFonts w:ascii="Calibri" w:eastAsia="Calibri" w:hAnsi="Calibri" w:hint="default"/>
        <w:b/>
        <w:bCs/>
        <w:color w:val="365F91"/>
        <w:sz w:val="32"/>
        <w:szCs w:val="32"/>
      </w:rPr>
    </w:lvl>
    <w:lvl w:ilvl="1" w:tplc="69A6A514">
      <w:start w:val="1"/>
      <w:numFmt w:val="bullet"/>
      <w:lvlText w:val=""/>
      <w:lvlJc w:val="left"/>
      <w:pPr>
        <w:ind w:left="811" w:hanging="358"/>
      </w:pPr>
      <w:rPr>
        <w:rFonts w:ascii="Wingdings" w:eastAsia="Wingdings" w:hAnsi="Wingdings" w:hint="default"/>
        <w:sz w:val="24"/>
        <w:szCs w:val="24"/>
      </w:rPr>
    </w:lvl>
    <w:lvl w:ilvl="2" w:tplc="99D282E8">
      <w:start w:val="1"/>
      <w:numFmt w:val="bullet"/>
      <w:lvlText w:val="-"/>
      <w:lvlJc w:val="left"/>
      <w:pPr>
        <w:ind w:left="1191" w:hanging="358"/>
      </w:pPr>
      <w:rPr>
        <w:rFonts w:ascii="Courier New" w:eastAsia="Courier New" w:hAnsi="Courier New" w:hint="default"/>
        <w:sz w:val="24"/>
        <w:szCs w:val="24"/>
      </w:rPr>
    </w:lvl>
    <w:lvl w:ilvl="3" w:tplc="8E8AA9A0">
      <w:start w:val="1"/>
      <w:numFmt w:val="bullet"/>
      <w:lvlText w:val="•"/>
      <w:lvlJc w:val="left"/>
      <w:pPr>
        <w:ind w:left="2275" w:hanging="358"/>
      </w:pPr>
      <w:rPr>
        <w:rFonts w:hint="default"/>
      </w:rPr>
    </w:lvl>
    <w:lvl w:ilvl="4" w:tplc="E69A2644">
      <w:start w:val="1"/>
      <w:numFmt w:val="bullet"/>
      <w:lvlText w:val="•"/>
      <w:lvlJc w:val="left"/>
      <w:pPr>
        <w:ind w:left="3360" w:hanging="358"/>
      </w:pPr>
      <w:rPr>
        <w:rFonts w:hint="default"/>
      </w:rPr>
    </w:lvl>
    <w:lvl w:ilvl="5" w:tplc="8BF487E4">
      <w:start w:val="1"/>
      <w:numFmt w:val="bullet"/>
      <w:lvlText w:val="•"/>
      <w:lvlJc w:val="left"/>
      <w:pPr>
        <w:ind w:left="4444" w:hanging="358"/>
      </w:pPr>
      <w:rPr>
        <w:rFonts w:hint="default"/>
      </w:rPr>
    </w:lvl>
    <w:lvl w:ilvl="6" w:tplc="9D902942">
      <w:start w:val="1"/>
      <w:numFmt w:val="bullet"/>
      <w:lvlText w:val="•"/>
      <w:lvlJc w:val="left"/>
      <w:pPr>
        <w:ind w:left="5529" w:hanging="358"/>
      </w:pPr>
      <w:rPr>
        <w:rFonts w:hint="default"/>
      </w:rPr>
    </w:lvl>
    <w:lvl w:ilvl="7" w:tplc="0D280EFA">
      <w:start w:val="1"/>
      <w:numFmt w:val="bullet"/>
      <w:lvlText w:val="•"/>
      <w:lvlJc w:val="left"/>
      <w:pPr>
        <w:ind w:left="6613" w:hanging="358"/>
      </w:pPr>
      <w:rPr>
        <w:rFonts w:hint="default"/>
      </w:rPr>
    </w:lvl>
    <w:lvl w:ilvl="8" w:tplc="CC10036A">
      <w:start w:val="1"/>
      <w:numFmt w:val="bullet"/>
      <w:lvlText w:val="•"/>
      <w:lvlJc w:val="left"/>
      <w:pPr>
        <w:ind w:left="7698" w:hanging="358"/>
      </w:pPr>
      <w:rPr>
        <w:rFonts w:hint="default"/>
      </w:rPr>
    </w:lvl>
  </w:abstractNum>
  <w:abstractNum w:abstractNumId="1" w15:restartNumberingAfterBreak="0">
    <w:nsid w:val="349166CC"/>
    <w:multiLevelType w:val="hybridMultilevel"/>
    <w:tmpl w:val="C94A991E"/>
    <w:lvl w:ilvl="0" w:tplc="AF0E60EE">
      <w:start w:val="1"/>
      <w:numFmt w:val="bullet"/>
      <w:lvlText w:val=""/>
      <w:lvlJc w:val="left"/>
      <w:pPr>
        <w:ind w:left="911" w:hanging="358"/>
      </w:pPr>
      <w:rPr>
        <w:rFonts w:ascii="Wingdings" w:eastAsia="Wingdings" w:hAnsi="Wingdings" w:hint="default"/>
        <w:sz w:val="24"/>
        <w:szCs w:val="24"/>
      </w:rPr>
    </w:lvl>
    <w:lvl w:ilvl="1" w:tplc="17CEC2A6">
      <w:start w:val="1"/>
      <w:numFmt w:val="bullet"/>
      <w:lvlText w:val="•"/>
      <w:lvlJc w:val="left"/>
      <w:pPr>
        <w:ind w:left="1850" w:hanging="358"/>
      </w:pPr>
      <w:rPr>
        <w:rFonts w:hint="default"/>
      </w:rPr>
    </w:lvl>
    <w:lvl w:ilvl="2" w:tplc="FEAEDD8A">
      <w:start w:val="1"/>
      <w:numFmt w:val="bullet"/>
      <w:lvlText w:val="•"/>
      <w:lvlJc w:val="left"/>
      <w:pPr>
        <w:ind w:left="2790" w:hanging="358"/>
      </w:pPr>
      <w:rPr>
        <w:rFonts w:hint="default"/>
      </w:rPr>
    </w:lvl>
    <w:lvl w:ilvl="3" w:tplc="7E1A39FC">
      <w:start w:val="1"/>
      <w:numFmt w:val="bullet"/>
      <w:lvlText w:val="•"/>
      <w:lvlJc w:val="left"/>
      <w:pPr>
        <w:ind w:left="3729" w:hanging="358"/>
      </w:pPr>
      <w:rPr>
        <w:rFonts w:hint="default"/>
      </w:rPr>
    </w:lvl>
    <w:lvl w:ilvl="4" w:tplc="02BE78C8">
      <w:start w:val="1"/>
      <w:numFmt w:val="bullet"/>
      <w:lvlText w:val="•"/>
      <w:lvlJc w:val="left"/>
      <w:pPr>
        <w:ind w:left="4669" w:hanging="358"/>
      </w:pPr>
      <w:rPr>
        <w:rFonts w:hint="default"/>
      </w:rPr>
    </w:lvl>
    <w:lvl w:ilvl="5" w:tplc="152A4538">
      <w:start w:val="1"/>
      <w:numFmt w:val="bullet"/>
      <w:lvlText w:val="•"/>
      <w:lvlJc w:val="left"/>
      <w:pPr>
        <w:ind w:left="5609" w:hanging="358"/>
      </w:pPr>
      <w:rPr>
        <w:rFonts w:hint="default"/>
      </w:rPr>
    </w:lvl>
    <w:lvl w:ilvl="6" w:tplc="F134165A">
      <w:start w:val="1"/>
      <w:numFmt w:val="bullet"/>
      <w:lvlText w:val="•"/>
      <w:lvlJc w:val="left"/>
      <w:pPr>
        <w:ind w:left="6548" w:hanging="358"/>
      </w:pPr>
      <w:rPr>
        <w:rFonts w:hint="default"/>
      </w:rPr>
    </w:lvl>
    <w:lvl w:ilvl="7" w:tplc="CE30A19A">
      <w:start w:val="1"/>
      <w:numFmt w:val="bullet"/>
      <w:lvlText w:val="•"/>
      <w:lvlJc w:val="left"/>
      <w:pPr>
        <w:ind w:left="7488" w:hanging="358"/>
      </w:pPr>
      <w:rPr>
        <w:rFonts w:hint="default"/>
      </w:rPr>
    </w:lvl>
    <w:lvl w:ilvl="8" w:tplc="209C6A8E">
      <w:start w:val="1"/>
      <w:numFmt w:val="bullet"/>
      <w:lvlText w:val="•"/>
      <w:lvlJc w:val="left"/>
      <w:pPr>
        <w:ind w:left="8427" w:hanging="358"/>
      </w:pPr>
      <w:rPr>
        <w:rFonts w:hint="default"/>
      </w:rPr>
    </w:lvl>
  </w:abstractNum>
  <w:abstractNum w:abstractNumId="2" w15:restartNumberingAfterBreak="0">
    <w:nsid w:val="38B36F36"/>
    <w:multiLevelType w:val="hybridMultilevel"/>
    <w:tmpl w:val="5D528554"/>
    <w:lvl w:ilvl="0" w:tplc="6CE4EBEC">
      <w:start w:val="1"/>
      <w:numFmt w:val="lowerRoman"/>
      <w:lvlText w:val="(%1)"/>
      <w:lvlJc w:val="left"/>
      <w:pPr>
        <w:ind w:left="811" w:hanging="744"/>
      </w:pPr>
      <w:rPr>
        <w:rFonts w:ascii="Calibri" w:eastAsia="Calibri" w:hAnsi="Calibri" w:hint="default"/>
        <w:sz w:val="24"/>
        <w:szCs w:val="24"/>
      </w:rPr>
    </w:lvl>
    <w:lvl w:ilvl="1" w:tplc="558433C6">
      <w:start w:val="1"/>
      <w:numFmt w:val="bullet"/>
      <w:lvlText w:val="•"/>
      <w:lvlJc w:val="left"/>
      <w:pPr>
        <w:ind w:left="1716" w:hanging="744"/>
      </w:pPr>
      <w:rPr>
        <w:rFonts w:hint="default"/>
      </w:rPr>
    </w:lvl>
    <w:lvl w:ilvl="2" w:tplc="9216D880">
      <w:start w:val="1"/>
      <w:numFmt w:val="bullet"/>
      <w:lvlText w:val="•"/>
      <w:lvlJc w:val="left"/>
      <w:pPr>
        <w:ind w:left="2622" w:hanging="744"/>
      </w:pPr>
      <w:rPr>
        <w:rFonts w:hint="default"/>
      </w:rPr>
    </w:lvl>
    <w:lvl w:ilvl="3" w:tplc="490CBC52">
      <w:start w:val="1"/>
      <w:numFmt w:val="bullet"/>
      <w:lvlText w:val="•"/>
      <w:lvlJc w:val="left"/>
      <w:pPr>
        <w:ind w:left="3527" w:hanging="744"/>
      </w:pPr>
      <w:rPr>
        <w:rFonts w:hint="default"/>
      </w:rPr>
    </w:lvl>
    <w:lvl w:ilvl="4" w:tplc="2C60D6CC">
      <w:start w:val="1"/>
      <w:numFmt w:val="bullet"/>
      <w:lvlText w:val="•"/>
      <w:lvlJc w:val="left"/>
      <w:pPr>
        <w:ind w:left="4433" w:hanging="744"/>
      </w:pPr>
      <w:rPr>
        <w:rFonts w:hint="default"/>
      </w:rPr>
    </w:lvl>
    <w:lvl w:ilvl="5" w:tplc="E36AEFEE">
      <w:start w:val="1"/>
      <w:numFmt w:val="bullet"/>
      <w:lvlText w:val="•"/>
      <w:lvlJc w:val="left"/>
      <w:pPr>
        <w:ind w:left="5339" w:hanging="744"/>
      </w:pPr>
      <w:rPr>
        <w:rFonts w:hint="default"/>
      </w:rPr>
    </w:lvl>
    <w:lvl w:ilvl="6" w:tplc="0F629256">
      <w:start w:val="1"/>
      <w:numFmt w:val="bullet"/>
      <w:lvlText w:val="•"/>
      <w:lvlJc w:val="left"/>
      <w:pPr>
        <w:ind w:left="6244" w:hanging="744"/>
      </w:pPr>
      <w:rPr>
        <w:rFonts w:hint="default"/>
      </w:rPr>
    </w:lvl>
    <w:lvl w:ilvl="7" w:tplc="7EEA510A">
      <w:start w:val="1"/>
      <w:numFmt w:val="bullet"/>
      <w:lvlText w:val="•"/>
      <w:lvlJc w:val="left"/>
      <w:pPr>
        <w:ind w:left="7150" w:hanging="744"/>
      </w:pPr>
      <w:rPr>
        <w:rFonts w:hint="default"/>
      </w:rPr>
    </w:lvl>
    <w:lvl w:ilvl="8" w:tplc="3B2E9F92">
      <w:start w:val="1"/>
      <w:numFmt w:val="bullet"/>
      <w:lvlText w:val="•"/>
      <w:lvlJc w:val="left"/>
      <w:pPr>
        <w:ind w:left="8055" w:hanging="744"/>
      </w:pPr>
      <w:rPr>
        <w:rFonts w:hint="default"/>
      </w:rPr>
    </w:lvl>
  </w:abstractNum>
  <w:abstractNum w:abstractNumId="3" w15:restartNumberingAfterBreak="0">
    <w:nsid w:val="48081469"/>
    <w:multiLevelType w:val="hybridMultilevel"/>
    <w:tmpl w:val="4C3E3FF6"/>
    <w:lvl w:ilvl="0" w:tplc="34D43090">
      <w:start w:val="3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503E29"/>
    <w:multiLevelType w:val="hybridMultilevel"/>
    <w:tmpl w:val="4E603B9C"/>
    <w:lvl w:ilvl="0" w:tplc="2890A6CC">
      <w:start w:val="35"/>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2294B"/>
    <w:rsid w:val="00027662"/>
    <w:rsid w:val="00052E72"/>
    <w:rsid w:val="0005445A"/>
    <w:rsid w:val="00065882"/>
    <w:rsid w:val="00074729"/>
    <w:rsid w:val="00087B63"/>
    <w:rsid w:val="0009342F"/>
    <w:rsid w:val="000B4FA9"/>
    <w:rsid w:val="000E032A"/>
    <w:rsid w:val="0010558F"/>
    <w:rsid w:val="00110E49"/>
    <w:rsid w:val="0012294B"/>
    <w:rsid w:val="001709A4"/>
    <w:rsid w:val="001B7496"/>
    <w:rsid w:val="001E0810"/>
    <w:rsid w:val="002112D4"/>
    <w:rsid w:val="002174D3"/>
    <w:rsid w:val="0024387C"/>
    <w:rsid w:val="002569C2"/>
    <w:rsid w:val="002839A8"/>
    <w:rsid w:val="002A790E"/>
    <w:rsid w:val="002B7E01"/>
    <w:rsid w:val="002F29B9"/>
    <w:rsid w:val="00304217"/>
    <w:rsid w:val="0039376E"/>
    <w:rsid w:val="00394635"/>
    <w:rsid w:val="003E2D0C"/>
    <w:rsid w:val="00416E3D"/>
    <w:rsid w:val="004943F6"/>
    <w:rsid w:val="004F7F72"/>
    <w:rsid w:val="005263B9"/>
    <w:rsid w:val="005419D1"/>
    <w:rsid w:val="00570300"/>
    <w:rsid w:val="00571940"/>
    <w:rsid w:val="005748FF"/>
    <w:rsid w:val="005925AE"/>
    <w:rsid w:val="00602B53"/>
    <w:rsid w:val="00624957"/>
    <w:rsid w:val="00643510"/>
    <w:rsid w:val="0065026F"/>
    <w:rsid w:val="0066254E"/>
    <w:rsid w:val="0066468A"/>
    <w:rsid w:val="00671FB0"/>
    <w:rsid w:val="006855F5"/>
    <w:rsid w:val="0069048A"/>
    <w:rsid w:val="0069424E"/>
    <w:rsid w:val="006C719C"/>
    <w:rsid w:val="006D0F16"/>
    <w:rsid w:val="006D5880"/>
    <w:rsid w:val="00707478"/>
    <w:rsid w:val="007240F2"/>
    <w:rsid w:val="0074117E"/>
    <w:rsid w:val="007561D2"/>
    <w:rsid w:val="007771A4"/>
    <w:rsid w:val="007842BF"/>
    <w:rsid w:val="007A1AB3"/>
    <w:rsid w:val="007D002F"/>
    <w:rsid w:val="00822D0C"/>
    <w:rsid w:val="0083427E"/>
    <w:rsid w:val="008406CA"/>
    <w:rsid w:val="00847C75"/>
    <w:rsid w:val="008833FB"/>
    <w:rsid w:val="008A6B8F"/>
    <w:rsid w:val="008D182E"/>
    <w:rsid w:val="008E12B1"/>
    <w:rsid w:val="00912F78"/>
    <w:rsid w:val="0092662B"/>
    <w:rsid w:val="009605EB"/>
    <w:rsid w:val="00976482"/>
    <w:rsid w:val="009A75C2"/>
    <w:rsid w:val="00A1106D"/>
    <w:rsid w:val="00A34BAC"/>
    <w:rsid w:val="00A640A7"/>
    <w:rsid w:val="00A66C51"/>
    <w:rsid w:val="00AF25C6"/>
    <w:rsid w:val="00BD1E25"/>
    <w:rsid w:val="00BD29B8"/>
    <w:rsid w:val="00C10C52"/>
    <w:rsid w:val="00C42A0D"/>
    <w:rsid w:val="00C46A1B"/>
    <w:rsid w:val="00CC5735"/>
    <w:rsid w:val="00CE70A2"/>
    <w:rsid w:val="00D01250"/>
    <w:rsid w:val="00D91BE5"/>
    <w:rsid w:val="00DA5154"/>
    <w:rsid w:val="00E26ED4"/>
    <w:rsid w:val="00ED4256"/>
    <w:rsid w:val="00EE6893"/>
    <w:rsid w:val="00F050E0"/>
    <w:rsid w:val="00F507F4"/>
    <w:rsid w:val="00F665C0"/>
    <w:rsid w:val="00F7235F"/>
    <w:rsid w:val="00FB41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34" w:hanging="320"/>
      <w:outlineLvl w:val="0"/>
    </w:pPr>
    <w:rPr>
      <w:rFonts w:ascii="Calibri" w:eastAsia="Calibri" w:hAnsi="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11" w:hanging="357"/>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46A1B"/>
    <w:pPr>
      <w:tabs>
        <w:tab w:val="center" w:pos="4513"/>
        <w:tab w:val="right" w:pos="9026"/>
      </w:tabs>
    </w:pPr>
  </w:style>
  <w:style w:type="character" w:customStyle="1" w:styleId="HeaderChar">
    <w:name w:val="Header Char"/>
    <w:basedOn w:val="DefaultParagraphFont"/>
    <w:link w:val="Header"/>
    <w:rsid w:val="00C46A1B"/>
  </w:style>
  <w:style w:type="paragraph" w:styleId="Footer">
    <w:name w:val="footer"/>
    <w:basedOn w:val="Normal"/>
    <w:link w:val="FooterChar"/>
    <w:unhideWhenUsed/>
    <w:rsid w:val="00C46A1B"/>
    <w:pPr>
      <w:tabs>
        <w:tab w:val="center" w:pos="4513"/>
        <w:tab w:val="right" w:pos="9026"/>
      </w:tabs>
    </w:pPr>
  </w:style>
  <w:style w:type="character" w:customStyle="1" w:styleId="FooterChar">
    <w:name w:val="Footer Char"/>
    <w:basedOn w:val="DefaultParagraphFont"/>
    <w:link w:val="Footer"/>
    <w:rsid w:val="00C46A1B"/>
  </w:style>
  <w:style w:type="table" w:styleId="TableGrid">
    <w:name w:val="Table Grid"/>
    <w:basedOn w:val="TableNormal"/>
    <w:uiPriority w:val="39"/>
    <w:rsid w:val="00D91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2A0D"/>
    <w:rPr>
      <w:sz w:val="20"/>
      <w:szCs w:val="20"/>
    </w:rPr>
  </w:style>
  <w:style w:type="character" w:customStyle="1" w:styleId="FootnoteTextChar">
    <w:name w:val="Footnote Text Char"/>
    <w:basedOn w:val="DefaultParagraphFont"/>
    <w:link w:val="FootnoteText"/>
    <w:uiPriority w:val="99"/>
    <w:semiHidden/>
    <w:rsid w:val="00C42A0D"/>
    <w:rPr>
      <w:sz w:val="20"/>
      <w:szCs w:val="20"/>
    </w:rPr>
  </w:style>
  <w:style w:type="character" w:styleId="FootnoteReference">
    <w:name w:val="footnote reference"/>
    <w:basedOn w:val="DefaultParagraphFont"/>
    <w:uiPriority w:val="99"/>
    <w:semiHidden/>
    <w:unhideWhenUsed/>
    <w:rsid w:val="00C42A0D"/>
    <w:rPr>
      <w:vertAlign w:val="superscript"/>
    </w:rPr>
  </w:style>
  <w:style w:type="character" w:styleId="PageNumber">
    <w:name w:val="page number"/>
    <w:basedOn w:val="DefaultParagraphFont"/>
    <w:semiHidden/>
    <w:rsid w:val="009A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5258E-40AE-4B64-AECF-15F8D7E19509}">
  <ds:schemaRefs>
    <ds:schemaRef ds:uri="http://schemas.openxmlformats.org/officeDocument/2006/bibliography"/>
  </ds:schemaRefs>
</ds:datastoreItem>
</file>

<file path=customXml/itemProps2.xml><?xml version="1.0" encoding="utf-8"?>
<ds:datastoreItem xmlns:ds="http://schemas.openxmlformats.org/officeDocument/2006/customXml" ds:itemID="{49AB954C-B152-45E0-8DE3-6B85EF9334C4}"/>
</file>

<file path=customXml/itemProps3.xml><?xml version="1.0" encoding="utf-8"?>
<ds:datastoreItem xmlns:ds="http://schemas.openxmlformats.org/officeDocument/2006/customXml" ds:itemID="{47BCB81B-5B54-4D13-8706-370380E5829B}">
  <ds:schemaRefs>
    <ds:schemaRef ds:uri="http://schemas.microsoft.com/sharepoint/v3/contenttype/forms"/>
  </ds:schemaRefs>
</ds:datastoreItem>
</file>

<file path=customXml/itemProps4.xml><?xml version="1.0" encoding="utf-8"?>
<ds:datastoreItem xmlns:ds="http://schemas.openxmlformats.org/officeDocument/2006/customXml" ds:itemID="{0767C4D4-3CC3-4581-A48F-ED3E9DDB98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13739</Words>
  <Characters>7832</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2021-09-30T06:42:00Z</dcterms:created>
  <dcterms:modified xsi:type="dcterms:W3CDTF">2022-01-10T09:53:00Z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