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10"/>
        <w:gridCol w:w="1435"/>
        <w:gridCol w:w="2583"/>
      </w:tblGrid>
      <w:tr w:rsidR="008113F3" w14:paraId="21FCE617" w14:textId="77777777" w:rsidTr="008113F3">
        <w:tc>
          <w:tcPr>
            <w:tcW w:w="2799" w:type="pct"/>
            <w:vMerge w:val="restart"/>
          </w:tcPr>
          <w:p w14:paraId="4BD44C09" w14:textId="7A3370F5" w:rsidR="008113F3" w:rsidRDefault="008113F3" w:rsidP="007B15AE">
            <w:pPr>
              <w:pStyle w:val="BodyText"/>
              <w:ind w:left="0"/>
              <w:jc w:val="both"/>
              <w:rPr>
                <w:rFonts w:ascii="Times New Roman" w:hAnsi="Times New Roman" w:cs="Times New Roman"/>
                <w:noProof/>
                <w:sz w:val="24"/>
                <w:szCs w:val="24"/>
              </w:rPr>
            </w:pPr>
            <w:r>
              <w:rPr>
                <w:rFonts w:ascii="Times New Roman" w:hAnsi="Times New Roman"/>
                <w:sz w:val="28"/>
              </w:rPr>
              <w:t>Eiropas Komiteja spīdzināšanas un necilvēcīgas vai pazemojošas rīcības vai soda novēršanai (</w:t>
            </w:r>
            <w:r>
              <w:rPr>
                <w:rFonts w:ascii="Times New Roman" w:hAnsi="Times New Roman"/>
                <w:i/>
                <w:iCs/>
                <w:sz w:val="28"/>
              </w:rPr>
              <w:t>CPT</w:t>
            </w:r>
            <w:r>
              <w:rPr>
                <w:rFonts w:ascii="Times New Roman" w:hAnsi="Times New Roman"/>
                <w:sz w:val="28"/>
              </w:rPr>
              <w:t>)</w:t>
            </w:r>
          </w:p>
        </w:tc>
        <w:tc>
          <w:tcPr>
            <w:tcW w:w="786" w:type="pct"/>
          </w:tcPr>
          <w:p w14:paraId="2A75E224" w14:textId="77777777" w:rsidR="008113F3" w:rsidRDefault="008113F3" w:rsidP="007B15AE">
            <w:pPr>
              <w:pStyle w:val="BodyText"/>
              <w:ind w:left="0"/>
              <w:jc w:val="both"/>
              <w:rPr>
                <w:rFonts w:ascii="Times New Roman" w:hAnsi="Times New Roman" w:cs="Times New Roman"/>
                <w:noProof/>
                <w:sz w:val="24"/>
                <w:szCs w:val="24"/>
              </w:rPr>
            </w:pPr>
          </w:p>
        </w:tc>
        <w:tc>
          <w:tcPr>
            <w:tcW w:w="1415" w:type="pct"/>
            <w:vMerge w:val="restart"/>
          </w:tcPr>
          <w:p w14:paraId="6449066F" w14:textId="77777777" w:rsidR="008113F3" w:rsidRDefault="008113F3" w:rsidP="008113F3">
            <w:pPr>
              <w:pStyle w:val="BodyText"/>
              <w:ind w:left="0"/>
              <w:jc w:val="center"/>
              <w:rPr>
                <w:rFonts w:ascii="Times New Roman" w:hAnsi="Times New Roman" w:cs="Times New Roman"/>
                <w:noProof/>
                <w:sz w:val="24"/>
                <w:szCs w:val="24"/>
              </w:rPr>
            </w:pPr>
            <w:r>
              <w:rPr>
                <w:rFonts w:ascii="Times New Roman" w:hAnsi="Times New Roman"/>
                <w:sz w:val="20"/>
              </w:rPr>
              <w:t>EIROPAS PADOME</w:t>
            </w:r>
          </w:p>
          <w:p w14:paraId="6088B34E" w14:textId="77777777" w:rsidR="008113F3" w:rsidRDefault="008113F3" w:rsidP="008113F3">
            <w:pPr>
              <w:pStyle w:val="BodyText"/>
              <w:ind w:left="0"/>
              <w:jc w:val="center"/>
              <w:rPr>
                <w:rFonts w:ascii="Times New Roman" w:hAnsi="Times New Roman" w:cs="Times New Roman"/>
                <w:noProof/>
                <w:sz w:val="24"/>
                <w:szCs w:val="24"/>
              </w:rPr>
            </w:pPr>
            <w:r>
              <w:rPr>
                <w:rFonts w:ascii="Times New Roman" w:hAnsi="Times New Roman"/>
                <w:noProof/>
                <w:sz w:val="24"/>
              </w:rPr>
              <w:drawing>
                <wp:inline distT="0" distB="0" distL="0" distR="0" wp14:anchorId="5BA7A083" wp14:editId="3895CF6F">
                  <wp:extent cx="1280763"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85434" cy="1061131"/>
                          </a:xfrm>
                          <a:prstGeom prst="rect">
                            <a:avLst/>
                          </a:prstGeom>
                        </pic:spPr>
                      </pic:pic>
                    </a:graphicData>
                  </a:graphic>
                </wp:inline>
              </w:drawing>
            </w:r>
          </w:p>
          <w:p w14:paraId="07715600" w14:textId="77538F26" w:rsidR="008113F3" w:rsidRDefault="008113F3" w:rsidP="008113F3">
            <w:pPr>
              <w:pStyle w:val="BodyText"/>
              <w:ind w:left="0"/>
              <w:jc w:val="center"/>
              <w:rPr>
                <w:rFonts w:ascii="Times New Roman" w:hAnsi="Times New Roman" w:cs="Times New Roman"/>
                <w:noProof/>
                <w:sz w:val="24"/>
                <w:szCs w:val="24"/>
              </w:rPr>
            </w:pPr>
            <w:r>
              <w:rPr>
                <w:rFonts w:ascii="Times New Roman" w:hAnsi="Times New Roman"/>
                <w:i/>
                <w:iCs/>
                <w:sz w:val="20"/>
              </w:rPr>
              <w:t>CONSEIL DE L’EUROPE</w:t>
            </w:r>
          </w:p>
        </w:tc>
      </w:tr>
      <w:tr w:rsidR="008113F3" w14:paraId="11C08916" w14:textId="77777777" w:rsidTr="008113F3">
        <w:tc>
          <w:tcPr>
            <w:tcW w:w="2799" w:type="pct"/>
            <w:vMerge/>
          </w:tcPr>
          <w:p w14:paraId="7E13BAA5" w14:textId="77777777" w:rsidR="008113F3" w:rsidRDefault="008113F3" w:rsidP="007B15AE">
            <w:pPr>
              <w:pStyle w:val="BodyText"/>
              <w:ind w:left="0"/>
              <w:jc w:val="both"/>
              <w:rPr>
                <w:rFonts w:ascii="Times New Roman" w:hAnsi="Times New Roman" w:cs="Times New Roman"/>
                <w:noProof/>
                <w:sz w:val="24"/>
                <w:szCs w:val="24"/>
              </w:rPr>
            </w:pPr>
          </w:p>
        </w:tc>
        <w:tc>
          <w:tcPr>
            <w:tcW w:w="786" w:type="pct"/>
          </w:tcPr>
          <w:p w14:paraId="55EC5848" w14:textId="77777777" w:rsidR="008113F3" w:rsidRDefault="008113F3" w:rsidP="007B15AE">
            <w:pPr>
              <w:pStyle w:val="BodyText"/>
              <w:ind w:left="0"/>
              <w:jc w:val="both"/>
              <w:rPr>
                <w:rFonts w:ascii="Times New Roman" w:hAnsi="Times New Roman" w:cs="Times New Roman"/>
                <w:noProof/>
                <w:sz w:val="24"/>
                <w:szCs w:val="24"/>
              </w:rPr>
            </w:pPr>
          </w:p>
        </w:tc>
        <w:tc>
          <w:tcPr>
            <w:tcW w:w="1415" w:type="pct"/>
            <w:vMerge/>
          </w:tcPr>
          <w:p w14:paraId="6703A43C" w14:textId="1DFD52BA" w:rsidR="008113F3" w:rsidRDefault="008113F3" w:rsidP="008113F3">
            <w:pPr>
              <w:pStyle w:val="BodyText"/>
              <w:ind w:left="0"/>
              <w:jc w:val="center"/>
              <w:rPr>
                <w:rFonts w:ascii="Times New Roman" w:hAnsi="Times New Roman" w:cs="Times New Roman"/>
                <w:noProof/>
                <w:sz w:val="24"/>
                <w:szCs w:val="24"/>
              </w:rPr>
            </w:pPr>
          </w:p>
        </w:tc>
      </w:tr>
      <w:tr w:rsidR="008113F3" w14:paraId="448563CA" w14:textId="77777777" w:rsidTr="008113F3">
        <w:trPr>
          <w:trHeight w:val="1554"/>
        </w:trPr>
        <w:tc>
          <w:tcPr>
            <w:tcW w:w="2799" w:type="pct"/>
            <w:vAlign w:val="center"/>
          </w:tcPr>
          <w:p w14:paraId="2257CB10" w14:textId="10AE3344" w:rsidR="008113F3" w:rsidRPr="00DB4571" w:rsidRDefault="004F208C" w:rsidP="008113F3">
            <w:pPr>
              <w:rPr>
                <w:rFonts w:ascii="Times New Roman" w:hAnsi="Times New Roman" w:cs="Times New Roman"/>
                <w:b/>
                <w:noProof/>
                <w:sz w:val="24"/>
                <w:szCs w:val="24"/>
              </w:rPr>
            </w:pPr>
            <w:r>
              <w:rPr>
                <w:rFonts w:ascii="Times New Roman" w:hAnsi="Times New Roman"/>
                <w:b/>
                <w:sz w:val="24"/>
              </w:rPr>
              <w:t>Faktu lapa</w:t>
            </w:r>
          </w:p>
        </w:tc>
        <w:tc>
          <w:tcPr>
            <w:tcW w:w="786" w:type="pct"/>
          </w:tcPr>
          <w:p w14:paraId="1D15F5E3" w14:textId="77777777" w:rsidR="008113F3" w:rsidRDefault="008113F3" w:rsidP="007B15AE">
            <w:pPr>
              <w:pStyle w:val="BodyText"/>
              <w:ind w:left="0"/>
              <w:jc w:val="both"/>
              <w:rPr>
                <w:rFonts w:ascii="Times New Roman" w:hAnsi="Times New Roman" w:cs="Times New Roman"/>
                <w:noProof/>
                <w:sz w:val="24"/>
                <w:szCs w:val="24"/>
              </w:rPr>
            </w:pPr>
          </w:p>
        </w:tc>
        <w:tc>
          <w:tcPr>
            <w:tcW w:w="1415" w:type="pct"/>
            <w:vMerge/>
          </w:tcPr>
          <w:p w14:paraId="6E86CD78" w14:textId="31E85C1F" w:rsidR="008113F3" w:rsidRDefault="008113F3" w:rsidP="008113F3">
            <w:pPr>
              <w:pStyle w:val="BodyText"/>
              <w:ind w:left="0"/>
              <w:jc w:val="center"/>
              <w:rPr>
                <w:rFonts w:ascii="Times New Roman" w:hAnsi="Times New Roman" w:cs="Times New Roman"/>
                <w:noProof/>
                <w:sz w:val="24"/>
                <w:szCs w:val="24"/>
              </w:rPr>
            </w:pPr>
          </w:p>
        </w:tc>
      </w:tr>
      <w:tr w:rsidR="00DB4571" w14:paraId="0227C47D" w14:textId="77777777" w:rsidTr="008113F3">
        <w:tc>
          <w:tcPr>
            <w:tcW w:w="2799" w:type="pct"/>
          </w:tcPr>
          <w:p w14:paraId="4C520523" w14:textId="3ABA988B" w:rsidR="00DB4571" w:rsidRDefault="00DB4571" w:rsidP="007B15AE">
            <w:pPr>
              <w:pStyle w:val="BodyText"/>
              <w:ind w:left="0"/>
              <w:jc w:val="both"/>
              <w:rPr>
                <w:rFonts w:ascii="Times New Roman" w:hAnsi="Times New Roman" w:cs="Times New Roman"/>
                <w:noProof/>
                <w:sz w:val="24"/>
                <w:szCs w:val="24"/>
              </w:rPr>
            </w:pPr>
            <w:r>
              <w:rPr>
                <w:rFonts w:ascii="Times New Roman" w:hAnsi="Times New Roman"/>
                <w:sz w:val="24"/>
              </w:rPr>
              <w:t>2020. gada 21. decembris</w:t>
            </w:r>
          </w:p>
        </w:tc>
        <w:tc>
          <w:tcPr>
            <w:tcW w:w="786" w:type="pct"/>
          </w:tcPr>
          <w:p w14:paraId="019BF7DF" w14:textId="77777777" w:rsidR="00DB4571" w:rsidRDefault="00DB4571" w:rsidP="007B15AE">
            <w:pPr>
              <w:pStyle w:val="BodyText"/>
              <w:ind w:left="0"/>
              <w:jc w:val="both"/>
              <w:rPr>
                <w:rFonts w:ascii="Times New Roman" w:hAnsi="Times New Roman" w:cs="Times New Roman"/>
                <w:noProof/>
                <w:sz w:val="24"/>
                <w:szCs w:val="24"/>
              </w:rPr>
            </w:pPr>
          </w:p>
        </w:tc>
        <w:tc>
          <w:tcPr>
            <w:tcW w:w="1415" w:type="pct"/>
          </w:tcPr>
          <w:p w14:paraId="5780C58E" w14:textId="5B4B5222" w:rsidR="00DB4571" w:rsidRDefault="00DB4571" w:rsidP="00DB4571">
            <w:pPr>
              <w:pStyle w:val="BodyText"/>
              <w:tabs>
                <w:tab w:val="left" w:pos="8518"/>
              </w:tabs>
              <w:ind w:left="0"/>
              <w:jc w:val="right"/>
              <w:rPr>
                <w:rFonts w:ascii="Times New Roman" w:hAnsi="Times New Roman" w:cs="Times New Roman"/>
                <w:noProof/>
                <w:sz w:val="24"/>
                <w:szCs w:val="24"/>
              </w:rPr>
            </w:pPr>
            <w:r>
              <w:rPr>
                <w:rFonts w:ascii="Times New Roman" w:hAnsi="Times New Roman"/>
                <w:sz w:val="24"/>
              </w:rPr>
              <w:t>CPT/Inf(2020)41</w:t>
            </w:r>
          </w:p>
        </w:tc>
      </w:tr>
    </w:tbl>
    <w:p w14:paraId="7AA17961" w14:textId="77777777" w:rsidR="00DB4571" w:rsidRDefault="00DB4571" w:rsidP="007B15AE">
      <w:pPr>
        <w:pStyle w:val="BodyText"/>
        <w:ind w:left="0"/>
        <w:jc w:val="both"/>
        <w:rPr>
          <w:rFonts w:ascii="Times New Roman" w:hAnsi="Times New Roman" w:cs="Times New Roman"/>
          <w:noProof/>
          <w:sz w:val="24"/>
          <w:szCs w:val="24"/>
        </w:rPr>
      </w:pPr>
    </w:p>
    <w:p w14:paraId="21A290DD" w14:textId="4F96710E" w:rsidR="004C56F2" w:rsidRDefault="004F208C" w:rsidP="007B15AE">
      <w:pPr>
        <w:jc w:val="both"/>
        <w:rPr>
          <w:rFonts w:ascii="Times New Roman" w:eastAsia="Arial Narrow" w:hAnsi="Times New Roman" w:cs="Times New Roman"/>
          <w:i/>
          <w:noProof/>
          <w:sz w:val="24"/>
          <w:szCs w:val="24"/>
        </w:rPr>
      </w:pPr>
      <w:r>
        <w:rPr>
          <w:rFonts w:ascii="Times New Roman" w:hAnsi="Times New Roman"/>
          <w:i/>
          <w:sz w:val="24"/>
        </w:rPr>
        <w:t>Fa</w:t>
      </w:r>
      <w:r w:rsidR="00287BCE">
        <w:rPr>
          <w:rFonts w:ascii="Times New Roman" w:hAnsi="Times New Roman"/>
          <w:i/>
          <w:sz w:val="24"/>
        </w:rPr>
        <w:t>k</w:t>
      </w:r>
      <w:r>
        <w:rPr>
          <w:rFonts w:ascii="Times New Roman" w:hAnsi="Times New Roman"/>
          <w:i/>
          <w:sz w:val="24"/>
        </w:rPr>
        <w:t>tu lapas</w:t>
      </w:r>
      <w:r w:rsidR="004C56F2">
        <w:rPr>
          <w:rFonts w:ascii="Times New Roman" w:hAnsi="Times New Roman"/>
          <w:i/>
          <w:sz w:val="24"/>
        </w:rPr>
        <w:t xml:space="preserve"> tiek izdot</w:t>
      </w:r>
      <w:r>
        <w:rPr>
          <w:rFonts w:ascii="Times New Roman" w:hAnsi="Times New Roman"/>
          <w:i/>
          <w:sz w:val="24"/>
        </w:rPr>
        <w:t>as</w:t>
      </w:r>
      <w:r w:rsidR="004C56F2">
        <w:rPr>
          <w:rFonts w:ascii="Times New Roman" w:hAnsi="Times New Roman"/>
          <w:i/>
          <w:sz w:val="24"/>
        </w:rPr>
        <w:t xml:space="preserve"> ar CPT izpildsekretāra atļauju. To mērķis ir atspoguļot CPT standartus par galvenajiem jautājumiem. </w:t>
      </w:r>
      <w:r w:rsidR="00AF5115" w:rsidRPr="00AF5115">
        <w:rPr>
          <w:rFonts w:ascii="Times New Roman" w:hAnsi="Times New Roman"/>
          <w:i/>
          <w:sz w:val="24"/>
        </w:rPr>
        <w:t xml:space="preserve">Tomēr tās nav izsmeļošas, jo īpaši saistībā ar atsaucēm uz valstu </w:t>
      </w:r>
      <w:r w:rsidR="00C53ECB" w:rsidRPr="00C53ECB">
        <w:rPr>
          <w:rFonts w:ascii="Times New Roman" w:hAnsi="Times New Roman"/>
          <w:i/>
          <w:sz w:val="24"/>
        </w:rPr>
        <w:t xml:space="preserve">vizīšu </w:t>
      </w:r>
      <w:r w:rsidR="00AF5115" w:rsidRPr="00AF5115">
        <w:rPr>
          <w:rFonts w:ascii="Times New Roman" w:hAnsi="Times New Roman"/>
          <w:i/>
          <w:sz w:val="24"/>
        </w:rPr>
        <w:t>ziņojumiem.</w:t>
      </w:r>
    </w:p>
    <w:p w14:paraId="4D6FFCCB" w14:textId="1D8E6249" w:rsidR="00DB4571" w:rsidRPr="008113F3" w:rsidRDefault="00DB4571" w:rsidP="008113F3">
      <w:pPr>
        <w:rPr>
          <w:rFonts w:ascii="Times New Roman" w:hAnsi="Times New Roman" w:cs="Times New Roman"/>
          <w:b/>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DB4571" w:rsidRPr="008113F3" w14:paraId="28EA5C13" w14:textId="77777777" w:rsidTr="008113F3">
        <w:trPr>
          <w:trHeight w:val="708"/>
        </w:trPr>
        <w:tc>
          <w:tcPr>
            <w:tcW w:w="5000" w:type="pct"/>
            <w:vAlign w:val="center"/>
          </w:tcPr>
          <w:p w14:paraId="17E435A3" w14:textId="6EDB52ED" w:rsidR="00DB4571" w:rsidRPr="008113F3" w:rsidRDefault="00DB4571" w:rsidP="008113F3">
            <w:pPr>
              <w:jc w:val="center"/>
              <w:rPr>
                <w:rFonts w:ascii="Times New Roman" w:eastAsia="Arial Narrow" w:hAnsi="Times New Roman" w:cs="Times New Roman"/>
                <w:b/>
                <w:bCs/>
                <w:noProof/>
                <w:color w:val="365F91"/>
                <w:sz w:val="32"/>
                <w:szCs w:val="32"/>
              </w:rPr>
            </w:pPr>
            <w:r>
              <w:rPr>
                <w:rFonts w:ascii="Times New Roman" w:hAnsi="Times New Roman"/>
                <w:b/>
                <w:color w:val="365F91"/>
                <w:sz w:val="32"/>
              </w:rPr>
              <w:t>Personas, kurām atņemta brīvība sociālās aprūpes iestādēs</w:t>
            </w:r>
          </w:p>
        </w:tc>
      </w:tr>
    </w:tbl>
    <w:p w14:paraId="637F9FC2" w14:textId="77777777" w:rsidR="00DB4571" w:rsidRPr="007B15AE" w:rsidRDefault="00DB4571" w:rsidP="007B15AE">
      <w:pPr>
        <w:jc w:val="both"/>
        <w:rPr>
          <w:rFonts w:ascii="Times New Roman" w:eastAsia="Arial Narrow" w:hAnsi="Times New Roman" w:cs="Times New Roman"/>
          <w:i/>
          <w:noProof/>
          <w:sz w:val="24"/>
          <w:szCs w:val="24"/>
        </w:rPr>
      </w:pPr>
    </w:p>
    <w:p w14:paraId="3A82D55E" w14:textId="24371082" w:rsidR="004C56F2" w:rsidRPr="007B15AE" w:rsidRDefault="004C56F2" w:rsidP="007B15AE">
      <w:pPr>
        <w:pStyle w:val="Heading1"/>
        <w:ind w:left="0"/>
        <w:jc w:val="both"/>
        <w:rPr>
          <w:rFonts w:ascii="Times New Roman" w:hAnsi="Times New Roman" w:cs="Times New Roman"/>
          <w:noProof/>
          <w:color w:val="365F91"/>
          <w:sz w:val="24"/>
          <w:szCs w:val="24"/>
        </w:rPr>
      </w:pPr>
      <w:r>
        <w:rPr>
          <w:rFonts w:ascii="Times New Roman" w:hAnsi="Times New Roman"/>
          <w:color w:val="365F91"/>
          <w:sz w:val="24"/>
        </w:rPr>
        <w:t>1. Ievads</w:t>
      </w:r>
    </w:p>
    <w:p w14:paraId="48405209" w14:textId="77777777" w:rsidR="004C56F2" w:rsidRPr="007B15AE" w:rsidRDefault="004C56F2" w:rsidP="007B15AE">
      <w:pPr>
        <w:jc w:val="both"/>
        <w:rPr>
          <w:rFonts w:ascii="Times New Roman" w:eastAsia="Arial Narrow" w:hAnsi="Times New Roman" w:cs="Times New Roman"/>
          <w:b/>
          <w:bCs/>
          <w:noProof/>
          <w:sz w:val="24"/>
          <w:szCs w:val="24"/>
        </w:rPr>
      </w:pPr>
    </w:p>
    <w:p w14:paraId="669809C5" w14:textId="7C148317" w:rsidR="004C56F2" w:rsidRPr="007B15AE" w:rsidRDefault="008113F3" w:rsidP="008113F3">
      <w:pPr>
        <w:pStyle w:val="BodyText"/>
        <w:tabs>
          <w:tab w:val="left" w:pos="934"/>
        </w:tabs>
        <w:ind w:left="0"/>
        <w:jc w:val="both"/>
        <w:rPr>
          <w:rFonts w:ascii="Times New Roman" w:hAnsi="Times New Roman" w:cs="Times New Roman"/>
          <w:noProof/>
          <w:sz w:val="24"/>
          <w:szCs w:val="24"/>
        </w:rPr>
      </w:pPr>
      <w:r>
        <w:rPr>
          <w:rFonts w:ascii="Times New Roman" w:hAnsi="Times New Roman"/>
          <w:sz w:val="24"/>
        </w:rPr>
        <w:t xml:space="preserve">1. Saskaņā ar Eiropas Konvenciju par spīdzināšanas un necilvēcīgas vai pazemojošas rīcības vai soda novēršanu (Konvencija) </w:t>
      </w:r>
      <w:r>
        <w:rPr>
          <w:rFonts w:ascii="Times New Roman" w:hAnsi="Times New Roman"/>
          <w:i/>
          <w:iCs/>
          <w:sz w:val="24"/>
        </w:rPr>
        <w:t>CPT</w:t>
      </w:r>
      <w:r>
        <w:rPr>
          <w:rFonts w:ascii="Times New Roman" w:hAnsi="Times New Roman"/>
          <w:sz w:val="24"/>
        </w:rPr>
        <w:t xml:space="preserve"> uzdevums ir pārbaudīt attieksmi pret visām to personu kategorijām, kam valsts institūcija ir atņēmusi brīvību. Šādas personas var tikt izmitinātas arī sociālās aprūpes iestādēs, kuras visā Eiropā būtiski atšķiras pēc juridiskā statusa, īpašumtiesībām, profila un ietilpības. Daudzas no šīm iestādēm pārvalda valsts vai vietējās institūcijas, savukārt citas pieder reliģiskām kopienām, labdarības organizācijām vai pelnošiem (vai bezpeļņas) privātiem uzņēmumiem. Sociālās aprūpes iestādes var rūpēties par personām ar </w:t>
      </w:r>
      <w:r w:rsidR="007F1BDC" w:rsidRPr="007F1BDC">
        <w:rPr>
          <w:rFonts w:ascii="Times New Roman" w:hAnsi="Times New Roman"/>
          <w:sz w:val="24"/>
        </w:rPr>
        <w:t>intelektuālās attīstības</w:t>
      </w:r>
      <w:r w:rsidR="007F1BDC">
        <w:rPr>
          <w:rFonts w:ascii="Times New Roman" w:hAnsi="Times New Roman"/>
          <w:sz w:val="24"/>
        </w:rPr>
        <w:t xml:space="preserve"> </w:t>
      </w:r>
      <w:r>
        <w:rPr>
          <w:rFonts w:ascii="Times New Roman" w:hAnsi="Times New Roman"/>
          <w:sz w:val="24"/>
        </w:rPr>
        <w:t xml:space="preserve">traucējumiem un/vai hroniskiem psihiskiem traucējumiem (piemēram, šizofrēniju), bērniem, pusaudžiem vai vecāka gadagājuma cilvēkiem (tostarp tiem, kam ir demence). Kopš 1990. gada </w:t>
      </w:r>
      <w:r>
        <w:rPr>
          <w:rFonts w:ascii="Times New Roman" w:hAnsi="Times New Roman"/>
          <w:i/>
          <w:iCs/>
          <w:sz w:val="24"/>
        </w:rPr>
        <w:t>CPT</w:t>
      </w:r>
      <w:r>
        <w:rPr>
          <w:rFonts w:ascii="Times New Roman" w:hAnsi="Times New Roman"/>
          <w:sz w:val="24"/>
        </w:rPr>
        <w:t xml:space="preserve"> ir apmeklējusi vairāk nekā 100 sociālās aprūpes iestāžu dažādās Eiropas Padomes dalībvalstīs.</w:t>
      </w:r>
    </w:p>
    <w:p w14:paraId="114DC94E" w14:textId="77777777" w:rsidR="008113F3" w:rsidRDefault="008113F3" w:rsidP="008113F3">
      <w:pPr>
        <w:pStyle w:val="BodyText"/>
        <w:tabs>
          <w:tab w:val="left" w:pos="934"/>
        </w:tabs>
        <w:ind w:left="0"/>
        <w:jc w:val="both"/>
        <w:rPr>
          <w:rFonts w:ascii="Times New Roman" w:hAnsi="Times New Roman" w:cs="Times New Roman"/>
          <w:noProof/>
          <w:sz w:val="24"/>
          <w:szCs w:val="24"/>
        </w:rPr>
      </w:pPr>
    </w:p>
    <w:p w14:paraId="4967DB61" w14:textId="5CD74ECE" w:rsidR="004C56F2" w:rsidRPr="007B15AE" w:rsidRDefault="008113F3" w:rsidP="008113F3">
      <w:pPr>
        <w:pStyle w:val="BodyText"/>
        <w:tabs>
          <w:tab w:val="left" w:pos="934"/>
        </w:tabs>
        <w:ind w:left="0"/>
        <w:jc w:val="both"/>
        <w:rPr>
          <w:rFonts w:ascii="Times New Roman" w:hAnsi="Times New Roman" w:cs="Times New Roman"/>
          <w:noProof/>
          <w:sz w:val="24"/>
          <w:szCs w:val="24"/>
        </w:rPr>
      </w:pPr>
      <w:r>
        <w:rPr>
          <w:rFonts w:ascii="Times New Roman" w:hAnsi="Times New Roman"/>
          <w:sz w:val="24"/>
        </w:rPr>
        <w:t xml:space="preserve">2. </w:t>
      </w:r>
      <w:r>
        <w:rPr>
          <w:rFonts w:ascii="Times New Roman" w:hAnsi="Times New Roman"/>
          <w:i/>
          <w:iCs/>
          <w:sz w:val="24"/>
        </w:rPr>
        <w:t>CPT</w:t>
      </w:r>
      <w:r>
        <w:rPr>
          <w:rFonts w:ascii="Times New Roman" w:hAnsi="Times New Roman"/>
          <w:sz w:val="24"/>
        </w:rPr>
        <w:t xml:space="preserve"> vēlas uzsvērt, ka tās pilnvaras attiecas gan uz </w:t>
      </w:r>
      <w:r>
        <w:rPr>
          <w:rFonts w:ascii="Times New Roman" w:hAnsi="Times New Roman"/>
          <w:sz w:val="24"/>
          <w:u w:val="single"/>
        </w:rPr>
        <w:t>valsts</w:t>
      </w:r>
      <w:r>
        <w:rPr>
          <w:rFonts w:ascii="Times New Roman" w:hAnsi="Times New Roman"/>
          <w:sz w:val="24"/>
        </w:rPr>
        <w:t xml:space="preserve">, </w:t>
      </w:r>
      <w:r>
        <w:rPr>
          <w:rFonts w:ascii="Times New Roman" w:hAnsi="Times New Roman"/>
          <w:sz w:val="24"/>
          <w:u w:val="single"/>
        </w:rPr>
        <w:t>gan privātām</w:t>
      </w:r>
      <w:r>
        <w:rPr>
          <w:rFonts w:ascii="Times New Roman" w:hAnsi="Times New Roman"/>
          <w:sz w:val="24"/>
        </w:rPr>
        <w:t xml:space="preserve"> sociālās aprūpes iestādēm, kurās personām var </w:t>
      </w:r>
      <w:r>
        <w:rPr>
          <w:rFonts w:ascii="Times New Roman" w:hAnsi="Times New Roman"/>
          <w:i/>
          <w:iCs/>
          <w:sz w:val="24"/>
          <w:u w:val="single"/>
        </w:rPr>
        <w:t>de iure</w:t>
      </w:r>
      <w:r>
        <w:rPr>
          <w:rFonts w:ascii="Times New Roman" w:hAnsi="Times New Roman"/>
          <w:sz w:val="24"/>
          <w:u w:val="single"/>
        </w:rPr>
        <w:t xml:space="preserve"> vai </w:t>
      </w:r>
      <w:r>
        <w:rPr>
          <w:rFonts w:ascii="Times New Roman" w:hAnsi="Times New Roman"/>
          <w:i/>
          <w:iCs/>
          <w:sz w:val="24"/>
          <w:u w:val="single"/>
        </w:rPr>
        <w:t>de facto</w:t>
      </w:r>
      <w:r>
        <w:rPr>
          <w:rFonts w:ascii="Times New Roman" w:hAnsi="Times New Roman"/>
          <w:sz w:val="24"/>
          <w:u w:val="single"/>
        </w:rPr>
        <w:t xml:space="preserve"> tikt atņemta brīvība</w:t>
      </w:r>
      <w:r>
        <w:rPr>
          <w:rFonts w:ascii="Times New Roman" w:hAnsi="Times New Roman"/>
          <w:sz w:val="24"/>
        </w:rPr>
        <w:t>.</w:t>
      </w:r>
      <w:r w:rsidR="00327A8A">
        <w:rPr>
          <w:rStyle w:val="FootnoteReference"/>
          <w:rFonts w:ascii="Times New Roman" w:hAnsi="Times New Roman" w:cs="Times New Roman"/>
          <w:noProof/>
          <w:sz w:val="24"/>
          <w:szCs w:val="24"/>
        </w:rPr>
        <w:footnoteReference w:id="2"/>
      </w:r>
      <w:r>
        <w:rPr>
          <w:rFonts w:ascii="Times New Roman" w:hAnsi="Times New Roman"/>
          <w:sz w:val="24"/>
        </w:rPr>
        <w:t xml:space="preserve"> Citiem vārdiem sakot, pat ja saskaņā ar valsts tiesību aktiem formāli netiek uzskatīts, ka iemītniekiem ir atņemta brīvība, </w:t>
      </w:r>
      <w:r>
        <w:rPr>
          <w:rFonts w:ascii="Times New Roman" w:hAnsi="Times New Roman"/>
          <w:i/>
          <w:iCs/>
          <w:sz w:val="24"/>
        </w:rPr>
        <w:t>CPT</w:t>
      </w:r>
      <w:r>
        <w:rPr>
          <w:rFonts w:ascii="Times New Roman" w:hAnsi="Times New Roman"/>
          <w:sz w:val="24"/>
        </w:rPr>
        <w:t xml:space="preserve"> var mītni apmeklēt, lai pārbaudītu, vai iemītniekiem nav atņemta brīvība </w:t>
      </w:r>
      <w:r>
        <w:rPr>
          <w:rFonts w:ascii="Times New Roman" w:hAnsi="Times New Roman"/>
          <w:i/>
          <w:iCs/>
          <w:sz w:val="24"/>
        </w:rPr>
        <w:t>de facto</w:t>
      </w:r>
      <w:r>
        <w:rPr>
          <w:rFonts w:ascii="Times New Roman" w:hAnsi="Times New Roman"/>
          <w:sz w:val="24"/>
        </w:rPr>
        <w:t xml:space="preserve">. </w:t>
      </w:r>
      <w:r>
        <w:rPr>
          <w:rFonts w:ascii="Times New Roman" w:hAnsi="Times New Roman"/>
          <w:i/>
          <w:iCs/>
          <w:sz w:val="24"/>
        </w:rPr>
        <w:t>CPT</w:t>
      </w:r>
      <w:r>
        <w:rPr>
          <w:rFonts w:ascii="Times New Roman" w:hAnsi="Times New Roman"/>
          <w:sz w:val="24"/>
        </w:rPr>
        <w:t xml:space="preserve"> īpaši uztrauc situācija, kurā ir pēdējā minētā kategorija – sociālās aprūpes iestāžu iemītnieki, kas formāli tiek uzskatīti par brīvprātīgiem, bet praksē nevar brīvi atstāt šo iestādi. Attiecīgās personas bieži tiek pakļautas piespiedu ārstēšanai un/vai </w:t>
      </w:r>
      <w:r w:rsidR="00DD4358" w:rsidRPr="00DD4358">
        <w:rPr>
          <w:rFonts w:ascii="Times New Roman" w:hAnsi="Times New Roman"/>
          <w:sz w:val="24"/>
        </w:rPr>
        <w:t xml:space="preserve">ierobežošanas </w:t>
      </w:r>
      <w:r>
        <w:rPr>
          <w:rFonts w:ascii="Times New Roman" w:hAnsi="Times New Roman"/>
          <w:sz w:val="24"/>
        </w:rPr>
        <w:t>līdzekļiem un nevar izmantot tiesiskās aizsardzības pasākumus, ko piemēro iemītniekiem, kuri formāli ir ievietoti piespiedu kārtā.</w:t>
      </w:r>
    </w:p>
    <w:p w14:paraId="3057FF91" w14:textId="77777777" w:rsidR="004C56F2" w:rsidRPr="007B15AE" w:rsidRDefault="004C56F2" w:rsidP="007B15AE">
      <w:pPr>
        <w:jc w:val="both"/>
        <w:rPr>
          <w:rFonts w:ascii="Times New Roman" w:hAnsi="Times New Roman" w:cs="Times New Roman"/>
          <w:noProof/>
          <w:sz w:val="24"/>
          <w:szCs w:val="24"/>
        </w:rPr>
      </w:pPr>
    </w:p>
    <w:p w14:paraId="3AF423A9" w14:textId="7E3EDB87" w:rsidR="004C56F2" w:rsidRPr="007B15AE" w:rsidRDefault="004C56F2" w:rsidP="007B15AE">
      <w:pPr>
        <w:pStyle w:val="BodyText"/>
        <w:ind w:left="0"/>
        <w:jc w:val="both"/>
        <w:rPr>
          <w:rFonts w:ascii="Times New Roman" w:hAnsi="Times New Roman" w:cs="Times New Roman"/>
          <w:noProof/>
          <w:sz w:val="24"/>
          <w:szCs w:val="24"/>
        </w:rPr>
      </w:pPr>
      <w:r>
        <w:rPr>
          <w:rFonts w:ascii="Times New Roman" w:hAnsi="Times New Roman"/>
          <w:sz w:val="24"/>
        </w:rPr>
        <w:t xml:space="preserve">Eiropas Cilvēktiesību tiesa vairākās lietās par tādas aizbildnībā esošas rīcībnespējīgas personas ievietošanu slēgta tipa sociālās aprūpes iestādē, no kuras rīcības bija skaidrs, ka minētā persona nepiekrīt ievietošanai šajā iestādē, ir secinājusi, ka neatkarīgi no aizbildņa piekrišanas ir uzskatāms, ka Eiropas Cilvēktiesību konvencijas 5. panta 1. punkta izpratnē </w:t>
      </w:r>
      <w:r>
        <w:rPr>
          <w:rFonts w:ascii="Times New Roman" w:hAnsi="Times New Roman"/>
          <w:sz w:val="24"/>
        </w:rPr>
        <w:lastRenderedPageBreak/>
        <w:t>attiecīgajai personai ir “atņemta brīvība”.</w:t>
      </w:r>
      <w:r w:rsidR="00AE6142">
        <w:rPr>
          <w:rStyle w:val="FootnoteReference"/>
          <w:rFonts w:ascii="Times New Roman" w:hAnsi="Times New Roman" w:cs="Times New Roman"/>
          <w:noProof/>
          <w:sz w:val="24"/>
          <w:szCs w:val="24"/>
        </w:rPr>
        <w:footnoteReference w:id="3"/>
      </w:r>
    </w:p>
    <w:p w14:paraId="4308D6E5" w14:textId="77777777" w:rsidR="004C56F2" w:rsidRPr="007B15AE" w:rsidRDefault="004C56F2" w:rsidP="007B15AE">
      <w:pPr>
        <w:jc w:val="both"/>
        <w:rPr>
          <w:rFonts w:ascii="Times New Roman" w:eastAsia="Arial Narrow" w:hAnsi="Times New Roman" w:cs="Times New Roman"/>
          <w:noProof/>
          <w:sz w:val="24"/>
          <w:szCs w:val="24"/>
        </w:rPr>
      </w:pPr>
    </w:p>
    <w:p w14:paraId="4528FA7D" w14:textId="4A7E1930" w:rsidR="004C56F2" w:rsidRPr="007B15AE" w:rsidRDefault="004C56F2" w:rsidP="007B15AE">
      <w:pPr>
        <w:pStyle w:val="BodyText"/>
        <w:ind w:left="0"/>
        <w:jc w:val="both"/>
        <w:rPr>
          <w:rFonts w:ascii="Times New Roman" w:hAnsi="Times New Roman" w:cs="Times New Roman"/>
          <w:noProof/>
          <w:sz w:val="24"/>
          <w:szCs w:val="24"/>
        </w:rPr>
      </w:pPr>
      <w:r>
        <w:rPr>
          <w:rFonts w:ascii="Times New Roman" w:hAnsi="Times New Roman"/>
          <w:sz w:val="24"/>
        </w:rPr>
        <w:t xml:space="preserve">Apmeklējot sociālās aprūpes iestādes, </w:t>
      </w:r>
      <w:r>
        <w:rPr>
          <w:rFonts w:ascii="Times New Roman" w:hAnsi="Times New Roman"/>
          <w:i/>
          <w:iCs/>
          <w:sz w:val="24"/>
        </w:rPr>
        <w:t>CPT</w:t>
      </w:r>
      <w:r>
        <w:rPr>
          <w:rFonts w:ascii="Times New Roman" w:hAnsi="Times New Roman"/>
          <w:sz w:val="24"/>
        </w:rPr>
        <w:t xml:space="preserve"> delegācijas dažkārt secināja, ka konkrētā iestādē izmitinātajiem iemītniekiem netika atņemta brīvība un tādējādi uz viņiem neattiecās komitejas pilnvaras. Tomēr biežāk delegācijas novēroja, ka iemītniekiem </w:t>
      </w:r>
      <w:r>
        <w:rPr>
          <w:rFonts w:ascii="Times New Roman" w:hAnsi="Times New Roman"/>
          <w:i/>
          <w:sz w:val="24"/>
        </w:rPr>
        <w:t>de facto</w:t>
      </w:r>
      <w:r>
        <w:rPr>
          <w:rFonts w:ascii="Times New Roman" w:hAnsi="Times New Roman"/>
          <w:sz w:val="24"/>
        </w:rPr>
        <w:t xml:space="preserve"> tika atņemta brīvība. Tāpēc, pamatojoties uz tiešiem novērojumiem, </w:t>
      </w:r>
      <w:r>
        <w:rPr>
          <w:rFonts w:ascii="Times New Roman" w:hAnsi="Times New Roman"/>
          <w:i/>
          <w:iCs/>
          <w:sz w:val="24"/>
        </w:rPr>
        <w:t>CPT</w:t>
      </w:r>
      <w:r>
        <w:rPr>
          <w:rFonts w:ascii="Times New Roman" w:hAnsi="Times New Roman"/>
          <w:sz w:val="24"/>
        </w:rPr>
        <w:t xml:space="preserve"> ir jānosaka, vai tās pilnvaras attiecas uz konkrēto sociālās aprūpes iestādi vai ne.</w:t>
      </w:r>
      <w:r w:rsidR="0099613E">
        <w:rPr>
          <w:rStyle w:val="FootnoteReference"/>
          <w:rFonts w:ascii="Times New Roman" w:hAnsi="Times New Roman" w:cs="Times New Roman"/>
          <w:noProof/>
          <w:sz w:val="24"/>
          <w:szCs w:val="24"/>
        </w:rPr>
        <w:footnoteReference w:id="4"/>
      </w:r>
    </w:p>
    <w:p w14:paraId="1F283BEB" w14:textId="77777777" w:rsidR="0099613E" w:rsidRDefault="0099613E" w:rsidP="0099613E">
      <w:pPr>
        <w:pStyle w:val="BodyText"/>
        <w:tabs>
          <w:tab w:val="left" w:pos="934"/>
        </w:tabs>
        <w:ind w:left="0"/>
        <w:jc w:val="both"/>
        <w:rPr>
          <w:rFonts w:ascii="Times New Roman" w:hAnsi="Times New Roman" w:cs="Times New Roman"/>
          <w:noProof/>
          <w:sz w:val="24"/>
          <w:szCs w:val="24"/>
        </w:rPr>
      </w:pPr>
    </w:p>
    <w:p w14:paraId="3A0CCCAE" w14:textId="1A240755" w:rsidR="004C56F2" w:rsidRPr="007B15AE" w:rsidRDefault="0099613E" w:rsidP="0099613E">
      <w:pPr>
        <w:pStyle w:val="BodyText"/>
        <w:tabs>
          <w:tab w:val="left" w:pos="934"/>
        </w:tabs>
        <w:ind w:left="0"/>
        <w:jc w:val="both"/>
        <w:rPr>
          <w:rFonts w:ascii="Times New Roman" w:hAnsi="Times New Roman" w:cs="Times New Roman"/>
          <w:noProof/>
          <w:sz w:val="24"/>
          <w:szCs w:val="24"/>
        </w:rPr>
      </w:pPr>
      <w:r>
        <w:rPr>
          <w:rFonts w:ascii="Times New Roman" w:hAnsi="Times New Roman"/>
          <w:sz w:val="24"/>
        </w:rPr>
        <w:t xml:space="preserve">3. </w:t>
      </w:r>
      <w:r>
        <w:rPr>
          <w:rFonts w:ascii="Times New Roman" w:hAnsi="Times New Roman"/>
          <w:i/>
          <w:iCs/>
          <w:sz w:val="24"/>
        </w:rPr>
        <w:t>CPT</w:t>
      </w:r>
      <w:r>
        <w:rPr>
          <w:rFonts w:ascii="Times New Roman" w:hAnsi="Times New Roman"/>
          <w:sz w:val="24"/>
        </w:rPr>
        <w:t xml:space="preserve"> jau sen iestājas par to, ka apmeklēto dalībvalstu iestādēm jāizstrādā </w:t>
      </w:r>
      <w:r>
        <w:rPr>
          <w:rFonts w:ascii="Times New Roman" w:hAnsi="Times New Roman"/>
          <w:b/>
          <w:bCs/>
          <w:sz w:val="24"/>
        </w:rPr>
        <w:t>deinstitucionalizācijas</w:t>
      </w:r>
      <w:r>
        <w:rPr>
          <w:rFonts w:ascii="Times New Roman" w:hAnsi="Times New Roman"/>
          <w:sz w:val="24"/>
        </w:rPr>
        <w:t xml:space="preserve"> process, kurā samazinātu institucionālās spējas un vienlaikus palielinātu vietējās sabiedrības sniegtās aprūpes iespējas. Proti, lielas ietilpības iestādes rada lielus institucionalizācijas riskus gan iemītniekiem, gan personālam, un tas var nelabvēlīgi ietekmēt iemītniekiem sniegto aprūpi.</w:t>
      </w:r>
      <w:r>
        <w:rPr>
          <w:rStyle w:val="FootnoteReference"/>
          <w:rFonts w:ascii="Times New Roman" w:hAnsi="Times New Roman" w:cs="Times New Roman"/>
          <w:noProof/>
          <w:sz w:val="24"/>
          <w:szCs w:val="24"/>
        </w:rPr>
        <w:footnoteReference w:id="5"/>
      </w:r>
    </w:p>
    <w:p w14:paraId="2FEA2A6D" w14:textId="77777777" w:rsidR="0099613E" w:rsidRDefault="0099613E" w:rsidP="0099613E">
      <w:pPr>
        <w:jc w:val="both"/>
        <w:rPr>
          <w:rFonts w:ascii="Times New Roman" w:eastAsia="Arial Narrow" w:hAnsi="Times New Roman" w:cs="Times New Roman"/>
          <w:noProof/>
          <w:sz w:val="24"/>
          <w:szCs w:val="24"/>
        </w:rPr>
      </w:pPr>
    </w:p>
    <w:p w14:paraId="0524E966" w14:textId="47D6D617" w:rsidR="004C56F2" w:rsidRPr="007B15AE" w:rsidRDefault="004C56F2" w:rsidP="007B15AE">
      <w:pPr>
        <w:pStyle w:val="Heading1"/>
        <w:ind w:left="0"/>
        <w:jc w:val="both"/>
        <w:rPr>
          <w:rFonts w:ascii="Times New Roman" w:hAnsi="Times New Roman" w:cs="Times New Roman"/>
          <w:noProof/>
          <w:color w:val="365F91"/>
          <w:sz w:val="24"/>
          <w:szCs w:val="24"/>
        </w:rPr>
      </w:pPr>
      <w:r>
        <w:rPr>
          <w:rFonts w:ascii="Times New Roman" w:hAnsi="Times New Roman"/>
          <w:color w:val="365F91"/>
          <w:sz w:val="24"/>
        </w:rPr>
        <w:t>2. Slikta izturēšanās</w:t>
      </w:r>
    </w:p>
    <w:p w14:paraId="741A910B" w14:textId="77777777" w:rsidR="004C56F2" w:rsidRPr="007B15AE" w:rsidRDefault="004C56F2" w:rsidP="007B15AE">
      <w:pPr>
        <w:jc w:val="both"/>
        <w:rPr>
          <w:rFonts w:ascii="Times New Roman" w:eastAsia="Arial Narrow" w:hAnsi="Times New Roman" w:cs="Times New Roman"/>
          <w:b/>
          <w:bCs/>
          <w:noProof/>
          <w:sz w:val="24"/>
          <w:szCs w:val="24"/>
        </w:rPr>
      </w:pPr>
    </w:p>
    <w:p w14:paraId="3A3B4C88" w14:textId="19446A4E" w:rsidR="004C56F2" w:rsidRPr="007B15AE" w:rsidRDefault="0099613E" w:rsidP="0099613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4. </w:t>
      </w:r>
      <w:r>
        <w:rPr>
          <w:rFonts w:ascii="Times New Roman" w:hAnsi="Times New Roman"/>
          <w:i/>
          <w:iCs/>
          <w:sz w:val="24"/>
        </w:rPr>
        <w:t>CPT</w:t>
      </w:r>
      <w:r>
        <w:rPr>
          <w:rFonts w:ascii="Times New Roman" w:hAnsi="Times New Roman"/>
          <w:sz w:val="24"/>
        </w:rPr>
        <w:t xml:space="preserve"> konstatēja, ka </w:t>
      </w:r>
      <w:r>
        <w:rPr>
          <w:rFonts w:ascii="Times New Roman" w:hAnsi="Times New Roman"/>
          <w:b/>
          <w:bCs/>
          <w:sz w:val="24"/>
        </w:rPr>
        <w:t xml:space="preserve">personāla </w:t>
      </w:r>
      <w:r>
        <w:rPr>
          <w:rFonts w:ascii="Times New Roman" w:hAnsi="Times New Roman"/>
          <w:sz w:val="24"/>
        </w:rPr>
        <w:t>apzināta</w:t>
      </w:r>
      <w:r>
        <w:rPr>
          <w:rFonts w:ascii="Times New Roman" w:hAnsi="Times New Roman"/>
          <w:b/>
          <w:bCs/>
          <w:sz w:val="24"/>
        </w:rPr>
        <w:t xml:space="preserve"> slikta izturēšanās pret iemītniekiem</w:t>
      </w:r>
      <w:r>
        <w:rPr>
          <w:rFonts w:ascii="Times New Roman" w:hAnsi="Times New Roman"/>
          <w:sz w:val="24"/>
        </w:rPr>
        <w:t xml:space="preserve"> notiek diezgan reti, taču vairākās apmeklētajās sociālās aprūpes iestādēs komitejai tika izteikti apgalvojumi par personāla sliktu fizisku izturēšanos (piemēram, pļaukām, sitieniem ar dūri vai koka nūjām), verbālu vardarbību vai necienīgu izturēšanos. Šādos gadījumos </w:t>
      </w:r>
      <w:r>
        <w:rPr>
          <w:rFonts w:ascii="Times New Roman" w:hAnsi="Times New Roman"/>
          <w:i/>
          <w:iCs/>
          <w:sz w:val="24"/>
        </w:rPr>
        <w:t>CPT</w:t>
      </w:r>
      <w:r>
        <w:rPr>
          <w:rFonts w:ascii="Times New Roman" w:hAnsi="Times New Roman"/>
          <w:sz w:val="24"/>
        </w:rPr>
        <w:t xml:space="preserve"> ieteica iestādes vadībai saglabāt modrību un atgādināt visiem darbiniekiem, ka jebkāda veida slikta izturēšanās (tostarp verbāla vardarbība) un necienīga izturēšanās pret iemītniekiem ir nepieņemama un tiks attiecīgi sodīta.</w:t>
      </w:r>
      <w:r>
        <w:rPr>
          <w:rStyle w:val="FootnoteReference"/>
          <w:rFonts w:ascii="Times New Roman" w:hAnsi="Times New Roman" w:cs="Times New Roman"/>
          <w:noProof/>
          <w:sz w:val="24"/>
          <w:szCs w:val="24"/>
        </w:rPr>
        <w:footnoteReference w:id="6"/>
      </w:r>
      <w:r>
        <w:rPr>
          <w:rFonts w:ascii="Times New Roman" w:hAnsi="Times New Roman"/>
          <w:sz w:val="24"/>
        </w:rPr>
        <w:t xml:space="preserve"> </w:t>
      </w:r>
      <w:r>
        <w:rPr>
          <w:rFonts w:ascii="Times New Roman" w:hAnsi="Times New Roman"/>
          <w:i/>
          <w:iCs/>
          <w:sz w:val="24"/>
        </w:rPr>
        <w:t>CPT</w:t>
      </w:r>
      <w:r>
        <w:rPr>
          <w:rFonts w:ascii="Times New Roman" w:hAnsi="Times New Roman"/>
          <w:sz w:val="24"/>
        </w:rPr>
        <w:t xml:space="preserve"> uzskata, ka būtiskāku incidentu gadījumā būtu svarīgi, lai arī attiecīgie personāla locekļi apgūtu atbilstošas mācības, lai paaugstinātu savas profesionālās iemaņas un izprastu, kāpēc viņu rīcība bija pilnīgi nepiemērota.</w:t>
      </w:r>
      <w:r>
        <w:rPr>
          <w:rStyle w:val="FootnoteReference"/>
          <w:rFonts w:ascii="Times New Roman" w:hAnsi="Times New Roman" w:cs="Times New Roman"/>
          <w:noProof/>
          <w:sz w:val="24"/>
          <w:szCs w:val="24"/>
        </w:rPr>
        <w:footnoteReference w:id="7"/>
      </w:r>
    </w:p>
    <w:p w14:paraId="0FF3C8DD" w14:textId="77777777" w:rsidR="004C56F2" w:rsidRPr="007B15AE" w:rsidRDefault="004C56F2" w:rsidP="007B15AE">
      <w:pPr>
        <w:jc w:val="both"/>
        <w:rPr>
          <w:rFonts w:ascii="Times New Roman" w:eastAsia="Arial Narrow" w:hAnsi="Times New Roman" w:cs="Times New Roman"/>
          <w:noProof/>
          <w:sz w:val="24"/>
          <w:szCs w:val="24"/>
        </w:rPr>
      </w:pPr>
    </w:p>
    <w:p w14:paraId="166D7664" w14:textId="2915E950" w:rsidR="004C56F2" w:rsidRPr="007B15AE" w:rsidRDefault="0099613E" w:rsidP="0099613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5.</w:t>
      </w:r>
      <w:r>
        <w:rPr>
          <w:rFonts w:ascii="Times New Roman" w:hAnsi="Times New Roman"/>
          <w:b/>
          <w:sz w:val="24"/>
        </w:rPr>
        <w:t xml:space="preserve"> </w:t>
      </w:r>
      <w:r>
        <w:rPr>
          <w:rFonts w:ascii="Times New Roman" w:hAnsi="Times New Roman"/>
          <w:sz w:val="24"/>
        </w:rPr>
        <w:t xml:space="preserve">Šķiet, ka biežāka parādība sociālās aprūpes iestādēs, jo īpaši tajās, kurās nav pietiekamas personāla klātbūtnes, ir </w:t>
      </w:r>
      <w:r>
        <w:rPr>
          <w:rFonts w:ascii="Times New Roman" w:hAnsi="Times New Roman"/>
          <w:b/>
          <w:bCs/>
          <w:sz w:val="24"/>
        </w:rPr>
        <w:t>vardarbība starp iemītniekiem</w:t>
      </w:r>
      <w:r>
        <w:rPr>
          <w:rFonts w:ascii="Times New Roman" w:hAnsi="Times New Roman"/>
          <w:sz w:val="24"/>
        </w:rPr>
        <w:t xml:space="preserve">. Šāda vardarbība var izpausties gan kā iemītnieku verbāli strīdi, gan kā savstarpēji fiziski uzbrukumi (tostarp seksuāla vardarbība). </w:t>
      </w:r>
      <w:r>
        <w:rPr>
          <w:rFonts w:ascii="Times New Roman" w:hAnsi="Times New Roman"/>
          <w:i/>
          <w:iCs/>
          <w:sz w:val="24"/>
        </w:rPr>
        <w:t>CPT</w:t>
      </w:r>
      <w:r>
        <w:rPr>
          <w:rFonts w:ascii="Times New Roman" w:hAnsi="Times New Roman"/>
          <w:sz w:val="24"/>
        </w:rPr>
        <w:t xml:space="preserve"> ir atkārtoti uzsvērusi, ka iestāžu pienākums rūpēties par iemītniekiem ietver pienākumu aizstāvēt viņus pret citiem iemītniekiem, kas viņiem var nodarīt kaitējumu. Proti, tas nozīmē, ka darbiniekiem ir jāreaģē uz iemītnieku uzvedību un jābūt apņēmīgiem un </w:t>
      </w:r>
      <w:r>
        <w:rPr>
          <w:rFonts w:ascii="Times New Roman" w:hAnsi="Times New Roman"/>
          <w:sz w:val="24"/>
          <w:u w:val="single"/>
        </w:rPr>
        <w:t>pareizi mācītiem</w:t>
      </w:r>
      <w:r>
        <w:rPr>
          <w:rFonts w:ascii="Times New Roman" w:hAnsi="Times New Roman"/>
          <w:sz w:val="24"/>
        </w:rPr>
        <w:t xml:space="preserve">, lai vajadzības gadījumā iejauktos. Vienmēr jānodrošina arī </w:t>
      </w:r>
      <w:r>
        <w:rPr>
          <w:rFonts w:ascii="Times New Roman" w:hAnsi="Times New Roman"/>
          <w:sz w:val="24"/>
          <w:u w:val="single"/>
        </w:rPr>
        <w:t>personāla pietiekama klātbūtne</w:t>
      </w:r>
      <w:r>
        <w:rPr>
          <w:rFonts w:ascii="Times New Roman" w:hAnsi="Times New Roman"/>
          <w:sz w:val="24"/>
        </w:rPr>
        <w:t xml:space="preserve">, tostarp naktīs un nedēļas nogalēs. Turklāt ir jāveic atbilstīgi pasākumi </w:t>
      </w:r>
      <w:r w:rsidR="00D7107A">
        <w:rPr>
          <w:rFonts w:ascii="Times New Roman" w:hAnsi="Times New Roman"/>
          <w:sz w:val="24"/>
        </w:rPr>
        <w:t xml:space="preserve">īpaši </w:t>
      </w:r>
      <w:r>
        <w:rPr>
          <w:rFonts w:ascii="Times New Roman" w:hAnsi="Times New Roman"/>
          <w:sz w:val="24"/>
        </w:rPr>
        <w:t xml:space="preserve">attiecībā uz </w:t>
      </w:r>
      <w:r w:rsidR="00D7107A">
        <w:rPr>
          <w:rFonts w:ascii="Times New Roman" w:hAnsi="Times New Roman"/>
          <w:sz w:val="24"/>
        </w:rPr>
        <w:t xml:space="preserve">mazāk </w:t>
      </w:r>
      <w:r>
        <w:rPr>
          <w:rFonts w:ascii="Times New Roman" w:hAnsi="Times New Roman"/>
          <w:sz w:val="24"/>
        </w:rPr>
        <w:t>aizsargātiem iemītniekiem, piemēram, jānodrošina, ka viņi netiek izmitināti vai atstāti kopā ar iemītniekiem, kuriem ir identificēta agresīva uzvedība.</w:t>
      </w:r>
      <w:r>
        <w:rPr>
          <w:rStyle w:val="FootnoteReference"/>
          <w:rFonts w:ascii="Times New Roman" w:hAnsi="Times New Roman" w:cs="Times New Roman"/>
          <w:noProof/>
          <w:sz w:val="24"/>
          <w:szCs w:val="24"/>
        </w:rPr>
        <w:footnoteReference w:id="8"/>
      </w:r>
    </w:p>
    <w:p w14:paraId="0063A556" w14:textId="77777777" w:rsidR="004C56F2" w:rsidRPr="007B15AE" w:rsidRDefault="004C56F2" w:rsidP="007B15AE">
      <w:pPr>
        <w:jc w:val="both"/>
        <w:rPr>
          <w:rFonts w:ascii="Times New Roman" w:eastAsia="Arial Narrow" w:hAnsi="Times New Roman" w:cs="Times New Roman"/>
          <w:noProof/>
          <w:sz w:val="24"/>
          <w:szCs w:val="24"/>
        </w:rPr>
      </w:pPr>
    </w:p>
    <w:p w14:paraId="09CA80E7" w14:textId="3E86AFFE" w:rsidR="004C56F2" w:rsidRPr="007B15AE" w:rsidRDefault="002F485D" w:rsidP="002F485D">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6. </w:t>
      </w:r>
      <w:r>
        <w:rPr>
          <w:rFonts w:ascii="Times New Roman" w:hAnsi="Times New Roman"/>
          <w:i/>
          <w:iCs/>
          <w:sz w:val="24"/>
        </w:rPr>
        <w:t>CPT</w:t>
      </w:r>
      <w:r>
        <w:rPr>
          <w:rFonts w:ascii="Times New Roman" w:hAnsi="Times New Roman"/>
          <w:sz w:val="24"/>
        </w:rPr>
        <w:t xml:space="preserve"> arī vēlas uzsvērt, ka </w:t>
      </w:r>
      <w:r>
        <w:rPr>
          <w:rFonts w:ascii="Times New Roman" w:hAnsi="Times New Roman"/>
          <w:sz w:val="24"/>
          <w:u w:val="single"/>
        </w:rPr>
        <w:t xml:space="preserve">ļoti slikti </w:t>
      </w:r>
      <w:r w:rsidR="00B349C1" w:rsidRPr="00B349C1">
        <w:rPr>
          <w:rFonts w:ascii="Times New Roman" w:hAnsi="Times New Roman"/>
          <w:sz w:val="24"/>
          <w:u w:val="single"/>
        </w:rPr>
        <w:t>sadzīves apstākļi</w:t>
      </w:r>
      <w:r w:rsidR="00B349C1" w:rsidRPr="00B349C1">
        <w:rPr>
          <w:rFonts w:ascii="Times New Roman" w:hAnsi="Times New Roman"/>
          <w:sz w:val="24"/>
        </w:rPr>
        <w:t xml:space="preserve"> vai </w:t>
      </w:r>
      <w:r w:rsidR="00B349C1" w:rsidRPr="00B349C1">
        <w:rPr>
          <w:rFonts w:ascii="Times New Roman" w:hAnsi="Times New Roman"/>
          <w:sz w:val="24"/>
          <w:u w:val="single"/>
        </w:rPr>
        <w:t>ilgstoša mehānisko ierobežošanas līdzekļu piemērošana</w:t>
      </w:r>
      <w:r>
        <w:rPr>
          <w:rFonts w:ascii="Times New Roman" w:hAnsi="Times New Roman"/>
          <w:sz w:val="24"/>
        </w:rPr>
        <w:t xml:space="preserve"> sociālās aprūpes iestādēs pati par sevi var būt </w:t>
      </w:r>
      <w:r>
        <w:rPr>
          <w:rFonts w:ascii="Times New Roman" w:hAnsi="Times New Roman"/>
          <w:b/>
          <w:bCs/>
          <w:sz w:val="24"/>
        </w:rPr>
        <w:t>necilvēcīga un pazemojoša izturēšanās</w:t>
      </w:r>
      <w:r>
        <w:rPr>
          <w:rFonts w:ascii="Times New Roman" w:hAnsi="Times New Roman"/>
          <w:sz w:val="24"/>
        </w:rPr>
        <w:t xml:space="preserve"> pret iemītniekiem (skat. 3. un 6. nodaļu).</w:t>
      </w:r>
    </w:p>
    <w:p w14:paraId="38BFDB49" w14:textId="77777777" w:rsidR="004C56F2" w:rsidRPr="007B15AE" w:rsidRDefault="004C56F2" w:rsidP="007B15AE">
      <w:pPr>
        <w:jc w:val="both"/>
        <w:rPr>
          <w:rFonts w:ascii="Times New Roman" w:eastAsia="Arial Narrow" w:hAnsi="Times New Roman" w:cs="Times New Roman"/>
          <w:noProof/>
          <w:sz w:val="24"/>
          <w:szCs w:val="24"/>
        </w:rPr>
      </w:pPr>
    </w:p>
    <w:p w14:paraId="13D8AAE7" w14:textId="255362B2" w:rsidR="004C56F2" w:rsidRPr="007B15AE" w:rsidRDefault="004C56F2" w:rsidP="005C7BC1">
      <w:pPr>
        <w:pStyle w:val="Heading1"/>
        <w:keepNext/>
        <w:keepLines/>
        <w:ind w:left="0"/>
        <w:jc w:val="both"/>
        <w:rPr>
          <w:rFonts w:ascii="Times New Roman" w:hAnsi="Times New Roman" w:cs="Times New Roman"/>
          <w:noProof/>
          <w:color w:val="365F91"/>
          <w:sz w:val="24"/>
          <w:szCs w:val="24"/>
        </w:rPr>
      </w:pPr>
      <w:r>
        <w:rPr>
          <w:rFonts w:ascii="Times New Roman" w:hAnsi="Times New Roman"/>
          <w:color w:val="365F91"/>
          <w:sz w:val="24"/>
        </w:rPr>
        <w:lastRenderedPageBreak/>
        <w:t xml:space="preserve">3. </w:t>
      </w:r>
      <w:r w:rsidR="002D49DC">
        <w:rPr>
          <w:rFonts w:ascii="Times New Roman" w:hAnsi="Times New Roman"/>
          <w:color w:val="365F91"/>
          <w:sz w:val="24"/>
        </w:rPr>
        <w:t>Sad</w:t>
      </w:r>
      <w:r>
        <w:rPr>
          <w:rFonts w:ascii="Times New Roman" w:hAnsi="Times New Roman"/>
          <w:color w:val="365F91"/>
          <w:sz w:val="24"/>
        </w:rPr>
        <w:t>zīves apstākļi</w:t>
      </w:r>
    </w:p>
    <w:p w14:paraId="7A211F27" w14:textId="77777777" w:rsidR="004C56F2" w:rsidRPr="007B15AE" w:rsidRDefault="004C56F2" w:rsidP="005C7BC1">
      <w:pPr>
        <w:keepNext/>
        <w:keepLines/>
        <w:jc w:val="both"/>
        <w:rPr>
          <w:rFonts w:ascii="Times New Roman" w:eastAsia="Arial Narrow" w:hAnsi="Times New Roman" w:cs="Times New Roman"/>
          <w:b/>
          <w:bCs/>
          <w:noProof/>
          <w:sz w:val="24"/>
          <w:szCs w:val="24"/>
        </w:rPr>
      </w:pPr>
    </w:p>
    <w:p w14:paraId="63B5270F" w14:textId="5162CFD9" w:rsidR="004C56F2" w:rsidRPr="007B15AE" w:rsidRDefault="002F485D" w:rsidP="005C7BC1">
      <w:pPr>
        <w:keepNext/>
        <w:keepLines/>
        <w:tabs>
          <w:tab w:val="left" w:pos="834"/>
        </w:tabs>
        <w:jc w:val="both"/>
        <w:rPr>
          <w:rFonts w:ascii="Times New Roman" w:eastAsia="Arial Narrow" w:hAnsi="Times New Roman" w:cs="Times New Roman"/>
          <w:noProof/>
          <w:sz w:val="24"/>
          <w:szCs w:val="24"/>
        </w:rPr>
      </w:pPr>
      <w:r>
        <w:rPr>
          <w:rFonts w:ascii="Times New Roman" w:hAnsi="Times New Roman"/>
          <w:sz w:val="24"/>
        </w:rPr>
        <w:t xml:space="preserve">7. Pārbaudot </w:t>
      </w:r>
      <w:r w:rsidR="002D49DC">
        <w:rPr>
          <w:rFonts w:ascii="Times New Roman" w:hAnsi="Times New Roman"/>
          <w:sz w:val="24"/>
        </w:rPr>
        <w:t>sa</w:t>
      </w:r>
      <w:r>
        <w:rPr>
          <w:rFonts w:ascii="Times New Roman" w:hAnsi="Times New Roman"/>
          <w:sz w:val="24"/>
        </w:rPr>
        <w:t xml:space="preserve">dzīves apstākļus sociālās aprūpes iestādēs, </w:t>
      </w:r>
      <w:r>
        <w:rPr>
          <w:rFonts w:ascii="Times New Roman" w:hAnsi="Times New Roman"/>
          <w:i/>
          <w:iCs/>
          <w:sz w:val="24"/>
        </w:rPr>
        <w:t>CPT</w:t>
      </w:r>
      <w:r>
        <w:rPr>
          <w:rFonts w:ascii="Times New Roman" w:hAnsi="Times New Roman"/>
          <w:sz w:val="24"/>
        </w:rPr>
        <w:t xml:space="preserve"> parasti piemēro tādus pašus standartus kā psihiatriskajās iestādēs.</w:t>
      </w:r>
      <w:r>
        <w:rPr>
          <w:rStyle w:val="FootnoteReference"/>
          <w:rFonts w:ascii="Times New Roman" w:hAnsi="Times New Roman" w:cs="Times New Roman"/>
          <w:noProof/>
          <w:sz w:val="24"/>
          <w:szCs w:val="24"/>
        </w:rPr>
        <w:footnoteReference w:id="9"/>
      </w:r>
      <w:r>
        <w:rPr>
          <w:rFonts w:ascii="Times New Roman" w:hAnsi="Times New Roman"/>
          <w:sz w:val="24"/>
        </w:rPr>
        <w:t xml:space="preserve"> Pirmkārt un galvenokārt, tas ietver prasību nodrošināt iemītnieku pamatvajadzības attiecībā uz </w:t>
      </w:r>
      <w:r>
        <w:rPr>
          <w:rFonts w:ascii="Times New Roman" w:hAnsi="Times New Roman"/>
          <w:b/>
          <w:bCs/>
          <w:sz w:val="24"/>
        </w:rPr>
        <w:t>dzīvojamo platību un atbilstošu apkuri, ventilāciju, dabiskās gaismas un mākslīgā apgaismojuma pieejamību</w:t>
      </w:r>
      <w:r>
        <w:rPr>
          <w:rFonts w:ascii="Times New Roman" w:hAnsi="Times New Roman"/>
          <w:sz w:val="24"/>
        </w:rPr>
        <w:t xml:space="preserve">, kā arī </w:t>
      </w:r>
      <w:r>
        <w:rPr>
          <w:rFonts w:ascii="Times New Roman" w:hAnsi="Times New Roman"/>
          <w:b/>
          <w:bCs/>
          <w:sz w:val="24"/>
        </w:rPr>
        <w:t>higiēnu</w:t>
      </w:r>
      <w:r>
        <w:rPr>
          <w:rFonts w:ascii="Times New Roman" w:hAnsi="Times New Roman"/>
          <w:sz w:val="24"/>
        </w:rPr>
        <w:t>.</w:t>
      </w:r>
    </w:p>
    <w:p w14:paraId="37A84916" w14:textId="77777777" w:rsidR="004C56F2" w:rsidRPr="007B15AE" w:rsidRDefault="004C56F2" w:rsidP="007B15AE">
      <w:pPr>
        <w:jc w:val="both"/>
        <w:rPr>
          <w:rFonts w:ascii="Times New Roman" w:eastAsia="Arial Narrow" w:hAnsi="Times New Roman" w:cs="Times New Roman"/>
          <w:noProof/>
          <w:sz w:val="24"/>
          <w:szCs w:val="24"/>
        </w:rPr>
      </w:pPr>
    </w:p>
    <w:p w14:paraId="4E089447" w14:textId="06934FAC" w:rsidR="004C56F2" w:rsidRPr="007B15AE" w:rsidRDefault="002F485D" w:rsidP="002F485D">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8. Jau ilgus gadus </w:t>
      </w:r>
      <w:r>
        <w:rPr>
          <w:rFonts w:ascii="Times New Roman" w:hAnsi="Times New Roman"/>
          <w:i/>
          <w:iCs/>
          <w:sz w:val="24"/>
        </w:rPr>
        <w:t>CPT</w:t>
      </w:r>
      <w:r>
        <w:rPr>
          <w:rFonts w:ascii="Times New Roman" w:hAnsi="Times New Roman"/>
          <w:sz w:val="24"/>
        </w:rPr>
        <w:t xml:space="preserve"> ir norādījusi, ka </w:t>
      </w:r>
      <w:r>
        <w:rPr>
          <w:rFonts w:ascii="Times New Roman" w:hAnsi="Times New Roman"/>
          <w:b/>
          <w:bCs/>
          <w:sz w:val="24"/>
        </w:rPr>
        <w:t>lielas ietilpības kopmītņu tipa telpām</w:t>
      </w:r>
      <w:r>
        <w:rPr>
          <w:rFonts w:ascii="Times New Roman" w:hAnsi="Times New Roman"/>
          <w:sz w:val="24"/>
        </w:rPr>
        <w:t xml:space="preserve"> ir neterapeitiska un bezpersoniskuma izjūtu raisoša ietekme uz iemītniekiem, turklāt tās rada apdraudējumu viņu privātās dzīves neaizskaramībai un kavē gādīgas vides izveidi. Turklāt tās var apgrūtināt infekcijas slimību izplatīšanās kontroli un tādējādi radīt lielāku risku iemītnieku veselībai. Iemītnieki jāizmitina mazākās telpās un gādīgā vidē. Jācenšas nodrošināt, ka vienā istabā netiek izmitināti vairāk par četriem iemītniekiem.</w:t>
      </w:r>
      <w:r w:rsidR="00A32892">
        <w:rPr>
          <w:rStyle w:val="FootnoteReference"/>
          <w:rFonts w:ascii="Times New Roman" w:hAnsi="Times New Roman" w:cs="Times New Roman"/>
          <w:noProof/>
          <w:sz w:val="24"/>
          <w:szCs w:val="24"/>
        </w:rPr>
        <w:footnoteReference w:id="10"/>
      </w:r>
    </w:p>
    <w:p w14:paraId="3A2D45FA" w14:textId="77777777" w:rsidR="004C56F2" w:rsidRPr="007B15AE" w:rsidRDefault="004C56F2" w:rsidP="007B15AE">
      <w:pPr>
        <w:jc w:val="both"/>
        <w:rPr>
          <w:rFonts w:ascii="Times New Roman" w:eastAsia="Arial Narrow" w:hAnsi="Times New Roman" w:cs="Times New Roman"/>
          <w:noProof/>
          <w:sz w:val="24"/>
          <w:szCs w:val="24"/>
        </w:rPr>
      </w:pPr>
    </w:p>
    <w:p w14:paraId="75E26E05" w14:textId="47D8CF18" w:rsidR="004C56F2" w:rsidRPr="007B15AE" w:rsidRDefault="00A32892" w:rsidP="00A32892">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9. Lai gan </w:t>
      </w:r>
      <w:r>
        <w:rPr>
          <w:rFonts w:ascii="Times New Roman" w:hAnsi="Times New Roman"/>
          <w:b/>
          <w:bCs/>
          <w:sz w:val="24"/>
        </w:rPr>
        <w:t>vīriešiem un sievietēm</w:t>
      </w:r>
      <w:r>
        <w:rPr>
          <w:rFonts w:ascii="Times New Roman" w:hAnsi="Times New Roman"/>
          <w:sz w:val="24"/>
        </w:rPr>
        <w:t xml:space="preserve"> var būt kopīgas uzturēšanās zonas dienas laikā un kopīgi atpūtas objekti, viņiem jābūt savām drošām guļamistabām un sanitārajiem mezgliem. </w:t>
      </w:r>
      <w:r>
        <w:rPr>
          <w:rFonts w:ascii="Times New Roman" w:hAnsi="Times New Roman"/>
          <w:i/>
          <w:iCs/>
          <w:sz w:val="24"/>
        </w:rPr>
        <w:t>CPT</w:t>
      </w:r>
      <w:r>
        <w:rPr>
          <w:rFonts w:ascii="Times New Roman" w:hAnsi="Times New Roman"/>
          <w:sz w:val="24"/>
        </w:rPr>
        <w:t xml:space="preserve"> uzskata, ka ir jāveic īpaši drošības pasākumi, lai nodrošinātu, ka iemītnieki netiek pakļauti neatbilstošai saskarsmei ar citiem iemītniekiem, kas apdraud viņu privātās dzīves neaizskaramību.</w:t>
      </w:r>
      <w:r>
        <w:rPr>
          <w:rStyle w:val="FootnoteReference"/>
          <w:rFonts w:ascii="Times New Roman" w:hAnsi="Times New Roman" w:cs="Times New Roman"/>
          <w:noProof/>
          <w:sz w:val="24"/>
          <w:szCs w:val="24"/>
        </w:rPr>
        <w:footnoteReference w:id="11"/>
      </w:r>
    </w:p>
    <w:p w14:paraId="0AA3ACBB" w14:textId="77777777" w:rsidR="004C56F2" w:rsidRPr="007B15AE" w:rsidRDefault="004C56F2" w:rsidP="007B15AE">
      <w:pPr>
        <w:jc w:val="both"/>
        <w:rPr>
          <w:rFonts w:ascii="Times New Roman" w:eastAsia="Arial Narrow" w:hAnsi="Times New Roman" w:cs="Times New Roman"/>
          <w:noProof/>
          <w:sz w:val="24"/>
          <w:szCs w:val="24"/>
        </w:rPr>
      </w:pPr>
    </w:p>
    <w:p w14:paraId="44263F9A" w14:textId="76A51D5E" w:rsidR="004C56F2" w:rsidRPr="007B15AE" w:rsidRDefault="00B845CE" w:rsidP="00B845C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10. Sociālās aprūpes iestādēm jānodrošina mājīga, </w:t>
      </w:r>
      <w:r>
        <w:rPr>
          <w:rFonts w:ascii="Times New Roman" w:hAnsi="Times New Roman"/>
          <w:b/>
          <w:bCs/>
          <w:sz w:val="24"/>
        </w:rPr>
        <w:t>individualizēta vide</w:t>
      </w:r>
      <w:r>
        <w:rPr>
          <w:rFonts w:ascii="Times New Roman" w:hAnsi="Times New Roman"/>
          <w:sz w:val="24"/>
        </w:rPr>
        <w:t>, kas sniedz zināmu privātumu. Katram iemītniekam jābūt personiskai, slēdzamai telpai, kurā glabāt savas personiskās mantas, un iespējai apģērbties un noģērbties, mazgāties, iet dušā un vannoties apstākļos, kuros tiek respektēts viņu privātums. Īpaša uzmanība jāpievērš vecāka gadagājuma iemītnieku un/vai iemītnieku ar fizisko spēju traucējumiem īpašajām vajadzībām. Jāmudina iemītnieki padarīt savas telpas personiskākas.</w:t>
      </w:r>
      <w:r w:rsidR="00A32892">
        <w:rPr>
          <w:rStyle w:val="FootnoteReference"/>
          <w:rFonts w:ascii="Times New Roman" w:hAnsi="Times New Roman" w:cs="Times New Roman"/>
          <w:noProof/>
          <w:sz w:val="24"/>
          <w:szCs w:val="24"/>
        </w:rPr>
        <w:footnoteReference w:id="12"/>
      </w:r>
    </w:p>
    <w:p w14:paraId="5ACACB7E" w14:textId="5F69D3BF" w:rsidR="004C56F2" w:rsidRPr="0099613E" w:rsidRDefault="004C56F2" w:rsidP="007B15AE">
      <w:pPr>
        <w:tabs>
          <w:tab w:val="left" w:pos="833"/>
        </w:tabs>
        <w:jc w:val="both"/>
        <w:rPr>
          <w:rFonts w:ascii="Times New Roman" w:eastAsia="Calibri" w:hAnsi="Times New Roman" w:cs="Times New Roman"/>
          <w:noProof/>
          <w:sz w:val="24"/>
          <w:szCs w:val="24"/>
        </w:rPr>
      </w:pPr>
    </w:p>
    <w:p w14:paraId="6764F5EF" w14:textId="40069BF7" w:rsidR="004C56F2" w:rsidRPr="007B15AE" w:rsidRDefault="00B845CE" w:rsidP="00B845C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11. </w:t>
      </w:r>
      <w:r>
        <w:rPr>
          <w:rFonts w:ascii="Times New Roman" w:hAnsi="Times New Roman"/>
          <w:i/>
          <w:iCs/>
          <w:sz w:val="24"/>
        </w:rPr>
        <w:t>CPT</w:t>
      </w:r>
      <w:r>
        <w:rPr>
          <w:rFonts w:ascii="Times New Roman" w:hAnsi="Times New Roman"/>
          <w:sz w:val="24"/>
        </w:rPr>
        <w:t xml:space="preserve"> ir atkārtoti kritizējusi praksi, ka iemītniekiem dienas laikā jāvalkā pidžama vai formas tērps.</w:t>
      </w:r>
      <w:r>
        <w:rPr>
          <w:rStyle w:val="FootnoteReference"/>
          <w:rFonts w:ascii="Times New Roman" w:hAnsi="Times New Roman" w:cs="Times New Roman"/>
          <w:noProof/>
          <w:sz w:val="24"/>
          <w:szCs w:val="24"/>
        </w:rPr>
        <w:footnoteReference w:id="13"/>
      </w:r>
      <w:r>
        <w:rPr>
          <w:rFonts w:ascii="Times New Roman" w:hAnsi="Times New Roman"/>
          <w:sz w:val="24"/>
        </w:rPr>
        <w:t xml:space="preserve"> Līdzīga prakse, kas nepalīdz radīt autonomijas izjūtu, ir vienota </w:t>
      </w:r>
      <w:r>
        <w:rPr>
          <w:rFonts w:ascii="Times New Roman" w:hAnsi="Times New Roman"/>
          <w:b/>
          <w:bCs/>
          <w:sz w:val="24"/>
        </w:rPr>
        <w:t>drēbju</w:t>
      </w:r>
      <w:r>
        <w:rPr>
          <w:rFonts w:ascii="Times New Roman" w:hAnsi="Times New Roman"/>
          <w:sz w:val="24"/>
        </w:rPr>
        <w:t xml:space="preserve"> kopuma izveide un tā izdalīšana iemītniekiem pēc katras veļas mazgāšanas reizes. Apģērbs ir veids, kā izpaust personisko izvēli, sava apģērba izvēle un kopšana palielina atbildības izjūtu. Tāpēc jāļauj iemītniekiem un tie jāmudina valkāt pašiem savas drēbes.</w:t>
      </w:r>
      <w:r>
        <w:rPr>
          <w:rStyle w:val="FootnoteReference"/>
          <w:rFonts w:ascii="Times New Roman" w:hAnsi="Times New Roman" w:cs="Times New Roman"/>
          <w:noProof/>
          <w:sz w:val="24"/>
          <w:szCs w:val="24"/>
        </w:rPr>
        <w:footnoteReference w:id="14"/>
      </w:r>
    </w:p>
    <w:p w14:paraId="273BCA03" w14:textId="77777777" w:rsidR="004C56F2" w:rsidRPr="007B15AE" w:rsidRDefault="004C56F2" w:rsidP="007B15AE">
      <w:pPr>
        <w:jc w:val="both"/>
        <w:rPr>
          <w:rFonts w:ascii="Times New Roman" w:eastAsia="Arial Narrow" w:hAnsi="Times New Roman" w:cs="Times New Roman"/>
          <w:noProof/>
          <w:sz w:val="24"/>
          <w:szCs w:val="24"/>
        </w:rPr>
      </w:pPr>
    </w:p>
    <w:p w14:paraId="3BC1960E" w14:textId="72876D6E" w:rsidR="004C56F2" w:rsidRPr="007B15AE" w:rsidRDefault="00B845CE" w:rsidP="00B845C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12.</w:t>
      </w:r>
      <w:r>
        <w:rPr>
          <w:rFonts w:ascii="Times New Roman" w:hAnsi="Times New Roman"/>
          <w:b/>
          <w:sz w:val="24"/>
        </w:rPr>
        <w:t xml:space="preserve"> </w:t>
      </w:r>
      <w:r>
        <w:rPr>
          <w:rFonts w:ascii="Times New Roman" w:hAnsi="Times New Roman"/>
          <w:sz w:val="24"/>
        </w:rPr>
        <w:t xml:space="preserve">Katru dienu neatkarīgi no laika apstākļiem jābūt pieejamām </w:t>
      </w:r>
      <w:r>
        <w:rPr>
          <w:rFonts w:ascii="Times New Roman" w:hAnsi="Times New Roman"/>
          <w:b/>
          <w:bCs/>
          <w:sz w:val="24"/>
        </w:rPr>
        <w:t>pastaigām svaigā gaisā</w:t>
      </w:r>
      <w:r>
        <w:rPr>
          <w:rFonts w:ascii="Times New Roman" w:hAnsi="Times New Roman"/>
          <w:sz w:val="24"/>
        </w:rPr>
        <w:t>. Āra atpūtas zonās jābūt vietai, kur iemītnieki var patverties no lietus un saules. Atbilstoša apģērba trūkums nedrīkst būt iemesls pastaigu svaigā gaisā nepiedāvāšanai.</w:t>
      </w:r>
      <w:r>
        <w:rPr>
          <w:rStyle w:val="FootnoteReference"/>
          <w:rFonts w:ascii="Times New Roman" w:hAnsi="Times New Roman" w:cs="Times New Roman"/>
          <w:noProof/>
          <w:sz w:val="24"/>
          <w:szCs w:val="24"/>
        </w:rPr>
        <w:footnoteReference w:id="15"/>
      </w:r>
      <w:r>
        <w:rPr>
          <w:rFonts w:ascii="Times New Roman" w:hAnsi="Times New Roman"/>
          <w:sz w:val="24"/>
        </w:rPr>
        <w:t xml:space="preserve"> Jācenšas nodrošināt, ka visiem iemītniekiem ir iespēja izmantot neierobežotu piekļuvi pastaigām svaigā gaisā dienas laikā, ja vien viņiem nav jāatrodas telpās saistībā ar ieplānotām aktivitātēm.</w:t>
      </w:r>
      <w:r>
        <w:rPr>
          <w:rStyle w:val="FootnoteReference"/>
          <w:rFonts w:ascii="Times New Roman" w:hAnsi="Times New Roman" w:cs="Times New Roman"/>
          <w:noProof/>
          <w:sz w:val="24"/>
          <w:szCs w:val="24"/>
        </w:rPr>
        <w:footnoteReference w:id="16"/>
      </w:r>
      <w:r>
        <w:rPr>
          <w:rFonts w:ascii="Times New Roman" w:hAnsi="Times New Roman"/>
          <w:sz w:val="24"/>
        </w:rPr>
        <w:t xml:space="preserve"> Personālam jāgarantē iemītnieku drošība, kad viņi atrodas ārā, un jāsniedz nepieciešamā palīdzība visiem iemītniekiem, kuriem ir fiziski traucējumi.</w:t>
      </w:r>
      <w:r>
        <w:rPr>
          <w:rStyle w:val="FootnoteReference"/>
          <w:rFonts w:ascii="Times New Roman" w:hAnsi="Times New Roman" w:cs="Times New Roman"/>
          <w:noProof/>
          <w:sz w:val="24"/>
          <w:szCs w:val="24"/>
        </w:rPr>
        <w:footnoteReference w:id="17"/>
      </w:r>
    </w:p>
    <w:p w14:paraId="0CA65D13" w14:textId="77777777" w:rsidR="004C56F2" w:rsidRPr="007B15AE" w:rsidRDefault="004C56F2" w:rsidP="007B15AE">
      <w:pPr>
        <w:jc w:val="both"/>
        <w:rPr>
          <w:rFonts w:ascii="Times New Roman" w:eastAsia="Arial Narrow" w:hAnsi="Times New Roman" w:cs="Times New Roman"/>
          <w:noProof/>
          <w:sz w:val="24"/>
          <w:szCs w:val="24"/>
        </w:rPr>
      </w:pPr>
    </w:p>
    <w:p w14:paraId="654D480A" w14:textId="2B669375" w:rsidR="004C56F2" w:rsidRPr="007B15AE" w:rsidRDefault="00B845CE" w:rsidP="00B845C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lastRenderedPageBreak/>
        <w:t xml:space="preserve">13. Dzīvojamās telpas jāprojektē vai jāpielāgo atzītajiem </w:t>
      </w:r>
      <w:r>
        <w:rPr>
          <w:rFonts w:ascii="Times New Roman" w:hAnsi="Times New Roman"/>
          <w:b/>
          <w:bCs/>
          <w:sz w:val="24"/>
        </w:rPr>
        <w:t>piekļūstamības</w:t>
      </w:r>
      <w:r>
        <w:rPr>
          <w:rFonts w:ascii="Times New Roman" w:hAnsi="Times New Roman"/>
          <w:sz w:val="24"/>
        </w:rPr>
        <w:t xml:space="preserve"> standartiem (attiecībā uz rampām, piekļuvi ratiņkrēslā, liftiem). Nepiemērotas dzīvojamās telpas / infrastruktūra nevar būt attaisnojums, lai neļautu iemītniekiem piekļūt ikdienas āra atpūtas zonām / dārziem. Iemītniekiem ar pārvietošanās grūtībām jābūt nodrošinātai pienācīgai personāla palīdzībai,</w:t>
      </w:r>
      <w:r>
        <w:rPr>
          <w:rStyle w:val="FootnoteReference"/>
          <w:rFonts w:ascii="Times New Roman" w:hAnsi="Times New Roman" w:cs="Times New Roman"/>
          <w:noProof/>
          <w:sz w:val="24"/>
          <w:szCs w:val="24"/>
        </w:rPr>
        <w:footnoteReference w:id="18"/>
      </w:r>
      <w:r>
        <w:rPr>
          <w:rFonts w:ascii="Times New Roman" w:hAnsi="Times New Roman"/>
          <w:sz w:val="24"/>
        </w:rPr>
        <w:t xml:space="preserve"> kā arī atbilstošam aprīkojumam (ratiņkrēsliem utt.).</w:t>
      </w:r>
    </w:p>
    <w:p w14:paraId="60D192EE" w14:textId="77777777" w:rsidR="004C56F2" w:rsidRPr="007B15AE" w:rsidRDefault="004C56F2" w:rsidP="007B15AE">
      <w:pPr>
        <w:jc w:val="both"/>
        <w:rPr>
          <w:rFonts w:ascii="Times New Roman" w:eastAsia="Arial Narrow" w:hAnsi="Times New Roman" w:cs="Times New Roman"/>
          <w:noProof/>
          <w:sz w:val="24"/>
          <w:szCs w:val="24"/>
        </w:rPr>
      </w:pPr>
    </w:p>
    <w:p w14:paraId="62FE927E" w14:textId="393527BA" w:rsidR="004C56F2" w:rsidRPr="007B15AE" w:rsidRDefault="00B845CE" w:rsidP="00B845C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14. Jānodrošina regulāra </w:t>
      </w:r>
      <w:r>
        <w:rPr>
          <w:rFonts w:ascii="Times New Roman" w:hAnsi="Times New Roman"/>
          <w:b/>
          <w:bCs/>
          <w:sz w:val="24"/>
        </w:rPr>
        <w:t>karstā ūdens</w:t>
      </w:r>
      <w:r>
        <w:rPr>
          <w:rFonts w:ascii="Times New Roman" w:hAnsi="Times New Roman"/>
          <w:sz w:val="24"/>
        </w:rPr>
        <w:t xml:space="preserve"> padeve, un iemītniekiem jābūt iespējai </w:t>
      </w:r>
      <w:r>
        <w:rPr>
          <w:rFonts w:ascii="Times New Roman" w:hAnsi="Times New Roman"/>
          <w:b/>
          <w:bCs/>
          <w:sz w:val="24"/>
        </w:rPr>
        <w:t>nomazgāties</w:t>
      </w:r>
      <w:r>
        <w:rPr>
          <w:rFonts w:ascii="Times New Roman" w:hAnsi="Times New Roman"/>
          <w:sz w:val="24"/>
        </w:rPr>
        <w:t xml:space="preserve"> </w:t>
      </w:r>
      <w:r>
        <w:rPr>
          <w:rFonts w:ascii="Times New Roman" w:hAnsi="Times New Roman"/>
          <w:b/>
          <w:bCs/>
          <w:sz w:val="24"/>
        </w:rPr>
        <w:t>dušā</w:t>
      </w:r>
      <w:r>
        <w:rPr>
          <w:rFonts w:ascii="Times New Roman" w:hAnsi="Times New Roman"/>
          <w:sz w:val="24"/>
        </w:rPr>
        <w:t xml:space="preserve"> vismaz divas reizes nedēļā un biežāk, ja nepieciešams.</w:t>
      </w:r>
      <w:r>
        <w:rPr>
          <w:rStyle w:val="FootnoteReference"/>
          <w:rFonts w:ascii="Times New Roman" w:hAnsi="Times New Roman" w:cs="Times New Roman"/>
          <w:noProof/>
          <w:sz w:val="24"/>
          <w:szCs w:val="24"/>
        </w:rPr>
        <w:footnoteReference w:id="19"/>
      </w:r>
      <w:r>
        <w:rPr>
          <w:rFonts w:ascii="Times New Roman" w:hAnsi="Times New Roman"/>
          <w:sz w:val="24"/>
        </w:rPr>
        <w:t xml:space="preserve"> Iemītniekiem, kas cieš no urīna nesaturēšanas, jābūt nodrošinātiem uzsūcošajiem paladziņiem un ūdensnecaurlaidīgiem matraču pārvalkiem.</w:t>
      </w:r>
      <w:r>
        <w:rPr>
          <w:rStyle w:val="FootnoteReference"/>
          <w:rFonts w:ascii="Times New Roman" w:hAnsi="Times New Roman" w:cs="Times New Roman"/>
          <w:noProof/>
          <w:sz w:val="24"/>
          <w:szCs w:val="24"/>
        </w:rPr>
        <w:footnoteReference w:id="20"/>
      </w:r>
    </w:p>
    <w:p w14:paraId="5B46EA67" w14:textId="77777777" w:rsidR="004C56F2" w:rsidRPr="007B15AE" w:rsidRDefault="004C56F2" w:rsidP="007B15AE">
      <w:pPr>
        <w:jc w:val="both"/>
        <w:rPr>
          <w:rFonts w:ascii="Times New Roman" w:eastAsia="Arial Narrow" w:hAnsi="Times New Roman" w:cs="Times New Roman"/>
          <w:noProof/>
          <w:sz w:val="24"/>
          <w:szCs w:val="24"/>
        </w:rPr>
      </w:pPr>
    </w:p>
    <w:p w14:paraId="4A9B4A35" w14:textId="519A225F" w:rsidR="004C56F2" w:rsidRPr="007B15AE" w:rsidRDefault="00B845CE" w:rsidP="00B845C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15. </w:t>
      </w:r>
      <w:r>
        <w:rPr>
          <w:rFonts w:ascii="Times New Roman" w:hAnsi="Times New Roman"/>
          <w:i/>
          <w:iCs/>
          <w:sz w:val="24"/>
        </w:rPr>
        <w:t>CPT</w:t>
      </w:r>
      <w:r>
        <w:rPr>
          <w:rFonts w:ascii="Times New Roman" w:hAnsi="Times New Roman"/>
          <w:sz w:val="24"/>
        </w:rPr>
        <w:t xml:space="preserve"> ir arī nopietnas bažas par praksi </w:t>
      </w:r>
      <w:r>
        <w:rPr>
          <w:rFonts w:ascii="Times New Roman" w:hAnsi="Times New Roman"/>
          <w:b/>
          <w:bCs/>
          <w:sz w:val="24"/>
        </w:rPr>
        <w:t xml:space="preserve">izmitināt vienkopus garīgi slimus iemītniekus un iemītniekus </w:t>
      </w:r>
      <w:r w:rsidR="00EA3D35">
        <w:rPr>
          <w:rFonts w:ascii="Times New Roman" w:hAnsi="Times New Roman"/>
          <w:b/>
          <w:bCs/>
          <w:sz w:val="24"/>
        </w:rPr>
        <w:t xml:space="preserve">ar </w:t>
      </w:r>
      <w:r w:rsidR="00315142" w:rsidRPr="00315142">
        <w:rPr>
          <w:rFonts w:ascii="Times New Roman" w:hAnsi="Times New Roman"/>
          <w:b/>
          <w:bCs/>
          <w:sz w:val="24"/>
        </w:rPr>
        <w:t>intelektuālās attīstības traucējumiem</w:t>
      </w:r>
      <w:r>
        <w:rPr>
          <w:rFonts w:ascii="Times New Roman" w:hAnsi="Times New Roman"/>
          <w:sz w:val="24"/>
        </w:rPr>
        <w:t>. Šād</w:t>
      </w:r>
      <w:r w:rsidR="00BB00A1">
        <w:rPr>
          <w:rFonts w:ascii="Times New Roman" w:hAnsi="Times New Roman"/>
          <w:sz w:val="24"/>
        </w:rPr>
        <w:t>a</w:t>
      </w:r>
      <w:r>
        <w:rPr>
          <w:rFonts w:ascii="Times New Roman" w:hAnsi="Times New Roman"/>
          <w:sz w:val="24"/>
        </w:rPr>
        <w:t xml:space="preserve"> kopīga tādu iemītnieku izmitināšana, kam ir dažādas vajadzības, var izraisīt nespēju nodrošināt atbilstošu aprūpi un izstrādāt iemītniekiem piemērotas terapijas programmas. Komiteja nebūt nav pārliecināta, ka šāda prakse labvēlīgi ietekmē kādu no abām minētajām iemītnieku kategorijām.</w:t>
      </w:r>
      <w:r>
        <w:rPr>
          <w:rStyle w:val="FootnoteReference"/>
          <w:rFonts w:ascii="Times New Roman" w:hAnsi="Times New Roman" w:cs="Times New Roman"/>
          <w:noProof/>
          <w:sz w:val="24"/>
          <w:szCs w:val="24"/>
        </w:rPr>
        <w:footnoteReference w:id="21"/>
      </w:r>
    </w:p>
    <w:p w14:paraId="427AB676" w14:textId="77777777" w:rsidR="004C56F2" w:rsidRPr="007B15AE" w:rsidRDefault="004C56F2" w:rsidP="007B15AE">
      <w:pPr>
        <w:jc w:val="both"/>
        <w:rPr>
          <w:rFonts w:ascii="Times New Roman" w:eastAsia="Arial Narrow" w:hAnsi="Times New Roman" w:cs="Times New Roman"/>
          <w:noProof/>
          <w:sz w:val="24"/>
          <w:szCs w:val="24"/>
        </w:rPr>
      </w:pPr>
    </w:p>
    <w:p w14:paraId="78B69339" w14:textId="64AA33DC" w:rsidR="004C56F2" w:rsidRPr="007B15AE" w:rsidRDefault="00B845CE" w:rsidP="00B845CE">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16. Visās sociālās aprūpes iestādēs jāveic pasākumi, lai nodrošinātu, ka iemītniekiem ir pienācīga iespēja </w:t>
      </w:r>
      <w:r>
        <w:rPr>
          <w:rFonts w:ascii="Times New Roman" w:hAnsi="Times New Roman"/>
          <w:b/>
          <w:bCs/>
          <w:sz w:val="24"/>
        </w:rPr>
        <w:t>sazināties ar ārpasauli</w:t>
      </w:r>
      <w:r>
        <w:rPr>
          <w:rFonts w:ascii="Times New Roman" w:hAnsi="Times New Roman"/>
          <w:sz w:val="24"/>
        </w:rPr>
        <w:t>, t. i., sūtīt un saņemt vēstules, zvanīt pa tālruni un uzņemt apmeklētājus. Slavējama ir prakse ļaut pārnakšņot iestādē apmeklētājiem, kuri ieradušies no tālienes.</w:t>
      </w:r>
    </w:p>
    <w:p w14:paraId="60D88690" w14:textId="77777777" w:rsidR="004C56F2" w:rsidRPr="007B15AE" w:rsidRDefault="004C56F2" w:rsidP="007B15AE">
      <w:pPr>
        <w:jc w:val="both"/>
        <w:rPr>
          <w:rFonts w:ascii="Times New Roman" w:hAnsi="Times New Roman" w:cs="Times New Roman"/>
          <w:noProof/>
          <w:sz w:val="24"/>
          <w:szCs w:val="24"/>
        </w:rPr>
      </w:pPr>
    </w:p>
    <w:p w14:paraId="6DAF3028" w14:textId="21EBBF64" w:rsidR="004C56F2" w:rsidRPr="007B15AE" w:rsidRDefault="004C56F2" w:rsidP="007B15AE">
      <w:pPr>
        <w:pStyle w:val="Heading1"/>
        <w:ind w:left="0"/>
        <w:jc w:val="both"/>
        <w:rPr>
          <w:rFonts w:ascii="Times New Roman" w:hAnsi="Times New Roman" w:cs="Times New Roman"/>
          <w:noProof/>
          <w:color w:val="365F91"/>
          <w:sz w:val="24"/>
          <w:szCs w:val="24"/>
        </w:rPr>
      </w:pPr>
      <w:r>
        <w:rPr>
          <w:rFonts w:ascii="Times New Roman" w:hAnsi="Times New Roman"/>
          <w:color w:val="365F91"/>
          <w:sz w:val="24"/>
        </w:rPr>
        <w:t>5. Personāls un iemītnieku aprūpe</w:t>
      </w:r>
    </w:p>
    <w:p w14:paraId="74D7534F" w14:textId="77777777" w:rsidR="004C56F2" w:rsidRPr="007B15AE" w:rsidRDefault="004C56F2" w:rsidP="007B15AE">
      <w:pPr>
        <w:jc w:val="both"/>
        <w:rPr>
          <w:rFonts w:ascii="Times New Roman" w:eastAsia="Arial Narrow" w:hAnsi="Times New Roman" w:cs="Times New Roman"/>
          <w:b/>
          <w:bCs/>
          <w:noProof/>
          <w:sz w:val="24"/>
          <w:szCs w:val="24"/>
        </w:rPr>
      </w:pPr>
    </w:p>
    <w:p w14:paraId="03A3E362" w14:textId="65A9DA50" w:rsidR="004C56F2" w:rsidRPr="007B15AE" w:rsidRDefault="00164581" w:rsidP="00164581">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17. Ņemot vērā darba sarežģītību, ir svarīgi, lai sociālās aprūpes iestādēs </w:t>
      </w:r>
      <w:r>
        <w:rPr>
          <w:rFonts w:ascii="Times New Roman" w:hAnsi="Times New Roman"/>
          <w:b/>
          <w:bCs/>
          <w:sz w:val="24"/>
        </w:rPr>
        <w:t>individuālās aprūpes darbinieki</w:t>
      </w:r>
      <w:r>
        <w:rPr>
          <w:rFonts w:ascii="Times New Roman" w:hAnsi="Times New Roman"/>
          <w:sz w:val="24"/>
        </w:rPr>
        <w:t xml:space="preserve"> (t. i., medicīnas māsas un sanitāri) tiktu rūpīgi atlasīti un pirms pienākumu pildīšanas atbilstoši mācīti, kā humāni un droši rūpēties par iemītniekiem, kā arī vēlāk apgūtu profesionālās pilnveides mācības. Īpaša uzmanība jāpievērš tam, lai nakts maiņās būtu pietiekams individuālās aprūpes darbinieku skaits, lai visiem iemītniekiem nodrošinātu pienācīgu aprūpi un drošu vidi (skat. arī 19. punktu). Regulāri jāuzrauga, kā šāds personāls pilda savus pienākumus. Ir svarīgi nodrošināt darbiniekiem nepieciešamo atbalstu un konsultācijas, lai izvairītos no izdegšanas sindroma un saglabātu augstus aprūpes standartus.</w:t>
      </w:r>
      <w:r w:rsidR="00B845CE">
        <w:rPr>
          <w:rStyle w:val="FootnoteReference"/>
          <w:rFonts w:ascii="Times New Roman" w:hAnsi="Times New Roman" w:cs="Times New Roman"/>
          <w:noProof/>
          <w:sz w:val="24"/>
          <w:szCs w:val="24"/>
        </w:rPr>
        <w:footnoteReference w:id="22"/>
      </w:r>
    </w:p>
    <w:p w14:paraId="4156C672" w14:textId="77777777" w:rsidR="004C56F2" w:rsidRPr="007B15AE" w:rsidRDefault="004C56F2" w:rsidP="007B15AE">
      <w:pPr>
        <w:jc w:val="both"/>
        <w:rPr>
          <w:rFonts w:ascii="Times New Roman" w:eastAsia="Arial Narrow" w:hAnsi="Times New Roman" w:cs="Times New Roman"/>
          <w:noProof/>
          <w:sz w:val="24"/>
          <w:szCs w:val="24"/>
        </w:rPr>
      </w:pPr>
    </w:p>
    <w:p w14:paraId="71E90A1C" w14:textId="136F7A70" w:rsidR="004C56F2" w:rsidRPr="007B15AE" w:rsidRDefault="00164581" w:rsidP="00164581">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18. Iemītnieku </w:t>
      </w:r>
      <w:r>
        <w:rPr>
          <w:rFonts w:ascii="Times New Roman" w:hAnsi="Times New Roman"/>
          <w:b/>
          <w:bCs/>
          <w:sz w:val="24"/>
        </w:rPr>
        <w:t>aprūpē</w:t>
      </w:r>
      <w:r>
        <w:rPr>
          <w:rFonts w:ascii="Times New Roman" w:hAnsi="Times New Roman"/>
          <w:sz w:val="24"/>
        </w:rPr>
        <w:t xml:space="preserve"> jāietver </w:t>
      </w:r>
      <w:r>
        <w:rPr>
          <w:rFonts w:ascii="Times New Roman" w:hAnsi="Times New Roman"/>
          <w:sz w:val="24"/>
          <w:u w:val="single"/>
        </w:rPr>
        <w:t>katra iemītnieka</w:t>
      </w:r>
      <w:r>
        <w:rPr>
          <w:rFonts w:ascii="Times New Roman" w:hAnsi="Times New Roman"/>
          <w:sz w:val="24"/>
        </w:rPr>
        <w:t xml:space="preserve"> </w:t>
      </w:r>
      <w:r>
        <w:rPr>
          <w:rFonts w:ascii="Times New Roman" w:hAnsi="Times New Roman"/>
          <w:sz w:val="24"/>
          <w:u w:val="single"/>
        </w:rPr>
        <w:t>individuāla aprūpes plāna</w:t>
      </w:r>
      <w:r>
        <w:rPr>
          <w:rFonts w:ascii="Times New Roman" w:hAnsi="Times New Roman"/>
          <w:sz w:val="24"/>
        </w:rPr>
        <w:t xml:space="preserve"> izstrāde, norādot ārstēšanas mērķus, izmantotos terapeitiskos līdzekļus un atbildīgo personāla locekli. Šie plāni regulāri jāpārskata un jāpielāgo atbilstīgi padziļinātam katra iemītnieka fiziskā un garīgā stāvokļa novērtējumam. Aprūpes plānu izstrādē un pārskatīšanā jāpiedalās gan veselības aprūpes personālam, gan citiem personāla locekļiem, lai nodrošinātu </w:t>
      </w:r>
      <w:r>
        <w:rPr>
          <w:rFonts w:ascii="Times New Roman" w:hAnsi="Times New Roman"/>
          <w:sz w:val="24"/>
          <w:u w:val="single"/>
        </w:rPr>
        <w:t>starpdisciplināru pieeju</w:t>
      </w:r>
      <w:r>
        <w:rPr>
          <w:rFonts w:ascii="Times New Roman" w:hAnsi="Times New Roman"/>
          <w:sz w:val="24"/>
        </w:rPr>
        <w:t xml:space="preserve">. Šim nolūkam sociālās aprūpes iestādēs jāpieņem darbā pietiekams daudzums </w:t>
      </w:r>
      <w:r>
        <w:rPr>
          <w:rFonts w:ascii="Times New Roman" w:hAnsi="Times New Roman"/>
          <w:sz w:val="24"/>
          <w:u w:val="single" w:color="000000"/>
        </w:rPr>
        <w:t>kvalificēta personāla</w:t>
      </w:r>
      <w:r>
        <w:rPr>
          <w:rFonts w:ascii="Times New Roman" w:hAnsi="Times New Roman"/>
          <w:sz w:val="24"/>
        </w:rPr>
        <w:t xml:space="preserve"> – tostarp pedagogi, psihologi, sociālie darbinieki un ergoterapeiti –, kas ir mācīts veikt rehabilitācijas un terapeitiskās darbības atbilstīgi iemītnieku vajadzībām. Īpaša uzmanība jāpievērš tādu rehabilitācijas pasākumu programmu izstrādei, kas paredzēti iemītnieku dzīves kvalitātes uzlabošanai, kā arī tādu resocializācijas programmu izstrādei, kas </w:t>
      </w:r>
      <w:r>
        <w:rPr>
          <w:rFonts w:ascii="Times New Roman" w:hAnsi="Times New Roman"/>
          <w:sz w:val="24"/>
        </w:rPr>
        <w:lastRenderedPageBreak/>
        <w:t>iemītniekus sagatavo patstāvīgākai dzīvei un/vai iespējai atgriezties savā ģimenē. Turklāt iemītnieki jāiesaista savu individuālo plānu izstrādē un jāinformē par to gaitu.</w:t>
      </w:r>
      <w:r w:rsidR="005A5A7C">
        <w:rPr>
          <w:rStyle w:val="FootnoteReference"/>
          <w:rFonts w:ascii="Times New Roman" w:hAnsi="Times New Roman" w:cs="Times New Roman"/>
          <w:noProof/>
          <w:sz w:val="24"/>
          <w:szCs w:val="24"/>
        </w:rPr>
        <w:footnoteReference w:id="23"/>
      </w:r>
      <w:r>
        <w:rPr>
          <w:rFonts w:ascii="Times New Roman" w:hAnsi="Times New Roman"/>
          <w:sz w:val="24"/>
        </w:rPr>
        <w:t xml:space="preserve"> Absolūtais prasību minimums ietver iespējas nodrošināšanu katram iemītniekam – ja vien veselības stāvoklis to ļauj – katru dienu piedalīties vienā organizētā pasākumā.</w:t>
      </w:r>
      <w:r w:rsidR="005A5A7C">
        <w:rPr>
          <w:rStyle w:val="FootnoteReference"/>
          <w:rFonts w:ascii="Times New Roman" w:hAnsi="Times New Roman" w:cs="Times New Roman"/>
          <w:noProof/>
          <w:sz w:val="24"/>
          <w:szCs w:val="24"/>
        </w:rPr>
        <w:footnoteReference w:id="24"/>
      </w:r>
    </w:p>
    <w:p w14:paraId="1435D32E" w14:textId="77777777" w:rsidR="004C56F2" w:rsidRPr="007B15AE" w:rsidRDefault="004C56F2" w:rsidP="007B15AE">
      <w:pPr>
        <w:jc w:val="both"/>
        <w:rPr>
          <w:rFonts w:ascii="Times New Roman" w:eastAsia="Arial Narrow" w:hAnsi="Times New Roman" w:cs="Times New Roman"/>
          <w:noProof/>
          <w:sz w:val="24"/>
          <w:szCs w:val="24"/>
        </w:rPr>
      </w:pPr>
    </w:p>
    <w:p w14:paraId="6FF33AB0" w14:textId="7EED1D2D" w:rsidR="004C56F2" w:rsidRPr="007B15AE" w:rsidRDefault="00164581" w:rsidP="00164581">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19.</w:t>
      </w:r>
      <w:r>
        <w:rPr>
          <w:rFonts w:ascii="Times New Roman" w:hAnsi="Times New Roman"/>
          <w:b/>
          <w:sz w:val="24"/>
        </w:rPr>
        <w:t xml:space="preserve"> </w:t>
      </w:r>
      <w:r>
        <w:rPr>
          <w:rFonts w:ascii="Times New Roman" w:hAnsi="Times New Roman"/>
          <w:b/>
          <w:bCs/>
          <w:sz w:val="24"/>
        </w:rPr>
        <w:t>Medicīniskā un psihiatriskā ārstēšana</w:t>
      </w:r>
      <w:r>
        <w:rPr>
          <w:rFonts w:ascii="Times New Roman" w:hAnsi="Times New Roman"/>
          <w:sz w:val="24"/>
        </w:rPr>
        <w:t xml:space="preserve"> ir svarīga vispārējās aprūpes sastāvdaļa. Tāpēc regulāri nepieciešama plaša profila ārsta un psihiatra klātbūtne atbilstīgi iemītnieku vajadzībām un iestādes lielumam, un vienmēr jābūt klātesošai vismaz vienai medicīnas māsai, tostarp naktī.</w:t>
      </w:r>
      <w:r w:rsidR="005A5A7C">
        <w:rPr>
          <w:rStyle w:val="FootnoteReference"/>
          <w:rFonts w:ascii="Times New Roman" w:hAnsi="Times New Roman" w:cs="Times New Roman"/>
          <w:noProof/>
          <w:sz w:val="24"/>
          <w:szCs w:val="24"/>
        </w:rPr>
        <w:footnoteReference w:id="25"/>
      </w:r>
    </w:p>
    <w:p w14:paraId="611F6DDE" w14:textId="77777777" w:rsidR="004C56F2" w:rsidRPr="007B15AE" w:rsidRDefault="004C56F2" w:rsidP="007B15AE">
      <w:pPr>
        <w:jc w:val="both"/>
        <w:rPr>
          <w:rFonts w:ascii="Times New Roman" w:eastAsia="Arial Narrow" w:hAnsi="Times New Roman" w:cs="Times New Roman"/>
          <w:noProof/>
          <w:sz w:val="24"/>
          <w:szCs w:val="24"/>
        </w:rPr>
      </w:pPr>
    </w:p>
    <w:p w14:paraId="0DC6C846" w14:textId="3B406118" w:rsidR="004C56F2" w:rsidRPr="007B15AE" w:rsidRDefault="00164581" w:rsidP="00164581">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20. Katram jaunuzņemtajam iemītniekam </w:t>
      </w:r>
      <w:r>
        <w:rPr>
          <w:rFonts w:ascii="Times New Roman" w:hAnsi="Times New Roman"/>
          <w:b/>
          <w:bCs/>
          <w:sz w:val="24"/>
        </w:rPr>
        <w:t>uzņemšanas laikā jāveic medicīniskā apskate</w:t>
      </w:r>
      <w:r>
        <w:rPr>
          <w:rFonts w:ascii="Times New Roman" w:hAnsi="Times New Roman"/>
          <w:sz w:val="24"/>
        </w:rPr>
        <w:t xml:space="preserve">, un regulāri jāuzrauga viņa </w:t>
      </w:r>
      <w:r>
        <w:rPr>
          <w:rFonts w:ascii="Times New Roman" w:hAnsi="Times New Roman"/>
          <w:b/>
          <w:bCs/>
          <w:sz w:val="24"/>
        </w:rPr>
        <w:t>fiziskais</w:t>
      </w:r>
      <w:r>
        <w:rPr>
          <w:rFonts w:ascii="Times New Roman" w:hAnsi="Times New Roman"/>
          <w:sz w:val="24"/>
        </w:rPr>
        <w:t xml:space="preserve"> stāvoklis.</w:t>
      </w:r>
      <w:r w:rsidR="005A5A7C">
        <w:rPr>
          <w:rStyle w:val="FootnoteReference"/>
          <w:rFonts w:ascii="Times New Roman" w:hAnsi="Times New Roman" w:cs="Times New Roman"/>
          <w:noProof/>
          <w:sz w:val="24"/>
          <w:szCs w:val="24"/>
        </w:rPr>
        <w:footnoteReference w:id="26"/>
      </w:r>
      <w:r>
        <w:rPr>
          <w:rFonts w:ascii="Times New Roman" w:hAnsi="Times New Roman"/>
          <w:sz w:val="24"/>
        </w:rPr>
        <w:t xml:space="preserve"> Jebkurā iestādē ir svarīga profilaktiskā aprūpe, tostarp atbilstošu vakcīnu pieejamība un veselības mācības nodrošināšana.</w:t>
      </w:r>
      <w:r w:rsidR="005A5A7C">
        <w:rPr>
          <w:rStyle w:val="FootnoteReference"/>
          <w:rFonts w:ascii="Times New Roman" w:hAnsi="Times New Roman" w:cs="Times New Roman"/>
          <w:noProof/>
          <w:sz w:val="24"/>
          <w:szCs w:val="24"/>
        </w:rPr>
        <w:footnoteReference w:id="27"/>
      </w:r>
    </w:p>
    <w:p w14:paraId="1DFDEB1E" w14:textId="77777777" w:rsidR="004C56F2" w:rsidRPr="007B15AE" w:rsidRDefault="004C56F2" w:rsidP="007B15AE">
      <w:pPr>
        <w:jc w:val="both"/>
        <w:rPr>
          <w:rFonts w:ascii="Times New Roman" w:eastAsia="Arial Narrow" w:hAnsi="Times New Roman" w:cs="Times New Roman"/>
          <w:noProof/>
          <w:sz w:val="24"/>
          <w:szCs w:val="24"/>
        </w:rPr>
      </w:pPr>
    </w:p>
    <w:p w14:paraId="31318E87" w14:textId="4A070191" w:rsidR="004C56F2" w:rsidRPr="007B15AE" w:rsidRDefault="00164581" w:rsidP="00164581">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21. Par katru iemītnieku jābūt izveidotai </w:t>
      </w:r>
      <w:r>
        <w:rPr>
          <w:rFonts w:ascii="Times New Roman" w:hAnsi="Times New Roman"/>
          <w:b/>
          <w:bCs/>
          <w:sz w:val="24"/>
        </w:rPr>
        <w:t>personiskajai medicīniskajai lietai</w:t>
      </w:r>
      <w:r>
        <w:rPr>
          <w:rFonts w:ascii="Times New Roman" w:hAnsi="Times New Roman"/>
          <w:sz w:val="24"/>
        </w:rPr>
        <w:t>, kurā jāglabā diagnostikas informācija (arī jebkuru īpašu, iemītniekam veikto izmeklējumu rezultāti), kā arī pastāvīgie ieraksti par iemītnieka veselības garīgo un fizisko stāvokli un ārstēšanu.</w:t>
      </w:r>
      <w:r w:rsidR="005A5A7C">
        <w:rPr>
          <w:rStyle w:val="FootnoteReference"/>
          <w:rFonts w:ascii="Times New Roman" w:hAnsi="Times New Roman" w:cs="Times New Roman"/>
          <w:noProof/>
          <w:sz w:val="24"/>
          <w:szCs w:val="24"/>
        </w:rPr>
        <w:footnoteReference w:id="28"/>
      </w:r>
    </w:p>
    <w:p w14:paraId="5535A676" w14:textId="77777777" w:rsidR="004C56F2" w:rsidRPr="007B15AE" w:rsidRDefault="004C56F2" w:rsidP="007B15AE">
      <w:pPr>
        <w:jc w:val="both"/>
        <w:rPr>
          <w:rFonts w:ascii="Times New Roman" w:eastAsia="Arial Narrow" w:hAnsi="Times New Roman" w:cs="Times New Roman"/>
          <w:noProof/>
          <w:sz w:val="24"/>
          <w:szCs w:val="24"/>
        </w:rPr>
      </w:pPr>
    </w:p>
    <w:p w14:paraId="063FD968" w14:textId="267AE8E4" w:rsidR="004C56F2" w:rsidRPr="007B15AE" w:rsidRDefault="00164581" w:rsidP="00164581">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22. Katrai </w:t>
      </w:r>
      <w:r>
        <w:rPr>
          <w:rFonts w:ascii="Times New Roman" w:hAnsi="Times New Roman"/>
          <w:b/>
          <w:bCs/>
          <w:sz w:val="24"/>
        </w:rPr>
        <w:t>psihotropo zāļu</w:t>
      </w:r>
      <w:r>
        <w:rPr>
          <w:rFonts w:ascii="Times New Roman" w:hAnsi="Times New Roman"/>
          <w:sz w:val="24"/>
        </w:rPr>
        <w:t xml:space="preserve"> lietošanai iepriekš jāsaņem ārsta īpaša atļauja, un to ievadīšana ir </w:t>
      </w:r>
      <w:r w:rsidR="00C51081" w:rsidRPr="00C51081">
        <w:rPr>
          <w:rFonts w:ascii="Times New Roman" w:hAnsi="Times New Roman"/>
          <w:sz w:val="24"/>
        </w:rPr>
        <w:t>jāreģistrē atbilstošā veidā</w:t>
      </w:r>
      <w:r>
        <w:rPr>
          <w:rFonts w:ascii="Times New Roman" w:hAnsi="Times New Roman"/>
          <w:sz w:val="24"/>
        </w:rPr>
        <w:t>.</w:t>
      </w:r>
      <w:r w:rsidR="004850BA">
        <w:rPr>
          <w:rStyle w:val="FootnoteReference"/>
          <w:rFonts w:ascii="Times New Roman" w:hAnsi="Times New Roman" w:cs="Times New Roman"/>
          <w:noProof/>
          <w:sz w:val="24"/>
          <w:szCs w:val="24"/>
        </w:rPr>
        <w:footnoteReference w:id="29"/>
      </w:r>
    </w:p>
    <w:p w14:paraId="5A842AC5" w14:textId="77777777" w:rsidR="004C56F2" w:rsidRPr="007B15AE" w:rsidRDefault="004C56F2" w:rsidP="007B15AE">
      <w:pPr>
        <w:jc w:val="both"/>
        <w:rPr>
          <w:rFonts w:ascii="Times New Roman" w:eastAsia="Arial Narrow" w:hAnsi="Times New Roman" w:cs="Times New Roman"/>
          <w:noProof/>
          <w:sz w:val="24"/>
          <w:szCs w:val="24"/>
        </w:rPr>
      </w:pPr>
    </w:p>
    <w:p w14:paraId="1B69A60E" w14:textId="03F9F5E0" w:rsidR="004C56F2" w:rsidRPr="007B15AE" w:rsidRDefault="00164581" w:rsidP="00164581">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23.</w:t>
      </w:r>
      <w:r>
        <w:rPr>
          <w:rFonts w:ascii="Times New Roman" w:hAnsi="Times New Roman"/>
          <w:b/>
          <w:sz w:val="24"/>
        </w:rPr>
        <w:t xml:space="preserve"> </w:t>
      </w:r>
      <w:r>
        <w:rPr>
          <w:rFonts w:ascii="Times New Roman" w:hAnsi="Times New Roman"/>
          <w:sz w:val="24"/>
        </w:rPr>
        <w:t xml:space="preserve">Katra iemītnieka aprūpes plānā jāietver </w:t>
      </w:r>
      <w:r>
        <w:rPr>
          <w:rFonts w:ascii="Times New Roman" w:hAnsi="Times New Roman"/>
          <w:b/>
          <w:bCs/>
          <w:sz w:val="24"/>
        </w:rPr>
        <w:t>zobārstniecība</w:t>
      </w:r>
      <w:r>
        <w:rPr>
          <w:rFonts w:ascii="Times New Roman" w:hAnsi="Times New Roman"/>
          <w:sz w:val="24"/>
        </w:rPr>
        <w:t>; jānoskaidro katra iemītnieka zobu veselība, un viņiem jābūt pieejamai regulārai pārbaudei. Zobārstniecība nedrīkst aprobežoties tikai ar zobu ekstrahēšanu, bet tai jāietver arī profilaktiska un plānveida ārstēšana.</w:t>
      </w:r>
      <w:r w:rsidR="001160A9">
        <w:rPr>
          <w:rStyle w:val="FootnoteReference"/>
          <w:rFonts w:ascii="Times New Roman" w:hAnsi="Times New Roman" w:cs="Times New Roman"/>
          <w:noProof/>
          <w:sz w:val="24"/>
          <w:szCs w:val="24"/>
        </w:rPr>
        <w:footnoteReference w:id="30"/>
      </w:r>
    </w:p>
    <w:p w14:paraId="3F141C6F" w14:textId="77777777" w:rsidR="004C56F2" w:rsidRPr="007B15AE" w:rsidRDefault="004C56F2" w:rsidP="007B15AE">
      <w:pPr>
        <w:jc w:val="both"/>
        <w:rPr>
          <w:rFonts w:ascii="Times New Roman" w:eastAsia="Arial Narrow" w:hAnsi="Times New Roman" w:cs="Times New Roman"/>
          <w:noProof/>
          <w:sz w:val="24"/>
          <w:szCs w:val="24"/>
        </w:rPr>
      </w:pPr>
    </w:p>
    <w:p w14:paraId="0193B4C1" w14:textId="388DF715" w:rsidR="004C56F2" w:rsidRPr="007B15AE" w:rsidRDefault="005A5A7C" w:rsidP="005A5A7C">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24. Īpaša uzmanība jāpievērš iemītnieku </w:t>
      </w:r>
      <w:r>
        <w:rPr>
          <w:rFonts w:ascii="Times New Roman" w:hAnsi="Times New Roman"/>
          <w:b/>
          <w:bCs/>
          <w:sz w:val="24"/>
        </w:rPr>
        <w:t>uztura vajadzībām</w:t>
      </w:r>
      <w:r>
        <w:rPr>
          <w:rFonts w:ascii="Times New Roman" w:hAnsi="Times New Roman"/>
          <w:sz w:val="24"/>
        </w:rPr>
        <w:t>. Visi iemītnieki, jo īpaši gulošie iemītnieki, regulāri jāsver, lai uzraudzītu un dokumentētu uzturvielu daudzumu viņu organismā un vajadzības gadījumā paredzētu efektīvus intervences pasākumus uztura jomā.</w:t>
      </w:r>
      <w:r w:rsidR="001160A9">
        <w:rPr>
          <w:rStyle w:val="FootnoteReference"/>
          <w:rFonts w:ascii="Times New Roman" w:hAnsi="Times New Roman" w:cs="Times New Roman"/>
          <w:noProof/>
          <w:sz w:val="24"/>
          <w:szCs w:val="24"/>
        </w:rPr>
        <w:footnoteReference w:id="31"/>
      </w:r>
    </w:p>
    <w:p w14:paraId="1A8A0F35" w14:textId="77777777" w:rsidR="004C56F2" w:rsidRPr="007B15AE" w:rsidRDefault="004C56F2" w:rsidP="007B15AE">
      <w:pPr>
        <w:jc w:val="both"/>
        <w:rPr>
          <w:rFonts w:ascii="Times New Roman" w:eastAsia="Arial Narrow" w:hAnsi="Times New Roman" w:cs="Times New Roman"/>
          <w:noProof/>
          <w:sz w:val="24"/>
          <w:szCs w:val="24"/>
        </w:rPr>
      </w:pPr>
    </w:p>
    <w:p w14:paraId="3D76157C" w14:textId="39BCB1E0" w:rsidR="004C56F2" w:rsidRPr="007B15AE" w:rsidRDefault="005A5A7C" w:rsidP="005A5A7C">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25. Visās sociālās aprūpes iestādēs jāizstrādā īpaša un visaptveroša stratēģija, kas ietver pasākumus, lai izpildītu iestāžu pienākumu reaģēt uz pašreiz notiekošo </w:t>
      </w:r>
      <w:r>
        <w:rPr>
          <w:rFonts w:ascii="Times New Roman" w:hAnsi="Times New Roman"/>
          <w:b/>
          <w:bCs/>
          <w:sz w:val="24"/>
        </w:rPr>
        <w:t>Covid-19 pandēmiju</w:t>
      </w:r>
      <w:r>
        <w:rPr>
          <w:rFonts w:ascii="Times New Roman" w:hAnsi="Times New Roman"/>
          <w:sz w:val="24"/>
        </w:rPr>
        <w:t xml:space="preserve">. Šādā stratēģijā cita starpā jāiekļauj izpratnes veicināšana par Covid-19 infekcijas novēršanu šādās iestādēs un metodes, kuras valsts izmantos, lai garantētu, ka visās iestādēs tiek nodrošināts pietiekams atbilstošu </w:t>
      </w:r>
      <w:r>
        <w:rPr>
          <w:rFonts w:ascii="Times New Roman" w:hAnsi="Times New Roman"/>
          <w:sz w:val="24"/>
          <w:u w:val="single"/>
        </w:rPr>
        <w:t>individuālo aizsardzības līdzekļu</w:t>
      </w:r>
      <w:r>
        <w:rPr>
          <w:rFonts w:ascii="Times New Roman" w:hAnsi="Times New Roman"/>
          <w:sz w:val="24"/>
        </w:rPr>
        <w:t xml:space="preserve"> daudzums (vai papildu līdzekļi to iegādei). Turklāt tajā jānorāda, kā tiks nodrošināts, lai ikvienam iemītniekam vai personāla loceklim būtu pieejama ātrs, viegli piekļūstams un bezmaksas </w:t>
      </w:r>
      <w:r>
        <w:rPr>
          <w:rFonts w:ascii="Times New Roman" w:hAnsi="Times New Roman"/>
          <w:i/>
          <w:iCs/>
          <w:sz w:val="24"/>
          <w:u w:val="single"/>
        </w:rPr>
        <w:t>PCR</w:t>
      </w:r>
      <w:r>
        <w:rPr>
          <w:rFonts w:ascii="Times New Roman" w:hAnsi="Times New Roman"/>
          <w:sz w:val="24"/>
          <w:u w:val="single"/>
        </w:rPr>
        <w:t xml:space="preserve"> tests</w:t>
      </w:r>
      <w:r>
        <w:rPr>
          <w:rFonts w:ascii="Times New Roman" w:hAnsi="Times New Roman"/>
          <w:sz w:val="24"/>
        </w:rPr>
        <w:t xml:space="preserve">, ja viņiem rodas simptomi, kas liecina par Covid-19 infekciju, vai ja viņi ir bijuši kontaktā ar tādām personām, kurām ir aizdomas par saslimšanu ar Covid-19. Turklāt nopietni jāapsver iespēja izveidot valsts finansētu sistēmu, lai regulāri veiktu visa personāla (un visu sociālās aprūpes </w:t>
      </w:r>
      <w:r>
        <w:rPr>
          <w:rFonts w:ascii="Times New Roman" w:hAnsi="Times New Roman"/>
          <w:sz w:val="24"/>
        </w:rPr>
        <w:lastRenderedPageBreak/>
        <w:t xml:space="preserve">iemītnieku, kas ienāk vai atgriežas iestādē) regulāru </w:t>
      </w:r>
      <w:r>
        <w:rPr>
          <w:rFonts w:ascii="Times New Roman" w:hAnsi="Times New Roman"/>
          <w:i/>
          <w:iCs/>
          <w:sz w:val="24"/>
        </w:rPr>
        <w:t>PCR</w:t>
      </w:r>
      <w:r>
        <w:rPr>
          <w:rFonts w:ascii="Times New Roman" w:hAnsi="Times New Roman"/>
          <w:sz w:val="24"/>
        </w:rPr>
        <w:t xml:space="preserve"> testēšanu.</w:t>
      </w:r>
      <w:r w:rsidR="001160A9">
        <w:rPr>
          <w:rStyle w:val="FootnoteReference"/>
          <w:rFonts w:ascii="Times New Roman" w:hAnsi="Times New Roman" w:cs="Times New Roman"/>
          <w:noProof/>
          <w:sz w:val="24"/>
          <w:szCs w:val="24"/>
        </w:rPr>
        <w:footnoteReference w:id="32"/>
      </w:r>
    </w:p>
    <w:p w14:paraId="762301FC" w14:textId="77777777" w:rsidR="004C56F2" w:rsidRPr="007B15AE" w:rsidRDefault="004C56F2" w:rsidP="007B15AE">
      <w:pPr>
        <w:jc w:val="both"/>
        <w:rPr>
          <w:rFonts w:ascii="Times New Roman" w:eastAsia="Arial Narrow" w:hAnsi="Times New Roman" w:cs="Times New Roman"/>
          <w:noProof/>
          <w:sz w:val="24"/>
          <w:szCs w:val="24"/>
        </w:rPr>
      </w:pPr>
    </w:p>
    <w:p w14:paraId="38101117" w14:textId="47DD5B73" w:rsidR="004C56F2" w:rsidRPr="007B15AE" w:rsidRDefault="005A5A7C" w:rsidP="005A5A7C">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26. Ja </w:t>
      </w:r>
      <w:r>
        <w:rPr>
          <w:rFonts w:ascii="Times New Roman" w:hAnsi="Times New Roman"/>
          <w:b/>
          <w:bCs/>
          <w:sz w:val="24"/>
        </w:rPr>
        <w:t>nāve</w:t>
      </w:r>
      <w:r>
        <w:rPr>
          <w:rFonts w:ascii="Times New Roman" w:hAnsi="Times New Roman"/>
          <w:sz w:val="24"/>
        </w:rPr>
        <w:t xml:space="preserve"> iestājas sociālās aprūpes iestādē (vai slimnīcā, uz kuru iemītnieks pārvietots), jāveic autopsija, ja vien ārsts pirms nāves nav noteicis skaidru letālas slimības diagnozi. Turklāt katru reizi, kad tiek veikta autopsija, tās secinājumi regulāri jādara zināmi sociālās aprūpes iestādes vadībai, lai noskaidrotu, vai šā gadījuma pieredze būtu jāņem vērā attiecībā uz darbības procedūrām.</w:t>
      </w:r>
      <w:r w:rsidR="001160A9">
        <w:rPr>
          <w:rStyle w:val="FootnoteReference"/>
          <w:rFonts w:ascii="Times New Roman" w:hAnsi="Times New Roman" w:cs="Times New Roman"/>
          <w:noProof/>
          <w:sz w:val="24"/>
          <w:szCs w:val="24"/>
        </w:rPr>
        <w:footnoteReference w:id="33"/>
      </w:r>
    </w:p>
    <w:p w14:paraId="1E679A16" w14:textId="77777777" w:rsidR="004C56F2" w:rsidRPr="007B15AE" w:rsidRDefault="004C56F2" w:rsidP="007B15AE">
      <w:pPr>
        <w:jc w:val="both"/>
        <w:rPr>
          <w:rFonts w:ascii="Times New Roman" w:eastAsia="Calibri" w:hAnsi="Times New Roman" w:cs="Times New Roman"/>
          <w:noProof/>
          <w:sz w:val="24"/>
          <w:szCs w:val="24"/>
        </w:rPr>
      </w:pPr>
    </w:p>
    <w:p w14:paraId="078F0866" w14:textId="2132D13E" w:rsidR="004C56F2" w:rsidRPr="007B15AE" w:rsidRDefault="004C56F2" w:rsidP="007B15AE">
      <w:pPr>
        <w:pStyle w:val="Heading1"/>
        <w:ind w:left="0"/>
        <w:jc w:val="both"/>
        <w:rPr>
          <w:rFonts w:ascii="Times New Roman" w:hAnsi="Times New Roman" w:cs="Times New Roman"/>
          <w:noProof/>
          <w:color w:val="365F91"/>
          <w:sz w:val="24"/>
          <w:szCs w:val="24"/>
        </w:rPr>
      </w:pPr>
      <w:r>
        <w:rPr>
          <w:rFonts w:ascii="Times New Roman" w:hAnsi="Times New Roman"/>
          <w:color w:val="365F91"/>
          <w:sz w:val="24"/>
        </w:rPr>
        <w:t xml:space="preserve">6. </w:t>
      </w:r>
      <w:r w:rsidR="007E6927">
        <w:rPr>
          <w:rFonts w:ascii="Times New Roman" w:hAnsi="Times New Roman"/>
          <w:color w:val="365F91"/>
          <w:sz w:val="24"/>
        </w:rPr>
        <w:t>Ierobežošanas</w:t>
      </w:r>
      <w:r>
        <w:rPr>
          <w:rFonts w:ascii="Times New Roman" w:hAnsi="Times New Roman"/>
          <w:color w:val="365F91"/>
          <w:sz w:val="24"/>
        </w:rPr>
        <w:t xml:space="preserve"> līdzekļi</w:t>
      </w:r>
    </w:p>
    <w:p w14:paraId="40B76970" w14:textId="77777777" w:rsidR="005A5A7C" w:rsidRDefault="005A5A7C" w:rsidP="005A5A7C">
      <w:pPr>
        <w:tabs>
          <w:tab w:val="left" w:pos="834"/>
        </w:tabs>
        <w:jc w:val="both"/>
        <w:rPr>
          <w:rFonts w:ascii="Times New Roman" w:eastAsia="Arial Narrow" w:hAnsi="Times New Roman" w:cs="Times New Roman"/>
          <w:noProof/>
          <w:sz w:val="24"/>
          <w:szCs w:val="24"/>
        </w:rPr>
      </w:pPr>
    </w:p>
    <w:p w14:paraId="1541F2B2" w14:textId="03B9FC88" w:rsidR="004C56F2" w:rsidRPr="007B15AE" w:rsidRDefault="005A5A7C" w:rsidP="005A5A7C">
      <w:pPr>
        <w:tabs>
          <w:tab w:val="left" w:pos="834"/>
        </w:tabs>
        <w:jc w:val="both"/>
        <w:rPr>
          <w:rFonts w:ascii="Times New Roman" w:eastAsia="Arial Narrow" w:hAnsi="Times New Roman" w:cs="Times New Roman"/>
          <w:noProof/>
          <w:sz w:val="24"/>
          <w:szCs w:val="24"/>
        </w:rPr>
      </w:pPr>
      <w:r>
        <w:rPr>
          <w:rFonts w:ascii="Times New Roman" w:hAnsi="Times New Roman"/>
          <w:sz w:val="24"/>
        </w:rPr>
        <w:t xml:space="preserve">27. </w:t>
      </w:r>
      <w:r w:rsidR="00EB7B24" w:rsidRPr="00EB7B24">
        <w:rPr>
          <w:rFonts w:ascii="Times New Roman" w:hAnsi="Times New Roman"/>
          <w:sz w:val="24"/>
        </w:rPr>
        <w:t xml:space="preserve">Attiecībā uz ierobežošanas līdzekļu, piemēram, </w:t>
      </w:r>
      <w:r w:rsidR="00EB7B24" w:rsidRPr="003E3CDA">
        <w:rPr>
          <w:rFonts w:ascii="Times New Roman" w:hAnsi="Times New Roman"/>
          <w:b/>
          <w:bCs/>
          <w:sz w:val="24"/>
        </w:rPr>
        <w:t>fiziskas ierobežošanas līdzekļu, mehānisku ierobežošanas līdzekļu un medikamentu ievadīšanas pret pacienta gribu</w:t>
      </w:r>
      <w:r w:rsidR="00EB7B24" w:rsidRPr="00EB7B24">
        <w:rPr>
          <w:rFonts w:ascii="Times New Roman" w:hAnsi="Times New Roman"/>
          <w:sz w:val="24"/>
        </w:rPr>
        <w:t xml:space="preserve"> (t. i., zāļu došanu piespiedu kārtā, lai kontrolētu iemītnieka uzvedību), izmantošanu</w:t>
      </w:r>
      <w:r>
        <w:rPr>
          <w:rFonts w:ascii="Times New Roman" w:hAnsi="Times New Roman"/>
          <w:sz w:val="24"/>
        </w:rPr>
        <w:t xml:space="preserve"> agresīviem un/vai vardarbīgiem sociālās aprūpes iestāžu iemītniekiem un viņu </w:t>
      </w:r>
      <w:r>
        <w:rPr>
          <w:rFonts w:ascii="Times New Roman" w:hAnsi="Times New Roman"/>
          <w:b/>
          <w:bCs/>
          <w:sz w:val="24"/>
        </w:rPr>
        <w:t xml:space="preserve">izolēšanu </w:t>
      </w:r>
      <w:r>
        <w:rPr>
          <w:rFonts w:ascii="Times New Roman" w:hAnsi="Times New Roman"/>
          <w:i/>
          <w:iCs/>
          <w:sz w:val="24"/>
        </w:rPr>
        <w:t>CPT</w:t>
      </w:r>
      <w:r>
        <w:rPr>
          <w:rFonts w:ascii="Times New Roman" w:hAnsi="Times New Roman"/>
          <w:sz w:val="24"/>
        </w:rPr>
        <w:t xml:space="preserve"> parasti piemēro tādus pašus standartus kā psihiatriskajās iestādēs. Lai iegūtu sīkāku informāciju, skatīt </w:t>
      </w:r>
      <w:r>
        <w:rPr>
          <w:rFonts w:ascii="Times New Roman" w:hAnsi="Times New Roman"/>
          <w:i/>
          <w:iCs/>
          <w:sz w:val="24"/>
        </w:rPr>
        <w:t>CPT</w:t>
      </w:r>
      <w:r>
        <w:rPr>
          <w:rFonts w:ascii="Times New Roman" w:hAnsi="Times New Roman"/>
          <w:sz w:val="24"/>
        </w:rPr>
        <w:t xml:space="preserve"> standartus, kas izklāstīti 2017. gada 21. martā publicētajā dokumentā “Means of restraint in psychiatric establishments for adults” [</w:t>
      </w:r>
      <w:r w:rsidR="00830E95" w:rsidRPr="00830E95">
        <w:rPr>
          <w:rFonts w:ascii="Times New Roman" w:hAnsi="Times New Roman"/>
          <w:sz w:val="24"/>
        </w:rPr>
        <w:t xml:space="preserve">Ierobežošanas </w:t>
      </w:r>
      <w:r>
        <w:rPr>
          <w:rFonts w:ascii="Times New Roman" w:hAnsi="Times New Roman"/>
          <w:sz w:val="24"/>
        </w:rPr>
        <w:t>līdzekļi psihiatriskās ārstniecības iestādēs pieaugušajiem] (CPT/Inf (2017) 6).</w:t>
      </w:r>
    </w:p>
    <w:p w14:paraId="1E084EA3" w14:textId="77777777" w:rsidR="004C56F2" w:rsidRPr="007B15AE" w:rsidRDefault="004C56F2" w:rsidP="007B15AE">
      <w:pPr>
        <w:jc w:val="both"/>
        <w:rPr>
          <w:rFonts w:ascii="Times New Roman" w:eastAsia="Arial Narrow" w:hAnsi="Times New Roman" w:cs="Times New Roman"/>
          <w:noProof/>
          <w:sz w:val="24"/>
          <w:szCs w:val="24"/>
        </w:rPr>
      </w:pPr>
    </w:p>
    <w:p w14:paraId="3FBD90FE" w14:textId="0AE0200E" w:rsidR="004C56F2" w:rsidRPr="007B15AE" w:rsidRDefault="005A5A7C" w:rsidP="005A5A7C">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28. </w:t>
      </w:r>
      <w:r>
        <w:rPr>
          <w:rFonts w:ascii="Times New Roman" w:hAnsi="Times New Roman"/>
          <w:i/>
          <w:iCs/>
          <w:sz w:val="24"/>
        </w:rPr>
        <w:t>CPT</w:t>
      </w:r>
      <w:r>
        <w:rPr>
          <w:rFonts w:ascii="Times New Roman" w:hAnsi="Times New Roman"/>
          <w:sz w:val="24"/>
        </w:rPr>
        <w:t xml:space="preserve"> vēlas uzsvērt, ka </w:t>
      </w:r>
      <w:r>
        <w:rPr>
          <w:rFonts w:ascii="Times New Roman" w:hAnsi="Times New Roman"/>
          <w:b/>
          <w:bCs/>
          <w:sz w:val="24"/>
        </w:rPr>
        <w:t>ātras iedarbības trankvilizatoru</w:t>
      </w:r>
      <w:r>
        <w:rPr>
          <w:rFonts w:ascii="Times New Roman" w:hAnsi="Times New Roman"/>
          <w:sz w:val="24"/>
        </w:rPr>
        <w:t xml:space="preserve"> ievadīšanai nepieciešama rūpīga medicīniska uzraudzība un visam iesaistītajam personālam stingri jāievēro protokoli, kā arī jābūt nepieciešamajām prasmēm, zālēm un aprīkojumam.</w:t>
      </w:r>
    </w:p>
    <w:p w14:paraId="66702894" w14:textId="77777777" w:rsidR="004C56F2" w:rsidRPr="007B15AE" w:rsidRDefault="004C56F2" w:rsidP="007B15AE">
      <w:pPr>
        <w:jc w:val="both"/>
        <w:rPr>
          <w:rFonts w:ascii="Times New Roman" w:eastAsia="Arial Narrow" w:hAnsi="Times New Roman" w:cs="Times New Roman"/>
          <w:noProof/>
          <w:sz w:val="24"/>
          <w:szCs w:val="24"/>
        </w:rPr>
      </w:pPr>
    </w:p>
    <w:p w14:paraId="77D19A77" w14:textId="445898F2" w:rsidR="004C56F2" w:rsidRPr="007B15AE" w:rsidRDefault="004C56F2" w:rsidP="007B15AE">
      <w:pPr>
        <w:pStyle w:val="BodyText"/>
        <w:ind w:left="0"/>
        <w:jc w:val="both"/>
        <w:rPr>
          <w:rFonts w:ascii="Times New Roman" w:hAnsi="Times New Roman" w:cs="Times New Roman"/>
          <w:noProof/>
          <w:sz w:val="24"/>
          <w:szCs w:val="24"/>
        </w:rPr>
      </w:pPr>
      <w:r>
        <w:rPr>
          <w:rFonts w:ascii="Times New Roman" w:hAnsi="Times New Roman"/>
          <w:sz w:val="24"/>
        </w:rPr>
        <w:t xml:space="preserve">Attiecībā uz ātras iedarbības trankvilizatoru </w:t>
      </w:r>
      <w:r>
        <w:rPr>
          <w:rFonts w:ascii="Times New Roman" w:hAnsi="Times New Roman"/>
          <w:sz w:val="24"/>
          <w:u w:val="single"/>
        </w:rPr>
        <w:t>izrakstīšanu</w:t>
      </w:r>
      <w:r>
        <w:rPr>
          <w:rFonts w:ascii="Times New Roman" w:hAnsi="Times New Roman"/>
          <w:sz w:val="24"/>
        </w:rPr>
        <w:t xml:space="preserve"> </w:t>
      </w:r>
      <w:r>
        <w:rPr>
          <w:rFonts w:ascii="Times New Roman" w:hAnsi="Times New Roman"/>
          <w:sz w:val="24"/>
          <w:u w:val="single"/>
        </w:rPr>
        <w:t xml:space="preserve">lietošanai </w:t>
      </w:r>
      <w:r>
        <w:rPr>
          <w:rFonts w:ascii="Times New Roman" w:hAnsi="Times New Roman"/>
          <w:i/>
          <w:iCs/>
          <w:sz w:val="24"/>
          <w:u w:val="single" w:color="000000"/>
        </w:rPr>
        <w:t>pro re nata</w:t>
      </w:r>
      <w:r>
        <w:rPr>
          <w:rFonts w:ascii="Times New Roman" w:hAnsi="Times New Roman"/>
          <w:i/>
          <w:iCs/>
          <w:sz w:val="24"/>
        </w:rPr>
        <w:t xml:space="preserve"> </w:t>
      </w:r>
      <w:r>
        <w:rPr>
          <w:rFonts w:ascii="Times New Roman" w:hAnsi="Times New Roman"/>
          <w:sz w:val="24"/>
        </w:rPr>
        <w:t xml:space="preserve">jāievēro īpaši drošības pasākumi, ņemot vērā obligātās prasības: jebkuri šādi līdzekļi, kas lietojami </w:t>
      </w:r>
      <w:r>
        <w:rPr>
          <w:rFonts w:ascii="Times New Roman" w:hAnsi="Times New Roman"/>
          <w:i/>
          <w:iCs/>
          <w:sz w:val="24"/>
        </w:rPr>
        <w:t>pro re nata</w:t>
      </w:r>
      <w:r>
        <w:rPr>
          <w:rFonts w:ascii="Times New Roman" w:hAnsi="Times New Roman"/>
          <w:sz w:val="24"/>
        </w:rPr>
        <w:t xml:space="preserve">, ir jāizraksta pieredzējušam ārstam, kas rūpīgi izvērtējis iemītnieka fizisko stāvokli, tos drīkst piemērot tikai ierobežotu laiku (t. i., nedēļas, nevis mēnešus), un to nepieciešamība būtu atkārtoti jāizvērtē katru reizi, kad tos lieto, vai tad, kad tiek mainītas iemītnieka zāles. Ātras iedarbības trankvilizatoru lietošana </w:t>
      </w:r>
      <w:r>
        <w:rPr>
          <w:rFonts w:ascii="Times New Roman" w:hAnsi="Times New Roman"/>
          <w:i/>
          <w:iCs/>
          <w:sz w:val="24"/>
        </w:rPr>
        <w:t>pro re nata</w:t>
      </w:r>
      <w:r>
        <w:rPr>
          <w:rFonts w:ascii="Times New Roman" w:hAnsi="Times New Roman"/>
          <w:sz w:val="24"/>
        </w:rPr>
        <w:t xml:space="preserve">, pamatojoties uz norādījumu, kuru ārsts nav nepārprotami atkārtoti apstiprinājis, var uzlikt medicīnas māsām pārāk lielu atbildību attiecībā uz iemītnieka garīgā stāvokļa novērtēšanu un atbilstošu reaģēšanu uz iespējamām komplikācijām, ja ārsta nav klāt. Komiteja uzskata, ka gadījumā, ja aprūpes personāls nevar tikt galā ar iemītnieku, kurš atrodas uzbudinātā stāvoklī, nekavējoties jāizsauc iemītnieka psihiatrs (vai dežurējošais psihiatrs), kuram tūlīt jāiejaucas, lai novērtētu iemītnieka stāvokli un dotu norādījumus par veicamajām darbībām. Tikai izņēmuma situācijās, kad aprūpes personāls nevar kontrolēt iemītnieka uzbudinājumu un tuvāko minūšu laikā psihiatra iesaistīšanās nav iespējama, var būt pamatota ātras iedarbības trankvilizatoru lietošana </w:t>
      </w:r>
      <w:r>
        <w:rPr>
          <w:rFonts w:ascii="Times New Roman" w:hAnsi="Times New Roman"/>
          <w:i/>
          <w:iCs/>
          <w:sz w:val="24"/>
        </w:rPr>
        <w:t>pro re nata</w:t>
      </w:r>
      <w:r>
        <w:rPr>
          <w:rFonts w:ascii="Times New Roman" w:hAnsi="Times New Roman"/>
          <w:sz w:val="24"/>
        </w:rPr>
        <w:t xml:space="preserve"> saskaņā ar “nosacītu” norādījumu, proti, pirms trankvilizatoru lietošanas ir jāsazinās ar ārstu (piemēram, pa tālruni) un jāapstiprina lietojuma nepieciešamība. Turklāt ārstam nekavējoties jāierodas, lai uzraudzītu iemītnieka reakciju un tiktu galā ar jebkādām komplikācijām.</w:t>
      </w:r>
      <w:r w:rsidR="00202984">
        <w:rPr>
          <w:rStyle w:val="FootnoteReference"/>
          <w:rFonts w:ascii="Times New Roman" w:hAnsi="Times New Roman" w:cs="Times New Roman"/>
          <w:noProof/>
          <w:sz w:val="24"/>
          <w:szCs w:val="24"/>
        </w:rPr>
        <w:footnoteReference w:id="34"/>
      </w:r>
    </w:p>
    <w:p w14:paraId="41EAB6CB" w14:textId="77777777" w:rsidR="004C56F2" w:rsidRPr="007B15AE" w:rsidRDefault="004C56F2" w:rsidP="007B15AE">
      <w:pPr>
        <w:jc w:val="both"/>
        <w:rPr>
          <w:rFonts w:ascii="Times New Roman" w:eastAsia="Arial Narrow" w:hAnsi="Times New Roman" w:cs="Times New Roman"/>
          <w:noProof/>
          <w:sz w:val="24"/>
          <w:szCs w:val="24"/>
        </w:rPr>
      </w:pPr>
    </w:p>
    <w:p w14:paraId="64736EE6" w14:textId="39BAE4F1" w:rsidR="004C56F2" w:rsidRPr="007B15AE" w:rsidRDefault="004C56F2" w:rsidP="007B15AE">
      <w:pPr>
        <w:pStyle w:val="Heading1"/>
        <w:ind w:left="0"/>
        <w:jc w:val="both"/>
        <w:rPr>
          <w:rFonts w:ascii="Times New Roman" w:hAnsi="Times New Roman" w:cs="Times New Roman"/>
          <w:noProof/>
          <w:color w:val="365F91"/>
          <w:sz w:val="24"/>
          <w:szCs w:val="24"/>
        </w:rPr>
      </w:pPr>
      <w:r>
        <w:rPr>
          <w:rFonts w:ascii="Times New Roman" w:hAnsi="Times New Roman"/>
          <w:color w:val="365F91"/>
          <w:sz w:val="24"/>
        </w:rPr>
        <w:t>7. Tiesiskās garantijas</w:t>
      </w:r>
    </w:p>
    <w:p w14:paraId="3B724FA3" w14:textId="77777777" w:rsidR="004C56F2" w:rsidRPr="007B15AE" w:rsidRDefault="004C56F2" w:rsidP="007B15AE">
      <w:pPr>
        <w:jc w:val="both"/>
        <w:rPr>
          <w:rFonts w:ascii="Times New Roman" w:eastAsia="Arial Narrow" w:hAnsi="Times New Roman" w:cs="Times New Roman"/>
          <w:b/>
          <w:bCs/>
          <w:noProof/>
          <w:sz w:val="24"/>
          <w:szCs w:val="24"/>
        </w:rPr>
      </w:pPr>
    </w:p>
    <w:p w14:paraId="2B65F124" w14:textId="4613B116" w:rsidR="004C56F2" w:rsidRPr="007B15AE" w:rsidRDefault="005A5A7C" w:rsidP="005A5A7C">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29. </w:t>
      </w:r>
      <w:r>
        <w:rPr>
          <w:rFonts w:ascii="Times New Roman" w:hAnsi="Times New Roman"/>
          <w:i/>
          <w:iCs/>
          <w:sz w:val="24"/>
        </w:rPr>
        <w:t>CPT</w:t>
      </w:r>
      <w:r>
        <w:rPr>
          <w:rFonts w:ascii="Times New Roman" w:hAnsi="Times New Roman"/>
          <w:sz w:val="24"/>
        </w:rPr>
        <w:t xml:space="preserve"> uzskata, ka iemītnieku </w:t>
      </w:r>
      <w:r>
        <w:rPr>
          <w:rFonts w:ascii="Times New Roman" w:hAnsi="Times New Roman"/>
          <w:b/>
          <w:bCs/>
          <w:sz w:val="24"/>
        </w:rPr>
        <w:t>piespiedu ievietošana</w:t>
      </w:r>
      <w:r>
        <w:rPr>
          <w:rFonts w:ascii="Times New Roman" w:hAnsi="Times New Roman"/>
          <w:sz w:val="24"/>
        </w:rPr>
        <w:t xml:space="preserve"> un uzturēšanās sociālās aprūpes iestādēs (tostarp situācijās, kad noteiktie ierobežojumi var nozīmēt brīvības atņemšanu </w:t>
      </w:r>
      <w:r>
        <w:rPr>
          <w:rFonts w:ascii="Times New Roman" w:hAnsi="Times New Roman"/>
          <w:i/>
          <w:iCs/>
          <w:sz w:val="24"/>
        </w:rPr>
        <w:t xml:space="preserve">de </w:t>
      </w:r>
      <w:r>
        <w:rPr>
          <w:rFonts w:ascii="Times New Roman" w:hAnsi="Times New Roman"/>
          <w:i/>
          <w:iCs/>
          <w:sz w:val="24"/>
        </w:rPr>
        <w:lastRenderedPageBreak/>
        <w:t>facto</w:t>
      </w:r>
      <w:r>
        <w:rPr>
          <w:rFonts w:ascii="Times New Roman" w:hAnsi="Times New Roman"/>
          <w:sz w:val="24"/>
        </w:rPr>
        <w:t>) jāreglamentē tiesību aktos un papildus jāievieš atbilstoši drošības pasākumi. Proti, ievietošana jāveic, pamatojoties uz objektīvu medicīnisku atzinumu, tostarp psihiatra atzinumu.</w:t>
      </w:r>
    </w:p>
    <w:p w14:paraId="00E0AC27" w14:textId="77777777" w:rsidR="004C56F2" w:rsidRPr="007B15AE" w:rsidRDefault="004C56F2" w:rsidP="007B15AE">
      <w:pPr>
        <w:jc w:val="both"/>
        <w:rPr>
          <w:rFonts w:ascii="Times New Roman" w:hAnsi="Times New Roman" w:cs="Times New Roman"/>
          <w:noProof/>
          <w:sz w:val="24"/>
          <w:szCs w:val="24"/>
        </w:rPr>
      </w:pPr>
    </w:p>
    <w:p w14:paraId="4638FEE1" w14:textId="19FC92A8" w:rsidR="004C56F2" w:rsidRPr="007B15AE" w:rsidRDefault="004C56F2" w:rsidP="007B15AE">
      <w:pPr>
        <w:pStyle w:val="BodyText"/>
        <w:ind w:left="0"/>
        <w:jc w:val="both"/>
        <w:rPr>
          <w:rFonts w:ascii="Times New Roman" w:hAnsi="Times New Roman" w:cs="Times New Roman"/>
          <w:noProof/>
          <w:sz w:val="24"/>
          <w:szCs w:val="24"/>
        </w:rPr>
      </w:pPr>
      <w:r>
        <w:rPr>
          <w:rFonts w:ascii="Times New Roman" w:hAnsi="Times New Roman"/>
          <w:sz w:val="24"/>
        </w:rPr>
        <w:t xml:space="preserve">Turklāt visiem iemītniekiem, kuri piespiedu kārtā tiek ievietoti sociālās aprūpes iestādē (tostarp situācijās, kad piemērotie ierobežojumi var nozīmēt brīvības atņemšanu </w:t>
      </w:r>
      <w:r>
        <w:rPr>
          <w:rFonts w:ascii="Times New Roman" w:hAnsi="Times New Roman"/>
          <w:i/>
          <w:iCs/>
          <w:sz w:val="24"/>
        </w:rPr>
        <w:t>de facto</w:t>
      </w:r>
      <w:r>
        <w:rPr>
          <w:rFonts w:ascii="Times New Roman" w:hAnsi="Times New Roman"/>
          <w:sz w:val="24"/>
        </w:rPr>
        <w:t xml:space="preserve">), neatkarīgi no tā, vai viņiem ir likumīgais aizbildnis, ir jābūt faktiskām tiesībām celt prasību, lai jautājums par viņu ievietošanas un uzturēšanās likumību tiktu ātri lemts un </w:t>
      </w:r>
      <w:r>
        <w:rPr>
          <w:rFonts w:ascii="Times New Roman" w:hAnsi="Times New Roman"/>
          <w:b/>
          <w:bCs/>
          <w:sz w:val="24"/>
        </w:rPr>
        <w:t>regulāri pārskatīts tiesā</w:t>
      </w:r>
      <w:r>
        <w:rPr>
          <w:rFonts w:ascii="Times New Roman" w:hAnsi="Times New Roman"/>
          <w:sz w:val="24"/>
        </w:rPr>
        <w:t>, un šajā saistībā jārada iespēja, ka iemītniekus personīgi uzklausa tiesnesis un pārstāv advokāts. Komiteja arī vēlas uzsvērt: ja tiek uzskatīts, ka konkrētam iemītniekam, kurš ir ticis uzņemts brīvprātīgi un kurš izsaka vēlmi doties projām no iestādes, joprojām nepieciešama iestādē nodrošināmā aprūpe, tad šim iemītniekam ir piemērojama tiesību aktos paredzētā piespiedu ievietošanas procedūra.</w:t>
      </w:r>
      <w:r w:rsidR="00202984">
        <w:rPr>
          <w:rStyle w:val="FootnoteReference"/>
          <w:rFonts w:ascii="Times New Roman" w:hAnsi="Times New Roman" w:cs="Times New Roman"/>
          <w:noProof/>
          <w:sz w:val="24"/>
          <w:szCs w:val="24"/>
        </w:rPr>
        <w:footnoteReference w:id="35"/>
      </w:r>
      <w:r>
        <w:rPr>
          <w:rFonts w:ascii="Times New Roman" w:hAnsi="Times New Roman"/>
          <w:sz w:val="24"/>
        </w:rPr>
        <w:t xml:space="preserve"> Ja piespiedu ievietošanas procedūras nav, jāievieš skaidrs un visaptverošs tiesiskais regulējums, kas ļautu brīvprātīgi uzņemtajiem iemītniekiem jau iepriekš minētajā veidā apstrīdēt tiesā tādu jebkuru turpmāku ierobežojumu noteikšanu, kas var būt brīvības atņemšana.</w:t>
      </w:r>
      <w:r w:rsidR="00202984">
        <w:rPr>
          <w:rStyle w:val="FootnoteReference"/>
          <w:rFonts w:ascii="Times New Roman" w:hAnsi="Times New Roman" w:cs="Times New Roman"/>
          <w:noProof/>
          <w:sz w:val="24"/>
          <w:szCs w:val="24"/>
        </w:rPr>
        <w:footnoteReference w:id="36"/>
      </w:r>
    </w:p>
    <w:p w14:paraId="1396C5C0" w14:textId="77777777" w:rsidR="004C56F2" w:rsidRPr="007B15AE" w:rsidRDefault="004C56F2" w:rsidP="007B15AE">
      <w:pPr>
        <w:jc w:val="both"/>
        <w:rPr>
          <w:rFonts w:ascii="Times New Roman" w:eastAsia="Arial Narrow" w:hAnsi="Times New Roman" w:cs="Times New Roman"/>
          <w:noProof/>
          <w:sz w:val="24"/>
          <w:szCs w:val="24"/>
        </w:rPr>
      </w:pPr>
    </w:p>
    <w:p w14:paraId="1A2D04AF" w14:textId="54A7B590" w:rsidR="004C56F2" w:rsidRPr="007B15AE" w:rsidRDefault="005A5A7C" w:rsidP="005A5A7C">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30. Piespiedu ievietošanas procedūras piemērošanas gadījumā attiecīgie iemītnieki, kā arī viņu aizbildņi ir rakstveidā jāinformē par šādas ievietošanas lēmumu un rakstveidā un mutvārdos jāinformē par lēmuma pamatojumu un šā lēmuma </w:t>
      </w:r>
      <w:r>
        <w:rPr>
          <w:rFonts w:ascii="Times New Roman" w:hAnsi="Times New Roman"/>
          <w:b/>
          <w:bCs/>
          <w:sz w:val="24"/>
        </w:rPr>
        <w:t>pārsūdzēšanas</w:t>
      </w:r>
      <w:r>
        <w:rPr>
          <w:rFonts w:ascii="Times New Roman" w:hAnsi="Times New Roman"/>
          <w:sz w:val="24"/>
        </w:rPr>
        <w:t xml:space="preserve"> veidiem/termiņiem.</w:t>
      </w:r>
      <w:r w:rsidR="00202984">
        <w:rPr>
          <w:rStyle w:val="FootnoteReference"/>
          <w:rFonts w:ascii="Times New Roman" w:hAnsi="Times New Roman" w:cs="Times New Roman"/>
          <w:noProof/>
          <w:sz w:val="24"/>
          <w:szCs w:val="24"/>
        </w:rPr>
        <w:footnoteReference w:id="37"/>
      </w:r>
    </w:p>
    <w:p w14:paraId="4C196E50" w14:textId="77777777" w:rsidR="004C56F2" w:rsidRPr="007B15AE" w:rsidRDefault="004C56F2" w:rsidP="007B15AE">
      <w:pPr>
        <w:jc w:val="both"/>
        <w:rPr>
          <w:rFonts w:ascii="Times New Roman" w:eastAsia="Arial Narrow" w:hAnsi="Times New Roman" w:cs="Times New Roman"/>
          <w:noProof/>
          <w:sz w:val="24"/>
          <w:szCs w:val="24"/>
        </w:rPr>
      </w:pPr>
    </w:p>
    <w:p w14:paraId="06A9CA82" w14:textId="03B748CD" w:rsidR="004C56F2" w:rsidRPr="007B15AE" w:rsidRDefault="005A5A7C" w:rsidP="005A5A7C">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31. Jāizstrādā </w:t>
      </w:r>
      <w:r>
        <w:rPr>
          <w:rFonts w:ascii="Times New Roman" w:hAnsi="Times New Roman"/>
          <w:b/>
          <w:bCs/>
          <w:sz w:val="24"/>
        </w:rPr>
        <w:t>informatīva brošūra</w:t>
      </w:r>
      <w:r>
        <w:rPr>
          <w:rFonts w:ascii="Times New Roman" w:hAnsi="Times New Roman"/>
          <w:sz w:val="24"/>
        </w:rPr>
        <w:t>, kurā aprakstīta iestāžu darba kārtība un iemītnieku tiesības, tostarp informācija par sūdzību izskatīšanas iestādēm un kārtību, un uzņemšanas laikā tā regulāri jāizsniedz iemītniekiem (un viņu aizbildņiem/ģimenēm). Iemītniekiem, kuri nespēj saprast brošūrā ietverto informāciju, būtu jāsniedz atbilstīga palīdzība.</w:t>
      </w:r>
      <w:r w:rsidR="00202984">
        <w:rPr>
          <w:rStyle w:val="FootnoteReference"/>
          <w:rFonts w:ascii="Times New Roman" w:hAnsi="Times New Roman" w:cs="Times New Roman"/>
          <w:noProof/>
          <w:sz w:val="24"/>
          <w:szCs w:val="24"/>
        </w:rPr>
        <w:footnoteReference w:id="38"/>
      </w:r>
    </w:p>
    <w:p w14:paraId="6031272E" w14:textId="77777777" w:rsidR="004C56F2" w:rsidRPr="007B15AE" w:rsidRDefault="004C56F2" w:rsidP="007B15AE">
      <w:pPr>
        <w:jc w:val="both"/>
        <w:rPr>
          <w:rFonts w:ascii="Times New Roman" w:eastAsia="Calibri" w:hAnsi="Times New Roman" w:cs="Times New Roman"/>
          <w:noProof/>
          <w:sz w:val="24"/>
          <w:szCs w:val="24"/>
        </w:rPr>
      </w:pPr>
    </w:p>
    <w:p w14:paraId="58B90BF1" w14:textId="6E1E231F" w:rsidR="004C56F2" w:rsidRPr="007B15AE" w:rsidRDefault="00145635" w:rsidP="00145635">
      <w:pPr>
        <w:tabs>
          <w:tab w:val="left" w:pos="834"/>
        </w:tabs>
        <w:jc w:val="both"/>
        <w:rPr>
          <w:rFonts w:ascii="Times New Roman" w:eastAsia="Arial Narrow" w:hAnsi="Times New Roman" w:cs="Times New Roman"/>
          <w:noProof/>
          <w:sz w:val="24"/>
          <w:szCs w:val="24"/>
        </w:rPr>
      </w:pPr>
      <w:r>
        <w:rPr>
          <w:rFonts w:ascii="Times New Roman" w:hAnsi="Times New Roman"/>
          <w:sz w:val="24"/>
        </w:rPr>
        <w:t xml:space="preserve">32. </w:t>
      </w:r>
      <w:r>
        <w:rPr>
          <w:rFonts w:ascii="Times New Roman" w:hAnsi="Times New Roman"/>
          <w:i/>
          <w:iCs/>
          <w:sz w:val="24"/>
        </w:rPr>
        <w:t>CPT</w:t>
      </w:r>
      <w:r>
        <w:rPr>
          <w:rFonts w:ascii="Times New Roman" w:hAnsi="Times New Roman"/>
          <w:sz w:val="24"/>
        </w:rPr>
        <w:t xml:space="preserve"> ir nopietnas bažas par praksi, kas novērota dažādās valstīs, proti, ka </w:t>
      </w:r>
      <w:r>
        <w:rPr>
          <w:rFonts w:ascii="Times New Roman" w:hAnsi="Times New Roman"/>
          <w:b/>
          <w:bCs/>
          <w:sz w:val="24"/>
        </w:rPr>
        <w:t>aizbildnība</w:t>
      </w:r>
      <w:r>
        <w:rPr>
          <w:rFonts w:ascii="Times New Roman" w:hAnsi="Times New Roman"/>
          <w:sz w:val="24"/>
        </w:rPr>
        <w:t xml:space="preserve"> tiek uzticēta tās pašas iestādes personālam, kurā atrodas rīcībnespējīgā persona, jo šāda situācija var viegli radīt interešu konfliktu un negatīvi ietekmēt aizbildņa neatkarību un objektivitāti. Jārod alternatīvi risinājumi, kas efektīvāk nodrošinātu aizbildņu neatkarību un objektivitāti.</w:t>
      </w:r>
      <w:r>
        <w:rPr>
          <w:rStyle w:val="FootnoteReference"/>
          <w:rFonts w:ascii="Times New Roman" w:hAnsi="Times New Roman" w:cs="Times New Roman"/>
          <w:noProof/>
          <w:sz w:val="24"/>
          <w:szCs w:val="24"/>
        </w:rPr>
        <w:footnoteReference w:id="39"/>
      </w:r>
    </w:p>
    <w:p w14:paraId="4E0BFC89" w14:textId="77777777" w:rsidR="004C56F2" w:rsidRPr="007B15AE" w:rsidRDefault="004C56F2" w:rsidP="007B15AE">
      <w:pPr>
        <w:jc w:val="both"/>
        <w:rPr>
          <w:rFonts w:ascii="Times New Roman" w:eastAsia="Arial Narrow" w:hAnsi="Times New Roman" w:cs="Times New Roman"/>
          <w:noProof/>
          <w:sz w:val="24"/>
          <w:szCs w:val="24"/>
        </w:rPr>
      </w:pPr>
    </w:p>
    <w:p w14:paraId="3CE3E165" w14:textId="02CD0F03" w:rsidR="004C56F2" w:rsidRPr="007B15AE" w:rsidRDefault="00145635" w:rsidP="00145635">
      <w:pPr>
        <w:tabs>
          <w:tab w:val="left" w:pos="834"/>
        </w:tabs>
        <w:jc w:val="both"/>
        <w:rPr>
          <w:rFonts w:ascii="Times New Roman" w:eastAsia="Arial Narrow" w:hAnsi="Times New Roman" w:cs="Times New Roman"/>
          <w:noProof/>
          <w:sz w:val="24"/>
          <w:szCs w:val="24"/>
        </w:rPr>
      </w:pPr>
      <w:r>
        <w:rPr>
          <w:rFonts w:ascii="Times New Roman" w:hAnsi="Times New Roman"/>
          <w:sz w:val="24"/>
        </w:rPr>
        <w:t xml:space="preserve">33. </w:t>
      </w:r>
      <w:r>
        <w:rPr>
          <w:rFonts w:ascii="Times New Roman" w:hAnsi="Times New Roman"/>
          <w:i/>
          <w:iCs/>
          <w:sz w:val="24"/>
        </w:rPr>
        <w:t>CPT</w:t>
      </w:r>
      <w:r>
        <w:rPr>
          <w:rFonts w:ascii="Times New Roman" w:hAnsi="Times New Roman"/>
          <w:sz w:val="24"/>
        </w:rPr>
        <w:t xml:space="preserve"> vēlas uzsvērt efektīvu </w:t>
      </w:r>
      <w:r>
        <w:rPr>
          <w:rFonts w:ascii="Times New Roman" w:hAnsi="Times New Roman"/>
          <w:b/>
          <w:bCs/>
          <w:sz w:val="24"/>
        </w:rPr>
        <w:t>sūdzību iesniegšanas un pārbaudes procedūru</w:t>
      </w:r>
      <w:r>
        <w:rPr>
          <w:rFonts w:ascii="Times New Roman" w:hAnsi="Times New Roman"/>
          <w:sz w:val="24"/>
        </w:rPr>
        <w:t xml:space="preserve"> nozīmi, jo tās ir pamata drošības pasākumi, lai novērstu sliktu izturēšanos pret iemītniekiem.</w:t>
      </w:r>
    </w:p>
    <w:p w14:paraId="0D4AC06D" w14:textId="77777777" w:rsidR="004C56F2" w:rsidRPr="007B15AE" w:rsidRDefault="004C56F2" w:rsidP="007B15AE">
      <w:pPr>
        <w:jc w:val="both"/>
        <w:rPr>
          <w:rFonts w:ascii="Times New Roman" w:eastAsia="Arial Narrow" w:hAnsi="Times New Roman" w:cs="Times New Roman"/>
          <w:noProof/>
          <w:sz w:val="24"/>
          <w:szCs w:val="24"/>
        </w:rPr>
      </w:pPr>
    </w:p>
    <w:p w14:paraId="07C4DC2F" w14:textId="49EEE398" w:rsidR="004C56F2" w:rsidRPr="007B15AE" w:rsidRDefault="00145635" w:rsidP="00145635">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34. Visās sociālās aprūpes iestādēs jābūt efektīvam </w:t>
      </w:r>
      <w:r>
        <w:rPr>
          <w:rFonts w:ascii="Times New Roman" w:hAnsi="Times New Roman"/>
          <w:sz w:val="24"/>
          <w:u w:val="single"/>
        </w:rPr>
        <w:t>iekšējam sūdzību iesniegšanas</w:t>
      </w:r>
      <w:r>
        <w:rPr>
          <w:rFonts w:ascii="Times New Roman" w:hAnsi="Times New Roman"/>
          <w:sz w:val="24"/>
        </w:rPr>
        <w:t xml:space="preserve"> mehānismam, un iemītniekiem jābūt arī iespējai iesniegt sūdzības </w:t>
      </w:r>
      <w:r>
        <w:rPr>
          <w:rFonts w:ascii="Times New Roman" w:hAnsi="Times New Roman"/>
          <w:sz w:val="24"/>
          <w:u w:val="single"/>
        </w:rPr>
        <w:t>neatkarīgai ārējai institūcijai</w:t>
      </w:r>
      <w:r>
        <w:rPr>
          <w:rFonts w:ascii="Times New Roman" w:hAnsi="Times New Roman"/>
          <w:sz w:val="24"/>
        </w:rPr>
        <w:t>, kas ir pilnvarota nepastarpināti saņemt konfidenciālas sūdzības un sniegt nepieciešamos ieteikumus. Iestādes administrācijai adresētas sūdzības jāreģistrē īpašā reģistrā.</w:t>
      </w:r>
      <w:r w:rsidR="00CD00FD">
        <w:rPr>
          <w:rStyle w:val="FootnoteReference"/>
          <w:rFonts w:ascii="Times New Roman" w:hAnsi="Times New Roman" w:cs="Times New Roman"/>
          <w:noProof/>
          <w:sz w:val="24"/>
          <w:szCs w:val="24"/>
        </w:rPr>
        <w:footnoteReference w:id="40"/>
      </w:r>
    </w:p>
    <w:p w14:paraId="263FAE99" w14:textId="77777777" w:rsidR="004C56F2" w:rsidRPr="007B15AE" w:rsidRDefault="004C56F2" w:rsidP="007B15AE">
      <w:pPr>
        <w:jc w:val="both"/>
        <w:rPr>
          <w:rFonts w:ascii="Times New Roman" w:eastAsia="Arial Narrow" w:hAnsi="Times New Roman" w:cs="Times New Roman"/>
          <w:noProof/>
          <w:sz w:val="24"/>
          <w:szCs w:val="24"/>
        </w:rPr>
      </w:pPr>
    </w:p>
    <w:p w14:paraId="7419EDE8" w14:textId="6E673BC1" w:rsidR="004C56F2" w:rsidRPr="007B15AE" w:rsidRDefault="00145635" w:rsidP="00145635">
      <w:pPr>
        <w:pStyle w:val="BodyText"/>
        <w:tabs>
          <w:tab w:val="left" w:pos="834"/>
        </w:tabs>
        <w:ind w:left="0"/>
        <w:jc w:val="both"/>
        <w:rPr>
          <w:rFonts w:ascii="Times New Roman" w:hAnsi="Times New Roman" w:cs="Times New Roman"/>
          <w:noProof/>
          <w:sz w:val="24"/>
          <w:szCs w:val="24"/>
        </w:rPr>
      </w:pPr>
      <w:r>
        <w:rPr>
          <w:rFonts w:ascii="Times New Roman" w:hAnsi="Times New Roman"/>
          <w:sz w:val="24"/>
        </w:rPr>
        <w:t xml:space="preserve">35. Turklāt </w:t>
      </w:r>
      <w:r>
        <w:rPr>
          <w:rFonts w:ascii="Times New Roman" w:hAnsi="Times New Roman"/>
          <w:sz w:val="24"/>
          <w:u w:val="single"/>
        </w:rPr>
        <w:t>neatkarīgai ārējai institūcijai regulāri jāapmeklē</w:t>
      </w:r>
      <w:r>
        <w:rPr>
          <w:rFonts w:ascii="Times New Roman" w:hAnsi="Times New Roman"/>
          <w:sz w:val="24"/>
        </w:rPr>
        <w:t xml:space="preserve"> visas sociālās aprūpes iestādes. Šai institūcijai īpaši jābūt pilnvarotai runāt ar iemītniekiem bez citu personu klātbūtnes un </w:t>
      </w:r>
      <w:r>
        <w:rPr>
          <w:rFonts w:ascii="Times New Roman" w:hAnsi="Times New Roman"/>
          <w:sz w:val="24"/>
        </w:rPr>
        <w:lastRenderedPageBreak/>
        <w:t>sniegt ieteikumus, lai uzlabotu iemītniekiem sniegto aprūpi un apstākļus. Līdztekus valstu preventīvajiem mehānismiem un tiesībsarga institūcijām šajā saistībā būtiska nozīme var būt arī pilsoniskās sabiedrības dalībniekiem.</w:t>
      </w:r>
      <w:r w:rsidR="00CD00FD">
        <w:rPr>
          <w:rStyle w:val="FootnoteReference"/>
          <w:rFonts w:ascii="Times New Roman" w:hAnsi="Times New Roman" w:cs="Times New Roman"/>
          <w:noProof/>
          <w:sz w:val="24"/>
          <w:szCs w:val="24"/>
        </w:rPr>
        <w:footnoteReference w:id="41"/>
      </w:r>
    </w:p>
    <w:p w14:paraId="67358882" w14:textId="332AF327" w:rsidR="004C56F2" w:rsidRPr="00145635" w:rsidRDefault="004C56F2" w:rsidP="007B15AE">
      <w:pPr>
        <w:tabs>
          <w:tab w:val="left" w:pos="833"/>
        </w:tabs>
        <w:jc w:val="both"/>
        <w:rPr>
          <w:rFonts w:ascii="Times New Roman" w:eastAsia="Calibri" w:hAnsi="Times New Roman" w:cs="Times New Roman"/>
          <w:noProof/>
          <w:sz w:val="20"/>
          <w:szCs w:val="20"/>
        </w:rPr>
      </w:pPr>
    </w:p>
    <w:sectPr w:rsidR="004C56F2" w:rsidRPr="00145635" w:rsidSect="00676077">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7E63" w14:textId="77777777" w:rsidR="00CE7BD4" w:rsidRPr="004C56F2" w:rsidRDefault="00CE7BD4">
      <w:pPr>
        <w:rPr>
          <w:noProof/>
        </w:rPr>
      </w:pPr>
      <w:r w:rsidRPr="004C56F2">
        <w:rPr>
          <w:noProof/>
        </w:rPr>
        <w:separator/>
      </w:r>
    </w:p>
  </w:endnote>
  <w:endnote w:type="continuationSeparator" w:id="0">
    <w:p w14:paraId="52A693E8" w14:textId="77777777" w:rsidR="00CE7BD4" w:rsidRPr="004C56F2" w:rsidRDefault="00CE7BD4">
      <w:pPr>
        <w:rPr>
          <w:noProof/>
        </w:rPr>
      </w:pPr>
      <w:r w:rsidRPr="004C56F2">
        <w:rPr>
          <w:noProof/>
        </w:rPr>
        <w:continuationSeparator/>
      </w:r>
    </w:p>
  </w:endnote>
  <w:endnote w:type="continuationNotice" w:id="1">
    <w:p w14:paraId="73322B5B" w14:textId="77777777" w:rsidR="00C53ECB" w:rsidRDefault="00C53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5B24" w14:textId="77777777" w:rsidR="00890BB0" w:rsidRPr="003E47FA" w:rsidRDefault="00890BB0" w:rsidP="00890BB0">
    <w:pPr>
      <w:pStyle w:val="Header"/>
      <w:tabs>
        <w:tab w:val="left" w:pos="9072"/>
      </w:tabs>
      <w:jc w:val="both"/>
      <w:rPr>
        <w:rStyle w:val="PageNumber"/>
        <w:rFonts w:ascii="Times New Roman" w:hAnsi="Times New Roman" w:cs="Times New Roman"/>
        <w:sz w:val="20"/>
        <w:szCs w:val="20"/>
      </w:rPr>
    </w:pPr>
  </w:p>
  <w:p w14:paraId="7C553F9A" w14:textId="77777777" w:rsidR="00890BB0" w:rsidRPr="003E47FA" w:rsidRDefault="00890BB0" w:rsidP="00890BB0">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6D75FABE" w14:textId="77777777" w:rsidR="00890BB0" w:rsidRPr="003E47FA" w:rsidRDefault="00890BB0" w:rsidP="00890BB0">
    <w:pPr>
      <w:pStyle w:val="Header"/>
      <w:tabs>
        <w:tab w:val="right" w:pos="9072"/>
      </w:tabs>
      <w:jc w:val="both"/>
      <w:rPr>
        <w:rStyle w:val="PageNumber"/>
        <w:rFonts w:ascii="Times New Roman" w:hAnsi="Times New Roman" w:cs="Times New Roman"/>
        <w:sz w:val="20"/>
        <w:szCs w:val="20"/>
      </w:rPr>
    </w:pPr>
  </w:p>
  <w:p w14:paraId="269769F4" w14:textId="0E964CAF" w:rsidR="00332619" w:rsidRPr="00890BB0" w:rsidRDefault="00890BB0" w:rsidP="00890BB0">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sidR="00E368C9">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6A28" w14:textId="77777777" w:rsidR="00E6798C" w:rsidRPr="003F25D0" w:rsidRDefault="00E6798C" w:rsidP="00E6798C">
    <w:pPr>
      <w:pStyle w:val="Header"/>
      <w:tabs>
        <w:tab w:val="left" w:pos="9072"/>
      </w:tabs>
      <w:jc w:val="both"/>
      <w:rPr>
        <w:rStyle w:val="PageNumber"/>
        <w:rFonts w:ascii="Times New Roman" w:hAnsi="Times New Roman"/>
        <w:sz w:val="20"/>
        <w:szCs w:val="18"/>
      </w:rPr>
    </w:pPr>
  </w:p>
  <w:p w14:paraId="01806D42" w14:textId="77777777" w:rsidR="00E6798C" w:rsidRPr="003F25D0" w:rsidRDefault="00E6798C" w:rsidP="00E6798C">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36EC1F98" w14:textId="77777777" w:rsidR="00E6798C" w:rsidRPr="003F25D0" w:rsidRDefault="00E6798C" w:rsidP="00E6798C">
    <w:pPr>
      <w:pStyle w:val="Header"/>
      <w:tabs>
        <w:tab w:val="left" w:pos="9072"/>
      </w:tabs>
      <w:jc w:val="both"/>
      <w:rPr>
        <w:rStyle w:val="PageNumber"/>
        <w:rFonts w:ascii="Times New Roman" w:hAnsi="Times New Roman"/>
        <w:sz w:val="20"/>
        <w:szCs w:val="18"/>
      </w:rPr>
    </w:pPr>
  </w:p>
  <w:p w14:paraId="1B84E0EA" w14:textId="31EB9F05" w:rsidR="00E6798C" w:rsidRPr="003F25D0" w:rsidRDefault="00E6798C" w:rsidP="00E6798C">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202</w:t>
    </w:r>
    <w:r w:rsidR="00E368C9">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CA57" w14:textId="77777777" w:rsidR="00CE7BD4" w:rsidRPr="004C56F2" w:rsidRDefault="00CE7BD4">
      <w:pPr>
        <w:rPr>
          <w:noProof/>
        </w:rPr>
      </w:pPr>
      <w:r w:rsidRPr="004C56F2">
        <w:rPr>
          <w:noProof/>
        </w:rPr>
        <w:separator/>
      </w:r>
    </w:p>
  </w:footnote>
  <w:footnote w:type="continuationSeparator" w:id="0">
    <w:p w14:paraId="27B394A7" w14:textId="77777777" w:rsidR="00CE7BD4" w:rsidRPr="004C56F2" w:rsidRDefault="00CE7BD4">
      <w:pPr>
        <w:rPr>
          <w:noProof/>
        </w:rPr>
      </w:pPr>
      <w:r w:rsidRPr="004C56F2">
        <w:rPr>
          <w:noProof/>
        </w:rPr>
        <w:continuationSeparator/>
      </w:r>
    </w:p>
  </w:footnote>
  <w:footnote w:type="continuationNotice" w:id="1">
    <w:p w14:paraId="57AAB709" w14:textId="77777777" w:rsidR="00C53ECB" w:rsidRDefault="00C53ECB"/>
  </w:footnote>
  <w:footnote w:id="2">
    <w:p w14:paraId="5F9BF8BF" w14:textId="009B36C7" w:rsidR="00327A8A" w:rsidRPr="0099613E" w:rsidRDefault="00327A8A">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Šajā saistībā skatīt Konvencijas paskaidrojošā ziņojuma 28. un 32. punktu.</w:t>
      </w:r>
    </w:p>
  </w:footnote>
  <w:footnote w:id="3">
    <w:p w14:paraId="4C78C526" w14:textId="5D8E1582" w:rsidR="00AE6142" w:rsidRPr="00AE6142" w:rsidRDefault="00AE6142">
      <w:pPr>
        <w:pStyle w:val="FootnoteText"/>
      </w:pPr>
      <w:r>
        <w:rPr>
          <w:rStyle w:val="FootnoteReference"/>
          <w:rFonts w:ascii="Times New Roman" w:hAnsi="Times New Roman" w:cs="Times New Roman"/>
        </w:rPr>
        <w:footnoteRef/>
      </w:r>
      <w:r>
        <w:rPr>
          <w:rFonts w:ascii="Times New Roman" w:hAnsi="Times New Roman"/>
        </w:rPr>
        <w:t xml:space="preserve"> Skatīt, piemēram, Lielās palātas 2012. gada 17. janvāra sprieduma lietā Nr. 36760/06 “Staņevs [</w:t>
      </w:r>
      <w:r>
        <w:rPr>
          <w:rFonts w:ascii="Times New Roman" w:hAnsi="Times New Roman"/>
          <w:i/>
          <w:iCs/>
        </w:rPr>
        <w:t>Stanev</w:t>
      </w:r>
      <w:r>
        <w:rPr>
          <w:rFonts w:ascii="Times New Roman" w:hAnsi="Times New Roman"/>
        </w:rPr>
        <w:t>] pret Bulgāriju” 132. punktu un 2016. gada 13. oktobra sprieduma lietā Nr. 62507/12 “Červenka [</w:t>
      </w:r>
      <w:r>
        <w:rPr>
          <w:rFonts w:ascii="Times New Roman" w:hAnsi="Times New Roman"/>
          <w:i/>
          <w:iCs/>
        </w:rPr>
        <w:t>Červenka</w:t>
      </w:r>
      <w:r>
        <w:rPr>
          <w:rFonts w:ascii="Times New Roman" w:hAnsi="Times New Roman"/>
        </w:rPr>
        <w:t>] pret Čehijas Republiku” 103. un 104. punktu.</w:t>
      </w:r>
    </w:p>
  </w:footnote>
  <w:footnote w:id="4">
    <w:p w14:paraId="629927EB" w14:textId="68001310" w:rsidR="0099613E" w:rsidRPr="0099613E" w:rsidRDefault="0099613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Vācija: 2000. gada </w:t>
      </w:r>
      <w:r w:rsidR="00DD4358" w:rsidRPr="00DD4358">
        <w:rPr>
          <w:rFonts w:ascii="Times New Roman" w:hAnsi="Times New Roman"/>
          <w:u w:color="0000FF"/>
        </w:rPr>
        <w:t>vizīte</w:t>
      </w:r>
      <w:r>
        <w:rPr>
          <w:rFonts w:ascii="Times New Roman" w:hAnsi="Times New Roman"/>
          <w:u w:color="0000FF"/>
        </w:rPr>
        <w:t>, 153. punkts.</w:t>
      </w:r>
    </w:p>
  </w:footnote>
  <w:footnote w:id="5">
    <w:p w14:paraId="1CF6864B" w14:textId="443C95C9" w:rsidR="0099613E" w:rsidRPr="0099613E" w:rsidRDefault="0099613E">
      <w:pPr>
        <w:pStyle w:val="FootnoteText"/>
      </w:pPr>
      <w:r>
        <w:rPr>
          <w:rStyle w:val="FootnoteReference"/>
          <w:rFonts w:ascii="Times New Roman" w:hAnsi="Times New Roman" w:cs="Times New Roman"/>
        </w:rPr>
        <w:footnoteRef/>
      </w:r>
      <w:r w:rsidR="00AA6B1B">
        <w:t xml:space="preserve"> </w:t>
      </w:r>
      <w:r>
        <w:rPr>
          <w:rFonts w:ascii="Times New Roman" w:hAnsi="Times New Roman"/>
        </w:rPr>
        <w:t xml:space="preserve">Azerbaidžāna: 2016. gada </w:t>
      </w:r>
      <w:r w:rsidR="00BE3A8F" w:rsidRPr="00BE3A8F">
        <w:rPr>
          <w:rFonts w:ascii="Times New Roman" w:hAnsi="Times New Roman"/>
        </w:rPr>
        <w:t>vizīte</w:t>
      </w:r>
      <w:r>
        <w:rPr>
          <w:rFonts w:ascii="Times New Roman" w:hAnsi="Times New Roman"/>
        </w:rPr>
        <w:t xml:space="preserve">, 187. punkts; Bosnija un Hercegovina: 2007. gada </w:t>
      </w:r>
      <w:r w:rsidR="00BE3A8F" w:rsidRPr="00BE3A8F">
        <w:rPr>
          <w:rFonts w:ascii="Times New Roman" w:hAnsi="Times New Roman"/>
        </w:rPr>
        <w:t>vizīte</w:t>
      </w:r>
      <w:r>
        <w:rPr>
          <w:rFonts w:ascii="Times New Roman" w:hAnsi="Times New Roman"/>
        </w:rPr>
        <w:t>, 110. punkts.</w:t>
      </w:r>
    </w:p>
  </w:footnote>
  <w:footnote w:id="6">
    <w:p w14:paraId="69743DD3" w14:textId="71BC7B9F" w:rsidR="0099613E" w:rsidRPr="00A32892" w:rsidRDefault="0099613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Latvija: 2016. gada </w:t>
      </w:r>
      <w:r w:rsidR="00BE3A8F" w:rsidRPr="00BE3A8F">
        <w:rPr>
          <w:rFonts w:ascii="Times New Roman" w:hAnsi="Times New Roman"/>
          <w:u w:color="0000FF"/>
        </w:rPr>
        <w:t>vizīte</w:t>
      </w:r>
      <w:r>
        <w:rPr>
          <w:rFonts w:ascii="Times New Roman" w:hAnsi="Times New Roman"/>
        </w:rPr>
        <w:t>, 142. punkts.</w:t>
      </w:r>
    </w:p>
  </w:footnote>
  <w:footnote w:id="7">
    <w:p w14:paraId="70AEE1C3" w14:textId="16330C24" w:rsidR="0099613E" w:rsidRPr="00A32892" w:rsidRDefault="0099613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Īrija: 2019. gada </w:t>
      </w:r>
      <w:r w:rsidR="00BE3A8F" w:rsidRPr="00BE3A8F">
        <w:rPr>
          <w:rFonts w:ascii="Times New Roman" w:hAnsi="Times New Roman"/>
          <w:u w:color="0000FF"/>
        </w:rPr>
        <w:t>vizīte</w:t>
      </w:r>
      <w:r>
        <w:rPr>
          <w:rFonts w:ascii="Times New Roman" w:hAnsi="Times New Roman"/>
          <w:u w:color="0000FF"/>
        </w:rPr>
        <w:t>, 138. punkts.</w:t>
      </w:r>
    </w:p>
  </w:footnote>
  <w:footnote w:id="8">
    <w:p w14:paraId="0594B793" w14:textId="373B0D37" w:rsidR="0099613E" w:rsidRPr="00A32892" w:rsidRDefault="0099613E" w:rsidP="002F485D">
      <w:pPr>
        <w:tabs>
          <w:tab w:val="left" w:pos="833"/>
        </w:tabs>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color="0000FF"/>
        </w:rPr>
        <w:t xml:space="preserve">Bulgārija: 2017. gada </w:t>
      </w:r>
      <w:r w:rsidR="00BE3A8F" w:rsidRPr="00BE3A8F">
        <w:rPr>
          <w:rFonts w:ascii="Times New Roman" w:hAnsi="Times New Roman"/>
          <w:sz w:val="20"/>
          <w:u w:color="0000FF"/>
        </w:rPr>
        <w:t>vizīte</w:t>
      </w:r>
      <w:r>
        <w:rPr>
          <w:rFonts w:ascii="Times New Roman" w:hAnsi="Times New Roman"/>
          <w:sz w:val="20"/>
        </w:rPr>
        <w:t xml:space="preserve">, 153. punkts; </w:t>
      </w:r>
      <w:r>
        <w:rPr>
          <w:rFonts w:ascii="Times New Roman" w:hAnsi="Times New Roman"/>
          <w:sz w:val="20"/>
          <w:u w:color="0000FF"/>
        </w:rPr>
        <w:t xml:space="preserve">Krievijas Federācija: 2018. gada </w:t>
      </w:r>
      <w:r w:rsidR="00BE3A8F" w:rsidRPr="00BE3A8F">
        <w:rPr>
          <w:rFonts w:ascii="Times New Roman" w:hAnsi="Times New Roman"/>
          <w:sz w:val="20"/>
          <w:u w:color="0000FF"/>
        </w:rPr>
        <w:t>vizīte</w:t>
      </w:r>
      <w:r>
        <w:rPr>
          <w:rFonts w:ascii="Times New Roman" w:hAnsi="Times New Roman"/>
          <w:sz w:val="20"/>
          <w:u w:color="0000FF"/>
        </w:rPr>
        <w:t>,</w:t>
      </w:r>
      <w:r>
        <w:rPr>
          <w:rFonts w:ascii="Times New Roman" w:hAnsi="Times New Roman"/>
          <w:sz w:val="20"/>
        </w:rPr>
        <w:t xml:space="preserve"> 84. punkts.</w:t>
      </w:r>
    </w:p>
  </w:footnote>
  <w:footnote w:id="9">
    <w:p w14:paraId="3CE405A1" w14:textId="4627D436" w:rsidR="002F485D" w:rsidRPr="00A32892" w:rsidRDefault="002F485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Skat. </w:t>
      </w:r>
      <w:r>
        <w:rPr>
          <w:rFonts w:ascii="Times New Roman" w:hAnsi="Times New Roman"/>
          <w:i/>
          <w:iCs/>
        </w:rPr>
        <w:t>CPT</w:t>
      </w:r>
      <w:r>
        <w:rPr>
          <w:rFonts w:ascii="Times New Roman" w:hAnsi="Times New Roman"/>
        </w:rPr>
        <w:t xml:space="preserve"> 8. vispārējā ziņojuma (CPT/Inf (1998) 12) 32.–36. punktu.</w:t>
      </w:r>
    </w:p>
  </w:footnote>
  <w:footnote w:id="10">
    <w:p w14:paraId="5C643979" w14:textId="2669F73E" w:rsidR="00A32892" w:rsidRPr="00A32892" w:rsidRDefault="00A32892">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Moldova: 2020. gada </w:t>
      </w:r>
      <w:r w:rsidR="002D49DC" w:rsidRPr="002D49DC">
        <w:rPr>
          <w:rFonts w:ascii="Times New Roman" w:hAnsi="Times New Roman"/>
          <w:u w:color="0000FF"/>
        </w:rPr>
        <w:t>vizīte</w:t>
      </w:r>
      <w:r>
        <w:rPr>
          <w:rFonts w:ascii="Times New Roman" w:hAnsi="Times New Roman"/>
        </w:rPr>
        <w:t>, 161. un 164. punkts.</w:t>
      </w:r>
    </w:p>
  </w:footnote>
  <w:footnote w:id="11">
    <w:p w14:paraId="638DAD33" w14:textId="5F9B20CD" w:rsidR="00A32892" w:rsidRPr="00A32892" w:rsidRDefault="00A3289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Azerbaidžāna: 2013. gada </w:t>
      </w:r>
      <w:r w:rsidR="002D49DC" w:rsidRPr="002D49DC">
        <w:rPr>
          <w:rFonts w:ascii="Times New Roman" w:hAnsi="Times New Roman"/>
          <w:u w:color="0000FF"/>
        </w:rPr>
        <w:t>vizīte</w:t>
      </w:r>
      <w:r>
        <w:rPr>
          <w:rFonts w:ascii="Times New Roman" w:hAnsi="Times New Roman"/>
        </w:rPr>
        <w:t>, 53. punkts.</w:t>
      </w:r>
    </w:p>
  </w:footnote>
  <w:footnote w:id="12">
    <w:p w14:paraId="26CD39E6" w14:textId="57CF2FF4" w:rsidR="00A32892" w:rsidRPr="00A32892" w:rsidRDefault="00A32892">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Moldova: 2020. gada </w:t>
      </w:r>
      <w:r w:rsidR="002D49DC" w:rsidRPr="002D49DC">
        <w:rPr>
          <w:rFonts w:ascii="Times New Roman" w:hAnsi="Times New Roman"/>
          <w:u w:color="0000FF"/>
        </w:rPr>
        <w:t>vizīte</w:t>
      </w:r>
      <w:r>
        <w:rPr>
          <w:rFonts w:ascii="Times New Roman" w:hAnsi="Times New Roman"/>
        </w:rPr>
        <w:t>, 164. punkts.</w:t>
      </w:r>
    </w:p>
  </w:footnote>
  <w:footnote w:id="13">
    <w:p w14:paraId="7064ACCA" w14:textId="65347D5C" w:rsidR="00B845CE" w:rsidRPr="00B845CE" w:rsidRDefault="00B845CE" w:rsidP="00B845CE">
      <w:pPr>
        <w:tabs>
          <w:tab w:val="left" w:pos="833"/>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color="0000FF"/>
        </w:rPr>
        <w:t xml:space="preserve">Ungārija: 2018. gada </w:t>
      </w:r>
      <w:r w:rsidR="002D49DC" w:rsidRPr="002D49DC">
        <w:rPr>
          <w:rFonts w:ascii="Times New Roman" w:hAnsi="Times New Roman"/>
          <w:sz w:val="20"/>
          <w:u w:color="0000FF"/>
        </w:rPr>
        <w:t>vizīte</w:t>
      </w:r>
      <w:r>
        <w:rPr>
          <w:rFonts w:ascii="Times New Roman" w:hAnsi="Times New Roman"/>
          <w:sz w:val="20"/>
        </w:rPr>
        <w:t>, 133. punkts.</w:t>
      </w:r>
    </w:p>
  </w:footnote>
  <w:footnote w:id="14">
    <w:p w14:paraId="589A2227" w14:textId="638DD1D0" w:rsidR="00B845CE" w:rsidRPr="00B845CE" w:rsidRDefault="00B845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Ziemeļmaķedonija</w:t>
      </w:r>
      <w:r>
        <w:rPr>
          <w:rFonts w:ascii="Times New Roman" w:hAnsi="Times New Roman"/>
          <w:u w:color="0000FF"/>
        </w:rPr>
        <w:t xml:space="preserve">: 2002. gada novembra </w:t>
      </w:r>
      <w:r w:rsidR="002D49DC" w:rsidRPr="002D49DC">
        <w:rPr>
          <w:rFonts w:ascii="Times New Roman" w:hAnsi="Times New Roman"/>
          <w:u w:color="0000FF"/>
        </w:rPr>
        <w:t>vizīte</w:t>
      </w:r>
      <w:r>
        <w:rPr>
          <w:rFonts w:ascii="Times New Roman" w:hAnsi="Times New Roman"/>
        </w:rPr>
        <w:t>, 100. punkts.</w:t>
      </w:r>
    </w:p>
  </w:footnote>
  <w:footnote w:id="15">
    <w:p w14:paraId="1F73D350" w14:textId="09EA6039" w:rsidR="00B845CE" w:rsidRPr="00B845CE" w:rsidRDefault="00B845CE" w:rsidP="00B845CE">
      <w:pPr>
        <w:tabs>
          <w:tab w:val="left" w:pos="833"/>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color="0000FF"/>
        </w:rPr>
        <w:t xml:space="preserve">Ukraina: 2017. gada </w:t>
      </w:r>
      <w:r w:rsidR="002D49DC" w:rsidRPr="002D49DC">
        <w:rPr>
          <w:rFonts w:ascii="Times New Roman" w:hAnsi="Times New Roman"/>
          <w:sz w:val="20"/>
          <w:u w:color="0000FF"/>
        </w:rPr>
        <w:t>vizīte</w:t>
      </w:r>
      <w:r>
        <w:rPr>
          <w:rFonts w:ascii="Times New Roman" w:hAnsi="Times New Roman"/>
          <w:sz w:val="20"/>
        </w:rPr>
        <w:t>, 160. punkts.</w:t>
      </w:r>
    </w:p>
  </w:footnote>
  <w:footnote w:id="16">
    <w:p w14:paraId="6E0A643B" w14:textId="4AABADA6" w:rsidR="00B845CE" w:rsidRPr="00B845CE" w:rsidRDefault="00B845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Moldova: 2020. gada </w:t>
      </w:r>
      <w:r w:rsidR="002D49DC" w:rsidRPr="002D49DC">
        <w:rPr>
          <w:rFonts w:ascii="Times New Roman" w:hAnsi="Times New Roman"/>
          <w:u w:color="0000FF"/>
        </w:rPr>
        <w:t>vizīte</w:t>
      </w:r>
      <w:r>
        <w:rPr>
          <w:rFonts w:ascii="Times New Roman" w:hAnsi="Times New Roman"/>
        </w:rPr>
        <w:t>, 167. punkts.</w:t>
      </w:r>
    </w:p>
  </w:footnote>
  <w:footnote w:id="17">
    <w:p w14:paraId="507E10AB" w14:textId="7E846142" w:rsidR="00B845CE" w:rsidRPr="00B845CE" w:rsidRDefault="00B845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Bulgārija: 2017. gada </w:t>
      </w:r>
      <w:r w:rsidR="002D49DC" w:rsidRPr="002D49DC">
        <w:rPr>
          <w:rFonts w:ascii="Times New Roman" w:hAnsi="Times New Roman"/>
          <w:u w:color="0000FF"/>
        </w:rPr>
        <w:t>vizīte</w:t>
      </w:r>
      <w:r>
        <w:rPr>
          <w:rFonts w:ascii="Times New Roman" w:hAnsi="Times New Roman"/>
        </w:rPr>
        <w:t>, 166. punkts.</w:t>
      </w:r>
    </w:p>
  </w:footnote>
  <w:footnote w:id="18">
    <w:p w14:paraId="1933C73F" w14:textId="16D537E0" w:rsidR="00B845CE" w:rsidRPr="00B845CE" w:rsidRDefault="00B845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Ukraina: 2019. gada </w:t>
      </w:r>
      <w:r w:rsidR="00281D17" w:rsidRPr="00281D17">
        <w:rPr>
          <w:rFonts w:ascii="Times New Roman" w:hAnsi="Times New Roman"/>
          <w:u w:color="0000FF"/>
        </w:rPr>
        <w:t>vizīte</w:t>
      </w:r>
      <w:r>
        <w:rPr>
          <w:rFonts w:ascii="Times New Roman" w:hAnsi="Times New Roman"/>
        </w:rPr>
        <w:t>, 23. punkts.</w:t>
      </w:r>
    </w:p>
  </w:footnote>
  <w:footnote w:id="19">
    <w:p w14:paraId="5485B7AA" w14:textId="37EBC885" w:rsidR="00B845CE" w:rsidRPr="00B845CE" w:rsidRDefault="00B845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Ukraina: 2017. gada </w:t>
      </w:r>
      <w:r w:rsidR="00281D17" w:rsidRPr="00281D17">
        <w:rPr>
          <w:rFonts w:ascii="Times New Roman" w:hAnsi="Times New Roman"/>
          <w:u w:color="0000FF"/>
        </w:rPr>
        <w:t>vizīte</w:t>
      </w:r>
      <w:r>
        <w:rPr>
          <w:rFonts w:ascii="Times New Roman" w:hAnsi="Times New Roman"/>
        </w:rPr>
        <w:t>, 159. punkts.</w:t>
      </w:r>
    </w:p>
  </w:footnote>
  <w:footnote w:id="20">
    <w:p w14:paraId="4741D653" w14:textId="60F145B5" w:rsidR="00B845CE" w:rsidRPr="00B845CE" w:rsidRDefault="00B845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Ukraina: 2019. gada </w:t>
      </w:r>
      <w:r w:rsidR="00281D17" w:rsidRPr="00281D17">
        <w:rPr>
          <w:rFonts w:ascii="Times New Roman" w:hAnsi="Times New Roman"/>
          <w:u w:color="0000FF"/>
        </w:rPr>
        <w:t>vizīte</w:t>
      </w:r>
      <w:r>
        <w:rPr>
          <w:rFonts w:ascii="Times New Roman" w:hAnsi="Times New Roman"/>
        </w:rPr>
        <w:t>, 21. punkts.</w:t>
      </w:r>
    </w:p>
  </w:footnote>
  <w:footnote w:id="21">
    <w:p w14:paraId="551B2B0F" w14:textId="76E34837" w:rsidR="00B845CE" w:rsidRPr="00B845CE" w:rsidRDefault="00B845CE" w:rsidP="00B845CE">
      <w:pPr>
        <w:tabs>
          <w:tab w:val="left" w:pos="833"/>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color="0000FF"/>
        </w:rPr>
        <w:t xml:space="preserve">Azerbaidžāna: 2013. gada </w:t>
      </w:r>
      <w:r w:rsidR="007C078D" w:rsidRPr="007C078D">
        <w:rPr>
          <w:rFonts w:ascii="Times New Roman" w:hAnsi="Times New Roman"/>
          <w:sz w:val="20"/>
          <w:u w:color="0000FF"/>
        </w:rPr>
        <w:t>vizīte</w:t>
      </w:r>
      <w:r>
        <w:rPr>
          <w:rFonts w:ascii="Times New Roman" w:hAnsi="Times New Roman"/>
          <w:sz w:val="20"/>
        </w:rPr>
        <w:t>, 55. punkts.</w:t>
      </w:r>
    </w:p>
  </w:footnote>
  <w:footnote w:id="22">
    <w:p w14:paraId="30D127BF" w14:textId="2933B5FF" w:rsidR="00B845CE" w:rsidRPr="00B845CE" w:rsidRDefault="00B845CE" w:rsidP="00B845CE">
      <w:pPr>
        <w:tabs>
          <w:tab w:val="left" w:pos="833"/>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Bulgārija: 2017. gada </w:t>
      </w:r>
      <w:r w:rsidR="007C078D" w:rsidRPr="007C078D">
        <w:rPr>
          <w:rFonts w:ascii="Times New Roman" w:hAnsi="Times New Roman"/>
          <w:sz w:val="20"/>
        </w:rPr>
        <w:t>vizīte</w:t>
      </w:r>
      <w:r>
        <w:rPr>
          <w:rFonts w:ascii="Times New Roman" w:hAnsi="Times New Roman"/>
          <w:sz w:val="20"/>
        </w:rPr>
        <w:t xml:space="preserve">, 149. punkts; Moldova: 2020. gada </w:t>
      </w:r>
      <w:r w:rsidR="007C078D" w:rsidRPr="007C078D">
        <w:rPr>
          <w:rFonts w:ascii="Times New Roman" w:hAnsi="Times New Roman"/>
          <w:sz w:val="20"/>
        </w:rPr>
        <w:t>vizīte</w:t>
      </w:r>
      <w:r>
        <w:rPr>
          <w:rFonts w:ascii="Times New Roman" w:hAnsi="Times New Roman"/>
          <w:sz w:val="20"/>
        </w:rPr>
        <w:t>, 170. punkts.</w:t>
      </w:r>
    </w:p>
  </w:footnote>
  <w:footnote w:id="23">
    <w:p w14:paraId="62C84B08" w14:textId="61931769" w:rsidR="005A5A7C" w:rsidRPr="001160A9" w:rsidRDefault="005A5A7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Azerbaidžāna: 2013. gada </w:t>
      </w:r>
      <w:r w:rsidR="00461B53" w:rsidRPr="00461B53">
        <w:rPr>
          <w:rFonts w:ascii="Times New Roman" w:hAnsi="Times New Roman"/>
        </w:rPr>
        <w:t>vizīte</w:t>
      </w:r>
      <w:r>
        <w:rPr>
          <w:rFonts w:ascii="Times New Roman" w:hAnsi="Times New Roman"/>
        </w:rPr>
        <w:t xml:space="preserve">, 54. punkts, Moldova: 2020. gada </w:t>
      </w:r>
      <w:r w:rsidR="00461B53" w:rsidRPr="00461B53">
        <w:rPr>
          <w:rFonts w:ascii="Times New Roman" w:hAnsi="Times New Roman"/>
        </w:rPr>
        <w:t>vizīte</w:t>
      </w:r>
      <w:r>
        <w:rPr>
          <w:rFonts w:ascii="Times New Roman" w:hAnsi="Times New Roman"/>
        </w:rPr>
        <w:t xml:space="preserve">, 170. punkts, Krievijas Federācija: 2018. gada </w:t>
      </w:r>
      <w:r w:rsidR="00461B53" w:rsidRPr="00461B53">
        <w:rPr>
          <w:rFonts w:ascii="Times New Roman" w:hAnsi="Times New Roman"/>
        </w:rPr>
        <w:t>vizīte</w:t>
      </w:r>
      <w:r>
        <w:rPr>
          <w:rFonts w:ascii="Times New Roman" w:hAnsi="Times New Roman"/>
        </w:rPr>
        <w:t>, 107. punkts.</w:t>
      </w:r>
    </w:p>
  </w:footnote>
  <w:footnote w:id="24">
    <w:p w14:paraId="36B8D356" w14:textId="0860A32E" w:rsidR="005A5A7C" w:rsidRPr="001160A9" w:rsidRDefault="005A5A7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Moldova: 2020. gada </w:t>
      </w:r>
      <w:r w:rsidR="00461B53" w:rsidRPr="00461B53">
        <w:rPr>
          <w:rFonts w:ascii="Times New Roman" w:hAnsi="Times New Roman"/>
          <w:u w:color="0000FF"/>
        </w:rPr>
        <w:t>vizīte</w:t>
      </w:r>
      <w:r>
        <w:rPr>
          <w:rFonts w:ascii="Times New Roman" w:hAnsi="Times New Roman"/>
        </w:rPr>
        <w:t>, 172. punkts.</w:t>
      </w:r>
    </w:p>
  </w:footnote>
  <w:footnote w:id="25">
    <w:p w14:paraId="69853258" w14:textId="31229ABF" w:rsidR="005A5A7C" w:rsidRPr="001160A9" w:rsidRDefault="005A5A7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Čehijas </w:t>
      </w:r>
      <w:r>
        <w:rPr>
          <w:rFonts w:ascii="Times New Roman" w:hAnsi="Times New Roman"/>
          <w:u w:color="0000FF"/>
        </w:rPr>
        <w:t xml:space="preserve">Republika: 2018. gada </w:t>
      </w:r>
      <w:r w:rsidR="00461B53" w:rsidRPr="00461B53">
        <w:rPr>
          <w:rFonts w:ascii="Times New Roman" w:hAnsi="Times New Roman"/>
          <w:u w:color="0000FF"/>
        </w:rPr>
        <w:t>vizīte</w:t>
      </w:r>
      <w:r>
        <w:rPr>
          <w:rFonts w:ascii="Times New Roman" w:hAnsi="Times New Roman"/>
        </w:rPr>
        <w:t>, 126. punkts.</w:t>
      </w:r>
    </w:p>
  </w:footnote>
  <w:footnote w:id="26">
    <w:p w14:paraId="0CB1442F" w14:textId="167E5AC7" w:rsidR="005A5A7C" w:rsidRPr="001160A9" w:rsidRDefault="005A5A7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Azerbaidžāna: 2013. gada </w:t>
      </w:r>
      <w:r w:rsidR="00461B53" w:rsidRPr="00461B53">
        <w:rPr>
          <w:rFonts w:ascii="Times New Roman" w:hAnsi="Times New Roman"/>
          <w:u w:color="0000FF"/>
        </w:rPr>
        <w:t>vizīte</w:t>
      </w:r>
      <w:r>
        <w:rPr>
          <w:rFonts w:ascii="Times New Roman" w:hAnsi="Times New Roman"/>
        </w:rPr>
        <w:t>, 59. punkts.</w:t>
      </w:r>
    </w:p>
  </w:footnote>
  <w:footnote w:id="27">
    <w:p w14:paraId="2FD9AC1D" w14:textId="30146CB3" w:rsidR="005A5A7C" w:rsidRPr="001160A9" w:rsidRDefault="005A5A7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Malta: 2015. gada </w:t>
      </w:r>
      <w:r w:rsidR="00461B53" w:rsidRPr="00461B53">
        <w:rPr>
          <w:rFonts w:ascii="Times New Roman" w:hAnsi="Times New Roman"/>
          <w:u w:color="0000FF"/>
        </w:rPr>
        <w:t>vizīte</w:t>
      </w:r>
      <w:r>
        <w:rPr>
          <w:rFonts w:ascii="Times New Roman" w:hAnsi="Times New Roman"/>
        </w:rPr>
        <w:t>, 167. punkts.</w:t>
      </w:r>
    </w:p>
  </w:footnote>
  <w:footnote w:id="28">
    <w:p w14:paraId="09D3F9D6" w14:textId="121E56A6" w:rsidR="005A5A7C" w:rsidRPr="001160A9" w:rsidRDefault="005A5A7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Azerbaidžāna: 2013. gada </w:t>
      </w:r>
      <w:r w:rsidR="00461B53" w:rsidRPr="00461B53">
        <w:rPr>
          <w:rFonts w:ascii="Times New Roman" w:hAnsi="Times New Roman"/>
          <w:u w:color="0000FF"/>
        </w:rPr>
        <w:t>vizīte</w:t>
      </w:r>
      <w:r>
        <w:rPr>
          <w:rFonts w:ascii="Times New Roman" w:hAnsi="Times New Roman"/>
        </w:rPr>
        <w:t>, 58. punkts.</w:t>
      </w:r>
    </w:p>
  </w:footnote>
  <w:footnote w:id="29">
    <w:p w14:paraId="356EEBBB" w14:textId="7062E8C8" w:rsidR="004850BA" w:rsidRPr="001160A9" w:rsidRDefault="004850B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Azerbaidžāna: 2013. gada </w:t>
      </w:r>
      <w:r w:rsidR="00461B53" w:rsidRPr="00461B53">
        <w:rPr>
          <w:rFonts w:ascii="Times New Roman" w:hAnsi="Times New Roman"/>
          <w:u w:color="0000FF"/>
        </w:rPr>
        <w:t>vizīte</w:t>
      </w:r>
      <w:r>
        <w:rPr>
          <w:rFonts w:ascii="Times New Roman" w:hAnsi="Times New Roman"/>
        </w:rPr>
        <w:t>, 56. punkts.</w:t>
      </w:r>
    </w:p>
  </w:footnote>
  <w:footnote w:id="30">
    <w:p w14:paraId="275A337F" w14:textId="30725158" w:rsidR="001160A9" w:rsidRPr="001160A9" w:rsidRDefault="001160A9" w:rsidP="001160A9">
      <w:pPr>
        <w:tabs>
          <w:tab w:val="left" w:pos="833"/>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color="0000FF"/>
        </w:rPr>
        <w:t xml:space="preserve">Moldova: 2015. gada </w:t>
      </w:r>
      <w:r w:rsidR="00461B53" w:rsidRPr="00461B53">
        <w:rPr>
          <w:rFonts w:ascii="Times New Roman" w:hAnsi="Times New Roman"/>
          <w:sz w:val="20"/>
          <w:u w:color="0000FF"/>
        </w:rPr>
        <w:t>vizīte</w:t>
      </w:r>
      <w:r>
        <w:rPr>
          <w:rFonts w:ascii="Times New Roman" w:hAnsi="Times New Roman"/>
          <w:sz w:val="20"/>
        </w:rPr>
        <w:t xml:space="preserve">, 188. punkts; </w:t>
      </w:r>
      <w:r>
        <w:rPr>
          <w:rFonts w:ascii="Times New Roman" w:hAnsi="Times New Roman"/>
          <w:sz w:val="20"/>
          <w:u w:color="0000FF"/>
        </w:rPr>
        <w:t xml:space="preserve">Ziemeļmaķedonija: 2014. gada </w:t>
      </w:r>
      <w:r w:rsidR="00461B53" w:rsidRPr="00461B53">
        <w:rPr>
          <w:rFonts w:ascii="Times New Roman" w:hAnsi="Times New Roman"/>
          <w:sz w:val="20"/>
          <w:u w:color="0000FF"/>
        </w:rPr>
        <w:t>vizīte</w:t>
      </w:r>
      <w:r>
        <w:rPr>
          <w:rFonts w:ascii="Times New Roman" w:hAnsi="Times New Roman"/>
          <w:sz w:val="20"/>
          <w:u w:color="0000FF"/>
        </w:rPr>
        <w:t>,</w:t>
      </w:r>
      <w:r>
        <w:rPr>
          <w:rFonts w:ascii="Times New Roman" w:hAnsi="Times New Roman"/>
          <w:sz w:val="20"/>
        </w:rPr>
        <w:t xml:space="preserve"> 176. punkts.</w:t>
      </w:r>
    </w:p>
  </w:footnote>
  <w:footnote w:id="31">
    <w:p w14:paraId="394CC3C3" w14:textId="00F7DC3F" w:rsidR="001160A9" w:rsidRPr="00CD00FD" w:rsidRDefault="001160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Ziemeļmaķedonija: 2014. gada </w:t>
      </w:r>
      <w:r w:rsidR="00461B53" w:rsidRPr="00461B53">
        <w:rPr>
          <w:rFonts w:ascii="Times New Roman" w:hAnsi="Times New Roman"/>
        </w:rPr>
        <w:t>vizīte</w:t>
      </w:r>
      <w:r>
        <w:rPr>
          <w:rFonts w:ascii="Times New Roman" w:hAnsi="Times New Roman"/>
        </w:rPr>
        <w:t>, 176. punkts.</w:t>
      </w:r>
    </w:p>
  </w:footnote>
  <w:footnote w:id="32">
    <w:p w14:paraId="1700B6F1" w14:textId="1D641370" w:rsidR="001160A9" w:rsidRPr="00CD00FD" w:rsidRDefault="001160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Bulgārija: 2020. gada </w:t>
      </w:r>
      <w:r w:rsidR="00461B53" w:rsidRPr="00461B53">
        <w:rPr>
          <w:rFonts w:ascii="Times New Roman" w:hAnsi="Times New Roman"/>
          <w:u w:color="0000FF"/>
        </w:rPr>
        <w:t>vizīte</w:t>
      </w:r>
      <w:r>
        <w:rPr>
          <w:rFonts w:ascii="Times New Roman" w:hAnsi="Times New Roman"/>
        </w:rPr>
        <w:t>, 38. punkts.</w:t>
      </w:r>
    </w:p>
  </w:footnote>
  <w:footnote w:id="33">
    <w:p w14:paraId="120A254B" w14:textId="64B82F5C" w:rsidR="001160A9" w:rsidRPr="00CD00FD" w:rsidRDefault="001160A9" w:rsidP="001160A9">
      <w:pPr>
        <w:tabs>
          <w:tab w:val="left" w:pos="833"/>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color="0000FF"/>
        </w:rPr>
        <w:t xml:space="preserve">Bulgārija: 2017. gada </w:t>
      </w:r>
      <w:r w:rsidR="007E6927">
        <w:rPr>
          <w:rFonts w:ascii="Times New Roman" w:hAnsi="Times New Roman"/>
          <w:sz w:val="20"/>
          <w:u w:color="0000FF"/>
        </w:rPr>
        <w:t>vizīte</w:t>
      </w:r>
      <w:r>
        <w:rPr>
          <w:rFonts w:ascii="Times New Roman" w:hAnsi="Times New Roman"/>
          <w:sz w:val="20"/>
        </w:rPr>
        <w:t>, 152. punkts.</w:t>
      </w:r>
    </w:p>
  </w:footnote>
  <w:footnote w:id="34">
    <w:p w14:paraId="15F0602C" w14:textId="38706F8A" w:rsidR="00202984" w:rsidRPr="00CD00FD" w:rsidRDefault="0020298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Krievijas Federācija: 2018. gada </w:t>
      </w:r>
      <w:r w:rsidR="00DB49D3" w:rsidRPr="00DB49D3">
        <w:rPr>
          <w:rFonts w:ascii="Times New Roman" w:hAnsi="Times New Roman"/>
        </w:rPr>
        <w:t>vizīte</w:t>
      </w:r>
      <w:r>
        <w:rPr>
          <w:rFonts w:ascii="Times New Roman" w:hAnsi="Times New Roman"/>
        </w:rPr>
        <w:t>, 113. punkts.</w:t>
      </w:r>
    </w:p>
  </w:footnote>
  <w:footnote w:id="35">
    <w:p w14:paraId="6EBB4237" w14:textId="37188A32" w:rsidR="00202984" w:rsidRPr="00CD00FD" w:rsidRDefault="0020298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Ungārija: 2018. gada </w:t>
      </w:r>
      <w:r w:rsidR="00FD54E3" w:rsidRPr="00FD54E3">
        <w:rPr>
          <w:rFonts w:ascii="Times New Roman" w:hAnsi="Times New Roman"/>
          <w:u w:color="0000FF"/>
        </w:rPr>
        <w:t>vizīte</w:t>
      </w:r>
      <w:r>
        <w:rPr>
          <w:rFonts w:ascii="Times New Roman" w:hAnsi="Times New Roman"/>
        </w:rPr>
        <w:t>, 152. punkts.</w:t>
      </w:r>
    </w:p>
  </w:footnote>
  <w:footnote w:id="36">
    <w:p w14:paraId="0992E557" w14:textId="5185B42A" w:rsidR="00202984" w:rsidRPr="00CD00FD" w:rsidRDefault="0020298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Latvija: 2016. gada </w:t>
      </w:r>
      <w:r w:rsidR="00FD54E3" w:rsidRPr="00FD54E3">
        <w:rPr>
          <w:rFonts w:ascii="Times New Roman" w:hAnsi="Times New Roman"/>
          <w:u w:color="0000FF"/>
        </w:rPr>
        <w:t>vizīte</w:t>
      </w:r>
      <w:r>
        <w:rPr>
          <w:rFonts w:ascii="Times New Roman" w:hAnsi="Times New Roman"/>
        </w:rPr>
        <w:t>, 156. punkts.</w:t>
      </w:r>
    </w:p>
  </w:footnote>
  <w:footnote w:id="37">
    <w:p w14:paraId="40ED2C01" w14:textId="77080A2C" w:rsidR="00202984" w:rsidRPr="00CD00FD" w:rsidRDefault="00202984" w:rsidP="00202984">
      <w:pPr>
        <w:tabs>
          <w:tab w:val="left" w:pos="833"/>
        </w:tabs>
        <w:jc w:val="both"/>
        <w:rPr>
          <w:rFonts w:ascii="Times New Roman" w:eastAsia="Calibri" w:hAnsi="Times New Roman" w:cs="Times New Roman"/>
          <w:noProof/>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u w:color="0000FF"/>
        </w:rPr>
        <w:t xml:space="preserve">Polija: 2009. gada </w:t>
      </w:r>
      <w:r w:rsidR="00FD54E3" w:rsidRPr="00FD54E3">
        <w:rPr>
          <w:rFonts w:ascii="Times New Roman" w:hAnsi="Times New Roman"/>
          <w:sz w:val="20"/>
          <w:u w:color="0000FF"/>
        </w:rPr>
        <w:t>vizīte</w:t>
      </w:r>
      <w:r>
        <w:rPr>
          <w:rFonts w:ascii="Times New Roman" w:hAnsi="Times New Roman"/>
          <w:sz w:val="20"/>
        </w:rPr>
        <w:t>, 164. punkts.</w:t>
      </w:r>
    </w:p>
  </w:footnote>
  <w:footnote w:id="38">
    <w:p w14:paraId="29709A8B" w14:textId="6C0CA2ED" w:rsidR="00202984" w:rsidRPr="00CD00FD" w:rsidRDefault="0020298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Krievijas Federācija: 2018. gada </w:t>
      </w:r>
      <w:r w:rsidR="00FD54E3" w:rsidRPr="00FD54E3">
        <w:rPr>
          <w:rFonts w:ascii="Times New Roman" w:hAnsi="Times New Roman"/>
        </w:rPr>
        <w:t>vizīte</w:t>
      </w:r>
      <w:r>
        <w:rPr>
          <w:rFonts w:ascii="Times New Roman" w:hAnsi="Times New Roman"/>
        </w:rPr>
        <w:t>, 123. punkts.</w:t>
      </w:r>
    </w:p>
  </w:footnote>
  <w:footnote w:id="39">
    <w:p w14:paraId="15364B4F" w14:textId="5C594A6C" w:rsidR="00145635" w:rsidRPr="00CD00FD" w:rsidRDefault="0014563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Ukraina: 2019. gada </w:t>
      </w:r>
      <w:r w:rsidR="00FD54E3" w:rsidRPr="00FD54E3">
        <w:rPr>
          <w:rFonts w:ascii="Times New Roman" w:hAnsi="Times New Roman"/>
          <w:u w:color="0000FF"/>
        </w:rPr>
        <w:t>vizīte</w:t>
      </w:r>
      <w:r>
        <w:rPr>
          <w:rFonts w:ascii="Times New Roman" w:hAnsi="Times New Roman"/>
        </w:rPr>
        <w:t>, 44. punkts.</w:t>
      </w:r>
    </w:p>
  </w:footnote>
  <w:footnote w:id="40">
    <w:p w14:paraId="6C9E0ECD" w14:textId="29E79D0E" w:rsidR="00CD00FD" w:rsidRPr="00CD00FD" w:rsidRDefault="00CD00F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Lai iegūtu sīkāku informāciju, skat. </w:t>
      </w:r>
      <w:r>
        <w:rPr>
          <w:rFonts w:ascii="Times New Roman" w:hAnsi="Times New Roman"/>
          <w:i/>
          <w:iCs/>
        </w:rPr>
        <w:t>CPT</w:t>
      </w:r>
      <w:r>
        <w:rPr>
          <w:rFonts w:ascii="Times New Roman" w:hAnsi="Times New Roman"/>
        </w:rPr>
        <w:t xml:space="preserve"> 27. vispārējā ziņojuma (CPT/Inf (2018) 4) 68.–91. punktu.</w:t>
      </w:r>
    </w:p>
  </w:footnote>
  <w:footnote w:id="41">
    <w:p w14:paraId="096C5267" w14:textId="5A3719C2" w:rsidR="00CD00FD" w:rsidRPr="00CD00FD" w:rsidRDefault="00CD00F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Bosnija un Hercegovina: 2007. gada </w:t>
      </w:r>
      <w:r w:rsidR="00882A15" w:rsidRPr="00882A15">
        <w:rPr>
          <w:rFonts w:ascii="Times New Roman" w:hAnsi="Times New Roman"/>
        </w:rPr>
        <w:t>vizīte</w:t>
      </w:r>
      <w:r>
        <w:rPr>
          <w:rFonts w:ascii="Times New Roman" w:hAnsi="Times New Roman"/>
        </w:rPr>
        <w:t xml:space="preserve">, 132. punkts, Slovākijas Republika: 2005. gada </w:t>
      </w:r>
      <w:r w:rsidR="00882A15" w:rsidRPr="00882A15">
        <w:rPr>
          <w:rFonts w:ascii="Times New Roman" w:hAnsi="Times New Roman"/>
        </w:rPr>
        <w:t>vizīte</w:t>
      </w:r>
      <w:r>
        <w:rPr>
          <w:rFonts w:ascii="Times New Roman" w:hAnsi="Times New Roman"/>
        </w:rPr>
        <w:t>, 113.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3E91" w14:textId="77777777" w:rsidR="00AB0BAB" w:rsidRPr="0075517C" w:rsidRDefault="00AB0BAB" w:rsidP="00AB0BAB">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8D13ACF" w14:textId="77777777" w:rsidR="00AB0BAB" w:rsidRPr="0075517C" w:rsidRDefault="00AB0BAB" w:rsidP="00AB0BAB">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6DC9F408" w14:textId="77777777" w:rsidR="00AB0BAB" w:rsidRPr="0075517C" w:rsidRDefault="00AB0BAB" w:rsidP="00AB0BAB">
    <w:pPr>
      <w:pStyle w:val="Header"/>
      <w:rPr>
        <w:rFonts w:ascii="Times New Roman" w:hAnsi="Times New Roman" w:cs="Times New Roman"/>
        <w:sz w:val="20"/>
        <w:szCs w:val="20"/>
      </w:rPr>
    </w:pPr>
  </w:p>
  <w:p w14:paraId="1A59777B" w14:textId="46195B55" w:rsidR="00B07B9E" w:rsidRPr="004C56F2" w:rsidRDefault="00B07B9E">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3417" w14:textId="77777777" w:rsidR="006602DF" w:rsidRPr="000F66E7" w:rsidRDefault="006602DF" w:rsidP="006602DF">
    <w:pPr>
      <w:pBdr>
        <w:bottom w:val="single" w:sz="12" w:space="5" w:color="auto"/>
      </w:pBdr>
      <w:rPr>
        <w:rFonts w:ascii="Times New Roman" w:hAnsi="Times New Roman" w:cs="Times New Roman"/>
        <w:spacing w:val="-2"/>
        <w:sz w:val="20"/>
        <w:szCs w:val="20"/>
      </w:rPr>
    </w:pPr>
  </w:p>
  <w:p w14:paraId="3AF01FF0" w14:textId="77777777" w:rsidR="006602DF" w:rsidRDefault="006602DF" w:rsidP="00660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06C9"/>
    <w:multiLevelType w:val="hybridMultilevel"/>
    <w:tmpl w:val="0B201466"/>
    <w:lvl w:ilvl="0" w:tplc="CF185B0A">
      <w:start w:val="4"/>
      <w:numFmt w:val="decimal"/>
      <w:lvlText w:val="%1."/>
      <w:lvlJc w:val="left"/>
      <w:pPr>
        <w:ind w:left="112" w:hanging="721"/>
      </w:pPr>
      <w:rPr>
        <w:rFonts w:ascii="Arial Narrow" w:eastAsia="Arial Narrow" w:hAnsi="Arial Narrow" w:hint="default"/>
        <w:sz w:val="22"/>
        <w:szCs w:val="22"/>
      </w:rPr>
    </w:lvl>
    <w:lvl w:ilvl="1" w:tplc="275069F6">
      <w:start w:val="1"/>
      <w:numFmt w:val="bullet"/>
      <w:lvlText w:val="•"/>
      <w:lvlJc w:val="left"/>
      <w:pPr>
        <w:ind w:left="1088" w:hanging="721"/>
      </w:pPr>
      <w:rPr>
        <w:rFonts w:hint="default"/>
      </w:rPr>
    </w:lvl>
    <w:lvl w:ilvl="2" w:tplc="5DF2876E">
      <w:start w:val="1"/>
      <w:numFmt w:val="bullet"/>
      <w:lvlText w:val="•"/>
      <w:lvlJc w:val="left"/>
      <w:pPr>
        <w:ind w:left="2063" w:hanging="721"/>
      </w:pPr>
      <w:rPr>
        <w:rFonts w:hint="default"/>
      </w:rPr>
    </w:lvl>
    <w:lvl w:ilvl="3" w:tplc="07CEC77A">
      <w:start w:val="1"/>
      <w:numFmt w:val="bullet"/>
      <w:lvlText w:val="•"/>
      <w:lvlJc w:val="left"/>
      <w:pPr>
        <w:ind w:left="3038" w:hanging="721"/>
      </w:pPr>
      <w:rPr>
        <w:rFonts w:hint="default"/>
      </w:rPr>
    </w:lvl>
    <w:lvl w:ilvl="4" w:tplc="32FEB1A2">
      <w:start w:val="1"/>
      <w:numFmt w:val="bullet"/>
      <w:lvlText w:val="•"/>
      <w:lvlJc w:val="left"/>
      <w:pPr>
        <w:ind w:left="4014" w:hanging="721"/>
      </w:pPr>
      <w:rPr>
        <w:rFonts w:hint="default"/>
      </w:rPr>
    </w:lvl>
    <w:lvl w:ilvl="5" w:tplc="05086D66">
      <w:start w:val="1"/>
      <w:numFmt w:val="bullet"/>
      <w:lvlText w:val="•"/>
      <w:lvlJc w:val="left"/>
      <w:pPr>
        <w:ind w:left="4989" w:hanging="721"/>
      </w:pPr>
      <w:rPr>
        <w:rFonts w:hint="default"/>
      </w:rPr>
    </w:lvl>
    <w:lvl w:ilvl="6" w:tplc="76868A0A">
      <w:start w:val="1"/>
      <w:numFmt w:val="bullet"/>
      <w:lvlText w:val="•"/>
      <w:lvlJc w:val="left"/>
      <w:pPr>
        <w:ind w:left="5964" w:hanging="721"/>
      </w:pPr>
      <w:rPr>
        <w:rFonts w:hint="default"/>
      </w:rPr>
    </w:lvl>
    <w:lvl w:ilvl="7" w:tplc="0EC60810">
      <w:start w:val="1"/>
      <w:numFmt w:val="bullet"/>
      <w:lvlText w:val="•"/>
      <w:lvlJc w:val="left"/>
      <w:pPr>
        <w:ind w:left="6940" w:hanging="721"/>
      </w:pPr>
      <w:rPr>
        <w:rFonts w:hint="default"/>
      </w:rPr>
    </w:lvl>
    <w:lvl w:ilvl="8" w:tplc="CFDE2D3C">
      <w:start w:val="1"/>
      <w:numFmt w:val="bullet"/>
      <w:lvlText w:val="•"/>
      <w:lvlJc w:val="left"/>
      <w:pPr>
        <w:ind w:left="7915" w:hanging="721"/>
      </w:pPr>
      <w:rPr>
        <w:rFonts w:hint="default"/>
      </w:rPr>
    </w:lvl>
  </w:abstractNum>
  <w:abstractNum w:abstractNumId="1" w15:restartNumberingAfterBreak="0">
    <w:nsid w:val="085A087B"/>
    <w:multiLevelType w:val="hybridMultilevel"/>
    <w:tmpl w:val="256E30C2"/>
    <w:lvl w:ilvl="0" w:tplc="C9EE6644">
      <w:start w:val="27"/>
      <w:numFmt w:val="decimal"/>
      <w:lvlText w:val="%1."/>
      <w:lvlJc w:val="left"/>
      <w:pPr>
        <w:ind w:left="112" w:hanging="721"/>
      </w:pPr>
      <w:rPr>
        <w:rFonts w:ascii="Arial Narrow" w:eastAsia="Arial Narrow" w:hAnsi="Arial Narrow" w:hint="default"/>
        <w:sz w:val="22"/>
        <w:szCs w:val="22"/>
      </w:rPr>
    </w:lvl>
    <w:lvl w:ilvl="1" w:tplc="9D9C149E">
      <w:start w:val="1"/>
      <w:numFmt w:val="bullet"/>
      <w:lvlText w:val="•"/>
      <w:lvlJc w:val="left"/>
      <w:pPr>
        <w:ind w:left="1088" w:hanging="721"/>
      </w:pPr>
      <w:rPr>
        <w:rFonts w:hint="default"/>
      </w:rPr>
    </w:lvl>
    <w:lvl w:ilvl="2" w:tplc="3000F776">
      <w:start w:val="1"/>
      <w:numFmt w:val="bullet"/>
      <w:lvlText w:val="•"/>
      <w:lvlJc w:val="left"/>
      <w:pPr>
        <w:ind w:left="2063" w:hanging="721"/>
      </w:pPr>
      <w:rPr>
        <w:rFonts w:hint="default"/>
      </w:rPr>
    </w:lvl>
    <w:lvl w:ilvl="3" w:tplc="1E8660C8">
      <w:start w:val="1"/>
      <w:numFmt w:val="bullet"/>
      <w:lvlText w:val="•"/>
      <w:lvlJc w:val="left"/>
      <w:pPr>
        <w:ind w:left="3038" w:hanging="721"/>
      </w:pPr>
      <w:rPr>
        <w:rFonts w:hint="default"/>
      </w:rPr>
    </w:lvl>
    <w:lvl w:ilvl="4" w:tplc="3F7CFAF8">
      <w:start w:val="1"/>
      <w:numFmt w:val="bullet"/>
      <w:lvlText w:val="•"/>
      <w:lvlJc w:val="left"/>
      <w:pPr>
        <w:ind w:left="4014" w:hanging="721"/>
      </w:pPr>
      <w:rPr>
        <w:rFonts w:hint="default"/>
      </w:rPr>
    </w:lvl>
    <w:lvl w:ilvl="5" w:tplc="A37EA36E">
      <w:start w:val="1"/>
      <w:numFmt w:val="bullet"/>
      <w:lvlText w:val="•"/>
      <w:lvlJc w:val="left"/>
      <w:pPr>
        <w:ind w:left="4989" w:hanging="721"/>
      </w:pPr>
      <w:rPr>
        <w:rFonts w:hint="default"/>
      </w:rPr>
    </w:lvl>
    <w:lvl w:ilvl="6" w:tplc="1EE469CE">
      <w:start w:val="1"/>
      <w:numFmt w:val="bullet"/>
      <w:lvlText w:val="•"/>
      <w:lvlJc w:val="left"/>
      <w:pPr>
        <w:ind w:left="5964" w:hanging="721"/>
      </w:pPr>
      <w:rPr>
        <w:rFonts w:hint="default"/>
      </w:rPr>
    </w:lvl>
    <w:lvl w:ilvl="7" w:tplc="7ACE91F0">
      <w:start w:val="1"/>
      <w:numFmt w:val="bullet"/>
      <w:lvlText w:val="•"/>
      <w:lvlJc w:val="left"/>
      <w:pPr>
        <w:ind w:left="6940" w:hanging="721"/>
      </w:pPr>
      <w:rPr>
        <w:rFonts w:hint="default"/>
      </w:rPr>
    </w:lvl>
    <w:lvl w:ilvl="8" w:tplc="06E4C706">
      <w:start w:val="1"/>
      <w:numFmt w:val="bullet"/>
      <w:lvlText w:val="•"/>
      <w:lvlJc w:val="left"/>
      <w:pPr>
        <w:ind w:left="7915" w:hanging="721"/>
      </w:pPr>
      <w:rPr>
        <w:rFonts w:hint="default"/>
      </w:rPr>
    </w:lvl>
  </w:abstractNum>
  <w:abstractNum w:abstractNumId="2" w15:restartNumberingAfterBreak="0">
    <w:nsid w:val="48B04456"/>
    <w:multiLevelType w:val="hybridMultilevel"/>
    <w:tmpl w:val="8E34D88C"/>
    <w:lvl w:ilvl="0" w:tplc="134C8BC2">
      <w:start w:val="7"/>
      <w:numFmt w:val="decimal"/>
      <w:lvlText w:val="%1."/>
      <w:lvlJc w:val="left"/>
      <w:pPr>
        <w:ind w:left="112" w:hanging="721"/>
      </w:pPr>
      <w:rPr>
        <w:rFonts w:ascii="Arial Narrow" w:eastAsia="Arial Narrow" w:hAnsi="Arial Narrow" w:hint="default"/>
        <w:sz w:val="22"/>
        <w:szCs w:val="22"/>
      </w:rPr>
    </w:lvl>
    <w:lvl w:ilvl="1" w:tplc="24F2B0EC">
      <w:start w:val="1"/>
      <w:numFmt w:val="bullet"/>
      <w:lvlText w:val="•"/>
      <w:lvlJc w:val="left"/>
      <w:pPr>
        <w:ind w:left="1088" w:hanging="721"/>
      </w:pPr>
      <w:rPr>
        <w:rFonts w:hint="default"/>
      </w:rPr>
    </w:lvl>
    <w:lvl w:ilvl="2" w:tplc="FD3C8722">
      <w:start w:val="1"/>
      <w:numFmt w:val="bullet"/>
      <w:lvlText w:val="•"/>
      <w:lvlJc w:val="left"/>
      <w:pPr>
        <w:ind w:left="2063" w:hanging="721"/>
      </w:pPr>
      <w:rPr>
        <w:rFonts w:hint="default"/>
      </w:rPr>
    </w:lvl>
    <w:lvl w:ilvl="3" w:tplc="9B2EBA60">
      <w:start w:val="1"/>
      <w:numFmt w:val="bullet"/>
      <w:lvlText w:val="•"/>
      <w:lvlJc w:val="left"/>
      <w:pPr>
        <w:ind w:left="3038" w:hanging="721"/>
      </w:pPr>
      <w:rPr>
        <w:rFonts w:hint="default"/>
      </w:rPr>
    </w:lvl>
    <w:lvl w:ilvl="4" w:tplc="9E324E9A">
      <w:start w:val="1"/>
      <w:numFmt w:val="bullet"/>
      <w:lvlText w:val="•"/>
      <w:lvlJc w:val="left"/>
      <w:pPr>
        <w:ind w:left="4014" w:hanging="721"/>
      </w:pPr>
      <w:rPr>
        <w:rFonts w:hint="default"/>
      </w:rPr>
    </w:lvl>
    <w:lvl w:ilvl="5" w:tplc="D63ECAB4">
      <w:start w:val="1"/>
      <w:numFmt w:val="bullet"/>
      <w:lvlText w:val="•"/>
      <w:lvlJc w:val="left"/>
      <w:pPr>
        <w:ind w:left="4989" w:hanging="721"/>
      </w:pPr>
      <w:rPr>
        <w:rFonts w:hint="default"/>
      </w:rPr>
    </w:lvl>
    <w:lvl w:ilvl="6" w:tplc="F0044D80">
      <w:start w:val="1"/>
      <w:numFmt w:val="bullet"/>
      <w:lvlText w:val="•"/>
      <w:lvlJc w:val="left"/>
      <w:pPr>
        <w:ind w:left="5964" w:hanging="721"/>
      </w:pPr>
      <w:rPr>
        <w:rFonts w:hint="default"/>
      </w:rPr>
    </w:lvl>
    <w:lvl w:ilvl="7" w:tplc="87309C8C">
      <w:start w:val="1"/>
      <w:numFmt w:val="bullet"/>
      <w:lvlText w:val="•"/>
      <w:lvlJc w:val="left"/>
      <w:pPr>
        <w:ind w:left="6940" w:hanging="721"/>
      </w:pPr>
      <w:rPr>
        <w:rFonts w:hint="default"/>
      </w:rPr>
    </w:lvl>
    <w:lvl w:ilvl="8" w:tplc="389E61CA">
      <w:start w:val="1"/>
      <w:numFmt w:val="bullet"/>
      <w:lvlText w:val="•"/>
      <w:lvlJc w:val="left"/>
      <w:pPr>
        <w:ind w:left="7915" w:hanging="721"/>
      </w:pPr>
      <w:rPr>
        <w:rFonts w:hint="default"/>
      </w:rPr>
    </w:lvl>
  </w:abstractNum>
  <w:abstractNum w:abstractNumId="3" w15:restartNumberingAfterBreak="0">
    <w:nsid w:val="62F87D5F"/>
    <w:multiLevelType w:val="hybridMultilevel"/>
    <w:tmpl w:val="FEA21290"/>
    <w:lvl w:ilvl="0" w:tplc="6DF2449C">
      <w:start w:val="1"/>
      <w:numFmt w:val="decimal"/>
      <w:lvlText w:val="%1."/>
      <w:lvlJc w:val="left"/>
      <w:pPr>
        <w:ind w:left="212" w:hanging="721"/>
      </w:pPr>
      <w:rPr>
        <w:rFonts w:ascii="Arial Narrow" w:eastAsia="Arial Narrow" w:hAnsi="Arial Narrow" w:hint="default"/>
        <w:sz w:val="22"/>
        <w:szCs w:val="22"/>
      </w:rPr>
    </w:lvl>
    <w:lvl w:ilvl="1" w:tplc="933A9A18">
      <w:start w:val="1"/>
      <w:numFmt w:val="bullet"/>
      <w:lvlText w:val="•"/>
      <w:lvlJc w:val="left"/>
      <w:pPr>
        <w:ind w:left="1222" w:hanging="721"/>
      </w:pPr>
      <w:rPr>
        <w:rFonts w:hint="default"/>
      </w:rPr>
    </w:lvl>
    <w:lvl w:ilvl="2" w:tplc="FC389414">
      <w:start w:val="1"/>
      <w:numFmt w:val="bullet"/>
      <w:lvlText w:val="•"/>
      <w:lvlJc w:val="left"/>
      <w:pPr>
        <w:ind w:left="2231" w:hanging="721"/>
      </w:pPr>
      <w:rPr>
        <w:rFonts w:hint="default"/>
      </w:rPr>
    </w:lvl>
    <w:lvl w:ilvl="3" w:tplc="3EBCFE50">
      <w:start w:val="1"/>
      <w:numFmt w:val="bullet"/>
      <w:lvlText w:val="•"/>
      <w:lvlJc w:val="left"/>
      <w:pPr>
        <w:ind w:left="3240" w:hanging="721"/>
      </w:pPr>
      <w:rPr>
        <w:rFonts w:hint="default"/>
      </w:rPr>
    </w:lvl>
    <w:lvl w:ilvl="4" w:tplc="C6728C8E">
      <w:start w:val="1"/>
      <w:numFmt w:val="bullet"/>
      <w:lvlText w:val="•"/>
      <w:lvlJc w:val="left"/>
      <w:pPr>
        <w:ind w:left="4250" w:hanging="721"/>
      </w:pPr>
      <w:rPr>
        <w:rFonts w:hint="default"/>
      </w:rPr>
    </w:lvl>
    <w:lvl w:ilvl="5" w:tplc="A284545A">
      <w:start w:val="1"/>
      <w:numFmt w:val="bullet"/>
      <w:lvlText w:val="•"/>
      <w:lvlJc w:val="left"/>
      <w:pPr>
        <w:ind w:left="5259" w:hanging="721"/>
      </w:pPr>
      <w:rPr>
        <w:rFonts w:hint="default"/>
      </w:rPr>
    </w:lvl>
    <w:lvl w:ilvl="6" w:tplc="80B2CB78">
      <w:start w:val="1"/>
      <w:numFmt w:val="bullet"/>
      <w:lvlText w:val="•"/>
      <w:lvlJc w:val="left"/>
      <w:pPr>
        <w:ind w:left="6268" w:hanging="721"/>
      </w:pPr>
      <w:rPr>
        <w:rFonts w:hint="default"/>
      </w:rPr>
    </w:lvl>
    <w:lvl w:ilvl="7" w:tplc="728E19BC">
      <w:start w:val="1"/>
      <w:numFmt w:val="bullet"/>
      <w:lvlText w:val="•"/>
      <w:lvlJc w:val="left"/>
      <w:pPr>
        <w:ind w:left="7278" w:hanging="721"/>
      </w:pPr>
      <w:rPr>
        <w:rFonts w:hint="default"/>
      </w:rPr>
    </w:lvl>
    <w:lvl w:ilvl="8" w:tplc="939E8430">
      <w:start w:val="1"/>
      <w:numFmt w:val="bullet"/>
      <w:lvlText w:val="•"/>
      <w:lvlJc w:val="left"/>
      <w:pPr>
        <w:ind w:left="8287" w:hanging="721"/>
      </w:pPr>
      <w:rPr>
        <w:rFonts w:hint="default"/>
      </w:rPr>
    </w:lvl>
  </w:abstractNum>
  <w:abstractNum w:abstractNumId="4" w15:restartNumberingAfterBreak="0">
    <w:nsid w:val="644D339A"/>
    <w:multiLevelType w:val="hybridMultilevel"/>
    <w:tmpl w:val="9C389352"/>
    <w:lvl w:ilvl="0" w:tplc="5550410A">
      <w:start w:val="17"/>
      <w:numFmt w:val="decimal"/>
      <w:lvlText w:val="%1."/>
      <w:lvlJc w:val="left"/>
      <w:pPr>
        <w:ind w:left="112" w:hanging="721"/>
      </w:pPr>
      <w:rPr>
        <w:rFonts w:ascii="Arial Narrow" w:eastAsia="Arial Narrow" w:hAnsi="Arial Narrow" w:hint="default"/>
        <w:sz w:val="22"/>
        <w:szCs w:val="22"/>
      </w:rPr>
    </w:lvl>
    <w:lvl w:ilvl="1" w:tplc="66B82734">
      <w:start w:val="1"/>
      <w:numFmt w:val="bullet"/>
      <w:lvlText w:val="•"/>
      <w:lvlJc w:val="left"/>
      <w:pPr>
        <w:ind w:left="1088" w:hanging="721"/>
      </w:pPr>
      <w:rPr>
        <w:rFonts w:hint="default"/>
      </w:rPr>
    </w:lvl>
    <w:lvl w:ilvl="2" w:tplc="45CC09BA">
      <w:start w:val="1"/>
      <w:numFmt w:val="bullet"/>
      <w:lvlText w:val="•"/>
      <w:lvlJc w:val="left"/>
      <w:pPr>
        <w:ind w:left="2063" w:hanging="721"/>
      </w:pPr>
      <w:rPr>
        <w:rFonts w:hint="default"/>
      </w:rPr>
    </w:lvl>
    <w:lvl w:ilvl="3" w:tplc="A2505F46">
      <w:start w:val="1"/>
      <w:numFmt w:val="bullet"/>
      <w:lvlText w:val="•"/>
      <w:lvlJc w:val="left"/>
      <w:pPr>
        <w:ind w:left="3038" w:hanging="721"/>
      </w:pPr>
      <w:rPr>
        <w:rFonts w:hint="default"/>
      </w:rPr>
    </w:lvl>
    <w:lvl w:ilvl="4" w:tplc="5DF03106">
      <w:start w:val="1"/>
      <w:numFmt w:val="bullet"/>
      <w:lvlText w:val="•"/>
      <w:lvlJc w:val="left"/>
      <w:pPr>
        <w:ind w:left="4014" w:hanging="721"/>
      </w:pPr>
      <w:rPr>
        <w:rFonts w:hint="default"/>
      </w:rPr>
    </w:lvl>
    <w:lvl w:ilvl="5" w:tplc="FC2A65FC">
      <w:start w:val="1"/>
      <w:numFmt w:val="bullet"/>
      <w:lvlText w:val="•"/>
      <w:lvlJc w:val="left"/>
      <w:pPr>
        <w:ind w:left="4989" w:hanging="721"/>
      </w:pPr>
      <w:rPr>
        <w:rFonts w:hint="default"/>
      </w:rPr>
    </w:lvl>
    <w:lvl w:ilvl="6" w:tplc="D2083C0A">
      <w:start w:val="1"/>
      <w:numFmt w:val="bullet"/>
      <w:lvlText w:val="•"/>
      <w:lvlJc w:val="left"/>
      <w:pPr>
        <w:ind w:left="5964" w:hanging="721"/>
      </w:pPr>
      <w:rPr>
        <w:rFonts w:hint="default"/>
      </w:rPr>
    </w:lvl>
    <w:lvl w:ilvl="7" w:tplc="D158D87A">
      <w:start w:val="1"/>
      <w:numFmt w:val="bullet"/>
      <w:lvlText w:val="•"/>
      <w:lvlJc w:val="left"/>
      <w:pPr>
        <w:ind w:left="6940" w:hanging="721"/>
      </w:pPr>
      <w:rPr>
        <w:rFonts w:hint="default"/>
      </w:rPr>
    </w:lvl>
    <w:lvl w:ilvl="8" w:tplc="7A5478B8">
      <w:start w:val="1"/>
      <w:numFmt w:val="bullet"/>
      <w:lvlText w:val="•"/>
      <w:lvlJc w:val="left"/>
      <w:pPr>
        <w:ind w:left="7915" w:hanging="721"/>
      </w:pPr>
      <w:rPr>
        <w:rFonts w:hint="default"/>
      </w:rPr>
    </w:lvl>
  </w:abstractNum>
  <w:abstractNum w:abstractNumId="5" w15:restartNumberingAfterBreak="0">
    <w:nsid w:val="75267680"/>
    <w:multiLevelType w:val="hybridMultilevel"/>
    <w:tmpl w:val="BEE85FAA"/>
    <w:lvl w:ilvl="0" w:tplc="6C74009C">
      <w:start w:val="29"/>
      <w:numFmt w:val="decimal"/>
      <w:lvlText w:val="%1."/>
      <w:lvlJc w:val="left"/>
      <w:pPr>
        <w:ind w:left="112" w:hanging="721"/>
      </w:pPr>
      <w:rPr>
        <w:rFonts w:ascii="Arial Narrow" w:eastAsia="Arial Narrow" w:hAnsi="Arial Narrow" w:hint="default"/>
        <w:sz w:val="22"/>
        <w:szCs w:val="22"/>
      </w:rPr>
    </w:lvl>
    <w:lvl w:ilvl="1" w:tplc="CCA469E8">
      <w:start w:val="1"/>
      <w:numFmt w:val="bullet"/>
      <w:lvlText w:val="•"/>
      <w:lvlJc w:val="left"/>
      <w:pPr>
        <w:ind w:left="1088" w:hanging="721"/>
      </w:pPr>
      <w:rPr>
        <w:rFonts w:hint="default"/>
      </w:rPr>
    </w:lvl>
    <w:lvl w:ilvl="2" w:tplc="5AE2082A">
      <w:start w:val="1"/>
      <w:numFmt w:val="bullet"/>
      <w:lvlText w:val="•"/>
      <w:lvlJc w:val="left"/>
      <w:pPr>
        <w:ind w:left="2063" w:hanging="721"/>
      </w:pPr>
      <w:rPr>
        <w:rFonts w:hint="default"/>
      </w:rPr>
    </w:lvl>
    <w:lvl w:ilvl="3" w:tplc="955EAA30">
      <w:start w:val="1"/>
      <w:numFmt w:val="bullet"/>
      <w:lvlText w:val="•"/>
      <w:lvlJc w:val="left"/>
      <w:pPr>
        <w:ind w:left="3038" w:hanging="721"/>
      </w:pPr>
      <w:rPr>
        <w:rFonts w:hint="default"/>
      </w:rPr>
    </w:lvl>
    <w:lvl w:ilvl="4" w:tplc="7CCC4578">
      <w:start w:val="1"/>
      <w:numFmt w:val="bullet"/>
      <w:lvlText w:val="•"/>
      <w:lvlJc w:val="left"/>
      <w:pPr>
        <w:ind w:left="4014" w:hanging="721"/>
      </w:pPr>
      <w:rPr>
        <w:rFonts w:hint="default"/>
      </w:rPr>
    </w:lvl>
    <w:lvl w:ilvl="5" w:tplc="A3323338">
      <w:start w:val="1"/>
      <w:numFmt w:val="bullet"/>
      <w:lvlText w:val="•"/>
      <w:lvlJc w:val="left"/>
      <w:pPr>
        <w:ind w:left="4989" w:hanging="721"/>
      </w:pPr>
      <w:rPr>
        <w:rFonts w:hint="default"/>
      </w:rPr>
    </w:lvl>
    <w:lvl w:ilvl="6" w:tplc="3E384A8A">
      <w:start w:val="1"/>
      <w:numFmt w:val="bullet"/>
      <w:lvlText w:val="•"/>
      <w:lvlJc w:val="left"/>
      <w:pPr>
        <w:ind w:left="5964" w:hanging="721"/>
      </w:pPr>
      <w:rPr>
        <w:rFonts w:hint="default"/>
      </w:rPr>
    </w:lvl>
    <w:lvl w:ilvl="7" w:tplc="E8C42422">
      <w:start w:val="1"/>
      <w:numFmt w:val="bullet"/>
      <w:lvlText w:val="•"/>
      <w:lvlJc w:val="left"/>
      <w:pPr>
        <w:ind w:left="6940" w:hanging="721"/>
      </w:pPr>
      <w:rPr>
        <w:rFonts w:hint="default"/>
      </w:rPr>
    </w:lvl>
    <w:lvl w:ilvl="8" w:tplc="8870D10A">
      <w:start w:val="1"/>
      <w:numFmt w:val="bullet"/>
      <w:lvlText w:val="•"/>
      <w:lvlJc w:val="left"/>
      <w:pPr>
        <w:ind w:left="7915" w:hanging="721"/>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B07B9E"/>
    <w:rsid w:val="00042DC6"/>
    <w:rsid w:val="00065CEA"/>
    <w:rsid w:val="0010710B"/>
    <w:rsid w:val="001160A9"/>
    <w:rsid w:val="00145635"/>
    <w:rsid w:val="00164581"/>
    <w:rsid w:val="00202984"/>
    <w:rsid w:val="00281D17"/>
    <w:rsid w:val="00287BCE"/>
    <w:rsid w:val="002D49DC"/>
    <w:rsid w:val="002E1873"/>
    <w:rsid w:val="002F485D"/>
    <w:rsid w:val="00315142"/>
    <w:rsid w:val="00327A8A"/>
    <w:rsid w:val="00332619"/>
    <w:rsid w:val="003663C9"/>
    <w:rsid w:val="003B5267"/>
    <w:rsid w:val="003D430F"/>
    <w:rsid w:val="003E3CDA"/>
    <w:rsid w:val="00461B53"/>
    <w:rsid w:val="004850BA"/>
    <w:rsid w:val="004C56F2"/>
    <w:rsid w:val="004F208C"/>
    <w:rsid w:val="005A5A7C"/>
    <w:rsid w:val="005C7BC1"/>
    <w:rsid w:val="006602DF"/>
    <w:rsid w:val="00676077"/>
    <w:rsid w:val="006E3918"/>
    <w:rsid w:val="007B15AE"/>
    <w:rsid w:val="007C078D"/>
    <w:rsid w:val="007E6927"/>
    <w:rsid w:val="007F1BDC"/>
    <w:rsid w:val="008113F3"/>
    <w:rsid w:val="00825AA5"/>
    <w:rsid w:val="00830E95"/>
    <w:rsid w:val="00882A15"/>
    <w:rsid w:val="00890BB0"/>
    <w:rsid w:val="008F0A26"/>
    <w:rsid w:val="0093178C"/>
    <w:rsid w:val="0099613E"/>
    <w:rsid w:val="00A32892"/>
    <w:rsid w:val="00A43FDA"/>
    <w:rsid w:val="00AA6B1B"/>
    <w:rsid w:val="00AB0BAB"/>
    <w:rsid w:val="00AD5492"/>
    <w:rsid w:val="00AE6142"/>
    <w:rsid w:val="00AF5115"/>
    <w:rsid w:val="00B07B9E"/>
    <w:rsid w:val="00B349C1"/>
    <w:rsid w:val="00B845CE"/>
    <w:rsid w:val="00BB00A1"/>
    <w:rsid w:val="00BE3A8F"/>
    <w:rsid w:val="00C30F6F"/>
    <w:rsid w:val="00C51081"/>
    <w:rsid w:val="00C53ECB"/>
    <w:rsid w:val="00CD00FD"/>
    <w:rsid w:val="00CE7BD4"/>
    <w:rsid w:val="00D7107A"/>
    <w:rsid w:val="00DB4571"/>
    <w:rsid w:val="00DB49D3"/>
    <w:rsid w:val="00DD4358"/>
    <w:rsid w:val="00E368C9"/>
    <w:rsid w:val="00E6798C"/>
    <w:rsid w:val="00EA3D35"/>
    <w:rsid w:val="00EB7B24"/>
    <w:rsid w:val="00FD54E3"/>
    <w:rsid w:val="00FE2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2"/>
      <w:outlineLvl w:val="0"/>
    </w:pPr>
    <w:rPr>
      <w:rFonts w:ascii="Arial Narrow" w:eastAsia="Arial Narrow" w:hAnsi="Arial Narrow"/>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Narrow" w:eastAsia="Arial Narrow" w:hAnsi="Arial Narrow"/>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C56F2"/>
    <w:pPr>
      <w:tabs>
        <w:tab w:val="center" w:pos="4513"/>
        <w:tab w:val="right" w:pos="9026"/>
      </w:tabs>
    </w:pPr>
  </w:style>
  <w:style w:type="character" w:customStyle="1" w:styleId="HeaderChar">
    <w:name w:val="Header Char"/>
    <w:basedOn w:val="DefaultParagraphFont"/>
    <w:link w:val="Header"/>
    <w:rsid w:val="004C56F2"/>
  </w:style>
  <w:style w:type="paragraph" w:styleId="Footer">
    <w:name w:val="footer"/>
    <w:basedOn w:val="Normal"/>
    <w:link w:val="FooterChar"/>
    <w:unhideWhenUsed/>
    <w:rsid w:val="004C56F2"/>
    <w:pPr>
      <w:tabs>
        <w:tab w:val="center" w:pos="4513"/>
        <w:tab w:val="right" w:pos="9026"/>
      </w:tabs>
    </w:pPr>
  </w:style>
  <w:style w:type="character" w:customStyle="1" w:styleId="FooterChar">
    <w:name w:val="Footer Char"/>
    <w:basedOn w:val="DefaultParagraphFont"/>
    <w:link w:val="Footer"/>
    <w:rsid w:val="004C56F2"/>
  </w:style>
  <w:style w:type="table" w:styleId="TableGrid">
    <w:name w:val="Table Grid"/>
    <w:basedOn w:val="TableNormal"/>
    <w:uiPriority w:val="39"/>
    <w:rsid w:val="00DB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7A8A"/>
    <w:rPr>
      <w:sz w:val="20"/>
      <w:szCs w:val="20"/>
    </w:rPr>
  </w:style>
  <w:style w:type="character" w:customStyle="1" w:styleId="FootnoteTextChar">
    <w:name w:val="Footnote Text Char"/>
    <w:basedOn w:val="DefaultParagraphFont"/>
    <w:link w:val="FootnoteText"/>
    <w:uiPriority w:val="99"/>
    <w:semiHidden/>
    <w:rsid w:val="00327A8A"/>
    <w:rPr>
      <w:sz w:val="20"/>
      <w:szCs w:val="20"/>
    </w:rPr>
  </w:style>
  <w:style w:type="character" w:styleId="FootnoteReference">
    <w:name w:val="footnote reference"/>
    <w:basedOn w:val="DefaultParagraphFont"/>
    <w:uiPriority w:val="99"/>
    <w:semiHidden/>
    <w:unhideWhenUsed/>
    <w:rsid w:val="00327A8A"/>
    <w:rPr>
      <w:vertAlign w:val="superscript"/>
    </w:rPr>
  </w:style>
  <w:style w:type="character" w:styleId="PageNumber">
    <w:name w:val="page number"/>
    <w:basedOn w:val="DefaultParagraphFont"/>
    <w:semiHidden/>
    <w:rsid w:val="00332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FE71-8072-4A02-BAB7-3DB648267E0A}"/>
</file>

<file path=customXml/itemProps2.xml><?xml version="1.0" encoding="utf-8"?>
<ds:datastoreItem xmlns:ds="http://schemas.openxmlformats.org/officeDocument/2006/customXml" ds:itemID="{6F45332A-CF04-4134-87FF-FB3532241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EB8FE6-59B0-4464-A29A-79D7436949F7}">
  <ds:schemaRefs>
    <ds:schemaRef ds:uri="http://schemas.microsoft.com/sharepoint/v3/contenttype/forms"/>
  </ds:schemaRefs>
</ds:datastoreItem>
</file>

<file path=customXml/itemProps4.xml><?xml version="1.0" encoding="utf-8"?>
<ds:datastoreItem xmlns:ds="http://schemas.openxmlformats.org/officeDocument/2006/customXml" ds:itemID="{48983DEF-F267-487B-8CD7-8650C482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13038</Words>
  <Characters>7433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2021-09-30T05:46:00Z</dcterms:created>
  <dcterms:modified xsi:type="dcterms:W3CDTF">2022-01-10T09:51:00Z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