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9A01C" w14:textId="77777777" w:rsidR="00C7777E" w:rsidRDefault="00C7777E" w:rsidP="00C7777E">
      <w:pPr>
        <w:rPr>
          <w:rFonts w:ascii="Times New Roman" w:hAnsi="Times New Roman"/>
          <w:b/>
          <w:color w:val="000000" w:themeColor="text1"/>
          <w:sz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668"/>
        <w:gridCol w:w="1806"/>
        <w:gridCol w:w="3657"/>
      </w:tblGrid>
      <w:tr w:rsidR="00C7777E" w14:paraId="4F01970C" w14:textId="77777777" w:rsidTr="00B97EF6">
        <w:tc>
          <w:tcPr>
            <w:tcW w:w="3668" w:type="dxa"/>
          </w:tcPr>
          <w:p w14:paraId="7D9FF2FD" w14:textId="77777777" w:rsidR="00C7777E" w:rsidRDefault="00C7777E" w:rsidP="0024656C">
            <w:pPr>
              <w:jc w:val="both"/>
              <w:rPr>
                <w:rFonts w:ascii="Times New Roman" w:eastAsia="Times New Roman" w:hAnsi="Times New Roman" w:cs="Times New Roman"/>
                <w:noProof/>
                <w:sz w:val="24"/>
                <w:szCs w:val="20"/>
              </w:rPr>
            </w:pPr>
            <w:r>
              <w:rPr>
                <w:rFonts w:ascii="Times New Roman" w:hAnsi="Times New Roman"/>
                <w:noProof/>
                <w:sz w:val="24"/>
              </w:rPr>
              <w:drawing>
                <wp:inline distT="0" distB="0" distL="0" distR="0" wp14:anchorId="7BC84577" wp14:editId="4D1DE5E8">
                  <wp:extent cx="1933575" cy="9144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3575" cy="914400"/>
                          </a:xfrm>
                          <a:prstGeom prst="rect">
                            <a:avLst/>
                          </a:prstGeom>
                          <a:noFill/>
                          <a:ln>
                            <a:noFill/>
                          </a:ln>
                        </pic:spPr>
                      </pic:pic>
                    </a:graphicData>
                  </a:graphic>
                </wp:inline>
              </w:drawing>
            </w:r>
          </w:p>
        </w:tc>
        <w:tc>
          <w:tcPr>
            <w:tcW w:w="1806" w:type="dxa"/>
          </w:tcPr>
          <w:p w14:paraId="0B530FA7" w14:textId="77777777" w:rsidR="00C7777E" w:rsidRDefault="00C7777E" w:rsidP="0024656C">
            <w:pPr>
              <w:jc w:val="right"/>
              <w:rPr>
                <w:rFonts w:ascii="Times New Roman" w:hAnsi="Times New Roman"/>
                <w:sz w:val="24"/>
              </w:rPr>
            </w:pPr>
          </w:p>
        </w:tc>
        <w:tc>
          <w:tcPr>
            <w:tcW w:w="3657" w:type="dxa"/>
            <w:vAlign w:val="bottom"/>
          </w:tcPr>
          <w:p w14:paraId="7C39C32D" w14:textId="58929B0C" w:rsidR="00C7777E" w:rsidRDefault="00C7777E" w:rsidP="0024656C">
            <w:pPr>
              <w:jc w:val="right"/>
              <w:rPr>
                <w:rFonts w:ascii="Times New Roman" w:eastAsia="Times New Roman" w:hAnsi="Times New Roman" w:cs="Times New Roman"/>
                <w:noProof/>
                <w:sz w:val="24"/>
                <w:szCs w:val="20"/>
              </w:rPr>
            </w:pPr>
            <w:r>
              <w:rPr>
                <w:rFonts w:ascii="Times New Roman" w:hAnsi="Times New Roman"/>
                <w:sz w:val="24"/>
              </w:rPr>
              <w:t>EFSA Journal 2012;10(7):2814</w:t>
            </w:r>
          </w:p>
        </w:tc>
      </w:tr>
      <w:tr w:rsidR="00C7777E" w14:paraId="2D7EFD4D" w14:textId="77777777" w:rsidTr="00B97EF6">
        <w:tc>
          <w:tcPr>
            <w:tcW w:w="3668" w:type="dxa"/>
          </w:tcPr>
          <w:p w14:paraId="0B0C9163" w14:textId="77777777" w:rsidR="00C7777E" w:rsidRDefault="00C7777E" w:rsidP="0024656C">
            <w:pPr>
              <w:jc w:val="both"/>
              <w:rPr>
                <w:rFonts w:ascii="Times New Roman" w:eastAsia="Times New Roman" w:hAnsi="Times New Roman" w:cs="Times New Roman"/>
                <w:noProof/>
                <w:sz w:val="24"/>
                <w:szCs w:val="20"/>
              </w:rPr>
            </w:pPr>
            <w:r>
              <w:rPr>
                <w:rFonts w:ascii="Times New Roman" w:hAnsi="Times New Roman"/>
                <w:sz w:val="24"/>
              </w:rPr>
              <w:t>Eiropas Pārtikas nekaitīguma iestāde</w:t>
            </w:r>
          </w:p>
        </w:tc>
        <w:tc>
          <w:tcPr>
            <w:tcW w:w="1806" w:type="dxa"/>
          </w:tcPr>
          <w:p w14:paraId="7345B499" w14:textId="77777777" w:rsidR="00C7777E" w:rsidRDefault="00C7777E" w:rsidP="0024656C">
            <w:pPr>
              <w:jc w:val="both"/>
              <w:rPr>
                <w:rFonts w:ascii="Times New Roman" w:eastAsia="Times New Roman" w:hAnsi="Times New Roman" w:cs="Times New Roman"/>
                <w:noProof/>
                <w:sz w:val="24"/>
                <w:szCs w:val="20"/>
              </w:rPr>
            </w:pPr>
          </w:p>
        </w:tc>
        <w:tc>
          <w:tcPr>
            <w:tcW w:w="3657" w:type="dxa"/>
          </w:tcPr>
          <w:p w14:paraId="7C323743" w14:textId="66FC2C8B" w:rsidR="00C7777E" w:rsidRDefault="00C7777E" w:rsidP="0024656C">
            <w:pPr>
              <w:jc w:val="both"/>
              <w:rPr>
                <w:rFonts w:ascii="Times New Roman" w:eastAsia="Times New Roman" w:hAnsi="Times New Roman" w:cs="Times New Roman"/>
                <w:noProof/>
                <w:sz w:val="24"/>
                <w:szCs w:val="20"/>
              </w:rPr>
            </w:pPr>
          </w:p>
        </w:tc>
      </w:tr>
    </w:tbl>
    <w:p w14:paraId="21C2695B" w14:textId="77777777" w:rsidR="00C7777E" w:rsidRDefault="00C7777E" w:rsidP="008131C2">
      <w:pPr>
        <w:jc w:val="center"/>
        <w:rPr>
          <w:rFonts w:ascii="Times New Roman" w:hAnsi="Times New Roman"/>
          <w:b/>
          <w:color w:val="000000" w:themeColor="text1"/>
          <w:sz w:val="24"/>
        </w:rPr>
      </w:pPr>
    </w:p>
    <w:p w14:paraId="6E0863F3" w14:textId="3A508979" w:rsidR="00562491" w:rsidRPr="00D91B35" w:rsidRDefault="00562491" w:rsidP="008131C2">
      <w:pPr>
        <w:jc w:val="center"/>
        <w:rPr>
          <w:rFonts w:ascii="Times New Roman" w:hAnsi="Times New Roman"/>
          <w:b/>
          <w:noProof/>
          <w:color w:val="000000" w:themeColor="text1"/>
          <w:sz w:val="24"/>
        </w:rPr>
      </w:pPr>
      <w:r>
        <w:rPr>
          <w:rFonts w:ascii="Times New Roman" w:hAnsi="Times New Roman"/>
          <w:b/>
          <w:color w:val="000000" w:themeColor="text1"/>
          <w:sz w:val="24"/>
        </w:rPr>
        <w:t>ZINĀTNISKAIS ATZINUMS</w:t>
      </w:r>
    </w:p>
    <w:p w14:paraId="52EF430F" w14:textId="77777777" w:rsidR="00562491" w:rsidRPr="00D91B35" w:rsidRDefault="00562491" w:rsidP="008131C2">
      <w:pPr>
        <w:jc w:val="center"/>
        <w:rPr>
          <w:rFonts w:ascii="Times New Roman" w:eastAsia="Times New Roman" w:hAnsi="Times New Roman" w:cs="Times New Roman"/>
          <w:b/>
          <w:noProof/>
          <w:color w:val="000000" w:themeColor="text1"/>
          <w:sz w:val="24"/>
          <w:szCs w:val="28"/>
        </w:rPr>
      </w:pPr>
    </w:p>
    <w:p w14:paraId="3FEC71F0" w14:textId="6A6F75ED" w:rsidR="00562491" w:rsidRPr="00D91B35" w:rsidRDefault="00562491" w:rsidP="008131C2">
      <w:pPr>
        <w:jc w:val="center"/>
        <w:rPr>
          <w:rFonts w:ascii="Times New Roman" w:eastAsia="Times New Roman" w:hAnsi="Times New Roman" w:cs="Times New Roman"/>
          <w:b/>
          <w:noProof/>
          <w:color w:val="000000" w:themeColor="text1"/>
          <w:sz w:val="24"/>
          <w:szCs w:val="18"/>
        </w:rPr>
      </w:pPr>
      <w:r>
        <w:rPr>
          <w:rFonts w:ascii="Times New Roman" w:hAnsi="Times New Roman"/>
          <w:b/>
          <w:color w:val="000000" w:themeColor="text1"/>
          <w:sz w:val="24"/>
        </w:rPr>
        <w:t>Zinātniskais atzinums par pieļaujamo augstāko uzņemamo kalcija daudzumu</w:t>
      </w:r>
      <w:r w:rsidR="008131C2" w:rsidRPr="00D91B35">
        <w:rPr>
          <w:rStyle w:val="Vresatsauce"/>
          <w:rFonts w:ascii="Times New Roman" w:hAnsi="Times New Roman"/>
          <w:b/>
          <w:noProof/>
          <w:color w:val="000000" w:themeColor="text1"/>
          <w:sz w:val="24"/>
        </w:rPr>
        <w:footnoteReference w:id="1"/>
      </w:r>
    </w:p>
    <w:p w14:paraId="382DDD5F" w14:textId="77777777" w:rsidR="00F252DE" w:rsidRDefault="00F252DE" w:rsidP="008131C2">
      <w:pPr>
        <w:jc w:val="center"/>
        <w:rPr>
          <w:rFonts w:ascii="Times New Roman" w:hAnsi="Times New Roman"/>
          <w:b/>
          <w:bCs/>
          <w:i/>
          <w:iCs/>
          <w:color w:val="000000" w:themeColor="text1"/>
          <w:sz w:val="24"/>
        </w:rPr>
      </w:pPr>
    </w:p>
    <w:p w14:paraId="6CDBD5B5" w14:textId="64875DFF" w:rsidR="00562491" w:rsidRPr="00D91B35" w:rsidRDefault="00562491" w:rsidP="008131C2">
      <w:pPr>
        <w:jc w:val="center"/>
        <w:rPr>
          <w:rFonts w:ascii="Times New Roman" w:eastAsia="Times New Roman" w:hAnsi="Times New Roman" w:cs="Times New Roman"/>
          <w:b/>
          <w:noProof/>
          <w:color w:val="000000" w:themeColor="text1"/>
          <w:sz w:val="24"/>
          <w:szCs w:val="16"/>
        </w:rPr>
      </w:pPr>
      <w:r>
        <w:rPr>
          <w:rFonts w:ascii="Times New Roman" w:hAnsi="Times New Roman"/>
          <w:b/>
          <w:bCs/>
          <w:i/>
          <w:iCs/>
          <w:color w:val="000000" w:themeColor="text1"/>
          <w:sz w:val="24"/>
        </w:rPr>
        <w:t>EFSA</w:t>
      </w:r>
      <w:r>
        <w:rPr>
          <w:rFonts w:ascii="Times New Roman" w:hAnsi="Times New Roman"/>
          <w:b/>
          <w:bCs/>
          <w:color w:val="000000" w:themeColor="text1"/>
          <w:sz w:val="24"/>
        </w:rPr>
        <w:t xml:space="preserve"> Diētisko produktu, uztura un alerģiju zinātnes ekspertu grupa (</w:t>
      </w:r>
      <w:r>
        <w:rPr>
          <w:rFonts w:ascii="Times New Roman" w:hAnsi="Times New Roman"/>
          <w:b/>
          <w:bCs/>
          <w:i/>
          <w:iCs/>
          <w:color w:val="000000" w:themeColor="text1"/>
          <w:sz w:val="24"/>
        </w:rPr>
        <w:t>NDA</w:t>
      </w:r>
      <w:r>
        <w:rPr>
          <w:rFonts w:ascii="Times New Roman" w:hAnsi="Times New Roman"/>
          <w:b/>
          <w:bCs/>
          <w:color w:val="000000" w:themeColor="text1"/>
          <w:sz w:val="24"/>
        </w:rPr>
        <w:t>)</w:t>
      </w:r>
      <w:r w:rsidR="008131C2" w:rsidRPr="00D91B35">
        <w:rPr>
          <w:rStyle w:val="Vresatsauce"/>
          <w:rFonts w:ascii="Times New Roman" w:hAnsi="Times New Roman"/>
          <w:b/>
          <w:noProof/>
          <w:color w:val="000000" w:themeColor="text1"/>
          <w:sz w:val="24"/>
        </w:rPr>
        <w:footnoteReference w:id="2"/>
      </w:r>
      <w:r>
        <w:rPr>
          <w:rFonts w:ascii="Times New Roman" w:hAnsi="Times New Roman"/>
          <w:b/>
          <w:color w:val="000000" w:themeColor="text1"/>
          <w:sz w:val="24"/>
          <w:vertAlign w:val="superscript"/>
        </w:rPr>
        <w:t>,</w:t>
      </w:r>
      <w:r w:rsidR="008131C2" w:rsidRPr="00D91B35">
        <w:rPr>
          <w:rStyle w:val="Vresatsauce"/>
          <w:rFonts w:ascii="Times New Roman" w:hAnsi="Times New Roman"/>
          <w:b/>
          <w:noProof/>
          <w:color w:val="000000" w:themeColor="text1"/>
          <w:sz w:val="24"/>
        </w:rPr>
        <w:footnoteReference w:id="3"/>
      </w:r>
    </w:p>
    <w:p w14:paraId="55B6E1FA" w14:textId="77777777" w:rsidR="00F252DE" w:rsidRDefault="00F252DE" w:rsidP="008131C2">
      <w:pPr>
        <w:pStyle w:val="Pamatteksts"/>
        <w:spacing w:before="0"/>
        <w:ind w:left="0"/>
        <w:jc w:val="center"/>
        <w:rPr>
          <w:color w:val="000000" w:themeColor="text1"/>
          <w:sz w:val="24"/>
        </w:rPr>
      </w:pPr>
    </w:p>
    <w:p w14:paraId="48A27292" w14:textId="52926844" w:rsidR="00562491" w:rsidRPr="00BE71C6" w:rsidRDefault="00562491" w:rsidP="008131C2">
      <w:pPr>
        <w:pStyle w:val="Pamatteksts"/>
        <w:spacing w:before="0"/>
        <w:ind w:left="0"/>
        <w:jc w:val="center"/>
        <w:rPr>
          <w:bCs/>
          <w:noProof/>
          <w:color w:val="000000" w:themeColor="text1"/>
          <w:sz w:val="24"/>
        </w:rPr>
      </w:pPr>
      <w:r>
        <w:rPr>
          <w:color w:val="000000" w:themeColor="text1"/>
          <w:sz w:val="24"/>
        </w:rPr>
        <w:t>Eiropas Pārtikas nekaitīguma iestāde (</w:t>
      </w:r>
      <w:r>
        <w:rPr>
          <w:i/>
          <w:iCs/>
          <w:color w:val="000000" w:themeColor="text1"/>
          <w:sz w:val="24"/>
        </w:rPr>
        <w:t>EFSA</w:t>
      </w:r>
      <w:r>
        <w:rPr>
          <w:color w:val="000000" w:themeColor="text1"/>
          <w:sz w:val="24"/>
        </w:rPr>
        <w:t>), Parma, Itālija</w:t>
      </w:r>
    </w:p>
    <w:p w14:paraId="1B122195" w14:textId="77777777" w:rsidR="00562491" w:rsidRPr="00D91B35" w:rsidRDefault="00562491" w:rsidP="008131C2">
      <w:pPr>
        <w:jc w:val="both"/>
        <w:rPr>
          <w:rFonts w:ascii="Times New Roman" w:eastAsia="Times New Roman" w:hAnsi="Times New Roman" w:cs="Times New Roman"/>
          <w:bCs/>
          <w:noProof/>
          <w:color w:val="000000" w:themeColor="text1"/>
          <w:sz w:val="24"/>
          <w:szCs w:val="32"/>
        </w:rPr>
      </w:pPr>
    </w:p>
    <w:p w14:paraId="219F231A" w14:textId="6AEFBC08" w:rsidR="00562491" w:rsidRPr="00993AF1" w:rsidRDefault="006454D7" w:rsidP="00993AF1">
      <w:pPr>
        <w:pStyle w:val="Virsraksts1"/>
        <w:tabs>
          <w:tab w:val="left" w:pos="726"/>
        </w:tabs>
        <w:ind w:left="0" w:firstLine="0"/>
        <w:jc w:val="both"/>
        <w:rPr>
          <w:color w:val="000000" w:themeColor="text1"/>
          <w:sz w:val="24"/>
        </w:rPr>
      </w:pPr>
      <w:bookmarkStart w:id="0" w:name="_bookmark0"/>
      <w:bookmarkStart w:id="1" w:name="_Toc73454038"/>
      <w:bookmarkEnd w:id="0"/>
      <w:r>
        <w:rPr>
          <w:color w:val="000000" w:themeColor="text1"/>
          <w:sz w:val="24"/>
        </w:rPr>
        <w:t>REZUMĒJUMS</w:t>
      </w:r>
      <w:bookmarkEnd w:id="1"/>
    </w:p>
    <w:p w14:paraId="7B968629" w14:textId="77777777" w:rsidR="00993AF1" w:rsidRDefault="00993AF1" w:rsidP="008131C2">
      <w:pPr>
        <w:jc w:val="both"/>
        <w:rPr>
          <w:rFonts w:ascii="Times New Roman" w:hAnsi="Times New Roman"/>
          <w:color w:val="000000" w:themeColor="text1"/>
          <w:sz w:val="24"/>
        </w:rPr>
      </w:pPr>
    </w:p>
    <w:p w14:paraId="71126B58" w14:textId="594D0A71" w:rsidR="00562491" w:rsidRPr="00D91B35" w:rsidRDefault="00562491" w:rsidP="008131C2">
      <w:pPr>
        <w:jc w:val="both"/>
        <w:rPr>
          <w:rFonts w:ascii="Times New Roman" w:hAnsi="Times New Roman"/>
          <w:bCs/>
          <w:noProof/>
          <w:color w:val="000000" w:themeColor="text1"/>
          <w:sz w:val="24"/>
        </w:rPr>
      </w:pPr>
      <w:r>
        <w:rPr>
          <w:rFonts w:ascii="Times New Roman" w:hAnsi="Times New Roman"/>
          <w:color w:val="000000" w:themeColor="text1"/>
          <w:sz w:val="24"/>
        </w:rPr>
        <w:t>Saskaņā ar Eiropas Komisijas pieprasījumu Diētisko produktu, uztura un alerģiju zinātnes ekspertu grupai lūdza atkārtoti izvērtēt kalcija lietošanas nekaitīgumu. Ekspertu grupai lūdza apsvērt, vai, ņemot vērā no jauna gūtos pierādījumus, jāmaina pieļaujamais augstākais uzņemamais daudzums (AD), ko Pārtikas zinātniskā komiteja (</w:t>
      </w:r>
      <w:r>
        <w:rPr>
          <w:rFonts w:ascii="Times New Roman" w:hAnsi="Times New Roman"/>
          <w:i/>
          <w:iCs/>
          <w:color w:val="000000" w:themeColor="text1"/>
          <w:sz w:val="24"/>
        </w:rPr>
        <w:t>SCF</w:t>
      </w:r>
      <w:r>
        <w:rPr>
          <w:rFonts w:ascii="Times New Roman" w:hAnsi="Times New Roman"/>
          <w:color w:val="000000" w:themeColor="text1"/>
          <w:sz w:val="24"/>
        </w:rPr>
        <w:t xml:space="preserve">) 2003. gadā noteica kalcijam (2500 mg dienā pieaugušajiem, ieskaitot grūtniecēm un sievietēm laktācijas periodā) un ko pamato dažādi, ilgstoši iejaukšanās pētījumi, kuros ar uzturu un uztura bagātinātājiem uzņemta 2500 mg liela kalcija deva neradīja kaitīgu ietekmi. Vairāki kopš tā laika publicēti ar pieaugušiem cilvēkiem veikti placebo kontrolēti iejaukšanās pētījumi arī parādīja, ka 2500 mg kalcija kopējā diennakts deva, kas uzņemta gan ar uzturu, gan uztura bagātinātājiem, nerada kaitīgu ietekmi. Ekspertu grupa uzskata, ka nav noteikta saistība starp ilgstošu kalcija uzņemšanu ar uzturu un uztura bagātinātājiem un paaugstinātu nefrolitiāzes, sirds un asinsvadu slimību vai prostatas vēža risku. Jauni dati, kuru dēļ būtu jāpārskata 2500 mg </w:t>
      </w:r>
      <w:r>
        <w:rPr>
          <w:rFonts w:ascii="Times New Roman" w:hAnsi="Times New Roman"/>
          <w:color w:val="000000" w:themeColor="text1"/>
          <w:sz w:val="24"/>
        </w:rPr>
        <w:lastRenderedPageBreak/>
        <w:t>kalcija AD pieaugušajiem, ieskaitot grūtniecēm un sievietēm laktācijas periodā, nav pieejami. Nav jaunu datu, kas ļautu noteikt AD zīdaiņiem, bērniem vai pusaudžiem. Dati par Eiropas iedzīvotājiem norāda, ka kalcija devas, ko uzņem pieauguši vīrieši ar augstu kalcija patēriņu, var būt tuvas AD. Lai gan pieejamie dati neļauj noteikt AD zīdaiņiem, bērniem vai pusaudžiem, nav konstatēts ar kalcija uzņemšanu saistīts risks šajās vecuma grupās tiem, kuri to pašreiz patērē visvairāk. © Eiropas Pārtikas nekaitīguma iestāde, 2012.</w:t>
      </w:r>
    </w:p>
    <w:p w14:paraId="6AACF312"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07F5ED28" w14:textId="77777777" w:rsidR="00562491" w:rsidRPr="00D91B35" w:rsidRDefault="00562491" w:rsidP="008131C2">
      <w:pPr>
        <w:jc w:val="both"/>
        <w:rPr>
          <w:rFonts w:ascii="Times New Roman" w:eastAsia="Times New Roman" w:hAnsi="Times New Roman" w:cs="Times New Roman"/>
          <w:bCs/>
          <w:noProof/>
          <w:color w:val="000000" w:themeColor="text1"/>
          <w:sz w:val="24"/>
        </w:rPr>
      </w:pPr>
    </w:p>
    <w:p w14:paraId="0097D56D" w14:textId="77777777" w:rsidR="00562491" w:rsidRPr="00D91B35" w:rsidRDefault="00562491" w:rsidP="008131C2">
      <w:pPr>
        <w:jc w:val="both"/>
        <w:rPr>
          <w:rFonts w:ascii="Times New Roman" w:eastAsia="Times New Roman" w:hAnsi="Times New Roman" w:cs="Times New Roman"/>
          <w:b/>
          <w:noProof/>
          <w:color w:val="000000" w:themeColor="text1"/>
          <w:sz w:val="24"/>
          <w:szCs w:val="18"/>
        </w:rPr>
      </w:pPr>
      <w:r>
        <w:rPr>
          <w:rFonts w:ascii="Times New Roman" w:hAnsi="Times New Roman"/>
          <w:b/>
          <w:color w:val="000000" w:themeColor="text1"/>
          <w:sz w:val="24"/>
        </w:rPr>
        <w:t>ATSLĒGVĀRDI</w:t>
      </w:r>
    </w:p>
    <w:p w14:paraId="080550AD" w14:textId="77777777" w:rsidR="00145AFC" w:rsidRDefault="00145AFC" w:rsidP="008131C2">
      <w:pPr>
        <w:jc w:val="both"/>
        <w:rPr>
          <w:rFonts w:ascii="Times New Roman" w:hAnsi="Times New Roman"/>
          <w:color w:val="000000" w:themeColor="text1"/>
          <w:sz w:val="24"/>
        </w:rPr>
      </w:pPr>
    </w:p>
    <w:p w14:paraId="4ABA5C30" w14:textId="784EF476" w:rsidR="008131C2" w:rsidRPr="00D91B35" w:rsidRDefault="00562491" w:rsidP="008131C2">
      <w:pPr>
        <w:jc w:val="both"/>
        <w:rPr>
          <w:rFonts w:ascii="Times New Roman" w:hAnsi="Times New Roman"/>
          <w:bCs/>
          <w:noProof/>
          <w:color w:val="000000" w:themeColor="text1"/>
          <w:sz w:val="24"/>
        </w:rPr>
      </w:pPr>
      <w:r>
        <w:rPr>
          <w:rFonts w:ascii="Times New Roman" w:hAnsi="Times New Roman"/>
          <w:color w:val="000000" w:themeColor="text1"/>
          <w:sz w:val="24"/>
        </w:rPr>
        <w:t>Kalcijs, uztura bagātinātāji, hiperkalcēmija, hiperkalciūrija, AD, nekaitīgums.</w:t>
      </w:r>
    </w:p>
    <w:p w14:paraId="050F6D79" w14:textId="77777777" w:rsidR="008131C2" w:rsidRPr="00D91B35" w:rsidRDefault="008131C2" w:rsidP="008131C2">
      <w:pPr>
        <w:jc w:val="both"/>
        <w:rPr>
          <w:rFonts w:ascii="Times New Roman" w:hAnsi="Times New Roman" w:cs="Times New Roman"/>
          <w:bCs/>
          <w:noProof/>
          <w:color w:val="000000" w:themeColor="text1"/>
          <w:sz w:val="24"/>
        </w:rPr>
      </w:pPr>
      <w:r>
        <w:br w:type="page"/>
      </w:r>
    </w:p>
    <w:p w14:paraId="6023A297" w14:textId="00DEF952" w:rsidR="00562491" w:rsidRPr="00993AF1" w:rsidRDefault="00562491" w:rsidP="00993AF1">
      <w:pPr>
        <w:pStyle w:val="Virsraksts1"/>
        <w:tabs>
          <w:tab w:val="left" w:pos="726"/>
        </w:tabs>
        <w:ind w:left="0" w:firstLine="0"/>
        <w:jc w:val="both"/>
        <w:rPr>
          <w:color w:val="000000" w:themeColor="text1"/>
          <w:sz w:val="24"/>
        </w:rPr>
      </w:pPr>
      <w:bookmarkStart w:id="2" w:name="_Toc73454039"/>
      <w:r>
        <w:rPr>
          <w:color w:val="000000" w:themeColor="text1"/>
          <w:sz w:val="24"/>
        </w:rPr>
        <w:lastRenderedPageBreak/>
        <w:t>KOPSAVILKUMS</w:t>
      </w:r>
      <w:bookmarkStart w:id="3" w:name="_bookmark1"/>
      <w:bookmarkEnd w:id="3"/>
      <w:bookmarkEnd w:id="2"/>
    </w:p>
    <w:p w14:paraId="5EB625A3" w14:textId="77777777" w:rsidR="0058316C" w:rsidRDefault="0058316C" w:rsidP="008131C2">
      <w:pPr>
        <w:pStyle w:val="Pamatteksts"/>
        <w:spacing w:before="0"/>
        <w:ind w:left="0"/>
        <w:jc w:val="both"/>
        <w:rPr>
          <w:color w:val="000000" w:themeColor="text1"/>
          <w:sz w:val="24"/>
        </w:rPr>
      </w:pPr>
    </w:p>
    <w:p w14:paraId="52217177" w14:textId="7B1B3B12" w:rsidR="00562491" w:rsidRPr="00D91B35" w:rsidRDefault="00562491" w:rsidP="008131C2">
      <w:pPr>
        <w:pStyle w:val="Pamatteksts"/>
        <w:spacing w:before="0"/>
        <w:ind w:left="0"/>
        <w:jc w:val="both"/>
        <w:rPr>
          <w:bCs/>
          <w:noProof/>
          <w:color w:val="000000" w:themeColor="text1"/>
          <w:sz w:val="24"/>
        </w:rPr>
      </w:pPr>
      <w:r>
        <w:rPr>
          <w:color w:val="000000" w:themeColor="text1"/>
          <w:sz w:val="24"/>
        </w:rPr>
        <w:t>Saskaņā ar Eiropas Komisijas pieprasījumu Diētisko produktu, uztura un alerģiju zinātnes ekspertu grupai lūdza atkārtoti izvērtēt kalcija lietošanas nekaitīgumu un, ja nepieciešams, sniegt pārskatītas pieļaujamo augstāko uzņemamo kalcija daudzumu (AD) visām attiecīgajām iedzīvotāju grupām.</w:t>
      </w:r>
    </w:p>
    <w:p w14:paraId="680AD0AC"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01F44CA7" w14:textId="77777777" w:rsidR="00562491" w:rsidRPr="00D91B35" w:rsidRDefault="00562491" w:rsidP="008131C2">
      <w:pPr>
        <w:pStyle w:val="Pamatteksts"/>
        <w:spacing w:before="0"/>
        <w:ind w:left="0"/>
        <w:jc w:val="both"/>
        <w:rPr>
          <w:bCs/>
          <w:noProof/>
          <w:color w:val="000000" w:themeColor="text1"/>
          <w:sz w:val="24"/>
        </w:rPr>
      </w:pPr>
      <w:r>
        <w:rPr>
          <w:color w:val="000000" w:themeColor="text1"/>
          <w:sz w:val="24"/>
        </w:rPr>
        <w:t>Kalcijam ir svarīga nozīme zobu un kaulu veselībā, šūnu signālpārnesē, koagulācijā, muskuļu kontrakcijās, neiroimpulsu pārnesē un daudzās citās funkcijās. Kalcijs ir piektais visplašāk izplatītais elements cilvēka organismā. Cilvēka organismā aptuveni 99 % no kopējā kalcija daudzuma atrodas kaulos un zobos, galvenokārt kalcija hidroksiapatīta veidā. Kaulos esošā minerālviela nodrošina ķermeņa struktūru un izturību, kā arī kalcija rezerves, kas palīdz saglabāt pastāvīgu kalcija koncentrāciju asinīs.</w:t>
      </w:r>
    </w:p>
    <w:p w14:paraId="142D40F1"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27211FB7" w14:textId="77777777" w:rsidR="00562491" w:rsidRPr="00D91B35" w:rsidRDefault="00562491" w:rsidP="008131C2">
      <w:pPr>
        <w:pStyle w:val="Pamatteksts"/>
        <w:spacing w:before="0"/>
        <w:ind w:left="0"/>
        <w:jc w:val="both"/>
        <w:rPr>
          <w:bCs/>
          <w:noProof/>
          <w:color w:val="000000" w:themeColor="text1"/>
          <w:sz w:val="24"/>
        </w:rPr>
      </w:pPr>
      <w:r>
        <w:rPr>
          <w:color w:val="000000" w:themeColor="text1"/>
          <w:sz w:val="24"/>
        </w:rPr>
        <w:t>Pārtikas produktos kalcija saturs ir ļoti atšķirīgs. Vislabākie avoti ir piens un piena produkti, kas nodrošina apmēram 45 līdz 70 % no kalcija, ko Eiropā uzņem ar uzturu. Daži augi, dzeramais ūdens un minerālūdens, kā arī uztura bagātinātāji arī ir labi kalcija avoti, no kuriem uzņemtais kalcijs viegli absorbējas.</w:t>
      </w:r>
    </w:p>
    <w:p w14:paraId="3CCA88DF"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40F1A13D" w14:textId="77777777" w:rsidR="00562491" w:rsidRPr="00D91B35" w:rsidRDefault="00562491" w:rsidP="008131C2">
      <w:pPr>
        <w:pStyle w:val="Pamatteksts"/>
        <w:spacing w:before="0"/>
        <w:ind w:left="0"/>
        <w:jc w:val="both"/>
        <w:rPr>
          <w:bCs/>
          <w:noProof/>
          <w:color w:val="000000" w:themeColor="text1"/>
          <w:sz w:val="24"/>
        </w:rPr>
      </w:pPr>
      <w:r>
        <w:rPr>
          <w:color w:val="000000" w:themeColor="text1"/>
          <w:sz w:val="24"/>
        </w:rPr>
        <w:t>Ir rosināts domāt par vairākām potenciāli kaitīgām ietekmēm, ko rada pārmērīgu kalcija devu uzņemšana. Starp tām minēta hiperkalciūrija, nieru darbības pasliktināšanās, nierakmeņu veidošanās, piena alkāliju sindroms (PAS), asinsvadu pārkaļķošanās, paaugstināts sirds un asinsvadu slimību risks un paaugstināts prostatas vēža risks.</w:t>
      </w:r>
    </w:p>
    <w:p w14:paraId="10C36CEA"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343618FC" w14:textId="1E728162" w:rsidR="00562491" w:rsidRPr="00D91B35" w:rsidRDefault="00562491" w:rsidP="008131C2">
      <w:pPr>
        <w:pStyle w:val="Pamatteksts"/>
        <w:spacing w:before="0"/>
        <w:ind w:left="0"/>
        <w:jc w:val="both"/>
        <w:rPr>
          <w:bCs/>
          <w:noProof/>
          <w:color w:val="000000" w:themeColor="text1"/>
          <w:sz w:val="24"/>
        </w:rPr>
      </w:pPr>
      <w:r>
        <w:rPr>
          <w:color w:val="000000" w:themeColor="text1"/>
          <w:sz w:val="24"/>
        </w:rPr>
        <w:t>Pārtikas zinātniskā komiteja (</w:t>
      </w:r>
      <w:r>
        <w:rPr>
          <w:i/>
          <w:iCs/>
          <w:color w:val="000000" w:themeColor="text1"/>
          <w:sz w:val="24"/>
        </w:rPr>
        <w:t>SCF</w:t>
      </w:r>
      <w:r>
        <w:rPr>
          <w:color w:val="000000" w:themeColor="text1"/>
          <w:sz w:val="24"/>
        </w:rPr>
        <w:t>) (2003) pamatoja savus secinājumus par kalcija AD ar pierādījumiem, kas gūti dažādos, ilgstošos iejaukšanās pētījumos, dažkārt veicot kontroli ar placebo, kuros ar uzturu un uztura bagātinātājiem uzņemta 2500 mg liela kalcija kopējā diennakts deva neradīja kaitīgu ietekmi. Daudzo datu dēļ nenoteiktības koeficienta piemērošana uzskatīta par lieku. Ierosinātā kalcija AD pieaugušajiem, kā arī grūtniecēm un sievietēm laktācijas periodā, ņemot vērā visus kalcija avotus, bija 2500 mg dienā.</w:t>
      </w:r>
    </w:p>
    <w:p w14:paraId="1A695C6F"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570BBC7B" w14:textId="77777777" w:rsidR="00562491" w:rsidRPr="00D91B35" w:rsidRDefault="00562491" w:rsidP="008131C2">
      <w:pPr>
        <w:pStyle w:val="Pamatteksts"/>
        <w:spacing w:before="0"/>
        <w:ind w:left="0"/>
        <w:jc w:val="both"/>
        <w:rPr>
          <w:bCs/>
          <w:noProof/>
          <w:color w:val="000000" w:themeColor="text1"/>
          <w:sz w:val="24"/>
        </w:rPr>
      </w:pPr>
      <w:r>
        <w:rPr>
          <w:color w:val="000000" w:themeColor="text1"/>
          <w:sz w:val="24"/>
        </w:rPr>
        <w:t>Vairāki kopš tā laika publicēti placebo kontrolēti iejaukšanās pētījumi starp pieaugušajiem arī parāda, ka 2500 mg kalcija kopējā diennakts deva, ko uzņem gan ar uzturu, gan uztura bagātinātājiem, nerada kaitīgu ietekmi.</w:t>
      </w:r>
    </w:p>
    <w:p w14:paraId="784A9053"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5F8FB198" w14:textId="77777777" w:rsidR="00562491" w:rsidRPr="00D91B35" w:rsidRDefault="00562491" w:rsidP="008131C2">
      <w:pPr>
        <w:pStyle w:val="Pamatteksts"/>
        <w:spacing w:before="0"/>
        <w:ind w:left="0"/>
        <w:jc w:val="both"/>
        <w:rPr>
          <w:bCs/>
          <w:noProof/>
          <w:color w:val="000000" w:themeColor="text1"/>
          <w:sz w:val="24"/>
        </w:rPr>
      </w:pPr>
      <w:r>
        <w:rPr>
          <w:color w:val="000000" w:themeColor="text1"/>
          <w:sz w:val="24"/>
        </w:rPr>
        <w:t>Ekspertu grupa atzīmē, ka tagad ir pieejami jauni gadījumu apraksti par kalcija uztura bagātinātāju patēriņu un PAS/KAS sindromu. Tomēr ekspertu grupa uzskata, ka no tiem nevar iegūt informāciju par saistību starp devu un reakciju.</w:t>
      </w:r>
    </w:p>
    <w:p w14:paraId="269CEE5C"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6D71069A" w14:textId="77777777" w:rsidR="00562491" w:rsidRPr="00D91B35" w:rsidRDefault="00562491" w:rsidP="008131C2">
      <w:pPr>
        <w:pStyle w:val="Pamatteksts"/>
        <w:spacing w:before="0"/>
        <w:ind w:left="0"/>
        <w:jc w:val="both"/>
        <w:rPr>
          <w:bCs/>
          <w:noProof/>
          <w:color w:val="000000" w:themeColor="text1"/>
          <w:sz w:val="24"/>
        </w:rPr>
      </w:pPr>
      <w:r>
        <w:rPr>
          <w:color w:val="000000" w:themeColor="text1"/>
          <w:sz w:val="24"/>
        </w:rPr>
        <w:t>Ekspertu grupa uzskata, ka nav noteikta saistība starp ilgstošu kalcija uzņemšanu ar uzturu un uztura bagātinātājiem un paaugstinātu nefrolitiāzes, sirds un asinsvadu slimību vai prostatas vēža risku.</w:t>
      </w:r>
    </w:p>
    <w:p w14:paraId="24173137"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28C7DAC8" w14:textId="77777777" w:rsidR="00562491" w:rsidRPr="00D91B35" w:rsidRDefault="00562491" w:rsidP="008131C2">
      <w:pPr>
        <w:pStyle w:val="Pamatteksts"/>
        <w:spacing w:before="0"/>
        <w:ind w:left="0"/>
        <w:jc w:val="both"/>
        <w:rPr>
          <w:bCs/>
          <w:noProof/>
          <w:color w:val="000000" w:themeColor="text1"/>
          <w:sz w:val="24"/>
        </w:rPr>
      </w:pPr>
      <w:r>
        <w:rPr>
          <w:color w:val="000000" w:themeColor="text1"/>
          <w:sz w:val="24"/>
        </w:rPr>
        <w:t>Ekspertu grupa secina, ka jauni dati, kuru dēļ būtu jāpārskata 2500 mg kalcija AD pieaugušajiem, ieskaitot grūtniecēm un sievietēm laktācijas periodā, nav kļuvuši pieejami, nedz arī ir pieejami jauni dati, kas ļautu noteikt AD zīdaiņiem, bērniem vai pusaudžiem.</w:t>
      </w:r>
    </w:p>
    <w:p w14:paraId="1620EF4B"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314A9D22" w14:textId="4B7908BF" w:rsidR="008131C2" w:rsidRPr="00D91B35" w:rsidRDefault="00562491" w:rsidP="008131C2">
      <w:pPr>
        <w:pStyle w:val="Pamatteksts"/>
        <w:spacing w:before="0"/>
        <w:ind w:left="0"/>
        <w:jc w:val="both"/>
        <w:rPr>
          <w:bCs/>
          <w:noProof/>
          <w:color w:val="000000" w:themeColor="text1"/>
          <w:sz w:val="24"/>
        </w:rPr>
      </w:pPr>
      <w:r>
        <w:rPr>
          <w:color w:val="000000" w:themeColor="text1"/>
          <w:sz w:val="24"/>
        </w:rPr>
        <w:t>Dati par Eiropas populācijām norāda, ka kalcija devas, ko uzņem pieauguši vīrieši ar augstu kalcija patēriņu, var būt tuvas AD. Lai gan pieejamie dati neļauj noteikt AD zīdaiņiem, bērniem vai pusaudžiem, nav konstatēts ar kalcija uzņemšanu saistīts risks šajās vecuma grupās tiem, kuri to pašreiz patērē visvairāk.</w:t>
      </w:r>
      <w:r w:rsidR="008131C2">
        <w:br w:type="page"/>
      </w:r>
    </w:p>
    <w:p w14:paraId="5D806C0E" w14:textId="6DBAC5FE" w:rsidR="00562491" w:rsidRPr="00993AF1" w:rsidRDefault="00562491" w:rsidP="00993AF1">
      <w:pPr>
        <w:pStyle w:val="Virsraksts1"/>
        <w:tabs>
          <w:tab w:val="left" w:pos="726"/>
        </w:tabs>
        <w:ind w:left="0" w:firstLine="0"/>
        <w:jc w:val="both"/>
        <w:rPr>
          <w:color w:val="000000" w:themeColor="text1"/>
          <w:sz w:val="24"/>
        </w:rPr>
      </w:pPr>
      <w:bookmarkStart w:id="4" w:name="_Toc73454040"/>
      <w:r>
        <w:rPr>
          <w:color w:val="000000" w:themeColor="text1"/>
          <w:sz w:val="24"/>
        </w:rPr>
        <w:lastRenderedPageBreak/>
        <w:t>SATURS</w:t>
      </w:r>
      <w:bookmarkStart w:id="5" w:name="_bookmark2"/>
      <w:bookmarkEnd w:id="5"/>
      <w:bookmarkEnd w:id="4"/>
    </w:p>
    <w:p w14:paraId="354E0847" w14:textId="77777777" w:rsidR="0058316C" w:rsidRPr="0058316C" w:rsidRDefault="0058316C" w:rsidP="008131C2">
      <w:pPr>
        <w:jc w:val="both"/>
        <w:rPr>
          <w:rFonts w:ascii="Times New Roman" w:hAnsi="Times New Roman" w:cs="Times New Roman"/>
          <w:sz w:val="24"/>
          <w:szCs w:val="24"/>
        </w:rPr>
      </w:pPr>
    </w:p>
    <w:sdt>
      <w:sdtPr>
        <w:rPr>
          <w:rFonts w:ascii="Times New Roman" w:hAnsi="Times New Roman" w:cs="Times New Roman"/>
          <w:color w:val="auto"/>
          <w:sz w:val="24"/>
          <w:szCs w:val="24"/>
        </w:rPr>
        <w:id w:val="-442610436"/>
        <w:docPartObj>
          <w:docPartGallery w:val="Table of Contents"/>
          <w:docPartUnique/>
        </w:docPartObj>
      </w:sdtPr>
      <w:sdtEndPr>
        <w:rPr>
          <w:rFonts w:eastAsiaTheme="minorHAnsi"/>
          <w:b/>
          <w:bCs/>
          <w:lang w:eastAsia="en-US"/>
        </w:rPr>
      </w:sdtEndPr>
      <w:sdtContent>
        <w:p w14:paraId="7C3FB803" w14:textId="44402B48" w:rsidR="00C70282" w:rsidRPr="0019644D" w:rsidRDefault="00C70282" w:rsidP="0019644D">
          <w:pPr>
            <w:pStyle w:val="Saturardtjavirsraksts"/>
            <w:keepNext w:val="0"/>
            <w:keepLines w:val="0"/>
            <w:spacing w:before="0" w:line="240" w:lineRule="auto"/>
            <w:jc w:val="both"/>
            <w:rPr>
              <w:rFonts w:ascii="Times New Roman" w:hAnsi="Times New Roman" w:cs="Times New Roman"/>
              <w:color w:val="auto"/>
              <w:sz w:val="24"/>
              <w:szCs w:val="24"/>
            </w:rPr>
          </w:pPr>
        </w:p>
        <w:p w14:paraId="377F6A60" w14:textId="0C11805E" w:rsidR="0019644D" w:rsidRPr="0019644D" w:rsidRDefault="00C70282" w:rsidP="0019644D">
          <w:pPr>
            <w:pStyle w:val="Saturs1"/>
            <w:tabs>
              <w:tab w:val="right" w:leader="dot" w:pos="9065"/>
            </w:tabs>
            <w:spacing w:before="0"/>
            <w:ind w:left="0"/>
            <w:rPr>
              <w:rFonts w:asciiTheme="minorHAnsi" w:eastAsiaTheme="minorEastAsia" w:hAnsiTheme="minorHAnsi"/>
              <w:noProof/>
              <w:sz w:val="24"/>
              <w:szCs w:val="24"/>
              <w:lang w:eastAsia="lv-LV"/>
            </w:rPr>
          </w:pPr>
          <w:r w:rsidRPr="0019644D">
            <w:rPr>
              <w:rFonts w:cs="Times New Roman"/>
              <w:sz w:val="24"/>
              <w:szCs w:val="24"/>
            </w:rPr>
            <w:fldChar w:fldCharType="begin"/>
          </w:r>
          <w:r w:rsidRPr="0019644D">
            <w:rPr>
              <w:rFonts w:cs="Times New Roman"/>
              <w:sz w:val="24"/>
              <w:szCs w:val="24"/>
            </w:rPr>
            <w:instrText xml:space="preserve"> TOC \o "1-3" \h \z \u </w:instrText>
          </w:r>
          <w:r w:rsidRPr="0019644D">
            <w:rPr>
              <w:rFonts w:cs="Times New Roman"/>
              <w:sz w:val="24"/>
              <w:szCs w:val="24"/>
            </w:rPr>
            <w:fldChar w:fldCharType="separate"/>
          </w:r>
          <w:hyperlink w:anchor="_Toc73454038" w:history="1">
            <w:r w:rsidR="0019644D" w:rsidRPr="0019644D">
              <w:rPr>
                <w:rStyle w:val="Hipersaite"/>
                <w:noProof/>
                <w:color w:val="auto"/>
                <w:sz w:val="24"/>
                <w:szCs w:val="24"/>
              </w:rPr>
              <w:t>REZUMĒJUMS</w:t>
            </w:r>
            <w:r w:rsidR="0019644D" w:rsidRPr="0019644D">
              <w:rPr>
                <w:noProof/>
                <w:webHidden/>
                <w:sz w:val="24"/>
                <w:szCs w:val="24"/>
              </w:rPr>
              <w:tab/>
            </w:r>
            <w:r w:rsidR="0019644D" w:rsidRPr="0019644D">
              <w:rPr>
                <w:noProof/>
                <w:webHidden/>
                <w:sz w:val="24"/>
                <w:szCs w:val="24"/>
              </w:rPr>
              <w:fldChar w:fldCharType="begin"/>
            </w:r>
            <w:r w:rsidR="0019644D" w:rsidRPr="0019644D">
              <w:rPr>
                <w:noProof/>
                <w:webHidden/>
                <w:sz w:val="24"/>
                <w:szCs w:val="24"/>
              </w:rPr>
              <w:instrText xml:space="preserve"> PAGEREF _Toc73454038 \h </w:instrText>
            </w:r>
            <w:r w:rsidR="0019644D" w:rsidRPr="0019644D">
              <w:rPr>
                <w:noProof/>
                <w:webHidden/>
                <w:sz w:val="24"/>
                <w:szCs w:val="24"/>
              </w:rPr>
            </w:r>
            <w:r w:rsidR="0019644D" w:rsidRPr="0019644D">
              <w:rPr>
                <w:noProof/>
                <w:webHidden/>
                <w:sz w:val="24"/>
                <w:szCs w:val="24"/>
              </w:rPr>
              <w:fldChar w:fldCharType="separate"/>
            </w:r>
            <w:r w:rsidR="0019644D" w:rsidRPr="0019644D">
              <w:rPr>
                <w:noProof/>
                <w:webHidden/>
                <w:sz w:val="24"/>
                <w:szCs w:val="24"/>
              </w:rPr>
              <w:t>1</w:t>
            </w:r>
            <w:r w:rsidR="0019644D" w:rsidRPr="0019644D">
              <w:rPr>
                <w:noProof/>
                <w:webHidden/>
                <w:sz w:val="24"/>
                <w:szCs w:val="24"/>
              </w:rPr>
              <w:fldChar w:fldCharType="end"/>
            </w:r>
          </w:hyperlink>
        </w:p>
        <w:p w14:paraId="2E20AA56" w14:textId="21FB7212" w:rsidR="0019644D" w:rsidRPr="0019644D" w:rsidRDefault="0019644D" w:rsidP="0019644D">
          <w:pPr>
            <w:pStyle w:val="Saturs1"/>
            <w:tabs>
              <w:tab w:val="right" w:leader="dot" w:pos="9065"/>
            </w:tabs>
            <w:spacing w:before="0"/>
            <w:ind w:left="0"/>
            <w:rPr>
              <w:rFonts w:asciiTheme="minorHAnsi" w:eastAsiaTheme="minorEastAsia" w:hAnsiTheme="minorHAnsi"/>
              <w:noProof/>
              <w:sz w:val="24"/>
              <w:szCs w:val="24"/>
              <w:lang w:eastAsia="lv-LV"/>
            </w:rPr>
          </w:pPr>
          <w:hyperlink w:anchor="_Toc73454039" w:history="1">
            <w:r w:rsidRPr="0019644D">
              <w:rPr>
                <w:rStyle w:val="Hipersaite"/>
                <w:noProof/>
                <w:color w:val="auto"/>
                <w:sz w:val="24"/>
                <w:szCs w:val="24"/>
              </w:rPr>
              <w:t>KOPSAVILKUMS</w:t>
            </w:r>
            <w:r w:rsidRPr="0019644D">
              <w:rPr>
                <w:noProof/>
                <w:webHidden/>
                <w:sz w:val="24"/>
                <w:szCs w:val="24"/>
              </w:rPr>
              <w:tab/>
            </w:r>
            <w:r w:rsidRPr="0019644D">
              <w:rPr>
                <w:noProof/>
                <w:webHidden/>
                <w:sz w:val="24"/>
                <w:szCs w:val="24"/>
              </w:rPr>
              <w:fldChar w:fldCharType="begin"/>
            </w:r>
            <w:r w:rsidRPr="0019644D">
              <w:rPr>
                <w:noProof/>
                <w:webHidden/>
                <w:sz w:val="24"/>
                <w:szCs w:val="24"/>
              </w:rPr>
              <w:instrText xml:space="preserve"> PAGEREF _Toc73454039 \h </w:instrText>
            </w:r>
            <w:r w:rsidRPr="0019644D">
              <w:rPr>
                <w:noProof/>
                <w:webHidden/>
                <w:sz w:val="24"/>
                <w:szCs w:val="24"/>
              </w:rPr>
            </w:r>
            <w:r w:rsidRPr="0019644D">
              <w:rPr>
                <w:noProof/>
                <w:webHidden/>
                <w:sz w:val="24"/>
                <w:szCs w:val="24"/>
              </w:rPr>
              <w:fldChar w:fldCharType="separate"/>
            </w:r>
            <w:r w:rsidRPr="0019644D">
              <w:rPr>
                <w:noProof/>
                <w:webHidden/>
                <w:sz w:val="24"/>
                <w:szCs w:val="24"/>
              </w:rPr>
              <w:t>3</w:t>
            </w:r>
            <w:r w:rsidRPr="0019644D">
              <w:rPr>
                <w:noProof/>
                <w:webHidden/>
                <w:sz w:val="24"/>
                <w:szCs w:val="24"/>
              </w:rPr>
              <w:fldChar w:fldCharType="end"/>
            </w:r>
          </w:hyperlink>
        </w:p>
        <w:p w14:paraId="36336754" w14:textId="4A2C829F" w:rsidR="0019644D" w:rsidRPr="0019644D" w:rsidRDefault="0019644D" w:rsidP="0019644D">
          <w:pPr>
            <w:pStyle w:val="Saturs1"/>
            <w:tabs>
              <w:tab w:val="right" w:leader="dot" w:pos="9065"/>
            </w:tabs>
            <w:spacing w:before="0"/>
            <w:ind w:left="0"/>
            <w:rPr>
              <w:rFonts w:asciiTheme="minorHAnsi" w:eastAsiaTheme="minorEastAsia" w:hAnsiTheme="minorHAnsi"/>
              <w:noProof/>
              <w:sz w:val="24"/>
              <w:szCs w:val="24"/>
              <w:lang w:eastAsia="lv-LV"/>
            </w:rPr>
          </w:pPr>
          <w:hyperlink w:anchor="_Toc73454040" w:history="1">
            <w:r w:rsidRPr="0019644D">
              <w:rPr>
                <w:rStyle w:val="Hipersaite"/>
                <w:noProof/>
                <w:color w:val="auto"/>
                <w:sz w:val="24"/>
                <w:szCs w:val="24"/>
              </w:rPr>
              <w:t>SATURS</w:t>
            </w:r>
            <w:r w:rsidRPr="0019644D">
              <w:rPr>
                <w:noProof/>
                <w:webHidden/>
                <w:sz w:val="24"/>
                <w:szCs w:val="24"/>
              </w:rPr>
              <w:tab/>
            </w:r>
            <w:r w:rsidRPr="0019644D">
              <w:rPr>
                <w:noProof/>
                <w:webHidden/>
                <w:sz w:val="24"/>
                <w:szCs w:val="24"/>
              </w:rPr>
              <w:fldChar w:fldCharType="begin"/>
            </w:r>
            <w:r w:rsidRPr="0019644D">
              <w:rPr>
                <w:noProof/>
                <w:webHidden/>
                <w:sz w:val="24"/>
                <w:szCs w:val="24"/>
              </w:rPr>
              <w:instrText xml:space="preserve"> PAGEREF _Toc73454040 \h </w:instrText>
            </w:r>
            <w:r w:rsidRPr="0019644D">
              <w:rPr>
                <w:noProof/>
                <w:webHidden/>
                <w:sz w:val="24"/>
                <w:szCs w:val="24"/>
              </w:rPr>
            </w:r>
            <w:r w:rsidRPr="0019644D">
              <w:rPr>
                <w:noProof/>
                <w:webHidden/>
                <w:sz w:val="24"/>
                <w:szCs w:val="24"/>
              </w:rPr>
              <w:fldChar w:fldCharType="separate"/>
            </w:r>
            <w:r w:rsidRPr="0019644D">
              <w:rPr>
                <w:noProof/>
                <w:webHidden/>
                <w:sz w:val="24"/>
                <w:szCs w:val="24"/>
              </w:rPr>
              <w:t>4</w:t>
            </w:r>
            <w:r w:rsidRPr="0019644D">
              <w:rPr>
                <w:noProof/>
                <w:webHidden/>
                <w:sz w:val="24"/>
                <w:szCs w:val="24"/>
              </w:rPr>
              <w:fldChar w:fldCharType="end"/>
            </w:r>
          </w:hyperlink>
        </w:p>
        <w:p w14:paraId="6D0FE34B" w14:textId="319D6DE5" w:rsidR="0019644D" w:rsidRPr="0019644D" w:rsidRDefault="0019644D" w:rsidP="0019644D">
          <w:pPr>
            <w:pStyle w:val="Saturs1"/>
            <w:tabs>
              <w:tab w:val="right" w:leader="dot" w:pos="9065"/>
            </w:tabs>
            <w:spacing w:before="0"/>
            <w:ind w:left="0"/>
            <w:rPr>
              <w:rFonts w:asciiTheme="minorHAnsi" w:eastAsiaTheme="minorEastAsia" w:hAnsiTheme="minorHAnsi"/>
              <w:noProof/>
              <w:sz w:val="24"/>
              <w:szCs w:val="24"/>
              <w:lang w:eastAsia="lv-LV"/>
            </w:rPr>
          </w:pPr>
          <w:hyperlink w:anchor="_Toc73454041" w:history="1">
            <w:r w:rsidRPr="0019644D">
              <w:rPr>
                <w:rStyle w:val="Hipersaite"/>
                <w:noProof/>
                <w:color w:val="auto"/>
                <w:sz w:val="24"/>
                <w:szCs w:val="24"/>
              </w:rPr>
              <w:t>EIROPAS KOMISIJAS SNIEGTĀ VISPĀRĒJĀ INFORMĀCIJA</w:t>
            </w:r>
            <w:r w:rsidRPr="0019644D">
              <w:rPr>
                <w:noProof/>
                <w:webHidden/>
                <w:sz w:val="24"/>
                <w:szCs w:val="24"/>
              </w:rPr>
              <w:tab/>
            </w:r>
            <w:r w:rsidRPr="0019644D">
              <w:rPr>
                <w:noProof/>
                <w:webHidden/>
                <w:sz w:val="24"/>
                <w:szCs w:val="24"/>
              </w:rPr>
              <w:fldChar w:fldCharType="begin"/>
            </w:r>
            <w:r w:rsidRPr="0019644D">
              <w:rPr>
                <w:noProof/>
                <w:webHidden/>
                <w:sz w:val="24"/>
                <w:szCs w:val="24"/>
              </w:rPr>
              <w:instrText xml:space="preserve"> PAGEREF _Toc73454041 \h </w:instrText>
            </w:r>
            <w:r w:rsidRPr="0019644D">
              <w:rPr>
                <w:noProof/>
                <w:webHidden/>
                <w:sz w:val="24"/>
                <w:szCs w:val="24"/>
              </w:rPr>
            </w:r>
            <w:r w:rsidRPr="0019644D">
              <w:rPr>
                <w:noProof/>
                <w:webHidden/>
                <w:sz w:val="24"/>
                <w:szCs w:val="24"/>
              </w:rPr>
              <w:fldChar w:fldCharType="separate"/>
            </w:r>
            <w:r w:rsidRPr="0019644D">
              <w:rPr>
                <w:noProof/>
                <w:webHidden/>
                <w:sz w:val="24"/>
                <w:szCs w:val="24"/>
              </w:rPr>
              <w:t>5</w:t>
            </w:r>
            <w:r w:rsidRPr="0019644D">
              <w:rPr>
                <w:noProof/>
                <w:webHidden/>
                <w:sz w:val="24"/>
                <w:szCs w:val="24"/>
              </w:rPr>
              <w:fldChar w:fldCharType="end"/>
            </w:r>
          </w:hyperlink>
        </w:p>
        <w:p w14:paraId="158FB606" w14:textId="602B2752" w:rsidR="0019644D" w:rsidRPr="0019644D" w:rsidRDefault="0019644D" w:rsidP="0019644D">
          <w:pPr>
            <w:pStyle w:val="Saturs1"/>
            <w:tabs>
              <w:tab w:val="right" w:leader="dot" w:pos="9065"/>
            </w:tabs>
            <w:spacing w:before="0"/>
            <w:ind w:left="0"/>
            <w:rPr>
              <w:rFonts w:asciiTheme="minorHAnsi" w:eastAsiaTheme="minorEastAsia" w:hAnsiTheme="minorHAnsi"/>
              <w:noProof/>
              <w:sz w:val="24"/>
              <w:szCs w:val="24"/>
              <w:lang w:eastAsia="lv-LV"/>
            </w:rPr>
          </w:pPr>
          <w:hyperlink w:anchor="_Toc73454042" w:history="1">
            <w:r w:rsidRPr="0019644D">
              <w:rPr>
                <w:rStyle w:val="Hipersaite"/>
                <w:noProof/>
                <w:color w:val="auto"/>
                <w:sz w:val="24"/>
                <w:szCs w:val="24"/>
              </w:rPr>
              <w:t>EIROPAS KOMISIJAS SNIEGTAIS DARBA UZDEVUMS</w:t>
            </w:r>
            <w:r w:rsidRPr="0019644D">
              <w:rPr>
                <w:noProof/>
                <w:webHidden/>
                <w:sz w:val="24"/>
                <w:szCs w:val="24"/>
              </w:rPr>
              <w:tab/>
            </w:r>
            <w:r w:rsidRPr="0019644D">
              <w:rPr>
                <w:noProof/>
                <w:webHidden/>
                <w:sz w:val="24"/>
                <w:szCs w:val="24"/>
              </w:rPr>
              <w:fldChar w:fldCharType="begin"/>
            </w:r>
            <w:r w:rsidRPr="0019644D">
              <w:rPr>
                <w:noProof/>
                <w:webHidden/>
                <w:sz w:val="24"/>
                <w:szCs w:val="24"/>
              </w:rPr>
              <w:instrText xml:space="preserve"> PAGEREF _Toc73454042 \h </w:instrText>
            </w:r>
            <w:r w:rsidRPr="0019644D">
              <w:rPr>
                <w:noProof/>
                <w:webHidden/>
                <w:sz w:val="24"/>
                <w:szCs w:val="24"/>
              </w:rPr>
            </w:r>
            <w:r w:rsidRPr="0019644D">
              <w:rPr>
                <w:noProof/>
                <w:webHidden/>
                <w:sz w:val="24"/>
                <w:szCs w:val="24"/>
              </w:rPr>
              <w:fldChar w:fldCharType="separate"/>
            </w:r>
            <w:r w:rsidRPr="0019644D">
              <w:rPr>
                <w:noProof/>
                <w:webHidden/>
                <w:sz w:val="24"/>
                <w:szCs w:val="24"/>
              </w:rPr>
              <w:t>5</w:t>
            </w:r>
            <w:r w:rsidRPr="0019644D">
              <w:rPr>
                <w:noProof/>
                <w:webHidden/>
                <w:sz w:val="24"/>
                <w:szCs w:val="24"/>
              </w:rPr>
              <w:fldChar w:fldCharType="end"/>
            </w:r>
          </w:hyperlink>
        </w:p>
        <w:p w14:paraId="4546CEBC" w14:textId="10DFAA3E" w:rsidR="0019644D" w:rsidRPr="0019644D" w:rsidRDefault="0019644D" w:rsidP="0019644D">
          <w:pPr>
            <w:pStyle w:val="Saturs1"/>
            <w:tabs>
              <w:tab w:val="right" w:leader="dot" w:pos="9065"/>
            </w:tabs>
            <w:spacing w:before="0"/>
            <w:ind w:left="0"/>
            <w:rPr>
              <w:rFonts w:asciiTheme="minorHAnsi" w:eastAsiaTheme="minorEastAsia" w:hAnsiTheme="minorHAnsi"/>
              <w:noProof/>
              <w:sz w:val="24"/>
              <w:szCs w:val="24"/>
              <w:lang w:eastAsia="lv-LV"/>
            </w:rPr>
          </w:pPr>
          <w:hyperlink w:anchor="_Toc73454043" w:history="1">
            <w:r w:rsidRPr="0019644D">
              <w:rPr>
                <w:rStyle w:val="Hipersaite"/>
                <w:noProof/>
                <w:color w:val="auto"/>
                <w:sz w:val="24"/>
                <w:szCs w:val="24"/>
              </w:rPr>
              <w:t>NOVĒRTĒJUMS</w:t>
            </w:r>
            <w:r w:rsidRPr="0019644D">
              <w:rPr>
                <w:noProof/>
                <w:webHidden/>
                <w:sz w:val="24"/>
                <w:szCs w:val="24"/>
              </w:rPr>
              <w:tab/>
            </w:r>
            <w:r w:rsidRPr="0019644D">
              <w:rPr>
                <w:noProof/>
                <w:webHidden/>
                <w:sz w:val="24"/>
                <w:szCs w:val="24"/>
              </w:rPr>
              <w:fldChar w:fldCharType="begin"/>
            </w:r>
            <w:r w:rsidRPr="0019644D">
              <w:rPr>
                <w:noProof/>
                <w:webHidden/>
                <w:sz w:val="24"/>
                <w:szCs w:val="24"/>
              </w:rPr>
              <w:instrText xml:space="preserve"> PAGEREF _Toc73454043 \h </w:instrText>
            </w:r>
            <w:r w:rsidRPr="0019644D">
              <w:rPr>
                <w:noProof/>
                <w:webHidden/>
                <w:sz w:val="24"/>
                <w:szCs w:val="24"/>
              </w:rPr>
            </w:r>
            <w:r w:rsidRPr="0019644D">
              <w:rPr>
                <w:noProof/>
                <w:webHidden/>
                <w:sz w:val="24"/>
                <w:szCs w:val="24"/>
              </w:rPr>
              <w:fldChar w:fldCharType="separate"/>
            </w:r>
            <w:r w:rsidRPr="0019644D">
              <w:rPr>
                <w:noProof/>
                <w:webHidden/>
                <w:sz w:val="24"/>
                <w:szCs w:val="24"/>
              </w:rPr>
              <w:t>6</w:t>
            </w:r>
            <w:r w:rsidRPr="0019644D">
              <w:rPr>
                <w:noProof/>
                <w:webHidden/>
                <w:sz w:val="24"/>
                <w:szCs w:val="24"/>
              </w:rPr>
              <w:fldChar w:fldCharType="end"/>
            </w:r>
          </w:hyperlink>
        </w:p>
        <w:p w14:paraId="4875D1DF" w14:textId="3CBF9A03" w:rsidR="0019644D" w:rsidRPr="0019644D" w:rsidRDefault="0019644D" w:rsidP="0019644D">
          <w:pPr>
            <w:pStyle w:val="Saturs1"/>
            <w:tabs>
              <w:tab w:val="right" w:leader="dot" w:pos="9065"/>
            </w:tabs>
            <w:spacing w:before="0"/>
            <w:ind w:left="0"/>
            <w:rPr>
              <w:rFonts w:asciiTheme="minorHAnsi" w:eastAsiaTheme="minorEastAsia" w:hAnsiTheme="minorHAnsi"/>
              <w:noProof/>
              <w:sz w:val="24"/>
              <w:szCs w:val="24"/>
              <w:lang w:eastAsia="lv-LV"/>
            </w:rPr>
          </w:pPr>
          <w:hyperlink w:anchor="_Toc73454044" w:history="1">
            <w:r w:rsidRPr="0019644D">
              <w:rPr>
                <w:rStyle w:val="Hipersaite"/>
                <w:noProof/>
                <w:color w:val="auto"/>
                <w:sz w:val="24"/>
                <w:szCs w:val="24"/>
              </w:rPr>
              <w:t>1. Ievads</w:t>
            </w:r>
            <w:r w:rsidRPr="0019644D">
              <w:rPr>
                <w:noProof/>
                <w:webHidden/>
                <w:sz w:val="24"/>
                <w:szCs w:val="24"/>
              </w:rPr>
              <w:tab/>
            </w:r>
            <w:r w:rsidRPr="0019644D">
              <w:rPr>
                <w:noProof/>
                <w:webHidden/>
                <w:sz w:val="24"/>
                <w:szCs w:val="24"/>
              </w:rPr>
              <w:fldChar w:fldCharType="begin"/>
            </w:r>
            <w:r w:rsidRPr="0019644D">
              <w:rPr>
                <w:noProof/>
                <w:webHidden/>
                <w:sz w:val="24"/>
                <w:szCs w:val="24"/>
              </w:rPr>
              <w:instrText xml:space="preserve"> PAGEREF _Toc73454044 \h </w:instrText>
            </w:r>
            <w:r w:rsidRPr="0019644D">
              <w:rPr>
                <w:noProof/>
                <w:webHidden/>
                <w:sz w:val="24"/>
                <w:szCs w:val="24"/>
              </w:rPr>
            </w:r>
            <w:r w:rsidRPr="0019644D">
              <w:rPr>
                <w:noProof/>
                <w:webHidden/>
                <w:sz w:val="24"/>
                <w:szCs w:val="24"/>
              </w:rPr>
              <w:fldChar w:fldCharType="separate"/>
            </w:r>
            <w:r w:rsidRPr="0019644D">
              <w:rPr>
                <w:noProof/>
                <w:webHidden/>
                <w:sz w:val="24"/>
                <w:szCs w:val="24"/>
              </w:rPr>
              <w:t>6</w:t>
            </w:r>
            <w:r w:rsidRPr="0019644D">
              <w:rPr>
                <w:noProof/>
                <w:webHidden/>
                <w:sz w:val="24"/>
                <w:szCs w:val="24"/>
              </w:rPr>
              <w:fldChar w:fldCharType="end"/>
            </w:r>
          </w:hyperlink>
        </w:p>
        <w:p w14:paraId="6B012E1A" w14:textId="018DCEC2" w:rsidR="0019644D" w:rsidRPr="0019644D" w:rsidRDefault="0019644D" w:rsidP="0019644D">
          <w:pPr>
            <w:pStyle w:val="Saturs1"/>
            <w:tabs>
              <w:tab w:val="right" w:leader="dot" w:pos="9065"/>
            </w:tabs>
            <w:spacing w:before="0"/>
            <w:ind w:left="0"/>
            <w:rPr>
              <w:rFonts w:asciiTheme="minorHAnsi" w:eastAsiaTheme="minorEastAsia" w:hAnsiTheme="minorHAnsi"/>
              <w:noProof/>
              <w:sz w:val="24"/>
              <w:szCs w:val="24"/>
              <w:lang w:eastAsia="lv-LV"/>
            </w:rPr>
          </w:pPr>
          <w:hyperlink w:anchor="_Toc73454045" w:history="1">
            <w:r w:rsidRPr="0019644D">
              <w:rPr>
                <w:rStyle w:val="Hipersaite"/>
                <w:noProof/>
                <w:color w:val="auto"/>
                <w:sz w:val="24"/>
                <w:szCs w:val="24"/>
              </w:rPr>
              <w:t>2. Ar uzturu uzņemtās devas</w:t>
            </w:r>
            <w:r w:rsidRPr="0019644D">
              <w:rPr>
                <w:noProof/>
                <w:webHidden/>
                <w:sz w:val="24"/>
                <w:szCs w:val="24"/>
              </w:rPr>
              <w:tab/>
            </w:r>
            <w:r w:rsidRPr="0019644D">
              <w:rPr>
                <w:noProof/>
                <w:webHidden/>
                <w:sz w:val="24"/>
                <w:szCs w:val="24"/>
              </w:rPr>
              <w:fldChar w:fldCharType="begin"/>
            </w:r>
            <w:r w:rsidRPr="0019644D">
              <w:rPr>
                <w:noProof/>
                <w:webHidden/>
                <w:sz w:val="24"/>
                <w:szCs w:val="24"/>
              </w:rPr>
              <w:instrText xml:space="preserve"> PAGEREF _Toc73454045 \h </w:instrText>
            </w:r>
            <w:r w:rsidRPr="0019644D">
              <w:rPr>
                <w:noProof/>
                <w:webHidden/>
                <w:sz w:val="24"/>
                <w:szCs w:val="24"/>
              </w:rPr>
            </w:r>
            <w:r w:rsidRPr="0019644D">
              <w:rPr>
                <w:noProof/>
                <w:webHidden/>
                <w:sz w:val="24"/>
                <w:szCs w:val="24"/>
              </w:rPr>
              <w:fldChar w:fldCharType="separate"/>
            </w:r>
            <w:r w:rsidRPr="0019644D">
              <w:rPr>
                <w:noProof/>
                <w:webHidden/>
                <w:sz w:val="24"/>
                <w:szCs w:val="24"/>
              </w:rPr>
              <w:t>7</w:t>
            </w:r>
            <w:r w:rsidRPr="0019644D">
              <w:rPr>
                <w:noProof/>
                <w:webHidden/>
                <w:sz w:val="24"/>
                <w:szCs w:val="24"/>
              </w:rPr>
              <w:fldChar w:fldCharType="end"/>
            </w:r>
          </w:hyperlink>
        </w:p>
        <w:p w14:paraId="27529056" w14:textId="5D508497" w:rsidR="0019644D" w:rsidRPr="0019644D" w:rsidRDefault="0019644D" w:rsidP="0019644D">
          <w:pPr>
            <w:pStyle w:val="Saturs1"/>
            <w:tabs>
              <w:tab w:val="right" w:leader="dot" w:pos="9065"/>
            </w:tabs>
            <w:spacing w:before="0"/>
            <w:ind w:left="284"/>
            <w:rPr>
              <w:rFonts w:asciiTheme="minorHAnsi" w:eastAsiaTheme="minorEastAsia" w:hAnsiTheme="minorHAnsi"/>
              <w:noProof/>
              <w:sz w:val="24"/>
              <w:szCs w:val="24"/>
              <w:lang w:eastAsia="lv-LV"/>
            </w:rPr>
          </w:pPr>
          <w:hyperlink w:anchor="_Toc73454046" w:history="1">
            <w:r w:rsidRPr="0019644D">
              <w:rPr>
                <w:rStyle w:val="Hipersaite"/>
                <w:noProof/>
                <w:color w:val="auto"/>
                <w:sz w:val="24"/>
                <w:szCs w:val="24"/>
              </w:rPr>
              <w:t>2.1. Pārtikas avoti, tostarp uztura bagātinātāji</w:t>
            </w:r>
            <w:r w:rsidRPr="0019644D">
              <w:rPr>
                <w:noProof/>
                <w:webHidden/>
                <w:sz w:val="24"/>
                <w:szCs w:val="24"/>
              </w:rPr>
              <w:tab/>
            </w:r>
            <w:r w:rsidRPr="0019644D">
              <w:rPr>
                <w:noProof/>
                <w:webHidden/>
                <w:sz w:val="24"/>
                <w:szCs w:val="24"/>
              </w:rPr>
              <w:fldChar w:fldCharType="begin"/>
            </w:r>
            <w:r w:rsidRPr="0019644D">
              <w:rPr>
                <w:noProof/>
                <w:webHidden/>
                <w:sz w:val="24"/>
                <w:szCs w:val="24"/>
              </w:rPr>
              <w:instrText xml:space="preserve"> PAGEREF _Toc73454046 \h </w:instrText>
            </w:r>
            <w:r w:rsidRPr="0019644D">
              <w:rPr>
                <w:noProof/>
                <w:webHidden/>
                <w:sz w:val="24"/>
                <w:szCs w:val="24"/>
              </w:rPr>
            </w:r>
            <w:r w:rsidRPr="0019644D">
              <w:rPr>
                <w:noProof/>
                <w:webHidden/>
                <w:sz w:val="24"/>
                <w:szCs w:val="24"/>
              </w:rPr>
              <w:fldChar w:fldCharType="separate"/>
            </w:r>
            <w:r w:rsidRPr="0019644D">
              <w:rPr>
                <w:noProof/>
                <w:webHidden/>
                <w:sz w:val="24"/>
                <w:szCs w:val="24"/>
              </w:rPr>
              <w:t>7</w:t>
            </w:r>
            <w:r w:rsidRPr="0019644D">
              <w:rPr>
                <w:noProof/>
                <w:webHidden/>
                <w:sz w:val="24"/>
                <w:szCs w:val="24"/>
              </w:rPr>
              <w:fldChar w:fldCharType="end"/>
            </w:r>
          </w:hyperlink>
        </w:p>
        <w:p w14:paraId="2577F482" w14:textId="08B62D48" w:rsidR="0019644D" w:rsidRPr="0019644D" w:rsidRDefault="0019644D" w:rsidP="0019644D">
          <w:pPr>
            <w:pStyle w:val="Saturs1"/>
            <w:tabs>
              <w:tab w:val="right" w:leader="dot" w:pos="9065"/>
            </w:tabs>
            <w:spacing w:before="0"/>
            <w:ind w:left="284"/>
            <w:rPr>
              <w:rFonts w:asciiTheme="minorHAnsi" w:eastAsiaTheme="minorEastAsia" w:hAnsiTheme="minorHAnsi"/>
              <w:noProof/>
              <w:sz w:val="24"/>
              <w:szCs w:val="24"/>
              <w:lang w:eastAsia="lv-LV"/>
            </w:rPr>
          </w:pPr>
          <w:hyperlink w:anchor="_Toc73454047" w:history="1">
            <w:r w:rsidRPr="0019644D">
              <w:rPr>
                <w:rStyle w:val="Hipersaite"/>
                <w:noProof/>
                <w:color w:val="auto"/>
                <w:sz w:val="24"/>
                <w:szCs w:val="24"/>
              </w:rPr>
              <w:t>2.2. Ar uzturu uzņemtās devas</w:t>
            </w:r>
            <w:r w:rsidRPr="0019644D">
              <w:rPr>
                <w:noProof/>
                <w:webHidden/>
                <w:sz w:val="24"/>
                <w:szCs w:val="24"/>
              </w:rPr>
              <w:tab/>
            </w:r>
            <w:r w:rsidRPr="0019644D">
              <w:rPr>
                <w:noProof/>
                <w:webHidden/>
                <w:sz w:val="24"/>
                <w:szCs w:val="24"/>
              </w:rPr>
              <w:fldChar w:fldCharType="begin"/>
            </w:r>
            <w:r w:rsidRPr="0019644D">
              <w:rPr>
                <w:noProof/>
                <w:webHidden/>
                <w:sz w:val="24"/>
                <w:szCs w:val="24"/>
              </w:rPr>
              <w:instrText xml:space="preserve"> PAGEREF _Toc73454047 \h </w:instrText>
            </w:r>
            <w:r w:rsidRPr="0019644D">
              <w:rPr>
                <w:noProof/>
                <w:webHidden/>
                <w:sz w:val="24"/>
                <w:szCs w:val="24"/>
              </w:rPr>
            </w:r>
            <w:r w:rsidRPr="0019644D">
              <w:rPr>
                <w:noProof/>
                <w:webHidden/>
                <w:sz w:val="24"/>
                <w:szCs w:val="24"/>
              </w:rPr>
              <w:fldChar w:fldCharType="separate"/>
            </w:r>
            <w:r w:rsidRPr="0019644D">
              <w:rPr>
                <w:noProof/>
                <w:webHidden/>
                <w:sz w:val="24"/>
                <w:szCs w:val="24"/>
              </w:rPr>
              <w:t>7</w:t>
            </w:r>
            <w:r w:rsidRPr="0019644D">
              <w:rPr>
                <w:noProof/>
                <w:webHidden/>
                <w:sz w:val="24"/>
                <w:szCs w:val="24"/>
              </w:rPr>
              <w:fldChar w:fldCharType="end"/>
            </w:r>
          </w:hyperlink>
        </w:p>
        <w:p w14:paraId="05EBDAB9" w14:textId="102879E4" w:rsidR="0019644D" w:rsidRPr="0019644D" w:rsidRDefault="0019644D" w:rsidP="0019644D">
          <w:pPr>
            <w:pStyle w:val="Saturs1"/>
            <w:tabs>
              <w:tab w:val="right" w:leader="dot" w:pos="9065"/>
            </w:tabs>
            <w:spacing w:before="0"/>
            <w:ind w:left="567"/>
            <w:rPr>
              <w:rFonts w:asciiTheme="minorHAnsi" w:eastAsiaTheme="minorEastAsia" w:hAnsiTheme="minorHAnsi"/>
              <w:noProof/>
              <w:sz w:val="24"/>
              <w:szCs w:val="24"/>
              <w:lang w:eastAsia="lv-LV"/>
            </w:rPr>
          </w:pPr>
          <w:hyperlink w:anchor="_Toc73454048" w:history="1">
            <w:r w:rsidRPr="0019644D">
              <w:rPr>
                <w:rStyle w:val="Hipersaite"/>
                <w:noProof/>
                <w:color w:val="auto"/>
                <w:sz w:val="24"/>
                <w:szCs w:val="24"/>
              </w:rPr>
              <w:t>2.2.1. Pieaugušie</w:t>
            </w:r>
            <w:r w:rsidRPr="0019644D">
              <w:rPr>
                <w:noProof/>
                <w:webHidden/>
                <w:sz w:val="24"/>
                <w:szCs w:val="24"/>
              </w:rPr>
              <w:tab/>
            </w:r>
            <w:r w:rsidRPr="0019644D">
              <w:rPr>
                <w:noProof/>
                <w:webHidden/>
                <w:sz w:val="24"/>
                <w:szCs w:val="24"/>
              </w:rPr>
              <w:fldChar w:fldCharType="begin"/>
            </w:r>
            <w:r w:rsidRPr="0019644D">
              <w:rPr>
                <w:noProof/>
                <w:webHidden/>
                <w:sz w:val="24"/>
                <w:szCs w:val="24"/>
              </w:rPr>
              <w:instrText xml:space="preserve"> PAGEREF _Toc73454048 \h </w:instrText>
            </w:r>
            <w:r w:rsidRPr="0019644D">
              <w:rPr>
                <w:noProof/>
                <w:webHidden/>
                <w:sz w:val="24"/>
                <w:szCs w:val="24"/>
              </w:rPr>
            </w:r>
            <w:r w:rsidRPr="0019644D">
              <w:rPr>
                <w:noProof/>
                <w:webHidden/>
                <w:sz w:val="24"/>
                <w:szCs w:val="24"/>
              </w:rPr>
              <w:fldChar w:fldCharType="separate"/>
            </w:r>
            <w:r w:rsidRPr="0019644D">
              <w:rPr>
                <w:noProof/>
                <w:webHidden/>
                <w:sz w:val="24"/>
                <w:szCs w:val="24"/>
              </w:rPr>
              <w:t>7</w:t>
            </w:r>
            <w:r w:rsidRPr="0019644D">
              <w:rPr>
                <w:noProof/>
                <w:webHidden/>
                <w:sz w:val="24"/>
                <w:szCs w:val="24"/>
              </w:rPr>
              <w:fldChar w:fldCharType="end"/>
            </w:r>
          </w:hyperlink>
        </w:p>
        <w:p w14:paraId="4432A73A" w14:textId="0DB428C5" w:rsidR="0019644D" w:rsidRPr="0019644D" w:rsidRDefault="0019644D" w:rsidP="0019644D">
          <w:pPr>
            <w:pStyle w:val="Saturs1"/>
            <w:tabs>
              <w:tab w:val="right" w:leader="dot" w:pos="9065"/>
            </w:tabs>
            <w:spacing w:before="0"/>
            <w:ind w:left="567"/>
            <w:rPr>
              <w:rFonts w:asciiTheme="minorHAnsi" w:eastAsiaTheme="minorEastAsia" w:hAnsiTheme="minorHAnsi"/>
              <w:noProof/>
              <w:sz w:val="24"/>
              <w:szCs w:val="24"/>
              <w:lang w:eastAsia="lv-LV"/>
            </w:rPr>
          </w:pPr>
          <w:hyperlink w:anchor="_Toc73454049" w:history="1">
            <w:r w:rsidRPr="0019644D">
              <w:rPr>
                <w:rStyle w:val="Hipersaite"/>
                <w:noProof/>
                <w:color w:val="auto"/>
                <w:sz w:val="24"/>
                <w:szCs w:val="24"/>
              </w:rPr>
              <w:t>2.2.2. Zīdaiņi (≤ 1 gads)</w:t>
            </w:r>
            <w:r w:rsidRPr="0019644D">
              <w:rPr>
                <w:noProof/>
                <w:webHidden/>
                <w:sz w:val="24"/>
                <w:szCs w:val="24"/>
              </w:rPr>
              <w:tab/>
            </w:r>
            <w:r w:rsidRPr="0019644D">
              <w:rPr>
                <w:noProof/>
                <w:webHidden/>
                <w:sz w:val="24"/>
                <w:szCs w:val="24"/>
              </w:rPr>
              <w:fldChar w:fldCharType="begin"/>
            </w:r>
            <w:r w:rsidRPr="0019644D">
              <w:rPr>
                <w:noProof/>
                <w:webHidden/>
                <w:sz w:val="24"/>
                <w:szCs w:val="24"/>
              </w:rPr>
              <w:instrText xml:space="preserve"> PAGEREF _Toc73454049 \h </w:instrText>
            </w:r>
            <w:r w:rsidRPr="0019644D">
              <w:rPr>
                <w:noProof/>
                <w:webHidden/>
                <w:sz w:val="24"/>
                <w:szCs w:val="24"/>
              </w:rPr>
            </w:r>
            <w:r w:rsidRPr="0019644D">
              <w:rPr>
                <w:noProof/>
                <w:webHidden/>
                <w:sz w:val="24"/>
                <w:szCs w:val="24"/>
              </w:rPr>
              <w:fldChar w:fldCharType="separate"/>
            </w:r>
            <w:r w:rsidRPr="0019644D">
              <w:rPr>
                <w:noProof/>
                <w:webHidden/>
                <w:sz w:val="24"/>
                <w:szCs w:val="24"/>
              </w:rPr>
              <w:t>7</w:t>
            </w:r>
            <w:r w:rsidRPr="0019644D">
              <w:rPr>
                <w:noProof/>
                <w:webHidden/>
                <w:sz w:val="24"/>
                <w:szCs w:val="24"/>
              </w:rPr>
              <w:fldChar w:fldCharType="end"/>
            </w:r>
          </w:hyperlink>
        </w:p>
        <w:p w14:paraId="66462280" w14:textId="376D6A9D" w:rsidR="0019644D" w:rsidRPr="0019644D" w:rsidRDefault="0019644D" w:rsidP="0019644D">
          <w:pPr>
            <w:pStyle w:val="Saturs1"/>
            <w:tabs>
              <w:tab w:val="right" w:leader="dot" w:pos="9065"/>
            </w:tabs>
            <w:spacing w:before="0"/>
            <w:ind w:left="567"/>
            <w:rPr>
              <w:rFonts w:asciiTheme="minorHAnsi" w:eastAsiaTheme="minorEastAsia" w:hAnsiTheme="minorHAnsi"/>
              <w:noProof/>
              <w:sz w:val="24"/>
              <w:szCs w:val="24"/>
              <w:lang w:eastAsia="lv-LV"/>
            </w:rPr>
          </w:pPr>
          <w:hyperlink w:anchor="_Toc73454050" w:history="1">
            <w:r w:rsidRPr="0019644D">
              <w:rPr>
                <w:rStyle w:val="Hipersaite"/>
                <w:noProof/>
                <w:color w:val="auto"/>
                <w:sz w:val="24"/>
                <w:szCs w:val="24"/>
              </w:rPr>
              <w:t>2.2.3. Bērni (parasti no 1 līdz 14 gadiem)</w:t>
            </w:r>
            <w:r w:rsidRPr="0019644D">
              <w:rPr>
                <w:noProof/>
                <w:webHidden/>
                <w:sz w:val="24"/>
                <w:szCs w:val="24"/>
              </w:rPr>
              <w:tab/>
            </w:r>
            <w:r w:rsidRPr="0019644D">
              <w:rPr>
                <w:noProof/>
                <w:webHidden/>
                <w:sz w:val="24"/>
                <w:szCs w:val="24"/>
              </w:rPr>
              <w:fldChar w:fldCharType="begin"/>
            </w:r>
            <w:r w:rsidRPr="0019644D">
              <w:rPr>
                <w:noProof/>
                <w:webHidden/>
                <w:sz w:val="24"/>
                <w:szCs w:val="24"/>
              </w:rPr>
              <w:instrText xml:space="preserve"> PAGEREF _Toc73454050 \h </w:instrText>
            </w:r>
            <w:r w:rsidRPr="0019644D">
              <w:rPr>
                <w:noProof/>
                <w:webHidden/>
                <w:sz w:val="24"/>
                <w:szCs w:val="24"/>
              </w:rPr>
            </w:r>
            <w:r w:rsidRPr="0019644D">
              <w:rPr>
                <w:noProof/>
                <w:webHidden/>
                <w:sz w:val="24"/>
                <w:szCs w:val="24"/>
              </w:rPr>
              <w:fldChar w:fldCharType="separate"/>
            </w:r>
            <w:r w:rsidRPr="0019644D">
              <w:rPr>
                <w:noProof/>
                <w:webHidden/>
                <w:sz w:val="24"/>
                <w:szCs w:val="24"/>
              </w:rPr>
              <w:t>8</w:t>
            </w:r>
            <w:r w:rsidRPr="0019644D">
              <w:rPr>
                <w:noProof/>
                <w:webHidden/>
                <w:sz w:val="24"/>
                <w:szCs w:val="24"/>
              </w:rPr>
              <w:fldChar w:fldCharType="end"/>
            </w:r>
          </w:hyperlink>
        </w:p>
        <w:p w14:paraId="2BA67ED0" w14:textId="6D89599D" w:rsidR="0019644D" w:rsidRPr="0019644D" w:rsidRDefault="0019644D" w:rsidP="0019644D">
          <w:pPr>
            <w:pStyle w:val="Saturs1"/>
            <w:tabs>
              <w:tab w:val="right" w:leader="dot" w:pos="9065"/>
            </w:tabs>
            <w:spacing w:before="0"/>
            <w:ind w:left="567"/>
            <w:rPr>
              <w:rFonts w:asciiTheme="minorHAnsi" w:eastAsiaTheme="minorEastAsia" w:hAnsiTheme="minorHAnsi"/>
              <w:noProof/>
              <w:sz w:val="24"/>
              <w:szCs w:val="24"/>
              <w:lang w:eastAsia="lv-LV"/>
            </w:rPr>
          </w:pPr>
          <w:hyperlink w:anchor="_Toc73454051" w:history="1">
            <w:r w:rsidRPr="0019644D">
              <w:rPr>
                <w:rStyle w:val="Hipersaite"/>
                <w:noProof/>
                <w:color w:val="auto"/>
                <w:sz w:val="24"/>
                <w:szCs w:val="24"/>
              </w:rPr>
              <w:t>2.2.4. Pusaudži (parasti no 10 līdz 18 gadiem)</w:t>
            </w:r>
            <w:r w:rsidRPr="0019644D">
              <w:rPr>
                <w:noProof/>
                <w:webHidden/>
                <w:sz w:val="24"/>
                <w:szCs w:val="24"/>
              </w:rPr>
              <w:tab/>
            </w:r>
            <w:r w:rsidRPr="0019644D">
              <w:rPr>
                <w:noProof/>
                <w:webHidden/>
                <w:sz w:val="24"/>
                <w:szCs w:val="24"/>
              </w:rPr>
              <w:fldChar w:fldCharType="begin"/>
            </w:r>
            <w:r w:rsidRPr="0019644D">
              <w:rPr>
                <w:noProof/>
                <w:webHidden/>
                <w:sz w:val="24"/>
                <w:szCs w:val="24"/>
              </w:rPr>
              <w:instrText xml:space="preserve"> PAGEREF _Toc73454051 \h </w:instrText>
            </w:r>
            <w:r w:rsidRPr="0019644D">
              <w:rPr>
                <w:noProof/>
                <w:webHidden/>
                <w:sz w:val="24"/>
                <w:szCs w:val="24"/>
              </w:rPr>
            </w:r>
            <w:r w:rsidRPr="0019644D">
              <w:rPr>
                <w:noProof/>
                <w:webHidden/>
                <w:sz w:val="24"/>
                <w:szCs w:val="24"/>
              </w:rPr>
              <w:fldChar w:fldCharType="separate"/>
            </w:r>
            <w:r w:rsidRPr="0019644D">
              <w:rPr>
                <w:noProof/>
                <w:webHidden/>
                <w:sz w:val="24"/>
                <w:szCs w:val="24"/>
              </w:rPr>
              <w:t>8</w:t>
            </w:r>
            <w:r w:rsidRPr="0019644D">
              <w:rPr>
                <w:noProof/>
                <w:webHidden/>
                <w:sz w:val="24"/>
                <w:szCs w:val="24"/>
              </w:rPr>
              <w:fldChar w:fldCharType="end"/>
            </w:r>
          </w:hyperlink>
        </w:p>
        <w:p w14:paraId="2D5BC423" w14:textId="20D074C6" w:rsidR="0019644D" w:rsidRPr="0019644D" w:rsidRDefault="0019644D" w:rsidP="0019644D">
          <w:pPr>
            <w:pStyle w:val="Saturs1"/>
            <w:tabs>
              <w:tab w:val="right" w:leader="dot" w:pos="9065"/>
            </w:tabs>
            <w:spacing w:before="0"/>
            <w:ind w:left="0"/>
            <w:rPr>
              <w:rFonts w:asciiTheme="minorHAnsi" w:eastAsiaTheme="minorEastAsia" w:hAnsiTheme="minorHAnsi"/>
              <w:noProof/>
              <w:sz w:val="24"/>
              <w:szCs w:val="24"/>
              <w:lang w:eastAsia="lv-LV"/>
            </w:rPr>
          </w:pPr>
          <w:hyperlink w:anchor="_Toc73454052" w:history="1">
            <w:r w:rsidRPr="0019644D">
              <w:rPr>
                <w:rStyle w:val="Hipersaite"/>
                <w:noProof/>
                <w:color w:val="auto"/>
                <w:sz w:val="24"/>
                <w:szCs w:val="24"/>
              </w:rPr>
              <w:t>3. Apdraudējumu noteikšana</w:t>
            </w:r>
            <w:r w:rsidRPr="0019644D">
              <w:rPr>
                <w:noProof/>
                <w:webHidden/>
                <w:sz w:val="24"/>
                <w:szCs w:val="24"/>
              </w:rPr>
              <w:tab/>
            </w:r>
            <w:r w:rsidRPr="0019644D">
              <w:rPr>
                <w:noProof/>
                <w:webHidden/>
                <w:sz w:val="24"/>
                <w:szCs w:val="24"/>
              </w:rPr>
              <w:fldChar w:fldCharType="begin"/>
            </w:r>
            <w:r w:rsidRPr="0019644D">
              <w:rPr>
                <w:noProof/>
                <w:webHidden/>
                <w:sz w:val="24"/>
                <w:szCs w:val="24"/>
              </w:rPr>
              <w:instrText xml:space="preserve"> PAGEREF _Toc73454052 \h </w:instrText>
            </w:r>
            <w:r w:rsidRPr="0019644D">
              <w:rPr>
                <w:noProof/>
                <w:webHidden/>
                <w:sz w:val="24"/>
                <w:szCs w:val="24"/>
              </w:rPr>
            </w:r>
            <w:r w:rsidRPr="0019644D">
              <w:rPr>
                <w:noProof/>
                <w:webHidden/>
                <w:sz w:val="24"/>
                <w:szCs w:val="24"/>
              </w:rPr>
              <w:fldChar w:fldCharType="separate"/>
            </w:r>
            <w:r w:rsidRPr="0019644D">
              <w:rPr>
                <w:noProof/>
                <w:webHidden/>
                <w:sz w:val="24"/>
                <w:szCs w:val="24"/>
              </w:rPr>
              <w:t>8</w:t>
            </w:r>
            <w:r w:rsidRPr="0019644D">
              <w:rPr>
                <w:noProof/>
                <w:webHidden/>
                <w:sz w:val="24"/>
                <w:szCs w:val="24"/>
              </w:rPr>
              <w:fldChar w:fldCharType="end"/>
            </w:r>
          </w:hyperlink>
        </w:p>
        <w:p w14:paraId="34802CA3" w14:textId="29A4EE27" w:rsidR="0019644D" w:rsidRPr="0019644D" w:rsidRDefault="0019644D" w:rsidP="0019644D">
          <w:pPr>
            <w:pStyle w:val="Saturs1"/>
            <w:tabs>
              <w:tab w:val="right" w:leader="dot" w:pos="9065"/>
            </w:tabs>
            <w:spacing w:before="0"/>
            <w:ind w:left="284"/>
            <w:rPr>
              <w:rFonts w:asciiTheme="minorHAnsi" w:eastAsiaTheme="minorEastAsia" w:hAnsiTheme="minorHAnsi"/>
              <w:noProof/>
              <w:sz w:val="24"/>
              <w:szCs w:val="24"/>
              <w:lang w:eastAsia="lv-LV"/>
            </w:rPr>
          </w:pPr>
          <w:hyperlink w:anchor="_Toc73454053" w:history="1">
            <w:r w:rsidRPr="0019644D">
              <w:rPr>
                <w:rStyle w:val="Hipersaite"/>
                <w:noProof/>
                <w:color w:val="auto"/>
                <w:sz w:val="24"/>
                <w:szCs w:val="24"/>
              </w:rPr>
              <w:t>3.1. Kalcija fizioloģija un homeostāze</w:t>
            </w:r>
            <w:r w:rsidRPr="0019644D">
              <w:rPr>
                <w:noProof/>
                <w:webHidden/>
                <w:sz w:val="24"/>
                <w:szCs w:val="24"/>
              </w:rPr>
              <w:tab/>
            </w:r>
            <w:r w:rsidRPr="0019644D">
              <w:rPr>
                <w:noProof/>
                <w:webHidden/>
                <w:sz w:val="24"/>
                <w:szCs w:val="24"/>
              </w:rPr>
              <w:fldChar w:fldCharType="begin"/>
            </w:r>
            <w:r w:rsidRPr="0019644D">
              <w:rPr>
                <w:noProof/>
                <w:webHidden/>
                <w:sz w:val="24"/>
                <w:szCs w:val="24"/>
              </w:rPr>
              <w:instrText xml:space="preserve"> PAGEREF _Toc73454053 \h </w:instrText>
            </w:r>
            <w:r w:rsidRPr="0019644D">
              <w:rPr>
                <w:noProof/>
                <w:webHidden/>
                <w:sz w:val="24"/>
                <w:szCs w:val="24"/>
              </w:rPr>
            </w:r>
            <w:r w:rsidRPr="0019644D">
              <w:rPr>
                <w:noProof/>
                <w:webHidden/>
                <w:sz w:val="24"/>
                <w:szCs w:val="24"/>
              </w:rPr>
              <w:fldChar w:fldCharType="separate"/>
            </w:r>
            <w:r w:rsidRPr="0019644D">
              <w:rPr>
                <w:noProof/>
                <w:webHidden/>
                <w:sz w:val="24"/>
                <w:szCs w:val="24"/>
              </w:rPr>
              <w:t>8</w:t>
            </w:r>
            <w:r w:rsidRPr="0019644D">
              <w:rPr>
                <w:noProof/>
                <w:webHidden/>
                <w:sz w:val="24"/>
                <w:szCs w:val="24"/>
              </w:rPr>
              <w:fldChar w:fldCharType="end"/>
            </w:r>
          </w:hyperlink>
        </w:p>
        <w:p w14:paraId="343D2C5A" w14:textId="693B7E41" w:rsidR="0019644D" w:rsidRPr="0019644D" w:rsidRDefault="0019644D" w:rsidP="0019644D">
          <w:pPr>
            <w:pStyle w:val="Saturs1"/>
            <w:tabs>
              <w:tab w:val="right" w:leader="dot" w:pos="9065"/>
            </w:tabs>
            <w:spacing w:before="0"/>
            <w:ind w:left="567"/>
            <w:rPr>
              <w:rFonts w:asciiTheme="minorHAnsi" w:eastAsiaTheme="minorEastAsia" w:hAnsiTheme="minorHAnsi"/>
              <w:noProof/>
              <w:sz w:val="24"/>
              <w:szCs w:val="24"/>
              <w:lang w:eastAsia="lv-LV"/>
            </w:rPr>
          </w:pPr>
          <w:hyperlink w:anchor="_Toc73454054" w:history="1">
            <w:r w:rsidRPr="0019644D">
              <w:rPr>
                <w:rStyle w:val="Hipersaite"/>
                <w:noProof/>
                <w:color w:val="auto"/>
                <w:sz w:val="24"/>
                <w:szCs w:val="24"/>
              </w:rPr>
              <w:t>3.1.1. Kalcija līmenis serumā un tā regulēšana</w:t>
            </w:r>
            <w:r w:rsidRPr="0019644D">
              <w:rPr>
                <w:noProof/>
                <w:webHidden/>
                <w:sz w:val="24"/>
                <w:szCs w:val="24"/>
              </w:rPr>
              <w:tab/>
            </w:r>
            <w:r w:rsidRPr="0019644D">
              <w:rPr>
                <w:noProof/>
                <w:webHidden/>
                <w:sz w:val="24"/>
                <w:szCs w:val="24"/>
              </w:rPr>
              <w:fldChar w:fldCharType="begin"/>
            </w:r>
            <w:r w:rsidRPr="0019644D">
              <w:rPr>
                <w:noProof/>
                <w:webHidden/>
                <w:sz w:val="24"/>
                <w:szCs w:val="24"/>
              </w:rPr>
              <w:instrText xml:space="preserve"> PAGEREF _Toc73454054 \h </w:instrText>
            </w:r>
            <w:r w:rsidRPr="0019644D">
              <w:rPr>
                <w:noProof/>
                <w:webHidden/>
                <w:sz w:val="24"/>
                <w:szCs w:val="24"/>
              </w:rPr>
            </w:r>
            <w:r w:rsidRPr="0019644D">
              <w:rPr>
                <w:noProof/>
                <w:webHidden/>
                <w:sz w:val="24"/>
                <w:szCs w:val="24"/>
              </w:rPr>
              <w:fldChar w:fldCharType="separate"/>
            </w:r>
            <w:r w:rsidRPr="0019644D">
              <w:rPr>
                <w:noProof/>
                <w:webHidden/>
                <w:sz w:val="24"/>
                <w:szCs w:val="24"/>
              </w:rPr>
              <w:t>9</w:t>
            </w:r>
            <w:r w:rsidRPr="0019644D">
              <w:rPr>
                <w:noProof/>
                <w:webHidden/>
                <w:sz w:val="24"/>
                <w:szCs w:val="24"/>
              </w:rPr>
              <w:fldChar w:fldCharType="end"/>
            </w:r>
          </w:hyperlink>
        </w:p>
        <w:p w14:paraId="29DB48F2" w14:textId="27F878FC" w:rsidR="0019644D" w:rsidRPr="0019644D" w:rsidRDefault="0019644D" w:rsidP="0019644D">
          <w:pPr>
            <w:pStyle w:val="Saturs1"/>
            <w:tabs>
              <w:tab w:val="right" w:leader="dot" w:pos="9065"/>
            </w:tabs>
            <w:spacing w:before="0"/>
            <w:ind w:left="567"/>
            <w:rPr>
              <w:rFonts w:asciiTheme="minorHAnsi" w:eastAsiaTheme="minorEastAsia" w:hAnsiTheme="minorHAnsi"/>
              <w:noProof/>
              <w:sz w:val="24"/>
              <w:szCs w:val="24"/>
              <w:lang w:eastAsia="lv-LV"/>
            </w:rPr>
          </w:pPr>
          <w:hyperlink w:anchor="_Toc73454055" w:history="1">
            <w:r w:rsidRPr="0019644D">
              <w:rPr>
                <w:rStyle w:val="Hipersaite"/>
                <w:noProof/>
                <w:color w:val="auto"/>
                <w:sz w:val="24"/>
                <w:szCs w:val="24"/>
              </w:rPr>
              <w:t>3.1.2. Kalcija absorbcija zarnu traktā</w:t>
            </w:r>
            <w:r w:rsidRPr="0019644D">
              <w:rPr>
                <w:noProof/>
                <w:webHidden/>
                <w:sz w:val="24"/>
                <w:szCs w:val="24"/>
              </w:rPr>
              <w:tab/>
            </w:r>
            <w:r w:rsidRPr="0019644D">
              <w:rPr>
                <w:noProof/>
                <w:webHidden/>
                <w:sz w:val="24"/>
                <w:szCs w:val="24"/>
              </w:rPr>
              <w:fldChar w:fldCharType="begin"/>
            </w:r>
            <w:r w:rsidRPr="0019644D">
              <w:rPr>
                <w:noProof/>
                <w:webHidden/>
                <w:sz w:val="24"/>
                <w:szCs w:val="24"/>
              </w:rPr>
              <w:instrText xml:space="preserve"> PAGEREF _Toc73454055 \h </w:instrText>
            </w:r>
            <w:r w:rsidRPr="0019644D">
              <w:rPr>
                <w:noProof/>
                <w:webHidden/>
                <w:sz w:val="24"/>
                <w:szCs w:val="24"/>
              </w:rPr>
            </w:r>
            <w:r w:rsidRPr="0019644D">
              <w:rPr>
                <w:noProof/>
                <w:webHidden/>
                <w:sz w:val="24"/>
                <w:szCs w:val="24"/>
              </w:rPr>
              <w:fldChar w:fldCharType="separate"/>
            </w:r>
            <w:r w:rsidRPr="0019644D">
              <w:rPr>
                <w:noProof/>
                <w:webHidden/>
                <w:sz w:val="24"/>
                <w:szCs w:val="24"/>
              </w:rPr>
              <w:t>10</w:t>
            </w:r>
            <w:r w:rsidRPr="0019644D">
              <w:rPr>
                <w:noProof/>
                <w:webHidden/>
                <w:sz w:val="24"/>
                <w:szCs w:val="24"/>
              </w:rPr>
              <w:fldChar w:fldCharType="end"/>
            </w:r>
          </w:hyperlink>
        </w:p>
        <w:p w14:paraId="5C8A33FE" w14:textId="56C0B7AE" w:rsidR="0019644D" w:rsidRPr="0019644D" w:rsidRDefault="0019644D" w:rsidP="0019644D">
          <w:pPr>
            <w:pStyle w:val="Saturs1"/>
            <w:tabs>
              <w:tab w:val="right" w:leader="dot" w:pos="9065"/>
            </w:tabs>
            <w:spacing w:before="0"/>
            <w:ind w:left="567"/>
            <w:rPr>
              <w:rFonts w:asciiTheme="minorHAnsi" w:eastAsiaTheme="minorEastAsia" w:hAnsiTheme="minorHAnsi"/>
              <w:noProof/>
              <w:sz w:val="24"/>
              <w:szCs w:val="24"/>
              <w:lang w:eastAsia="lv-LV"/>
            </w:rPr>
          </w:pPr>
          <w:hyperlink w:anchor="_Toc73454056" w:history="1">
            <w:r w:rsidRPr="0019644D">
              <w:rPr>
                <w:rStyle w:val="Hipersaite"/>
                <w:noProof/>
                <w:color w:val="auto"/>
                <w:sz w:val="24"/>
                <w:szCs w:val="24"/>
              </w:rPr>
              <w:t>3.1.3. Kalcija izvadīšanas caur nierēm un reabsorbcija</w:t>
            </w:r>
            <w:r w:rsidRPr="0019644D">
              <w:rPr>
                <w:noProof/>
                <w:webHidden/>
                <w:sz w:val="24"/>
                <w:szCs w:val="24"/>
              </w:rPr>
              <w:tab/>
            </w:r>
            <w:r w:rsidRPr="0019644D">
              <w:rPr>
                <w:noProof/>
                <w:webHidden/>
                <w:sz w:val="24"/>
                <w:szCs w:val="24"/>
              </w:rPr>
              <w:fldChar w:fldCharType="begin"/>
            </w:r>
            <w:r w:rsidRPr="0019644D">
              <w:rPr>
                <w:noProof/>
                <w:webHidden/>
                <w:sz w:val="24"/>
                <w:szCs w:val="24"/>
              </w:rPr>
              <w:instrText xml:space="preserve"> PAGEREF _Toc73454056 \h </w:instrText>
            </w:r>
            <w:r w:rsidRPr="0019644D">
              <w:rPr>
                <w:noProof/>
                <w:webHidden/>
                <w:sz w:val="24"/>
                <w:szCs w:val="24"/>
              </w:rPr>
            </w:r>
            <w:r w:rsidRPr="0019644D">
              <w:rPr>
                <w:noProof/>
                <w:webHidden/>
                <w:sz w:val="24"/>
                <w:szCs w:val="24"/>
              </w:rPr>
              <w:fldChar w:fldCharType="separate"/>
            </w:r>
            <w:r w:rsidRPr="0019644D">
              <w:rPr>
                <w:noProof/>
                <w:webHidden/>
                <w:sz w:val="24"/>
                <w:szCs w:val="24"/>
              </w:rPr>
              <w:t>11</w:t>
            </w:r>
            <w:r w:rsidRPr="0019644D">
              <w:rPr>
                <w:noProof/>
                <w:webHidden/>
                <w:sz w:val="24"/>
                <w:szCs w:val="24"/>
              </w:rPr>
              <w:fldChar w:fldCharType="end"/>
            </w:r>
          </w:hyperlink>
        </w:p>
        <w:p w14:paraId="3CF98D70" w14:textId="0CF8B0EA" w:rsidR="0019644D" w:rsidRPr="0019644D" w:rsidRDefault="0019644D" w:rsidP="0019644D">
          <w:pPr>
            <w:pStyle w:val="Saturs1"/>
            <w:tabs>
              <w:tab w:val="right" w:leader="dot" w:pos="9065"/>
            </w:tabs>
            <w:spacing w:before="0"/>
            <w:ind w:left="284"/>
            <w:rPr>
              <w:rFonts w:asciiTheme="minorHAnsi" w:eastAsiaTheme="minorEastAsia" w:hAnsiTheme="minorHAnsi"/>
              <w:noProof/>
              <w:sz w:val="24"/>
              <w:szCs w:val="24"/>
              <w:lang w:eastAsia="lv-LV"/>
            </w:rPr>
          </w:pPr>
          <w:hyperlink w:anchor="_Toc73454057" w:history="1">
            <w:r w:rsidRPr="0019644D">
              <w:rPr>
                <w:rStyle w:val="Hipersaite"/>
                <w:noProof/>
                <w:color w:val="auto"/>
                <w:sz w:val="24"/>
                <w:szCs w:val="24"/>
              </w:rPr>
              <w:t>3.2. Blaknes, ko rada pārmērīgas kalcija devas</w:t>
            </w:r>
            <w:r w:rsidRPr="0019644D">
              <w:rPr>
                <w:noProof/>
                <w:webHidden/>
                <w:sz w:val="24"/>
                <w:szCs w:val="24"/>
              </w:rPr>
              <w:tab/>
            </w:r>
            <w:r w:rsidRPr="0019644D">
              <w:rPr>
                <w:noProof/>
                <w:webHidden/>
                <w:sz w:val="24"/>
                <w:szCs w:val="24"/>
              </w:rPr>
              <w:fldChar w:fldCharType="begin"/>
            </w:r>
            <w:r w:rsidRPr="0019644D">
              <w:rPr>
                <w:noProof/>
                <w:webHidden/>
                <w:sz w:val="24"/>
                <w:szCs w:val="24"/>
              </w:rPr>
              <w:instrText xml:space="preserve"> PAGEREF _Toc73454057 \h </w:instrText>
            </w:r>
            <w:r w:rsidRPr="0019644D">
              <w:rPr>
                <w:noProof/>
                <w:webHidden/>
                <w:sz w:val="24"/>
                <w:szCs w:val="24"/>
              </w:rPr>
            </w:r>
            <w:r w:rsidRPr="0019644D">
              <w:rPr>
                <w:noProof/>
                <w:webHidden/>
                <w:sz w:val="24"/>
                <w:szCs w:val="24"/>
              </w:rPr>
              <w:fldChar w:fldCharType="separate"/>
            </w:r>
            <w:r w:rsidRPr="0019644D">
              <w:rPr>
                <w:noProof/>
                <w:webHidden/>
                <w:sz w:val="24"/>
                <w:szCs w:val="24"/>
              </w:rPr>
              <w:t>12</w:t>
            </w:r>
            <w:r w:rsidRPr="0019644D">
              <w:rPr>
                <w:noProof/>
                <w:webHidden/>
                <w:sz w:val="24"/>
                <w:szCs w:val="24"/>
              </w:rPr>
              <w:fldChar w:fldCharType="end"/>
            </w:r>
          </w:hyperlink>
        </w:p>
        <w:p w14:paraId="4CB3C652" w14:textId="76228786" w:rsidR="0019644D" w:rsidRPr="0019644D" w:rsidRDefault="0019644D" w:rsidP="0019644D">
          <w:pPr>
            <w:pStyle w:val="Saturs1"/>
            <w:tabs>
              <w:tab w:val="right" w:leader="dot" w:pos="9065"/>
            </w:tabs>
            <w:spacing w:before="0"/>
            <w:ind w:left="567"/>
            <w:rPr>
              <w:rFonts w:asciiTheme="minorHAnsi" w:eastAsiaTheme="minorEastAsia" w:hAnsiTheme="minorHAnsi"/>
              <w:noProof/>
              <w:sz w:val="24"/>
              <w:szCs w:val="24"/>
              <w:lang w:eastAsia="lv-LV"/>
            </w:rPr>
          </w:pPr>
          <w:hyperlink w:anchor="_Toc73454058" w:history="1">
            <w:r w:rsidRPr="0019644D">
              <w:rPr>
                <w:rStyle w:val="Hipersaite"/>
                <w:noProof/>
                <w:color w:val="auto"/>
                <w:sz w:val="24"/>
                <w:szCs w:val="24"/>
              </w:rPr>
              <w:t>3.2.1. Piena alkāliju sindroms/kalcija alkāliju sindroms</w:t>
            </w:r>
            <w:r w:rsidRPr="0019644D">
              <w:rPr>
                <w:noProof/>
                <w:webHidden/>
                <w:sz w:val="24"/>
                <w:szCs w:val="24"/>
              </w:rPr>
              <w:tab/>
            </w:r>
            <w:r w:rsidRPr="0019644D">
              <w:rPr>
                <w:noProof/>
                <w:webHidden/>
                <w:sz w:val="24"/>
                <w:szCs w:val="24"/>
              </w:rPr>
              <w:fldChar w:fldCharType="begin"/>
            </w:r>
            <w:r w:rsidRPr="0019644D">
              <w:rPr>
                <w:noProof/>
                <w:webHidden/>
                <w:sz w:val="24"/>
                <w:szCs w:val="24"/>
              </w:rPr>
              <w:instrText xml:space="preserve"> PAGEREF _Toc73454058 \h </w:instrText>
            </w:r>
            <w:r w:rsidRPr="0019644D">
              <w:rPr>
                <w:noProof/>
                <w:webHidden/>
                <w:sz w:val="24"/>
                <w:szCs w:val="24"/>
              </w:rPr>
            </w:r>
            <w:r w:rsidRPr="0019644D">
              <w:rPr>
                <w:noProof/>
                <w:webHidden/>
                <w:sz w:val="24"/>
                <w:szCs w:val="24"/>
              </w:rPr>
              <w:fldChar w:fldCharType="separate"/>
            </w:r>
            <w:r w:rsidRPr="0019644D">
              <w:rPr>
                <w:noProof/>
                <w:webHidden/>
                <w:sz w:val="24"/>
                <w:szCs w:val="24"/>
              </w:rPr>
              <w:t>12</w:t>
            </w:r>
            <w:r w:rsidRPr="0019644D">
              <w:rPr>
                <w:noProof/>
                <w:webHidden/>
                <w:sz w:val="24"/>
                <w:szCs w:val="24"/>
              </w:rPr>
              <w:fldChar w:fldCharType="end"/>
            </w:r>
          </w:hyperlink>
        </w:p>
        <w:p w14:paraId="27CC2051" w14:textId="6806E142" w:rsidR="0019644D" w:rsidRPr="0019644D" w:rsidRDefault="0019644D" w:rsidP="0019644D">
          <w:pPr>
            <w:pStyle w:val="Saturs1"/>
            <w:tabs>
              <w:tab w:val="right" w:leader="dot" w:pos="9065"/>
            </w:tabs>
            <w:spacing w:before="0"/>
            <w:ind w:left="567"/>
            <w:rPr>
              <w:rFonts w:asciiTheme="minorHAnsi" w:eastAsiaTheme="minorEastAsia" w:hAnsiTheme="minorHAnsi"/>
              <w:noProof/>
              <w:sz w:val="24"/>
              <w:szCs w:val="24"/>
              <w:lang w:eastAsia="lv-LV"/>
            </w:rPr>
          </w:pPr>
          <w:hyperlink w:anchor="_Toc73454059" w:history="1">
            <w:r w:rsidRPr="0019644D">
              <w:rPr>
                <w:rStyle w:val="Hipersaite"/>
                <w:noProof/>
                <w:color w:val="auto"/>
                <w:sz w:val="24"/>
                <w:szCs w:val="24"/>
              </w:rPr>
              <w:t>3.2.2. Hiperkalciūrija, nieru funkcija un nierakmeņi</w:t>
            </w:r>
            <w:r w:rsidRPr="0019644D">
              <w:rPr>
                <w:noProof/>
                <w:webHidden/>
                <w:sz w:val="24"/>
                <w:szCs w:val="24"/>
              </w:rPr>
              <w:tab/>
            </w:r>
            <w:r w:rsidRPr="0019644D">
              <w:rPr>
                <w:noProof/>
                <w:webHidden/>
                <w:sz w:val="24"/>
                <w:szCs w:val="24"/>
              </w:rPr>
              <w:fldChar w:fldCharType="begin"/>
            </w:r>
            <w:r w:rsidRPr="0019644D">
              <w:rPr>
                <w:noProof/>
                <w:webHidden/>
                <w:sz w:val="24"/>
                <w:szCs w:val="24"/>
              </w:rPr>
              <w:instrText xml:space="preserve"> PAGEREF _Toc73454059 \h </w:instrText>
            </w:r>
            <w:r w:rsidRPr="0019644D">
              <w:rPr>
                <w:noProof/>
                <w:webHidden/>
                <w:sz w:val="24"/>
                <w:szCs w:val="24"/>
              </w:rPr>
            </w:r>
            <w:r w:rsidRPr="0019644D">
              <w:rPr>
                <w:noProof/>
                <w:webHidden/>
                <w:sz w:val="24"/>
                <w:szCs w:val="24"/>
              </w:rPr>
              <w:fldChar w:fldCharType="separate"/>
            </w:r>
            <w:r w:rsidRPr="0019644D">
              <w:rPr>
                <w:noProof/>
                <w:webHidden/>
                <w:sz w:val="24"/>
                <w:szCs w:val="24"/>
              </w:rPr>
              <w:t>13</w:t>
            </w:r>
            <w:r w:rsidRPr="0019644D">
              <w:rPr>
                <w:noProof/>
                <w:webHidden/>
                <w:sz w:val="24"/>
                <w:szCs w:val="24"/>
              </w:rPr>
              <w:fldChar w:fldCharType="end"/>
            </w:r>
          </w:hyperlink>
        </w:p>
        <w:p w14:paraId="5D0085D0" w14:textId="5914D91B" w:rsidR="0019644D" w:rsidRPr="0019644D" w:rsidRDefault="0019644D" w:rsidP="0019644D">
          <w:pPr>
            <w:pStyle w:val="Saturs1"/>
            <w:tabs>
              <w:tab w:val="right" w:leader="dot" w:pos="9065"/>
            </w:tabs>
            <w:spacing w:before="0"/>
            <w:ind w:left="567"/>
            <w:rPr>
              <w:rFonts w:asciiTheme="minorHAnsi" w:eastAsiaTheme="minorEastAsia" w:hAnsiTheme="minorHAnsi"/>
              <w:noProof/>
              <w:sz w:val="24"/>
              <w:szCs w:val="24"/>
              <w:lang w:eastAsia="lv-LV"/>
            </w:rPr>
          </w:pPr>
          <w:hyperlink w:anchor="_Toc73454060" w:history="1">
            <w:r w:rsidRPr="0019644D">
              <w:rPr>
                <w:rStyle w:val="Hipersaite"/>
                <w:noProof/>
                <w:color w:val="auto"/>
                <w:sz w:val="24"/>
                <w:szCs w:val="24"/>
              </w:rPr>
              <w:t>3.2.3. Sirds un asinsvadu slimību risks</w:t>
            </w:r>
            <w:r w:rsidRPr="0019644D">
              <w:rPr>
                <w:noProof/>
                <w:webHidden/>
                <w:sz w:val="24"/>
                <w:szCs w:val="24"/>
              </w:rPr>
              <w:tab/>
            </w:r>
            <w:r w:rsidRPr="0019644D">
              <w:rPr>
                <w:noProof/>
                <w:webHidden/>
                <w:sz w:val="24"/>
                <w:szCs w:val="24"/>
              </w:rPr>
              <w:fldChar w:fldCharType="begin"/>
            </w:r>
            <w:r w:rsidRPr="0019644D">
              <w:rPr>
                <w:noProof/>
                <w:webHidden/>
                <w:sz w:val="24"/>
                <w:szCs w:val="24"/>
              </w:rPr>
              <w:instrText xml:space="preserve"> PAGEREF _Toc73454060 \h </w:instrText>
            </w:r>
            <w:r w:rsidRPr="0019644D">
              <w:rPr>
                <w:noProof/>
                <w:webHidden/>
                <w:sz w:val="24"/>
                <w:szCs w:val="24"/>
              </w:rPr>
            </w:r>
            <w:r w:rsidRPr="0019644D">
              <w:rPr>
                <w:noProof/>
                <w:webHidden/>
                <w:sz w:val="24"/>
                <w:szCs w:val="24"/>
              </w:rPr>
              <w:fldChar w:fldCharType="separate"/>
            </w:r>
            <w:r w:rsidRPr="0019644D">
              <w:rPr>
                <w:noProof/>
                <w:webHidden/>
                <w:sz w:val="24"/>
                <w:szCs w:val="24"/>
              </w:rPr>
              <w:t>16</w:t>
            </w:r>
            <w:r w:rsidRPr="0019644D">
              <w:rPr>
                <w:noProof/>
                <w:webHidden/>
                <w:sz w:val="24"/>
                <w:szCs w:val="24"/>
              </w:rPr>
              <w:fldChar w:fldCharType="end"/>
            </w:r>
          </w:hyperlink>
        </w:p>
        <w:p w14:paraId="781A53DA" w14:textId="0622B336" w:rsidR="0019644D" w:rsidRPr="0019644D" w:rsidRDefault="0019644D" w:rsidP="0019644D">
          <w:pPr>
            <w:pStyle w:val="Saturs1"/>
            <w:tabs>
              <w:tab w:val="right" w:leader="dot" w:pos="9065"/>
            </w:tabs>
            <w:spacing w:before="0"/>
            <w:ind w:left="567"/>
            <w:rPr>
              <w:rFonts w:asciiTheme="minorHAnsi" w:eastAsiaTheme="minorEastAsia" w:hAnsiTheme="minorHAnsi"/>
              <w:noProof/>
              <w:sz w:val="24"/>
              <w:szCs w:val="24"/>
              <w:lang w:eastAsia="lv-LV"/>
            </w:rPr>
          </w:pPr>
          <w:hyperlink w:anchor="_Toc73454061" w:history="1">
            <w:r w:rsidRPr="0019644D">
              <w:rPr>
                <w:rStyle w:val="Hipersaite"/>
                <w:noProof/>
                <w:color w:val="auto"/>
                <w:sz w:val="24"/>
                <w:szCs w:val="24"/>
              </w:rPr>
              <w:t>3.2.4. Prostatas vēzis</w:t>
            </w:r>
            <w:r w:rsidRPr="0019644D">
              <w:rPr>
                <w:noProof/>
                <w:webHidden/>
                <w:sz w:val="24"/>
                <w:szCs w:val="24"/>
              </w:rPr>
              <w:tab/>
            </w:r>
            <w:r w:rsidRPr="0019644D">
              <w:rPr>
                <w:noProof/>
                <w:webHidden/>
                <w:sz w:val="24"/>
                <w:szCs w:val="24"/>
              </w:rPr>
              <w:fldChar w:fldCharType="begin"/>
            </w:r>
            <w:r w:rsidRPr="0019644D">
              <w:rPr>
                <w:noProof/>
                <w:webHidden/>
                <w:sz w:val="24"/>
                <w:szCs w:val="24"/>
              </w:rPr>
              <w:instrText xml:space="preserve"> PAGEREF _Toc73454061 \h </w:instrText>
            </w:r>
            <w:r w:rsidRPr="0019644D">
              <w:rPr>
                <w:noProof/>
                <w:webHidden/>
                <w:sz w:val="24"/>
                <w:szCs w:val="24"/>
              </w:rPr>
            </w:r>
            <w:r w:rsidRPr="0019644D">
              <w:rPr>
                <w:noProof/>
                <w:webHidden/>
                <w:sz w:val="24"/>
                <w:szCs w:val="24"/>
              </w:rPr>
              <w:fldChar w:fldCharType="separate"/>
            </w:r>
            <w:r w:rsidRPr="0019644D">
              <w:rPr>
                <w:noProof/>
                <w:webHidden/>
                <w:sz w:val="24"/>
                <w:szCs w:val="24"/>
              </w:rPr>
              <w:t>21</w:t>
            </w:r>
            <w:r w:rsidRPr="0019644D">
              <w:rPr>
                <w:noProof/>
                <w:webHidden/>
                <w:sz w:val="24"/>
                <w:szCs w:val="24"/>
              </w:rPr>
              <w:fldChar w:fldCharType="end"/>
            </w:r>
          </w:hyperlink>
        </w:p>
        <w:p w14:paraId="250FC37D" w14:textId="32F0D448" w:rsidR="0019644D" w:rsidRPr="0019644D" w:rsidRDefault="0019644D" w:rsidP="0019644D">
          <w:pPr>
            <w:pStyle w:val="Saturs1"/>
            <w:tabs>
              <w:tab w:val="right" w:leader="dot" w:pos="9065"/>
            </w:tabs>
            <w:spacing w:before="0"/>
            <w:ind w:left="567"/>
            <w:rPr>
              <w:rFonts w:asciiTheme="minorHAnsi" w:eastAsiaTheme="minorEastAsia" w:hAnsiTheme="minorHAnsi"/>
              <w:noProof/>
              <w:sz w:val="24"/>
              <w:szCs w:val="24"/>
              <w:lang w:eastAsia="lv-LV"/>
            </w:rPr>
          </w:pPr>
          <w:hyperlink w:anchor="_Toc73454062" w:history="1">
            <w:r w:rsidRPr="0019644D">
              <w:rPr>
                <w:rStyle w:val="Hipersaite"/>
                <w:noProof/>
                <w:color w:val="auto"/>
                <w:sz w:val="24"/>
                <w:szCs w:val="24"/>
              </w:rPr>
              <w:t>3.2.5. Mijiedarbība starp kalciju un ar uzturu uzņemtajām minerālvielām</w:t>
            </w:r>
            <w:r w:rsidRPr="0019644D">
              <w:rPr>
                <w:noProof/>
                <w:webHidden/>
                <w:sz w:val="24"/>
                <w:szCs w:val="24"/>
              </w:rPr>
              <w:tab/>
            </w:r>
            <w:r w:rsidRPr="0019644D">
              <w:rPr>
                <w:noProof/>
                <w:webHidden/>
                <w:sz w:val="24"/>
                <w:szCs w:val="24"/>
              </w:rPr>
              <w:fldChar w:fldCharType="begin"/>
            </w:r>
            <w:r w:rsidRPr="0019644D">
              <w:rPr>
                <w:noProof/>
                <w:webHidden/>
                <w:sz w:val="24"/>
                <w:szCs w:val="24"/>
              </w:rPr>
              <w:instrText xml:space="preserve"> PAGEREF _Toc73454062 \h </w:instrText>
            </w:r>
            <w:r w:rsidRPr="0019644D">
              <w:rPr>
                <w:noProof/>
                <w:webHidden/>
                <w:sz w:val="24"/>
                <w:szCs w:val="24"/>
              </w:rPr>
            </w:r>
            <w:r w:rsidRPr="0019644D">
              <w:rPr>
                <w:noProof/>
                <w:webHidden/>
                <w:sz w:val="24"/>
                <w:szCs w:val="24"/>
              </w:rPr>
              <w:fldChar w:fldCharType="separate"/>
            </w:r>
            <w:r w:rsidRPr="0019644D">
              <w:rPr>
                <w:noProof/>
                <w:webHidden/>
                <w:sz w:val="24"/>
                <w:szCs w:val="24"/>
              </w:rPr>
              <w:t>22</w:t>
            </w:r>
            <w:r w:rsidRPr="0019644D">
              <w:rPr>
                <w:noProof/>
                <w:webHidden/>
                <w:sz w:val="24"/>
                <w:szCs w:val="24"/>
              </w:rPr>
              <w:fldChar w:fldCharType="end"/>
            </w:r>
          </w:hyperlink>
        </w:p>
        <w:p w14:paraId="68CB5E76" w14:textId="465EB0AA" w:rsidR="0019644D" w:rsidRPr="0019644D" w:rsidRDefault="0019644D" w:rsidP="0019644D">
          <w:pPr>
            <w:pStyle w:val="Saturs1"/>
            <w:tabs>
              <w:tab w:val="right" w:leader="dot" w:pos="9065"/>
            </w:tabs>
            <w:spacing w:before="0"/>
            <w:ind w:left="0"/>
            <w:rPr>
              <w:rFonts w:asciiTheme="minorHAnsi" w:eastAsiaTheme="minorEastAsia" w:hAnsiTheme="minorHAnsi"/>
              <w:noProof/>
              <w:sz w:val="24"/>
              <w:szCs w:val="24"/>
              <w:lang w:eastAsia="lv-LV"/>
            </w:rPr>
          </w:pPr>
          <w:hyperlink w:anchor="_Toc73454063" w:history="1">
            <w:r w:rsidRPr="0019644D">
              <w:rPr>
                <w:rStyle w:val="Hipersaite"/>
                <w:noProof/>
                <w:color w:val="auto"/>
                <w:sz w:val="24"/>
                <w:szCs w:val="24"/>
              </w:rPr>
              <w:t>4. Devas izraisītās reakcijas novērtējums un pieļaujamā augstākā uzņemamā daudzuma noteikšana</w:t>
            </w:r>
            <w:r w:rsidRPr="0019644D">
              <w:rPr>
                <w:noProof/>
                <w:webHidden/>
                <w:sz w:val="24"/>
                <w:szCs w:val="24"/>
              </w:rPr>
              <w:tab/>
            </w:r>
            <w:r w:rsidRPr="0019644D">
              <w:rPr>
                <w:noProof/>
                <w:webHidden/>
                <w:sz w:val="24"/>
                <w:szCs w:val="24"/>
              </w:rPr>
              <w:fldChar w:fldCharType="begin"/>
            </w:r>
            <w:r w:rsidRPr="0019644D">
              <w:rPr>
                <w:noProof/>
                <w:webHidden/>
                <w:sz w:val="24"/>
                <w:szCs w:val="24"/>
              </w:rPr>
              <w:instrText xml:space="preserve"> PAGEREF _Toc73454063 \h </w:instrText>
            </w:r>
            <w:r w:rsidRPr="0019644D">
              <w:rPr>
                <w:noProof/>
                <w:webHidden/>
                <w:sz w:val="24"/>
                <w:szCs w:val="24"/>
              </w:rPr>
            </w:r>
            <w:r w:rsidRPr="0019644D">
              <w:rPr>
                <w:noProof/>
                <w:webHidden/>
                <w:sz w:val="24"/>
                <w:szCs w:val="24"/>
              </w:rPr>
              <w:fldChar w:fldCharType="separate"/>
            </w:r>
            <w:r w:rsidRPr="0019644D">
              <w:rPr>
                <w:noProof/>
                <w:webHidden/>
                <w:sz w:val="24"/>
                <w:szCs w:val="24"/>
              </w:rPr>
              <w:t>23</w:t>
            </w:r>
            <w:r w:rsidRPr="0019644D">
              <w:rPr>
                <w:noProof/>
                <w:webHidden/>
                <w:sz w:val="24"/>
                <w:szCs w:val="24"/>
              </w:rPr>
              <w:fldChar w:fldCharType="end"/>
            </w:r>
          </w:hyperlink>
        </w:p>
        <w:p w14:paraId="5CF3BCB7" w14:textId="26CD4B2C" w:rsidR="0019644D" w:rsidRPr="0019644D" w:rsidRDefault="0019644D" w:rsidP="0019644D">
          <w:pPr>
            <w:pStyle w:val="Saturs1"/>
            <w:tabs>
              <w:tab w:val="right" w:leader="dot" w:pos="9065"/>
            </w:tabs>
            <w:spacing w:before="0"/>
            <w:ind w:left="284"/>
            <w:rPr>
              <w:rFonts w:asciiTheme="minorHAnsi" w:eastAsiaTheme="minorEastAsia" w:hAnsiTheme="minorHAnsi"/>
              <w:noProof/>
              <w:sz w:val="24"/>
              <w:szCs w:val="24"/>
              <w:lang w:eastAsia="lv-LV"/>
            </w:rPr>
          </w:pPr>
          <w:hyperlink w:anchor="_Toc73454064" w:history="1">
            <w:r w:rsidRPr="0019644D">
              <w:rPr>
                <w:rStyle w:val="Hipersaite"/>
                <w:noProof/>
                <w:color w:val="auto"/>
                <w:sz w:val="24"/>
                <w:szCs w:val="24"/>
              </w:rPr>
              <w:t>4.1. Pieaugušie</w:t>
            </w:r>
            <w:r w:rsidRPr="0019644D">
              <w:rPr>
                <w:noProof/>
                <w:webHidden/>
                <w:sz w:val="24"/>
                <w:szCs w:val="24"/>
              </w:rPr>
              <w:tab/>
            </w:r>
            <w:r w:rsidRPr="0019644D">
              <w:rPr>
                <w:noProof/>
                <w:webHidden/>
                <w:sz w:val="24"/>
                <w:szCs w:val="24"/>
              </w:rPr>
              <w:fldChar w:fldCharType="begin"/>
            </w:r>
            <w:r w:rsidRPr="0019644D">
              <w:rPr>
                <w:noProof/>
                <w:webHidden/>
                <w:sz w:val="24"/>
                <w:szCs w:val="24"/>
              </w:rPr>
              <w:instrText xml:space="preserve"> PAGEREF _Toc73454064 \h </w:instrText>
            </w:r>
            <w:r w:rsidRPr="0019644D">
              <w:rPr>
                <w:noProof/>
                <w:webHidden/>
                <w:sz w:val="24"/>
                <w:szCs w:val="24"/>
              </w:rPr>
            </w:r>
            <w:r w:rsidRPr="0019644D">
              <w:rPr>
                <w:noProof/>
                <w:webHidden/>
                <w:sz w:val="24"/>
                <w:szCs w:val="24"/>
              </w:rPr>
              <w:fldChar w:fldCharType="separate"/>
            </w:r>
            <w:r w:rsidRPr="0019644D">
              <w:rPr>
                <w:noProof/>
                <w:webHidden/>
                <w:sz w:val="24"/>
                <w:szCs w:val="24"/>
              </w:rPr>
              <w:t>23</w:t>
            </w:r>
            <w:r w:rsidRPr="0019644D">
              <w:rPr>
                <w:noProof/>
                <w:webHidden/>
                <w:sz w:val="24"/>
                <w:szCs w:val="24"/>
              </w:rPr>
              <w:fldChar w:fldCharType="end"/>
            </w:r>
          </w:hyperlink>
        </w:p>
        <w:p w14:paraId="0D9BAF3F" w14:textId="2B429FEB" w:rsidR="0019644D" w:rsidRPr="0019644D" w:rsidRDefault="0019644D" w:rsidP="0019644D">
          <w:pPr>
            <w:pStyle w:val="Saturs1"/>
            <w:tabs>
              <w:tab w:val="right" w:leader="dot" w:pos="9065"/>
            </w:tabs>
            <w:spacing w:before="0"/>
            <w:ind w:left="284"/>
            <w:rPr>
              <w:rFonts w:asciiTheme="minorHAnsi" w:eastAsiaTheme="minorEastAsia" w:hAnsiTheme="minorHAnsi"/>
              <w:noProof/>
              <w:sz w:val="24"/>
              <w:szCs w:val="24"/>
              <w:lang w:eastAsia="lv-LV"/>
            </w:rPr>
          </w:pPr>
          <w:hyperlink w:anchor="_Toc73454065" w:history="1">
            <w:r w:rsidRPr="0019644D">
              <w:rPr>
                <w:rStyle w:val="Hipersaite"/>
                <w:noProof/>
                <w:color w:val="auto"/>
                <w:sz w:val="24"/>
                <w:szCs w:val="24"/>
              </w:rPr>
              <w:t>4.2. Grūtnieces un sievietes laktācijas laikā</w:t>
            </w:r>
            <w:r w:rsidRPr="0019644D">
              <w:rPr>
                <w:noProof/>
                <w:webHidden/>
                <w:sz w:val="24"/>
                <w:szCs w:val="24"/>
              </w:rPr>
              <w:tab/>
            </w:r>
            <w:r w:rsidRPr="0019644D">
              <w:rPr>
                <w:noProof/>
                <w:webHidden/>
                <w:sz w:val="24"/>
                <w:szCs w:val="24"/>
              </w:rPr>
              <w:fldChar w:fldCharType="begin"/>
            </w:r>
            <w:r w:rsidRPr="0019644D">
              <w:rPr>
                <w:noProof/>
                <w:webHidden/>
                <w:sz w:val="24"/>
                <w:szCs w:val="24"/>
              </w:rPr>
              <w:instrText xml:space="preserve"> PAGEREF _Toc73454065 \h </w:instrText>
            </w:r>
            <w:r w:rsidRPr="0019644D">
              <w:rPr>
                <w:noProof/>
                <w:webHidden/>
                <w:sz w:val="24"/>
                <w:szCs w:val="24"/>
              </w:rPr>
            </w:r>
            <w:r w:rsidRPr="0019644D">
              <w:rPr>
                <w:noProof/>
                <w:webHidden/>
                <w:sz w:val="24"/>
                <w:szCs w:val="24"/>
              </w:rPr>
              <w:fldChar w:fldCharType="separate"/>
            </w:r>
            <w:r w:rsidRPr="0019644D">
              <w:rPr>
                <w:noProof/>
                <w:webHidden/>
                <w:sz w:val="24"/>
                <w:szCs w:val="24"/>
              </w:rPr>
              <w:t>23</w:t>
            </w:r>
            <w:r w:rsidRPr="0019644D">
              <w:rPr>
                <w:noProof/>
                <w:webHidden/>
                <w:sz w:val="24"/>
                <w:szCs w:val="24"/>
              </w:rPr>
              <w:fldChar w:fldCharType="end"/>
            </w:r>
          </w:hyperlink>
        </w:p>
        <w:p w14:paraId="289EB38B" w14:textId="614816F0" w:rsidR="0019644D" w:rsidRPr="0019644D" w:rsidRDefault="0019644D" w:rsidP="0019644D">
          <w:pPr>
            <w:pStyle w:val="Saturs1"/>
            <w:tabs>
              <w:tab w:val="right" w:leader="dot" w:pos="9065"/>
            </w:tabs>
            <w:spacing w:before="0"/>
            <w:ind w:left="284"/>
            <w:rPr>
              <w:rFonts w:asciiTheme="minorHAnsi" w:eastAsiaTheme="minorEastAsia" w:hAnsiTheme="minorHAnsi"/>
              <w:noProof/>
              <w:sz w:val="24"/>
              <w:szCs w:val="24"/>
              <w:lang w:eastAsia="lv-LV"/>
            </w:rPr>
          </w:pPr>
          <w:hyperlink w:anchor="_Toc73454066" w:history="1">
            <w:r w:rsidRPr="0019644D">
              <w:rPr>
                <w:rStyle w:val="Hipersaite"/>
                <w:noProof/>
                <w:color w:val="auto"/>
                <w:sz w:val="24"/>
                <w:szCs w:val="24"/>
              </w:rPr>
              <w:t>4.3. Zīdaiņi</w:t>
            </w:r>
            <w:r w:rsidRPr="0019644D">
              <w:rPr>
                <w:noProof/>
                <w:webHidden/>
                <w:sz w:val="24"/>
                <w:szCs w:val="24"/>
              </w:rPr>
              <w:tab/>
            </w:r>
            <w:r w:rsidRPr="0019644D">
              <w:rPr>
                <w:noProof/>
                <w:webHidden/>
                <w:sz w:val="24"/>
                <w:szCs w:val="24"/>
              </w:rPr>
              <w:fldChar w:fldCharType="begin"/>
            </w:r>
            <w:r w:rsidRPr="0019644D">
              <w:rPr>
                <w:noProof/>
                <w:webHidden/>
                <w:sz w:val="24"/>
                <w:szCs w:val="24"/>
              </w:rPr>
              <w:instrText xml:space="preserve"> PAGEREF _Toc73454066 \h </w:instrText>
            </w:r>
            <w:r w:rsidRPr="0019644D">
              <w:rPr>
                <w:noProof/>
                <w:webHidden/>
                <w:sz w:val="24"/>
                <w:szCs w:val="24"/>
              </w:rPr>
            </w:r>
            <w:r w:rsidRPr="0019644D">
              <w:rPr>
                <w:noProof/>
                <w:webHidden/>
                <w:sz w:val="24"/>
                <w:szCs w:val="24"/>
              </w:rPr>
              <w:fldChar w:fldCharType="separate"/>
            </w:r>
            <w:r w:rsidRPr="0019644D">
              <w:rPr>
                <w:noProof/>
                <w:webHidden/>
                <w:sz w:val="24"/>
                <w:szCs w:val="24"/>
              </w:rPr>
              <w:t>23</w:t>
            </w:r>
            <w:r w:rsidRPr="0019644D">
              <w:rPr>
                <w:noProof/>
                <w:webHidden/>
                <w:sz w:val="24"/>
                <w:szCs w:val="24"/>
              </w:rPr>
              <w:fldChar w:fldCharType="end"/>
            </w:r>
          </w:hyperlink>
        </w:p>
        <w:p w14:paraId="6B5AA30D" w14:textId="64E88FE7" w:rsidR="0019644D" w:rsidRPr="0019644D" w:rsidRDefault="0019644D" w:rsidP="0019644D">
          <w:pPr>
            <w:pStyle w:val="Saturs1"/>
            <w:tabs>
              <w:tab w:val="right" w:leader="dot" w:pos="9065"/>
            </w:tabs>
            <w:spacing w:before="0"/>
            <w:ind w:left="284"/>
            <w:rPr>
              <w:rFonts w:asciiTheme="minorHAnsi" w:eastAsiaTheme="minorEastAsia" w:hAnsiTheme="minorHAnsi"/>
              <w:noProof/>
              <w:sz w:val="24"/>
              <w:szCs w:val="24"/>
              <w:lang w:eastAsia="lv-LV"/>
            </w:rPr>
          </w:pPr>
          <w:hyperlink w:anchor="_Toc73454067" w:history="1">
            <w:r w:rsidRPr="0019644D">
              <w:rPr>
                <w:rStyle w:val="Hipersaite"/>
                <w:noProof/>
                <w:color w:val="auto"/>
                <w:sz w:val="24"/>
                <w:szCs w:val="24"/>
              </w:rPr>
              <w:t>4.4. Bērni un pusaudži</w:t>
            </w:r>
            <w:r w:rsidRPr="0019644D">
              <w:rPr>
                <w:noProof/>
                <w:webHidden/>
                <w:sz w:val="24"/>
                <w:szCs w:val="24"/>
              </w:rPr>
              <w:tab/>
            </w:r>
            <w:r w:rsidRPr="0019644D">
              <w:rPr>
                <w:noProof/>
                <w:webHidden/>
                <w:sz w:val="24"/>
                <w:szCs w:val="24"/>
              </w:rPr>
              <w:fldChar w:fldCharType="begin"/>
            </w:r>
            <w:r w:rsidRPr="0019644D">
              <w:rPr>
                <w:noProof/>
                <w:webHidden/>
                <w:sz w:val="24"/>
                <w:szCs w:val="24"/>
              </w:rPr>
              <w:instrText xml:space="preserve"> PAGEREF _Toc73454067 \h </w:instrText>
            </w:r>
            <w:r w:rsidRPr="0019644D">
              <w:rPr>
                <w:noProof/>
                <w:webHidden/>
                <w:sz w:val="24"/>
                <w:szCs w:val="24"/>
              </w:rPr>
            </w:r>
            <w:r w:rsidRPr="0019644D">
              <w:rPr>
                <w:noProof/>
                <w:webHidden/>
                <w:sz w:val="24"/>
                <w:szCs w:val="24"/>
              </w:rPr>
              <w:fldChar w:fldCharType="separate"/>
            </w:r>
            <w:r w:rsidRPr="0019644D">
              <w:rPr>
                <w:noProof/>
                <w:webHidden/>
                <w:sz w:val="24"/>
                <w:szCs w:val="24"/>
              </w:rPr>
              <w:t>23</w:t>
            </w:r>
            <w:r w:rsidRPr="0019644D">
              <w:rPr>
                <w:noProof/>
                <w:webHidden/>
                <w:sz w:val="24"/>
                <w:szCs w:val="24"/>
              </w:rPr>
              <w:fldChar w:fldCharType="end"/>
            </w:r>
          </w:hyperlink>
        </w:p>
        <w:p w14:paraId="0F2E1579" w14:textId="18B0106A" w:rsidR="0019644D" w:rsidRPr="0019644D" w:rsidRDefault="0019644D" w:rsidP="0019644D">
          <w:pPr>
            <w:pStyle w:val="Saturs1"/>
            <w:tabs>
              <w:tab w:val="right" w:leader="dot" w:pos="9065"/>
            </w:tabs>
            <w:spacing w:before="0"/>
            <w:ind w:left="0"/>
            <w:rPr>
              <w:rFonts w:asciiTheme="minorHAnsi" w:eastAsiaTheme="minorEastAsia" w:hAnsiTheme="minorHAnsi"/>
              <w:noProof/>
              <w:sz w:val="24"/>
              <w:szCs w:val="24"/>
              <w:lang w:eastAsia="lv-LV"/>
            </w:rPr>
          </w:pPr>
          <w:hyperlink w:anchor="_Toc73454068" w:history="1">
            <w:r w:rsidRPr="0019644D">
              <w:rPr>
                <w:rStyle w:val="Hipersaite"/>
                <w:noProof/>
                <w:color w:val="auto"/>
                <w:sz w:val="24"/>
                <w:szCs w:val="24"/>
              </w:rPr>
              <w:t>5. Riska raksturojums</w:t>
            </w:r>
            <w:r w:rsidRPr="0019644D">
              <w:rPr>
                <w:noProof/>
                <w:webHidden/>
                <w:sz w:val="24"/>
                <w:szCs w:val="24"/>
              </w:rPr>
              <w:tab/>
            </w:r>
            <w:r w:rsidRPr="0019644D">
              <w:rPr>
                <w:noProof/>
                <w:webHidden/>
                <w:sz w:val="24"/>
                <w:szCs w:val="24"/>
              </w:rPr>
              <w:fldChar w:fldCharType="begin"/>
            </w:r>
            <w:r w:rsidRPr="0019644D">
              <w:rPr>
                <w:noProof/>
                <w:webHidden/>
                <w:sz w:val="24"/>
                <w:szCs w:val="24"/>
              </w:rPr>
              <w:instrText xml:space="preserve"> PAGEREF _Toc73454068 \h </w:instrText>
            </w:r>
            <w:r w:rsidRPr="0019644D">
              <w:rPr>
                <w:noProof/>
                <w:webHidden/>
                <w:sz w:val="24"/>
                <w:szCs w:val="24"/>
              </w:rPr>
            </w:r>
            <w:r w:rsidRPr="0019644D">
              <w:rPr>
                <w:noProof/>
                <w:webHidden/>
                <w:sz w:val="24"/>
                <w:szCs w:val="24"/>
              </w:rPr>
              <w:fldChar w:fldCharType="separate"/>
            </w:r>
            <w:r w:rsidRPr="0019644D">
              <w:rPr>
                <w:noProof/>
                <w:webHidden/>
                <w:sz w:val="24"/>
                <w:szCs w:val="24"/>
              </w:rPr>
              <w:t>24</w:t>
            </w:r>
            <w:r w:rsidRPr="0019644D">
              <w:rPr>
                <w:noProof/>
                <w:webHidden/>
                <w:sz w:val="24"/>
                <w:szCs w:val="24"/>
              </w:rPr>
              <w:fldChar w:fldCharType="end"/>
            </w:r>
          </w:hyperlink>
        </w:p>
        <w:p w14:paraId="75FA7E39" w14:textId="465631CA" w:rsidR="0019644D" w:rsidRPr="0019644D" w:rsidRDefault="0019644D" w:rsidP="0019644D">
          <w:pPr>
            <w:pStyle w:val="Saturs1"/>
            <w:tabs>
              <w:tab w:val="right" w:leader="dot" w:pos="9065"/>
            </w:tabs>
            <w:spacing w:before="0"/>
            <w:ind w:left="0"/>
            <w:rPr>
              <w:rFonts w:asciiTheme="minorHAnsi" w:eastAsiaTheme="minorEastAsia" w:hAnsiTheme="minorHAnsi"/>
              <w:noProof/>
              <w:sz w:val="24"/>
              <w:szCs w:val="24"/>
              <w:lang w:eastAsia="lv-LV"/>
            </w:rPr>
          </w:pPr>
          <w:hyperlink w:anchor="_Toc73454069" w:history="1">
            <w:r w:rsidRPr="0019644D">
              <w:rPr>
                <w:rStyle w:val="Hipersaite"/>
                <w:noProof/>
                <w:color w:val="auto"/>
                <w:sz w:val="24"/>
                <w:szCs w:val="24"/>
              </w:rPr>
              <w:t>SECINĀJUMI</w:t>
            </w:r>
            <w:r w:rsidRPr="0019644D">
              <w:rPr>
                <w:noProof/>
                <w:webHidden/>
                <w:sz w:val="24"/>
                <w:szCs w:val="24"/>
              </w:rPr>
              <w:tab/>
            </w:r>
            <w:r w:rsidRPr="0019644D">
              <w:rPr>
                <w:noProof/>
                <w:webHidden/>
                <w:sz w:val="24"/>
                <w:szCs w:val="24"/>
              </w:rPr>
              <w:fldChar w:fldCharType="begin"/>
            </w:r>
            <w:r w:rsidRPr="0019644D">
              <w:rPr>
                <w:noProof/>
                <w:webHidden/>
                <w:sz w:val="24"/>
                <w:szCs w:val="24"/>
              </w:rPr>
              <w:instrText xml:space="preserve"> PAGEREF _Toc73454069 \h </w:instrText>
            </w:r>
            <w:r w:rsidRPr="0019644D">
              <w:rPr>
                <w:noProof/>
                <w:webHidden/>
                <w:sz w:val="24"/>
                <w:szCs w:val="24"/>
              </w:rPr>
            </w:r>
            <w:r w:rsidRPr="0019644D">
              <w:rPr>
                <w:noProof/>
                <w:webHidden/>
                <w:sz w:val="24"/>
                <w:szCs w:val="24"/>
              </w:rPr>
              <w:fldChar w:fldCharType="separate"/>
            </w:r>
            <w:r w:rsidRPr="0019644D">
              <w:rPr>
                <w:noProof/>
                <w:webHidden/>
                <w:sz w:val="24"/>
                <w:szCs w:val="24"/>
              </w:rPr>
              <w:t>24</w:t>
            </w:r>
            <w:r w:rsidRPr="0019644D">
              <w:rPr>
                <w:noProof/>
                <w:webHidden/>
                <w:sz w:val="24"/>
                <w:szCs w:val="24"/>
              </w:rPr>
              <w:fldChar w:fldCharType="end"/>
            </w:r>
          </w:hyperlink>
        </w:p>
        <w:p w14:paraId="25C9448C" w14:textId="5AC6211B" w:rsidR="0019644D" w:rsidRPr="0019644D" w:rsidRDefault="0019644D" w:rsidP="0019644D">
          <w:pPr>
            <w:pStyle w:val="Saturs1"/>
            <w:tabs>
              <w:tab w:val="right" w:leader="dot" w:pos="9065"/>
            </w:tabs>
            <w:spacing w:before="0"/>
            <w:ind w:left="0"/>
            <w:rPr>
              <w:rFonts w:asciiTheme="minorHAnsi" w:eastAsiaTheme="minorEastAsia" w:hAnsiTheme="minorHAnsi"/>
              <w:noProof/>
              <w:sz w:val="24"/>
              <w:szCs w:val="24"/>
              <w:lang w:eastAsia="lv-LV"/>
            </w:rPr>
          </w:pPr>
          <w:hyperlink w:anchor="_Toc73454070" w:history="1">
            <w:r w:rsidRPr="0019644D">
              <w:rPr>
                <w:rStyle w:val="Hipersaite"/>
                <w:noProof/>
                <w:color w:val="auto"/>
                <w:sz w:val="24"/>
                <w:szCs w:val="24"/>
              </w:rPr>
              <w:t>ATSAUCES</w:t>
            </w:r>
            <w:r w:rsidRPr="0019644D">
              <w:rPr>
                <w:noProof/>
                <w:webHidden/>
                <w:sz w:val="24"/>
                <w:szCs w:val="24"/>
              </w:rPr>
              <w:tab/>
            </w:r>
            <w:r w:rsidRPr="0019644D">
              <w:rPr>
                <w:noProof/>
                <w:webHidden/>
                <w:sz w:val="24"/>
                <w:szCs w:val="24"/>
              </w:rPr>
              <w:fldChar w:fldCharType="begin"/>
            </w:r>
            <w:r w:rsidRPr="0019644D">
              <w:rPr>
                <w:noProof/>
                <w:webHidden/>
                <w:sz w:val="24"/>
                <w:szCs w:val="24"/>
              </w:rPr>
              <w:instrText xml:space="preserve"> PAGEREF _Toc73454070 \h </w:instrText>
            </w:r>
            <w:r w:rsidRPr="0019644D">
              <w:rPr>
                <w:noProof/>
                <w:webHidden/>
                <w:sz w:val="24"/>
                <w:szCs w:val="24"/>
              </w:rPr>
            </w:r>
            <w:r w:rsidRPr="0019644D">
              <w:rPr>
                <w:noProof/>
                <w:webHidden/>
                <w:sz w:val="24"/>
                <w:szCs w:val="24"/>
              </w:rPr>
              <w:fldChar w:fldCharType="separate"/>
            </w:r>
            <w:r w:rsidRPr="0019644D">
              <w:rPr>
                <w:noProof/>
                <w:webHidden/>
                <w:sz w:val="24"/>
                <w:szCs w:val="24"/>
              </w:rPr>
              <w:t>24</w:t>
            </w:r>
            <w:r w:rsidRPr="0019644D">
              <w:rPr>
                <w:noProof/>
                <w:webHidden/>
                <w:sz w:val="24"/>
                <w:szCs w:val="24"/>
              </w:rPr>
              <w:fldChar w:fldCharType="end"/>
            </w:r>
          </w:hyperlink>
        </w:p>
        <w:p w14:paraId="355781CE" w14:textId="4C8E9892" w:rsidR="0019644D" w:rsidRPr="0019644D" w:rsidRDefault="0019644D" w:rsidP="0019644D">
          <w:pPr>
            <w:pStyle w:val="Saturs1"/>
            <w:tabs>
              <w:tab w:val="right" w:leader="dot" w:pos="9065"/>
            </w:tabs>
            <w:spacing w:before="0"/>
            <w:ind w:left="0"/>
            <w:rPr>
              <w:rFonts w:asciiTheme="minorHAnsi" w:eastAsiaTheme="minorEastAsia" w:hAnsiTheme="minorHAnsi"/>
              <w:noProof/>
              <w:sz w:val="24"/>
              <w:szCs w:val="24"/>
              <w:lang w:eastAsia="lv-LV"/>
            </w:rPr>
          </w:pPr>
          <w:hyperlink w:anchor="_Toc73454071" w:history="1">
            <w:r w:rsidRPr="0019644D">
              <w:rPr>
                <w:rStyle w:val="Hipersaite"/>
                <w:noProof/>
                <w:color w:val="auto"/>
                <w:sz w:val="24"/>
                <w:szCs w:val="24"/>
              </w:rPr>
              <w:t>PIELIKUMI</w:t>
            </w:r>
            <w:r w:rsidRPr="0019644D">
              <w:rPr>
                <w:noProof/>
                <w:webHidden/>
                <w:sz w:val="24"/>
                <w:szCs w:val="24"/>
              </w:rPr>
              <w:tab/>
            </w:r>
            <w:r w:rsidRPr="0019644D">
              <w:rPr>
                <w:noProof/>
                <w:webHidden/>
                <w:sz w:val="24"/>
                <w:szCs w:val="24"/>
              </w:rPr>
              <w:fldChar w:fldCharType="begin"/>
            </w:r>
            <w:r w:rsidRPr="0019644D">
              <w:rPr>
                <w:noProof/>
                <w:webHidden/>
                <w:sz w:val="24"/>
                <w:szCs w:val="24"/>
              </w:rPr>
              <w:instrText xml:space="preserve"> PAGEREF _Toc73454071 \h </w:instrText>
            </w:r>
            <w:r w:rsidRPr="0019644D">
              <w:rPr>
                <w:noProof/>
                <w:webHidden/>
                <w:sz w:val="24"/>
                <w:szCs w:val="24"/>
              </w:rPr>
            </w:r>
            <w:r w:rsidRPr="0019644D">
              <w:rPr>
                <w:noProof/>
                <w:webHidden/>
                <w:sz w:val="24"/>
                <w:szCs w:val="24"/>
              </w:rPr>
              <w:fldChar w:fldCharType="separate"/>
            </w:r>
            <w:r w:rsidRPr="0019644D">
              <w:rPr>
                <w:noProof/>
                <w:webHidden/>
                <w:sz w:val="24"/>
                <w:szCs w:val="24"/>
              </w:rPr>
              <w:t>37</w:t>
            </w:r>
            <w:r w:rsidRPr="0019644D">
              <w:rPr>
                <w:noProof/>
                <w:webHidden/>
                <w:sz w:val="24"/>
                <w:szCs w:val="24"/>
              </w:rPr>
              <w:fldChar w:fldCharType="end"/>
            </w:r>
          </w:hyperlink>
        </w:p>
        <w:p w14:paraId="791B9898" w14:textId="5EE310B2" w:rsidR="0019644D" w:rsidRPr="0019644D" w:rsidRDefault="0019644D" w:rsidP="0019644D">
          <w:pPr>
            <w:pStyle w:val="Saturs1"/>
            <w:tabs>
              <w:tab w:val="right" w:leader="dot" w:pos="9065"/>
            </w:tabs>
            <w:spacing w:before="0"/>
            <w:ind w:left="0"/>
            <w:rPr>
              <w:rFonts w:asciiTheme="minorHAnsi" w:eastAsiaTheme="minorEastAsia" w:hAnsiTheme="minorHAnsi"/>
              <w:noProof/>
              <w:sz w:val="24"/>
              <w:szCs w:val="24"/>
              <w:lang w:eastAsia="lv-LV"/>
            </w:rPr>
          </w:pPr>
          <w:hyperlink w:anchor="_Toc73454072" w:history="1">
            <w:r w:rsidRPr="0019644D">
              <w:rPr>
                <w:rStyle w:val="Hipersaite"/>
                <w:noProof/>
                <w:color w:val="auto"/>
                <w:sz w:val="24"/>
                <w:szCs w:val="24"/>
              </w:rPr>
              <w:t>A. PIEAUGUŠO UZŅEMTĀS KALCIJA DEVAS EIROPAS VALSTĪS</w:t>
            </w:r>
            <w:r w:rsidRPr="0019644D">
              <w:rPr>
                <w:noProof/>
                <w:webHidden/>
                <w:sz w:val="24"/>
                <w:szCs w:val="24"/>
              </w:rPr>
              <w:tab/>
            </w:r>
            <w:r w:rsidRPr="0019644D">
              <w:rPr>
                <w:noProof/>
                <w:webHidden/>
                <w:sz w:val="24"/>
                <w:szCs w:val="24"/>
              </w:rPr>
              <w:fldChar w:fldCharType="begin"/>
            </w:r>
            <w:r w:rsidRPr="0019644D">
              <w:rPr>
                <w:noProof/>
                <w:webHidden/>
                <w:sz w:val="24"/>
                <w:szCs w:val="24"/>
              </w:rPr>
              <w:instrText xml:space="preserve"> PAGEREF _Toc73454072 \h </w:instrText>
            </w:r>
            <w:r w:rsidRPr="0019644D">
              <w:rPr>
                <w:noProof/>
                <w:webHidden/>
                <w:sz w:val="24"/>
                <w:szCs w:val="24"/>
              </w:rPr>
            </w:r>
            <w:r w:rsidRPr="0019644D">
              <w:rPr>
                <w:noProof/>
                <w:webHidden/>
                <w:sz w:val="24"/>
                <w:szCs w:val="24"/>
              </w:rPr>
              <w:fldChar w:fldCharType="separate"/>
            </w:r>
            <w:r w:rsidRPr="0019644D">
              <w:rPr>
                <w:noProof/>
                <w:webHidden/>
                <w:sz w:val="24"/>
                <w:szCs w:val="24"/>
              </w:rPr>
              <w:t>37</w:t>
            </w:r>
            <w:r w:rsidRPr="0019644D">
              <w:rPr>
                <w:noProof/>
                <w:webHidden/>
                <w:sz w:val="24"/>
                <w:szCs w:val="24"/>
              </w:rPr>
              <w:fldChar w:fldCharType="end"/>
            </w:r>
          </w:hyperlink>
        </w:p>
        <w:p w14:paraId="32B9FA7A" w14:textId="1F9B5C24" w:rsidR="0019644D" w:rsidRPr="0019644D" w:rsidRDefault="0019644D" w:rsidP="0019644D">
          <w:pPr>
            <w:pStyle w:val="Saturs1"/>
            <w:tabs>
              <w:tab w:val="right" w:leader="dot" w:pos="9065"/>
            </w:tabs>
            <w:spacing w:before="0"/>
            <w:ind w:left="0"/>
            <w:rPr>
              <w:rFonts w:asciiTheme="minorHAnsi" w:eastAsiaTheme="minorEastAsia" w:hAnsiTheme="minorHAnsi"/>
              <w:noProof/>
              <w:sz w:val="24"/>
              <w:szCs w:val="24"/>
              <w:lang w:eastAsia="lv-LV"/>
            </w:rPr>
          </w:pPr>
          <w:hyperlink w:anchor="_Toc73454073" w:history="1">
            <w:r w:rsidRPr="0019644D">
              <w:rPr>
                <w:rStyle w:val="Hipersaite"/>
                <w:noProof/>
                <w:color w:val="auto"/>
                <w:sz w:val="24"/>
                <w:szCs w:val="24"/>
              </w:rPr>
              <w:t>B. BĒRNU UZŅEMTĀS KALCIJA DEVAS EIROPAS VALSTĪS</w:t>
            </w:r>
            <w:r w:rsidRPr="0019644D">
              <w:rPr>
                <w:noProof/>
                <w:webHidden/>
                <w:sz w:val="24"/>
                <w:szCs w:val="24"/>
              </w:rPr>
              <w:tab/>
            </w:r>
            <w:r w:rsidRPr="0019644D">
              <w:rPr>
                <w:noProof/>
                <w:webHidden/>
                <w:sz w:val="24"/>
                <w:szCs w:val="24"/>
              </w:rPr>
              <w:fldChar w:fldCharType="begin"/>
            </w:r>
            <w:r w:rsidRPr="0019644D">
              <w:rPr>
                <w:noProof/>
                <w:webHidden/>
                <w:sz w:val="24"/>
                <w:szCs w:val="24"/>
              </w:rPr>
              <w:instrText xml:space="preserve"> PAGEREF _Toc73454073 \h </w:instrText>
            </w:r>
            <w:r w:rsidRPr="0019644D">
              <w:rPr>
                <w:noProof/>
                <w:webHidden/>
                <w:sz w:val="24"/>
                <w:szCs w:val="24"/>
              </w:rPr>
            </w:r>
            <w:r w:rsidRPr="0019644D">
              <w:rPr>
                <w:noProof/>
                <w:webHidden/>
                <w:sz w:val="24"/>
                <w:szCs w:val="24"/>
              </w:rPr>
              <w:fldChar w:fldCharType="separate"/>
            </w:r>
            <w:r w:rsidRPr="0019644D">
              <w:rPr>
                <w:noProof/>
                <w:webHidden/>
                <w:sz w:val="24"/>
                <w:szCs w:val="24"/>
              </w:rPr>
              <w:t>44</w:t>
            </w:r>
            <w:r w:rsidRPr="0019644D">
              <w:rPr>
                <w:noProof/>
                <w:webHidden/>
                <w:sz w:val="24"/>
                <w:szCs w:val="24"/>
              </w:rPr>
              <w:fldChar w:fldCharType="end"/>
            </w:r>
          </w:hyperlink>
        </w:p>
        <w:p w14:paraId="23CAEC85" w14:textId="787F80BC" w:rsidR="0019644D" w:rsidRPr="0019644D" w:rsidRDefault="0019644D" w:rsidP="0019644D">
          <w:pPr>
            <w:pStyle w:val="Saturs1"/>
            <w:tabs>
              <w:tab w:val="right" w:leader="dot" w:pos="9065"/>
            </w:tabs>
            <w:spacing w:before="0"/>
            <w:ind w:left="0"/>
            <w:rPr>
              <w:rFonts w:asciiTheme="minorHAnsi" w:eastAsiaTheme="minorEastAsia" w:hAnsiTheme="minorHAnsi"/>
              <w:noProof/>
              <w:sz w:val="24"/>
              <w:szCs w:val="24"/>
              <w:lang w:eastAsia="lv-LV"/>
            </w:rPr>
          </w:pPr>
          <w:hyperlink w:anchor="_Toc73454074" w:history="1">
            <w:r w:rsidRPr="0019644D">
              <w:rPr>
                <w:rStyle w:val="Hipersaite"/>
                <w:noProof/>
                <w:color w:val="auto"/>
                <w:sz w:val="24"/>
                <w:szCs w:val="24"/>
              </w:rPr>
              <w:t>GLOSĀRIJS UN SAĪSINĀJUMI</w:t>
            </w:r>
            <w:r w:rsidRPr="0019644D">
              <w:rPr>
                <w:noProof/>
                <w:webHidden/>
                <w:sz w:val="24"/>
                <w:szCs w:val="24"/>
              </w:rPr>
              <w:tab/>
            </w:r>
            <w:r w:rsidRPr="0019644D">
              <w:rPr>
                <w:noProof/>
                <w:webHidden/>
                <w:sz w:val="24"/>
                <w:szCs w:val="24"/>
              </w:rPr>
              <w:fldChar w:fldCharType="begin"/>
            </w:r>
            <w:r w:rsidRPr="0019644D">
              <w:rPr>
                <w:noProof/>
                <w:webHidden/>
                <w:sz w:val="24"/>
                <w:szCs w:val="24"/>
              </w:rPr>
              <w:instrText xml:space="preserve"> PAGEREF _Toc73454074 \h </w:instrText>
            </w:r>
            <w:r w:rsidRPr="0019644D">
              <w:rPr>
                <w:noProof/>
                <w:webHidden/>
                <w:sz w:val="24"/>
                <w:szCs w:val="24"/>
              </w:rPr>
            </w:r>
            <w:r w:rsidRPr="0019644D">
              <w:rPr>
                <w:noProof/>
                <w:webHidden/>
                <w:sz w:val="24"/>
                <w:szCs w:val="24"/>
              </w:rPr>
              <w:fldChar w:fldCharType="separate"/>
            </w:r>
            <w:r w:rsidRPr="0019644D">
              <w:rPr>
                <w:noProof/>
                <w:webHidden/>
                <w:sz w:val="24"/>
                <w:szCs w:val="24"/>
              </w:rPr>
              <w:t>49</w:t>
            </w:r>
            <w:r w:rsidRPr="0019644D">
              <w:rPr>
                <w:noProof/>
                <w:webHidden/>
                <w:sz w:val="24"/>
                <w:szCs w:val="24"/>
              </w:rPr>
              <w:fldChar w:fldCharType="end"/>
            </w:r>
          </w:hyperlink>
        </w:p>
        <w:p w14:paraId="3383557C" w14:textId="3AE067C2" w:rsidR="00C70282" w:rsidRPr="0019644D" w:rsidRDefault="00C70282" w:rsidP="0019644D">
          <w:pPr>
            <w:jc w:val="both"/>
            <w:rPr>
              <w:rFonts w:ascii="Times New Roman" w:hAnsi="Times New Roman" w:cs="Times New Roman"/>
              <w:sz w:val="24"/>
              <w:szCs w:val="24"/>
            </w:rPr>
          </w:pPr>
          <w:r w:rsidRPr="0019644D">
            <w:rPr>
              <w:rFonts w:ascii="Times New Roman" w:hAnsi="Times New Roman" w:cs="Times New Roman"/>
              <w:b/>
              <w:bCs/>
              <w:sz w:val="24"/>
              <w:szCs w:val="24"/>
            </w:rPr>
            <w:fldChar w:fldCharType="end"/>
          </w:r>
        </w:p>
      </w:sdtContent>
    </w:sdt>
    <w:p w14:paraId="5DDAC459" w14:textId="77777777" w:rsidR="0058316C" w:rsidRPr="0058316C" w:rsidRDefault="0058316C" w:rsidP="008131C2">
      <w:pPr>
        <w:jc w:val="both"/>
        <w:rPr>
          <w:rFonts w:ascii="Times New Roman" w:hAnsi="Times New Roman" w:cs="Times New Roman"/>
          <w:sz w:val="24"/>
          <w:szCs w:val="24"/>
        </w:rPr>
      </w:pPr>
    </w:p>
    <w:p w14:paraId="021DB4A0" w14:textId="0DA068A2" w:rsidR="008131C2" w:rsidRPr="00D91B35" w:rsidRDefault="008131C2" w:rsidP="008131C2">
      <w:pPr>
        <w:jc w:val="both"/>
        <w:rPr>
          <w:rFonts w:ascii="Times New Roman" w:eastAsia="Times New Roman" w:hAnsi="Times New Roman" w:cs="Times New Roman"/>
          <w:bCs/>
          <w:noProof/>
          <w:color w:val="000000" w:themeColor="text1"/>
          <w:sz w:val="24"/>
        </w:rPr>
      </w:pPr>
      <w:r>
        <w:br w:type="page"/>
      </w:r>
    </w:p>
    <w:p w14:paraId="4D97AD4A" w14:textId="2D4318DD" w:rsidR="00562491" w:rsidRPr="00993AF1" w:rsidRDefault="00562491" w:rsidP="00993AF1">
      <w:pPr>
        <w:pStyle w:val="Virsraksts1"/>
        <w:tabs>
          <w:tab w:val="left" w:pos="726"/>
        </w:tabs>
        <w:ind w:left="0" w:firstLine="0"/>
        <w:jc w:val="both"/>
        <w:rPr>
          <w:color w:val="000000" w:themeColor="text1"/>
          <w:sz w:val="24"/>
        </w:rPr>
      </w:pPr>
      <w:bookmarkStart w:id="6" w:name="_Toc73454041"/>
      <w:r>
        <w:rPr>
          <w:color w:val="000000" w:themeColor="text1"/>
          <w:sz w:val="24"/>
        </w:rPr>
        <w:lastRenderedPageBreak/>
        <w:t>EIROPAS KOMISIJAS SNIEGTĀ VISPĀRĒJĀ INFORMĀCIJA</w:t>
      </w:r>
      <w:bookmarkStart w:id="7" w:name="_bookmark3"/>
      <w:bookmarkEnd w:id="7"/>
      <w:bookmarkEnd w:id="6"/>
    </w:p>
    <w:p w14:paraId="02E25D17" w14:textId="77777777" w:rsidR="00993AF1" w:rsidRDefault="00993AF1" w:rsidP="008131C2">
      <w:pPr>
        <w:pStyle w:val="Pamatteksts"/>
        <w:spacing w:before="0"/>
        <w:ind w:left="0"/>
        <w:jc w:val="both"/>
        <w:rPr>
          <w:color w:val="000000" w:themeColor="text1"/>
          <w:sz w:val="24"/>
        </w:rPr>
      </w:pPr>
    </w:p>
    <w:p w14:paraId="4EDFC9F2" w14:textId="3E133B9A" w:rsidR="00562491" w:rsidRPr="00D91B35" w:rsidRDefault="00562491" w:rsidP="008131C2">
      <w:pPr>
        <w:pStyle w:val="Pamatteksts"/>
        <w:spacing w:before="0"/>
        <w:ind w:left="0"/>
        <w:jc w:val="both"/>
        <w:rPr>
          <w:bCs/>
          <w:noProof/>
          <w:color w:val="000000" w:themeColor="text1"/>
          <w:sz w:val="24"/>
        </w:rPr>
      </w:pPr>
      <w:r>
        <w:rPr>
          <w:color w:val="000000" w:themeColor="text1"/>
          <w:sz w:val="24"/>
        </w:rPr>
        <w:t>Pārtikas zinātniskā komiteja iepriekš ir veikusi kalcija vērtēšanu. 2003. gada 4. aprīļa atzinumā par pieļaujamo augstāko uzņemamo kalcija daudzumu (AD) pieaugušajiem noteiktais pieļaujamais augstākais uzņemamais daudzums bija 2500 mg kalcija dienā no visiem avotiem. Datu trūkuma dēļ Komiteja nevarēja secināt par AD bērniem un pusaudžiem.</w:t>
      </w:r>
    </w:p>
    <w:p w14:paraId="7A532F7D"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6451C1CC" w14:textId="77777777" w:rsidR="00562491" w:rsidRPr="00D91B35" w:rsidRDefault="00562491" w:rsidP="008131C2">
      <w:pPr>
        <w:jc w:val="both"/>
        <w:rPr>
          <w:rFonts w:ascii="Times New Roman" w:eastAsia="Times New Roman" w:hAnsi="Times New Roman" w:cs="Times New Roman"/>
          <w:bCs/>
          <w:noProof/>
          <w:color w:val="000000" w:themeColor="text1"/>
          <w:sz w:val="24"/>
        </w:rPr>
      </w:pPr>
      <w:r>
        <w:rPr>
          <w:rFonts w:ascii="Times New Roman" w:hAnsi="Times New Roman"/>
          <w:color w:val="000000" w:themeColor="text1"/>
          <w:sz w:val="24"/>
        </w:rPr>
        <w:t>ASV Medicīnas institūts (</w:t>
      </w:r>
      <w:r>
        <w:rPr>
          <w:rFonts w:ascii="Times New Roman" w:hAnsi="Times New Roman"/>
          <w:i/>
          <w:iCs/>
          <w:color w:val="000000" w:themeColor="text1"/>
          <w:sz w:val="24"/>
        </w:rPr>
        <w:t>IoM</w:t>
      </w:r>
      <w:r>
        <w:rPr>
          <w:rFonts w:ascii="Times New Roman" w:hAnsi="Times New Roman"/>
          <w:color w:val="000000" w:themeColor="text1"/>
          <w:sz w:val="24"/>
        </w:rPr>
        <w:t>) 2010. gada 30. novembrī publicēja ziņojumu “Kalcija un D vitamīna atsauces devas uzturā”. Šajā ziņojumā ASV Medicīnas institūts piedāvā jaunas atsauces vērtības un kalcija AD vērtības, kuru, kā norādīts ziņojumā, “pamatā ir daudz plašāka informācija un augstākas kvalitātes pētījumu rezultāti nekā tie, kas bija pieejami iepriekš”.</w:t>
      </w:r>
    </w:p>
    <w:p w14:paraId="2F84A4D3" w14:textId="77777777" w:rsidR="00562491" w:rsidRPr="00D91B35" w:rsidRDefault="00562491" w:rsidP="008131C2">
      <w:pPr>
        <w:jc w:val="both"/>
        <w:rPr>
          <w:rFonts w:ascii="Times New Roman" w:eastAsia="Times New Roman" w:hAnsi="Times New Roman" w:cs="Times New Roman"/>
          <w:bCs/>
          <w:noProof/>
          <w:color w:val="000000" w:themeColor="text1"/>
          <w:sz w:val="24"/>
        </w:rPr>
      </w:pPr>
    </w:p>
    <w:p w14:paraId="0EB3F3D8"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289E59FF" w14:textId="77777777" w:rsidR="00562491" w:rsidRPr="00993AF1" w:rsidRDefault="00562491" w:rsidP="00993AF1">
      <w:pPr>
        <w:pStyle w:val="Virsraksts1"/>
        <w:tabs>
          <w:tab w:val="left" w:pos="726"/>
        </w:tabs>
        <w:ind w:left="0" w:firstLine="0"/>
        <w:jc w:val="both"/>
        <w:rPr>
          <w:color w:val="000000" w:themeColor="text1"/>
          <w:sz w:val="24"/>
        </w:rPr>
      </w:pPr>
      <w:bookmarkStart w:id="8" w:name="_Toc73454042"/>
      <w:r>
        <w:rPr>
          <w:color w:val="000000" w:themeColor="text1"/>
          <w:sz w:val="24"/>
        </w:rPr>
        <w:t>EIROPAS KOMISIJAS SNIEGTAIS DARBA UZDEVUMS</w:t>
      </w:r>
      <w:bookmarkStart w:id="9" w:name="_bookmark4"/>
      <w:bookmarkEnd w:id="9"/>
      <w:bookmarkEnd w:id="8"/>
    </w:p>
    <w:p w14:paraId="6C135E3D" w14:textId="77777777" w:rsidR="00993AF1" w:rsidRDefault="00993AF1" w:rsidP="008131C2">
      <w:pPr>
        <w:pStyle w:val="Pamatteksts"/>
        <w:spacing w:before="0"/>
        <w:ind w:left="0"/>
        <w:jc w:val="both"/>
        <w:rPr>
          <w:color w:val="000000" w:themeColor="text1"/>
          <w:sz w:val="24"/>
        </w:rPr>
      </w:pPr>
    </w:p>
    <w:p w14:paraId="5DEF4BC6" w14:textId="58A5CF6D" w:rsidR="00562491" w:rsidRPr="00D91B35" w:rsidRDefault="00562491" w:rsidP="008131C2">
      <w:pPr>
        <w:pStyle w:val="Pamatteksts"/>
        <w:spacing w:before="0"/>
        <w:ind w:left="0"/>
        <w:jc w:val="both"/>
        <w:rPr>
          <w:bCs/>
          <w:noProof/>
          <w:color w:val="000000" w:themeColor="text1"/>
          <w:sz w:val="24"/>
        </w:rPr>
      </w:pPr>
      <w:r>
        <w:rPr>
          <w:color w:val="000000" w:themeColor="text1"/>
          <w:sz w:val="24"/>
        </w:rPr>
        <w:t>Saskaņā ar Eiropas Parlamenta un Padomes Regulas (EK) Nr. 178/2002 29. panta 1. punkta a) apakšpunktu Eiropas Komisija lūdz Eiropas Pārtikas nekaitīguma iestādei:</w:t>
      </w:r>
    </w:p>
    <w:p w14:paraId="403AD75A"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2C646B2B" w14:textId="43A05646" w:rsidR="00562491" w:rsidRPr="00D91B35" w:rsidRDefault="00E03EDE" w:rsidP="00D16AA2">
      <w:pPr>
        <w:pStyle w:val="Pamatteksts"/>
        <w:tabs>
          <w:tab w:val="left" w:pos="879"/>
        </w:tabs>
        <w:spacing w:before="0"/>
        <w:ind w:left="567"/>
        <w:jc w:val="both"/>
        <w:rPr>
          <w:bCs/>
          <w:noProof/>
          <w:color w:val="000000" w:themeColor="text1"/>
          <w:sz w:val="24"/>
        </w:rPr>
      </w:pPr>
      <w:r>
        <w:rPr>
          <w:color w:val="000000" w:themeColor="text1"/>
          <w:sz w:val="24"/>
        </w:rPr>
        <w:t>- atkārtoti izvērtēt kalcija lietošanas nekaitīgumu,</w:t>
      </w:r>
    </w:p>
    <w:p w14:paraId="23701170" w14:textId="77777777" w:rsidR="00562491" w:rsidRPr="00D91B35" w:rsidRDefault="00562491" w:rsidP="00D16AA2">
      <w:pPr>
        <w:ind w:left="567"/>
        <w:jc w:val="both"/>
        <w:rPr>
          <w:rFonts w:ascii="Times New Roman" w:eastAsia="Times New Roman" w:hAnsi="Times New Roman" w:cs="Times New Roman"/>
          <w:bCs/>
          <w:noProof/>
          <w:color w:val="000000" w:themeColor="text1"/>
          <w:sz w:val="24"/>
          <w:szCs w:val="21"/>
        </w:rPr>
      </w:pPr>
    </w:p>
    <w:p w14:paraId="1D59ADBC" w14:textId="791A9019" w:rsidR="00562491" w:rsidRPr="00D91B35" w:rsidRDefault="00E03EDE" w:rsidP="00D16AA2">
      <w:pPr>
        <w:pStyle w:val="Pamatteksts"/>
        <w:tabs>
          <w:tab w:val="left" w:pos="879"/>
        </w:tabs>
        <w:spacing w:before="0"/>
        <w:ind w:left="567"/>
        <w:jc w:val="both"/>
        <w:rPr>
          <w:bCs/>
          <w:noProof/>
          <w:color w:val="000000" w:themeColor="text1"/>
          <w:sz w:val="24"/>
        </w:rPr>
      </w:pPr>
      <w:r>
        <w:rPr>
          <w:color w:val="000000" w:themeColor="text1"/>
          <w:sz w:val="24"/>
        </w:rPr>
        <w:t>- ja nepieciešams, sniegt pārskatītos pieļaujamos augstākos uzņemamos daudzumus, kas visdrīzāk neradītu ar kalciju saistītu kaitējuma risku veselībai visās attiecīgajās iedzīvotāju grupās.</w:t>
      </w:r>
    </w:p>
    <w:p w14:paraId="1E577357" w14:textId="77777777" w:rsidR="00D16AA2" w:rsidRPr="00D91B35" w:rsidRDefault="00D16AA2" w:rsidP="008131C2">
      <w:pPr>
        <w:jc w:val="both"/>
        <w:rPr>
          <w:rFonts w:ascii="Times New Roman" w:eastAsia="Times New Roman" w:hAnsi="Times New Roman" w:cs="Times New Roman"/>
          <w:bCs/>
          <w:noProof/>
          <w:color w:val="000000" w:themeColor="text1"/>
          <w:sz w:val="24"/>
          <w:szCs w:val="20"/>
        </w:rPr>
      </w:pPr>
      <w:r>
        <w:br w:type="page"/>
      </w:r>
    </w:p>
    <w:p w14:paraId="682AA17E" w14:textId="1E00C377" w:rsidR="00562491" w:rsidRPr="00993AF1" w:rsidRDefault="00562491" w:rsidP="00993AF1">
      <w:pPr>
        <w:pStyle w:val="Virsraksts1"/>
        <w:tabs>
          <w:tab w:val="left" w:pos="726"/>
        </w:tabs>
        <w:ind w:left="0" w:firstLine="0"/>
        <w:jc w:val="both"/>
        <w:rPr>
          <w:color w:val="000000" w:themeColor="text1"/>
          <w:sz w:val="24"/>
        </w:rPr>
      </w:pPr>
      <w:bookmarkStart w:id="10" w:name="_Toc73454043"/>
      <w:r>
        <w:rPr>
          <w:color w:val="000000" w:themeColor="text1"/>
          <w:sz w:val="24"/>
        </w:rPr>
        <w:lastRenderedPageBreak/>
        <w:t>NOVĒRTĒJUMS</w:t>
      </w:r>
      <w:bookmarkStart w:id="11" w:name="_bookmark5"/>
      <w:bookmarkEnd w:id="11"/>
      <w:bookmarkEnd w:id="10"/>
    </w:p>
    <w:p w14:paraId="46825A2E" w14:textId="77777777" w:rsidR="00562491" w:rsidRPr="00D91B35" w:rsidRDefault="00562491" w:rsidP="008131C2">
      <w:pPr>
        <w:jc w:val="both"/>
        <w:rPr>
          <w:rFonts w:ascii="Times New Roman" w:eastAsia="Times New Roman" w:hAnsi="Times New Roman" w:cs="Times New Roman"/>
          <w:b/>
          <w:noProof/>
          <w:color w:val="000000" w:themeColor="text1"/>
          <w:sz w:val="24"/>
          <w:szCs w:val="31"/>
        </w:rPr>
      </w:pPr>
    </w:p>
    <w:p w14:paraId="11CA76C6" w14:textId="40B878F8" w:rsidR="00562491" w:rsidRPr="00993AF1" w:rsidRDefault="00E03EDE" w:rsidP="008131C2">
      <w:pPr>
        <w:pStyle w:val="Virsraksts1"/>
        <w:tabs>
          <w:tab w:val="left" w:pos="726"/>
        </w:tabs>
        <w:ind w:left="0" w:firstLine="0"/>
        <w:jc w:val="both"/>
        <w:rPr>
          <w:color w:val="000000" w:themeColor="text1"/>
          <w:sz w:val="24"/>
        </w:rPr>
      </w:pPr>
      <w:bookmarkStart w:id="12" w:name="_Toc73454044"/>
      <w:r>
        <w:rPr>
          <w:color w:val="000000" w:themeColor="text1"/>
          <w:sz w:val="24"/>
        </w:rPr>
        <w:t>1. Ievads</w:t>
      </w:r>
      <w:bookmarkStart w:id="13" w:name="_bookmark6"/>
      <w:bookmarkEnd w:id="13"/>
      <w:bookmarkEnd w:id="12"/>
    </w:p>
    <w:p w14:paraId="1BB95F13" w14:textId="77777777" w:rsidR="00957A1D" w:rsidRDefault="00957A1D" w:rsidP="008131C2">
      <w:pPr>
        <w:pStyle w:val="Pamatteksts"/>
        <w:spacing w:before="0"/>
        <w:ind w:left="0"/>
        <w:jc w:val="both"/>
        <w:rPr>
          <w:color w:val="000000" w:themeColor="text1"/>
          <w:sz w:val="24"/>
        </w:rPr>
      </w:pPr>
    </w:p>
    <w:p w14:paraId="1F3B382A" w14:textId="2E841228" w:rsidR="00562491" w:rsidRPr="00D91B35" w:rsidRDefault="00562491" w:rsidP="008131C2">
      <w:pPr>
        <w:pStyle w:val="Pamatteksts"/>
        <w:spacing w:before="0"/>
        <w:ind w:left="0"/>
        <w:jc w:val="both"/>
        <w:rPr>
          <w:bCs/>
          <w:noProof/>
          <w:color w:val="000000" w:themeColor="text1"/>
          <w:sz w:val="24"/>
        </w:rPr>
      </w:pPr>
      <w:r>
        <w:rPr>
          <w:color w:val="000000" w:themeColor="text1"/>
          <w:sz w:val="24"/>
        </w:rPr>
        <w:t>Kalcijam ir svarīga nozīme zobu un kaulu veselībā, šūnu signālpārnesē, koagulācijā, muskuļu kontrakcijās, neiroimpulsu pārnesē un daudzās citās funkcijās. Kalcijs ir piektais visplašāk izplatītais elements cilvēka organismā. Cilvēka organismā aptuveni 99 % no kopējā kalcija daudzuma atrodas kaulos un zobos, galvenokārt kalcija hidroksiapatīta veidā. Kaulos esošā minerālviela nodrošina ķermeņa struktūru un izturību, kā arī kalcija rezervuāru, kas palīdz saglabāt pastāvīgu kalcija koncentrāciju asinīs.</w:t>
      </w:r>
    </w:p>
    <w:p w14:paraId="3DE65982"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4904972F" w14:textId="32538ECF" w:rsidR="00562491" w:rsidRPr="00D91B35" w:rsidRDefault="00562491" w:rsidP="008131C2">
      <w:pPr>
        <w:pStyle w:val="Pamatteksts"/>
        <w:spacing w:before="0"/>
        <w:ind w:left="0"/>
        <w:jc w:val="both"/>
        <w:rPr>
          <w:bCs/>
          <w:noProof/>
          <w:color w:val="000000" w:themeColor="text1"/>
          <w:sz w:val="24"/>
        </w:rPr>
      </w:pPr>
      <w:r>
        <w:rPr>
          <w:color w:val="000000" w:themeColor="text1"/>
          <w:sz w:val="24"/>
        </w:rPr>
        <w:t>Pārtikas zinātniskā komiteja (</w:t>
      </w:r>
      <w:r>
        <w:rPr>
          <w:i/>
          <w:iCs/>
          <w:color w:val="000000" w:themeColor="text1"/>
          <w:sz w:val="24"/>
        </w:rPr>
        <w:t>SCF</w:t>
      </w:r>
      <w:r>
        <w:rPr>
          <w:color w:val="000000" w:themeColor="text1"/>
          <w:sz w:val="24"/>
        </w:rPr>
        <w:t>) 2003. gadā noteica pieļaujamo augstāko uzņemamo kalcija daudzumu (AD) pieaugušajiem, tostarp grūtniecēm un sievietēm laktācijas periodā, 2500 mg dienā. Šī AD balstās uz dažādiem, ilgstošiem iejaukšanās pētījumiem, kuros no visiem avotiem (ar uzturu un uztura bagātinātājiem) uzņemtā 2500 mg lielā kalcija deva neradīja kaitīgu ietekmi. Niecīgā datu daudzuma dēļ, ko sniedza iejaukšanās pētījumi, Komiteja nevarēja secināt par AD bērniem un pusaudžiem un uzskatīja, ka secināt par AD attiecībā uz konkrētām vecuma grupām, ekstrapolējot datus no augstāka vecuma grupām, nebūtu pareizi.</w:t>
      </w:r>
    </w:p>
    <w:p w14:paraId="5028C070"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466B64C6" w14:textId="2F08A583" w:rsidR="00562491" w:rsidRPr="00D91B35" w:rsidRDefault="00562491" w:rsidP="008131C2">
      <w:pPr>
        <w:pStyle w:val="Pamatteksts"/>
        <w:spacing w:before="0"/>
        <w:ind w:left="0"/>
        <w:jc w:val="both"/>
        <w:rPr>
          <w:bCs/>
          <w:noProof/>
          <w:color w:val="000000" w:themeColor="text1"/>
          <w:sz w:val="24"/>
        </w:rPr>
      </w:pPr>
      <w:r>
        <w:rPr>
          <w:color w:val="000000" w:themeColor="text1"/>
          <w:sz w:val="24"/>
        </w:rPr>
        <w:t xml:space="preserve">AD, ko </w:t>
      </w:r>
      <w:r>
        <w:rPr>
          <w:i/>
          <w:iCs/>
          <w:color w:val="000000" w:themeColor="text1"/>
          <w:sz w:val="24"/>
        </w:rPr>
        <w:t>SCF</w:t>
      </w:r>
      <w:r>
        <w:rPr>
          <w:color w:val="000000" w:themeColor="text1"/>
          <w:sz w:val="24"/>
        </w:rPr>
        <w:t xml:space="preserve"> (2003) noteica kalcijam, bija tāda pati kā ASV Medicīnas institūta (IoM, 1997) deva, kuras pamatā bija 4000–5000 mg dienā radītā niecīgākā nelabvēlīgā ietekme (</w:t>
      </w:r>
      <w:r>
        <w:rPr>
          <w:i/>
          <w:iCs/>
          <w:color w:val="000000" w:themeColor="text1"/>
          <w:sz w:val="24"/>
        </w:rPr>
        <w:t>LOAEL</w:t>
      </w:r>
      <w:r>
        <w:rPr>
          <w:color w:val="000000" w:themeColor="text1"/>
          <w:sz w:val="24"/>
        </w:rPr>
        <w:t>), ko noteica kā kritisko galarezultātu, par kritēriju izvēloties piena alkāliju sindromu un piemērojot nenoteiktības koeficientu “2” novērotās saistības dēļ starp uzņemto kalcija devu un potenciālo nierakmeņu veidošanās risku, hiperkalciūriju un ar uzturu uzņemtā kalcija radīto ietekmi uz dažu minerālvielu bioloģisko pieejamību jutīgās populācijās. ASV Medicīnas institūts</w:t>
      </w:r>
      <w:r>
        <w:rPr>
          <w:i/>
          <w:iCs/>
          <w:color w:val="000000" w:themeColor="text1"/>
          <w:sz w:val="24"/>
        </w:rPr>
        <w:t xml:space="preserve"> </w:t>
      </w:r>
      <w:r>
        <w:rPr>
          <w:color w:val="000000" w:themeColor="text1"/>
          <w:sz w:val="24"/>
        </w:rPr>
        <w:t>arī noteica to pašu AD, proti, 2500 mg kalcija dienā pieaugušajiem, kas vecāki par 70 gadiem, 1–18 gadu veciem bērniem un pusaudžiem, kā arī grūtniecēm un sievietēm laktācijas periodā, taču nevarēja noteikt AD zīdaiņiem.</w:t>
      </w:r>
    </w:p>
    <w:p w14:paraId="2105E2D6"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79DBFC96" w14:textId="2C2DF661" w:rsidR="00562491" w:rsidRPr="00D91B35" w:rsidRDefault="00562491" w:rsidP="008131C2">
      <w:pPr>
        <w:pStyle w:val="Pamatteksts"/>
        <w:spacing w:before="0"/>
        <w:ind w:left="0"/>
        <w:jc w:val="both"/>
        <w:rPr>
          <w:bCs/>
          <w:noProof/>
          <w:color w:val="000000" w:themeColor="text1"/>
          <w:sz w:val="24"/>
        </w:rPr>
      </w:pPr>
      <w:r>
        <w:rPr>
          <w:color w:val="000000" w:themeColor="text1"/>
          <w:sz w:val="24"/>
        </w:rPr>
        <w:t>ASV Medicīnas institūts</w:t>
      </w:r>
      <w:r>
        <w:rPr>
          <w:i/>
          <w:iCs/>
          <w:color w:val="000000" w:themeColor="text1"/>
          <w:sz w:val="24"/>
        </w:rPr>
        <w:t xml:space="preserve"> </w:t>
      </w:r>
      <w:r>
        <w:rPr>
          <w:color w:val="000000" w:themeColor="text1"/>
          <w:sz w:val="24"/>
        </w:rPr>
        <w:t>2011. gadā publicēja atkārtotu kalcija AD novērtējumu, kas pieaugušajiem ≥ 51 gadu vecumā balstījās uz 2000 mg lielas kalcija diennakts devas niecīgāko nelabvēlīgo ietekmi, par kritisko galarezultātu izvēloties nefrolitiāzi (Jackson et al., 2006). Nenoteiktības kritēriju nepiemēroja. AD no 19 līdz 50 gadu veciem pieaugušajiem bija tāda pati kā 1997. gadā noteiktā deva, un to ieguva, veicot interpolāciju starp AD gados vecākiem pieaugušajiem un jauno 3000 mg AD bērniem vecumā no 9 līdz 13 gadiem un pusaudžiem no 14 līdz 18 gadiem. Šo pēdējo no minētajām vērtībām noteica saskaņā ar pieņēmumu par lielāku vajadzību pēc kalcija un attiecīgi tā augstāku panesamību vecuma grupā no 9 līdz 18 gadiem saistībā ar pubertātei raksturīgo paātrināto augšanu. Kalcija AD 1500 mg dienā ieguva, pamatojoties uz nenovērojamās nelabvēlīgās ietekmes līmeni (</w:t>
      </w:r>
      <w:r>
        <w:rPr>
          <w:i/>
          <w:iCs/>
          <w:color w:val="000000" w:themeColor="text1"/>
          <w:sz w:val="24"/>
        </w:rPr>
        <w:t>NOAEL</w:t>
      </w:r>
      <w:r>
        <w:rPr>
          <w:color w:val="000000" w:themeColor="text1"/>
          <w:sz w:val="24"/>
        </w:rPr>
        <w:t>) pie devas 1750 mg dienā iejaukšanās pētījumā ar 2,5–5 mēnešus veciem zīdaiņiem laikā starp bāzlīniju un 9 mēnešiem, iejaukšanās pasākumam beidzoties (Dalton et al., 1997; Sargent et al., 1999). Nenoteiktības koeficientus “2” un “1,2” piemēroja, lai ņemtu vērā svara pieaugumu iejaukšanās pasākumu laikā, un rezultātus noapaļoja līdz AD 1000 mg dienā zīdaiņiem 0–6 mēnešu vecumā un attiecīgi 1500 mg dienā zīdaiņiem 6–12 mēnešu vecumā. Jauni dati par vecuma grupu no 1 līdz 8 gadiem nebija pieejami, un AD 2500 mg dienā palika bez izmaiņām. Grūtniecēm un sievietēm laktācijas periodā par piemērotām pieņēma 14–18 gadus veciem pusaudžiem noteikto AD 3000 mg dienā, ņemot vērā viņu vecuma īpatnības, un AD 2500 mg dienā sievietēm, kas vecākas par 19 gadiem.</w:t>
      </w:r>
    </w:p>
    <w:p w14:paraId="07760653"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55DD4D22" w14:textId="77777777" w:rsidR="00562491" w:rsidRPr="00D91B35" w:rsidRDefault="00562491" w:rsidP="008131C2">
      <w:pPr>
        <w:pStyle w:val="Pamatteksts"/>
        <w:spacing w:before="0"/>
        <w:ind w:left="0"/>
        <w:jc w:val="both"/>
        <w:rPr>
          <w:bCs/>
          <w:noProof/>
          <w:color w:val="000000" w:themeColor="text1"/>
          <w:sz w:val="24"/>
        </w:rPr>
      </w:pPr>
      <w:r>
        <w:rPr>
          <w:color w:val="000000" w:themeColor="text1"/>
          <w:sz w:val="24"/>
        </w:rPr>
        <w:t xml:space="preserve">Ekspertu grupai lūdza apsvērt, vai, pamatojoties uz jauniem pierādījumiem, jāmaina </w:t>
      </w:r>
      <w:r>
        <w:rPr>
          <w:i/>
          <w:iCs/>
          <w:color w:val="000000" w:themeColor="text1"/>
          <w:sz w:val="24"/>
        </w:rPr>
        <w:t>SCF</w:t>
      </w:r>
      <w:r>
        <w:rPr>
          <w:color w:val="000000" w:themeColor="text1"/>
          <w:sz w:val="24"/>
        </w:rPr>
        <w:t xml:space="preserve"> 2003. gadā noteiktās kalcija AD.</w:t>
      </w:r>
    </w:p>
    <w:p w14:paraId="25E4E6EC" w14:textId="77777777" w:rsidR="00562491" w:rsidRPr="00D91B35" w:rsidRDefault="00562491" w:rsidP="008131C2">
      <w:pPr>
        <w:jc w:val="both"/>
        <w:rPr>
          <w:rFonts w:ascii="Times New Roman" w:eastAsia="Times New Roman" w:hAnsi="Times New Roman" w:cs="Times New Roman"/>
          <w:bCs/>
          <w:noProof/>
          <w:color w:val="000000" w:themeColor="text1"/>
          <w:sz w:val="24"/>
        </w:rPr>
      </w:pPr>
    </w:p>
    <w:p w14:paraId="7915CF93" w14:textId="47548CC0" w:rsidR="00562491" w:rsidRPr="00D91B35" w:rsidRDefault="00E03EDE" w:rsidP="008131C2">
      <w:pPr>
        <w:pStyle w:val="Virsraksts1"/>
        <w:tabs>
          <w:tab w:val="left" w:pos="726"/>
        </w:tabs>
        <w:ind w:left="0" w:firstLine="0"/>
        <w:jc w:val="both"/>
        <w:rPr>
          <w:bCs w:val="0"/>
          <w:noProof/>
          <w:color w:val="000000" w:themeColor="text1"/>
          <w:sz w:val="24"/>
        </w:rPr>
      </w:pPr>
      <w:bookmarkStart w:id="14" w:name="_Toc73454045"/>
      <w:r>
        <w:rPr>
          <w:color w:val="000000" w:themeColor="text1"/>
          <w:sz w:val="24"/>
        </w:rPr>
        <w:t>2. Ar uzturu uzņemtās devas</w:t>
      </w:r>
      <w:bookmarkStart w:id="15" w:name="_bookmark7"/>
      <w:bookmarkEnd w:id="15"/>
      <w:bookmarkEnd w:id="14"/>
    </w:p>
    <w:p w14:paraId="54C94000" w14:textId="77777777" w:rsidR="00562491" w:rsidRPr="00D91B35" w:rsidRDefault="00562491" w:rsidP="008131C2">
      <w:pPr>
        <w:jc w:val="both"/>
        <w:rPr>
          <w:rFonts w:ascii="Times New Roman" w:eastAsia="Times New Roman" w:hAnsi="Times New Roman" w:cs="Times New Roman"/>
          <w:bCs/>
          <w:noProof/>
          <w:color w:val="000000" w:themeColor="text1"/>
          <w:sz w:val="24"/>
          <w:szCs w:val="31"/>
        </w:rPr>
      </w:pPr>
    </w:p>
    <w:p w14:paraId="47A914BE" w14:textId="6588E82B" w:rsidR="00562491" w:rsidRPr="00D91B35" w:rsidRDefault="00E03EDE" w:rsidP="008131C2">
      <w:pPr>
        <w:pStyle w:val="Virsraksts1"/>
        <w:tabs>
          <w:tab w:val="left" w:pos="954"/>
        </w:tabs>
        <w:ind w:left="0" w:firstLine="0"/>
        <w:jc w:val="both"/>
        <w:rPr>
          <w:bCs w:val="0"/>
          <w:noProof/>
          <w:color w:val="000000" w:themeColor="text1"/>
          <w:sz w:val="24"/>
        </w:rPr>
      </w:pPr>
      <w:bookmarkStart w:id="16" w:name="_Toc73454046"/>
      <w:r>
        <w:rPr>
          <w:color w:val="000000" w:themeColor="text1"/>
          <w:sz w:val="24"/>
        </w:rPr>
        <w:t>2.1. Pārtikas avoti, tostarp uztura bagātinātāji</w:t>
      </w:r>
      <w:bookmarkStart w:id="17" w:name="_bookmark8"/>
      <w:bookmarkEnd w:id="17"/>
      <w:bookmarkEnd w:id="16"/>
    </w:p>
    <w:p w14:paraId="7A302915" w14:textId="77777777" w:rsidR="00584CF2" w:rsidRDefault="00584CF2" w:rsidP="008131C2">
      <w:pPr>
        <w:pStyle w:val="Pamatteksts"/>
        <w:spacing w:before="0"/>
        <w:ind w:left="0"/>
        <w:jc w:val="both"/>
        <w:rPr>
          <w:color w:val="000000" w:themeColor="text1"/>
          <w:sz w:val="24"/>
        </w:rPr>
      </w:pPr>
    </w:p>
    <w:p w14:paraId="366EB322" w14:textId="6099BA77" w:rsidR="00562491" w:rsidRPr="00D91B35" w:rsidRDefault="00562491" w:rsidP="008131C2">
      <w:pPr>
        <w:pStyle w:val="Pamatteksts"/>
        <w:spacing w:before="0"/>
        <w:ind w:left="0"/>
        <w:jc w:val="both"/>
        <w:rPr>
          <w:bCs/>
          <w:noProof/>
          <w:color w:val="000000" w:themeColor="text1"/>
          <w:sz w:val="24"/>
        </w:rPr>
      </w:pPr>
      <w:r>
        <w:rPr>
          <w:color w:val="000000" w:themeColor="text1"/>
          <w:sz w:val="24"/>
        </w:rPr>
        <w:t>Pārtikas produktos kalcija saturs ir ļoti atšķirīgs. Labākie avoti ir piens (120 mg/100 g) un piena produkti (līdz aptuveni 1100 mg/100 g), kur esošo kalciju var absorbēt par aptuveni 32 % (Weaver, 2001). Eiropas iedzīvotāju uzturā aptuveni 45 līdz 70 % kalcija nodrošina piena produkti (Guéguen and Pointillart, 2000; IUNA (Irish Universities Nutrition Alliance), 2001). Vērtīgi avoti, no kuriem kalciju ir viegli absorbēt, ir daži augi, piemēram, krustziežu dārzeņi, mandeles un žāvētas aprikozes. Tomēr dažos dārzeņos (rabarberos, spinātos) ir ievērojams daudzums grūti absorbējama kalcija, jo tajos ir daudz oksalāta, kas veido slikti šķīstošu kalcija oksalātu. Dzeramais ūdens un minerālūdeņi (kalcija daudzums &gt; 150 mg/l) arī var būt labi absorbējama kalcija uzņemšanas avoti.</w:t>
      </w:r>
    </w:p>
    <w:p w14:paraId="4FDAFF69"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1F8533BE" w14:textId="11757AD2" w:rsidR="00562491" w:rsidRPr="00D91B35" w:rsidRDefault="00562491" w:rsidP="008131C2">
      <w:pPr>
        <w:pStyle w:val="Pamatteksts"/>
        <w:spacing w:before="0"/>
        <w:ind w:left="0"/>
        <w:jc w:val="both"/>
        <w:rPr>
          <w:bCs/>
          <w:noProof/>
          <w:color w:val="000000" w:themeColor="text1"/>
          <w:sz w:val="24"/>
        </w:rPr>
      </w:pPr>
      <w:r>
        <w:rPr>
          <w:color w:val="000000" w:themeColor="text1"/>
          <w:sz w:val="24"/>
        </w:rPr>
        <w:t>Eiropas Savienībā pārtikas produktiem drīkst pievienot kalciju un lietot to kā pārtikas produktu bagātinātāju šādās formās (Regulas (EK) Nr. 1925/2006 II pielikums</w:t>
      </w:r>
      <w:r w:rsidR="00A82DB9" w:rsidRPr="00D91B35">
        <w:rPr>
          <w:rStyle w:val="Vresatsauce"/>
          <w:rFonts w:cs="Times New Roman"/>
          <w:bCs/>
          <w:noProof/>
          <w:color w:val="000000" w:themeColor="text1"/>
          <w:sz w:val="24"/>
        </w:rPr>
        <w:footnoteReference w:id="4"/>
      </w:r>
      <w:r>
        <w:rPr>
          <w:color w:val="000000" w:themeColor="text1"/>
          <w:sz w:val="24"/>
        </w:rPr>
        <w:t xml:space="preserve"> un Direktīvas 2002/46/EK II pielikums</w:t>
      </w:r>
      <w:r w:rsidR="00A82DB9" w:rsidRPr="00D91B35">
        <w:rPr>
          <w:rStyle w:val="Vresatsauce"/>
          <w:rFonts w:cs="Times New Roman"/>
          <w:bCs/>
          <w:noProof/>
          <w:color w:val="000000" w:themeColor="text1"/>
          <w:sz w:val="24"/>
        </w:rPr>
        <w:footnoteReference w:id="5"/>
      </w:r>
      <w:r>
        <w:rPr>
          <w:color w:val="000000" w:themeColor="text1"/>
          <w:sz w:val="24"/>
        </w:rPr>
        <w:t>): karbonāts, hlorīds, citrāta malāts, glikonāts, glicerofosfāts, laktāts, hidroksīds, oksīds, acetāts, L-askorbāts, bisglicināts, citronskābes sāļi, piruvāts, ortofosforskābes sāļi, sukcināts, L-lizināts, malāts, L-pidolāts, L-treonāts, sulfāts.</w:t>
      </w:r>
    </w:p>
    <w:p w14:paraId="541EB645" w14:textId="77777777" w:rsidR="00562491" w:rsidRPr="00D91B35" w:rsidRDefault="00562491" w:rsidP="008131C2">
      <w:pPr>
        <w:jc w:val="both"/>
        <w:rPr>
          <w:rFonts w:ascii="Times New Roman" w:eastAsia="Times New Roman" w:hAnsi="Times New Roman" w:cs="Times New Roman"/>
          <w:bCs/>
          <w:noProof/>
          <w:color w:val="000000" w:themeColor="text1"/>
          <w:sz w:val="24"/>
        </w:rPr>
      </w:pPr>
    </w:p>
    <w:p w14:paraId="69224A54" w14:textId="34F725C9" w:rsidR="00562491" w:rsidRPr="00D91B35" w:rsidRDefault="00E03EDE" w:rsidP="008131C2">
      <w:pPr>
        <w:pStyle w:val="Virsraksts1"/>
        <w:tabs>
          <w:tab w:val="left" w:pos="954"/>
        </w:tabs>
        <w:ind w:left="0" w:firstLine="0"/>
        <w:jc w:val="both"/>
        <w:rPr>
          <w:bCs w:val="0"/>
          <w:noProof/>
          <w:color w:val="000000" w:themeColor="text1"/>
          <w:sz w:val="24"/>
        </w:rPr>
      </w:pPr>
      <w:bookmarkStart w:id="18" w:name="_Toc73454047"/>
      <w:r>
        <w:rPr>
          <w:color w:val="000000" w:themeColor="text1"/>
          <w:sz w:val="24"/>
        </w:rPr>
        <w:t>2.2. Ar uzturu uzņemtās devas</w:t>
      </w:r>
      <w:bookmarkStart w:id="19" w:name="_bookmark9"/>
      <w:bookmarkEnd w:id="19"/>
      <w:bookmarkEnd w:id="18"/>
    </w:p>
    <w:p w14:paraId="014E6BC4" w14:textId="77777777" w:rsidR="009100B3" w:rsidRDefault="009100B3" w:rsidP="008131C2">
      <w:pPr>
        <w:pStyle w:val="Pamatteksts"/>
        <w:spacing w:before="0"/>
        <w:ind w:left="0"/>
        <w:jc w:val="both"/>
        <w:rPr>
          <w:color w:val="000000" w:themeColor="text1"/>
          <w:sz w:val="24"/>
        </w:rPr>
      </w:pPr>
    </w:p>
    <w:p w14:paraId="638A549A" w14:textId="0D7FF7B4" w:rsidR="00562491" w:rsidRPr="00D91B35" w:rsidRDefault="00562491" w:rsidP="008131C2">
      <w:pPr>
        <w:pStyle w:val="Pamatteksts"/>
        <w:spacing w:before="0"/>
        <w:ind w:left="0"/>
        <w:jc w:val="both"/>
        <w:rPr>
          <w:bCs/>
          <w:noProof/>
          <w:color w:val="000000" w:themeColor="text1"/>
          <w:sz w:val="24"/>
        </w:rPr>
      </w:pPr>
      <w:r>
        <w:rPr>
          <w:color w:val="000000" w:themeColor="text1"/>
          <w:sz w:val="24"/>
        </w:rPr>
        <w:t>Vidējās kalcija devas, ko uzņem Eiropas valstīs, ir dažādas atkarībā no dzimuma, vecuma un uztura bagātinātāju lietošanas paradumiem (A un B pielikums). Bērnu, pusaudžu un pieaugušo individuāli uzņemto devu novērtēšanai izmantotajā metodikā ir liela dažādība. Šīs atšķirības uztura novērtēšanas metodēs apgrūtina tiešu salīdzinājumu veikšanu. Dati, kas iegūti Polijā un balstās uz vienu 24 stundu atcerēšanās anketu, ir iekļauti A un B pielikumā, lai tas būtu pilnīgs, bet tekstā nav ņemti vērā. Klasifikācijas, ko izmanto dalīšanai pa vecuma grupām, var nebūt vienveidīgas, un atšķirības pārtikas sastāva tabulās, ko izmanto pārtikas patēriņa datu konversijai uzņemto uzturvielu datos, arī apgrūtina salīdzināšanu (Deharveng et al., 1999). Lai gan šīs atšķirības ietekmē starpvalstu salīdzinājumu precizitāti, sniegtie dati tomēr sniedz aptuvenu pārskatu par kalcija devām, ko vairākās Eiropas valstīs vidēji uzņem visi patērētāji un patērētāji ar augstu kalcija patēriņu.</w:t>
      </w:r>
    </w:p>
    <w:p w14:paraId="4161CE0B"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602A5575" w14:textId="56CF72F0" w:rsidR="00562491" w:rsidRPr="00D91B35" w:rsidRDefault="009100B3" w:rsidP="008131C2">
      <w:pPr>
        <w:pStyle w:val="Virsraksts1"/>
        <w:tabs>
          <w:tab w:val="left" w:pos="999"/>
        </w:tabs>
        <w:ind w:left="0" w:firstLine="0"/>
        <w:jc w:val="both"/>
        <w:rPr>
          <w:bCs w:val="0"/>
          <w:noProof/>
          <w:color w:val="000000" w:themeColor="text1"/>
          <w:sz w:val="24"/>
        </w:rPr>
      </w:pPr>
      <w:bookmarkStart w:id="20" w:name="_Toc73454048"/>
      <w:r>
        <w:rPr>
          <w:color w:val="000000" w:themeColor="text1"/>
          <w:sz w:val="24"/>
        </w:rPr>
        <w:t>2.2.1</w:t>
      </w:r>
      <w:r w:rsidR="00E03EDE">
        <w:rPr>
          <w:color w:val="000000" w:themeColor="text1"/>
          <w:sz w:val="24"/>
        </w:rPr>
        <w:t>. Pieaugušie</w:t>
      </w:r>
      <w:bookmarkStart w:id="21" w:name="_bookmark10"/>
      <w:bookmarkEnd w:id="21"/>
      <w:bookmarkEnd w:id="20"/>
    </w:p>
    <w:p w14:paraId="7A02827E" w14:textId="77777777" w:rsidR="009100B3" w:rsidRDefault="009100B3" w:rsidP="008131C2">
      <w:pPr>
        <w:pStyle w:val="Pamatteksts"/>
        <w:spacing w:before="0"/>
        <w:ind w:left="0"/>
        <w:jc w:val="both"/>
        <w:rPr>
          <w:color w:val="000000" w:themeColor="text1"/>
          <w:sz w:val="24"/>
        </w:rPr>
      </w:pPr>
    </w:p>
    <w:p w14:paraId="531D650F" w14:textId="3888FA99" w:rsidR="00562491" w:rsidRPr="00D91B35" w:rsidRDefault="00562491" w:rsidP="008131C2">
      <w:pPr>
        <w:pStyle w:val="Pamatteksts"/>
        <w:spacing w:before="0"/>
        <w:ind w:left="0"/>
        <w:jc w:val="both"/>
        <w:rPr>
          <w:bCs/>
          <w:noProof/>
          <w:color w:val="000000" w:themeColor="text1"/>
          <w:sz w:val="24"/>
        </w:rPr>
      </w:pPr>
      <w:r>
        <w:rPr>
          <w:noProof/>
          <w:color w:val="000000" w:themeColor="text1"/>
          <w:sz w:val="24"/>
        </w:rPr>
        <w:drawing>
          <wp:anchor distT="0" distB="0" distL="114300" distR="114300" simplePos="0" relativeHeight="251652096" behindDoc="1" locked="0" layoutInCell="1" allowOverlap="1" wp14:anchorId="43C79EAF" wp14:editId="0F260FBB">
            <wp:simplePos x="0" y="0"/>
            <wp:positionH relativeFrom="page">
              <wp:posOffset>5725160</wp:posOffset>
            </wp:positionH>
            <wp:positionV relativeFrom="paragraph">
              <wp:posOffset>76835</wp:posOffset>
            </wp:positionV>
            <wp:extent cx="155575" cy="17208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5575" cy="17208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themeColor="text1"/>
          <w:sz w:val="24"/>
        </w:rPr>
        <w:t>Vidējās kalcija devas, ko uzņem tikai ar pārtiku, bija no 623 mg dienā (Beļģija, 75 gadi) līdz 1374 mg dienā (Dānija, vīrieši, 18–24 gadi), un mediānās devas bija šajā pašā diapazonā. Vērtības, kas pieejamas par devām augstās procentilēs, bija no 1045 mg dienā (Spānija, P95, sievietes, 18–64 gadi) līdz 2422 mg dienā (Vācija, P95, vīrieši, 19–24 gadi). Vidējās kalcija devas pētījumos, kuros ņēma vērā pārtiku un uztura bagātinātājus kopā, bija šajās pašās robežās; tas pats attiecas uz skaitļiem par kalcija devām visaugstākajās procentilēs.</w:t>
      </w:r>
    </w:p>
    <w:p w14:paraId="29BADE72" w14:textId="77777777" w:rsidR="00562491" w:rsidRPr="00D91B35" w:rsidRDefault="00562491" w:rsidP="008131C2">
      <w:pPr>
        <w:jc w:val="both"/>
        <w:rPr>
          <w:rFonts w:ascii="Times New Roman" w:eastAsia="Times New Roman" w:hAnsi="Times New Roman" w:cs="Times New Roman"/>
          <w:bCs/>
          <w:noProof/>
          <w:color w:val="000000" w:themeColor="text1"/>
          <w:sz w:val="24"/>
        </w:rPr>
      </w:pPr>
    </w:p>
    <w:p w14:paraId="00F487C5"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40094790" w14:textId="2D9F574E" w:rsidR="00562491" w:rsidRPr="00D91B35" w:rsidRDefault="00E03EDE" w:rsidP="008131C2">
      <w:pPr>
        <w:pStyle w:val="Virsraksts1"/>
        <w:tabs>
          <w:tab w:val="left" w:pos="999"/>
        </w:tabs>
        <w:ind w:left="0" w:firstLine="0"/>
        <w:jc w:val="both"/>
        <w:rPr>
          <w:bCs w:val="0"/>
          <w:noProof/>
          <w:color w:val="000000" w:themeColor="text1"/>
          <w:sz w:val="24"/>
        </w:rPr>
      </w:pPr>
      <w:bookmarkStart w:id="22" w:name="_Toc73454049"/>
      <w:r>
        <w:rPr>
          <w:color w:val="000000" w:themeColor="text1"/>
          <w:sz w:val="24"/>
        </w:rPr>
        <w:t>2.2.2. Zīdaiņi (≤ 1 gads)</w:t>
      </w:r>
      <w:bookmarkStart w:id="23" w:name="_bookmark11"/>
      <w:bookmarkEnd w:id="23"/>
      <w:bookmarkEnd w:id="22"/>
    </w:p>
    <w:p w14:paraId="1BDCAA8F" w14:textId="77777777" w:rsidR="009100B3" w:rsidRDefault="009100B3" w:rsidP="008131C2">
      <w:pPr>
        <w:pStyle w:val="Pamatteksts"/>
        <w:spacing w:before="0"/>
        <w:ind w:left="0"/>
        <w:jc w:val="both"/>
        <w:rPr>
          <w:color w:val="000000" w:themeColor="text1"/>
          <w:sz w:val="24"/>
        </w:rPr>
      </w:pPr>
    </w:p>
    <w:p w14:paraId="3F0B4597" w14:textId="6F794F1B" w:rsidR="00562491" w:rsidRPr="00D91B35" w:rsidRDefault="00562491" w:rsidP="008131C2">
      <w:pPr>
        <w:pStyle w:val="Pamatteksts"/>
        <w:spacing w:before="0"/>
        <w:ind w:left="0"/>
        <w:jc w:val="both"/>
        <w:rPr>
          <w:bCs/>
          <w:noProof/>
          <w:color w:val="000000" w:themeColor="text1"/>
          <w:sz w:val="24"/>
        </w:rPr>
      </w:pPr>
      <w:r>
        <w:rPr>
          <w:color w:val="000000" w:themeColor="text1"/>
          <w:sz w:val="24"/>
        </w:rPr>
        <w:t>Dati par vidējo kalcija devu, ko uzņem ar pārtiku, bija pieejami tikai par vienu valsti (Nīderlande), un tie bija robežās no 730 mg dienā (0,75 gadi) līdz 824 mg dienā (1 gads). Augstajā procentilē devas lielums bija 1085 mg dienā (P90, 1 gads). Vidējā uzņemtā kalcija deva visā izlasē un visaugstākajās patēriņa procentilēs vienīgajā pētījumā (Somija), kurā ņēma vērā gan pārtiku, gan arī uztura bagātinātājus, bija šajās pašās robežās.</w:t>
      </w:r>
    </w:p>
    <w:p w14:paraId="2E7994D6" w14:textId="77777777" w:rsidR="00562491" w:rsidRPr="00D91B35" w:rsidRDefault="00562491" w:rsidP="008131C2">
      <w:pPr>
        <w:jc w:val="both"/>
        <w:rPr>
          <w:rFonts w:ascii="Times New Roman" w:eastAsia="Times New Roman" w:hAnsi="Times New Roman" w:cs="Times New Roman"/>
          <w:bCs/>
          <w:noProof/>
          <w:color w:val="000000" w:themeColor="text1"/>
          <w:sz w:val="24"/>
        </w:rPr>
      </w:pPr>
    </w:p>
    <w:p w14:paraId="50C21C4B" w14:textId="1937D5D4" w:rsidR="00562491" w:rsidRPr="00D91B35" w:rsidRDefault="009100B3" w:rsidP="008131C2">
      <w:pPr>
        <w:pStyle w:val="Virsraksts1"/>
        <w:tabs>
          <w:tab w:val="left" w:pos="999"/>
        </w:tabs>
        <w:ind w:left="0" w:firstLine="0"/>
        <w:jc w:val="both"/>
        <w:rPr>
          <w:bCs w:val="0"/>
          <w:noProof/>
          <w:color w:val="000000" w:themeColor="text1"/>
          <w:sz w:val="24"/>
        </w:rPr>
      </w:pPr>
      <w:bookmarkStart w:id="24" w:name="_Toc73454050"/>
      <w:r>
        <w:rPr>
          <w:color w:val="000000" w:themeColor="text1"/>
          <w:sz w:val="24"/>
        </w:rPr>
        <w:t>2.2.3</w:t>
      </w:r>
      <w:r w:rsidR="00E03EDE">
        <w:rPr>
          <w:color w:val="000000" w:themeColor="text1"/>
          <w:sz w:val="24"/>
        </w:rPr>
        <w:t>. Bērni (parasti no 1 līdz 14 gadiem)</w:t>
      </w:r>
      <w:bookmarkStart w:id="25" w:name="_bookmark12"/>
      <w:bookmarkEnd w:id="25"/>
      <w:bookmarkEnd w:id="24"/>
    </w:p>
    <w:p w14:paraId="285790D2" w14:textId="77777777" w:rsidR="009100B3" w:rsidRDefault="009100B3" w:rsidP="008131C2">
      <w:pPr>
        <w:pStyle w:val="Pamatteksts"/>
        <w:spacing w:before="0"/>
        <w:ind w:left="0"/>
        <w:jc w:val="both"/>
        <w:rPr>
          <w:color w:val="000000" w:themeColor="text1"/>
          <w:sz w:val="24"/>
        </w:rPr>
      </w:pPr>
    </w:p>
    <w:p w14:paraId="730A5AC8" w14:textId="7B87EB37" w:rsidR="00562491" w:rsidRPr="00D91B35" w:rsidRDefault="00562491" w:rsidP="008131C2">
      <w:pPr>
        <w:pStyle w:val="Pamatteksts"/>
        <w:spacing w:before="0"/>
        <w:ind w:left="0"/>
        <w:jc w:val="both"/>
        <w:rPr>
          <w:bCs/>
          <w:noProof/>
          <w:color w:val="000000" w:themeColor="text1"/>
          <w:sz w:val="24"/>
        </w:rPr>
      </w:pPr>
      <w:r>
        <w:rPr>
          <w:color w:val="000000" w:themeColor="text1"/>
          <w:sz w:val="24"/>
        </w:rPr>
        <w:t>Vidējā kalcija deva, ko bērni (0–3 gadi) uzņem ar pārtiku, bija no 664 mg dienā (Itālija, 0–&lt; 3 gadi) līdz 1024 mg dienā (Grieķija, 1–5 gadi). Augstajās procentilēs kalcija devu raksturojošie lielumi bija no 1070 mg dienā (Itālija, P95, 0–3 gadi, ieskaitot bagātinātu pārtiku) līdz 1392 mg dienā (Grieķija, P90, 1–5 gadi). Vidējās kalcija devas visā izlasē un patēriņa augstākajās procentilēs atbilstoši pētījumiem, kuros ņēma vērā gan uzturu, gan uztura bagātinātājus, bija šajās pašās robežās.</w:t>
      </w:r>
    </w:p>
    <w:p w14:paraId="6F499F51"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7671DF95" w14:textId="015A593E" w:rsidR="00562491" w:rsidRPr="00D91B35" w:rsidRDefault="00562491" w:rsidP="008131C2">
      <w:pPr>
        <w:pStyle w:val="Pamatteksts"/>
        <w:spacing w:before="0"/>
        <w:ind w:left="0"/>
        <w:jc w:val="both"/>
        <w:rPr>
          <w:bCs/>
          <w:noProof/>
          <w:color w:val="000000" w:themeColor="text1"/>
          <w:sz w:val="24"/>
        </w:rPr>
      </w:pPr>
      <w:r>
        <w:rPr>
          <w:color w:val="000000" w:themeColor="text1"/>
          <w:sz w:val="24"/>
        </w:rPr>
        <w:t>Gados vecākiem bērniem (apmēram 3–14 gadi) vidējās ar pārtiku uzņemtās kalcija devas bija no 804 mg dienā (Īrija, meitenes, 5–12 gadi; Apvienotā Karaliste, 4–10 gadi) līdz 1072 mg dienā (Dānija, 4–14 gadi), un mediānās devas bija šajās pašās robežās. Augstajās patēriņa procentilēs devu raksturojošie lielumi bija no 1123 mg dienā (Spānija, P95, 4–10 gadi) līdz 1776 mg dienā (Dānija, P95, 4–14 gadi). Pārtikas pētījumos, kuros ņēma vērā gan pārtikas produktus, gan uztura bagātinātājus kopā, uzņemtais kalcija daudzums bija nedaudz lielāks. Šajos pētījumos vidējās tikai ar pārtiku uzņemtās kalcija devas bija no 724 mg dienā (Nīderlande, 4–6 gadi) līdz 1103 mg dienā (Somija, zēni, 6 gadi), un mediānās devas bija šajās pašās robežās. Augstajās patēriņa procentilēs kalcija devu raksturojošie lielumi bija no 1151 mg dienā (Spānija, P95, 4–10 gadi, ieskaitot bagātinātu pārtiku) līdz 1623 mg dienā (Nīderlande, P95, zēni, 9–13 gadi).</w:t>
      </w:r>
    </w:p>
    <w:p w14:paraId="099B4C65" w14:textId="77777777" w:rsidR="00562491" w:rsidRPr="00D91B35" w:rsidRDefault="00562491" w:rsidP="008131C2">
      <w:pPr>
        <w:jc w:val="both"/>
        <w:rPr>
          <w:rFonts w:ascii="Times New Roman" w:eastAsia="Times New Roman" w:hAnsi="Times New Roman" w:cs="Times New Roman"/>
          <w:bCs/>
          <w:noProof/>
          <w:color w:val="000000" w:themeColor="text1"/>
          <w:sz w:val="24"/>
        </w:rPr>
      </w:pPr>
    </w:p>
    <w:p w14:paraId="7D8B5B71" w14:textId="5B03775E" w:rsidR="00562491" w:rsidRPr="00D91B35" w:rsidRDefault="00590F97" w:rsidP="008131C2">
      <w:pPr>
        <w:pStyle w:val="Virsraksts1"/>
        <w:tabs>
          <w:tab w:val="left" w:pos="999"/>
        </w:tabs>
        <w:ind w:left="0" w:firstLine="0"/>
        <w:jc w:val="both"/>
        <w:rPr>
          <w:bCs w:val="0"/>
          <w:noProof/>
          <w:color w:val="000000" w:themeColor="text1"/>
          <w:sz w:val="24"/>
        </w:rPr>
      </w:pPr>
      <w:bookmarkStart w:id="26" w:name="_Toc73454051"/>
      <w:r>
        <w:rPr>
          <w:color w:val="000000" w:themeColor="text1"/>
          <w:sz w:val="24"/>
        </w:rPr>
        <w:t>2.2.4</w:t>
      </w:r>
      <w:r w:rsidR="00E03EDE">
        <w:rPr>
          <w:color w:val="000000" w:themeColor="text1"/>
          <w:sz w:val="24"/>
        </w:rPr>
        <w:t>. Pusaudži (parasti no 10 līdz 18 gadiem)</w:t>
      </w:r>
      <w:bookmarkStart w:id="27" w:name="_bookmark13"/>
      <w:bookmarkEnd w:id="27"/>
      <w:bookmarkEnd w:id="26"/>
    </w:p>
    <w:p w14:paraId="566B85F8" w14:textId="77777777" w:rsidR="00590F97" w:rsidRDefault="00590F97" w:rsidP="008131C2">
      <w:pPr>
        <w:pStyle w:val="Pamatteksts"/>
        <w:spacing w:before="0"/>
        <w:ind w:left="0"/>
        <w:jc w:val="both"/>
        <w:rPr>
          <w:color w:val="000000" w:themeColor="text1"/>
          <w:sz w:val="24"/>
        </w:rPr>
      </w:pPr>
    </w:p>
    <w:p w14:paraId="6640048C" w14:textId="52991946" w:rsidR="00562491" w:rsidRPr="00D91B35" w:rsidRDefault="00562491" w:rsidP="008131C2">
      <w:pPr>
        <w:pStyle w:val="Pamatteksts"/>
        <w:spacing w:before="0"/>
        <w:ind w:left="0"/>
        <w:jc w:val="both"/>
        <w:rPr>
          <w:bCs/>
          <w:noProof/>
          <w:color w:val="000000" w:themeColor="text1"/>
          <w:sz w:val="24"/>
        </w:rPr>
      </w:pPr>
      <w:r>
        <w:rPr>
          <w:color w:val="000000" w:themeColor="text1"/>
          <w:sz w:val="24"/>
        </w:rPr>
        <w:t>Vidējās ar pārtiku uzņemtās kalcija devas bija robežās no 734 mg dienā (Īrija, meitenes, 13–17 gadi) līdz 1337 mg dienā (Vācija, 12–17 gadi). Divas pieejamās mediānās vērtības bija šajā pašā diapazonā. Augstajās patēriņa procentilēs devas bija no 1231 mg dienā (Spānija, P95, 11–17 gadi) līdz 2400 mg dienā (Vācija, P95, 12–17 gadi).</w:t>
      </w:r>
    </w:p>
    <w:p w14:paraId="40FB4A7F"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0365C999" w14:textId="2CAE472C" w:rsidR="00562491" w:rsidRPr="00D91B35" w:rsidRDefault="00562491" w:rsidP="008131C2">
      <w:pPr>
        <w:pStyle w:val="Pamatteksts"/>
        <w:spacing w:before="0"/>
        <w:ind w:left="0"/>
        <w:jc w:val="both"/>
        <w:rPr>
          <w:bCs/>
          <w:noProof/>
          <w:color w:val="000000" w:themeColor="text1"/>
          <w:sz w:val="24"/>
        </w:rPr>
      </w:pPr>
      <w:r>
        <w:rPr>
          <w:color w:val="000000" w:themeColor="text1"/>
          <w:sz w:val="24"/>
        </w:rPr>
        <w:t>Vidējās kalcija devas, ko uzņēma ar pārtiku un uztura bagātinātājiem kopā, bija no 786 mg dienā (Apvienotā Karaliste, 11–18 gadi) līdz 1396 mg dienā (Vācija, 12–17 gadi, ieskaitot bagātinātu pārtiku). Mediānās devas, par kurām bija pieejami dati, bija šajā pašā diapazonā. Augstajās procentilēs kalcija devu raksturoja lielumi no 1267 mg dienā (Spānija, P95, 11–17 gadi, ieskaitot bagātinātu pārtiku) līdz 2515 mg dienā (P95, Vācija, 12–17 gadi, ieskaitot bagātinātos pārtikas produktus).</w:t>
      </w:r>
    </w:p>
    <w:p w14:paraId="72F3B5CA" w14:textId="77777777" w:rsidR="00562491" w:rsidRPr="00D91B35" w:rsidRDefault="00562491" w:rsidP="008131C2">
      <w:pPr>
        <w:jc w:val="both"/>
        <w:rPr>
          <w:rFonts w:ascii="Times New Roman" w:eastAsia="Times New Roman" w:hAnsi="Times New Roman" w:cs="Times New Roman"/>
          <w:bCs/>
          <w:noProof/>
          <w:color w:val="000000" w:themeColor="text1"/>
          <w:sz w:val="24"/>
        </w:rPr>
      </w:pPr>
    </w:p>
    <w:p w14:paraId="1EAEDEB1" w14:textId="3F1367A7" w:rsidR="00562491" w:rsidRPr="00D91B35" w:rsidRDefault="00E03EDE" w:rsidP="008131C2">
      <w:pPr>
        <w:pStyle w:val="Virsraksts1"/>
        <w:tabs>
          <w:tab w:val="left" w:pos="726"/>
        </w:tabs>
        <w:ind w:left="0" w:firstLine="0"/>
        <w:jc w:val="both"/>
        <w:rPr>
          <w:bCs w:val="0"/>
          <w:noProof/>
          <w:color w:val="000000" w:themeColor="text1"/>
          <w:sz w:val="24"/>
        </w:rPr>
      </w:pPr>
      <w:bookmarkStart w:id="28" w:name="_Toc73454052"/>
      <w:r>
        <w:rPr>
          <w:color w:val="000000" w:themeColor="text1"/>
          <w:sz w:val="24"/>
        </w:rPr>
        <w:t>3. Apdraudējumu noteikšana</w:t>
      </w:r>
      <w:bookmarkStart w:id="29" w:name="_bookmark14"/>
      <w:bookmarkEnd w:id="29"/>
      <w:bookmarkEnd w:id="28"/>
    </w:p>
    <w:p w14:paraId="35A1FC7A" w14:textId="77777777" w:rsidR="00562491" w:rsidRPr="00D91B35" w:rsidRDefault="00562491" w:rsidP="008131C2">
      <w:pPr>
        <w:jc w:val="both"/>
        <w:rPr>
          <w:rFonts w:ascii="Times New Roman" w:eastAsia="Times New Roman" w:hAnsi="Times New Roman" w:cs="Times New Roman"/>
          <w:b/>
          <w:noProof/>
          <w:color w:val="000000" w:themeColor="text1"/>
          <w:sz w:val="24"/>
          <w:szCs w:val="31"/>
        </w:rPr>
      </w:pPr>
    </w:p>
    <w:p w14:paraId="225F956F" w14:textId="3552776B" w:rsidR="00562491" w:rsidRPr="00D91B35" w:rsidRDefault="00E03EDE" w:rsidP="008131C2">
      <w:pPr>
        <w:pStyle w:val="Virsraksts1"/>
        <w:tabs>
          <w:tab w:val="left" w:pos="954"/>
        </w:tabs>
        <w:ind w:left="0" w:firstLine="0"/>
        <w:jc w:val="both"/>
        <w:rPr>
          <w:bCs w:val="0"/>
          <w:noProof/>
          <w:color w:val="000000" w:themeColor="text1"/>
          <w:sz w:val="24"/>
        </w:rPr>
      </w:pPr>
      <w:bookmarkStart w:id="30" w:name="_Toc73454053"/>
      <w:r>
        <w:rPr>
          <w:color w:val="000000" w:themeColor="text1"/>
          <w:sz w:val="24"/>
        </w:rPr>
        <w:t>3.1. Kalcija fizioloģija un homeostāze</w:t>
      </w:r>
      <w:bookmarkStart w:id="31" w:name="_bookmark15"/>
      <w:bookmarkEnd w:id="31"/>
      <w:bookmarkEnd w:id="30"/>
    </w:p>
    <w:p w14:paraId="7BC9024C" w14:textId="77777777" w:rsidR="00495D79" w:rsidRDefault="00495D79" w:rsidP="008131C2">
      <w:pPr>
        <w:pStyle w:val="Pamatteksts"/>
        <w:spacing w:before="0"/>
        <w:ind w:left="0"/>
        <w:jc w:val="both"/>
        <w:rPr>
          <w:color w:val="000000" w:themeColor="text1"/>
          <w:sz w:val="24"/>
        </w:rPr>
      </w:pPr>
    </w:p>
    <w:p w14:paraId="47F4973E" w14:textId="2EA7F0AE" w:rsidR="00562491" w:rsidRPr="00D91B35" w:rsidRDefault="00562491" w:rsidP="008131C2">
      <w:pPr>
        <w:pStyle w:val="Pamatteksts"/>
        <w:spacing w:before="0"/>
        <w:ind w:left="0"/>
        <w:jc w:val="both"/>
        <w:rPr>
          <w:bCs/>
          <w:noProof/>
          <w:color w:val="000000" w:themeColor="text1"/>
          <w:sz w:val="24"/>
        </w:rPr>
      </w:pPr>
      <w:r>
        <w:rPr>
          <w:color w:val="000000" w:themeColor="text1"/>
          <w:sz w:val="24"/>
        </w:rPr>
        <w:t>Kalcija homeostāzi kontrolē endokrīnā sistēma un ģenētika. Absorbciju zarnu traktā, nokļūšanu kaulaudos un izskalošanos no tiem, kā arī kalcija ekskrēciju no nierēm un reabsorbciju tajās regulē sistēmiski un lokāli faktori. Šā apriti regulējošā tīkla dēļ nav biomarķiera, kas raksturotu kalcija statusu.</w:t>
      </w:r>
    </w:p>
    <w:p w14:paraId="0D5B1026" w14:textId="77777777" w:rsidR="00562491" w:rsidRPr="00D91B35" w:rsidRDefault="00562491" w:rsidP="008131C2">
      <w:pPr>
        <w:jc w:val="both"/>
        <w:rPr>
          <w:rFonts w:ascii="Times New Roman" w:eastAsia="Times New Roman" w:hAnsi="Times New Roman" w:cs="Times New Roman"/>
          <w:bCs/>
          <w:noProof/>
          <w:color w:val="000000" w:themeColor="text1"/>
          <w:sz w:val="24"/>
        </w:rPr>
      </w:pPr>
    </w:p>
    <w:p w14:paraId="55CE5D67" w14:textId="62EFE284" w:rsidR="00562491" w:rsidRPr="00D91B35" w:rsidRDefault="00E03EDE" w:rsidP="008131C2">
      <w:pPr>
        <w:pStyle w:val="Virsraksts1"/>
        <w:tabs>
          <w:tab w:val="left" w:pos="999"/>
        </w:tabs>
        <w:ind w:left="0" w:firstLine="0"/>
        <w:jc w:val="both"/>
        <w:rPr>
          <w:bCs w:val="0"/>
          <w:noProof/>
          <w:color w:val="000000" w:themeColor="text1"/>
          <w:sz w:val="24"/>
        </w:rPr>
      </w:pPr>
      <w:bookmarkStart w:id="32" w:name="_Toc73454054"/>
      <w:r>
        <w:rPr>
          <w:color w:val="000000" w:themeColor="text1"/>
          <w:sz w:val="24"/>
        </w:rPr>
        <w:t>3.1.1. Kalcija līmenis serumā un tā regulēšana</w:t>
      </w:r>
      <w:bookmarkStart w:id="33" w:name="_bookmark16"/>
      <w:bookmarkEnd w:id="33"/>
      <w:bookmarkEnd w:id="32"/>
    </w:p>
    <w:p w14:paraId="26B04A31" w14:textId="77777777" w:rsidR="00495D79" w:rsidRDefault="00495D79" w:rsidP="008131C2">
      <w:pPr>
        <w:pStyle w:val="Pamatteksts"/>
        <w:spacing w:before="0"/>
        <w:ind w:left="0"/>
        <w:jc w:val="both"/>
        <w:rPr>
          <w:color w:val="000000" w:themeColor="text1"/>
          <w:sz w:val="24"/>
        </w:rPr>
      </w:pPr>
    </w:p>
    <w:p w14:paraId="68E20DE9" w14:textId="696A1B90" w:rsidR="00562491" w:rsidRPr="00D91B35" w:rsidRDefault="00562491" w:rsidP="008131C2">
      <w:pPr>
        <w:pStyle w:val="Pamatteksts"/>
        <w:spacing w:before="0"/>
        <w:ind w:left="0"/>
        <w:jc w:val="both"/>
        <w:rPr>
          <w:bCs/>
          <w:noProof/>
          <w:color w:val="000000" w:themeColor="text1"/>
          <w:sz w:val="24"/>
        </w:rPr>
      </w:pPr>
      <w:r>
        <w:rPr>
          <w:color w:val="000000" w:themeColor="text1"/>
          <w:sz w:val="24"/>
        </w:rPr>
        <w:t>Asinīs kalcijs ir trīs dažādos veidos – brīvu Ca2+ jonu veidā, piesaistīts olbaltumvielām (apmēram 45 %) un citrātu, fosfātu, sulfātu un karbonātu kompleksos (apmēram 10 %). Asinīs (un ārpusšūnu šķidrumā) kalcijs atrodas pastāvīgā koncentrācijā 2,5 mmol/l (2,25–2,6 mmol/l robežās), bet tieši jonizēto kalciju (1,1–1,4 mol/l robežās) kontrolē trīs hormonu, proti, paratiroīdā hormona (PTH), 1,25-dihidroksiholekalciferola (1,25-(OH)2-D) un kalcitonīna, savstarpēji saistītā darbība. Pirmie divi hormoni nosaka, cik liels Ca2+ daudzums tiek izvadīts no organisma vai tajā nonāk, savukārt PTH nosaka Ca2+ pārvietošanos starp ārpusšūnu šķidrumu un kaulaudiem.</w:t>
      </w:r>
    </w:p>
    <w:p w14:paraId="433C8726"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4A52E7BB" w14:textId="1F1A8CB0" w:rsidR="00562491" w:rsidRPr="00D91B35" w:rsidRDefault="00562491" w:rsidP="008131C2">
      <w:pPr>
        <w:pStyle w:val="Pamatteksts"/>
        <w:spacing w:before="0"/>
        <w:ind w:left="0"/>
        <w:jc w:val="both"/>
        <w:rPr>
          <w:bCs/>
          <w:noProof/>
          <w:color w:val="000000" w:themeColor="text1"/>
          <w:sz w:val="24"/>
        </w:rPr>
      </w:pPr>
      <w:r>
        <w:rPr>
          <w:color w:val="000000" w:themeColor="text1"/>
          <w:sz w:val="24"/>
        </w:rPr>
        <w:t>Samazinoties Ca2+ koncentrācijai serumā, ar kalcija jutīgā receptora (</w:t>
      </w:r>
      <w:r>
        <w:rPr>
          <w:i/>
          <w:iCs/>
          <w:color w:val="000000" w:themeColor="text1"/>
          <w:sz w:val="24"/>
        </w:rPr>
        <w:t>CaSR</w:t>
      </w:r>
      <w:r>
        <w:rPr>
          <w:color w:val="000000" w:themeColor="text1"/>
          <w:sz w:val="24"/>
        </w:rPr>
        <w:t>) starpniecību, kas atrodas uz paratiroīdo dziedzeru šūnu virsmas, atbrīvojas PTH. PTH stimulē 1,25-(OH)2-D sintēzi nierēs, kaulu rezorbciju un kalcija reabsorbciju nierēs (Perez et al., 2008). 1,25-(OH)2-D sintēzi stimulē arī zema fosfora koncentrācija serumā, un sintēze samazinās pie augstas fosfora koncentrācijas. Ca2+ koncentrācijas palielināšanās serumā kavē</w:t>
      </w:r>
      <w:r w:rsidR="00584CF2">
        <w:rPr>
          <w:color w:val="000000" w:themeColor="text1"/>
          <w:sz w:val="24"/>
        </w:rPr>
        <w:t xml:space="preserve"> </w:t>
      </w:r>
      <w:r>
        <w:rPr>
          <w:i/>
          <w:iCs/>
          <w:color w:val="000000" w:themeColor="text1"/>
          <w:sz w:val="24"/>
        </w:rPr>
        <w:t>CaSR</w:t>
      </w:r>
      <w:r>
        <w:rPr>
          <w:color w:val="000000" w:themeColor="text1"/>
          <w:sz w:val="24"/>
        </w:rPr>
        <w:t xml:space="preserve"> regulēto PTH sekrēciju un 1,25-(OH)2-D sintēzi un stimulē kalcitonīna sekrēciju vairogdziedzera parafolikulārajās C šūnās. </w:t>
      </w:r>
      <w:r>
        <w:rPr>
          <w:i/>
          <w:iCs/>
          <w:color w:val="000000" w:themeColor="text1"/>
          <w:sz w:val="24"/>
        </w:rPr>
        <w:t>CaSR</w:t>
      </w:r>
      <w:r>
        <w:rPr>
          <w:color w:val="000000" w:themeColor="text1"/>
          <w:sz w:val="24"/>
        </w:rPr>
        <w:t xml:space="preserve"> atrodas arī zarnu traktā, nierēs,</w:t>
      </w:r>
      <w:r w:rsidR="00584CF2">
        <w:rPr>
          <w:color w:val="000000" w:themeColor="text1"/>
          <w:sz w:val="24"/>
        </w:rPr>
        <w:t xml:space="preserve"> </w:t>
      </w:r>
      <w:r>
        <w:rPr>
          <w:color w:val="000000" w:themeColor="text1"/>
          <w:sz w:val="24"/>
        </w:rPr>
        <w:t xml:space="preserve">vairogdziedzerī, plaušās, smadzenēs, ādā, kaulu smadzenēs un osteoblastos. Atbilstoši visa genoma asociāciju pētījumiem konkrētās iedzīvotāju populācijās individuālo kalcija koncentrāciju serumā, kad tā ir normas robežās, ietekmē daži viena nukleotīda polimorfismi </w:t>
      </w:r>
      <w:r>
        <w:rPr>
          <w:i/>
          <w:iCs/>
          <w:color w:val="000000" w:themeColor="text1"/>
          <w:sz w:val="24"/>
        </w:rPr>
        <w:t>CaSR</w:t>
      </w:r>
      <w:r>
        <w:rPr>
          <w:color w:val="000000" w:themeColor="text1"/>
          <w:sz w:val="24"/>
        </w:rPr>
        <w:t xml:space="preserve"> gēnā (O'Seaghdha et al., 2010; Riccardi and Brown, 2010).</w:t>
      </w:r>
    </w:p>
    <w:p w14:paraId="6990DD47"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7585DFA8" w14:textId="7CCF2DEF" w:rsidR="00562491" w:rsidRPr="00D91B35" w:rsidRDefault="00562491" w:rsidP="008131C2">
      <w:pPr>
        <w:pStyle w:val="Pamatteksts"/>
        <w:spacing w:before="0"/>
        <w:ind w:left="0"/>
        <w:jc w:val="both"/>
        <w:rPr>
          <w:bCs/>
          <w:noProof/>
          <w:color w:val="000000" w:themeColor="text1"/>
          <w:sz w:val="24"/>
        </w:rPr>
      </w:pPr>
      <w:r>
        <w:rPr>
          <w:color w:val="000000" w:themeColor="text1"/>
          <w:sz w:val="24"/>
        </w:rPr>
        <w:t xml:space="preserve">Ir aprakstītas vairākas ģenētiskas slimības, pie kurām šī homeostatiskā regulācija ir traucēta, attiecīgi izraisot hiperkalcēmiju. Hiperkalcēmiju uzskata par sekām, ko rada vai nu 25 hidroksivitamīna D 24-hidroksilāzi kodējošā </w:t>
      </w:r>
      <w:r>
        <w:rPr>
          <w:i/>
          <w:iCs/>
          <w:color w:val="000000" w:themeColor="text1"/>
          <w:sz w:val="24"/>
        </w:rPr>
        <w:t>CYP24A1</w:t>
      </w:r>
      <w:r>
        <w:rPr>
          <w:color w:val="000000" w:themeColor="text1"/>
          <w:sz w:val="24"/>
        </w:rPr>
        <w:t xml:space="preserve"> gēna mutācijas, kuras saistītas ar funkciju zudumu un kuru rezultātā iestājas zīdaiņu idiopātiskā hiperkalcēmija (</w:t>
      </w:r>
      <w:r>
        <w:rPr>
          <w:i/>
          <w:iCs/>
          <w:color w:val="000000" w:themeColor="text1"/>
          <w:sz w:val="24"/>
        </w:rPr>
        <w:t>OMIM</w:t>
      </w:r>
      <w:r>
        <w:rPr>
          <w:color w:val="000000" w:themeColor="text1"/>
          <w:sz w:val="24"/>
        </w:rPr>
        <w:t xml:space="preserve"> 143880), vai arī </w:t>
      </w:r>
      <w:r>
        <w:rPr>
          <w:i/>
          <w:iCs/>
          <w:color w:val="000000" w:themeColor="text1"/>
          <w:sz w:val="24"/>
        </w:rPr>
        <w:t>CaSR</w:t>
      </w:r>
      <w:r>
        <w:rPr>
          <w:color w:val="000000" w:themeColor="text1"/>
          <w:sz w:val="24"/>
        </w:rPr>
        <w:t xml:space="preserve"> gēnu inaktivējošas mutācijas (Schlingmann et al., 2011). Šādas mutācijas var izraisīt vai nu jaundzimušo smagu primāru hiperparatireozi (</w:t>
      </w:r>
      <w:r>
        <w:rPr>
          <w:i/>
          <w:iCs/>
          <w:color w:val="000000" w:themeColor="text1"/>
          <w:sz w:val="24"/>
        </w:rPr>
        <w:t xml:space="preserve">OMIM </w:t>
      </w:r>
      <w:r>
        <w:rPr>
          <w:color w:val="000000" w:themeColor="text1"/>
          <w:sz w:val="24"/>
        </w:rPr>
        <w:t>239200), vai arī pārmantotu hipokalciurisku hiperkalcēmiju (</w:t>
      </w:r>
      <w:r>
        <w:rPr>
          <w:i/>
          <w:iCs/>
          <w:color w:val="000000" w:themeColor="text1"/>
          <w:sz w:val="24"/>
        </w:rPr>
        <w:t>OMIM</w:t>
      </w:r>
      <w:r>
        <w:rPr>
          <w:color w:val="000000" w:themeColor="text1"/>
          <w:sz w:val="24"/>
        </w:rPr>
        <w:t xml:space="preserve"> 145980). Retos gadījumos hipokalciurisku hiperkalcēmiju izraisa </w:t>
      </w:r>
      <w:r>
        <w:rPr>
          <w:i/>
          <w:iCs/>
          <w:color w:val="000000" w:themeColor="text1"/>
          <w:sz w:val="24"/>
        </w:rPr>
        <w:t>CaSR</w:t>
      </w:r>
      <w:r>
        <w:rPr>
          <w:color w:val="000000" w:themeColor="text1"/>
          <w:sz w:val="24"/>
        </w:rPr>
        <w:t xml:space="preserve"> inaktivējošas autoantivielas (Riccardi and Brown, 2010). </w:t>
      </w:r>
      <w:r>
        <w:rPr>
          <w:i/>
          <w:iCs/>
          <w:color w:val="000000" w:themeColor="text1"/>
          <w:sz w:val="24"/>
        </w:rPr>
        <w:t>CaSR</w:t>
      </w:r>
      <w:r>
        <w:rPr>
          <w:color w:val="000000" w:themeColor="text1"/>
          <w:sz w:val="24"/>
        </w:rPr>
        <w:t xml:space="preserve"> gēna aktivizējošas mutācijas var izraisīt autosomāli dominējošu hipoparatireozi (</w:t>
      </w:r>
      <w:r>
        <w:rPr>
          <w:i/>
          <w:iCs/>
          <w:color w:val="000000" w:themeColor="text1"/>
          <w:sz w:val="24"/>
        </w:rPr>
        <w:t>OMIM</w:t>
      </w:r>
      <w:r>
        <w:rPr>
          <w:color w:val="000000" w:themeColor="text1"/>
          <w:sz w:val="24"/>
        </w:rPr>
        <w:t xml:space="preserve"> 601298) ar hipokalciēmiju un hiperkalciūriju vai V tipa Bartera sindromu.</w:t>
      </w:r>
    </w:p>
    <w:p w14:paraId="2BE21B55"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1C3F438E" w14:textId="77777777" w:rsidR="00562491" w:rsidRPr="00D91B35" w:rsidRDefault="00562491" w:rsidP="008131C2">
      <w:pPr>
        <w:pStyle w:val="Pamatteksts"/>
        <w:spacing w:before="0"/>
        <w:ind w:left="0"/>
        <w:jc w:val="both"/>
        <w:rPr>
          <w:bCs/>
          <w:noProof/>
          <w:color w:val="000000" w:themeColor="text1"/>
          <w:sz w:val="24"/>
        </w:rPr>
      </w:pPr>
      <w:r>
        <w:rPr>
          <w:color w:val="000000" w:themeColor="text1"/>
          <w:sz w:val="24"/>
        </w:rPr>
        <w:t xml:space="preserve">Hiperkalcēmiju nosaka, ja kalcija koncentrācija serumā ir &gt; 2,75 mmol/l (11 mg/dl). Hiperkalcēmijas diagnozei izmantotie lielumi var būt atšķirīgi atkarībā no laboratorijas, un šajā atzinumā tie tiks definēti atbilstoši robežvērtībai, ko izvēlējušies katra atsevišķā pētījuma autori. Biežākie hiperkalcēmijas cēloņi ir ļaundabīgi audzēji, dažādas etioloģijas hiperparatireoze un retāk – pārmērīga kalcija un/vai D vitamīna uzņemšana. Persistentas hiperkalcēmijas klīniskie simptomi ir nogurums, muskuļu vājums, anoreksija, slikta dūša, vemšana, aizcietējumi, tahikardiski sirds ritma traucējumi, mīksto audu pārkaļķošanās, attīstības traucējumi un svara zudums. Hiperkalcēmija var izraisīt hiperkalciūriju, ja tiek pārsniegta nieru spēja reabsorbēt kalciju, un traucējumus nieru koncentrēšanas spējās, kas izraisa poliūriju, aktivizējoties nieru </w:t>
      </w:r>
      <w:r>
        <w:rPr>
          <w:i/>
          <w:iCs/>
          <w:color w:val="000000" w:themeColor="text1"/>
          <w:sz w:val="24"/>
        </w:rPr>
        <w:t>CaSR</w:t>
      </w:r>
      <w:r>
        <w:rPr>
          <w:color w:val="000000" w:themeColor="text1"/>
          <w:sz w:val="24"/>
        </w:rPr>
        <w:t>.</w:t>
      </w:r>
    </w:p>
    <w:p w14:paraId="420F507D"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608FA433" w14:textId="77777777" w:rsidR="00562491" w:rsidRPr="00D91B35" w:rsidRDefault="00562491" w:rsidP="008131C2">
      <w:pPr>
        <w:pStyle w:val="Pamatteksts"/>
        <w:spacing w:before="0"/>
        <w:ind w:left="0"/>
        <w:jc w:val="both"/>
        <w:rPr>
          <w:bCs/>
          <w:noProof/>
          <w:color w:val="000000" w:themeColor="text1"/>
          <w:sz w:val="24"/>
        </w:rPr>
      </w:pPr>
      <w:r>
        <w:rPr>
          <w:color w:val="000000" w:themeColor="text1"/>
          <w:sz w:val="24"/>
        </w:rPr>
        <w:t xml:space="preserve">Sekas, ko rada smaga hroniska hiperkalcēmija, ir nefrolitiāze un nieru darbības traucējumi, kuru rezultātā mazinās nieru koncentrēšanas spējas (t. i., samazinās sāls un ūdens reabsorbcija), kā arī samazinās tilpums un iestājas pārmērīgs sāls zudums. Hroniska </w:t>
      </w:r>
      <w:r>
        <w:rPr>
          <w:color w:val="000000" w:themeColor="text1"/>
          <w:sz w:val="24"/>
        </w:rPr>
        <w:lastRenderedPageBreak/>
        <w:t>hiperkalcēmija var izraisīt arī mīksto audu pārkaļķošanos (piemēram, nefrokalcinozi un asinsvadu pārkaļķošanos), īpaši, ja asinīs ir arī augsta fosfora koncentrācija, piemēram, nieru mazspējas gadījumā. Ar vecumu saistīta samazināta kalcija izdalīšanās ar urīnu un nieru darbības vājināšanās dara gados vecākus cilvēkus jutīgākus pret pārmērīgām kalcija devām.</w:t>
      </w:r>
    </w:p>
    <w:p w14:paraId="019B1BBD" w14:textId="77777777" w:rsidR="00562491" w:rsidRPr="00D91B35" w:rsidRDefault="00562491" w:rsidP="008131C2">
      <w:pPr>
        <w:jc w:val="both"/>
        <w:rPr>
          <w:rFonts w:ascii="Times New Roman" w:eastAsia="Times New Roman" w:hAnsi="Times New Roman" w:cs="Times New Roman"/>
          <w:bCs/>
          <w:noProof/>
          <w:color w:val="000000" w:themeColor="text1"/>
          <w:sz w:val="24"/>
        </w:rPr>
      </w:pPr>
    </w:p>
    <w:p w14:paraId="77A91302" w14:textId="75BF1A22" w:rsidR="00562491" w:rsidRPr="00D91B35" w:rsidRDefault="00E03EDE" w:rsidP="008131C2">
      <w:pPr>
        <w:pStyle w:val="Virsraksts1"/>
        <w:tabs>
          <w:tab w:val="left" w:pos="999"/>
        </w:tabs>
        <w:ind w:left="0" w:firstLine="0"/>
        <w:jc w:val="both"/>
        <w:rPr>
          <w:bCs w:val="0"/>
          <w:noProof/>
          <w:color w:val="000000" w:themeColor="text1"/>
          <w:sz w:val="24"/>
        </w:rPr>
      </w:pPr>
      <w:bookmarkStart w:id="34" w:name="_Toc73454055"/>
      <w:r>
        <w:rPr>
          <w:color w:val="000000" w:themeColor="text1"/>
          <w:sz w:val="24"/>
        </w:rPr>
        <w:t>3.1.2. Kalcija absorbcija zarnu traktā</w:t>
      </w:r>
      <w:bookmarkStart w:id="35" w:name="_bookmark17"/>
      <w:bookmarkEnd w:id="35"/>
      <w:bookmarkEnd w:id="34"/>
    </w:p>
    <w:p w14:paraId="00834EBF" w14:textId="77777777" w:rsidR="00495D79" w:rsidRDefault="00495D79" w:rsidP="008131C2">
      <w:pPr>
        <w:pStyle w:val="Pamatteksts"/>
        <w:spacing w:before="0"/>
        <w:ind w:left="0"/>
        <w:jc w:val="both"/>
        <w:rPr>
          <w:color w:val="000000" w:themeColor="text1"/>
          <w:sz w:val="24"/>
        </w:rPr>
      </w:pPr>
    </w:p>
    <w:p w14:paraId="3404C98A" w14:textId="7F1FA6D3" w:rsidR="00562491" w:rsidRPr="00D91B35" w:rsidRDefault="00562491" w:rsidP="008131C2">
      <w:pPr>
        <w:pStyle w:val="Pamatteksts"/>
        <w:spacing w:before="0"/>
        <w:ind w:left="0"/>
        <w:jc w:val="both"/>
        <w:rPr>
          <w:bCs/>
          <w:noProof/>
          <w:color w:val="000000" w:themeColor="text1"/>
          <w:sz w:val="24"/>
        </w:rPr>
      </w:pPr>
      <w:r>
        <w:rPr>
          <w:color w:val="000000" w:themeColor="text1"/>
          <w:sz w:val="24"/>
        </w:rPr>
        <w:t>Lai kalciju varētu absorbēt, tam jābūt šķīstošā formā vai saistītam ar šķīstošām organisko savienojumu molekulām. Atkarībā no kalcija šķīdības, tā ķīmiskās formas un citiem ar pārtikas produktu saistītiem faktoriem uzturā esošā kalcija frakcionētā absorbcija pieaugušiem cilvēkiem ir aptuveni 25 % (robežās no 10 līdz 40 %). Frakcionētā absorbcija samazinās, ja uzturā ir augsts kalcija saturs, un palielinās, ja uzturā ir zems kalcija saturs. Šo pielāgošanos modulē PTH un 1,25-(OH)2-D, reaģējot uz zemāku vai augstāku kalcija koncentrāciju serumā. Frakcionētā kalcija absorbcija ir visaugstākā (līdz 60 %) zīdaiņu vecumā (Abrams et al., 1997), pēc tam tā samazinās un no jauna palielinās pirms pubertātes, pēc pubertātes vēlreiz samazinoties līdz 25 %, kā tas raksturīgs pieaugušajiem. Grūtniecības laikā kalcija absorbcija ir divreiz augstāka (Moser-Veillon et al., 2001). Uztura faktori arī maina kalcija absorbciju. Lielākā daļa kalcija sāļu, ko izmanto bagātinātu pārtiku vai uztura bagātinātājos, tiek absorbēti tik pat lielā mērā kā kalcijs no piena produktiem. Kinētiski atšķirība starp kalciju, ko uzņem kā uztura bagātinātāju, un ar pārtiku uzņemto kalciju izpaužas kā straujāka un lielāka kalcija koncentrācijas paaugstināšanās serumā, ja kalciju uzņem ar uztura bagātinātājiem, nevis ar pārtiku, savukārt pārtika var palielināt kopējo absorbētā kalcija daudzumu (Heaney et al., 1989). Ir novērotas ievērojamas atšķirības laikā, ko aizņem kalcija līmeņa paaugstināšanās serumā un reaktīvā PTH koncentrācijas samazināšanās serumā pēc dažādu kalcija sāļu (formiāta &gt;&gt; citrāta &gt; karbonāta) patēriņa tukšā dūšā (Hanzlik et al., 2005). Klīniskā nozīme attiecībā uz kalcija absorbciju kaulos un liekā kalcija izvadīšanu ar urīnu nav skaidra. No 40 veiktajiem pētījumiem ar veseliem cilvēkiem, kuri tieši pirms ēdienreizes uzņēma 1000 mg kalcija uztura bagātinātāja, 20 pētījumos divu līdz četru stundu laikā paaugstinājās jonizētā kalcija koncentrācija,</w:t>
      </w:r>
      <w:r w:rsidR="00584CF2">
        <w:rPr>
          <w:color w:val="000000" w:themeColor="text1"/>
          <w:sz w:val="24"/>
        </w:rPr>
        <w:t xml:space="preserve"> </w:t>
      </w:r>
      <w:r>
        <w:rPr>
          <w:color w:val="000000" w:themeColor="text1"/>
          <w:sz w:val="24"/>
        </w:rPr>
        <w:t>pārsniedzot normas augšējo robežu (ko noteica kā 1,28 mmol/l), un līdztekus ievērojami pieauga kalcija ekskrēcija urīnā un palielinājās kalcija/kreatinīna attiecība līdz 0,13 (Reid et al., 1986). Šis rezultāts norāda, ka, kalcijs, kas ātri absorbējas, var uz laiku paaugstināt kalcija koncentrāciju serumā un urīnā. Neabsorbētā kalcija lielākā daļa veido kompleksus ar žultsskābēm, brīvajām taukskābēm, skābeņskābi un fitīnskābi un izdalās ar fekālijām (Heaney, 2002).</w:t>
      </w:r>
    </w:p>
    <w:p w14:paraId="36B4785E"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447A81B2" w14:textId="77777777" w:rsidR="00562491" w:rsidRPr="00D91B35" w:rsidRDefault="00562491" w:rsidP="008131C2">
      <w:pPr>
        <w:pStyle w:val="Pamatteksts"/>
        <w:spacing w:before="0"/>
        <w:ind w:left="0"/>
        <w:jc w:val="both"/>
        <w:rPr>
          <w:bCs/>
          <w:noProof/>
          <w:color w:val="000000" w:themeColor="text1"/>
          <w:sz w:val="24"/>
        </w:rPr>
      </w:pPr>
      <w:r>
        <w:rPr>
          <w:color w:val="000000" w:themeColor="text1"/>
          <w:sz w:val="24"/>
        </w:rPr>
        <w:t>Zarnās ir divi galvenie kalcija pārvietošanas mehānismi – aktīvs transcelulārs process un pasīvs paracelulārs process. Tos abus regulē hormoni, uzturvielas un citi faktori.</w:t>
      </w:r>
    </w:p>
    <w:p w14:paraId="2ACE5172" w14:textId="77777777" w:rsidR="00562491" w:rsidRPr="00D91B35" w:rsidRDefault="00562491" w:rsidP="008131C2">
      <w:pPr>
        <w:jc w:val="both"/>
        <w:rPr>
          <w:rFonts w:ascii="Times New Roman" w:eastAsia="Times New Roman" w:hAnsi="Times New Roman" w:cs="Times New Roman"/>
          <w:bCs/>
          <w:noProof/>
          <w:color w:val="000000" w:themeColor="text1"/>
          <w:sz w:val="24"/>
          <w:szCs w:val="21"/>
        </w:rPr>
      </w:pPr>
    </w:p>
    <w:p w14:paraId="48175CB4" w14:textId="77777777" w:rsidR="00562491" w:rsidRPr="00D91B35" w:rsidRDefault="00562491" w:rsidP="008131C2">
      <w:pPr>
        <w:pStyle w:val="Pamatteksts"/>
        <w:spacing w:before="0"/>
        <w:ind w:left="0"/>
        <w:jc w:val="both"/>
        <w:rPr>
          <w:bCs/>
          <w:noProof/>
          <w:color w:val="000000" w:themeColor="text1"/>
          <w:sz w:val="24"/>
        </w:rPr>
      </w:pPr>
      <w:r>
        <w:rPr>
          <w:color w:val="000000" w:themeColor="text1"/>
          <w:sz w:val="24"/>
        </w:rPr>
        <w:t xml:space="preserve">Aktīvo transcelulāro pārvietošanu tievajās zarnās var piesātināt, un to kontrolē kalcijs, ko uzņem ar uzturu, un organisma vajadzības. Šī pārvietošanas mehānisma efektivitāte pieaug, lietojot uzturu, kurā ir maz kalcija, un tādās situācijās, kad vajadzība pēc kalcija pieaug (piemēram, augšanas, grūtniecības un laktācijas periodā), savukārt samazinās līdz ar vecumu. Kalcija jonu (Ca2+) absorbcijas regulēšana epitēlija apikālajā pusē un to atbrīvošanās pie bazolaterālās membrānas ir saistīta ar epitēliālajiem Ca2+ kanāliem </w:t>
      </w:r>
      <w:r>
        <w:rPr>
          <w:i/>
          <w:iCs/>
          <w:color w:val="000000" w:themeColor="text1"/>
          <w:sz w:val="24"/>
        </w:rPr>
        <w:t>TRPV5</w:t>
      </w:r>
      <w:r>
        <w:rPr>
          <w:color w:val="000000" w:themeColor="text1"/>
          <w:sz w:val="24"/>
        </w:rPr>
        <w:t xml:space="preserve"> un </w:t>
      </w:r>
      <w:r>
        <w:rPr>
          <w:i/>
          <w:iCs/>
          <w:color w:val="000000" w:themeColor="text1"/>
          <w:sz w:val="24"/>
        </w:rPr>
        <w:t>TRPV6</w:t>
      </w:r>
      <w:r>
        <w:rPr>
          <w:color w:val="000000" w:themeColor="text1"/>
          <w:sz w:val="24"/>
        </w:rPr>
        <w:t xml:space="preserve"> (ar ekspresiju arī nierēs un citos orgānos), kalbindīniem, plazmas membrānas Ca-ATPāzi (</w:t>
      </w:r>
      <w:r>
        <w:rPr>
          <w:i/>
          <w:iCs/>
          <w:color w:val="000000" w:themeColor="text1"/>
          <w:sz w:val="24"/>
        </w:rPr>
        <w:t>PMCA</w:t>
      </w:r>
      <w:r>
        <w:rPr>
          <w:color w:val="000000" w:themeColor="text1"/>
          <w:sz w:val="24"/>
        </w:rPr>
        <w:t>) un Na+/Ca2+ pārnesēju (</w:t>
      </w:r>
      <w:r>
        <w:rPr>
          <w:i/>
          <w:iCs/>
          <w:color w:val="000000" w:themeColor="text1"/>
          <w:sz w:val="24"/>
        </w:rPr>
        <w:t>NCX1</w:t>
      </w:r>
      <w:r>
        <w:rPr>
          <w:color w:val="000000" w:themeColor="text1"/>
          <w:sz w:val="24"/>
        </w:rPr>
        <w:t>), kura aktivizēšanu un/vai ekspresiju kontrolē 1,25-(OH)2-D, piesaistoties D vitamīna receptoram (</w:t>
      </w:r>
      <w:r>
        <w:rPr>
          <w:i/>
          <w:iCs/>
          <w:color w:val="000000" w:themeColor="text1"/>
          <w:sz w:val="24"/>
        </w:rPr>
        <w:t>VDR</w:t>
      </w:r>
      <w:r>
        <w:rPr>
          <w:color w:val="000000" w:themeColor="text1"/>
          <w:sz w:val="24"/>
        </w:rPr>
        <w:t>).</w:t>
      </w:r>
    </w:p>
    <w:p w14:paraId="434C3A82"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5E6D7440" w14:textId="47859118" w:rsidR="00562491" w:rsidRPr="00D91B35" w:rsidRDefault="00562491" w:rsidP="008131C2">
      <w:pPr>
        <w:pStyle w:val="Pamatteksts"/>
        <w:spacing w:before="0"/>
        <w:ind w:left="0"/>
        <w:jc w:val="both"/>
        <w:rPr>
          <w:bCs/>
          <w:noProof/>
          <w:color w:val="000000" w:themeColor="text1"/>
          <w:sz w:val="24"/>
        </w:rPr>
      </w:pPr>
      <w:r>
        <w:rPr>
          <w:color w:val="000000" w:themeColor="text1"/>
          <w:sz w:val="24"/>
        </w:rPr>
        <w:t xml:space="preserve">Pasīvā paracelulārā difūzija caur zarnu epitēlija, it īpaši tukšās zarnas un līkumainās zarnas </w:t>
      </w:r>
      <w:r>
        <w:rPr>
          <w:color w:val="000000" w:themeColor="text1"/>
          <w:sz w:val="24"/>
        </w:rPr>
        <w:lastRenderedPageBreak/>
        <w:t>eptēlija, ciešajiem stiprinājumiem notiek pa elektroķīmisko gradientu kopā ar ūdeni, nātriju un glikozi, un to nosaka šķīstošā kalcija koncentrācija zarnas lūmenā. Pasīvās paracelulārās difūzijas nozīme pieaug, ja uzturā ir daudz kalcija un transcelulārajā pārvietošanas ceļā iestājusies deregulācija. Šis process nav atkarīgs no vecuma (Bronner, 1992).</w:t>
      </w:r>
    </w:p>
    <w:p w14:paraId="49E9D2FA"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2A4FAA9F" w14:textId="6C4E3A81" w:rsidR="00562491" w:rsidRPr="00D91B35" w:rsidRDefault="00E03EDE" w:rsidP="008131C2">
      <w:pPr>
        <w:pStyle w:val="Virsraksts1"/>
        <w:tabs>
          <w:tab w:val="left" w:pos="999"/>
        </w:tabs>
        <w:ind w:left="0" w:firstLine="0"/>
        <w:jc w:val="both"/>
        <w:rPr>
          <w:bCs w:val="0"/>
          <w:noProof/>
          <w:color w:val="000000" w:themeColor="text1"/>
          <w:sz w:val="24"/>
        </w:rPr>
      </w:pPr>
      <w:bookmarkStart w:id="36" w:name="_Toc73454056"/>
      <w:r>
        <w:rPr>
          <w:color w:val="000000" w:themeColor="text1"/>
          <w:sz w:val="24"/>
        </w:rPr>
        <w:t>3.1.3. Kalcija izvadīšanas caur nierēm un reabsorbcija</w:t>
      </w:r>
      <w:bookmarkStart w:id="37" w:name="_bookmark18"/>
      <w:bookmarkEnd w:id="37"/>
      <w:bookmarkEnd w:id="36"/>
    </w:p>
    <w:p w14:paraId="52A2D2ED" w14:textId="77777777" w:rsidR="00495D79" w:rsidRDefault="00495D79" w:rsidP="008131C2">
      <w:pPr>
        <w:pStyle w:val="Pamatteksts"/>
        <w:spacing w:before="0"/>
        <w:ind w:left="0"/>
        <w:jc w:val="both"/>
        <w:rPr>
          <w:color w:val="000000" w:themeColor="text1"/>
          <w:sz w:val="24"/>
        </w:rPr>
      </w:pPr>
    </w:p>
    <w:p w14:paraId="4D515B85" w14:textId="2AE29CB7" w:rsidR="00562491" w:rsidRPr="00D91B35" w:rsidRDefault="00562491" w:rsidP="008131C2">
      <w:pPr>
        <w:pStyle w:val="Pamatteksts"/>
        <w:spacing w:before="0"/>
        <w:ind w:left="0"/>
        <w:jc w:val="both"/>
        <w:rPr>
          <w:bCs/>
          <w:noProof/>
          <w:color w:val="000000" w:themeColor="text1"/>
          <w:sz w:val="24"/>
        </w:rPr>
      </w:pPr>
      <w:r>
        <w:rPr>
          <w:color w:val="000000" w:themeColor="text1"/>
          <w:sz w:val="24"/>
        </w:rPr>
        <w:t xml:space="preserve">Lielākā daļa absorbētā kalcija paliek skeletā. Absorbētā kalcija pārpalikums izdalās ar urīnu, fekālijām un sviedriem. Līdz laikam, kad kaulu augšana un kaulu veidošanās ir beigusies, kalcija bilance veseliem bērniem, pusaudžiem un gados jauniem pieaugušajiem ir pozitīva. Kalcija izvadīšana caur nierēm ir glomerulārās filtrācijas un tubulārās pasīvās (savākšanas kanāls) vai aktīvās (proksimālā tubula, Henles cilpa, distālā tubula) reabsorbcijas galarezultāts (parasti tiek reabsorbēti 98 % no filtrētā daudzuma). Aktīvo pārvietošanu kontrolē PTH, kalcitonīns un 1,25-(OH)2-D, kuru līmeņus ar </w:t>
      </w:r>
      <w:r>
        <w:rPr>
          <w:i/>
          <w:iCs/>
          <w:color w:val="000000" w:themeColor="text1"/>
          <w:sz w:val="24"/>
        </w:rPr>
        <w:t>CaSR</w:t>
      </w:r>
      <w:r>
        <w:rPr>
          <w:color w:val="000000" w:themeColor="text1"/>
          <w:sz w:val="24"/>
        </w:rPr>
        <w:t xml:space="preserve"> starpniecību nosaka kalcija koncentrācija ārpusšūnu šķidrumā (Hoenderop et al., 2002). Vidējais kalcija daudzums, kuru izvada 24 stundu laikā, ir 40 mg maziem bērniem, 80 mg pirmspubertātes vecuma bērniem un līdz 150–200 g pieaugušiem cilvēkiem, kuri ir veseli. Nelielas izmaiņas urīnā iefiltrēto Ca2+ līmenī var būtiski mainīt urīnā esošā kalcija daudzumu. Ja kalcija koncentrācija serumā ir zemāka par 2 mmol/l, ar urīnu izvadītais kalcija daudzums (ja tāds ir) ir mazs (&lt; 30 g/24 h). Maksimālais kalcija daudzums, ko cilvēki, būdami veseli, var izvadīt, ir aptuveni 1000 mg/24 h. Ja daudzums ir lielāks, var domāt par kalcija nogulsnēšanās risku nieru audos vai nierakmeņu veidošanos, jo urīns ir pārsātināts ar kalciju un fosfātu. Akmeņu veidošanos un nieru pārkaļķošanos veicina sārmaina vide.</w:t>
      </w:r>
    </w:p>
    <w:p w14:paraId="4530DB47" w14:textId="77777777" w:rsidR="00562491" w:rsidRPr="00D91B35" w:rsidRDefault="00562491" w:rsidP="008131C2">
      <w:pPr>
        <w:jc w:val="both"/>
        <w:rPr>
          <w:rFonts w:ascii="Times New Roman" w:eastAsia="Times New Roman" w:hAnsi="Times New Roman" w:cs="Times New Roman"/>
          <w:bCs/>
          <w:noProof/>
          <w:color w:val="000000" w:themeColor="text1"/>
          <w:sz w:val="24"/>
          <w:szCs w:val="21"/>
        </w:rPr>
      </w:pPr>
    </w:p>
    <w:p w14:paraId="7E590416" w14:textId="0C1796D3" w:rsidR="00562491" w:rsidRPr="00D91B35" w:rsidRDefault="00562491" w:rsidP="008131C2">
      <w:pPr>
        <w:pStyle w:val="Pamatteksts"/>
        <w:spacing w:before="0"/>
        <w:ind w:left="0"/>
        <w:jc w:val="both"/>
        <w:rPr>
          <w:bCs/>
          <w:noProof/>
          <w:color w:val="000000" w:themeColor="text1"/>
          <w:sz w:val="24"/>
        </w:rPr>
      </w:pPr>
      <w:r>
        <w:rPr>
          <w:color w:val="000000" w:themeColor="text1"/>
          <w:sz w:val="24"/>
        </w:rPr>
        <w:t>Ar urīnu izvadīto kalcija daudzumu palielina ar uzturu uzņemtais nātrijs (uz katriem diviem gramiem uzturā uzņemtā nātrija tiek izvadīti 30 līdz 40 mg kalcija) (Matkovic et al., 1995) un hroniska vielmaiņas acidoze (Bushinsky, 2001). Izvadītā kalcija daudzums palielinās, uzturā pārmērīgi lietojot olbaltumvielas (par 0,5 mg uz katru uzturā uzņemto olbaltumvielu gramu, ja uzņemtais daudzums pārsniedz 47 g dienā) (Walker and Linkswiler, 1972; Whiting et al., 1998).</w:t>
      </w:r>
    </w:p>
    <w:p w14:paraId="37FEC344"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35B55275" w14:textId="10F04F88" w:rsidR="00562491" w:rsidRPr="00D91B35" w:rsidRDefault="00562491" w:rsidP="008131C2">
      <w:pPr>
        <w:pStyle w:val="Pamatteksts"/>
        <w:spacing w:before="0"/>
        <w:ind w:left="0"/>
        <w:jc w:val="both"/>
        <w:rPr>
          <w:bCs/>
          <w:noProof/>
          <w:color w:val="000000" w:themeColor="text1"/>
          <w:sz w:val="24"/>
        </w:rPr>
      </w:pPr>
      <w:r>
        <w:rPr>
          <w:color w:val="000000" w:themeColor="text1"/>
          <w:sz w:val="24"/>
        </w:rPr>
        <w:t>Hiperkalciūriju nosaka, ja kalcija daudzums, kuru pieaudzis cilvēks 24 stundu laikā izvada ar urīnu, pārsniedz 0,3 mg uz mg kreatinīna, ja izvadītā kalcija daudzums sievietei pārsniedz 250 mg dienā un vīrietim – 275–300 mg dienā vai izvadītā kalcija daudzums</w:t>
      </w:r>
      <w:r w:rsidR="00581A63">
        <w:rPr>
          <w:color w:val="000000" w:themeColor="text1"/>
          <w:sz w:val="24"/>
        </w:rPr>
        <w:t xml:space="preserve"> </w:t>
      </w:r>
      <w:r>
        <w:rPr>
          <w:color w:val="000000" w:themeColor="text1"/>
          <w:sz w:val="24"/>
        </w:rPr>
        <w:t>pārsniedz 4 mg uz ķermeņa masas kg dienā vienlīdz vīriešiem un sievietēm. Kalcija/kreatinīna attiecība urīnā ir augstāka zīdaiņu vecumā un, vecumam pieaugot, samazinās. Tie ziņots, ka nejaušas izlases kārtībā savāktos urīna paraugos konstatētā kalcija/kreatinīna attiecība vecumā &lt; 7 mēneši, 7–18 mēneši, 19 mēneši–6 gadi un pieaugušo vecumā ir bijusi attiecīgi 0,9, 0,6, 0,42 un 0,22 (Sargent et al., 1993). Kalcija/kreatinīna attiecība var būt nedaudz atšķirīga dažādās populācijās uztura paradumu, saules iedarbības, dzeramā ūdens satura un ar etnisko piederību saistītu atšķirību dēļ. Kalcija/kreatinīna attiecības palielināšanās nejaušināti izraudzītā urīna paraugā var būt nejauša.</w:t>
      </w:r>
    </w:p>
    <w:p w14:paraId="08293377"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2FA8115B" w14:textId="0D2A3E94" w:rsidR="00562491" w:rsidRPr="00D91B35" w:rsidRDefault="00562491" w:rsidP="008131C2">
      <w:pPr>
        <w:pStyle w:val="Pamatteksts"/>
        <w:spacing w:before="0"/>
        <w:ind w:left="0"/>
        <w:jc w:val="both"/>
        <w:rPr>
          <w:bCs/>
          <w:noProof/>
          <w:color w:val="000000" w:themeColor="text1"/>
          <w:sz w:val="24"/>
        </w:rPr>
      </w:pPr>
      <w:r>
        <w:rPr>
          <w:color w:val="000000" w:themeColor="text1"/>
          <w:sz w:val="24"/>
        </w:rPr>
        <w:t xml:space="preserve">Hronisku hiperkalciūriju var izraisīt pastiprināta kalcija absorbcija zarnās (absorbtīva hiperkalciūrija) vai samazināta kalcija reabsorbcija nierēs (rezorbtīva hiperkalciūrija). Hroniskas hiperkalciūrijas cēloņi tostarp ir pārmērīga kalcija uzņemšana (bez hiperkalcēmijas), pārmērīga D vitamīna uzņemšana, hiperparatireoze, hipertireoze, nieru tubulārā acidoze, sarkoidoze vai ļaundabīgi audzēji. Idiopātiskai (primārai) hiperkalciūrijai ir raksturīgs tas, ka tā nav saistīta ar hiperkalcēmiju. Grūtniecēm bieži ir hiperkalciūrija, sākot </w:t>
      </w:r>
      <w:r>
        <w:rPr>
          <w:color w:val="000000" w:themeColor="text1"/>
          <w:sz w:val="24"/>
        </w:rPr>
        <w:lastRenderedPageBreak/>
        <w:t>no 12. grūtniecības nedēļas, pat tad, ja viņas uzņem kalciju “normālā” daudzumā. Hiperkalciūrija rodas, grūtniecības sākumā kalcijam divkāršā apmērā absorbējoties zarnu traktā; tā rezultātā kalcija bilance kļūst pozitīva (Heaney un Skillman, 1971).</w:t>
      </w:r>
    </w:p>
    <w:p w14:paraId="5DAEA194" w14:textId="77777777" w:rsidR="00562491" w:rsidRPr="00D91B35" w:rsidRDefault="00562491" w:rsidP="008131C2">
      <w:pPr>
        <w:jc w:val="both"/>
        <w:rPr>
          <w:rFonts w:ascii="Times New Roman" w:eastAsia="Times New Roman" w:hAnsi="Times New Roman" w:cs="Times New Roman"/>
          <w:bCs/>
          <w:noProof/>
          <w:color w:val="000000" w:themeColor="text1"/>
          <w:sz w:val="24"/>
          <w:szCs w:val="21"/>
        </w:rPr>
      </w:pPr>
    </w:p>
    <w:p w14:paraId="0F799C96" w14:textId="53C69A81" w:rsidR="00562491" w:rsidRPr="00D91B35" w:rsidRDefault="00562491" w:rsidP="008131C2">
      <w:pPr>
        <w:pStyle w:val="Pamatteksts"/>
        <w:spacing w:before="0"/>
        <w:ind w:left="0"/>
        <w:jc w:val="both"/>
        <w:rPr>
          <w:bCs/>
          <w:noProof/>
          <w:color w:val="000000" w:themeColor="text1"/>
          <w:sz w:val="24"/>
        </w:rPr>
      </w:pPr>
      <w:r>
        <w:rPr>
          <w:color w:val="000000" w:themeColor="text1"/>
          <w:sz w:val="24"/>
        </w:rPr>
        <w:t>Persistenta hiperkalciūrija ir saistīta ar kaulu minerālvielas blīvuma samazināšanos un paaugstinātu nierakmeņu veidošanās risku, īpaši pacientiem ar idiopātisku hiperkalciūriju (Audran et al., 1991; Bataille et al., 1991). Vairāk nekā 5 % Eiropas iedzīvotāju ir nierakmeņi, un pacientiem, kuriem ir kalciju saturoši nierakmeņi (apmēram 80 % no nierakmeņiem), līdz pat 20–40 % gadījumu ir idiopātiska hiperkalciūrija. Tā kā akmeņi veidojas urīnā, kas ir pārmērīgi piesātināts, nefrolitiāzes (nierakmeņu) risku palielina tieši augsta kalcija (un oksalāta) koncentrācija urīnā, nevis kopējais izvadītā kalcija daudzums. Citi uzturriska faktori, kas veicina nefrolitiāzi, ir mazs uzņemtā šķidruma un liels uzņemto olbaltumvielu, sāls, saharozes, alkohola un oksalāta daudzums. Grūtniecība ir saistīta ar paaugstinātu nierakmeņu risku.</w:t>
      </w:r>
    </w:p>
    <w:p w14:paraId="4778D699" w14:textId="77777777" w:rsidR="00562491" w:rsidRPr="00D91B35" w:rsidRDefault="00562491" w:rsidP="008131C2">
      <w:pPr>
        <w:jc w:val="both"/>
        <w:rPr>
          <w:rFonts w:ascii="Times New Roman" w:eastAsia="Times New Roman" w:hAnsi="Times New Roman" w:cs="Times New Roman"/>
          <w:bCs/>
          <w:noProof/>
          <w:color w:val="000000" w:themeColor="text1"/>
          <w:sz w:val="24"/>
        </w:rPr>
      </w:pPr>
    </w:p>
    <w:p w14:paraId="424B2B83" w14:textId="2F18C8A5" w:rsidR="00562491" w:rsidRPr="00D91B35" w:rsidRDefault="00E03EDE" w:rsidP="008131C2">
      <w:pPr>
        <w:pStyle w:val="Virsraksts1"/>
        <w:tabs>
          <w:tab w:val="left" w:pos="954"/>
        </w:tabs>
        <w:ind w:left="0" w:firstLine="0"/>
        <w:jc w:val="both"/>
        <w:rPr>
          <w:bCs w:val="0"/>
          <w:noProof/>
          <w:color w:val="000000" w:themeColor="text1"/>
          <w:sz w:val="24"/>
        </w:rPr>
      </w:pPr>
      <w:bookmarkStart w:id="38" w:name="_Toc73454057"/>
      <w:r>
        <w:rPr>
          <w:color w:val="000000" w:themeColor="text1"/>
          <w:sz w:val="24"/>
        </w:rPr>
        <w:t>3.2. Blaknes, ko rada pārmērīgas kalcija devas</w:t>
      </w:r>
      <w:bookmarkStart w:id="39" w:name="_bookmark19"/>
      <w:bookmarkEnd w:id="39"/>
      <w:bookmarkEnd w:id="38"/>
    </w:p>
    <w:p w14:paraId="655ED048" w14:textId="77777777" w:rsidR="00495D79" w:rsidRDefault="00495D79" w:rsidP="008131C2">
      <w:pPr>
        <w:pStyle w:val="Pamatteksts"/>
        <w:spacing w:before="0"/>
        <w:ind w:left="0"/>
        <w:jc w:val="both"/>
        <w:rPr>
          <w:color w:val="000000" w:themeColor="text1"/>
          <w:sz w:val="24"/>
        </w:rPr>
      </w:pPr>
    </w:p>
    <w:p w14:paraId="58D12452" w14:textId="2ACBBEAE" w:rsidR="00562491" w:rsidRPr="00D91B35" w:rsidRDefault="00562491" w:rsidP="008131C2">
      <w:pPr>
        <w:pStyle w:val="Pamatteksts"/>
        <w:spacing w:before="0"/>
        <w:ind w:left="0"/>
        <w:jc w:val="both"/>
        <w:rPr>
          <w:bCs/>
          <w:noProof/>
          <w:color w:val="000000" w:themeColor="text1"/>
          <w:sz w:val="24"/>
        </w:rPr>
      </w:pPr>
      <w:r>
        <w:rPr>
          <w:color w:val="000000" w:themeColor="text1"/>
          <w:sz w:val="24"/>
        </w:rPr>
        <w:t>Ir rosināts domāt par vairākām iespējamām blaknēm, ko rada pārmērīgu kalcija devu uzņemšana. Starp tām min hiperkalciūriju, nieru darbības pasliktināšanos, nierakmeņu veidošanos, piena alkāliju sindromu (PAS), asinsvadu pārkaļķošanos, paaugstinātu sirds un asinsvadu slimību risku un paaugstinātu prostatas vēža risku (IoM, 2011).</w:t>
      </w:r>
    </w:p>
    <w:p w14:paraId="6A6B4590" w14:textId="77777777" w:rsidR="00562491" w:rsidRPr="00D91B35" w:rsidRDefault="00562491" w:rsidP="008131C2">
      <w:pPr>
        <w:jc w:val="both"/>
        <w:rPr>
          <w:rFonts w:ascii="Times New Roman" w:eastAsia="Times New Roman" w:hAnsi="Times New Roman" w:cs="Times New Roman"/>
          <w:bCs/>
          <w:noProof/>
          <w:color w:val="000000" w:themeColor="text1"/>
          <w:sz w:val="24"/>
        </w:rPr>
      </w:pPr>
    </w:p>
    <w:p w14:paraId="515D06F2" w14:textId="02F77142" w:rsidR="00562491" w:rsidRPr="00D91B35" w:rsidRDefault="00E03EDE" w:rsidP="008131C2">
      <w:pPr>
        <w:pStyle w:val="Virsraksts1"/>
        <w:tabs>
          <w:tab w:val="left" w:pos="999"/>
        </w:tabs>
        <w:ind w:left="0" w:firstLine="0"/>
        <w:jc w:val="both"/>
        <w:rPr>
          <w:bCs w:val="0"/>
          <w:noProof/>
          <w:color w:val="000000" w:themeColor="text1"/>
          <w:sz w:val="24"/>
        </w:rPr>
      </w:pPr>
      <w:bookmarkStart w:id="40" w:name="_Toc73454058"/>
      <w:r>
        <w:rPr>
          <w:color w:val="000000" w:themeColor="text1"/>
          <w:sz w:val="24"/>
        </w:rPr>
        <w:t>3.2.1. Piena alkāliju sindroms/kalcija alkāliju sindroms</w:t>
      </w:r>
      <w:bookmarkStart w:id="41" w:name="_bookmark20"/>
      <w:bookmarkEnd w:id="41"/>
      <w:bookmarkEnd w:id="40"/>
    </w:p>
    <w:p w14:paraId="333CA790" w14:textId="77777777" w:rsidR="00495D79" w:rsidRDefault="00495D79" w:rsidP="008131C2">
      <w:pPr>
        <w:pStyle w:val="Pamatteksts"/>
        <w:spacing w:before="0"/>
        <w:ind w:left="0"/>
        <w:jc w:val="both"/>
        <w:rPr>
          <w:color w:val="000000" w:themeColor="text1"/>
          <w:sz w:val="24"/>
        </w:rPr>
      </w:pPr>
    </w:p>
    <w:p w14:paraId="78E05F75" w14:textId="744FC4C5" w:rsidR="00562491" w:rsidRPr="00D91B35" w:rsidRDefault="00562491" w:rsidP="008131C2">
      <w:pPr>
        <w:pStyle w:val="Pamatteksts"/>
        <w:spacing w:before="0"/>
        <w:ind w:left="0"/>
        <w:jc w:val="both"/>
        <w:rPr>
          <w:bCs/>
          <w:noProof/>
          <w:color w:val="000000" w:themeColor="text1"/>
          <w:sz w:val="24"/>
        </w:rPr>
      </w:pPr>
      <w:r>
        <w:rPr>
          <w:color w:val="000000" w:themeColor="text1"/>
          <w:sz w:val="24"/>
        </w:rPr>
        <w:t>Blaknes, ko rada kombinētā terapija ar pienu un absorbējamiem antacīdiem līdzekļiem (galvenokārt nātrija bikarbonātu vai kalcija karbonātu) peptisko čūlu ārstēšanai, kopumā apzīmē kā PAS (</w:t>
      </w:r>
      <w:r>
        <w:rPr>
          <w:i/>
          <w:iCs/>
          <w:color w:val="000000" w:themeColor="text1"/>
          <w:sz w:val="24"/>
        </w:rPr>
        <w:t>MAS</w:t>
      </w:r>
      <w:r>
        <w:rPr>
          <w:color w:val="000000" w:themeColor="text1"/>
          <w:sz w:val="24"/>
        </w:rPr>
        <w:t xml:space="preserve">) (Burnett et al., 1949; Cope, 1936). Piena alkāliju sindromu raksturo ar vielmaiņu saistīta alkaloze un hiperkalcēmija, ko pavada dehidratācija, nieru mazspēja, nefrokalcinoze un nefrolitiāze dažādās kombinācijās un smaguma pakāpē. </w:t>
      </w:r>
      <w:r>
        <w:rPr>
          <w:i/>
          <w:iCs/>
          <w:color w:val="000000" w:themeColor="text1"/>
          <w:sz w:val="24"/>
        </w:rPr>
        <w:t>SCF</w:t>
      </w:r>
      <w:r>
        <w:rPr>
          <w:color w:val="000000" w:themeColor="text1"/>
          <w:sz w:val="24"/>
        </w:rPr>
        <w:t xml:space="preserve"> (2003) apkopoja gadījumu aprakstus par 82 pacientiem (24–95 gadi) ar PAS, kuriem kopējā uzņemtā kalcija deva parasti nebija pietiekami dokumentēta, bet atbilstoši ziņotajam bija no 400 līdz 23 000 mg dienā. Piena alkāliju sindromu nenovēroja vairākos iejaukšanās pētījumos ar 11 līdz 2295 dalībniekiem (bērniem, grūtniecēm, sievietēm pirmsmenopauzes vai perimenopauzes vecumā, gados vecākiem cilvēkiem), kuros testēja kalcija uztura bagātinātāju radīto ietekmi (500 līdz 2000 mg dienā) uz dažādiem iznākumiem un kuru ilgums bija no 12 nedēļām līdz četriem gadiem (SCF, 2003).</w:t>
      </w:r>
    </w:p>
    <w:p w14:paraId="52BAFAC6"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6A334DBA" w14:textId="4E987E86" w:rsidR="00562491" w:rsidRPr="00D91B35" w:rsidRDefault="00562491" w:rsidP="008131C2">
      <w:pPr>
        <w:pStyle w:val="Pamatteksts"/>
        <w:spacing w:before="0"/>
        <w:ind w:left="0"/>
        <w:jc w:val="both"/>
        <w:rPr>
          <w:bCs/>
          <w:noProof/>
          <w:color w:val="000000" w:themeColor="text1"/>
          <w:sz w:val="24"/>
        </w:rPr>
      </w:pPr>
      <w:r>
        <w:rPr>
          <w:noProof/>
          <w:color w:val="000000" w:themeColor="text1"/>
          <w:sz w:val="24"/>
        </w:rPr>
        <w:drawing>
          <wp:anchor distT="0" distB="0" distL="114300" distR="114300" simplePos="0" relativeHeight="251654144" behindDoc="1" locked="0" layoutInCell="1" allowOverlap="1" wp14:anchorId="3D39F7EC" wp14:editId="42362691">
            <wp:simplePos x="0" y="0"/>
            <wp:positionH relativeFrom="page">
              <wp:posOffset>5446395</wp:posOffset>
            </wp:positionH>
            <wp:positionV relativeFrom="paragraph">
              <wp:posOffset>822325</wp:posOffset>
            </wp:positionV>
            <wp:extent cx="155575" cy="17208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5575" cy="17208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themeColor="text1"/>
          <w:sz w:val="24"/>
        </w:rPr>
        <w:t>Kopš tā laika peptisko čūlu ārstēšanai izmantotā terapija ar pienu ir zaudējusi aktualitāti, bet sindromu arvien biežāk novēro lielu kalcija karbonāta bagātinātāju devu lietošanas gadījumos, un PAS ir pārdēvēts par kalcija alkāliju sindromu (KAS) (Patel un Goldfarb, 2010). Pamatojoties uz 14 gadījumiem (2004–2010), kuros ziņots par paaugstinātu kalcija koncentrāciju serumā (2,64–6,43 mmol/l) un kreatinīna koncentrāciju vīriešiem un sievietēm (35–81 gadi), kas patērē kalcija karbonātu vairāk nekā 1000–44 000 mg dienā, ASV Medicīnas institūtā (IoM, 2011) ir secināts, ka kalcija karbonāta uzņemšana uztura bagātinātāja veidā 3000 mg dienā rada risku. Par uztura bagātinātāju uzņemšanas ilgumu ir ziņots tikai septiņos gadījumos (no vairāku nedēļu ilga laikposma līdz 19 gadiem).</w:t>
      </w:r>
    </w:p>
    <w:p w14:paraId="3C107A34" w14:textId="77777777" w:rsidR="00562491" w:rsidRPr="00D91B35" w:rsidRDefault="00562491" w:rsidP="008131C2">
      <w:pPr>
        <w:jc w:val="both"/>
        <w:rPr>
          <w:rFonts w:ascii="Times New Roman" w:eastAsia="Times New Roman" w:hAnsi="Times New Roman" w:cs="Times New Roman"/>
          <w:bCs/>
          <w:noProof/>
          <w:color w:val="000000" w:themeColor="text1"/>
          <w:sz w:val="24"/>
          <w:szCs w:val="15"/>
        </w:rPr>
      </w:pPr>
    </w:p>
    <w:p w14:paraId="5F2CDF47" w14:textId="10339089" w:rsidR="00562491" w:rsidRPr="00D91B35" w:rsidRDefault="00562491" w:rsidP="008131C2">
      <w:pPr>
        <w:pStyle w:val="Pamatteksts"/>
        <w:spacing w:before="0"/>
        <w:ind w:left="0"/>
        <w:jc w:val="both"/>
        <w:rPr>
          <w:bCs/>
          <w:noProof/>
          <w:color w:val="000000" w:themeColor="text1"/>
          <w:sz w:val="24"/>
        </w:rPr>
      </w:pPr>
      <w:r>
        <w:rPr>
          <w:color w:val="000000" w:themeColor="text1"/>
          <w:sz w:val="24"/>
        </w:rPr>
        <w:t xml:space="preserve">Pacientiem ar PAS vai KAS nieru biopsijās ir aprakstīta līkumainā kanāliņa šūnu un tubulārās plātnītes pārkaļķošanās, kas smagos gadījumos bija saistīta ar intersticiālu fibrozi, iekaisīgu izmaiņu zonām un periglomerulāru fibrozi. Kalcija nogulsnēšanās apjoms bija proporcionāls nieru disfunkcijai. Hroniska PAS gadījumos novērota arī kalcija nogulsnēšanās radzenē un </w:t>
      </w:r>
      <w:r>
        <w:rPr>
          <w:color w:val="000000" w:themeColor="text1"/>
          <w:sz w:val="24"/>
        </w:rPr>
        <w:lastRenderedPageBreak/>
        <w:t>konjunktīvā, retāk – periartikulārajos audos, zemādā, centrālajā nervu sistēmā, aknās, virsnieru dziedzeros, kaulos un plaušās (Medarov, 2009).</w:t>
      </w:r>
    </w:p>
    <w:p w14:paraId="577E7E15"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2AB7DCEC" w14:textId="77777777" w:rsidR="00562491" w:rsidRPr="00D91B35" w:rsidRDefault="00562491" w:rsidP="008131C2">
      <w:pPr>
        <w:pStyle w:val="Pamatteksts"/>
        <w:spacing w:before="0"/>
        <w:ind w:left="0"/>
        <w:jc w:val="both"/>
        <w:rPr>
          <w:bCs/>
          <w:noProof/>
          <w:color w:val="000000" w:themeColor="text1"/>
          <w:sz w:val="24"/>
        </w:rPr>
      </w:pPr>
      <w:r>
        <w:rPr>
          <w:color w:val="000000" w:themeColor="text1"/>
          <w:sz w:val="24"/>
        </w:rPr>
        <w:t>Ekspertu grupa atzīmē, ka sārmainā kalcija uzņemšana uztura bagātinātāja veidā devās, kas pārsniedz 1000 mg dienā, var palielināt KAS risku, taču no šiem gadījumu aprakstiem nevar spriest par kalcija daudzumu vai ārstēšanas ilgumu, pie kura risks palielinās.</w:t>
      </w:r>
    </w:p>
    <w:p w14:paraId="6AA315C9"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0D87A7E0" w14:textId="3AD66676" w:rsidR="00562491" w:rsidRPr="00D91B35" w:rsidRDefault="00562491" w:rsidP="008131C2">
      <w:pPr>
        <w:pStyle w:val="Pamatteksts"/>
        <w:spacing w:before="0"/>
        <w:ind w:left="0"/>
        <w:jc w:val="both"/>
        <w:rPr>
          <w:bCs/>
          <w:noProof/>
          <w:color w:val="000000" w:themeColor="text1"/>
          <w:sz w:val="24"/>
        </w:rPr>
      </w:pPr>
      <w:r>
        <w:rPr>
          <w:color w:val="000000" w:themeColor="text1"/>
          <w:sz w:val="24"/>
        </w:rPr>
        <w:t>Riska faktori, kas veicina KAS veidošanos, lietojot sārmainus kalcija uztura bagātinātājus, ir samazināta kalcija izvade vai nieru darbības pavājināšanās (piemēram, vecumā), kalcija reabsorbcijas palielināšanās (piemēram, lietojot tiazīdu grupas diurētiskos līdzekļus) vai apstākļi, kas izraisa ar vielmaiņu saistītu alkalozi (piemēram, grūtniecības hiperemēze vai bulīmija) (Medarov, 2009).</w:t>
      </w:r>
    </w:p>
    <w:p w14:paraId="283FE669" w14:textId="77777777" w:rsidR="00562491" w:rsidRPr="00D91B35" w:rsidRDefault="00562491" w:rsidP="008131C2">
      <w:pPr>
        <w:jc w:val="both"/>
        <w:rPr>
          <w:rFonts w:ascii="Times New Roman" w:eastAsia="Times New Roman" w:hAnsi="Times New Roman" w:cs="Times New Roman"/>
          <w:bCs/>
          <w:noProof/>
          <w:color w:val="000000" w:themeColor="text1"/>
          <w:sz w:val="24"/>
        </w:rPr>
      </w:pPr>
    </w:p>
    <w:p w14:paraId="1319B2D1" w14:textId="526508FF" w:rsidR="00562491" w:rsidRPr="00D91B35" w:rsidRDefault="00E03EDE" w:rsidP="008131C2">
      <w:pPr>
        <w:pStyle w:val="Virsraksts1"/>
        <w:tabs>
          <w:tab w:val="left" w:pos="999"/>
        </w:tabs>
        <w:ind w:left="0" w:firstLine="0"/>
        <w:jc w:val="both"/>
        <w:rPr>
          <w:bCs w:val="0"/>
          <w:noProof/>
          <w:color w:val="000000" w:themeColor="text1"/>
          <w:sz w:val="24"/>
        </w:rPr>
      </w:pPr>
      <w:bookmarkStart w:id="42" w:name="_Toc73454059"/>
      <w:r>
        <w:rPr>
          <w:color w:val="000000" w:themeColor="text1"/>
          <w:sz w:val="24"/>
        </w:rPr>
        <w:t>3.2.2. Hiperkalciūrija, nieru funkcija un nierakmeņi</w:t>
      </w:r>
      <w:bookmarkStart w:id="43" w:name="_bookmark21"/>
      <w:bookmarkEnd w:id="43"/>
      <w:bookmarkEnd w:id="42"/>
    </w:p>
    <w:p w14:paraId="5BEDC14F" w14:textId="77777777" w:rsidR="00562491" w:rsidRPr="00D91B35" w:rsidRDefault="00562491" w:rsidP="008131C2">
      <w:pPr>
        <w:jc w:val="both"/>
        <w:rPr>
          <w:rFonts w:ascii="Times New Roman" w:eastAsia="Times New Roman" w:hAnsi="Times New Roman" w:cs="Times New Roman"/>
          <w:bCs/>
          <w:noProof/>
          <w:color w:val="000000" w:themeColor="text1"/>
          <w:sz w:val="24"/>
          <w:szCs w:val="31"/>
        </w:rPr>
      </w:pPr>
    </w:p>
    <w:p w14:paraId="4B1DD52E" w14:textId="505E7DBE" w:rsidR="00562491" w:rsidRPr="00D91B35" w:rsidRDefault="008131C2" w:rsidP="008131C2">
      <w:pPr>
        <w:pStyle w:val="Pamatteksts"/>
        <w:tabs>
          <w:tab w:val="left" w:pos="999"/>
        </w:tabs>
        <w:spacing w:before="0"/>
        <w:ind w:left="0"/>
        <w:jc w:val="both"/>
        <w:rPr>
          <w:bCs/>
          <w:noProof/>
          <w:color w:val="000000" w:themeColor="text1"/>
          <w:sz w:val="24"/>
        </w:rPr>
      </w:pPr>
      <w:r>
        <w:rPr>
          <w:color w:val="000000" w:themeColor="text1"/>
          <w:sz w:val="24"/>
        </w:rPr>
        <w:t>3.2.2.1. Pieaugušie</w:t>
      </w:r>
    </w:p>
    <w:p w14:paraId="2C19CCDE" w14:textId="77777777" w:rsidR="00495D79" w:rsidRDefault="00495D79" w:rsidP="008131C2">
      <w:pPr>
        <w:pStyle w:val="Pamatteksts"/>
        <w:spacing w:before="0"/>
        <w:ind w:left="0"/>
        <w:jc w:val="both"/>
        <w:rPr>
          <w:i/>
          <w:iCs/>
          <w:color w:val="000000" w:themeColor="text1"/>
          <w:sz w:val="24"/>
        </w:rPr>
      </w:pPr>
    </w:p>
    <w:p w14:paraId="52882B9D" w14:textId="7F6DA32C" w:rsidR="00562491" w:rsidRPr="00D91B35" w:rsidRDefault="00562491" w:rsidP="008131C2">
      <w:pPr>
        <w:pStyle w:val="Pamatteksts"/>
        <w:spacing w:before="0"/>
        <w:ind w:left="0"/>
        <w:jc w:val="both"/>
        <w:rPr>
          <w:bCs/>
          <w:noProof/>
          <w:color w:val="000000" w:themeColor="text1"/>
          <w:sz w:val="24"/>
        </w:rPr>
      </w:pPr>
      <w:r>
        <w:rPr>
          <w:i/>
          <w:iCs/>
          <w:color w:val="000000" w:themeColor="text1"/>
          <w:sz w:val="24"/>
        </w:rPr>
        <w:t>SCF</w:t>
      </w:r>
      <w:r>
        <w:rPr>
          <w:color w:val="000000" w:themeColor="text1"/>
          <w:sz w:val="24"/>
        </w:rPr>
        <w:t xml:space="preserve"> (2003) ziņoja par biežāku (salīdzinot ar placebo) epizodisku hiperkalciūriju (&gt; 350 mg dienā) tām sievietēm pēc menopauzes, kuras papildus aptuveni 800 mg kalcija diennakts devai četrus gadus lietoja kalcija uztura bagātinātājus (1600 g dienā). Nevienai dalībniecei, kura saņēma kalcija uztura bagātinātājus, neradās nierakmeņi, nefrokalcinoze un nesamazinājās glomerulārās filtrācijas ātrums (Riggs et al., 1998). Tendenci kreatinīna līmenim serumā paaugstināties (par 1,2 μmol/l) pie kopējās kalcija devas 2–3 g dienā novēroja pētījumā, kurā piedalījās 130 sievietes perimenopauzes vecumā (Elders et al., 1994), turpretim par ietekmi netika ziņots attiecībā uz 46 sievietēm vecumā no 50 līdz 70 gadiem, kuras lietoja kalciju līdzīgās devās (Schaafsma et al., 2002). Nebija skaidrs, vai glomerulu funkcijas traucējumi, par kuriem liecināja kreatinīna līmeņa paaugstināšanās serumā, būtu saistāmi ar lielu kalcija devu lietošanu pirmajā pētījumā.</w:t>
      </w:r>
    </w:p>
    <w:p w14:paraId="4CFE0113"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477C03FA" w14:textId="77777777" w:rsidR="00562491" w:rsidRPr="00D91B35" w:rsidRDefault="00562491" w:rsidP="008131C2">
      <w:pPr>
        <w:pStyle w:val="Pamatteksts"/>
        <w:spacing w:before="0"/>
        <w:ind w:left="0"/>
        <w:jc w:val="both"/>
        <w:rPr>
          <w:bCs/>
          <w:noProof/>
          <w:color w:val="000000" w:themeColor="text1"/>
          <w:sz w:val="24"/>
        </w:rPr>
      </w:pPr>
      <w:r>
        <w:rPr>
          <w:color w:val="000000" w:themeColor="text1"/>
          <w:sz w:val="24"/>
        </w:rPr>
        <w:t>Dažādu kalcija devu ietekme uz hiperkalciūriju un/vai nieru funkciju nav sistemātiski pētīta, un kopš 2003. gada jauni dati nav pieejami.</w:t>
      </w:r>
    </w:p>
    <w:p w14:paraId="7BB171FF"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616F3E38" w14:textId="35CCA6D7" w:rsidR="00562491" w:rsidRPr="00D91B35" w:rsidRDefault="00562491" w:rsidP="008131C2">
      <w:pPr>
        <w:pStyle w:val="Pamatteksts"/>
        <w:spacing w:before="0"/>
        <w:ind w:left="0"/>
        <w:jc w:val="both"/>
        <w:rPr>
          <w:bCs/>
          <w:noProof/>
          <w:color w:val="000000" w:themeColor="text1"/>
          <w:sz w:val="24"/>
        </w:rPr>
      </w:pPr>
      <w:r>
        <w:rPr>
          <w:i/>
          <w:iCs/>
          <w:color w:val="000000" w:themeColor="text1"/>
          <w:sz w:val="24"/>
        </w:rPr>
        <w:t>SCF</w:t>
      </w:r>
      <w:r>
        <w:rPr>
          <w:color w:val="000000" w:themeColor="text1"/>
          <w:sz w:val="24"/>
        </w:rPr>
        <w:t xml:space="preserve"> (2003) arī ziņoja (dažādos iejaukšanās pētījumos) par paaugstinātu nierakmeņu risku apmēram 5000 dalībniekiem, kuri no trim mēnešiem līdz četriem gadiem ilgā laikposmā – papildus 300 līdz 1800 mg kalcija diennakts devai uzturā – saņēma no 500 līdz 2000 mg lielu kalcija uztura bagātinātāja diennakts devu (kopējās uzņemtā kalcija devas bija no 1300 līdz 3000 mg dienā). Neviens no šiem pētījumiem nebija paredzēts tam, lai pētītu kalcija uztura bagātinātāju ietekmi uz nierakmeņu veidošanos. Divos prospektīvos kohortu pētījumos, kuros piedalījās četru gadu laikā apsekoti 45 619 vīrieši vecumā no 40 līdz 75 gadiem (Health Professionals Follow-Upy, Curhan et al., 1993) un 12 gadu laikā apsekotas 91 731 sievietes vecumā no 34 līdz 59 gadiem (the Nurses' Health Study I, Curhan et al., 1997) bez nierakmeņiem novērošanas perioda sākumā, kopējais uzņemtā kalcija daudzums – vīriešiem &gt; 1050 mg dienā un sievietēm &gt; 1100 mg dienā – samazināja nierakmeņu veidošanās risku par aptuveni 35 %, salīdzinot ar tiem gadījumiem, kad uzņemtais daudzums bija mazāks. Abos pētījumos ziņoja par apgrieztu sakarību starp kalcija uzturdevu un nierakmeņu risku, ņemot vērā jaucējfaktorus, turpretim kalcija uztura bagātinātāji diennakts devā, kas mazāka par 100 mg, palielināja akmeņu veidošanās risku sievietēm par 20 %, turklāt pie lielākas devas relatīvais risks pārstāja pieaugt. Iedzīvotāju pētījumā, kurā piedalījās 1309 sievietes vecumā no 20 līdz 92 gadiem, sievietes ar nierakmeņiem (n=44) vidēji uzņēma par 250 mg dienā mazāk kalcija nekā sievietes bez nierakmeņiem (840 mg salīdzinājumā ar 1070 mg dienā). Kalcija uztura bagātinātājus nesaistīja ar nierakmeņu veidošanās risku (Sowers et al., </w:t>
      </w:r>
      <w:r>
        <w:rPr>
          <w:color w:val="000000" w:themeColor="text1"/>
          <w:sz w:val="24"/>
        </w:rPr>
        <w:lastRenderedPageBreak/>
        <w:t>1998).</w:t>
      </w:r>
    </w:p>
    <w:p w14:paraId="7D0E85E1" w14:textId="77777777" w:rsidR="00562491" w:rsidRPr="00D91B35" w:rsidRDefault="00562491" w:rsidP="008131C2">
      <w:pPr>
        <w:jc w:val="both"/>
        <w:rPr>
          <w:rFonts w:ascii="Times New Roman" w:eastAsia="Times New Roman" w:hAnsi="Times New Roman" w:cs="Times New Roman"/>
          <w:bCs/>
          <w:noProof/>
          <w:color w:val="000000" w:themeColor="text1"/>
          <w:sz w:val="24"/>
          <w:szCs w:val="15"/>
        </w:rPr>
      </w:pPr>
    </w:p>
    <w:p w14:paraId="31330798" w14:textId="53553BB8" w:rsidR="00562491" w:rsidRPr="00D91B35" w:rsidRDefault="00562491" w:rsidP="008131C2">
      <w:pPr>
        <w:pStyle w:val="Pamatteksts"/>
        <w:spacing w:before="0"/>
        <w:ind w:left="0"/>
        <w:jc w:val="both"/>
        <w:rPr>
          <w:bCs/>
          <w:noProof/>
          <w:color w:val="000000" w:themeColor="text1"/>
          <w:sz w:val="24"/>
        </w:rPr>
      </w:pPr>
      <w:r>
        <w:rPr>
          <w:i/>
          <w:iCs/>
          <w:color w:val="000000" w:themeColor="text1"/>
          <w:sz w:val="24"/>
        </w:rPr>
        <w:t>SCF</w:t>
      </w:r>
      <w:r>
        <w:rPr>
          <w:color w:val="000000" w:themeColor="text1"/>
          <w:sz w:val="24"/>
        </w:rPr>
        <w:t xml:space="preserve"> (2003) secināja, ka nedz novērošanas pētījumi par saistību starp kopējo uzņemtā kalcija daudzumu un nierakmeņu sastopamību, nedz iejaukšanās pētījumi, kuros izmanto kalcija uztura bagātinātājus, neļauj spriest par kalcija daudzumu, kura uzņemšana veicinātu nierakmeņu veidošanos, populācijas līmenī.</w:t>
      </w:r>
    </w:p>
    <w:p w14:paraId="0DB719A1"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445EECEF" w14:textId="3D0D993D" w:rsidR="00562491" w:rsidRPr="00D91B35" w:rsidRDefault="00562491" w:rsidP="008131C2">
      <w:pPr>
        <w:pStyle w:val="Pamatteksts"/>
        <w:spacing w:before="0"/>
        <w:ind w:left="0"/>
        <w:jc w:val="both"/>
        <w:rPr>
          <w:bCs/>
          <w:noProof/>
          <w:color w:val="000000" w:themeColor="text1"/>
          <w:sz w:val="24"/>
        </w:rPr>
      </w:pPr>
      <w:r>
        <w:rPr>
          <w:color w:val="000000" w:themeColor="text1"/>
          <w:sz w:val="24"/>
        </w:rPr>
        <w:t>Kopš tā laika ir publicēts pēc veselības aprūpes speciālistu pētījuma veikts apsekojums par ilgāku laikposmu (Taylor et al., 2004) un jauna Medmāsu veselības pētījuma II (Curhan et al., 2004) rezultāti. Turklāt ASV Medicīnas institūts (IoM, 2011) noteica AD pieaugušajiem, kas vecāki par 51 gadu (niecīgākā nelabvēlīgā ietekme, ko rada kalcija deva 2000 mg dienā, par kritisko mērķparametru pieņemot nefrolitiāzi), pamatojoties uz Sieviešu veselības iniciatīvas (</w:t>
      </w:r>
      <w:r>
        <w:rPr>
          <w:i/>
          <w:iCs/>
          <w:color w:val="000000" w:themeColor="text1"/>
          <w:sz w:val="24"/>
        </w:rPr>
        <w:t>WHI</w:t>
      </w:r>
      <w:r>
        <w:rPr>
          <w:color w:val="000000" w:themeColor="text1"/>
          <w:sz w:val="24"/>
        </w:rPr>
        <w:t>) iejaukšanās pētījuma sekundāro analīzi (Jackson et al., 2006), kas kļuvusi pieejama vēlākā publikācijā (Wallace et al., 2011).</w:t>
      </w:r>
    </w:p>
    <w:p w14:paraId="08B4768D"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186A5B2C" w14:textId="67222B8F" w:rsidR="00562491" w:rsidRPr="00D91B35" w:rsidRDefault="00562491" w:rsidP="008131C2">
      <w:pPr>
        <w:pStyle w:val="Pamatteksts"/>
        <w:spacing w:before="0"/>
        <w:ind w:left="0"/>
        <w:jc w:val="both"/>
        <w:rPr>
          <w:bCs/>
          <w:noProof/>
          <w:color w:val="000000" w:themeColor="text1"/>
          <w:sz w:val="24"/>
        </w:rPr>
      </w:pPr>
      <w:r>
        <w:rPr>
          <w:color w:val="000000" w:themeColor="text1"/>
          <w:sz w:val="24"/>
        </w:rPr>
        <w:t>Veselības aprūpes speciālistu 14 gadu ilgajā apsekojumā (Taylor et al., 2004), novērtējot ar uzturu (un uztura bagātinātājiem) uzņemto devu bāzlīnijā un ik pēc četriem gadiem – starp 45 619 vīriešiem vecumā no 40 līdz 75 gadiem bez nefrolitiāzes anamnēzē, izmantoja pašaizpildāmu aptauju pārtikas produktu lietošanas biežuma noteikšanai (</w:t>
      </w:r>
      <w:r>
        <w:rPr>
          <w:i/>
          <w:iCs/>
          <w:color w:val="000000" w:themeColor="text1"/>
          <w:sz w:val="24"/>
        </w:rPr>
        <w:t>FFQ</w:t>
      </w:r>
      <w:r>
        <w:rPr>
          <w:color w:val="000000" w:themeColor="text1"/>
          <w:sz w:val="24"/>
        </w:rPr>
        <w:t xml:space="preserve">). Kopā tika dokumentēti 1473 simptomātisku nierakmeņu parādīšanās gadījumi. Pēc korekcijas, ņemot vērā būtiskos riska faktorus, lielāka ar uzturu uzņemtā kalcija deva saistījās ar samazinātu nierakmeņu veidošanās risku (RR 0,69, 95 % TI 0,56–0,87, vīrieši visaugstākajā kalcija devas kvintilē salīdzinājumā ar viszemāko kvintili) vīriešiem, kuru vecums bija </w:t>
      </w:r>
      <w:r>
        <w:rPr>
          <w:noProof/>
          <w:color w:val="000000" w:themeColor="text1"/>
          <w:sz w:val="24"/>
        </w:rPr>
        <w:drawing>
          <wp:anchor distT="0" distB="0" distL="114300" distR="114300" simplePos="0" relativeHeight="251656192" behindDoc="1" locked="0" layoutInCell="1" allowOverlap="1" wp14:anchorId="73E8FB90" wp14:editId="327253E8">
            <wp:simplePos x="0" y="0"/>
            <wp:positionH relativeFrom="page">
              <wp:posOffset>2334895</wp:posOffset>
            </wp:positionH>
            <wp:positionV relativeFrom="paragraph">
              <wp:posOffset>328295</wp:posOffset>
            </wp:positionV>
            <wp:extent cx="155575" cy="1720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5575" cy="17208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themeColor="text1"/>
          <w:sz w:val="24"/>
        </w:rPr>
        <w:t>&lt; 60 gadi. Ar uzturu uzņemtā kalcija mediānās devas bija attiecīgi 503 mg dienā viszemākajā un 1194 mg dienā visaugstākajā kvintilē. Vīriešiem 60 gadu vecumā nenovēroja saistību starp kalciju devu uzturā un nierakmeņu veidošanos. Kalcija uztura bagātinātāju uzņemšana nebija saistīta ar nierakmeņu veidošanās risku.</w:t>
      </w:r>
    </w:p>
    <w:p w14:paraId="433877E8"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685CDFB6" w14:textId="48455284" w:rsidR="00562491" w:rsidRPr="00D91B35" w:rsidRDefault="00562491" w:rsidP="008131C2">
      <w:pPr>
        <w:pStyle w:val="Pamatteksts"/>
        <w:spacing w:before="0"/>
        <w:ind w:left="0"/>
        <w:jc w:val="both"/>
        <w:rPr>
          <w:bCs/>
          <w:noProof/>
          <w:color w:val="000000" w:themeColor="text1"/>
          <w:sz w:val="24"/>
        </w:rPr>
      </w:pPr>
      <w:r>
        <w:rPr>
          <w:color w:val="000000" w:themeColor="text1"/>
          <w:sz w:val="24"/>
        </w:rPr>
        <w:t>Līdzīgā kārtā Medmāsu veselības pētījuma II astoņu gadu ilgajā apsekojumā (Curhan et al., 2004), novērtējot ar uzturu (un uztura bagātinātājiem) uzņemto devu bāzlīnijā un ik pēc četriem gadiem – starp 96 245 sievietēm vecumā no 27 līdz 44 gadiem bez nierakmeņiem anamnēzē, izmantoja pašaizpildāmu aptauju pārtikas produktu lietošanas biežuma noteikšanai. Kopā tika dokumentēti 1223 simptomātisku nierakmeņu parādīšanās gadījumi. Pēc korekcijas, ņemot vērā būtiskos riska faktorus, lielāka ar uzturu uzņemtā kalcija deva saistījās ar samazinātu nierakmeņu veidošanās risku (RR 0,73, 95 % TI 0,59–0,90, sievietes visaugstākajā kalcija devas kvintilē salīdzinājumā ar viszemāko kvintili). Ar uzturu uzņemtā kalcija devas bija attiecīgi &lt; 626 mg dienā viszemākajā kvintilē un</w:t>
      </w:r>
    </w:p>
    <w:p w14:paraId="4DFF408D" w14:textId="77777777" w:rsidR="00562491" w:rsidRPr="00D91B35" w:rsidRDefault="00562491" w:rsidP="008131C2">
      <w:pPr>
        <w:pStyle w:val="Pamatteksts"/>
        <w:spacing w:before="0"/>
        <w:ind w:left="0"/>
        <w:jc w:val="both"/>
        <w:rPr>
          <w:bCs/>
          <w:noProof/>
          <w:color w:val="000000" w:themeColor="text1"/>
          <w:sz w:val="24"/>
        </w:rPr>
      </w:pPr>
      <w:r>
        <w:rPr>
          <w:color w:val="000000" w:themeColor="text1"/>
          <w:sz w:val="24"/>
        </w:rPr>
        <w:t>&gt; 1129 mg dienā visaugstākajā kvintilē. Kalcija uztura bagātinātāju uzņemšana nebija saistīta ar nierakmeņu veidošanās risku.</w:t>
      </w:r>
    </w:p>
    <w:p w14:paraId="545C4F97"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7466430C" w14:textId="77777777" w:rsidR="00562491" w:rsidRPr="00D91B35" w:rsidRDefault="00562491" w:rsidP="008131C2">
      <w:pPr>
        <w:pStyle w:val="Pamatteksts"/>
        <w:spacing w:before="0"/>
        <w:ind w:left="0"/>
        <w:jc w:val="both"/>
        <w:rPr>
          <w:bCs/>
          <w:noProof/>
          <w:color w:val="000000" w:themeColor="text1"/>
          <w:sz w:val="24"/>
        </w:rPr>
      </w:pPr>
      <w:r>
        <w:rPr>
          <w:color w:val="000000" w:themeColor="text1"/>
          <w:sz w:val="24"/>
        </w:rPr>
        <w:t>Ekspertu grupa atzīmē, ka kalcija uzņemšana devās, kuras atbilst visjaunākajiem uztura ieteikumiem, neveicina nierakmeņu veidošanos iedzīvotājiem kopumā. Ekspertu grupa arī atzīmē, ka lielos prospektīvos kohortu pētījumos nav novērota saistība starp kalcija uztura bagātinātāju lietošanu un paaugstinātu nierakmeņu risku.</w:t>
      </w:r>
    </w:p>
    <w:p w14:paraId="1227127B"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7FFCBA8B" w14:textId="061982D8" w:rsidR="00562491" w:rsidRPr="00D91B35" w:rsidRDefault="00562491" w:rsidP="008131C2">
      <w:pPr>
        <w:pStyle w:val="Pamatteksts"/>
        <w:spacing w:before="0"/>
        <w:ind w:left="0"/>
        <w:jc w:val="both"/>
        <w:rPr>
          <w:bCs/>
          <w:noProof/>
          <w:color w:val="000000" w:themeColor="text1"/>
          <w:sz w:val="24"/>
        </w:rPr>
      </w:pPr>
      <w:r>
        <w:rPr>
          <w:noProof/>
          <w:color w:val="000000" w:themeColor="text1"/>
          <w:sz w:val="24"/>
        </w:rPr>
        <w:drawing>
          <wp:anchor distT="0" distB="0" distL="114300" distR="114300" simplePos="0" relativeHeight="251658240" behindDoc="1" locked="0" layoutInCell="1" allowOverlap="1" wp14:anchorId="4C07B38E" wp14:editId="6709ACD7">
            <wp:simplePos x="0" y="0"/>
            <wp:positionH relativeFrom="page">
              <wp:posOffset>4903470</wp:posOffset>
            </wp:positionH>
            <wp:positionV relativeFrom="paragraph">
              <wp:posOffset>1480820</wp:posOffset>
            </wp:positionV>
            <wp:extent cx="155575" cy="17208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5575" cy="17208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themeColor="text1"/>
          <w:sz w:val="24"/>
        </w:rPr>
        <w:t xml:space="preserve">Sieviešu veselības iniciatīvas pētījumā (Jackson et al., 2006) 36 282 sievietes pēc menopauzes vecumā no 50 līdz 79 gadiem (vidējais vecums 62 gadi) pēc nejaušas izlases principa ar maltīti saņēma vai nu placebo (n=18 106), vai 1000 mg elementārā kalcija (kalcija karbonāta) kopā ar 10 μg (400 SV) D3 vitamīna dienā (n=18 176) vidēji septiņus gadus. Starp izslēgšanas kritērijiem bija hiperkalcēmija un nierakmeņi. Galvenie iznākuma rādītāji bija kaulu lūzumi un kaulu blīvuma mērījumi. Pētījuma dalībniecēm bija ļauts turpināt lietot </w:t>
      </w:r>
      <w:r>
        <w:rPr>
          <w:color w:val="000000" w:themeColor="text1"/>
          <w:sz w:val="24"/>
        </w:rPr>
        <w:lastRenderedPageBreak/>
        <w:t>pašām savus uztura bagātinātājus līdz 1000 mg lielai kalcija un 12,5 µg lielai D vitamīna dienas devai. Bāzlīnijas vidējā kalcija deva (ar uzturu un pētījumā neiekļautiem uztura bagātinātājiem) bija aptuveni 1150 mg dienā, un bāzlīnijas vidējā D vitamīna deva bija aptuveni 9 µg dienā. Aptuveni 40 % dalībnieku bāzlīnijas patēriņš bija &gt; 1200 mg kalcija dienā, un 29 % lietoja paši savus uztura bagātinātājus, uzņemot ar tiem &gt; 500 mg kalcija diennakts devu. Pirmajos trīs apsekošanas gados pētījuma prasības (80 % no pētījumā paredzētajiem uztura bagātinātājiem) ievēroja 60 % līdz 63 % dalībnieku, vēl 13 % līdz 21 % dalībnieku lietoja vismaz pusi no pētījumā paredzētajām tabletēm. Pētījuma beigās 76 % sieviešu vēl joprojām lietoja pētījumā paredzētos uztura bagātinātājus un 59 % no viņām ievēroja pētījuma prasības. Ar uzturu uzņemtā kalcija deva pētījuma laikā saglabājās stabila, bet ar uztura bagātinātājiem uzņemtās devas abās grupās palielinājās par 100 mg dienā. Uztura bagātināšana ar kalciju un D vitamīnu paaugstināja (17 %) klīniski diagnosticētu nierakmeņu veidošanās risku, ņemot vērā pētījuma dalībnieku ziņoto. Par nierakmeņiem ziņoja 449 sievietes grupā, kura saņēma uztura bagātinātājus, salīdzinājumā ar 381 sievietēm placebo grupā (riska attiecība 1,17; 95 %</w:t>
      </w:r>
    </w:p>
    <w:p w14:paraId="52B86939" w14:textId="77777777" w:rsidR="00562491" w:rsidRPr="00D91B35" w:rsidRDefault="00562491" w:rsidP="008131C2">
      <w:pPr>
        <w:jc w:val="both"/>
        <w:rPr>
          <w:rFonts w:ascii="Times New Roman" w:eastAsia="Times New Roman" w:hAnsi="Times New Roman" w:cs="Times New Roman"/>
          <w:bCs/>
          <w:noProof/>
          <w:color w:val="000000" w:themeColor="text1"/>
          <w:sz w:val="24"/>
          <w:szCs w:val="15"/>
        </w:rPr>
      </w:pPr>
    </w:p>
    <w:p w14:paraId="07A98714" w14:textId="1189E644" w:rsidR="00562491" w:rsidRPr="00D91B35" w:rsidRDefault="00562491" w:rsidP="008131C2">
      <w:pPr>
        <w:pStyle w:val="Pamatteksts"/>
        <w:spacing w:before="0"/>
        <w:ind w:left="0"/>
        <w:jc w:val="both"/>
        <w:rPr>
          <w:bCs/>
          <w:noProof/>
          <w:color w:val="000000" w:themeColor="text1"/>
          <w:sz w:val="24"/>
        </w:rPr>
      </w:pPr>
      <w:r>
        <w:rPr>
          <w:color w:val="000000" w:themeColor="text1"/>
          <w:sz w:val="24"/>
        </w:rPr>
        <w:t>TI 1,02–1,34). Ekspertu grupa atzīmē, ka, kaut arī protokola dizains to izslēdza, 161 dalībniecei grupā ar iejaukšanos un 172 dalībniecēm placebo grupā, pēc pašu ziņotā, anamnēzē bija urīnceļu akmeņi, un viņas tika iekļautas pētījumā saskaņā ar visu ārstēšanai pakļauto dalībnieku analīzi. Nav skaidrs, vai (un cik lielā mērā) sievietes, kurām anamnēzē bija nierakmeņi, papildināja gadījumu skaitu katrā no grupām. Turpmākajā analīzē, ko veica par šo pašu pētījumu (Wallace et al., 2011), nierakmeņu veidošanās risku nesaistīja nedz ar kopējo uzņemtā kalcija devu, nedz ar kalcija uztura bagātinātāju lietošanu bāzlīnijā. Nierakmeņu riska ziņā starp medikamentu un placebo grupām nebija būtisku atšķirību, ja ņem vērā tikai tās dalībnieces, kuras ievēroja pētījumā sniegtos ārstnieciskos norādījumus (riska attiecība 1,21; 95 % TI 0,98–1,34). Hospitalizācijas laikā diagnoze apstiprinājās nelielai daļai sieviešu (35 gadījumi katrā grupā), un starp grupām nebija nozīmīgu atšķirību. Ekspertu grupa atzīmē, ka šajā pētījumā netika vērtēta nierakmeņu veidošanās riska saistība ar kalcija devu, ko uzņem ar uzturu un uztura bagātinātājiem (summējot gan individuāli lietotos, gan pētījumā nozīmētos uztura bagātinātājus), vai kopējo kalcija devu, bet gan ietekme, ko rada papildu kalcija (un D vitamīna) deva pie ļoti dažāda uzņemtā kalcija daudzuma bāzlīnijā ar pārtiku un pašu izraudzītajiem uztura bagātinātājiem (sākot no &lt; 400 mg dienā līdz &gt; 1490 mg dienā), un šis papildus uzņemtais kalcija daudzums nebija saistīts ar nierakmeņu veidošanās risku. Ekspertu grupa arī atzīmē, ka papildu kalcija (un D vitamīna) uztura bagātinātāju uzņemšana nepalielināja pašu ziņoto nierakmeņu veidošanās risku personām, kuras lietoja pētījumā paredzētos medikamentus, nedz arī proporcionālo hospitalizācijas gadījumu skaitu starp sievietēm, kurām ar objektīvām metodēm noteica nierakmeņu diagnozi. Ekspertu grupa uzskata, ka šis pētījums nesniedz pierādījumus par paaugstinātu nierakmeņu risku, ko varētu saistīt ar lielu uzņemtā kalcija daudzumu.</w:t>
      </w:r>
    </w:p>
    <w:p w14:paraId="0DAFB5CD"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28DE4168" w14:textId="77777777" w:rsidR="00562491" w:rsidRPr="00D91B35" w:rsidRDefault="00562491" w:rsidP="008131C2">
      <w:pPr>
        <w:pStyle w:val="Pamatteksts"/>
        <w:spacing w:before="0"/>
        <w:ind w:left="0"/>
        <w:jc w:val="both"/>
        <w:rPr>
          <w:bCs/>
          <w:noProof/>
          <w:color w:val="000000" w:themeColor="text1"/>
          <w:sz w:val="24"/>
        </w:rPr>
      </w:pPr>
      <w:r>
        <w:rPr>
          <w:color w:val="000000" w:themeColor="text1"/>
          <w:sz w:val="24"/>
        </w:rPr>
        <w:t>Ekspertu grupa atzīmē, ka nav novērota saistība starp kalcija devām līdz aptuveni 2400 mg dienā un paaugstinātu hroniskas hiperkalciūrijas vai nieru darbības traucējumu risku, nedz arī saistība starp kalcija devām līdz 3000 mg dienā un paaugstinātu nefrolitiāzes risku pieaugušo iedzīvotāju vidū.</w:t>
      </w:r>
    </w:p>
    <w:p w14:paraId="717FF4A4" w14:textId="77777777" w:rsidR="00562491" w:rsidRPr="00D91B35" w:rsidRDefault="00562491" w:rsidP="008131C2">
      <w:pPr>
        <w:jc w:val="both"/>
        <w:rPr>
          <w:rFonts w:ascii="Times New Roman" w:eastAsia="Times New Roman" w:hAnsi="Times New Roman" w:cs="Times New Roman"/>
          <w:bCs/>
          <w:noProof/>
          <w:color w:val="000000" w:themeColor="text1"/>
          <w:sz w:val="24"/>
        </w:rPr>
      </w:pPr>
    </w:p>
    <w:p w14:paraId="2A4C7BDA" w14:textId="7ADE1166" w:rsidR="00562491" w:rsidRDefault="008131C2" w:rsidP="008131C2">
      <w:pPr>
        <w:pStyle w:val="Pamatteksts"/>
        <w:tabs>
          <w:tab w:val="left" w:pos="999"/>
        </w:tabs>
        <w:spacing w:before="0"/>
        <w:ind w:left="0"/>
        <w:jc w:val="both"/>
        <w:rPr>
          <w:color w:val="000000" w:themeColor="text1"/>
          <w:sz w:val="24"/>
        </w:rPr>
      </w:pPr>
      <w:r>
        <w:rPr>
          <w:color w:val="000000" w:themeColor="text1"/>
          <w:sz w:val="24"/>
        </w:rPr>
        <w:t>3.2.2.2. Zīdaiņi</w:t>
      </w:r>
    </w:p>
    <w:p w14:paraId="344E7030" w14:textId="77777777" w:rsidR="00495D79" w:rsidRPr="00D91B35" w:rsidRDefault="00495D79" w:rsidP="008131C2">
      <w:pPr>
        <w:pStyle w:val="Pamatteksts"/>
        <w:tabs>
          <w:tab w:val="left" w:pos="999"/>
        </w:tabs>
        <w:spacing w:before="0"/>
        <w:ind w:left="0"/>
        <w:jc w:val="both"/>
        <w:rPr>
          <w:bCs/>
          <w:noProof/>
          <w:color w:val="000000" w:themeColor="text1"/>
          <w:sz w:val="24"/>
        </w:rPr>
      </w:pPr>
    </w:p>
    <w:p w14:paraId="53383190" w14:textId="77777777" w:rsidR="00562491" w:rsidRPr="00D91B35" w:rsidRDefault="00562491" w:rsidP="008131C2">
      <w:pPr>
        <w:pStyle w:val="Pamatteksts"/>
        <w:spacing w:before="0"/>
        <w:ind w:left="0"/>
        <w:jc w:val="both"/>
        <w:rPr>
          <w:bCs/>
          <w:noProof/>
          <w:color w:val="000000" w:themeColor="text1"/>
          <w:sz w:val="24"/>
        </w:rPr>
      </w:pPr>
      <w:r>
        <w:rPr>
          <w:color w:val="000000" w:themeColor="text1"/>
          <w:sz w:val="24"/>
        </w:rPr>
        <w:t>Vienā iejaukšanās pētījumā vērtēja kalcija izvadīšanu ar urīnu un nieru darbību saistībā ar zīdaiņu uzņemtajām kalcija devām. Zīdaiņiem reti kad veidojas nierakmeņi.</w:t>
      </w:r>
    </w:p>
    <w:p w14:paraId="2DD23336"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7403668C" w14:textId="650FAA9A" w:rsidR="00562491" w:rsidRPr="00D91B35" w:rsidRDefault="00562491" w:rsidP="008131C2">
      <w:pPr>
        <w:pStyle w:val="Pamatteksts"/>
        <w:spacing w:before="0"/>
        <w:ind w:left="0"/>
        <w:jc w:val="both"/>
        <w:rPr>
          <w:bCs/>
          <w:noProof/>
          <w:color w:val="000000" w:themeColor="text1"/>
          <w:sz w:val="24"/>
        </w:rPr>
      </w:pPr>
      <w:r>
        <w:rPr>
          <w:color w:val="000000" w:themeColor="text1"/>
          <w:sz w:val="24"/>
        </w:rPr>
        <w:t xml:space="preserve">Lai izpētītu ar dzelzi bagātināta (12,8 mg/l) govs piena maisījuma efektivitāti, kam pievienots </w:t>
      </w:r>
      <w:r>
        <w:rPr>
          <w:color w:val="000000" w:themeColor="text1"/>
          <w:sz w:val="24"/>
        </w:rPr>
        <w:lastRenderedPageBreak/>
        <w:t>kalcija glicerofosfāts (kalcijs – 1800 mg/l, fosfors – 1390 mg/l), svina absorbcijas novēršanā zīdaiņiem salīdzinājumā ar tādu pašu (kontroles) maisījumu bez pievienota kalcija un fosfāta (kalcijs – 465 mg/l un fosfors – 317 mg/l), veica dubultmaskētu RKP (Dalton et al., 1997; Sargent et al., 1999). Bez citiem nekaitīguma rādītājiem vērtēja arī pētāmo maisījumu ietekmi uz kalcija un dzelzs vielmaiņu. Pirms nejaušināšanas pārbaudīja 314 veselu, ar mākslīgo maisījumu barotu zīdaiņu atbilstību pētījuma nosacījumiem, un šos zīdaiņus vienu mēnesi ilgā priekšpētījuma fāzē baroja ar attiecīgo maisījumu. Trim zīdaiņiem iestājās hiperkalciūrija (kalcija/kreatinīna attiecība &gt; 0,8 mg/mg), un šī iemesla dēļ viņus nejaušināšanā neiekļāva. Kopumā barošanai ar vienu no šiem maisījumiem deviņu mēnešu periodā nejaušināja 103 pētījuma nosacījumiem atbilstošus zīdaiņus vecumā no 3,5 līdz 6 mēnešiem. Lai veiktu kalcija un kreatinīna analīzes, tika ņemti asins paraugi pētījuma uzsākšanas brīdī un pēc četriem un deviņiem mēnešiem, kā arī tika ņemti urīna paraugi pētījuma uzsākšanas brīdī un pēc viena, diviem, četriem, sešiem un deviņiem mēnešiem. Iejaukšanās pasākumu beigās bērnu vidējais vecums bija 14 mēneši. No katras pētījuma grupas dažādu iemeslu dēļ izslēdza 11 bērnus. Ar maisījumu uzņemtā kalcija deva grupā ar iejaukšanos (n=41) bija piecas reizes lielāka nekā kontrolgrupā (n=40), veicot salīdzinājumu pētījuma uzsākšanas brīdī un pēc četriem un deviņiem mēnešiem (1740±450, 1710±460 un 1560±700 mg dienā salīdzinājumā ar attiecīgi 480±90, 400±130 un 340±173 mg dienā). Starp grupām nebija atšķirību kalcija koncentrācijas ziņā serumā. Vienam bērnam kontrolmaisījuma grupā kalcija koncentrācija serumā pēc četriem mēnešiem bija &gt; 2,72 mmol/l, bet pēc deviņiem mēnešiem tā normalizējās. Urīnā esošā kalcija/kreatinīna attiecības ziņā starp grupām nebija būtisku atšķirību, veicot salīdzinājumu pētījuma uzsākšanas brīdī vai pēc četriem vai deviņiem mēnešiem Epizodisku hiperkalciūriju novēroja pieciem zīdaiņiem katrā grupā, un atkārtotā paraugā to novēroja tikai vienam dalībniekam katrā grupā. Hematūriju nenovēroja nevienam dalībniekam.</w:t>
      </w:r>
    </w:p>
    <w:p w14:paraId="310AA5F2" w14:textId="77777777" w:rsidR="00562491" w:rsidRPr="00D91B35" w:rsidRDefault="00562491" w:rsidP="008131C2">
      <w:pPr>
        <w:jc w:val="both"/>
        <w:rPr>
          <w:rFonts w:ascii="Times New Roman" w:eastAsia="Times New Roman" w:hAnsi="Times New Roman" w:cs="Times New Roman"/>
          <w:bCs/>
          <w:noProof/>
          <w:color w:val="000000" w:themeColor="text1"/>
          <w:sz w:val="24"/>
          <w:szCs w:val="15"/>
        </w:rPr>
      </w:pPr>
    </w:p>
    <w:p w14:paraId="008CFD4D" w14:textId="77777777" w:rsidR="00562491" w:rsidRPr="00D91B35" w:rsidRDefault="00562491" w:rsidP="008131C2">
      <w:pPr>
        <w:pStyle w:val="Pamatteksts"/>
        <w:spacing w:before="0"/>
        <w:ind w:left="0"/>
        <w:jc w:val="both"/>
        <w:rPr>
          <w:bCs/>
          <w:noProof/>
          <w:color w:val="000000" w:themeColor="text1"/>
          <w:sz w:val="24"/>
        </w:rPr>
      </w:pPr>
      <w:r>
        <w:rPr>
          <w:color w:val="000000" w:themeColor="text1"/>
          <w:sz w:val="24"/>
        </w:rPr>
        <w:t>Ekspertu grupa atzīmē, ka vienā nelielā pētījumā ar uzturu uzņemtās kalcija devas līdz aptuveni 1750 mg dienā deviņu mēnešu ilgā laikā nepalielināja hiperkalcēmijas, klīniski nozīmīgas hiperkalciūrijas vai nierakmeņu simptomu risku zīdaiņiem.</w:t>
      </w:r>
    </w:p>
    <w:p w14:paraId="3BDE11EB" w14:textId="77777777" w:rsidR="00562491" w:rsidRPr="00D91B35" w:rsidRDefault="00562491" w:rsidP="008131C2">
      <w:pPr>
        <w:jc w:val="both"/>
        <w:rPr>
          <w:rFonts w:ascii="Times New Roman" w:eastAsia="Times New Roman" w:hAnsi="Times New Roman" w:cs="Times New Roman"/>
          <w:bCs/>
          <w:noProof/>
          <w:color w:val="000000" w:themeColor="text1"/>
          <w:sz w:val="24"/>
        </w:rPr>
      </w:pPr>
    </w:p>
    <w:p w14:paraId="41135997" w14:textId="09E68E40" w:rsidR="00562491" w:rsidRDefault="008131C2" w:rsidP="008131C2">
      <w:pPr>
        <w:pStyle w:val="Pamatteksts"/>
        <w:tabs>
          <w:tab w:val="left" w:pos="999"/>
        </w:tabs>
        <w:spacing w:before="0"/>
        <w:ind w:left="0"/>
        <w:jc w:val="both"/>
        <w:rPr>
          <w:color w:val="000000" w:themeColor="text1"/>
          <w:sz w:val="24"/>
        </w:rPr>
      </w:pPr>
      <w:r>
        <w:rPr>
          <w:color w:val="000000" w:themeColor="text1"/>
          <w:sz w:val="24"/>
        </w:rPr>
        <w:t>3.2.2.3. Bērni un pusaudži</w:t>
      </w:r>
    </w:p>
    <w:p w14:paraId="6CEBE42C" w14:textId="77777777" w:rsidR="00495D79" w:rsidRPr="00D91B35" w:rsidRDefault="00495D79" w:rsidP="008131C2">
      <w:pPr>
        <w:pStyle w:val="Pamatteksts"/>
        <w:tabs>
          <w:tab w:val="left" w:pos="999"/>
        </w:tabs>
        <w:spacing w:before="0"/>
        <w:ind w:left="0"/>
        <w:jc w:val="both"/>
        <w:rPr>
          <w:bCs/>
          <w:noProof/>
          <w:color w:val="000000" w:themeColor="text1"/>
          <w:sz w:val="24"/>
        </w:rPr>
      </w:pPr>
    </w:p>
    <w:p w14:paraId="1E60C881" w14:textId="25F3F4E0" w:rsidR="00562491" w:rsidRPr="00D91B35" w:rsidRDefault="00562491" w:rsidP="008131C2">
      <w:pPr>
        <w:pStyle w:val="Pamatteksts"/>
        <w:spacing w:before="0"/>
        <w:ind w:left="0"/>
        <w:jc w:val="both"/>
        <w:rPr>
          <w:bCs/>
          <w:noProof/>
          <w:color w:val="000000" w:themeColor="text1"/>
          <w:sz w:val="24"/>
        </w:rPr>
      </w:pPr>
      <w:r>
        <w:rPr>
          <w:i/>
          <w:iCs/>
          <w:color w:val="000000" w:themeColor="text1"/>
          <w:sz w:val="24"/>
        </w:rPr>
        <w:t>SCF</w:t>
      </w:r>
      <w:r>
        <w:rPr>
          <w:color w:val="000000" w:themeColor="text1"/>
          <w:sz w:val="24"/>
        </w:rPr>
        <w:t xml:space="preserve"> (2003) 2003. gadā atzīmēja, ka attiecībā uz 217 bērniem (piecos iejaukšanās pētījumos) vecumā no 6 līdz 14 gadiem un attiecīgi no 6,6 līdz 11 gadiem nav ziņots par nelabvēlīgu ietekmi, ko varētu radīt kalcija citrāta-malāta bagātinātāji (no 500 līdz 1000 mg kalcija 1,5 līdz 3 gadu ilgā laikā) vai papildu piena produkti, vai ar piena ekstraktiem bagātināti pārtikas produkti (700 līdz 820 mg kalcija dienā vienu gadu ilgā laikā), salīdzinājumā ar kontrolgrupu bez uztura bagātinātājiem. Vidējās ar uzturu uzņemtās kalcija devas grupās, kurās bērni saņēma kalcija uztura bagātinātājus, bija aptuveni 900–1000 mg dienā. </w:t>
      </w:r>
      <w:r>
        <w:rPr>
          <w:i/>
          <w:iCs/>
          <w:color w:val="000000" w:themeColor="text1"/>
          <w:sz w:val="24"/>
        </w:rPr>
        <w:t>SCF</w:t>
      </w:r>
      <w:r>
        <w:rPr>
          <w:color w:val="000000" w:themeColor="text1"/>
          <w:sz w:val="24"/>
        </w:rPr>
        <w:t xml:space="preserve"> uzskatīja šos datus par nepietiekamiem AD secināšanai bērniem vai pusaudžiem.</w:t>
      </w:r>
    </w:p>
    <w:p w14:paraId="01F8BDC1"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5B6C469D" w14:textId="09784F87" w:rsidR="00562491" w:rsidRPr="00D91B35" w:rsidRDefault="00562491" w:rsidP="008131C2">
      <w:pPr>
        <w:pStyle w:val="Pamatteksts"/>
        <w:spacing w:before="0"/>
        <w:ind w:left="0"/>
        <w:jc w:val="both"/>
        <w:rPr>
          <w:bCs/>
          <w:noProof/>
          <w:color w:val="000000" w:themeColor="text1"/>
          <w:sz w:val="24"/>
        </w:rPr>
      </w:pPr>
      <w:r>
        <w:rPr>
          <w:color w:val="000000" w:themeColor="text1"/>
          <w:sz w:val="24"/>
        </w:rPr>
        <w:t>Dubultmaskētā RKP, kura mērķis bija izpētīt kalcija uztura bagātinātāju ietekmi, ja notikusi saindēšanās ar svinu,</w:t>
      </w:r>
      <w:r w:rsidR="00495D79">
        <w:rPr>
          <w:color w:val="000000" w:themeColor="text1"/>
          <w:sz w:val="24"/>
        </w:rPr>
        <w:t xml:space="preserve"> </w:t>
      </w:r>
      <w:r>
        <w:rPr>
          <w:color w:val="000000" w:themeColor="text1"/>
          <w:sz w:val="24"/>
        </w:rPr>
        <w:t xml:space="preserve">pēc nejaušības principa 88 “vidēji saindējušos” bērnus vecumā no 1 līdz 6 gadiem iedalīja tajos, kuri trīs mēnešus lietoja kalciju (devu pielāgoja tā, lai ar pārtiku un uztura bagātinātājiem uzņemtā kopējā deva būtu 1800 mg dienā), un placebo lietotājos. Analīzei bija pieejami dati par 67 bērniem (35 bērniem kalcija grupā). Laikā, kad bērnus iekļāva pētījumā, uzņemtā kalcija deva bija 1108±465 mg un 973±409 mg attiecīgi placebo kontrolgrupās un uztura bagātinātāju grupās. Urīnā esošās kalcija/kreatinīna attiecības ziņā starp bērniem grupā, kurā veica iejaukšanos (kopējā kalcija deva 1701±121 mg dienā), un kontrolgrupā (1012±454 mg kalcija dienā) nebija atšķirību, un šī attiecība bija 0,1±0,1 visā pētījuma laikā. </w:t>
      </w:r>
      <w:r>
        <w:rPr>
          <w:color w:val="000000" w:themeColor="text1"/>
          <w:sz w:val="24"/>
        </w:rPr>
        <w:lastRenderedPageBreak/>
        <w:t>Hematūriju nenovēroja (Markowitz et al., 2004).</w:t>
      </w:r>
    </w:p>
    <w:p w14:paraId="63DDD098"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4F985612" w14:textId="77777777" w:rsidR="00562491" w:rsidRPr="00D91B35" w:rsidRDefault="00562491" w:rsidP="008131C2">
      <w:pPr>
        <w:pStyle w:val="Pamatteksts"/>
        <w:spacing w:before="0"/>
        <w:ind w:left="0"/>
        <w:jc w:val="both"/>
        <w:rPr>
          <w:bCs/>
          <w:noProof/>
          <w:color w:val="000000" w:themeColor="text1"/>
          <w:sz w:val="24"/>
        </w:rPr>
      </w:pPr>
      <w:r>
        <w:rPr>
          <w:color w:val="000000" w:themeColor="text1"/>
          <w:sz w:val="24"/>
        </w:rPr>
        <w:t>Ekspertu grupa atzīmē, ka vienā nelielā, īslaicīgā pētījumā kalcija devas līdz aptuveni 1800 mg dienā trīs mēnešu ilgā laikā neietekmēja nieru funkciju bērniem vecumā no 1 līdz 6 gadiem. Jauni dati par pusaudžiem nav pieejami.</w:t>
      </w:r>
    </w:p>
    <w:p w14:paraId="222ADE3C" w14:textId="77777777" w:rsidR="00562491" w:rsidRPr="00D91B35" w:rsidRDefault="00562491" w:rsidP="008131C2">
      <w:pPr>
        <w:jc w:val="both"/>
        <w:rPr>
          <w:rFonts w:ascii="Times New Roman" w:eastAsia="Times New Roman" w:hAnsi="Times New Roman" w:cs="Times New Roman"/>
          <w:bCs/>
          <w:noProof/>
          <w:color w:val="000000" w:themeColor="text1"/>
          <w:sz w:val="24"/>
        </w:rPr>
      </w:pPr>
    </w:p>
    <w:p w14:paraId="4B19AD0F" w14:textId="07295B3E" w:rsidR="00562491" w:rsidRPr="00D91B35" w:rsidRDefault="008131C2" w:rsidP="008131C2">
      <w:pPr>
        <w:pStyle w:val="Virsraksts1"/>
        <w:tabs>
          <w:tab w:val="left" w:pos="999"/>
        </w:tabs>
        <w:ind w:left="0" w:firstLine="0"/>
        <w:jc w:val="both"/>
        <w:rPr>
          <w:bCs w:val="0"/>
          <w:noProof/>
          <w:color w:val="000000" w:themeColor="text1"/>
          <w:sz w:val="24"/>
        </w:rPr>
      </w:pPr>
      <w:bookmarkStart w:id="44" w:name="_Toc73454060"/>
      <w:r>
        <w:rPr>
          <w:color w:val="000000" w:themeColor="text1"/>
          <w:sz w:val="24"/>
        </w:rPr>
        <w:t>3.2.3. Sirds un asinsvadu slimību risks</w:t>
      </w:r>
      <w:bookmarkStart w:id="45" w:name="_bookmark22"/>
      <w:bookmarkEnd w:id="45"/>
      <w:bookmarkEnd w:id="44"/>
    </w:p>
    <w:p w14:paraId="0BCFA185" w14:textId="77777777" w:rsidR="00495D79" w:rsidRDefault="00495D79" w:rsidP="008131C2">
      <w:pPr>
        <w:pStyle w:val="Pamatteksts"/>
        <w:spacing w:before="0"/>
        <w:ind w:left="0"/>
        <w:jc w:val="both"/>
        <w:rPr>
          <w:color w:val="000000" w:themeColor="text1"/>
          <w:sz w:val="24"/>
        </w:rPr>
      </w:pPr>
    </w:p>
    <w:p w14:paraId="3310FD3B" w14:textId="678F9EE5" w:rsidR="00562491" w:rsidRPr="00D91B35" w:rsidRDefault="00562491" w:rsidP="008131C2">
      <w:pPr>
        <w:pStyle w:val="Pamatteksts"/>
        <w:spacing w:before="0"/>
        <w:ind w:left="0"/>
        <w:jc w:val="both"/>
        <w:rPr>
          <w:bCs/>
          <w:noProof/>
          <w:color w:val="000000" w:themeColor="text1"/>
          <w:sz w:val="24"/>
        </w:rPr>
      </w:pPr>
      <w:r>
        <w:rPr>
          <w:color w:val="000000" w:themeColor="text1"/>
          <w:sz w:val="24"/>
        </w:rPr>
        <w:t>Hroniska hiperkalcēmija var izraisīt mīksto audu pārkaļķošanos, jo īpaši pie vienlaicīgi augsta fosfora līmeņa, taču cilvēkiem nav konstatēta saistība starp uzņemto kalcija devu un nefrokalcinozi vai asinsvadu audu pārkaļķošanos, izņemot tad, ja ir pavājināta nieru funkcija. Koronāro artēriju pārkaļķošanās ir aprakstīta pacientiem ar nieru mazspēju, kuriem tiek veikta dialīze un ārstēšana ar kalciju saturošām fosfātu saistvielām (Asmus et al., 2005; Block et al., 2005; Goodman et al., 2000; Russo et al., 2007), bet ne veseliem cilvēkiem.</w:t>
      </w:r>
    </w:p>
    <w:p w14:paraId="2DCF7FAD"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0C61CF04" w14:textId="1D048012" w:rsidR="00562491" w:rsidRPr="00D91B35" w:rsidRDefault="00562491" w:rsidP="008131C2">
      <w:pPr>
        <w:pStyle w:val="Pamatteksts"/>
        <w:spacing w:before="0"/>
        <w:ind w:left="0"/>
        <w:jc w:val="both"/>
        <w:rPr>
          <w:bCs/>
          <w:noProof/>
          <w:color w:val="000000" w:themeColor="text1"/>
          <w:sz w:val="24"/>
        </w:rPr>
      </w:pPr>
      <w:r>
        <w:rPr>
          <w:color w:val="000000" w:themeColor="text1"/>
          <w:sz w:val="24"/>
        </w:rPr>
        <w:t>Ir izvirzīta hipotēze, ka pārmērīga kalcija uzņemšana, kas izraisa hronisku hiperkalcēmiju, var palielināt kardiovaskulāro notikumu risku, artērijām pārkaļķojoties. Vairākos prospektīvos kohortu pētījumos ir novērota saistība starp artēriju pārkaļķošanos un paaugstinātu kardiovaskulārās saslimstības un mirstības risku vīriešiem un sievietēm (Jacobs et al., 2010; Levitzky et al., 2008; Wilson et al., 2001; Wong et al., 2009).</w:t>
      </w:r>
    </w:p>
    <w:p w14:paraId="1F4F84A7"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48A0B6FC" w14:textId="77777777" w:rsidR="00562491" w:rsidRPr="00D91B35" w:rsidRDefault="00562491" w:rsidP="008131C2">
      <w:pPr>
        <w:pStyle w:val="Pamatteksts"/>
        <w:spacing w:before="0"/>
        <w:ind w:left="0"/>
        <w:jc w:val="both"/>
        <w:rPr>
          <w:bCs/>
          <w:noProof/>
          <w:color w:val="000000" w:themeColor="text1"/>
          <w:sz w:val="24"/>
        </w:rPr>
      </w:pPr>
      <w:r>
        <w:rPr>
          <w:color w:val="000000" w:themeColor="text1"/>
          <w:sz w:val="24"/>
        </w:rPr>
        <w:t>Pētījumu par saistību starp uzņemto kalcija daudzumu un asinsvadu pārkaļķošanos veseliem cilvēkiem nav daudz, un neviens no tiem nav bijis īpaši projektēts šim nolūkam.</w:t>
      </w:r>
    </w:p>
    <w:p w14:paraId="5898C3DA"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779E6805" w14:textId="1615E38B" w:rsidR="00562491" w:rsidRPr="00D91B35" w:rsidRDefault="00562491" w:rsidP="008131C2">
      <w:pPr>
        <w:pStyle w:val="Pamatteksts"/>
        <w:spacing w:before="0"/>
        <w:ind w:left="0"/>
        <w:jc w:val="both"/>
        <w:rPr>
          <w:bCs/>
          <w:noProof/>
          <w:color w:val="000000" w:themeColor="text1"/>
          <w:sz w:val="24"/>
        </w:rPr>
      </w:pPr>
      <w:r>
        <w:rPr>
          <w:color w:val="000000" w:themeColor="text1"/>
          <w:sz w:val="24"/>
        </w:rPr>
        <w:t>Divu gadu ilgā RKP ar 163 veseliem vīriešiem (vecums 57±10 gadi) datortomogrāfijā (</w:t>
      </w:r>
      <w:r>
        <w:rPr>
          <w:i/>
          <w:iCs/>
          <w:color w:val="000000" w:themeColor="text1"/>
          <w:sz w:val="24"/>
        </w:rPr>
        <w:t>CT</w:t>
      </w:r>
      <w:r>
        <w:rPr>
          <w:color w:val="000000" w:themeColor="text1"/>
          <w:sz w:val="24"/>
        </w:rPr>
        <w:t>) nenovēroja atšķirību koronāro artēriju vai vēdera aortas pārkaļķojuma ziņā starp kalcija uztura bagātinātāju saņēmējiem (1200 mg dienā) un placebo saņēmējiem (Van Pelt et al., 2009). Nav ziņotājs par kalciju devām, kuras viņi uzņēma ar uzturu.</w:t>
      </w:r>
    </w:p>
    <w:p w14:paraId="13098241"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6ED6A398" w14:textId="1ECF1F31" w:rsidR="00562491" w:rsidRPr="00D91B35" w:rsidRDefault="00562491" w:rsidP="008131C2">
      <w:pPr>
        <w:pStyle w:val="Pamatteksts"/>
        <w:spacing w:before="0"/>
        <w:ind w:left="0"/>
        <w:jc w:val="both"/>
        <w:rPr>
          <w:bCs/>
          <w:noProof/>
          <w:color w:val="000000" w:themeColor="text1"/>
          <w:sz w:val="24"/>
        </w:rPr>
      </w:pPr>
      <w:r>
        <w:rPr>
          <w:color w:val="000000" w:themeColor="text1"/>
          <w:sz w:val="24"/>
        </w:rPr>
        <w:t xml:space="preserve">Turpretim, retrospektīvi analizējot divu gadu ilgu līdzīga lieluma RKP, kurā 167 vīriešiem, kas vecāki par 50 gadiem, pētīja bagātināta piena veidā uzņemta papildu kalcija (1000 mg dienā) un D3 vitamīna (20 µg dienā) ietekmi uz kaulu masu (Daly et al., 2006), </w:t>
      </w:r>
    </w:p>
    <w:p w14:paraId="5E588004" w14:textId="77777777" w:rsidR="00562491" w:rsidRPr="00D91B35" w:rsidRDefault="00562491" w:rsidP="008131C2">
      <w:pPr>
        <w:jc w:val="both"/>
        <w:rPr>
          <w:rFonts w:ascii="Times New Roman" w:eastAsia="Times New Roman" w:hAnsi="Times New Roman" w:cs="Times New Roman"/>
          <w:bCs/>
          <w:noProof/>
          <w:color w:val="000000" w:themeColor="text1"/>
          <w:sz w:val="24"/>
          <w:szCs w:val="15"/>
        </w:rPr>
      </w:pPr>
    </w:p>
    <w:p w14:paraId="0433F685" w14:textId="5B7E12C5" w:rsidR="00562491" w:rsidRPr="00D91B35" w:rsidRDefault="00562491" w:rsidP="008131C2">
      <w:pPr>
        <w:pStyle w:val="Pamatteksts"/>
        <w:spacing w:before="0"/>
        <w:ind w:left="0"/>
        <w:jc w:val="both"/>
        <w:rPr>
          <w:bCs/>
          <w:noProof/>
          <w:color w:val="000000" w:themeColor="text1"/>
          <w:sz w:val="24"/>
        </w:rPr>
      </w:pPr>
      <w:r>
        <w:rPr>
          <w:color w:val="000000" w:themeColor="text1"/>
          <w:sz w:val="24"/>
        </w:rPr>
        <w:t>novēroja, ka vīriešiem ar datortomogrāfiijā noteiktu vēdera aortas pārkaļķošanos bāzlīnijā, kuri saņēma bagātinātu pienu, aortas pārkaļķošanās progresēja ievērojami straujāk nekā kontrolgrupās (Daly et al., 2006). Ar uzturu uzņemtā kalcija vidējā deva bija aptuveni 900 mg dienā, un 25(OH)D līmenis serumā bija 75 nmol/l.</w:t>
      </w:r>
    </w:p>
    <w:p w14:paraId="5884F05B"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7F05BB0E" w14:textId="30F86FBB" w:rsidR="00562491" w:rsidRPr="00D91B35" w:rsidRDefault="00562491" w:rsidP="008131C2">
      <w:pPr>
        <w:pStyle w:val="Pamatteksts"/>
        <w:spacing w:before="0"/>
        <w:ind w:left="0"/>
        <w:jc w:val="both"/>
        <w:rPr>
          <w:bCs/>
          <w:noProof/>
          <w:color w:val="000000" w:themeColor="text1"/>
          <w:sz w:val="24"/>
        </w:rPr>
      </w:pPr>
      <w:r>
        <w:rPr>
          <w:color w:val="000000" w:themeColor="text1"/>
          <w:sz w:val="24"/>
        </w:rPr>
        <w:t>Koronāro artēriju pārkaļķošanās epidemioloģiskajā pētījumā, ko veica laikā no 1991. līdz 2008. gadam (Bhakta et al., 2009), 1376 nejaušas izlases kārtībā atlasītiem asimptomātiskiem visu vecumu pieaugušajiem veica atkārtotas elektronstaru datortomogrāfijas pārbaudes koronāro artēriju pārkaļķošanās (</w:t>
      </w:r>
      <w:r>
        <w:rPr>
          <w:i/>
          <w:iCs/>
          <w:color w:val="000000" w:themeColor="text1"/>
          <w:sz w:val="24"/>
        </w:rPr>
        <w:t>CAC</w:t>
      </w:r>
      <w:r>
        <w:rPr>
          <w:color w:val="000000" w:themeColor="text1"/>
          <w:sz w:val="24"/>
        </w:rPr>
        <w:t>) vai aortas vārstuļu pārkaļķošanās (</w:t>
      </w:r>
      <w:r>
        <w:rPr>
          <w:i/>
          <w:iCs/>
          <w:color w:val="000000" w:themeColor="text1"/>
          <w:sz w:val="24"/>
        </w:rPr>
        <w:t>AVC</w:t>
      </w:r>
      <w:r>
        <w:rPr>
          <w:color w:val="000000" w:themeColor="text1"/>
          <w:sz w:val="24"/>
        </w:rPr>
        <w:t xml:space="preserve">) noteikšanai. Retrospektīvu analīzi veica par apakšgrupu ar 257 dalībniekiem (144 sievietes) virs 60 gadiem ar </w:t>
      </w:r>
      <w:r>
        <w:rPr>
          <w:i/>
          <w:iCs/>
          <w:color w:val="000000" w:themeColor="text1"/>
          <w:sz w:val="24"/>
        </w:rPr>
        <w:t>CAC</w:t>
      </w:r>
      <w:r>
        <w:rPr>
          <w:color w:val="000000" w:themeColor="text1"/>
          <w:sz w:val="24"/>
        </w:rPr>
        <w:t xml:space="preserve"> vai </w:t>
      </w:r>
      <w:r>
        <w:rPr>
          <w:i/>
          <w:iCs/>
          <w:color w:val="000000" w:themeColor="text1"/>
          <w:sz w:val="24"/>
        </w:rPr>
        <w:t>AVC</w:t>
      </w:r>
      <w:r>
        <w:rPr>
          <w:color w:val="000000" w:themeColor="text1"/>
          <w:sz w:val="24"/>
        </w:rPr>
        <w:t xml:space="preserve"> bāzlīnijā un vismaz vienā apsekojuma mērījumā. Neviens no vīriešiem un tikai 25 no 144 sievietēm ziņoja par to, ka lietoti kalcija uztura bagātinātāji (500–2000 mg dienā). </w:t>
      </w:r>
      <w:r>
        <w:rPr>
          <w:i/>
          <w:iCs/>
          <w:color w:val="000000" w:themeColor="text1"/>
          <w:sz w:val="24"/>
        </w:rPr>
        <w:t>CAC</w:t>
      </w:r>
      <w:r>
        <w:rPr>
          <w:color w:val="000000" w:themeColor="text1"/>
          <w:sz w:val="24"/>
        </w:rPr>
        <w:t xml:space="preserve"> un </w:t>
      </w:r>
      <w:r>
        <w:rPr>
          <w:i/>
          <w:iCs/>
          <w:color w:val="000000" w:themeColor="text1"/>
          <w:sz w:val="24"/>
        </w:rPr>
        <w:t>AVC</w:t>
      </w:r>
      <w:r>
        <w:rPr>
          <w:color w:val="000000" w:themeColor="text1"/>
          <w:sz w:val="24"/>
        </w:rPr>
        <w:t xml:space="preserve"> bāzlīnijas rādītājos vai to progresēšanas tempos laika gaitā (vidējais apsekošanas laiks 3,7±0,9 gadi) nebija būtisku atšķirību starp sievietēm, kuras lietoja kalcija uztura bagātinātājus, un tām, kuras tos nelietoja. Ekspertu grupa atzīmē, ka šajā pētījumā varēja nebūt pietiekamu resursu ar </w:t>
      </w:r>
      <w:r>
        <w:rPr>
          <w:i/>
          <w:iCs/>
          <w:color w:val="000000" w:themeColor="text1"/>
          <w:sz w:val="24"/>
        </w:rPr>
        <w:t>CAC</w:t>
      </w:r>
      <w:r>
        <w:rPr>
          <w:color w:val="000000" w:themeColor="text1"/>
          <w:sz w:val="24"/>
        </w:rPr>
        <w:t xml:space="preserve"> saistīto iznākumu noteikšanai.</w:t>
      </w:r>
    </w:p>
    <w:p w14:paraId="19E60CC9"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298548DF" w14:textId="77777777" w:rsidR="00562491" w:rsidRPr="00D91B35" w:rsidRDefault="00562491" w:rsidP="008131C2">
      <w:pPr>
        <w:pStyle w:val="Pamatteksts"/>
        <w:spacing w:before="0"/>
        <w:ind w:left="0"/>
        <w:jc w:val="both"/>
        <w:rPr>
          <w:bCs/>
          <w:noProof/>
          <w:color w:val="000000" w:themeColor="text1"/>
          <w:sz w:val="24"/>
        </w:rPr>
      </w:pPr>
      <w:r>
        <w:rPr>
          <w:color w:val="000000" w:themeColor="text1"/>
          <w:sz w:val="24"/>
        </w:rPr>
        <w:t xml:space="preserve">Ekspertu grupa atzīmē, ka dati, kas pieejami par saistību starp uzņemto kalcija devu un </w:t>
      </w:r>
      <w:r>
        <w:rPr>
          <w:color w:val="000000" w:themeColor="text1"/>
          <w:sz w:val="24"/>
        </w:rPr>
        <w:lastRenderedPageBreak/>
        <w:t>asinsvadu pārkaļķošanās risku cilvēkiem, ir pretrunīgi.</w:t>
      </w:r>
    </w:p>
    <w:p w14:paraId="79496248"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0F4C6B1B" w14:textId="28CD30C9" w:rsidR="00562491" w:rsidRPr="00D91B35" w:rsidRDefault="00562491" w:rsidP="008131C2">
      <w:pPr>
        <w:pStyle w:val="Pamatteksts"/>
        <w:spacing w:before="0"/>
        <w:ind w:left="0"/>
        <w:jc w:val="both"/>
        <w:rPr>
          <w:bCs/>
          <w:noProof/>
          <w:color w:val="000000" w:themeColor="text1"/>
          <w:sz w:val="24"/>
        </w:rPr>
      </w:pPr>
      <w:r>
        <w:rPr>
          <w:color w:val="000000" w:themeColor="text1"/>
          <w:sz w:val="24"/>
        </w:rPr>
        <w:t>Vairākos lielos prospektīvos kohortu pētījumos ir atklāta pozitīva saistība starp kalcija koncentrāciju serumā un paaugstinātu miokarda infarkta, insulta vai nāves risku pieaugušo iedzīvotāju populācijā un pacientiem ar koronāro artēriju slimību (Foley et al., 2008; Grandi et al., 2012; Jorde et al., 1999; Lind et al., 1997). Tomēr šie pētījumi neļauj secināt par saistību starp kalcija devām uzturā un sirds un asinsvadu slimību (SAS) risku, jo nav ziņots par uzņemtajām kalcija devām.</w:t>
      </w:r>
    </w:p>
    <w:p w14:paraId="01B5A389"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31574380" w14:textId="51745569" w:rsidR="00562491" w:rsidRPr="00D91B35" w:rsidRDefault="00562491" w:rsidP="008131C2">
      <w:pPr>
        <w:pStyle w:val="Pamatteksts"/>
        <w:spacing w:before="0"/>
        <w:ind w:left="0"/>
        <w:jc w:val="both"/>
        <w:rPr>
          <w:bCs/>
          <w:noProof/>
          <w:color w:val="000000" w:themeColor="text1"/>
          <w:sz w:val="24"/>
        </w:rPr>
      </w:pPr>
      <w:r>
        <w:rPr>
          <w:color w:val="000000" w:themeColor="text1"/>
          <w:sz w:val="24"/>
        </w:rPr>
        <w:t xml:space="preserve">Sistemātiskā pārskatā (Chung et al., 2009), kurā pētīja saistību starp kalcija devām (pārtikā un uztura bagātinātājos) un saslimstību ar kardiovaskulārajām (KV) slimībām (t. i., kopējo, letālo un neletālo KV notikumu skaitu; miokarda infarktu un insultu kopējo, letālo un neletālo gadījumu skaitu), identificēja desmit longitudinālus kohortu pētījumus (Al-Delaimy et al., 2003; Ascherio et al., 1998; Bostick et al., 1999; Iso et al., 1999; Larsson et al., 2008; Marniemi et al., 2005; Umesawa et al., 2006; 2008; Van der Vijver et al., 1992; Weng et al., 2008), vienu ieligzdotu gadījumu kontroles pētījumu (Ross et al., 1997) un neidentificēja nevienu RKP, kurā šāda saistība būtu izvērtēta. Izņemot divus pētījumus, kuros izlases lielums bija 755 (Marniemi et al., 2005) un 1340 (Van der Vijver et al., 1992), kohortās bija vairāk nekā 17 700 personas un līdz aptuveni 44 000 personām. Kalcija devas bāzlīnijā ar </w:t>
      </w:r>
      <w:r>
        <w:rPr>
          <w:i/>
          <w:iCs/>
          <w:color w:val="000000" w:themeColor="text1"/>
          <w:sz w:val="24"/>
        </w:rPr>
        <w:t>FFQ</w:t>
      </w:r>
      <w:r>
        <w:rPr>
          <w:color w:val="000000" w:themeColor="text1"/>
          <w:sz w:val="24"/>
        </w:rPr>
        <w:t xml:space="preserve"> palīdzību novērtēja visos pētījumos, un tās analizēja kā kardiovaskulāro iznākumu prediktorus ilgtermiņā. Uzņemtā kalcija deva izpētītajās populācijās dažādos pētījumos bija ļoti atšķirīga. Japānas sadarbības kohortas (</w:t>
      </w:r>
      <w:r>
        <w:rPr>
          <w:i/>
          <w:iCs/>
          <w:color w:val="000000" w:themeColor="text1"/>
          <w:sz w:val="24"/>
        </w:rPr>
        <w:t>JACC</w:t>
      </w:r>
      <w:r>
        <w:rPr>
          <w:color w:val="000000" w:themeColor="text1"/>
          <w:sz w:val="24"/>
        </w:rPr>
        <w:t>) pētījumā (Umesawa et al., 2006) vidējās devas zemākajās un augstākajās kvintilēs bija robežās no aptuveni 250 un 667 mg dienā līdz 876 un 1916 mg dienā Somijas vīriešu kohortā (Larsson et al., 2008). Pētījumos par Āzijas populācijām ziņoja par kopumā zemām kalcija devām (Umesawa et al., 2006; 2008; Weng et al., 2008). Divos pētījumos KV nāves gadījumus pētīja atsevišķi vīriešiem un sievietēm, apsekošanas periodiem ilgstot 9 un 28 gadus (Umesawa et al., 2006; Van der Vijver et al., 1992); trijos pētījumos vērtēja kardiālos notikumus (neizdalot notikumus ar letālu iznākumu un neletālu iznākumu) vai nu abiem dzimumiem kopā, vai vīriešiem, apsekošanas periodiem ilgstot 10–13 gadus (Al-Delaimy et al., 2003; Marniemi et al., 2005; Umesawa et al., 2008); sirds nāvi analizēja četros pētījumos – atsevišķi vīriešiem un sievietēm, apsekošanas periodiem ilgstot 8, 9, 12 vai 28 gadus (Al-Delaimy et al., 2003; Bostick et al., 1999; Umesawa et al., 2008, Van der Vijver et al., 1992), un neletālus kardiālus notikumus – vienā pētījumā vīriešiem, apsekošanas periodam ilgstot 12 gadus (Al-Delaimy et al., 2003); sešos pētījumos vērtēja insulta kopējo sastopamību vīriešiem, sievietēm vai abiem dzimumiem kopā, apsekošanas periodiem ilgstot 8–14 gadus (Ascherio et al., 1998; Iso et al., 1999; Larsson et al., 2008; Marniemi et al., 2005; Umesawa et al., 2008; Weng et al., 2008), un divi pētījumi bija veltīti letāliem insulta gadījumiem atsevišķi starp vīriešiem un sievietēm, apsekošanas periodiem ilgstot 10 un 13 gadus (Ross et al., 1997; Umesawa et al., 2006). Vienā pētījumā (Aiovas sieviešu veselības pētījums, Bostick et al., 1999) konstatēja nozīmīgu saistību starp uzņemto kalcija devu &lt; 696 mg dienā un lielāku išēmiskās sirds slimības izraisītas nāves risku, salīdzinot ar gadījumiem, kad uzņemtā kalcija deva pārsniedza 1425 mg dienā baltādainām sievietēm vecumā no 55 līdz 69 gadiem. Japānas (Umesawa et al., 2008) un Taivānas (Weng et al., 2008) pētījumā par vīriešiem un sievietēm (attiecīgi 40–79 gadi un ≥ 40 gadi) konstatēja pakāpenisku insulta riska samazināšanos</w:t>
      </w:r>
      <w:r w:rsidR="00495D79">
        <w:rPr>
          <w:color w:val="000000" w:themeColor="text1"/>
          <w:sz w:val="24"/>
        </w:rPr>
        <w:t xml:space="preserve"> </w:t>
      </w:r>
      <w:r>
        <w:rPr>
          <w:color w:val="000000" w:themeColor="text1"/>
          <w:sz w:val="24"/>
        </w:rPr>
        <w:t xml:space="preserve">personām kalcija devas augstākajās kvintilēs populācijās, kurās kalcija devas ir relatīvi zemas, turpretim vienā pētījumā ar sievietēm (32–57 gadi) dalībniecēm, kuras uzņēma &lt; 500 mg kalcija dienā, konstatēja ievērojami lielāku insulta risku nekā sievietēm divās nākamajās augstākajās kvintilēs (Iso et al., 1999). Nav ziņots par cita veida saistību starp kalcija devu (ko uzņēma ar pārtiku vai uztura bagātinātājiem) un SAS risku (attiecībā uz jebkuru iznākumu </w:t>
      </w:r>
      <w:r>
        <w:rPr>
          <w:color w:val="000000" w:themeColor="text1"/>
          <w:sz w:val="24"/>
        </w:rPr>
        <w:lastRenderedPageBreak/>
        <w:t>vīriešiem, sievietēm vai abiem dzimumiem kopā).</w:t>
      </w:r>
    </w:p>
    <w:p w14:paraId="7BC54257"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598EF053" w14:textId="77777777" w:rsidR="00562491" w:rsidRPr="00D91B35" w:rsidRDefault="00562491" w:rsidP="008131C2">
      <w:pPr>
        <w:pStyle w:val="Pamatteksts"/>
        <w:spacing w:before="0"/>
        <w:ind w:left="0"/>
        <w:jc w:val="both"/>
        <w:rPr>
          <w:bCs/>
          <w:noProof/>
          <w:color w:val="000000" w:themeColor="text1"/>
          <w:sz w:val="24"/>
        </w:rPr>
      </w:pPr>
      <w:r>
        <w:rPr>
          <w:color w:val="000000" w:themeColor="text1"/>
          <w:sz w:val="24"/>
        </w:rPr>
        <w:t>Ir publicēti vēl trīs prospektīvi kohortu pētījumi par saistību starp uzņemto kalcija daudzumu un SAS risku.</w:t>
      </w:r>
    </w:p>
    <w:p w14:paraId="5BA68F92"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3D53FBD1" w14:textId="348B9FD0" w:rsidR="00562491" w:rsidRPr="00D91B35" w:rsidRDefault="00562491" w:rsidP="008131C2">
      <w:pPr>
        <w:pStyle w:val="Pamatteksts"/>
        <w:spacing w:before="0"/>
        <w:ind w:left="0"/>
        <w:jc w:val="both"/>
        <w:rPr>
          <w:bCs/>
          <w:noProof/>
          <w:color w:val="000000" w:themeColor="text1"/>
          <w:sz w:val="24"/>
        </w:rPr>
      </w:pPr>
      <w:r>
        <w:rPr>
          <w:color w:val="000000" w:themeColor="text1"/>
          <w:sz w:val="24"/>
        </w:rPr>
        <w:t>Kuopio osteoporozes riska faktoru un profilakses pētījumā (Pentti et al., 2009) septiņus gadus apsekoja 10 555 sievietes vecumā no 52 līdz 62 gadiem, kurām 1994. gadā koronārās sirds slimības (KSS) nebija. Informāciju par notikumiem, kas saistīti ar veselību, un kalcija uztura bagātinātāju lietošanu ieguva bāzlīnijā, veicot anketēšanu, savukārt ar uzturu uzņemto kalcija daudzumu aprēķināja, ņemot vērā šķidro piena produktu un siera lietošanu. Ar uzturu uzņemtās kalcija devas 2723 (25,8 %) kalcija vai kalcija un D vitamīna bagātinātāju lietotāju un 7832 nelietotāju vidū saskaņā ar 1994. gada aptauju bija attiecīgi 773±351 mg dienā un 818±404 mg dienā. Veicot pilnās kohortas koriģēto analīzi, ņemot vērā vecumu, KSS riska koeficients (RK) kalcija uztura bagātinātāju lietotājiem salīdzinājumā ar nelietotājiem bija 1,14 (95 % TI 0,94–1,39). KSS daudzfaktoru koriģētais RK uztura bagātinātāju lietotājiem salīdzinājumā ar to nelietotājiem bija</w:t>
      </w:r>
      <w:r w:rsidR="00495D79">
        <w:rPr>
          <w:color w:val="000000" w:themeColor="text1"/>
          <w:sz w:val="24"/>
        </w:rPr>
        <w:t xml:space="preserve"> </w:t>
      </w:r>
      <w:r>
        <w:rPr>
          <w:color w:val="000000" w:themeColor="text1"/>
          <w:sz w:val="24"/>
        </w:rPr>
        <w:t>1,24 (95 % TI 1,02–1,52) izlasei kopā un 1,26 (95 % TI 1,01–1,57) sievietēm pēcmenopauzes vecumā. Ekspertu grupa atzīmē, ka nav ziņots par kalcija devām, ko uzņēma uztura bagātinātāju veidā.</w:t>
      </w:r>
    </w:p>
    <w:p w14:paraId="59F047F5"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72056355" w14:textId="27BD7053" w:rsidR="00562491" w:rsidRPr="00D91B35" w:rsidRDefault="00562491" w:rsidP="008131C2">
      <w:pPr>
        <w:pStyle w:val="Pamatteksts"/>
        <w:spacing w:before="0"/>
        <w:ind w:left="0"/>
        <w:jc w:val="both"/>
        <w:rPr>
          <w:bCs/>
          <w:noProof/>
          <w:color w:val="000000" w:themeColor="text1"/>
          <w:sz w:val="24"/>
        </w:rPr>
      </w:pPr>
      <w:r>
        <w:rPr>
          <w:color w:val="000000" w:themeColor="text1"/>
          <w:sz w:val="24"/>
        </w:rPr>
        <w:t>Eiropas prospektīvajā pētījumā par vēzi un uzturu (</w:t>
      </w:r>
      <w:r>
        <w:rPr>
          <w:i/>
          <w:iCs/>
          <w:color w:val="000000" w:themeColor="text1"/>
          <w:sz w:val="24"/>
        </w:rPr>
        <w:t>EPIC</w:t>
      </w:r>
      <w:r>
        <w:rPr>
          <w:color w:val="000000" w:themeColor="text1"/>
          <w:sz w:val="24"/>
        </w:rPr>
        <w:t xml:space="preserve">) (Li et al., 2012) aptuveni 11 gadus apsekoja 23 980 dalībniekus vecumā no 35 līdz 64 gadiem, kuriem anamnēzē nebija nozīmīgu KV notikumu. Ar uztura uzņemto kalciju bāzlīnijā novērtēja ar </w:t>
      </w:r>
      <w:r>
        <w:rPr>
          <w:i/>
          <w:iCs/>
          <w:color w:val="000000" w:themeColor="text1"/>
          <w:sz w:val="24"/>
        </w:rPr>
        <w:t>FFQ</w:t>
      </w:r>
      <w:r>
        <w:rPr>
          <w:color w:val="000000" w:themeColor="text1"/>
          <w:sz w:val="24"/>
        </w:rPr>
        <w:t xml:space="preserve"> palīdzību, savukārt uztura bagātinātāju (ieskaitot kalcija) lietošanu pārbaudīja ar aptaujas anketām bāzlīnijā un regulāri – apsekošanas laikā. Rādītāji iznākuma noteikšanai bija miokarda infarkta biežums, insulta biežums un mirstība no SAS. Apsekošanas laikā kopumā dokumentēja 354 miokarda infarkta gadījumus, 260 insulta gadījumus un 267 KV stāvokļu izraisītus nāves gadījumus. No 3 līdz 4 % liels dalībnieku skaits ziņoja par kalcija uztura bagātinātāju lietošanu (atsevišķi vai kopā ar citiem vitamīniem un minerālvielām), tomēr par kalcija uztura bagātinātāju devām nav ziņots. Vidējais ar uzturu uzņemtais kalcija daudzums bāzlīnijā bija 766 mg dienā tiem, kuri uztura bagātinātājus nelietoja, un aptuveni 820 mg dienā uztura bagātinātāju lietotājiem. Pēc korekcijas, kurā ņēma vērā potenciālos jaucējfaktorus, nevienā no lineārā trenda testiem netika gūts statistiski nozīmīgs rezultāts. Statistiski nozīmīgu apgrieztu sakarību konstatēja tikai starp kopējo kalcija daudzumu, ko uzņēma ar uzturu, un miokarda infarkta risku trešajai (820 mg dienā) kvartilei salīdzinājumā ar viszemāko (513 mg dienā) kvartili (RK 0,69; 95 % TI 0,50–0,94) abiem dzimumiem kopā. Sakarība bija arī nozīmīga attiecībā uz sievietēm (RK 0,43; 95 % TI 0,22–0,82), bet ne vīriešiem. Kalcija uztura bagātinātāju lietotājiem bija statistiski nozīmīgi paaugstināts miokarda infarkta risks salīdzinājumā ar tiem, kuri nelietoja nekādus uztura bagātinātājus (RK 1,86; 95 % TI 1,17–2,96). Šī sakarība bija izteiktāka tiem, kuri lietoja tikai kalcija uztura bagātinātājus (RK 2,39; 95 % TI 1,12–5,12), un bija saistīta ar pēdējo uztura bagātinātāja lietošanas reizi, bet ne ar kalcija uztura bagātinātāja kumulatīvo daudzumu. Nozīmīgu saistību starp kalcija uztura bagātinātāju lietošanu un insulta vai kopējās SAS izraisītās mirstības risku nekonstatēja.</w:t>
      </w:r>
    </w:p>
    <w:p w14:paraId="53C0B235"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22817EB0" w14:textId="5BD2DC12" w:rsidR="00562491" w:rsidRPr="00D91B35" w:rsidRDefault="00562491" w:rsidP="008131C2">
      <w:pPr>
        <w:pStyle w:val="Pamatteksts"/>
        <w:spacing w:before="0"/>
        <w:ind w:left="0"/>
        <w:jc w:val="both"/>
        <w:rPr>
          <w:bCs/>
          <w:noProof/>
          <w:color w:val="000000" w:themeColor="text1"/>
          <w:sz w:val="24"/>
        </w:rPr>
      </w:pPr>
      <w:r>
        <w:rPr>
          <w:color w:val="000000" w:themeColor="text1"/>
          <w:sz w:val="24"/>
        </w:rPr>
        <w:t xml:space="preserve">Aiovas sieviešu veselības pētījuma publikācija (Bostick et al., 1999), kuru laida klajā vēlāk (Mursu et al., 2011), bija veltīta 19 gadu ilgam apsekojumam, kurā piedalījās 38 772 sievietes vecumā no 55 līdz 69 gadiem. Uztura novērtēšanu 1984. un 2004. gadā veica ar </w:t>
      </w:r>
      <w:r>
        <w:rPr>
          <w:i/>
          <w:iCs/>
          <w:color w:val="000000" w:themeColor="text1"/>
          <w:sz w:val="24"/>
        </w:rPr>
        <w:t>FFQ</w:t>
      </w:r>
      <w:r>
        <w:rPr>
          <w:color w:val="000000" w:themeColor="text1"/>
          <w:sz w:val="24"/>
        </w:rPr>
        <w:t xml:space="preserve"> palīdzību, un ar uztura bagātinātājiem uzņemto kalciju novērtēja īpašā anketā 1986., 1987., 1989., 1992., 1997. un 2004. gadā. Pēc korekcijas, kurā ņēma vērā jaucējfaktorus, kalciju saturošo uztura bagātinātāju lietošana izrādījās saistīta ar ievērojami zemāku kopējo mirstību (RK 0,91; 95 % TI 0,88–0,94) un sirds un asinsvadu stāvokļu izraisīto mirstību (RK 0,87; </w:t>
      </w:r>
      <w:r>
        <w:rPr>
          <w:color w:val="000000" w:themeColor="text1"/>
          <w:sz w:val="24"/>
        </w:rPr>
        <w:lastRenderedPageBreak/>
        <w:t>95 % TI 0,82–0,92). Apgrieztā sakarība starp kalcija uztura bagātinātāju lietošanu un kopējo mirstību nebija nozīmīga pie visaugstākajām kalcija uztura bagātinātāja devām (&gt; 1300 mg kalcija dienā). Ekspertu grupa atzīmē, ka šajā apsekojuma analīzē nav ziņots par kalcija daudzumu, ko uzņēma ar uzturu (un līdz ar to arī par kopējo kalcija devu).</w:t>
      </w:r>
    </w:p>
    <w:p w14:paraId="790926B8" w14:textId="77777777" w:rsidR="00562491" w:rsidRPr="00D91B35" w:rsidRDefault="00562491" w:rsidP="008131C2">
      <w:pPr>
        <w:jc w:val="both"/>
        <w:rPr>
          <w:rFonts w:ascii="Times New Roman" w:eastAsia="Times New Roman" w:hAnsi="Times New Roman" w:cs="Times New Roman"/>
          <w:bCs/>
          <w:noProof/>
          <w:color w:val="000000" w:themeColor="text1"/>
          <w:sz w:val="24"/>
          <w:szCs w:val="15"/>
        </w:rPr>
      </w:pPr>
    </w:p>
    <w:p w14:paraId="6F1F5F05" w14:textId="77777777" w:rsidR="00562491" w:rsidRPr="00D91B35" w:rsidRDefault="00562491" w:rsidP="008131C2">
      <w:pPr>
        <w:pStyle w:val="Pamatteksts"/>
        <w:spacing w:before="0"/>
        <w:ind w:left="0"/>
        <w:jc w:val="both"/>
        <w:rPr>
          <w:bCs/>
          <w:noProof/>
          <w:color w:val="000000" w:themeColor="text1"/>
          <w:sz w:val="24"/>
        </w:rPr>
      </w:pPr>
      <w:r>
        <w:rPr>
          <w:color w:val="000000" w:themeColor="text1"/>
          <w:sz w:val="24"/>
        </w:rPr>
        <w:t>Ekspertu grupa atzīmē, ka daudzos lielos prospektīvos kohortu pētījumos kopumā nav novērota saistība starp kalcija devām līdz aptuveni 2000 mg dienā, kas uzņemtas ar pārtiku un uztura bagātinātājiem, un paaugstinātu KV notikumu risku.</w:t>
      </w:r>
    </w:p>
    <w:p w14:paraId="218D3E86"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42A47053" w14:textId="77777777" w:rsidR="00562491" w:rsidRPr="00D91B35" w:rsidRDefault="00562491" w:rsidP="008131C2">
      <w:pPr>
        <w:pStyle w:val="Pamatteksts"/>
        <w:spacing w:before="0"/>
        <w:ind w:left="0"/>
        <w:jc w:val="both"/>
        <w:rPr>
          <w:bCs/>
          <w:noProof/>
          <w:color w:val="000000" w:themeColor="text1"/>
          <w:sz w:val="24"/>
        </w:rPr>
      </w:pPr>
      <w:r>
        <w:rPr>
          <w:color w:val="000000" w:themeColor="text1"/>
          <w:sz w:val="24"/>
        </w:rPr>
        <w:t>Tādi RKP, kuru dizains būtu īpaši paredzēts kalcija uztura bagātinātāju ietekmes pētīšanai uz SAS risku, nav pieejami.</w:t>
      </w:r>
    </w:p>
    <w:p w14:paraId="3975EB3B"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7BCE106B" w14:textId="79CB2686" w:rsidR="00562491" w:rsidRPr="00D91B35" w:rsidRDefault="00562491" w:rsidP="008131C2">
      <w:pPr>
        <w:pStyle w:val="Pamatteksts"/>
        <w:spacing w:before="0"/>
        <w:ind w:left="0"/>
        <w:jc w:val="both"/>
        <w:rPr>
          <w:bCs/>
          <w:noProof/>
          <w:color w:val="000000" w:themeColor="text1"/>
          <w:sz w:val="24"/>
        </w:rPr>
      </w:pPr>
      <w:r>
        <w:rPr>
          <w:color w:val="000000" w:themeColor="text1"/>
          <w:sz w:val="24"/>
        </w:rPr>
        <w:t>Sistemātiskā pārskatā un metaanalīzē (Wang et al., 2010) ir identificēti četri RKP, kuros ziņots par KV notikumiem, saņemot kalcija uztura bagātinātājus salīdzinājumā ar placebo (Baron et al., 1999; Bolland et al., 2008; Prince et al., 2006; Reid et al., 2008). Beirons [</w:t>
      </w:r>
      <w:r>
        <w:rPr>
          <w:i/>
          <w:iCs/>
          <w:color w:val="000000" w:themeColor="text1"/>
          <w:sz w:val="24"/>
        </w:rPr>
        <w:t>Baron</w:t>
      </w:r>
      <w:r>
        <w:rPr>
          <w:color w:val="000000" w:themeColor="text1"/>
          <w:sz w:val="24"/>
        </w:rPr>
        <w:t xml:space="preserve">] </w:t>
      </w:r>
      <w:r>
        <w:rPr>
          <w:i/>
          <w:iCs/>
          <w:color w:val="000000" w:themeColor="text1"/>
          <w:sz w:val="24"/>
        </w:rPr>
        <w:t>et al.</w:t>
      </w:r>
      <w:r>
        <w:rPr>
          <w:color w:val="000000" w:themeColor="text1"/>
          <w:sz w:val="24"/>
        </w:rPr>
        <w:t xml:space="preserve"> (1999) ziņo par līdzīgām proporcionālām sakarībām starp cilvēkiem, kas hospitalizēti sirds slimības (10 % pret 11 %) vai insulta (2 % pret 3 %) dēļ, to personu vidū, kuras četrus gadus saņēma vai nu 1200 mg kalcija uztura bagātinātāja dienā (n=464), vai placebo (n=466) (pie vidējās kalcija devas uzturā 880 mg dienā). Prinss [</w:t>
      </w:r>
      <w:r>
        <w:rPr>
          <w:i/>
          <w:iCs/>
          <w:color w:val="000000" w:themeColor="text1"/>
          <w:sz w:val="24"/>
        </w:rPr>
        <w:t>Prince</w:t>
      </w:r>
      <w:r>
        <w:rPr>
          <w:color w:val="000000" w:themeColor="text1"/>
          <w:sz w:val="24"/>
        </w:rPr>
        <w:t xml:space="preserve">] </w:t>
      </w:r>
      <w:r>
        <w:rPr>
          <w:i/>
          <w:iCs/>
          <w:color w:val="000000" w:themeColor="text1"/>
          <w:sz w:val="24"/>
        </w:rPr>
        <w:t>et al.</w:t>
      </w:r>
      <w:r>
        <w:rPr>
          <w:color w:val="000000" w:themeColor="text1"/>
          <w:sz w:val="24"/>
        </w:rPr>
        <w:t xml:space="preserve"> (2006) arī konstatēja līdzīgu SAS izplatību starp sievietēm, kuras piecus gadus saņēma vai nu kalcija uztura bagātinātājus (n=730), vai placebo (n=730) (pie vidējās kalcija devas uzturā 915 mg dienā). Kalcija uztura bagātinātāju (1000 mg dienā; n=732) lietošana piecu gadu periodā nepalielināja miokarda infarkta, insulta vai kombinēta SAS galarezultāta (miokarda infarkts, insults, pēkšņa nāve) risku sievietēm pēc menopauzes (vidējā kalcija deva uzturā 860 mg dienā), analīzē iekļaujot nepaziņotus notikumus, kas iegūti no valsts datubāzes (Bolland et al., 2008). Vienā divus gadus ilgā pētījumā ar vīriešiem konstatēja, ka kalcija uztura bagātinātāju grupā (600 mg vai 1200 mg dienā; n=216) bija daudz vairāk pašu ziņotu kombinēto KV notikumu nekā placebo grupā (n=107) (Reid et al., 2008). Ekspertu grupa atzīmē mazo gadījumu skaitu, par kuriem ziņots katrā grupā (trīs gadījumi kalcija uztura bagātinātāju un viens – placebo grupā). Apkopotais relatīvais SAS risks visos pētījumos kopā bija 1,14 (95 % TI 0,92–1,41). Ekspertu grupa uzskata, ka šī metaanalīze neliecina par paaugstinātu KV notikumu risku, ja divus līdz piecus gadus papildus aptuveni 900 mg lielam kalcija daudzumam dienā, kuru uzņem ar uzturu, lieto kalcija uztura bagātinātājus devās no 600 līdz 1200 mg dienā.</w:t>
      </w:r>
    </w:p>
    <w:p w14:paraId="2B58DED8"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7634DD5F" w14:textId="50D3C271" w:rsidR="00562491" w:rsidRPr="00D91B35" w:rsidRDefault="00562491" w:rsidP="008131C2">
      <w:pPr>
        <w:pStyle w:val="Pamatteksts"/>
        <w:spacing w:before="0"/>
        <w:ind w:left="0"/>
        <w:jc w:val="both"/>
        <w:rPr>
          <w:bCs/>
          <w:noProof/>
          <w:color w:val="000000" w:themeColor="text1"/>
          <w:sz w:val="24"/>
        </w:rPr>
      </w:pPr>
      <w:r>
        <w:rPr>
          <w:noProof/>
          <w:color w:val="000000" w:themeColor="text1"/>
          <w:sz w:val="24"/>
        </w:rPr>
        <w:drawing>
          <wp:anchor distT="0" distB="0" distL="114300" distR="114300" simplePos="0" relativeHeight="251660288" behindDoc="1" locked="0" layoutInCell="1" allowOverlap="1" wp14:anchorId="5E802C52" wp14:editId="7938B1D5">
            <wp:simplePos x="0" y="0"/>
            <wp:positionH relativeFrom="page">
              <wp:posOffset>2704465</wp:posOffset>
            </wp:positionH>
            <wp:positionV relativeFrom="paragraph">
              <wp:posOffset>657860</wp:posOffset>
            </wp:positionV>
            <wp:extent cx="155575" cy="17208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5575" cy="1720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themeColor="text1"/>
          <w:sz w:val="24"/>
        </w:rPr>
        <w:drawing>
          <wp:anchor distT="0" distB="0" distL="114300" distR="114300" simplePos="0" relativeHeight="251662336" behindDoc="1" locked="0" layoutInCell="1" allowOverlap="1" wp14:anchorId="7631288B" wp14:editId="0F0B30A4">
            <wp:simplePos x="0" y="0"/>
            <wp:positionH relativeFrom="page">
              <wp:posOffset>5951220</wp:posOffset>
            </wp:positionH>
            <wp:positionV relativeFrom="paragraph">
              <wp:posOffset>657860</wp:posOffset>
            </wp:positionV>
            <wp:extent cx="155575" cy="1720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5575" cy="17208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themeColor="text1"/>
          <w:sz w:val="24"/>
        </w:rPr>
        <w:t>Sistemātiskā pārskatā un metaanalīzē (Bolland et al., 2010) aplūkoja 11 dubultmaskētus RKP (Baron et al., 1999; Bolland et al., 2008; Bonithon-Kopp et al., 2000; Bonnick et al., 2007; Dawson-Hughes et al., 1990; Grant et al., 2005; Lappe et al., 2007; Lappe and Heaney, 2008; Prince et al., 2006; Reid et al., 1993, 1995; Reid et al., 2006; Reid et al., 2008; Riggs et al., 1998), kuros bāzlīnijā 40 gadu veci dalībnieki osteoporozes vai kolorektālo adenomu profilaksei vai ārstēšanai saņēma kalcija uztura bagātinātājus 500 mg dienā vairāk nekā vienu gadu. Tos pētījumus, kuros kalciju kopā ar D vitamīnu salīdzināja ar placebo, neņēma vērā. Pētījumos kopumā piedalījās aptuveni 12 000 dalībnieku (6116 no tiem – grupās, kas saņēma kalcija uztura bagātinātājus, un 5805 – grupās, kas saņēma placebo), un interesējošie iznākuma rādītāji bija miokarda infarkts, insults, pēkšņa nāve un nāve no jebkuriem cēloņiem. Par šiem iznākuma rādītājiem ir ziņots tikai četros no Vanga [</w:t>
      </w:r>
      <w:r>
        <w:rPr>
          <w:i/>
          <w:iCs/>
          <w:color w:val="000000" w:themeColor="text1"/>
          <w:sz w:val="24"/>
        </w:rPr>
        <w:t>Wang</w:t>
      </w:r>
      <w:r>
        <w:rPr>
          <w:color w:val="000000" w:themeColor="text1"/>
          <w:sz w:val="24"/>
        </w:rPr>
        <w:t xml:space="preserve">] </w:t>
      </w:r>
      <w:r>
        <w:rPr>
          <w:i/>
          <w:iCs/>
          <w:color w:val="000000" w:themeColor="text1"/>
          <w:sz w:val="24"/>
        </w:rPr>
        <w:t>et.al.</w:t>
      </w:r>
      <w:r>
        <w:rPr>
          <w:color w:val="000000" w:themeColor="text1"/>
          <w:sz w:val="24"/>
        </w:rPr>
        <w:t xml:space="preserve"> (2010) metaanalīzē iekļautajiem pētījumiem. Dalībnieku vecums bāzlīnijā bija no 56 līdz 77 gadiem, un pētījumu ilgums bija no diviem līdz pieciem gadiem. Kalcija uztura bagātinātāja devas bija robežās no 500 līdz 2000 mg dienā papildus vidējām ar uzturu uzņemtajām kalcija devām 400–1240 mg dienā. Nevienā konkrētajā pētījumā kalcija uztura bagātinātāji nepalielināja kāda iznākuma risku, nedz arī veiktajās metaanalīzēs – kombinēto miokarda infarkta, insulta un pēkšņas </w:t>
      </w:r>
      <w:r>
        <w:rPr>
          <w:color w:val="000000" w:themeColor="text1"/>
          <w:sz w:val="24"/>
        </w:rPr>
        <w:lastRenderedPageBreak/>
        <w:t>nāves risku, nāves risku vai insulta risku. Iekļaušanu grupā, kurā dalībnieki saņēma kalcija uztura bagātinātājus, saistīja ar paaugstinātu miokarda infarkta risku (RR 1,27, 95 % TI 1,01–1,59). Viens pētījums (Grant et al., 2005) aptvēra 66 % no metaanalīzē iekļautajiem dalībniekiem un &gt; 50 % tajā aplūkotajiem KV notikumiem. Pētījuma prasību izpilde pētījuma tablešu lietošanas ziņā bija tikai</w:t>
      </w:r>
      <w:r w:rsidR="00495D79">
        <w:rPr>
          <w:color w:val="000000" w:themeColor="text1"/>
          <w:sz w:val="24"/>
        </w:rPr>
        <w:t xml:space="preserve"> </w:t>
      </w:r>
      <w:r>
        <w:rPr>
          <w:color w:val="000000" w:themeColor="text1"/>
          <w:sz w:val="24"/>
        </w:rPr>
        <w:t>54,5 % (apmēram 45 % kalcija saņēmēju grupās), un nebija zināms dalībnieku klīniskais raksturojums pēc veselības anketām, kuras iesniedza tikai daļa no dalībniekiem un kuras izmantoja dalīšanai pa notikumiem, un tas varētu mazināt starp grupām veikto salīdzinājumu objektivitāti. Ekspertu grupa atzīmē, ka kardiovaskulārie notikumi, tostarp miokarda infarkts, vairākos pētījumos nebija mērķparametri; dalībnieku dalījums pa notikumiem drīzāk balstījās uz pašaptaujas anketām un netika verificēts. Ekspertu grupa arī atzīmē, ka notikumu biežums nebija liels, notikumu skaita atšķirības starp kalcija un placebo grupām bija mazas un vairāku mērķparametru izmantošana, neveicot korekciju pēc nozīmīguma daudzkārtēju pārbaužu veikšanas vajadzībām, palielina iespēju, ka rezultātiem būs gadījuma raksturs. Ekspertu grupa uzskata, ka</w:t>
      </w:r>
    </w:p>
    <w:p w14:paraId="3574F3B3" w14:textId="77777777" w:rsidR="00562491" w:rsidRPr="00D91B35" w:rsidRDefault="00562491" w:rsidP="008131C2">
      <w:pPr>
        <w:jc w:val="both"/>
        <w:rPr>
          <w:rFonts w:ascii="Times New Roman" w:eastAsia="Times New Roman" w:hAnsi="Times New Roman" w:cs="Times New Roman"/>
          <w:bCs/>
          <w:noProof/>
          <w:color w:val="000000" w:themeColor="text1"/>
          <w:sz w:val="24"/>
          <w:szCs w:val="15"/>
        </w:rPr>
      </w:pPr>
    </w:p>
    <w:p w14:paraId="62B5DF42" w14:textId="77777777" w:rsidR="00562491" w:rsidRPr="00D91B35" w:rsidRDefault="00562491" w:rsidP="008131C2">
      <w:pPr>
        <w:pStyle w:val="Pamatteksts"/>
        <w:spacing w:before="0"/>
        <w:ind w:left="0"/>
        <w:jc w:val="both"/>
        <w:rPr>
          <w:bCs/>
          <w:noProof/>
          <w:color w:val="000000" w:themeColor="text1"/>
          <w:sz w:val="24"/>
        </w:rPr>
      </w:pPr>
      <w:r>
        <w:rPr>
          <w:color w:val="000000" w:themeColor="text1"/>
          <w:sz w:val="24"/>
        </w:rPr>
        <w:t>šī metaanalīze neliecina par paaugstinātu KV notikumu (miokarda infarkta vai insulta) risku, divus līdz piecus gadu lietojot kalcija uztura bagātinātājus no 500 līdz 2000 mg lielās diennakts devās papildus ar uzturu uzņemtām kalcija devām 400–1240 mg dienā.</w:t>
      </w:r>
    </w:p>
    <w:p w14:paraId="7642E0E2"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7EBA2C3E" w14:textId="5C793C79" w:rsidR="00562491" w:rsidRPr="00D91B35" w:rsidRDefault="00562491" w:rsidP="008131C2">
      <w:pPr>
        <w:pStyle w:val="Pamatteksts"/>
        <w:spacing w:before="0"/>
        <w:ind w:left="0"/>
        <w:jc w:val="both"/>
        <w:rPr>
          <w:bCs/>
          <w:noProof/>
          <w:color w:val="000000" w:themeColor="text1"/>
          <w:sz w:val="24"/>
        </w:rPr>
      </w:pPr>
      <w:r>
        <w:rPr>
          <w:color w:val="000000" w:themeColor="text1"/>
          <w:sz w:val="24"/>
        </w:rPr>
        <w:t xml:space="preserve">Tie paši autori (Bolland et al., 2011) aktualizēja iepriekš minēto metaanalīzi, iekļaujot tajā datus no divām pētījumu grupām, kurās kalcija un D vitamīna bagātinātājus salīdzināja ar placebo (Grant et al., 2005; Lappe et al., 2007), kā arī datus no 3. nodaļas 2. punkta 2.1. apakšpunktā aprakstītā </w:t>
      </w:r>
      <w:r>
        <w:rPr>
          <w:i/>
          <w:iCs/>
          <w:color w:val="000000" w:themeColor="text1"/>
          <w:sz w:val="24"/>
        </w:rPr>
        <w:t>WHI</w:t>
      </w:r>
      <w:r>
        <w:rPr>
          <w:color w:val="000000" w:themeColor="text1"/>
          <w:sz w:val="24"/>
        </w:rPr>
        <w:t xml:space="preserve"> iejaukšanās pētījuma dalībnieku apakšizlases (kalcija uztura bagātinātāju un D vitamīna salīdzinājums ar placebo). Šajā pētījumā autori nav ziņojuši par kalcija (un D vitamīna) uztura bagātinātāju ietekmi uz apstiprinātiem miokarda infarkta, insulta vai koronārās sirds slimības izraisītiem nāves gadījumiem, kas bija iepriekš noteikti kā sekundārie pētījuma efektivitātes rādītāji (Hsia et al., 2007). Analīzē, ko veica pa apakšgrupām, sievietēm, kuras bāzlīnijā uzņēma lielāku kopējo kalcija daudzumu (ar uzturu un uztura bagātinātājiem), koronāro notikumu vai insulta risks nekļuva lielāks, ja tās iekļāva aktīvās rīcības kalcija/D vitamīna grupā. Bolenda [</w:t>
      </w:r>
      <w:r>
        <w:rPr>
          <w:i/>
          <w:iCs/>
          <w:color w:val="000000" w:themeColor="text1"/>
          <w:sz w:val="24"/>
        </w:rPr>
        <w:t>Bollan</w:t>
      </w:r>
      <w:r>
        <w:rPr>
          <w:color w:val="000000" w:themeColor="text1"/>
          <w:sz w:val="24"/>
        </w:rPr>
        <w:t xml:space="preserve">d] </w:t>
      </w:r>
      <w:r>
        <w:rPr>
          <w:i/>
          <w:iCs/>
          <w:color w:val="000000" w:themeColor="text1"/>
          <w:sz w:val="24"/>
        </w:rPr>
        <w:t>et al.</w:t>
      </w:r>
      <w:r>
        <w:rPr>
          <w:color w:val="000000" w:themeColor="text1"/>
          <w:sz w:val="24"/>
        </w:rPr>
        <w:t xml:space="preserve"> veiktajā metaanalīzē (2011) ņēma vērā tikai to dalībnieku datus, kuri bāzlīnijā nelietoja paši savus uztura bagātinātājus. Ekspertu grupa atzīmē, ka nav skaidrības par atlases pamatojumu un dalībnieku nejaušināšana nav veikta, pamatojoties uz to, vai viņi lietoja paši savus uztura bagātinātājus. Ekspertu grupa arī atzīmē, ka aplūkotie papildu dati (kalcija uztura bagātinātāji ar D vitamīnu salīdzinājumā ar placebo) nesniedz informāciju par risku, kas saistīts ar kalcija uztura bagātinātāju uzņemšanu pašu par sevi. Ekspertu grupa uzskata, ka šai metaanalīzei piemīt tādi paši ierobežojumi kā šo pašu autoru (Bolland et al., 2010) iepriekš veiktajai metaanalīze un tā nesniedz papildu informāciju par saistību starp kalcija devām un SAS risku.</w:t>
      </w:r>
    </w:p>
    <w:p w14:paraId="47404753"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07FD1E49" w14:textId="3659BF91" w:rsidR="00562491" w:rsidRPr="00D91B35" w:rsidRDefault="00562491" w:rsidP="008131C2">
      <w:pPr>
        <w:pStyle w:val="Pamatteksts"/>
        <w:spacing w:before="0"/>
        <w:ind w:left="0"/>
        <w:jc w:val="both"/>
        <w:rPr>
          <w:bCs/>
          <w:noProof/>
          <w:color w:val="000000" w:themeColor="text1"/>
          <w:sz w:val="24"/>
        </w:rPr>
      </w:pPr>
      <w:r>
        <w:rPr>
          <w:color w:val="000000" w:themeColor="text1"/>
          <w:sz w:val="24"/>
        </w:rPr>
        <w:t>Ekspertu grupa uzskata, ka ilgstoša kalcija uzņemšana ar uzturu un bagātinātājiem devās līdz 2500–3000 mg dienā nav saistīta ar paaugstinātu sirds un asinsvadu slimību risku pieaugušajiem.</w:t>
      </w:r>
    </w:p>
    <w:p w14:paraId="147F95E9" w14:textId="77777777" w:rsidR="00562491" w:rsidRPr="00D91B35" w:rsidRDefault="00562491" w:rsidP="008131C2">
      <w:pPr>
        <w:jc w:val="both"/>
        <w:rPr>
          <w:rFonts w:ascii="Times New Roman" w:eastAsia="Times New Roman" w:hAnsi="Times New Roman" w:cs="Times New Roman"/>
          <w:bCs/>
          <w:noProof/>
          <w:color w:val="000000" w:themeColor="text1"/>
          <w:sz w:val="24"/>
          <w:szCs w:val="21"/>
        </w:rPr>
      </w:pPr>
    </w:p>
    <w:p w14:paraId="7DA6D8BE" w14:textId="5D76B67C" w:rsidR="00562491" w:rsidRPr="00D91B35" w:rsidRDefault="008131C2" w:rsidP="008131C2">
      <w:pPr>
        <w:pStyle w:val="Virsraksts1"/>
        <w:tabs>
          <w:tab w:val="left" w:pos="999"/>
        </w:tabs>
        <w:ind w:left="0" w:firstLine="0"/>
        <w:jc w:val="both"/>
        <w:rPr>
          <w:bCs w:val="0"/>
          <w:noProof/>
          <w:color w:val="000000" w:themeColor="text1"/>
          <w:sz w:val="24"/>
        </w:rPr>
      </w:pPr>
      <w:bookmarkStart w:id="46" w:name="_Toc73454061"/>
      <w:r>
        <w:rPr>
          <w:color w:val="000000" w:themeColor="text1"/>
          <w:sz w:val="24"/>
        </w:rPr>
        <w:t>3.2.4. Prostatas vēzis</w:t>
      </w:r>
      <w:bookmarkStart w:id="47" w:name="_bookmark23"/>
      <w:bookmarkEnd w:id="47"/>
      <w:bookmarkEnd w:id="46"/>
    </w:p>
    <w:p w14:paraId="6CA0C5D1" w14:textId="77777777" w:rsidR="00495D79" w:rsidRDefault="00495D79" w:rsidP="008131C2">
      <w:pPr>
        <w:pStyle w:val="Pamatteksts"/>
        <w:spacing w:before="0"/>
        <w:ind w:left="0"/>
        <w:jc w:val="both"/>
        <w:rPr>
          <w:color w:val="000000" w:themeColor="text1"/>
          <w:sz w:val="24"/>
        </w:rPr>
      </w:pPr>
    </w:p>
    <w:p w14:paraId="04D5EDB5" w14:textId="66D74C8E" w:rsidR="00562491" w:rsidRPr="00D91B35" w:rsidRDefault="00562491" w:rsidP="008131C2">
      <w:pPr>
        <w:pStyle w:val="Pamatteksts"/>
        <w:spacing w:before="0"/>
        <w:ind w:left="0"/>
        <w:jc w:val="both"/>
        <w:rPr>
          <w:bCs/>
          <w:noProof/>
          <w:color w:val="000000" w:themeColor="text1"/>
          <w:sz w:val="24"/>
        </w:rPr>
      </w:pPr>
      <w:r>
        <w:rPr>
          <w:color w:val="000000" w:themeColor="text1"/>
          <w:sz w:val="24"/>
        </w:rPr>
        <w:t>Lielākajā daļa epidemioloģisko pētījumu un nedaudzajos RKP, kuros viens no ziņotajiem iznākumiem ir vēzis, ir konstatēta apgriezta saistība vai saistības neesamība starp kalcija devām, ko uzņem ar pārtiku un/vai uztura bagātinātājiem, un vēža risku (saslimstības un mirstības ziņā), izņemot prostatas vēzi (Chung et al., 2009; IoM, 2011; WCRF/AICR, 2007).</w:t>
      </w:r>
    </w:p>
    <w:p w14:paraId="1E0CF5D3"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723F548D" w14:textId="65D9A499" w:rsidR="00562491" w:rsidRPr="00D91B35" w:rsidRDefault="00562491" w:rsidP="008131C2">
      <w:pPr>
        <w:pStyle w:val="Pamatteksts"/>
        <w:spacing w:before="0"/>
        <w:ind w:left="0"/>
        <w:jc w:val="both"/>
        <w:rPr>
          <w:bCs/>
          <w:noProof/>
          <w:color w:val="000000" w:themeColor="text1"/>
          <w:sz w:val="24"/>
        </w:rPr>
      </w:pPr>
      <w:r>
        <w:rPr>
          <w:color w:val="000000" w:themeColor="text1"/>
          <w:sz w:val="24"/>
        </w:rPr>
        <w:t>Pasaules Vēža izpētes fonda/Amerikas Vēža izpētes institūta (</w:t>
      </w:r>
      <w:r>
        <w:rPr>
          <w:i/>
          <w:iCs/>
          <w:color w:val="000000" w:themeColor="text1"/>
          <w:sz w:val="24"/>
        </w:rPr>
        <w:t>WCRF</w:t>
      </w:r>
      <w:r>
        <w:rPr>
          <w:color w:val="000000" w:themeColor="text1"/>
          <w:sz w:val="24"/>
        </w:rPr>
        <w:t>/</w:t>
      </w:r>
      <w:r>
        <w:rPr>
          <w:i/>
          <w:iCs/>
          <w:color w:val="000000" w:themeColor="text1"/>
          <w:sz w:val="24"/>
        </w:rPr>
        <w:t>AICR</w:t>
      </w:r>
      <w:r>
        <w:rPr>
          <w:color w:val="000000" w:themeColor="text1"/>
          <w:sz w:val="24"/>
        </w:rPr>
        <w:t xml:space="preserve">, 2007) ziņojumā ir </w:t>
      </w:r>
      <w:r>
        <w:rPr>
          <w:color w:val="000000" w:themeColor="text1"/>
          <w:sz w:val="24"/>
        </w:rPr>
        <w:lastRenderedPageBreak/>
        <w:t xml:space="preserve">caurlūkoti deviņi prospektīvie kohortas pētījumi (Baron et al., 2005; Berndt et al., 2002; Chan et al., 2000; Chan et al., 2001; Giovannucci et al., 1998; Laaksonen et al., 2004; Platz et al., 2004; Rodriguez et al., 2003; Schuurman et al., 1999; Tseng et al., 2005), 12 gadījumu kontroles pētījumi (Chan et al., 1998; Du et al., 1997; Hayes et al., 1999; Hodge et al., 2004; Kaul et al., 1987; Key et al., 1997; Ohno et al., 1988; Oishi et al., 1988; Ramon et al., 2000; Tavani et al., 2001; Tavani et al., 2005; Tzonou et al., 1999; Vlajinac et al., 2001; Vlajinac et al., 1997; Walker et al., 2005) un divi ekoloģiskie pētījumi (Boing et al., 1985; Liaw et al., 2003), kuros pētīta saistība starp uzņemto kalcija devu un prostatas vēža risku. Par pozitīvu saistību starp uzņemto kalcija devu un prostatas vēža risku ziņoja trīs kohortu pētījumos (Chan et al., 2001; Giovannucci et al., 1998; Tseng et al., 2005), vienā gadījumu kontroles pētījumā (Vlajinac et al., 2001) un vienā ekoloģiskajā pētījumā (Boing et al., 1985), turpretim pārējos pētījumos nozīmīgu saistību nenovēroja. Vienā no četriem kohortu pētījumiem, kurā tika ziņots par šo iznākumu, palielinātu vēlīnas stadijas/agresīva prostatas vēža risku saistīja arī ar palielinātu piena un piena produktu lietošanu (Giovannucci et al., 1998; 2006). </w:t>
      </w:r>
      <w:r>
        <w:rPr>
          <w:i/>
          <w:iCs/>
          <w:color w:val="000000" w:themeColor="text1"/>
          <w:sz w:val="24"/>
        </w:rPr>
        <w:t>WCRF</w:t>
      </w:r>
      <w:r>
        <w:rPr>
          <w:color w:val="000000" w:themeColor="text1"/>
          <w:sz w:val="24"/>
        </w:rPr>
        <w:t>/</w:t>
      </w:r>
      <w:r>
        <w:rPr>
          <w:i/>
          <w:iCs/>
          <w:color w:val="000000" w:themeColor="text1"/>
          <w:sz w:val="24"/>
        </w:rPr>
        <w:t>AICR</w:t>
      </w:r>
      <w:r>
        <w:rPr>
          <w:color w:val="000000" w:themeColor="text1"/>
          <w:sz w:val="24"/>
        </w:rPr>
        <w:t xml:space="preserve"> (2007) secināja, ka “varētu būt” saistība starp uzturu ar augstu kalcija saturu un prostatas vēža risku.</w:t>
      </w:r>
    </w:p>
    <w:p w14:paraId="029B8835"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23C50AC9" w14:textId="6852C01A" w:rsidR="00562491" w:rsidRPr="00D91B35" w:rsidRDefault="00562491" w:rsidP="008131C2">
      <w:pPr>
        <w:pStyle w:val="Pamatteksts"/>
        <w:spacing w:before="0"/>
        <w:ind w:left="0"/>
        <w:jc w:val="both"/>
        <w:rPr>
          <w:bCs/>
          <w:noProof/>
          <w:color w:val="000000" w:themeColor="text1"/>
          <w:sz w:val="24"/>
        </w:rPr>
      </w:pPr>
      <w:r>
        <w:rPr>
          <w:color w:val="000000" w:themeColor="text1"/>
          <w:sz w:val="24"/>
        </w:rPr>
        <w:t>Čunga [</w:t>
      </w:r>
      <w:r>
        <w:rPr>
          <w:i/>
          <w:iCs/>
          <w:color w:val="000000" w:themeColor="text1"/>
          <w:sz w:val="24"/>
        </w:rPr>
        <w:t>Chung</w:t>
      </w:r>
      <w:r>
        <w:rPr>
          <w:color w:val="000000" w:themeColor="text1"/>
          <w:sz w:val="24"/>
        </w:rPr>
        <w:t xml:space="preserve">] </w:t>
      </w:r>
      <w:r>
        <w:rPr>
          <w:i/>
          <w:iCs/>
          <w:color w:val="000000" w:themeColor="text1"/>
          <w:sz w:val="24"/>
        </w:rPr>
        <w:t>et.al</w:t>
      </w:r>
      <w:r>
        <w:rPr>
          <w:color w:val="000000" w:themeColor="text1"/>
          <w:sz w:val="24"/>
        </w:rPr>
        <w:t>. (2009) caurlūkoja 12 kohortu pētījumus, kuros tika ziņots par saistību starp uzņemto kalcija daudzumu un prostatas vēža risku (Baron et al., 2005; Chan et al., 2001; Giovannucci et al., 2006; Koh et al., 2006; Kurahashi et al., 2008; Mitrou et al., 2007; Park et al., 2007a; 2007b; Rodriguez et al., 2003; Rohrmann et al., 2007; Schuurman et al., 1999; Tseng et al., 2005). Saslimstība ar prostatas vēzi šajos pētījumos bija robežās no 0,008 līdz 0,10. Kopējais uzņemtais kalcija daudzums bija robežās no</w:t>
      </w:r>
    </w:p>
    <w:p w14:paraId="594FF08B" w14:textId="77777777" w:rsidR="00562491" w:rsidRPr="00D91B35" w:rsidRDefault="00562491" w:rsidP="008131C2">
      <w:pPr>
        <w:jc w:val="both"/>
        <w:rPr>
          <w:rFonts w:ascii="Times New Roman" w:eastAsia="Times New Roman" w:hAnsi="Times New Roman" w:cs="Times New Roman"/>
          <w:bCs/>
          <w:noProof/>
          <w:color w:val="000000" w:themeColor="text1"/>
          <w:sz w:val="24"/>
          <w:szCs w:val="15"/>
        </w:rPr>
      </w:pPr>
    </w:p>
    <w:p w14:paraId="6ACBE646" w14:textId="1E235B76" w:rsidR="00562491" w:rsidRPr="00D91B35" w:rsidRDefault="00562491" w:rsidP="008131C2">
      <w:pPr>
        <w:pStyle w:val="Pamatteksts"/>
        <w:spacing w:before="0"/>
        <w:ind w:left="0"/>
        <w:jc w:val="both"/>
        <w:rPr>
          <w:bCs/>
          <w:noProof/>
          <w:color w:val="000000" w:themeColor="text1"/>
          <w:sz w:val="24"/>
        </w:rPr>
      </w:pPr>
      <w:r>
        <w:rPr>
          <w:color w:val="000000" w:themeColor="text1"/>
          <w:sz w:val="24"/>
        </w:rPr>
        <w:t>&lt; 500 mg dienā līdz ≥ 2000 mg dienā, un laiks starp uztura novērtējuma veikšanu un prostatas vēža diagnozi bija no 1 līdz 17 gadiem. Septiņos pētījumos nekonstatēja saistību starp kalcija uzņemšanu un prostatas vēža risku (Baron et al., 2005; Koh et al., 2006; Kurahashi et al., 2008; Park et al., 2007a; 2007b; Rohrmann et al., 2007; Schuurman et al., 1999), turpretim pārējos piecos pētījumos ziņoja par paaugstinātu risku, ko rada lielākas kalcija devas (pretstatā mazākām). Lielākās un mazākās kalcija devas attiecīgi bija robežās no 921 līdz &gt; 2000 mg un no 455 līdz 1000 mg dienā.</w:t>
      </w:r>
    </w:p>
    <w:p w14:paraId="2B4E0D35"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6C5D74CE" w14:textId="40FC0147" w:rsidR="00562491" w:rsidRPr="00D91B35" w:rsidRDefault="00562491" w:rsidP="008131C2">
      <w:pPr>
        <w:pStyle w:val="Pamatteksts"/>
        <w:spacing w:before="0"/>
        <w:ind w:left="0"/>
        <w:jc w:val="both"/>
        <w:rPr>
          <w:bCs/>
          <w:noProof/>
          <w:color w:val="000000" w:themeColor="text1"/>
          <w:sz w:val="24"/>
        </w:rPr>
      </w:pPr>
      <w:r>
        <w:rPr>
          <w:color w:val="000000" w:themeColor="text1"/>
          <w:sz w:val="24"/>
        </w:rPr>
        <w:t>Vienā nejaušinātā kontrolētā daudzcentru pētījumā (Baron et al., 2005), kurā pētīja kalcija uztura bagātinātāju efektivitāti kolorektālo karcinomu profilaksē, kā sekundāru iznākumu vērtēja arī prostatas vēža risku. Vīrieši (kuru vidējais vecums bija 61,8 gadi) četrus gadus katru dienu saņēma vai nu 1200 mg kalcija (n=327), vai placebo (n=327), un viņus līdz 12 gadiem ilgā laika posmā apsekoja prostatas vēža atklāšanai. Bāzlīnijā ar uzturu uzņemtās kalcija devas abās grupās bija līdzīgas (apmēram 800 mg dienā). Visā pētījuma periodā prostatas vēža risks kalcija grupā nebija būtiski atšķirīgs, salīdzinot ar placebo grupu (biežuma attiecība 0,83; 95 % TI 0,52–1,32). Kopējās uzņemtās kalcija devas nebija saistītas ar prostatas vēža risku.</w:t>
      </w:r>
    </w:p>
    <w:p w14:paraId="5856F8C6"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62316672" w14:textId="5AD3BCAA" w:rsidR="00562491" w:rsidRPr="00D91B35" w:rsidRDefault="00562491" w:rsidP="008131C2">
      <w:pPr>
        <w:pStyle w:val="Pamatteksts"/>
        <w:spacing w:before="0"/>
        <w:ind w:left="0"/>
        <w:jc w:val="both"/>
        <w:rPr>
          <w:bCs/>
          <w:noProof/>
          <w:color w:val="000000" w:themeColor="text1"/>
          <w:sz w:val="24"/>
        </w:rPr>
      </w:pPr>
      <w:r>
        <w:rPr>
          <w:color w:val="000000" w:themeColor="text1"/>
          <w:sz w:val="24"/>
        </w:rPr>
        <w:t>Ekspertu grupa atzīmē, ka vairākos gadījumu kontroles (vienā no 12) un prospektīvajos kohortu pētījumos (piecos no 12, no kuriem trīs pētījumi bija kvalitatīvi augstvērtīgi) ir ziņots par paaugstinātu prostatas vēža risku pie kopējās uzņemtās kalcija devas no 1000 līdz &gt; 2000 mg dienā, salīdzinot ar devām, kas svārstās no 500 līdz</w:t>
      </w:r>
      <w:r w:rsidR="00495D79">
        <w:rPr>
          <w:color w:val="000000" w:themeColor="text1"/>
          <w:sz w:val="24"/>
        </w:rPr>
        <w:t xml:space="preserve"> </w:t>
      </w:r>
      <w:r>
        <w:rPr>
          <w:color w:val="000000" w:themeColor="text1"/>
          <w:sz w:val="24"/>
        </w:rPr>
        <w:t>&lt; 1000 mg dienā. Tomēr ekspertu grupa arī atzīmē, ka šajos pētījumos netika kontrolēti citi – ar kalciju nesaistīti faktori, kuriem varētu būt saistība ar šo ietekmi, un ka vienīgajā RKP, kurā par šo iznākumu tika ziņots, kalcija uztura bagātinātāji 1200 mg dienā (līdz aptuveni 2000 mg lielai kalcija kopējai diennakts devai) neietekmēja prostatas vēža risku.</w:t>
      </w:r>
    </w:p>
    <w:p w14:paraId="1C3402CD"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125C2EB8" w14:textId="77777777" w:rsidR="00562491" w:rsidRPr="00D91B35" w:rsidRDefault="00562491" w:rsidP="008131C2">
      <w:pPr>
        <w:pStyle w:val="Pamatteksts"/>
        <w:spacing w:before="0"/>
        <w:ind w:left="0"/>
        <w:jc w:val="both"/>
        <w:rPr>
          <w:bCs/>
          <w:noProof/>
          <w:color w:val="000000" w:themeColor="text1"/>
          <w:sz w:val="24"/>
        </w:rPr>
      </w:pPr>
      <w:r>
        <w:rPr>
          <w:color w:val="000000" w:themeColor="text1"/>
          <w:sz w:val="24"/>
        </w:rPr>
        <w:lastRenderedPageBreak/>
        <w:t>Ekspertu grupa uzskata, ka ilgstoša kalcija uzņemšana ar uzturu un uztura bagātinātājiem devās, kas pārsniedz 2000 mg dienā, nav saistīta ar paaugstinātu prostatas vēža risku.</w:t>
      </w:r>
    </w:p>
    <w:p w14:paraId="3DAE24E0"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2EB94D93" w14:textId="15E1BC7F" w:rsidR="00D16AA2" w:rsidRPr="00D91B35" w:rsidRDefault="008131C2" w:rsidP="008131C2">
      <w:pPr>
        <w:pStyle w:val="Virsraksts1"/>
        <w:tabs>
          <w:tab w:val="left" w:pos="999"/>
        </w:tabs>
        <w:ind w:left="0" w:firstLine="0"/>
        <w:jc w:val="both"/>
        <w:rPr>
          <w:bCs w:val="0"/>
          <w:noProof/>
          <w:color w:val="000000" w:themeColor="text1"/>
          <w:sz w:val="24"/>
        </w:rPr>
      </w:pPr>
      <w:bookmarkStart w:id="48" w:name="_Toc73454062"/>
      <w:r>
        <w:rPr>
          <w:color w:val="000000" w:themeColor="text1"/>
          <w:sz w:val="24"/>
        </w:rPr>
        <w:t>3.2.5. Mijiedarbība starp kalciju un ar uzturu uzņemtajām minerālvielām</w:t>
      </w:r>
      <w:bookmarkStart w:id="49" w:name="_bookmark24"/>
      <w:bookmarkEnd w:id="49"/>
      <w:bookmarkEnd w:id="48"/>
    </w:p>
    <w:p w14:paraId="0F801AEC" w14:textId="77777777" w:rsidR="00DC6850" w:rsidRDefault="00DC6850" w:rsidP="008131C2">
      <w:pPr>
        <w:pStyle w:val="Pamatteksts"/>
        <w:spacing w:before="0"/>
        <w:ind w:left="0"/>
        <w:jc w:val="both"/>
        <w:rPr>
          <w:color w:val="000000" w:themeColor="text1"/>
          <w:sz w:val="24"/>
        </w:rPr>
      </w:pPr>
    </w:p>
    <w:p w14:paraId="383C3D00" w14:textId="64C25D3F" w:rsidR="00562491" w:rsidRPr="00D91B35" w:rsidRDefault="00562491" w:rsidP="008131C2">
      <w:pPr>
        <w:pStyle w:val="Pamatteksts"/>
        <w:spacing w:before="0"/>
        <w:ind w:left="0"/>
        <w:jc w:val="both"/>
        <w:rPr>
          <w:bCs/>
          <w:noProof/>
          <w:color w:val="000000" w:themeColor="text1"/>
          <w:sz w:val="24"/>
        </w:rPr>
      </w:pPr>
      <w:r>
        <w:rPr>
          <w:color w:val="000000" w:themeColor="text1"/>
          <w:sz w:val="24"/>
        </w:rPr>
        <w:t>Īstermiņa pētījumos un eksperimentos ar vienu devu ir demonstrēts, ka kalcijs negatīvi ietekmē gan dzelzs, gan cinka absorbciju. Šī ietekme nav novērota ilgtermiņa novērošanas un iejaukšanās pētījumos ar tādām kalcija uzturdevām, kas atbilst pašreiz ieteiktajām, vai pieaugušo vecumā lietotiem kalcija uztura bagātinātājiem devās līdz 2000 mg dienā (SCF, 2003).</w:t>
      </w:r>
    </w:p>
    <w:p w14:paraId="79FCF2CD"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77FB9F73" w14:textId="77777777" w:rsidR="00562491" w:rsidRPr="00D91B35" w:rsidRDefault="00562491" w:rsidP="008131C2">
      <w:pPr>
        <w:pStyle w:val="Pamatteksts"/>
        <w:spacing w:before="0"/>
        <w:ind w:left="0"/>
        <w:jc w:val="both"/>
        <w:rPr>
          <w:bCs/>
          <w:noProof/>
          <w:color w:val="000000" w:themeColor="text1"/>
          <w:sz w:val="24"/>
        </w:rPr>
      </w:pPr>
      <w:r>
        <w:rPr>
          <w:color w:val="000000" w:themeColor="text1"/>
          <w:sz w:val="24"/>
        </w:rPr>
        <w:t>Ekspertu grupa atzīmē, ka kopš 2003. gada par šo iznākumu nav pieejami jauni dati.</w:t>
      </w:r>
    </w:p>
    <w:p w14:paraId="0B20FE16" w14:textId="77777777" w:rsidR="00562491" w:rsidRPr="00D91B35" w:rsidRDefault="00562491" w:rsidP="008131C2">
      <w:pPr>
        <w:jc w:val="both"/>
        <w:rPr>
          <w:rFonts w:ascii="Times New Roman" w:eastAsia="Times New Roman" w:hAnsi="Times New Roman" w:cs="Times New Roman"/>
          <w:bCs/>
          <w:noProof/>
          <w:color w:val="000000" w:themeColor="text1"/>
          <w:sz w:val="24"/>
        </w:rPr>
      </w:pPr>
    </w:p>
    <w:p w14:paraId="67F6F821" w14:textId="40983FDC" w:rsidR="00562491" w:rsidRPr="00D91B35" w:rsidRDefault="008131C2" w:rsidP="008131C2">
      <w:pPr>
        <w:pStyle w:val="Virsraksts1"/>
        <w:tabs>
          <w:tab w:val="left" w:pos="726"/>
        </w:tabs>
        <w:ind w:left="0" w:firstLine="0"/>
        <w:jc w:val="both"/>
        <w:rPr>
          <w:bCs w:val="0"/>
          <w:noProof/>
          <w:color w:val="000000" w:themeColor="text1"/>
          <w:sz w:val="24"/>
        </w:rPr>
      </w:pPr>
      <w:bookmarkStart w:id="50" w:name="_Toc73454063"/>
      <w:r>
        <w:rPr>
          <w:color w:val="000000" w:themeColor="text1"/>
          <w:sz w:val="24"/>
        </w:rPr>
        <w:t>4. Devas izraisītās reakcijas novērtējums un pieļaujamā augstākā uzņemamā daudzuma noteikšana</w:t>
      </w:r>
      <w:bookmarkStart w:id="51" w:name="_bookmark25"/>
      <w:bookmarkEnd w:id="51"/>
      <w:bookmarkEnd w:id="50"/>
    </w:p>
    <w:p w14:paraId="0899F5F7" w14:textId="77777777" w:rsidR="00562491" w:rsidRPr="00D91B35" w:rsidRDefault="00562491" w:rsidP="008131C2">
      <w:pPr>
        <w:jc w:val="both"/>
        <w:rPr>
          <w:rFonts w:ascii="Times New Roman" w:eastAsia="Times New Roman" w:hAnsi="Times New Roman" w:cs="Times New Roman"/>
          <w:b/>
          <w:noProof/>
          <w:color w:val="000000" w:themeColor="text1"/>
          <w:sz w:val="24"/>
          <w:szCs w:val="31"/>
        </w:rPr>
      </w:pPr>
    </w:p>
    <w:p w14:paraId="157DAE65" w14:textId="0B184EEC" w:rsidR="00562491" w:rsidRPr="00D91B35" w:rsidRDefault="008131C2" w:rsidP="008131C2">
      <w:pPr>
        <w:pStyle w:val="Virsraksts1"/>
        <w:tabs>
          <w:tab w:val="left" w:pos="999"/>
        </w:tabs>
        <w:ind w:left="0" w:firstLine="0"/>
        <w:jc w:val="both"/>
        <w:rPr>
          <w:bCs w:val="0"/>
          <w:noProof/>
          <w:color w:val="000000" w:themeColor="text1"/>
          <w:sz w:val="24"/>
        </w:rPr>
      </w:pPr>
      <w:bookmarkStart w:id="52" w:name="_Toc73454064"/>
      <w:r>
        <w:rPr>
          <w:color w:val="000000" w:themeColor="text1"/>
          <w:sz w:val="24"/>
        </w:rPr>
        <w:t>4.1. Pieaugušie</w:t>
      </w:r>
      <w:bookmarkStart w:id="53" w:name="_bookmark26"/>
      <w:bookmarkEnd w:id="53"/>
      <w:bookmarkEnd w:id="52"/>
    </w:p>
    <w:p w14:paraId="5EC6243C" w14:textId="77777777" w:rsidR="00DC6850" w:rsidRDefault="00DC6850" w:rsidP="008131C2">
      <w:pPr>
        <w:pStyle w:val="Pamatteksts"/>
        <w:spacing w:before="0"/>
        <w:ind w:left="0"/>
        <w:jc w:val="both"/>
        <w:rPr>
          <w:color w:val="000000" w:themeColor="text1"/>
          <w:sz w:val="24"/>
        </w:rPr>
      </w:pPr>
    </w:p>
    <w:p w14:paraId="11980BDF" w14:textId="0E2FE739" w:rsidR="00562491" w:rsidRPr="00D91B35" w:rsidRDefault="00562491" w:rsidP="008131C2">
      <w:pPr>
        <w:pStyle w:val="Pamatteksts"/>
        <w:spacing w:before="0"/>
        <w:ind w:left="0"/>
        <w:jc w:val="both"/>
        <w:rPr>
          <w:bCs/>
          <w:noProof/>
          <w:color w:val="000000" w:themeColor="text1"/>
          <w:sz w:val="24"/>
        </w:rPr>
      </w:pPr>
      <w:r>
        <w:rPr>
          <w:color w:val="000000" w:themeColor="text1"/>
          <w:sz w:val="24"/>
        </w:rPr>
        <w:t>Pārtikas zinātniskā komiteja (</w:t>
      </w:r>
      <w:r>
        <w:rPr>
          <w:i/>
          <w:iCs/>
          <w:color w:val="000000" w:themeColor="text1"/>
          <w:sz w:val="24"/>
        </w:rPr>
        <w:t>SCF</w:t>
      </w:r>
      <w:r>
        <w:rPr>
          <w:color w:val="000000" w:themeColor="text1"/>
          <w:sz w:val="24"/>
        </w:rPr>
        <w:t>) (2003) pamatoja savus secinājumus par kalcija AD ar pierādījumiem, kas gūti dažādos, ilgstošos iejaukšanās pētījumos, dažkārt veicot kontroli ar placebo, kuros ar uzturu un uztura bagātinātājiem uzņemta 2500 mg liela kalcija kopējā diennakts deva neradīja kaitīgu ietekmi. Daudzo datu dēļ nenoteiktības koeficienta piemērošanu uzskatīja par lieku. Ierosinātā kalcija AD pieaugušajiem, kā arī grūtniecēm un sievietēm laktācijas periodā, ņemot vērā visus kalcija avotus, bija 2500 mg dienā.</w:t>
      </w:r>
    </w:p>
    <w:p w14:paraId="110C1FD0"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192D3213" w14:textId="77777777" w:rsidR="00562491" w:rsidRPr="00D91B35" w:rsidRDefault="00562491" w:rsidP="008131C2">
      <w:pPr>
        <w:pStyle w:val="Pamatteksts"/>
        <w:spacing w:before="0"/>
        <w:ind w:left="0"/>
        <w:jc w:val="both"/>
        <w:rPr>
          <w:bCs/>
          <w:noProof/>
          <w:color w:val="000000" w:themeColor="text1"/>
          <w:sz w:val="24"/>
        </w:rPr>
      </w:pPr>
      <w:r>
        <w:rPr>
          <w:color w:val="000000" w:themeColor="text1"/>
          <w:sz w:val="24"/>
        </w:rPr>
        <w:t>Vairāki kopš tā laika publicēti placebo kontrolēti iejaukšanās pētījumi starp pieaugušajiem arī parāda, ka 2500 mg kalcija kopējā diennakts deva, ko uzņem gan ar uzturu, gan uztura bagātinātājiem, nerada kaitīgu ietekmi.</w:t>
      </w:r>
    </w:p>
    <w:p w14:paraId="32B82D54" w14:textId="77777777" w:rsidR="00562491" w:rsidRPr="00D91B35" w:rsidRDefault="00562491" w:rsidP="008131C2">
      <w:pPr>
        <w:jc w:val="both"/>
        <w:rPr>
          <w:rFonts w:ascii="Times New Roman" w:eastAsia="Times New Roman" w:hAnsi="Times New Roman" w:cs="Times New Roman"/>
          <w:bCs/>
          <w:noProof/>
          <w:color w:val="000000" w:themeColor="text1"/>
          <w:sz w:val="24"/>
          <w:szCs w:val="15"/>
        </w:rPr>
      </w:pPr>
    </w:p>
    <w:p w14:paraId="5EAFC143" w14:textId="77777777" w:rsidR="00562491" w:rsidRPr="00D91B35" w:rsidRDefault="00562491" w:rsidP="008131C2">
      <w:pPr>
        <w:pStyle w:val="Pamatteksts"/>
        <w:spacing w:before="0"/>
        <w:ind w:left="0"/>
        <w:jc w:val="both"/>
        <w:rPr>
          <w:bCs/>
          <w:noProof/>
          <w:color w:val="000000" w:themeColor="text1"/>
          <w:sz w:val="24"/>
        </w:rPr>
      </w:pPr>
      <w:r>
        <w:rPr>
          <w:color w:val="000000" w:themeColor="text1"/>
          <w:sz w:val="24"/>
        </w:rPr>
        <w:t>Ekspertu grupa atzīmē, ka tagad ir pieejami jauni gadījumu apraksti par kalcija uztura bagātinātāju patēriņu un PAS/KAS sindromu. Tomēr ekspertu grupa uzskata, ka tie neļauj secināt par saistību starp devu un reakciju.</w:t>
      </w:r>
    </w:p>
    <w:p w14:paraId="179607B3"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71B22821" w14:textId="77777777" w:rsidR="00562491" w:rsidRPr="00D91B35" w:rsidRDefault="00562491" w:rsidP="008131C2">
      <w:pPr>
        <w:pStyle w:val="Pamatteksts"/>
        <w:spacing w:before="0"/>
        <w:ind w:left="0"/>
        <w:jc w:val="both"/>
        <w:rPr>
          <w:bCs/>
          <w:noProof/>
          <w:color w:val="000000" w:themeColor="text1"/>
          <w:sz w:val="24"/>
        </w:rPr>
      </w:pPr>
      <w:r>
        <w:rPr>
          <w:color w:val="000000" w:themeColor="text1"/>
          <w:sz w:val="24"/>
        </w:rPr>
        <w:t>Ekspertu grupa uzskata, ka nav noteikta saistība starp ilgstošu kalcija uzņemšanu ar uzturu un uztura bagātinātājiem un paaugstinātu nefrolitiāzes, sirds un asinsvadu slimību vai prostatas vēža risku.</w:t>
      </w:r>
    </w:p>
    <w:p w14:paraId="5ABA6C7A"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3CE07324" w14:textId="77777777" w:rsidR="00562491" w:rsidRPr="00D91B35" w:rsidRDefault="00562491" w:rsidP="008131C2">
      <w:pPr>
        <w:pStyle w:val="Pamatteksts"/>
        <w:spacing w:before="0"/>
        <w:ind w:left="0"/>
        <w:jc w:val="both"/>
        <w:rPr>
          <w:bCs/>
          <w:noProof/>
          <w:color w:val="000000" w:themeColor="text1"/>
          <w:sz w:val="24"/>
        </w:rPr>
      </w:pPr>
      <w:r>
        <w:rPr>
          <w:color w:val="000000" w:themeColor="text1"/>
          <w:sz w:val="24"/>
        </w:rPr>
        <w:t>Ekspertu grupas priekšlikums ir noteikt 2500 mg kalcija dienā AD no visiem avotiem.</w:t>
      </w:r>
    </w:p>
    <w:p w14:paraId="721D9173"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7361D32C" w14:textId="08A1A0EB" w:rsidR="00562491" w:rsidRPr="00D91B35" w:rsidRDefault="008131C2" w:rsidP="008131C2">
      <w:pPr>
        <w:pStyle w:val="Virsraksts1"/>
        <w:tabs>
          <w:tab w:val="left" w:pos="954"/>
        </w:tabs>
        <w:ind w:left="0" w:firstLine="0"/>
        <w:jc w:val="both"/>
        <w:rPr>
          <w:bCs w:val="0"/>
          <w:noProof/>
          <w:color w:val="000000" w:themeColor="text1"/>
          <w:sz w:val="24"/>
        </w:rPr>
      </w:pPr>
      <w:bookmarkStart w:id="54" w:name="_Toc73454065"/>
      <w:r>
        <w:rPr>
          <w:color w:val="000000" w:themeColor="text1"/>
          <w:sz w:val="24"/>
        </w:rPr>
        <w:t>4.2. Grūtnieces un sievietes laktācijas laikā</w:t>
      </w:r>
      <w:bookmarkStart w:id="55" w:name="_bookmark27"/>
      <w:bookmarkEnd w:id="55"/>
      <w:bookmarkEnd w:id="54"/>
    </w:p>
    <w:p w14:paraId="2A993096" w14:textId="77777777" w:rsidR="00DC6850" w:rsidRDefault="00DC6850" w:rsidP="008131C2">
      <w:pPr>
        <w:pStyle w:val="Pamatteksts"/>
        <w:spacing w:before="0"/>
        <w:ind w:left="0"/>
        <w:jc w:val="both"/>
        <w:rPr>
          <w:i/>
          <w:iCs/>
          <w:color w:val="000000" w:themeColor="text1"/>
          <w:sz w:val="24"/>
        </w:rPr>
      </w:pPr>
    </w:p>
    <w:p w14:paraId="0AEF3C7E" w14:textId="4C491436" w:rsidR="00562491" w:rsidRPr="00D91B35" w:rsidRDefault="00562491" w:rsidP="008131C2">
      <w:pPr>
        <w:pStyle w:val="Pamatteksts"/>
        <w:spacing w:before="0"/>
        <w:ind w:left="0"/>
        <w:jc w:val="both"/>
        <w:rPr>
          <w:bCs/>
          <w:noProof/>
          <w:color w:val="000000" w:themeColor="text1"/>
          <w:sz w:val="24"/>
        </w:rPr>
      </w:pPr>
      <w:r>
        <w:rPr>
          <w:i/>
          <w:iCs/>
          <w:color w:val="000000" w:themeColor="text1"/>
          <w:sz w:val="24"/>
        </w:rPr>
        <w:t>SCF</w:t>
      </w:r>
      <w:r>
        <w:rPr>
          <w:color w:val="000000" w:themeColor="text1"/>
          <w:sz w:val="24"/>
        </w:rPr>
        <w:t xml:space="preserve"> (2003) noteiktā AD grūtniecēm un sievietēm laktācijas laikā bija tāda pati kā pieaugušajiem. Ekspertu grupa atzīmē, ka kopš 2003. gada jauni dati par šo iedzīvotāju apakšgrupu nav bijuši pieejami.</w:t>
      </w:r>
    </w:p>
    <w:p w14:paraId="16F06AD8" w14:textId="77777777" w:rsidR="00562491" w:rsidRPr="00D91B35" w:rsidRDefault="00562491" w:rsidP="008131C2">
      <w:pPr>
        <w:pStyle w:val="Pamatteksts"/>
        <w:spacing w:before="0"/>
        <w:ind w:left="0"/>
        <w:jc w:val="both"/>
        <w:rPr>
          <w:bCs/>
          <w:noProof/>
          <w:color w:val="000000" w:themeColor="text1"/>
          <w:sz w:val="24"/>
        </w:rPr>
      </w:pPr>
      <w:r>
        <w:rPr>
          <w:color w:val="000000" w:themeColor="text1"/>
          <w:sz w:val="24"/>
        </w:rPr>
        <w:t>Ekspertu grupas priekšlikums ir noteikt 2500 mg kalcija dienā AD no visiem avotiem.</w:t>
      </w:r>
    </w:p>
    <w:p w14:paraId="203F955F" w14:textId="77777777" w:rsidR="00562491" w:rsidRPr="00D91B35" w:rsidRDefault="00562491" w:rsidP="008131C2">
      <w:pPr>
        <w:jc w:val="both"/>
        <w:rPr>
          <w:rFonts w:ascii="Times New Roman" w:eastAsia="Times New Roman" w:hAnsi="Times New Roman" w:cs="Times New Roman"/>
          <w:bCs/>
          <w:noProof/>
          <w:color w:val="000000" w:themeColor="text1"/>
          <w:sz w:val="24"/>
        </w:rPr>
      </w:pPr>
    </w:p>
    <w:p w14:paraId="62C13BCD" w14:textId="476D4BC9" w:rsidR="00562491" w:rsidRPr="00D91B35" w:rsidRDefault="008131C2" w:rsidP="008131C2">
      <w:pPr>
        <w:pStyle w:val="Virsraksts1"/>
        <w:tabs>
          <w:tab w:val="left" w:pos="954"/>
        </w:tabs>
        <w:ind w:left="0" w:firstLine="0"/>
        <w:jc w:val="both"/>
        <w:rPr>
          <w:bCs w:val="0"/>
          <w:noProof/>
          <w:color w:val="000000" w:themeColor="text1"/>
          <w:sz w:val="24"/>
        </w:rPr>
      </w:pPr>
      <w:bookmarkStart w:id="56" w:name="_Toc73454066"/>
      <w:r>
        <w:rPr>
          <w:color w:val="000000" w:themeColor="text1"/>
          <w:sz w:val="24"/>
        </w:rPr>
        <w:t>4.3. Zīdaiņi</w:t>
      </w:r>
      <w:bookmarkStart w:id="57" w:name="_bookmark28"/>
      <w:bookmarkEnd w:id="57"/>
      <w:bookmarkEnd w:id="56"/>
    </w:p>
    <w:p w14:paraId="3E34573C" w14:textId="77777777" w:rsidR="00DC6850" w:rsidRDefault="00DC6850" w:rsidP="008131C2">
      <w:pPr>
        <w:pStyle w:val="Pamatteksts"/>
        <w:spacing w:before="0"/>
        <w:ind w:left="0"/>
        <w:jc w:val="both"/>
        <w:rPr>
          <w:i/>
          <w:iCs/>
          <w:color w:val="000000" w:themeColor="text1"/>
          <w:sz w:val="24"/>
        </w:rPr>
      </w:pPr>
    </w:p>
    <w:p w14:paraId="2A20232E" w14:textId="11FD51B5" w:rsidR="00562491" w:rsidRPr="00D91B35" w:rsidRDefault="00562491" w:rsidP="008131C2">
      <w:pPr>
        <w:pStyle w:val="Pamatteksts"/>
        <w:spacing w:before="0"/>
        <w:ind w:left="0"/>
        <w:jc w:val="both"/>
        <w:rPr>
          <w:bCs/>
          <w:noProof/>
          <w:color w:val="000000" w:themeColor="text1"/>
          <w:sz w:val="24"/>
        </w:rPr>
      </w:pPr>
      <w:r>
        <w:rPr>
          <w:i/>
          <w:iCs/>
          <w:color w:val="000000" w:themeColor="text1"/>
          <w:sz w:val="24"/>
        </w:rPr>
        <w:t>SCF</w:t>
      </w:r>
      <w:r>
        <w:rPr>
          <w:color w:val="000000" w:themeColor="text1"/>
          <w:sz w:val="24"/>
        </w:rPr>
        <w:t xml:space="preserve"> 2003. gadā secināja, ka esošie dati ir nepietiekami, lai noteiktu AD zīdaiņiem. Ekspertu grupa atzīmē, ka kopš 2003. gada jauni dati par šo iedzīvotāju apakšgrupu nav bijuši pieejami. Ekspertu grupa secina, ka dati ir nepietiekami, lai noteiktu AD zīdaiņiem.</w:t>
      </w:r>
    </w:p>
    <w:p w14:paraId="2DF27148" w14:textId="77777777" w:rsidR="00562491" w:rsidRPr="00D91B35" w:rsidRDefault="00562491" w:rsidP="008131C2">
      <w:pPr>
        <w:jc w:val="both"/>
        <w:rPr>
          <w:rFonts w:ascii="Times New Roman" w:eastAsia="Times New Roman" w:hAnsi="Times New Roman" w:cs="Times New Roman"/>
          <w:bCs/>
          <w:noProof/>
          <w:color w:val="000000" w:themeColor="text1"/>
          <w:sz w:val="24"/>
        </w:rPr>
      </w:pPr>
    </w:p>
    <w:p w14:paraId="48F09B44" w14:textId="170C5D5B" w:rsidR="00562491" w:rsidRPr="00D91B35" w:rsidRDefault="008131C2" w:rsidP="008131C2">
      <w:pPr>
        <w:pStyle w:val="Virsraksts1"/>
        <w:tabs>
          <w:tab w:val="left" w:pos="954"/>
        </w:tabs>
        <w:ind w:left="0" w:firstLine="0"/>
        <w:jc w:val="both"/>
        <w:rPr>
          <w:bCs w:val="0"/>
          <w:noProof/>
          <w:color w:val="000000" w:themeColor="text1"/>
          <w:sz w:val="24"/>
        </w:rPr>
      </w:pPr>
      <w:bookmarkStart w:id="58" w:name="_Toc73454067"/>
      <w:r>
        <w:rPr>
          <w:color w:val="000000" w:themeColor="text1"/>
          <w:sz w:val="24"/>
        </w:rPr>
        <w:t>4.4. Bērni un pusaudži</w:t>
      </w:r>
      <w:bookmarkStart w:id="59" w:name="_bookmark29"/>
      <w:bookmarkEnd w:id="59"/>
      <w:bookmarkEnd w:id="58"/>
    </w:p>
    <w:p w14:paraId="11BC86A3" w14:textId="77777777" w:rsidR="00DC6850" w:rsidRDefault="00DC6850" w:rsidP="008131C2">
      <w:pPr>
        <w:pStyle w:val="Pamatteksts"/>
        <w:spacing w:before="0"/>
        <w:ind w:left="0"/>
        <w:jc w:val="both"/>
        <w:rPr>
          <w:i/>
          <w:iCs/>
          <w:color w:val="000000" w:themeColor="text1"/>
          <w:sz w:val="24"/>
        </w:rPr>
      </w:pPr>
    </w:p>
    <w:p w14:paraId="51815DD0" w14:textId="79036166" w:rsidR="00562491" w:rsidRPr="00D91B35" w:rsidRDefault="00562491" w:rsidP="008131C2">
      <w:pPr>
        <w:pStyle w:val="Pamatteksts"/>
        <w:spacing w:before="0"/>
        <w:ind w:left="0"/>
        <w:jc w:val="both"/>
        <w:rPr>
          <w:bCs/>
          <w:noProof/>
          <w:color w:val="000000" w:themeColor="text1"/>
          <w:sz w:val="24"/>
        </w:rPr>
      </w:pPr>
      <w:r>
        <w:rPr>
          <w:i/>
          <w:iCs/>
          <w:color w:val="000000" w:themeColor="text1"/>
          <w:sz w:val="24"/>
        </w:rPr>
        <w:t>SCF</w:t>
      </w:r>
      <w:r>
        <w:rPr>
          <w:color w:val="000000" w:themeColor="text1"/>
          <w:sz w:val="24"/>
        </w:rPr>
        <w:t xml:space="preserve"> 2003. gadā secināja, ka esošie dati ir nepietiekami, lai noteiktu AD bērniem un pusaudžiem.</w:t>
      </w:r>
    </w:p>
    <w:p w14:paraId="6AF8D3CB"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66E20DC7" w14:textId="7421C727" w:rsidR="00562491" w:rsidRPr="00D91B35" w:rsidRDefault="00562491" w:rsidP="008131C2">
      <w:pPr>
        <w:pStyle w:val="Pamatteksts"/>
        <w:spacing w:before="0"/>
        <w:ind w:left="0"/>
        <w:jc w:val="both"/>
        <w:rPr>
          <w:bCs/>
          <w:noProof/>
          <w:color w:val="000000" w:themeColor="text1"/>
          <w:sz w:val="24"/>
        </w:rPr>
      </w:pPr>
      <w:r>
        <w:rPr>
          <w:color w:val="000000" w:themeColor="text1"/>
          <w:sz w:val="24"/>
        </w:rPr>
        <w:t>Ekspertu grupa atzīmē, ka vienā mazā, īslaicīgā (trīs mēnešu ilgā) RKP aptuveni 1800 mg kalcija dienā neietekmēja nieru darbību 1–6 gadus veciem bērniem (Markowitz et al., 2004). Tomēr ekspertu grupa uzskata, ka šie dati nav pietiekami, lai noteiktu AD bērniem vai pusaudžiem.</w:t>
      </w:r>
    </w:p>
    <w:p w14:paraId="09376F07"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2EAB09F4" w14:textId="77777777" w:rsidR="00562491" w:rsidRPr="00D91B35" w:rsidRDefault="00562491" w:rsidP="008131C2">
      <w:pPr>
        <w:pStyle w:val="Pamatteksts"/>
        <w:spacing w:before="0"/>
        <w:ind w:left="0"/>
        <w:jc w:val="both"/>
        <w:rPr>
          <w:bCs/>
          <w:noProof/>
          <w:color w:val="000000" w:themeColor="text1"/>
          <w:sz w:val="24"/>
        </w:rPr>
      </w:pPr>
      <w:r>
        <w:rPr>
          <w:color w:val="000000" w:themeColor="text1"/>
          <w:sz w:val="24"/>
        </w:rPr>
        <w:t>Ekspertu grupa secina, ka dati ir nepietiekami, lai noteiktu AD bērniem vai pusaudžiem.</w:t>
      </w:r>
    </w:p>
    <w:p w14:paraId="72A9A822" w14:textId="77777777" w:rsidR="00562491" w:rsidRPr="00D91B35" w:rsidRDefault="00562491" w:rsidP="008131C2">
      <w:pPr>
        <w:jc w:val="both"/>
        <w:rPr>
          <w:rFonts w:ascii="Times New Roman" w:eastAsia="Times New Roman" w:hAnsi="Times New Roman" w:cs="Times New Roman"/>
          <w:bCs/>
          <w:noProof/>
          <w:color w:val="000000" w:themeColor="text1"/>
          <w:sz w:val="24"/>
        </w:rPr>
      </w:pPr>
    </w:p>
    <w:p w14:paraId="406D9A2A" w14:textId="036074E9" w:rsidR="00562491" w:rsidRPr="00D91B35" w:rsidRDefault="008131C2" w:rsidP="008131C2">
      <w:pPr>
        <w:pStyle w:val="Virsraksts1"/>
        <w:tabs>
          <w:tab w:val="left" w:pos="726"/>
        </w:tabs>
        <w:ind w:left="0" w:firstLine="0"/>
        <w:jc w:val="both"/>
        <w:rPr>
          <w:bCs w:val="0"/>
          <w:noProof/>
          <w:color w:val="000000" w:themeColor="text1"/>
          <w:sz w:val="24"/>
        </w:rPr>
      </w:pPr>
      <w:bookmarkStart w:id="60" w:name="_Toc73454068"/>
      <w:r>
        <w:rPr>
          <w:color w:val="000000" w:themeColor="text1"/>
          <w:sz w:val="24"/>
        </w:rPr>
        <w:t>5. Riska raksturojums</w:t>
      </w:r>
      <w:bookmarkStart w:id="61" w:name="_bookmark30"/>
      <w:bookmarkEnd w:id="61"/>
      <w:bookmarkEnd w:id="60"/>
    </w:p>
    <w:p w14:paraId="2FA6AD6D" w14:textId="77777777" w:rsidR="00DC6850" w:rsidRDefault="00DC6850" w:rsidP="008131C2">
      <w:pPr>
        <w:pStyle w:val="Pamatteksts"/>
        <w:spacing w:before="0"/>
        <w:ind w:left="0"/>
        <w:jc w:val="both"/>
        <w:rPr>
          <w:color w:val="000000" w:themeColor="text1"/>
          <w:sz w:val="24"/>
        </w:rPr>
      </w:pPr>
    </w:p>
    <w:p w14:paraId="47C00D35" w14:textId="48A2FBE7" w:rsidR="00562491" w:rsidRPr="00D91B35" w:rsidRDefault="00562491" w:rsidP="008131C2">
      <w:pPr>
        <w:pStyle w:val="Pamatteksts"/>
        <w:spacing w:before="0"/>
        <w:ind w:left="0"/>
        <w:jc w:val="both"/>
        <w:rPr>
          <w:bCs/>
          <w:noProof/>
          <w:color w:val="000000" w:themeColor="text1"/>
          <w:sz w:val="24"/>
        </w:rPr>
      </w:pPr>
      <w:r>
        <w:rPr>
          <w:color w:val="000000" w:themeColor="text1"/>
          <w:sz w:val="24"/>
        </w:rPr>
        <w:t>Dati par Eiropas iedzīvotājiem norāda, ka uzņemtā kalcija daudzums tādu pieaugušu vīriešu vidū, kuri to patērē lielā daudzumā, var būt tuvs AD.</w:t>
      </w:r>
    </w:p>
    <w:p w14:paraId="2DC77CD4"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590C8AEF" w14:textId="77777777" w:rsidR="00562491" w:rsidRPr="00D91B35" w:rsidRDefault="00562491" w:rsidP="008131C2">
      <w:pPr>
        <w:pStyle w:val="Pamatteksts"/>
        <w:spacing w:before="0"/>
        <w:ind w:left="0"/>
        <w:jc w:val="both"/>
        <w:rPr>
          <w:bCs/>
          <w:noProof/>
          <w:color w:val="000000" w:themeColor="text1"/>
          <w:sz w:val="24"/>
        </w:rPr>
      </w:pPr>
      <w:r>
        <w:rPr>
          <w:color w:val="000000" w:themeColor="text1"/>
          <w:sz w:val="24"/>
        </w:rPr>
        <w:t>Lai gan pieejamie dati neļauj noteikt AD zīdaiņiem, bērniem vai pusaudžiem, nav konstatēts ar kalcija uzņemšanu saistīts risks šajās vecuma grupās tiem, kuri to pašreiz patērē visvairāk.</w:t>
      </w:r>
    </w:p>
    <w:p w14:paraId="513ADC53" w14:textId="77777777" w:rsidR="00562491" w:rsidRPr="00D91B35" w:rsidRDefault="00562491" w:rsidP="008131C2">
      <w:pPr>
        <w:jc w:val="both"/>
        <w:rPr>
          <w:rFonts w:ascii="Times New Roman" w:eastAsia="Times New Roman" w:hAnsi="Times New Roman" w:cs="Times New Roman"/>
          <w:bCs/>
          <w:noProof/>
          <w:color w:val="000000" w:themeColor="text1"/>
          <w:sz w:val="24"/>
        </w:rPr>
      </w:pPr>
    </w:p>
    <w:p w14:paraId="126B3381" w14:textId="77777777" w:rsidR="00562491" w:rsidRPr="00993AF1" w:rsidRDefault="00562491" w:rsidP="00993AF1">
      <w:pPr>
        <w:pStyle w:val="Virsraksts1"/>
        <w:tabs>
          <w:tab w:val="left" w:pos="726"/>
        </w:tabs>
        <w:ind w:left="0" w:firstLine="0"/>
        <w:jc w:val="both"/>
        <w:rPr>
          <w:color w:val="000000" w:themeColor="text1"/>
          <w:sz w:val="24"/>
        </w:rPr>
      </w:pPr>
      <w:bookmarkStart w:id="62" w:name="_Toc73454069"/>
      <w:r>
        <w:rPr>
          <w:color w:val="000000" w:themeColor="text1"/>
          <w:sz w:val="24"/>
        </w:rPr>
        <w:t>SECINĀJUMI</w:t>
      </w:r>
      <w:bookmarkStart w:id="63" w:name="_bookmark31"/>
      <w:bookmarkEnd w:id="63"/>
      <w:bookmarkEnd w:id="62"/>
    </w:p>
    <w:p w14:paraId="3F97BEF0" w14:textId="77777777" w:rsidR="00DC6850" w:rsidRDefault="00DC6850" w:rsidP="008131C2">
      <w:pPr>
        <w:pStyle w:val="Pamatteksts"/>
        <w:spacing w:before="0"/>
        <w:ind w:left="0"/>
        <w:jc w:val="both"/>
        <w:rPr>
          <w:color w:val="000000" w:themeColor="text1"/>
          <w:sz w:val="24"/>
        </w:rPr>
      </w:pPr>
    </w:p>
    <w:p w14:paraId="35A3854D" w14:textId="22841148" w:rsidR="00562491" w:rsidRPr="00D91B35" w:rsidRDefault="00562491" w:rsidP="008131C2">
      <w:pPr>
        <w:pStyle w:val="Pamatteksts"/>
        <w:spacing w:before="0"/>
        <w:ind w:left="0"/>
        <w:jc w:val="both"/>
        <w:rPr>
          <w:bCs/>
          <w:noProof/>
          <w:color w:val="000000" w:themeColor="text1"/>
          <w:sz w:val="24"/>
        </w:rPr>
      </w:pPr>
      <w:r>
        <w:rPr>
          <w:color w:val="000000" w:themeColor="text1"/>
          <w:sz w:val="24"/>
        </w:rPr>
        <w:t>Ekspertu grupas priekšlikums ir noteikt 2500 mg kalcija AD pieaugušajiem un sievietēm grūtniecības un laktācijas laikā. Ekspertu grupa secina, ka dati ir nepietiekami, lai noteiktu AD zīdaiņiem, bērniem vai pusaudžiem.</w:t>
      </w:r>
    </w:p>
    <w:p w14:paraId="5D3D9F9B"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2020E5D6" w14:textId="77777777" w:rsidR="00562491" w:rsidRPr="00D91B35" w:rsidRDefault="00562491" w:rsidP="008131C2">
      <w:pPr>
        <w:pStyle w:val="Pamatteksts"/>
        <w:spacing w:before="0"/>
        <w:ind w:left="0"/>
        <w:jc w:val="both"/>
        <w:rPr>
          <w:bCs/>
          <w:noProof/>
          <w:color w:val="000000" w:themeColor="text1"/>
          <w:sz w:val="24"/>
        </w:rPr>
      </w:pPr>
      <w:r>
        <w:rPr>
          <w:color w:val="000000" w:themeColor="text1"/>
          <w:sz w:val="24"/>
        </w:rPr>
        <w:t>Dati par Eiropas iedzīvotājiem norāda, ka uzņemtās kalcija devas pieaugušu vīriešu vidū, kuri to patērē lielā daudzumā, var būt tuvas AD. Kaut arī pieejamie dati neļauj noteikt AD zīdaiņiem,</w:t>
      </w:r>
    </w:p>
    <w:p w14:paraId="7FB79A47" w14:textId="77777777" w:rsidR="00562491" w:rsidRPr="00D91B35" w:rsidRDefault="00562491" w:rsidP="008131C2">
      <w:pPr>
        <w:jc w:val="both"/>
        <w:rPr>
          <w:rFonts w:ascii="Times New Roman" w:eastAsia="Times New Roman" w:hAnsi="Times New Roman" w:cs="Times New Roman"/>
          <w:bCs/>
          <w:noProof/>
          <w:color w:val="000000" w:themeColor="text1"/>
          <w:sz w:val="24"/>
          <w:szCs w:val="15"/>
        </w:rPr>
      </w:pPr>
    </w:p>
    <w:p w14:paraId="41A68716" w14:textId="77777777" w:rsidR="00562491" w:rsidRPr="00D91B35" w:rsidRDefault="00562491" w:rsidP="008131C2">
      <w:pPr>
        <w:pStyle w:val="Pamatteksts"/>
        <w:spacing w:before="0"/>
        <w:ind w:left="0"/>
        <w:jc w:val="both"/>
        <w:rPr>
          <w:bCs/>
          <w:noProof/>
          <w:color w:val="000000" w:themeColor="text1"/>
          <w:sz w:val="24"/>
        </w:rPr>
      </w:pPr>
      <w:r>
        <w:rPr>
          <w:color w:val="000000" w:themeColor="text1"/>
          <w:sz w:val="24"/>
        </w:rPr>
        <w:t>bērniem vai pusaudžiem, nav konstatēts risks, ko šajās vecuma grupās varētu radīt pašlaik visaugstākās kalcija devas.</w:t>
      </w:r>
    </w:p>
    <w:p w14:paraId="2C99230C" w14:textId="77777777" w:rsidR="00562491" w:rsidRPr="00D91B35" w:rsidRDefault="00562491" w:rsidP="008131C2">
      <w:pPr>
        <w:jc w:val="both"/>
        <w:rPr>
          <w:rFonts w:ascii="Times New Roman" w:eastAsia="Times New Roman" w:hAnsi="Times New Roman" w:cs="Times New Roman"/>
          <w:bCs/>
          <w:noProof/>
          <w:color w:val="000000" w:themeColor="text1"/>
          <w:sz w:val="24"/>
        </w:rPr>
      </w:pPr>
    </w:p>
    <w:p w14:paraId="09E244DA" w14:textId="77777777" w:rsidR="00562491" w:rsidRPr="00D91B35" w:rsidRDefault="00562491" w:rsidP="008131C2">
      <w:pPr>
        <w:jc w:val="both"/>
        <w:rPr>
          <w:rFonts w:ascii="Times New Roman" w:eastAsia="Times New Roman" w:hAnsi="Times New Roman" w:cs="Times New Roman"/>
          <w:bCs/>
          <w:noProof/>
          <w:color w:val="000000" w:themeColor="text1"/>
          <w:sz w:val="24"/>
          <w:szCs w:val="20"/>
        </w:rPr>
      </w:pPr>
    </w:p>
    <w:p w14:paraId="4878093B" w14:textId="4AC107B7" w:rsidR="00562491" w:rsidRDefault="00562491" w:rsidP="00993AF1">
      <w:pPr>
        <w:pStyle w:val="Virsraksts1"/>
        <w:tabs>
          <w:tab w:val="left" w:pos="726"/>
        </w:tabs>
        <w:ind w:left="0" w:firstLine="0"/>
        <w:jc w:val="both"/>
        <w:rPr>
          <w:color w:val="000000" w:themeColor="text1"/>
          <w:sz w:val="24"/>
        </w:rPr>
      </w:pPr>
      <w:bookmarkStart w:id="64" w:name="_Toc73454070"/>
      <w:r>
        <w:rPr>
          <w:color w:val="000000" w:themeColor="text1"/>
          <w:sz w:val="24"/>
        </w:rPr>
        <w:t>ATSAUCES</w:t>
      </w:r>
      <w:bookmarkStart w:id="65" w:name="_bookmark32"/>
      <w:bookmarkEnd w:id="65"/>
      <w:bookmarkEnd w:id="64"/>
    </w:p>
    <w:p w14:paraId="6A51C807" w14:textId="77777777" w:rsidR="00DC6850" w:rsidRPr="00993AF1" w:rsidRDefault="00DC6850" w:rsidP="00993AF1">
      <w:pPr>
        <w:pStyle w:val="Virsraksts1"/>
        <w:tabs>
          <w:tab w:val="left" w:pos="726"/>
        </w:tabs>
        <w:ind w:left="0" w:firstLine="0"/>
        <w:jc w:val="both"/>
        <w:rPr>
          <w:color w:val="000000" w:themeColor="text1"/>
          <w:sz w:val="24"/>
        </w:rPr>
      </w:pPr>
    </w:p>
    <w:p w14:paraId="4006F274" w14:textId="77777777" w:rsidR="00562491" w:rsidRPr="00D91B35" w:rsidRDefault="00562491" w:rsidP="00DC6850">
      <w:pPr>
        <w:pStyle w:val="Pamatteksts"/>
        <w:spacing w:before="0"/>
        <w:ind w:left="0"/>
        <w:jc w:val="both"/>
        <w:rPr>
          <w:bCs/>
          <w:noProof/>
          <w:color w:val="000000" w:themeColor="text1"/>
          <w:sz w:val="24"/>
        </w:rPr>
      </w:pPr>
      <w:r>
        <w:rPr>
          <w:color w:val="000000" w:themeColor="text1"/>
          <w:sz w:val="24"/>
        </w:rPr>
        <w:t>Abrams SA, Wen J and Stuff JE, 1997. Absorption of calcium, zinc, and iron from breast milk by five- to seven-month-old infants. Pediatric Research, 41, 384-390.</w:t>
      </w:r>
      <w:bookmarkStart w:id="66" w:name="_bookmark33"/>
      <w:bookmarkEnd w:id="66"/>
    </w:p>
    <w:p w14:paraId="724E71C5" w14:textId="77777777" w:rsidR="00DC6850" w:rsidRDefault="00DC6850" w:rsidP="00DC6850">
      <w:pPr>
        <w:pStyle w:val="Pamatteksts"/>
        <w:spacing w:before="0"/>
        <w:ind w:left="0"/>
        <w:jc w:val="both"/>
        <w:rPr>
          <w:color w:val="000000" w:themeColor="text1"/>
          <w:sz w:val="24"/>
        </w:rPr>
      </w:pPr>
    </w:p>
    <w:p w14:paraId="659013B2" w14:textId="034B1417" w:rsidR="00562491" w:rsidRPr="00D91B35" w:rsidRDefault="00562491" w:rsidP="00DC6850">
      <w:pPr>
        <w:pStyle w:val="Pamatteksts"/>
        <w:spacing w:before="0"/>
        <w:ind w:left="0"/>
        <w:jc w:val="both"/>
        <w:rPr>
          <w:bCs/>
          <w:noProof/>
          <w:color w:val="000000" w:themeColor="text1"/>
          <w:sz w:val="24"/>
        </w:rPr>
      </w:pPr>
      <w:r>
        <w:rPr>
          <w:color w:val="000000" w:themeColor="text1"/>
          <w:sz w:val="24"/>
        </w:rPr>
        <w:t>Al-Delaimy WK, Rimm E, Willett WC, Stampfer MJ and Hu FB, 2003. A prospective study of calcium intake from diet and supplements and risk of ischemic heart disease among men. American Journal of Clinical Nutrition, 77, 814-818.</w:t>
      </w:r>
      <w:bookmarkStart w:id="67" w:name="_bookmark34"/>
      <w:bookmarkEnd w:id="67"/>
    </w:p>
    <w:p w14:paraId="419AD59A" w14:textId="77777777" w:rsidR="00DC6850" w:rsidRDefault="00DC6850" w:rsidP="00DC6850">
      <w:pPr>
        <w:pStyle w:val="Pamatteksts"/>
        <w:spacing w:before="0"/>
        <w:ind w:left="0"/>
        <w:jc w:val="both"/>
        <w:rPr>
          <w:color w:val="000000" w:themeColor="text1"/>
          <w:sz w:val="24"/>
        </w:rPr>
      </w:pPr>
    </w:p>
    <w:p w14:paraId="63507F69" w14:textId="466F9458" w:rsidR="00562491" w:rsidRPr="00D91B35" w:rsidRDefault="00562491" w:rsidP="00DC6850">
      <w:pPr>
        <w:pStyle w:val="Pamatteksts"/>
        <w:spacing w:before="0"/>
        <w:ind w:left="0"/>
        <w:jc w:val="both"/>
        <w:rPr>
          <w:bCs/>
          <w:noProof/>
          <w:color w:val="000000" w:themeColor="text1"/>
          <w:sz w:val="24"/>
        </w:rPr>
      </w:pPr>
      <w:r>
        <w:rPr>
          <w:color w:val="000000" w:themeColor="text1"/>
          <w:sz w:val="24"/>
        </w:rPr>
        <w:t>Andersen N, Fagt S, Groth M, Hartkopp H, Møller A, Ovesen L and Warming D, 1996. Danskernes kostvaner 1995. Hovedresultater [The Danish diet 1995. Main results]. Levnedsmiddelstyrelsen, Søborg, Denmark, 298 pp.</w:t>
      </w:r>
      <w:bookmarkStart w:id="68" w:name="_bookmark35"/>
      <w:bookmarkEnd w:id="68"/>
    </w:p>
    <w:p w14:paraId="075DFC09" w14:textId="77777777" w:rsidR="00DC6850" w:rsidRDefault="00DC6850" w:rsidP="00DC6850">
      <w:pPr>
        <w:pStyle w:val="Pamatteksts"/>
        <w:spacing w:before="0"/>
        <w:ind w:left="0"/>
        <w:jc w:val="both"/>
        <w:rPr>
          <w:color w:val="000000" w:themeColor="text1"/>
          <w:sz w:val="24"/>
        </w:rPr>
      </w:pPr>
    </w:p>
    <w:p w14:paraId="2234C0A1" w14:textId="6C01426B" w:rsidR="00562491" w:rsidRPr="00D91B35" w:rsidRDefault="00562491" w:rsidP="00DC6850">
      <w:pPr>
        <w:pStyle w:val="Pamatteksts"/>
        <w:spacing w:before="0"/>
        <w:ind w:left="0"/>
        <w:jc w:val="both"/>
        <w:rPr>
          <w:bCs/>
          <w:noProof/>
          <w:color w:val="000000" w:themeColor="text1"/>
          <w:sz w:val="24"/>
        </w:rPr>
      </w:pPr>
      <w:r>
        <w:rPr>
          <w:color w:val="000000" w:themeColor="text1"/>
          <w:sz w:val="24"/>
        </w:rPr>
        <w:t>Ascherio A, Rimm EB, Hernan MA, Giovannucci EL, Kawachi I, Stampfer MJ and Willett WC, 1998. Intake of potassium, magnesium, calcium, and fiber and risk of stroke among US men. Circulation, 98, 1198-1204.</w:t>
      </w:r>
      <w:bookmarkStart w:id="69" w:name="_bookmark36"/>
      <w:bookmarkEnd w:id="69"/>
    </w:p>
    <w:p w14:paraId="333EFBF1" w14:textId="77777777" w:rsidR="00DC6850" w:rsidRDefault="00DC6850" w:rsidP="00DC6850">
      <w:pPr>
        <w:pStyle w:val="Pamatteksts"/>
        <w:spacing w:before="0"/>
        <w:ind w:left="0"/>
        <w:jc w:val="both"/>
        <w:rPr>
          <w:color w:val="000000" w:themeColor="text1"/>
          <w:sz w:val="24"/>
        </w:rPr>
      </w:pPr>
    </w:p>
    <w:p w14:paraId="5CCEA007" w14:textId="3B9A8DCE" w:rsidR="00562491" w:rsidRPr="00D91B35" w:rsidRDefault="00562491" w:rsidP="00DC6850">
      <w:pPr>
        <w:pStyle w:val="Pamatteksts"/>
        <w:spacing w:before="0"/>
        <w:ind w:left="0"/>
        <w:jc w:val="both"/>
        <w:rPr>
          <w:bCs/>
          <w:noProof/>
          <w:color w:val="000000" w:themeColor="text1"/>
          <w:sz w:val="24"/>
        </w:rPr>
      </w:pPr>
      <w:r>
        <w:rPr>
          <w:color w:val="000000" w:themeColor="text1"/>
          <w:sz w:val="24"/>
        </w:rPr>
        <w:t>Asmus HG, Braun J, Krause R, Brunkhorst R, Holzer H, Schulz W, Neumayer HH, Raggi P and Bommer J, 2005. Two year comparison of sevelamer and calcium carbonate effects on cardiovascular calcification and bone density. Nephrology, Dialysis, Transplantation, 20, 1653- 1661.</w:t>
      </w:r>
      <w:bookmarkStart w:id="70" w:name="_bookmark37"/>
      <w:bookmarkEnd w:id="70"/>
    </w:p>
    <w:p w14:paraId="3F6EB1BA" w14:textId="77777777" w:rsidR="00DC6850" w:rsidRDefault="00DC6850" w:rsidP="00DC6850">
      <w:pPr>
        <w:pStyle w:val="Pamatteksts"/>
        <w:spacing w:before="0"/>
        <w:ind w:left="0"/>
        <w:jc w:val="both"/>
        <w:rPr>
          <w:color w:val="000000" w:themeColor="text1"/>
          <w:sz w:val="24"/>
        </w:rPr>
      </w:pPr>
    </w:p>
    <w:p w14:paraId="7DDE0794" w14:textId="125419CE" w:rsidR="00562491" w:rsidRPr="00D91B35" w:rsidRDefault="00562491" w:rsidP="00DC6850">
      <w:pPr>
        <w:pStyle w:val="Pamatteksts"/>
        <w:spacing w:before="0"/>
        <w:ind w:left="0"/>
        <w:jc w:val="both"/>
        <w:rPr>
          <w:bCs/>
          <w:noProof/>
          <w:color w:val="000000" w:themeColor="text1"/>
          <w:sz w:val="24"/>
        </w:rPr>
      </w:pPr>
      <w:r>
        <w:rPr>
          <w:color w:val="000000" w:themeColor="text1"/>
          <w:sz w:val="24"/>
        </w:rPr>
        <w:t>Audran M, Bataille P, Sebert JL, Crouzet G, Auvinet B, Laval-Jeantet MA, Basle MF and Renier JC, 1991. [Bone density in idiopathic hypercalciuria in men. Study by dual photon absorptiometry, X- ray computed tomography and histomorphometry]. Revue du Rhumatisme et des Maladies Osteo- Articulaires, 58, 747-750.</w:t>
      </w:r>
      <w:bookmarkStart w:id="71" w:name="_bookmark38"/>
      <w:bookmarkEnd w:id="71"/>
    </w:p>
    <w:p w14:paraId="1A27797E" w14:textId="77777777" w:rsidR="00DC6850" w:rsidRDefault="00DC6850" w:rsidP="00DC6850">
      <w:pPr>
        <w:pStyle w:val="Pamatteksts"/>
        <w:spacing w:before="0"/>
        <w:ind w:left="0"/>
        <w:jc w:val="both"/>
        <w:rPr>
          <w:color w:val="000000" w:themeColor="text1"/>
          <w:sz w:val="24"/>
        </w:rPr>
      </w:pPr>
    </w:p>
    <w:p w14:paraId="49D5AD34" w14:textId="14A507C3" w:rsidR="00562491" w:rsidRPr="00D91B35" w:rsidRDefault="00562491" w:rsidP="00DC6850">
      <w:pPr>
        <w:pStyle w:val="Pamatteksts"/>
        <w:spacing w:before="0"/>
        <w:ind w:left="0"/>
        <w:jc w:val="both"/>
        <w:rPr>
          <w:bCs/>
          <w:noProof/>
          <w:color w:val="000000" w:themeColor="text1"/>
          <w:sz w:val="24"/>
        </w:rPr>
      </w:pPr>
      <w:r>
        <w:rPr>
          <w:color w:val="000000" w:themeColor="text1"/>
          <w:sz w:val="24"/>
        </w:rPr>
        <w:t>Baron JA, Beach M, Mandel JS, van Stolk RU, Haile RW, Sandler RS, Rothstein R, Summers RW, Snover DC, Beck GJ, Bond JH and Greenberg ER, 1999. Calcium supplements for the prevention of colorectal adenomas. Calcium Polyp Prevention Study Group. New England Journal of Medicine, 340, 101-107.</w:t>
      </w:r>
      <w:bookmarkStart w:id="72" w:name="_bookmark39"/>
      <w:bookmarkEnd w:id="72"/>
    </w:p>
    <w:p w14:paraId="1A51074E" w14:textId="77777777" w:rsidR="00DC6850" w:rsidRDefault="00DC6850" w:rsidP="00DC6850">
      <w:pPr>
        <w:pStyle w:val="Pamatteksts"/>
        <w:spacing w:before="0"/>
        <w:ind w:left="0"/>
        <w:jc w:val="both"/>
        <w:rPr>
          <w:color w:val="000000" w:themeColor="text1"/>
          <w:sz w:val="24"/>
        </w:rPr>
      </w:pPr>
    </w:p>
    <w:p w14:paraId="25628839" w14:textId="776C8C58" w:rsidR="00562491" w:rsidRPr="00D91B35" w:rsidRDefault="00562491" w:rsidP="00DC6850">
      <w:pPr>
        <w:pStyle w:val="Pamatteksts"/>
        <w:spacing w:before="0"/>
        <w:ind w:left="0"/>
        <w:jc w:val="both"/>
        <w:rPr>
          <w:bCs/>
          <w:noProof/>
          <w:color w:val="000000" w:themeColor="text1"/>
          <w:sz w:val="24"/>
        </w:rPr>
      </w:pPr>
      <w:r>
        <w:rPr>
          <w:color w:val="000000" w:themeColor="text1"/>
          <w:sz w:val="24"/>
        </w:rPr>
        <w:t>Baron JA, Beach M, Wallace K, Grau MV, Sandler RS, Mandel JS, Heber D and Greenberg ER, 2005. Risk of prostate cancer in a randomized clinical trial of calcium supplementation. Cancer Epidemiology, Biomarkers and Prevention, 14, 586-589.</w:t>
      </w:r>
      <w:bookmarkStart w:id="73" w:name="_bookmark40"/>
      <w:bookmarkEnd w:id="73"/>
    </w:p>
    <w:p w14:paraId="466C7445" w14:textId="77777777" w:rsidR="00DC6850" w:rsidRDefault="00DC6850" w:rsidP="00DC6850">
      <w:pPr>
        <w:pStyle w:val="Pamatteksts"/>
        <w:spacing w:before="0"/>
        <w:ind w:left="0"/>
        <w:jc w:val="both"/>
        <w:rPr>
          <w:color w:val="000000" w:themeColor="text1"/>
          <w:sz w:val="24"/>
        </w:rPr>
      </w:pPr>
    </w:p>
    <w:p w14:paraId="5010AE80" w14:textId="3191EE37" w:rsidR="00562491" w:rsidRPr="00D91B35" w:rsidRDefault="00562491" w:rsidP="00DC6850">
      <w:pPr>
        <w:pStyle w:val="Pamatteksts"/>
        <w:spacing w:before="0"/>
        <w:ind w:left="0"/>
        <w:jc w:val="both"/>
        <w:rPr>
          <w:bCs/>
          <w:noProof/>
          <w:color w:val="000000" w:themeColor="text1"/>
          <w:sz w:val="24"/>
        </w:rPr>
      </w:pPr>
      <w:r>
        <w:rPr>
          <w:color w:val="000000" w:themeColor="text1"/>
          <w:sz w:val="24"/>
        </w:rPr>
        <w:t>Bataille P, Achard JM, Fournier A, Boudailliez B, Westeel PF, el Esper N, Bergot C, Jans I, Lalau JD, Petit J and et al., 1991. Diet, vitamin D and vertebral mineral density in hypercalciuric calcium stone formers. Kidney International, 39, 1193-1205.</w:t>
      </w:r>
      <w:bookmarkStart w:id="74" w:name="_bookmark41"/>
      <w:bookmarkEnd w:id="74"/>
    </w:p>
    <w:p w14:paraId="4BA6E40A" w14:textId="77777777" w:rsidR="00DC6850" w:rsidRDefault="00DC6850" w:rsidP="00DC6850">
      <w:pPr>
        <w:pStyle w:val="Pamatteksts"/>
        <w:spacing w:before="0"/>
        <w:ind w:left="0"/>
        <w:jc w:val="both"/>
        <w:rPr>
          <w:color w:val="000000" w:themeColor="text1"/>
          <w:sz w:val="24"/>
        </w:rPr>
      </w:pPr>
    </w:p>
    <w:p w14:paraId="2B033C64" w14:textId="49B54F10" w:rsidR="00562491" w:rsidRPr="00D91B35" w:rsidRDefault="00562491" w:rsidP="00DC6850">
      <w:pPr>
        <w:pStyle w:val="Pamatteksts"/>
        <w:spacing w:before="0"/>
        <w:ind w:left="0"/>
        <w:jc w:val="both"/>
        <w:rPr>
          <w:bCs/>
          <w:noProof/>
          <w:color w:val="000000" w:themeColor="text1"/>
          <w:sz w:val="24"/>
        </w:rPr>
      </w:pPr>
      <w:r>
        <w:rPr>
          <w:color w:val="000000" w:themeColor="text1"/>
          <w:sz w:val="24"/>
        </w:rPr>
        <w:t>Bates E, Lennox A, Bates C and Swan G, 2011. National Diet and Nutrition Survey. Headline results from Years 1 and 2 (combined) of the Rolling Programme (2008/2009 - 2009/2010). A Survey carried out on the behalf of the Food Standards Agency and the Department of Health, 68 pp.</w:t>
      </w:r>
      <w:bookmarkStart w:id="75" w:name="_bookmark42"/>
      <w:bookmarkEnd w:id="75"/>
    </w:p>
    <w:p w14:paraId="4B04B451" w14:textId="77777777" w:rsidR="00DC6850" w:rsidRDefault="00DC6850" w:rsidP="00DC6850">
      <w:pPr>
        <w:pStyle w:val="Pamatteksts"/>
        <w:spacing w:before="0"/>
        <w:ind w:left="0"/>
        <w:jc w:val="both"/>
        <w:rPr>
          <w:color w:val="000000" w:themeColor="text1"/>
          <w:sz w:val="24"/>
        </w:rPr>
      </w:pPr>
    </w:p>
    <w:p w14:paraId="3630A4A4" w14:textId="5C873B8F" w:rsidR="00562491" w:rsidRPr="00D91B35" w:rsidRDefault="00562491" w:rsidP="00DC6850">
      <w:pPr>
        <w:pStyle w:val="Pamatteksts"/>
        <w:spacing w:before="0"/>
        <w:ind w:left="0"/>
        <w:jc w:val="both"/>
        <w:rPr>
          <w:bCs/>
          <w:noProof/>
          <w:color w:val="000000" w:themeColor="text1"/>
          <w:sz w:val="24"/>
        </w:rPr>
      </w:pPr>
      <w:r>
        <w:rPr>
          <w:color w:val="000000" w:themeColor="text1"/>
          <w:sz w:val="24"/>
        </w:rPr>
        <w:t>Becker W and Pearson M, 2002. Riksmaten 1997-1998. Befolkningens kostvanor och näringsintag. Metod- och resultatanalys [Riksmaten 1997-1998. Dietary habits and nutrient intake in Sweden. Benchmarking analysis]. Livsmedelsverket, 201 pp.</w:t>
      </w:r>
      <w:bookmarkStart w:id="76" w:name="_bookmark43"/>
      <w:bookmarkEnd w:id="76"/>
    </w:p>
    <w:p w14:paraId="531D8D15" w14:textId="77777777" w:rsidR="00DC6850" w:rsidRDefault="00DC6850" w:rsidP="00DC6850">
      <w:pPr>
        <w:pStyle w:val="Pamatteksts"/>
        <w:spacing w:before="0"/>
        <w:ind w:left="0"/>
        <w:jc w:val="both"/>
        <w:rPr>
          <w:color w:val="000000" w:themeColor="text1"/>
          <w:sz w:val="24"/>
        </w:rPr>
      </w:pPr>
    </w:p>
    <w:p w14:paraId="0328F907" w14:textId="0E865953" w:rsidR="00562491" w:rsidRPr="00D91B35" w:rsidRDefault="00562491" w:rsidP="00DC6850">
      <w:pPr>
        <w:pStyle w:val="Pamatteksts"/>
        <w:spacing w:before="0"/>
        <w:ind w:left="0"/>
        <w:jc w:val="both"/>
        <w:rPr>
          <w:bCs/>
          <w:noProof/>
          <w:color w:val="000000" w:themeColor="text1"/>
          <w:sz w:val="24"/>
        </w:rPr>
      </w:pPr>
      <w:r>
        <w:rPr>
          <w:color w:val="000000" w:themeColor="text1"/>
          <w:sz w:val="24"/>
        </w:rPr>
        <w:t>Berndt SI, Carter HB, Landis PK, Tucker KL, Hsieh LJ, Metter EJ, Platz EA and Baltimore Longitudinal Study of A, 2002. Calcium intake and prostate cancer risk in a long-term aging study: the Baltimore Longitudinal Study of Aging. Urology, 60, 1118-1123.</w:t>
      </w:r>
      <w:bookmarkStart w:id="77" w:name="_bookmark44"/>
      <w:bookmarkEnd w:id="77"/>
    </w:p>
    <w:p w14:paraId="183D0C70" w14:textId="77777777" w:rsidR="00DC6850" w:rsidRDefault="00DC6850" w:rsidP="00DC6850">
      <w:pPr>
        <w:pStyle w:val="Pamatteksts"/>
        <w:spacing w:before="0"/>
        <w:ind w:left="0"/>
        <w:jc w:val="both"/>
        <w:rPr>
          <w:color w:val="000000" w:themeColor="text1"/>
          <w:sz w:val="24"/>
        </w:rPr>
      </w:pPr>
    </w:p>
    <w:p w14:paraId="2CE3DAFC" w14:textId="2FBA46DB" w:rsidR="00562491" w:rsidRPr="00D91B35" w:rsidRDefault="00562491" w:rsidP="00DC6850">
      <w:pPr>
        <w:pStyle w:val="Pamatteksts"/>
        <w:spacing w:before="0"/>
        <w:ind w:left="0"/>
        <w:jc w:val="both"/>
        <w:rPr>
          <w:bCs/>
          <w:noProof/>
          <w:color w:val="000000" w:themeColor="text1"/>
          <w:sz w:val="24"/>
        </w:rPr>
      </w:pPr>
      <w:r>
        <w:rPr>
          <w:color w:val="000000" w:themeColor="text1"/>
          <w:sz w:val="24"/>
        </w:rPr>
        <w:t>Bhakta M, Bruce C, Messika-Zeitoun D, Bielak L, Sheedy PF, Peyser P and Sarano M, 2009. Oral calcium supplements do not affect the progression of aortic valve calcification or coronary artery calcification. Journal of the American Board of Family Medicine, 22, 610-616.</w:t>
      </w:r>
      <w:bookmarkStart w:id="78" w:name="_bookmark45"/>
      <w:bookmarkEnd w:id="78"/>
    </w:p>
    <w:p w14:paraId="65123CE0" w14:textId="77777777" w:rsidR="00DC6850" w:rsidRDefault="00DC6850" w:rsidP="00DC6850">
      <w:pPr>
        <w:pStyle w:val="Pamatteksts"/>
        <w:spacing w:before="0"/>
        <w:ind w:left="0"/>
        <w:jc w:val="both"/>
        <w:rPr>
          <w:color w:val="000000" w:themeColor="text1"/>
          <w:sz w:val="24"/>
        </w:rPr>
      </w:pPr>
    </w:p>
    <w:p w14:paraId="3C54C319" w14:textId="7912E619" w:rsidR="00562491" w:rsidRPr="00D91B35" w:rsidRDefault="00562491" w:rsidP="00DC6850">
      <w:pPr>
        <w:pStyle w:val="Pamatteksts"/>
        <w:spacing w:before="0"/>
        <w:ind w:left="0"/>
        <w:jc w:val="both"/>
        <w:rPr>
          <w:bCs/>
          <w:noProof/>
          <w:color w:val="000000" w:themeColor="text1"/>
          <w:sz w:val="24"/>
        </w:rPr>
      </w:pPr>
      <w:r>
        <w:rPr>
          <w:color w:val="000000" w:themeColor="text1"/>
          <w:sz w:val="24"/>
        </w:rPr>
        <w:t>Block GA, Spiegel DM, Ehrlich J, Mehta R, Lindbergh J, Dreisbach A and Raggi P, 2005. Effects of sevelamer and calcium on coronary artery calcification in patients new to hemodialysis. Kidney International, 68, 1815-1824.</w:t>
      </w:r>
      <w:bookmarkStart w:id="79" w:name="_bookmark46"/>
      <w:bookmarkEnd w:id="79"/>
    </w:p>
    <w:p w14:paraId="747C8A22" w14:textId="77777777" w:rsidR="00DC6850" w:rsidRDefault="00DC6850" w:rsidP="00DC6850">
      <w:pPr>
        <w:pStyle w:val="Pamatteksts"/>
        <w:spacing w:before="0"/>
        <w:ind w:left="0"/>
        <w:jc w:val="both"/>
        <w:rPr>
          <w:color w:val="000000" w:themeColor="text1"/>
          <w:sz w:val="24"/>
        </w:rPr>
      </w:pPr>
    </w:p>
    <w:p w14:paraId="1ACD6FD9" w14:textId="07B63784" w:rsidR="00562491" w:rsidRPr="00D91B35" w:rsidRDefault="00562491" w:rsidP="00DC6850">
      <w:pPr>
        <w:pStyle w:val="Pamatteksts"/>
        <w:spacing w:before="0"/>
        <w:ind w:left="0"/>
        <w:jc w:val="both"/>
        <w:rPr>
          <w:bCs/>
          <w:noProof/>
          <w:color w:val="000000" w:themeColor="text1"/>
          <w:sz w:val="24"/>
        </w:rPr>
      </w:pPr>
      <w:r>
        <w:rPr>
          <w:color w:val="000000" w:themeColor="text1"/>
          <w:sz w:val="24"/>
        </w:rPr>
        <w:t>Boing H, Martinez L, Frentzel-Beyme R and Oltersdorf U, 1985. Regional nutritional pattern and cancer mortality in the Federal Republic of Germany. Nutrition and Cancer, 7, 121-130.</w:t>
      </w:r>
      <w:bookmarkStart w:id="80" w:name="_bookmark47"/>
      <w:bookmarkEnd w:id="80"/>
    </w:p>
    <w:p w14:paraId="5648A289" w14:textId="77777777" w:rsidR="00562491" w:rsidRPr="00D91B35" w:rsidRDefault="00562491" w:rsidP="00DC6850">
      <w:pPr>
        <w:pStyle w:val="Pamatteksts"/>
        <w:spacing w:before="0"/>
        <w:ind w:left="0"/>
        <w:jc w:val="both"/>
        <w:rPr>
          <w:bCs/>
          <w:noProof/>
          <w:color w:val="000000" w:themeColor="text1"/>
          <w:sz w:val="24"/>
        </w:rPr>
      </w:pPr>
      <w:r>
        <w:rPr>
          <w:color w:val="000000" w:themeColor="text1"/>
          <w:sz w:val="24"/>
        </w:rPr>
        <w:t>Bolland MJ, Barber PA, Doughty RN, Mason B, Horne A, Ames R, Gamble GD, Grey A and Reid IR, 2008. Vascular events in healthy older women receiving calcium supplementation: randomised controlled trial. British Medical Journal (Clinical Research Edition), 336, 262-266.</w:t>
      </w:r>
      <w:bookmarkStart w:id="81" w:name="_bookmark48"/>
      <w:bookmarkEnd w:id="81"/>
    </w:p>
    <w:p w14:paraId="7B65888F" w14:textId="77777777" w:rsidR="00DC6850" w:rsidRDefault="00DC6850" w:rsidP="00DC6850">
      <w:pPr>
        <w:pStyle w:val="Pamatteksts"/>
        <w:spacing w:before="0"/>
        <w:ind w:left="0"/>
        <w:jc w:val="both"/>
        <w:rPr>
          <w:color w:val="000000" w:themeColor="text1"/>
          <w:sz w:val="24"/>
        </w:rPr>
      </w:pPr>
    </w:p>
    <w:p w14:paraId="3B903F48" w14:textId="68CC299E" w:rsidR="00562491" w:rsidRPr="00D91B35" w:rsidRDefault="00562491" w:rsidP="00DC6850">
      <w:pPr>
        <w:pStyle w:val="Pamatteksts"/>
        <w:spacing w:before="0"/>
        <w:ind w:left="0"/>
        <w:jc w:val="both"/>
        <w:rPr>
          <w:bCs/>
          <w:noProof/>
          <w:color w:val="000000" w:themeColor="text1"/>
          <w:sz w:val="24"/>
        </w:rPr>
      </w:pPr>
      <w:r>
        <w:rPr>
          <w:color w:val="000000" w:themeColor="text1"/>
          <w:sz w:val="24"/>
        </w:rPr>
        <w:t>Bolland MJ, Avenell A, Baron JA, Grey A, MacLennan GS, Gamble GD and Reid IR, 2010. Effect of calcium supplements on risk of myocardial infarction and cardiovascular events: meta-analysis. British Medical Journal (Clinical Research Edition), 341, c3691.</w:t>
      </w:r>
      <w:bookmarkStart w:id="82" w:name="_bookmark49"/>
      <w:bookmarkEnd w:id="82"/>
    </w:p>
    <w:p w14:paraId="1640F63B" w14:textId="77777777" w:rsidR="00DC6850" w:rsidRDefault="00DC6850" w:rsidP="00DC6850">
      <w:pPr>
        <w:pStyle w:val="Pamatteksts"/>
        <w:spacing w:before="0"/>
        <w:ind w:left="0"/>
        <w:jc w:val="both"/>
        <w:rPr>
          <w:color w:val="000000" w:themeColor="text1"/>
          <w:sz w:val="24"/>
        </w:rPr>
      </w:pPr>
    </w:p>
    <w:p w14:paraId="27D87B02" w14:textId="5376F926" w:rsidR="00562491" w:rsidRPr="00D91B35" w:rsidRDefault="00562491" w:rsidP="00DC6850">
      <w:pPr>
        <w:pStyle w:val="Pamatteksts"/>
        <w:spacing w:before="0"/>
        <w:ind w:left="0"/>
        <w:jc w:val="both"/>
        <w:rPr>
          <w:bCs/>
          <w:noProof/>
          <w:color w:val="000000" w:themeColor="text1"/>
          <w:sz w:val="24"/>
        </w:rPr>
      </w:pPr>
      <w:r>
        <w:rPr>
          <w:color w:val="000000" w:themeColor="text1"/>
          <w:sz w:val="24"/>
        </w:rPr>
        <w:t>Bolland MJ, Grey A, Avenell A, Gamble GD and Reid IR, 2011. Calcium supplements with or without vitamin D and risk of cardiovascular events: reanalysis of the Women's Health Initiative limited access dataset and meta-analysis. British Medical Journal (Clinical Research Edition), 342, d2040.</w:t>
      </w:r>
      <w:bookmarkStart w:id="83" w:name="_bookmark50"/>
      <w:bookmarkEnd w:id="83"/>
    </w:p>
    <w:p w14:paraId="203760A0" w14:textId="77777777" w:rsidR="00DC6850" w:rsidRDefault="00DC6850" w:rsidP="00DC6850">
      <w:pPr>
        <w:pStyle w:val="Pamatteksts"/>
        <w:spacing w:before="0"/>
        <w:ind w:left="0"/>
        <w:jc w:val="both"/>
        <w:rPr>
          <w:color w:val="000000" w:themeColor="text1"/>
          <w:sz w:val="24"/>
        </w:rPr>
      </w:pPr>
    </w:p>
    <w:p w14:paraId="36F3CB00" w14:textId="5532FD97" w:rsidR="00562491" w:rsidRPr="00D91B35" w:rsidRDefault="00562491" w:rsidP="00DC6850">
      <w:pPr>
        <w:pStyle w:val="Pamatteksts"/>
        <w:spacing w:before="0"/>
        <w:ind w:left="0"/>
        <w:jc w:val="both"/>
        <w:rPr>
          <w:bCs/>
          <w:noProof/>
          <w:color w:val="000000" w:themeColor="text1"/>
          <w:sz w:val="24"/>
        </w:rPr>
      </w:pPr>
      <w:r>
        <w:rPr>
          <w:color w:val="000000" w:themeColor="text1"/>
          <w:sz w:val="24"/>
        </w:rPr>
        <w:t>Bonithon-Kopp C, Kronborg O, Giacosa A, Rath U and Faivre J, 2000. Calcium and fibre supplementation in prevention of colorectal adenoma recurrence: a randomised intervention trial. European Cancer Prevention Organisation Study Group. Lancet, 356, 1300-1306.</w:t>
      </w:r>
      <w:bookmarkStart w:id="84" w:name="_bookmark51"/>
      <w:bookmarkEnd w:id="84"/>
    </w:p>
    <w:p w14:paraId="3873481E" w14:textId="77777777" w:rsidR="00DC6850" w:rsidRDefault="00DC6850" w:rsidP="00DC6850">
      <w:pPr>
        <w:pStyle w:val="Pamatteksts"/>
        <w:spacing w:before="0"/>
        <w:ind w:left="0"/>
        <w:jc w:val="both"/>
        <w:rPr>
          <w:color w:val="000000" w:themeColor="text1"/>
          <w:sz w:val="24"/>
        </w:rPr>
      </w:pPr>
    </w:p>
    <w:p w14:paraId="41BF9F95" w14:textId="07829AA4" w:rsidR="00562491" w:rsidRPr="00D91B35" w:rsidRDefault="00562491" w:rsidP="00DC6850">
      <w:pPr>
        <w:pStyle w:val="Pamatteksts"/>
        <w:spacing w:before="0"/>
        <w:ind w:left="0"/>
        <w:jc w:val="both"/>
        <w:rPr>
          <w:bCs/>
          <w:noProof/>
          <w:color w:val="000000" w:themeColor="text1"/>
          <w:sz w:val="24"/>
        </w:rPr>
      </w:pPr>
      <w:r>
        <w:rPr>
          <w:color w:val="000000" w:themeColor="text1"/>
          <w:sz w:val="24"/>
        </w:rPr>
        <w:t>Bonnick S, Broy S, Kaiser F, Teutsch C, Rosenberg E, DeLucca P and Melton M, 2007. Treatment with alendronate plus calcium, alendronate alone, or calcium alone for postmenopausal low bone mineral density. Current Medical Research and Opinion, 23, 1341-1349.</w:t>
      </w:r>
      <w:bookmarkStart w:id="85" w:name="_bookmark52"/>
      <w:bookmarkEnd w:id="85"/>
    </w:p>
    <w:p w14:paraId="2626D2E4" w14:textId="77777777" w:rsidR="00DC6850" w:rsidRDefault="00DC6850" w:rsidP="00DC6850">
      <w:pPr>
        <w:pStyle w:val="Pamatteksts"/>
        <w:spacing w:before="0"/>
        <w:ind w:left="0"/>
        <w:jc w:val="both"/>
        <w:rPr>
          <w:color w:val="000000" w:themeColor="text1"/>
          <w:sz w:val="24"/>
        </w:rPr>
      </w:pPr>
    </w:p>
    <w:p w14:paraId="6F59F623" w14:textId="39A265C4" w:rsidR="00562491" w:rsidRPr="00D91B35" w:rsidRDefault="00562491" w:rsidP="00DC6850">
      <w:pPr>
        <w:pStyle w:val="Pamatteksts"/>
        <w:spacing w:before="0"/>
        <w:ind w:left="0"/>
        <w:jc w:val="both"/>
        <w:rPr>
          <w:bCs/>
          <w:noProof/>
          <w:color w:val="000000" w:themeColor="text1"/>
          <w:sz w:val="24"/>
        </w:rPr>
      </w:pPr>
      <w:r>
        <w:rPr>
          <w:color w:val="000000" w:themeColor="text1"/>
          <w:sz w:val="24"/>
        </w:rPr>
        <w:t>Bostick RM, Kushi LH, Wu Y, Meyer KA, Sellers TA and Folsom AR, 1999. Relation of calcium, vitamin D, and dairy food intake to ischemic heart disease mortality among postmenopausal women. American Journal of Epidemiology, 149, 151-161.</w:t>
      </w:r>
      <w:bookmarkStart w:id="86" w:name="_bookmark53"/>
      <w:bookmarkEnd w:id="86"/>
    </w:p>
    <w:p w14:paraId="3F639E4C" w14:textId="77777777" w:rsidR="00DC6850" w:rsidRDefault="00DC6850" w:rsidP="00DC6850">
      <w:pPr>
        <w:pStyle w:val="Pamatteksts"/>
        <w:spacing w:before="0"/>
        <w:ind w:left="0"/>
        <w:jc w:val="both"/>
        <w:rPr>
          <w:color w:val="000000" w:themeColor="text1"/>
          <w:sz w:val="24"/>
        </w:rPr>
      </w:pPr>
    </w:p>
    <w:p w14:paraId="694482D7" w14:textId="3A7541A1" w:rsidR="00562491" w:rsidRPr="00D91B35" w:rsidRDefault="00562491" w:rsidP="00DC6850">
      <w:pPr>
        <w:pStyle w:val="Pamatteksts"/>
        <w:spacing w:before="0"/>
        <w:ind w:left="0"/>
        <w:jc w:val="both"/>
        <w:rPr>
          <w:bCs/>
          <w:noProof/>
          <w:color w:val="000000" w:themeColor="text1"/>
          <w:sz w:val="24"/>
        </w:rPr>
      </w:pPr>
      <w:r>
        <w:rPr>
          <w:color w:val="000000" w:themeColor="text1"/>
          <w:sz w:val="24"/>
        </w:rPr>
        <w:t>Bronner F, 1992. Current concepts of calcium absorption: an overview. Journal of Nutrition, 122, 641-643.</w:t>
      </w:r>
      <w:bookmarkStart w:id="87" w:name="_bookmark54"/>
      <w:bookmarkEnd w:id="87"/>
    </w:p>
    <w:p w14:paraId="3CFFD9A9" w14:textId="77777777" w:rsidR="00DC6850" w:rsidRDefault="00DC6850" w:rsidP="00DC6850">
      <w:pPr>
        <w:pStyle w:val="Pamatteksts"/>
        <w:spacing w:before="0"/>
        <w:ind w:left="0"/>
        <w:jc w:val="both"/>
        <w:rPr>
          <w:color w:val="000000" w:themeColor="text1"/>
          <w:sz w:val="24"/>
        </w:rPr>
      </w:pPr>
    </w:p>
    <w:p w14:paraId="045C6221" w14:textId="6BBC9728" w:rsidR="00562491" w:rsidRPr="00D91B35" w:rsidRDefault="00562491" w:rsidP="00DC6850">
      <w:pPr>
        <w:pStyle w:val="Pamatteksts"/>
        <w:spacing w:before="0"/>
        <w:ind w:left="0"/>
        <w:jc w:val="both"/>
        <w:rPr>
          <w:bCs/>
          <w:noProof/>
          <w:color w:val="000000" w:themeColor="text1"/>
          <w:sz w:val="24"/>
        </w:rPr>
      </w:pPr>
      <w:r>
        <w:rPr>
          <w:color w:val="000000" w:themeColor="text1"/>
          <w:sz w:val="24"/>
        </w:rPr>
        <w:t>Burnett CH, Commons RR and et al., 1949. Hypercalcemia without hypercalcuria or hypophosphatemia, calcinosis and renal insufficiency; a syndrome following prolonged intake of milk and alkali. New England Journal of Medicine, 240, 787-794.</w:t>
      </w:r>
      <w:bookmarkStart w:id="88" w:name="_bookmark55"/>
      <w:bookmarkEnd w:id="88"/>
    </w:p>
    <w:p w14:paraId="4F79A355" w14:textId="77777777" w:rsidR="00DC6850" w:rsidRDefault="00DC6850" w:rsidP="00DC6850">
      <w:pPr>
        <w:pStyle w:val="Pamatteksts"/>
        <w:spacing w:before="0"/>
        <w:ind w:left="0"/>
        <w:jc w:val="both"/>
        <w:rPr>
          <w:color w:val="000000" w:themeColor="text1"/>
          <w:sz w:val="24"/>
        </w:rPr>
      </w:pPr>
    </w:p>
    <w:p w14:paraId="672D2E4E" w14:textId="3E4DF340" w:rsidR="00562491" w:rsidRPr="00D91B35" w:rsidRDefault="00562491" w:rsidP="00DC6850">
      <w:pPr>
        <w:pStyle w:val="Pamatteksts"/>
        <w:spacing w:before="0"/>
        <w:ind w:left="0"/>
        <w:jc w:val="both"/>
        <w:rPr>
          <w:bCs/>
          <w:noProof/>
          <w:color w:val="000000" w:themeColor="text1"/>
          <w:sz w:val="24"/>
        </w:rPr>
      </w:pPr>
      <w:r>
        <w:rPr>
          <w:color w:val="000000" w:themeColor="text1"/>
          <w:sz w:val="24"/>
        </w:rPr>
        <w:t>Bushinsky DA, 2001. Acid-base imbalance and the skeleton. European Journal of Nutrition, 40, 238- 244.</w:t>
      </w:r>
      <w:bookmarkStart w:id="89" w:name="_bookmark56"/>
      <w:bookmarkEnd w:id="89"/>
    </w:p>
    <w:p w14:paraId="13477E39" w14:textId="77777777" w:rsidR="00DC6850" w:rsidRDefault="00DC6850" w:rsidP="00DC6850">
      <w:pPr>
        <w:pStyle w:val="Pamatteksts"/>
        <w:spacing w:before="0"/>
        <w:ind w:left="0"/>
        <w:jc w:val="both"/>
        <w:rPr>
          <w:color w:val="000000" w:themeColor="text1"/>
          <w:sz w:val="24"/>
        </w:rPr>
      </w:pPr>
    </w:p>
    <w:p w14:paraId="4B564784" w14:textId="087BDFDB" w:rsidR="00562491" w:rsidRPr="00D91B35" w:rsidRDefault="00562491" w:rsidP="00DC6850">
      <w:pPr>
        <w:pStyle w:val="Pamatteksts"/>
        <w:spacing w:before="0"/>
        <w:ind w:left="0"/>
        <w:jc w:val="both"/>
        <w:rPr>
          <w:bCs/>
          <w:noProof/>
          <w:color w:val="000000" w:themeColor="text1"/>
          <w:sz w:val="24"/>
        </w:rPr>
      </w:pPr>
      <w:r>
        <w:rPr>
          <w:color w:val="000000" w:themeColor="text1"/>
          <w:sz w:val="24"/>
        </w:rPr>
        <w:t>Chan JM, Giovannucci E, Andersson SO, Yuen J, Adami HO and Wolk A, 1998. Dairy products, calcium, phosphorous, vitamin D, and risk of prostate cancer (Sweden). Cancer Causes and Control, 9, 559-566.</w:t>
      </w:r>
      <w:bookmarkStart w:id="90" w:name="_bookmark57"/>
      <w:bookmarkEnd w:id="90"/>
    </w:p>
    <w:p w14:paraId="061BD144" w14:textId="77777777" w:rsidR="00DC6850" w:rsidRDefault="00DC6850" w:rsidP="00DC6850">
      <w:pPr>
        <w:pStyle w:val="Pamatteksts"/>
        <w:spacing w:before="0"/>
        <w:ind w:left="0"/>
        <w:jc w:val="both"/>
        <w:rPr>
          <w:color w:val="000000" w:themeColor="text1"/>
          <w:sz w:val="24"/>
        </w:rPr>
      </w:pPr>
    </w:p>
    <w:p w14:paraId="48028358" w14:textId="38C203E2" w:rsidR="00562491" w:rsidRPr="00D91B35" w:rsidRDefault="00562491" w:rsidP="00DC6850">
      <w:pPr>
        <w:pStyle w:val="Pamatteksts"/>
        <w:spacing w:before="0"/>
        <w:ind w:left="0"/>
        <w:jc w:val="both"/>
        <w:rPr>
          <w:bCs/>
          <w:noProof/>
          <w:color w:val="000000" w:themeColor="text1"/>
          <w:sz w:val="24"/>
        </w:rPr>
      </w:pPr>
      <w:r>
        <w:rPr>
          <w:color w:val="000000" w:themeColor="text1"/>
          <w:sz w:val="24"/>
        </w:rPr>
        <w:t>Chan JM, Pietinen P, Virtanen M, Malila N, Tangrea J, Albanes D and Virtamo J, 2000. Diet and prostate cancer risk in a cohort of smokers, with a specific focus on calcium and phosphorus (Finland). Cancer Causes and Control, 11, 859-867.</w:t>
      </w:r>
      <w:bookmarkStart w:id="91" w:name="_bookmark58"/>
      <w:bookmarkEnd w:id="91"/>
    </w:p>
    <w:p w14:paraId="1EC7C7B6" w14:textId="77777777" w:rsidR="00DC6850" w:rsidRDefault="00DC6850" w:rsidP="00DC6850">
      <w:pPr>
        <w:pStyle w:val="Pamatteksts"/>
        <w:spacing w:before="0"/>
        <w:ind w:left="0"/>
        <w:jc w:val="both"/>
        <w:rPr>
          <w:color w:val="000000" w:themeColor="text1"/>
          <w:sz w:val="24"/>
        </w:rPr>
      </w:pPr>
    </w:p>
    <w:p w14:paraId="2375B27E" w14:textId="7437E136" w:rsidR="00562491" w:rsidRPr="00D91B35" w:rsidRDefault="00562491" w:rsidP="00DC6850">
      <w:pPr>
        <w:pStyle w:val="Pamatteksts"/>
        <w:spacing w:before="0"/>
        <w:ind w:left="0"/>
        <w:jc w:val="both"/>
        <w:rPr>
          <w:bCs/>
          <w:noProof/>
          <w:color w:val="000000" w:themeColor="text1"/>
          <w:sz w:val="24"/>
        </w:rPr>
      </w:pPr>
      <w:r>
        <w:rPr>
          <w:color w:val="000000" w:themeColor="text1"/>
          <w:sz w:val="24"/>
        </w:rPr>
        <w:t>Chan JM, Stampfer MJ, Ma J, Gann PH, Gaziano JM and Giovannucci EL, 2001. Dairy products, calcium, and prostate cancer risk in the Physicians' Health Study. American Journal of Clinical Nutrition, 74, 549-554.</w:t>
      </w:r>
      <w:bookmarkStart w:id="92" w:name="_bookmark59"/>
      <w:bookmarkEnd w:id="92"/>
    </w:p>
    <w:p w14:paraId="09654CE5" w14:textId="77777777" w:rsidR="00DC6850" w:rsidRDefault="00DC6850" w:rsidP="00DC6850">
      <w:pPr>
        <w:pStyle w:val="Pamatteksts"/>
        <w:spacing w:before="0"/>
        <w:ind w:left="0"/>
        <w:jc w:val="both"/>
        <w:rPr>
          <w:color w:val="000000" w:themeColor="text1"/>
          <w:sz w:val="24"/>
        </w:rPr>
      </w:pPr>
    </w:p>
    <w:p w14:paraId="754D5859" w14:textId="71454497" w:rsidR="00562491" w:rsidRPr="00D91B35" w:rsidRDefault="00562491" w:rsidP="00DC6850">
      <w:pPr>
        <w:pStyle w:val="Pamatteksts"/>
        <w:spacing w:before="0"/>
        <w:ind w:left="0"/>
        <w:jc w:val="both"/>
        <w:rPr>
          <w:bCs/>
          <w:noProof/>
          <w:color w:val="000000" w:themeColor="text1"/>
          <w:sz w:val="24"/>
        </w:rPr>
      </w:pPr>
      <w:r>
        <w:rPr>
          <w:color w:val="000000" w:themeColor="text1"/>
          <w:sz w:val="24"/>
        </w:rPr>
        <w:t>Chung M, Balk EM, Brendel M, Ip S, Lau J, Lee J, Lichtenstein A, Patel K, Raman G, Tatsioni A, Terasawa T and Trikalinos TA, 2009. Vitamin D and calcium: a systematic review of health outcomes. Evidence Report / Technological Assess (Full Rep), 1-420.</w:t>
      </w:r>
      <w:bookmarkStart w:id="93" w:name="_bookmark60"/>
      <w:bookmarkEnd w:id="93"/>
    </w:p>
    <w:p w14:paraId="536C124F" w14:textId="77777777" w:rsidR="00DC6850" w:rsidRDefault="00DC6850" w:rsidP="00DC6850">
      <w:pPr>
        <w:pStyle w:val="Pamatteksts"/>
        <w:spacing w:before="0"/>
        <w:ind w:left="0"/>
        <w:jc w:val="both"/>
        <w:rPr>
          <w:color w:val="000000" w:themeColor="text1"/>
          <w:sz w:val="24"/>
        </w:rPr>
      </w:pPr>
    </w:p>
    <w:p w14:paraId="6CB94BA5" w14:textId="0E43A05F" w:rsidR="00562491" w:rsidRPr="00D91B35" w:rsidRDefault="00562491" w:rsidP="00DC6850">
      <w:pPr>
        <w:pStyle w:val="Pamatteksts"/>
        <w:spacing w:before="0"/>
        <w:ind w:left="0"/>
        <w:jc w:val="both"/>
        <w:rPr>
          <w:bCs/>
          <w:noProof/>
          <w:color w:val="000000" w:themeColor="text1"/>
          <w:sz w:val="24"/>
        </w:rPr>
      </w:pPr>
      <w:r>
        <w:rPr>
          <w:color w:val="000000" w:themeColor="text1"/>
          <w:sz w:val="24"/>
        </w:rPr>
        <w:t>Cope CL, 1936. Base changes in the alkalosis produced by the treatment of gastric ulcers with alkalies. Clinical Science, 2, 287-300.</w:t>
      </w:r>
      <w:bookmarkStart w:id="94" w:name="_bookmark61"/>
      <w:bookmarkEnd w:id="94"/>
    </w:p>
    <w:p w14:paraId="56C4B621" w14:textId="77777777" w:rsidR="00DC6850" w:rsidRDefault="00DC6850" w:rsidP="00DC6850">
      <w:pPr>
        <w:pStyle w:val="Pamatteksts"/>
        <w:spacing w:before="0"/>
        <w:ind w:left="0"/>
        <w:jc w:val="both"/>
        <w:rPr>
          <w:color w:val="000000" w:themeColor="text1"/>
          <w:sz w:val="24"/>
        </w:rPr>
      </w:pPr>
    </w:p>
    <w:p w14:paraId="1B97F074" w14:textId="74074A92" w:rsidR="00562491" w:rsidRPr="00D91B35" w:rsidRDefault="00562491" w:rsidP="00DC6850">
      <w:pPr>
        <w:pStyle w:val="Pamatteksts"/>
        <w:spacing w:before="0"/>
        <w:ind w:left="0"/>
        <w:jc w:val="both"/>
        <w:rPr>
          <w:bCs/>
          <w:noProof/>
          <w:color w:val="000000" w:themeColor="text1"/>
          <w:sz w:val="24"/>
        </w:rPr>
      </w:pPr>
      <w:r>
        <w:rPr>
          <w:color w:val="000000" w:themeColor="text1"/>
          <w:sz w:val="24"/>
        </w:rPr>
        <w:t>Curhan GC, Willett WC, Rimm EB and Stampfer MJ, 1993. A prospective study of dietary calcium and other nutrients and the risk of symptomatic kidney stones. New England Journal of Medicine, 328, 833-838.</w:t>
      </w:r>
      <w:bookmarkStart w:id="95" w:name="_bookmark62"/>
      <w:bookmarkEnd w:id="95"/>
    </w:p>
    <w:p w14:paraId="39963BB0" w14:textId="77777777" w:rsidR="00DC6850" w:rsidRDefault="00DC6850" w:rsidP="00DC6850">
      <w:pPr>
        <w:pStyle w:val="Pamatteksts"/>
        <w:spacing w:before="0"/>
        <w:ind w:left="0"/>
        <w:jc w:val="both"/>
        <w:rPr>
          <w:color w:val="000000" w:themeColor="text1"/>
          <w:sz w:val="24"/>
        </w:rPr>
      </w:pPr>
    </w:p>
    <w:p w14:paraId="2EF06131" w14:textId="538BE9D4" w:rsidR="00562491" w:rsidRPr="00D91B35" w:rsidRDefault="00562491" w:rsidP="00DC6850">
      <w:pPr>
        <w:pStyle w:val="Pamatteksts"/>
        <w:spacing w:before="0"/>
        <w:ind w:left="0"/>
        <w:jc w:val="both"/>
        <w:rPr>
          <w:bCs/>
          <w:noProof/>
          <w:color w:val="000000" w:themeColor="text1"/>
          <w:sz w:val="24"/>
        </w:rPr>
      </w:pPr>
      <w:r>
        <w:rPr>
          <w:color w:val="000000" w:themeColor="text1"/>
          <w:sz w:val="24"/>
        </w:rPr>
        <w:t>Curhan GC, Willett WC, Speizer FE, Spiegelman D and Stampfer MJ, 1997. Comparison of dietary calcium with supplemental calcium and other nutrients as factors affecting the risk for kidney stones in women. Annals of Internal Medicine, 126, 497-504.</w:t>
      </w:r>
      <w:bookmarkStart w:id="96" w:name="_bookmark63"/>
      <w:bookmarkEnd w:id="96"/>
    </w:p>
    <w:p w14:paraId="70526CBD" w14:textId="77777777" w:rsidR="00DC6850" w:rsidRDefault="00DC6850" w:rsidP="00DC6850">
      <w:pPr>
        <w:pStyle w:val="Pamatteksts"/>
        <w:spacing w:before="0"/>
        <w:ind w:left="0"/>
        <w:jc w:val="both"/>
        <w:rPr>
          <w:color w:val="000000" w:themeColor="text1"/>
          <w:sz w:val="24"/>
        </w:rPr>
      </w:pPr>
    </w:p>
    <w:p w14:paraId="56CD607A" w14:textId="537CA853" w:rsidR="00562491" w:rsidRPr="00D91B35" w:rsidRDefault="00562491" w:rsidP="00DC6850">
      <w:pPr>
        <w:pStyle w:val="Pamatteksts"/>
        <w:spacing w:before="0"/>
        <w:ind w:left="0"/>
        <w:jc w:val="both"/>
        <w:rPr>
          <w:bCs/>
          <w:noProof/>
          <w:color w:val="000000" w:themeColor="text1"/>
          <w:sz w:val="24"/>
        </w:rPr>
      </w:pPr>
      <w:r>
        <w:rPr>
          <w:color w:val="000000" w:themeColor="text1"/>
          <w:sz w:val="24"/>
        </w:rPr>
        <w:t>Curhan GC, Willett WC, Knight EL and Stampfer MJ, 2004. Dietary factors and the risk of incident kidney stones in younger women: Nurses' Health Study II. Archives of Internal Medicine, 164, 885-891.</w:t>
      </w:r>
      <w:bookmarkStart w:id="97" w:name="_bookmark64"/>
      <w:bookmarkEnd w:id="97"/>
    </w:p>
    <w:p w14:paraId="37B31E59" w14:textId="77777777" w:rsidR="00DC6850" w:rsidRDefault="00DC6850" w:rsidP="00DC6850">
      <w:pPr>
        <w:pStyle w:val="Pamatteksts"/>
        <w:spacing w:before="0"/>
        <w:ind w:left="0"/>
        <w:jc w:val="both"/>
        <w:rPr>
          <w:color w:val="000000" w:themeColor="text1"/>
          <w:sz w:val="24"/>
        </w:rPr>
      </w:pPr>
    </w:p>
    <w:p w14:paraId="1FFB13B2" w14:textId="252280C7" w:rsidR="00562491" w:rsidRPr="00D91B35" w:rsidRDefault="00562491" w:rsidP="00DC6850">
      <w:pPr>
        <w:pStyle w:val="Pamatteksts"/>
        <w:spacing w:before="0"/>
        <w:ind w:left="0"/>
        <w:jc w:val="both"/>
        <w:rPr>
          <w:bCs/>
          <w:noProof/>
          <w:color w:val="000000" w:themeColor="text1"/>
          <w:sz w:val="24"/>
        </w:rPr>
      </w:pPr>
      <w:r>
        <w:rPr>
          <w:color w:val="000000" w:themeColor="text1"/>
          <w:sz w:val="24"/>
        </w:rPr>
        <w:t>Dalton MA, Sargent JD, O'Connor GT, Olmstead EM and Klein RZ, 1997. Calcium and phosphorus supplementation of iron-fortified infant formula: no effect on iron status of healthy full-term infants. American Journal of Clinical Nutrition, 65, 921-926.</w:t>
      </w:r>
      <w:bookmarkStart w:id="98" w:name="_bookmark65"/>
      <w:bookmarkEnd w:id="98"/>
    </w:p>
    <w:p w14:paraId="2DD931B0" w14:textId="77777777" w:rsidR="00DC6850" w:rsidRDefault="00DC6850" w:rsidP="00DC6850">
      <w:pPr>
        <w:pStyle w:val="Pamatteksts"/>
        <w:spacing w:before="0"/>
        <w:ind w:left="0"/>
        <w:jc w:val="both"/>
        <w:rPr>
          <w:color w:val="000000" w:themeColor="text1"/>
          <w:sz w:val="24"/>
        </w:rPr>
      </w:pPr>
    </w:p>
    <w:p w14:paraId="7E2F524D" w14:textId="6D9FFDD1" w:rsidR="00562491" w:rsidRPr="00D91B35" w:rsidRDefault="00562491" w:rsidP="00DC6850">
      <w:pPr>
        <w:pStyle w:val="Pamatteksts"/>
        <w:spacing w:before="0"/>
        <w:ind w:left="0"/>
        <w:jc w:val="both"/>
        <w:rPr>
          <w:bCs/>
          <w:noProof/>
          <w:color w:val="000000" w:themeColor="text1"/>
          <w:sz w:val="24"/>
        </w:rPr>
      </w:pPr>
      <w:r>
        <w:rPr>
          <w:color w:val="000000" w:themeColor="text1"/>
          <w:sz w:val="24"/>
        </w:rPr>
        <w:t>Daly RM, Brown M, Bass S, Kukuljan S and Nowson C, 2006. Calcium- and vitamin D3-fortified milk reduces bone loss at clinically relevant skeletal sites in older men: a 2-year randomized controlled trial. Journal of Bone and Mineral Research, 21, 397-405.</w:t>
      </w:r>
      <w:bookmarkStart w:id="99" w:name="_bookmark66"/>
      <w:bookmarkEnd w:id="99"/>
    </w:p>
    <w:p w14:paraId="3205186F" w14:textId="77777777" w:rsidR="00DC6850" w:rsidRDefault="00DC6850" w:rsidP="00DC6850">
      <w:pPr>
        <w:pStyle w:val="Pamatteksts"/>
        <w:spacing w:before="0"/>
        <w:ind w:left="0"/>
        <w:jc w:val="both"/>
        <w:rPr>
          <w:color w:val="000000" w:themeColor="text1"/>
          <w:sz w:val="24"/>
        </w:rPr>
      </w:pPr>
    </w:p>
    <w:p w14:paraId="78754E7A" w14:textId="00540309" w:rsidR="00562491" w:rsidRPr="00D91B35" w:rsidRDefault="00562491" w:rsidP="00DC6850">
      <w:pPr>
        <w:pStyle w:val="Pamatteksts"/>
        <w:spacing w:before="0"/>
        <w:ind w:left="0"/>
        <w:jc w:val="both"/>
        <w:rPr>
          <w:bCs/>
          <w:noProof/>
          <w:color w:val="000000" w:themeColor="text1"/>
          <w:sz w:val="24"/>
        </w:rPr>
      </w:pPr>
      <w:r>
        <w:rPr>
          <w:color w:val="000000" w:themeColor="text1"/>
          <w:sz w:val="24"/>
        </w:rPr>
        <w:t>Dawson-Hughes B, Dallal GE, Krall EA, Sadowski L, Sahyoun N and Tannenbaum S, 1990. A controlled trial of the effect of calcium supplementation on bone density in postmenopausal women. New England Journal of Medicine, 323, 878-883.</w:t>
      </w:r>
      <w:bookmarkStart w:id="100" w:name="_bookmark67"/>
      <w:bookmarkEnd w:id="100"/>
    </w:p>
    <w:p w14:paraId="423A39BC" w14:textId="77777777" w:rsidR="00DC6850" w:rsidRDefault="00DC6850" w:rsidP="00DC6850">
      <w:pPr>
        <w:pStyle w:val="Pamatteksts"/>
        <w:spacing w:before="0"/>
        <w:ind w:left="0"/>
        <w:jc w:val="both"/>
        <w:rPr>
          <w:color w:val="000000" w:themeColor="text1"/>
          <w:sz w:val="24"/>
        </w:rPr>
      </w:pPr>
    </w:p>
    <w:p w14:paraId="47509DEC" w14:textId="08871B98" w:rsidR="00562491" w:rsidRPr="00D91B35" w:rsidRDefault="00562491" w:rsidP="00DC6850">
      <w:pPr>
        <w:pStyle w:val="Pamatteksts"/>
        <w:spacing w:before="0"/>
        <w:ind w:left="0"/>
        <w:jc w:val="both"/>
        <w:rPr>
          <w:bCs/>
          <w:noProof/>
          <w:color w:val="000000" w:themeColor="text1"/>
          <w:sz w:val="24"/>
        </w:rPr>
      </w:pPr>
      <w:r>
        <w:rPr>
          <w:color w:val="000000" w:themeColor="text1"/>
          <w:sz w:val="24"/>
        </w:rPr>
        <w:t>de Boer EJ, Hulshof K and Doest DT, 2006. Voedselconsumptie van jonge peuters [Food consumption of young children]. TNO report V6269, 37 pp.</w:t>
      </w:r>
      <w:bookmarkStart w:id="101" w:name="_bookmark68"/>
      <w:bookmarkEnd w:id="101"/>
    </w:p>
    <w:p w14:paraId="1338B8EC" w14:textId="77777777" w:rsidR="00DC6850" w:rsidRDefault="00DC6850" w:rsidP="00DC6850">
      <w:pPr>
        <w:pStyle w:val="Pamatteksts"/>
        <w:spacing w:before="0"/>
        <w:ind w:left="0"/>
        <w:jc w:val="both"/>
        <w:rPr>
          <w:color w:val="000000" w:themeColor="text1"/>
          <w:sz w:val="24"/>
        </w:rPr>
      </w:pPr>
    </w:p>
    <w:p w14:paraId="7AC74D75" w14:textId="4EC5BEE2" w:rsidR="00562491" w:rsidRPr="00D91B35" w:rsidRDefault="00562491" w:rsidP="00DC6850">
      <w:pPr>
        <w:pStyle w:val="Pamatteksts"/>
        <w:spacing w:before="0"/>
        <w:ind w:left="0"/>
        <w:jc w:val="both"/>
        <w:rPr>
          <w:bCs/>
          <w:noProof/>
          <w:color w:val="000000" w:themeColor="text1"/>
          <w:sz w:val="24"/>
        </w:rPr>
      </w:pPr>
      <w:r>
        <w:rPr>
          <w:color w:val="000000" w:themeColor="text1"/>
          <w:sz w:val="24"/>
        </w:rPr>
        <w:t>De Vriese S, Huybrechts I, Moreau M and Van Oyen H (Institut scientifique de santé publique,), 2006. Enquête de consommation alimentaire Belge 1 – 2004. Reports No 2006-014.</w:t>
      </w:r>
      <w:bookmarkStart w:id="102" w:name="_bookmark69"/>
      <w:bookmarkEnd w:id="102"/>
    </w:p>
    <w:p w14:paraId="60FDE56C" w14:textId="77777777" w:rsidR="00DC6850" w:rsidRDefault="00DC6850" w:rsidP="00DC6850">
      <w:pPr>
        <w:pStyle w:val="Pamatteksts"/>
        <w:spacing w:before="0"/>
        <w:ind w:left="0"/>
        <w:jc w:val="both"/>
        <w:rPr>
          <w:color w:val="000000" w:themeColor="text1"/>
          <w:sz w:val="24"/>
        </w:rPr>
      </w:pPr>
    </w:p>
    <w:p w14:paraId="4AF382D4" w14:textId="021B00E4" w:rsidR="00562491" w:rsidRPr="00D91B35" w:rsidRDefault="00562491" w:rsidP="00DC6850">
      <w:pPr>
        <w:pStyle w:val="Pamatteksts"/>
        <w:spacing w:before="0"/>
        <w:ind w:left="0"/>
        <w:jc w:val="both"/>
        <w:rPr>
          <w:bCs/>
          <w:noProof/>
          <w:color w:val="000000" w:themeColor="text1"/>
          <w:sz w:val="24"/>
        </w:rPr>
      </w:pPr>
      <w:r>
        <w:rPr>
          <w:color w:val="000000" w:themeColor="text1"/>
          <w:sz w:val="24"/>
        </w:rPr>
        <w:t>Deharveng G, Charrondiere UR, Slimani N, Southgate DA and Riboli E, 1999. Comparison of nutrients in the food composition tables available in the nine European countries participating in EPIC. European Prospective Investigation into Cancer and Nutrition. European Journal of Clinical Nutrition, 53, 60-79.</w:t>
      </w:r>
      <w:bookmarkStart w:id="103" w:name="_bookmark70"/>
      <w:bookmarkEnd w:id="103"/>
    </w:p>
    <w:p w14:paraId="389B10BC" w14:textId="77777777" w:rsidR="00DC6850" w:rsidRDefault="00DC6850" w:rsidP="00DC6850">
      <w:pPr>
        <w:pStyle w:val="Pamatteksts"/>
        <w:spacing w:before="0"/>
        <w:ind w:left="0"/>
        <w:jc w:val="both"/>
        <w:rPr>
          <w:color w:val="000000" w:themeColor="text1"/>
          <w:sz w:val="24"/>
        </w:rPr>
      </w:pPr>
    </w:p>
    <w:p w14:paraId="7AEEECA2" w14:textId="07573BBA" w:rsidR="00562491" w:rsidRPr="00D91B35" w:rsidRDefault="00562491" w:rsidP="00DC6850">
      <w:pPr>
        <w:pStyle w:val="Pamatteksts"/>
        <w:spacing w:before="0"/>
        <w:ind w:left="0"/>
        <w:jc w:val="both"/>
        <w:rPr>
          <w:bCs/>
          <w:noProof/>
          <w:color w:val="000000" w:themeColor="text1"/>
          <w:sz w:val="24"/>
        </w:rPr>
      </w:pPr>
      <w:r>
        <w:rPr>
          <w:color w:val="000000" w:themeColor="text1"/>
          <w:sz w:val="24"/>
        </w:rPr>
        <w:t>Du S, Shi L, Zhang H and He S, 1997. [Relationship between dietary nutrients intakes and human prostate cancer]. Wei Sheng Yan Jiu (Journal of Hygiene Research), 26, 122-125.</w:t>
      </w:r>
      <w:bookmarkStart w:id="104" w:name="_bookmark71"/>
      <w:bookmarkEnd w:id="104"/>
    </w:p>
    <w:p w14:paraId="68E916DD" w14:textId="77777777" w:rsidR="00DC6850" w:rsidRDefault="00DC6850" w:rsidP="00DC6850">
      <w:pPr>
        <w:pStyle w:val="Pamatteksts"/>
        <w:spacing w:before="0"/>
        <w:ind w:left="0"/>
        <w:jc w:val="both"/>
        <w:rPr>
          <w:color w:val="000000" w:themeColor="text1"/>
          <w:sz w:val="24"/>
        </w:rPr>
      </w:pPr>
    </w:p>
    <w:p w14:paraId="3AF8F917" w14:textId="2FDDBEAF" w:rsidR="00562491" w:rsidRPr="00D91B35" w:rsidRDefault="00562491" w:rsidP="00DC6850">
      <w:pPr>
        <w:pStyle w:val="Pamatteksts"/>
        <w:spacing w:before="0"/>
        <w:ind w:left="0"/>
        <w:jc w:val="both"/>
        <w:rPr>
          <w:bCs/>
          <w:noProof/>
          <w:color w:val="000000" w:themeColor="text1"/>
          <w:sz w:val="24"/>
        </w:rPr>
      </w:pPr>
      <w:r>
        <w:rPr>
          <w:color w:val="000000" w:themeColor="text1"/>
          <w:sz w:val="24"/>
        </w:rPr>
        <w:t>Dufour A, Wetzler S, Touvier M, Lioret S, Gioda J, Lafay L, Dubuisson C, Calamassi-Tran G, Kalonji E, Margaritis I and Volatier JL, 2010. Comparison of different maximum safe levels in fortified foods and supplements using a probabilistic risk assessment approach. British Journal of Nutrition, 104, 1848-1857.</w:t>
      </w:r>
      <w:bookmarkStart w:id="105" w:name="_bookmark72"/>
      <w:bookmarkEnd w:id="105"/>
    </w:p>
    <w:p w14:paraId="0A9CC762" w14:textId="77777777" w:rsidR="00DC6850" w:rsidRDefault="00DC6850" w:rsidP="00DC6850">
      <w:pPr>
        <w:pStyle w:val="Pamatteksts"/>
        <w:spacing w:before="0"/>
        <w:ind w:left="0"/>
        <w:jc w:val="both"/>
        <w:rPr>
          <w:color w:val="000000" w:themeColor="text1"/>
          <w:sz w:val="24"/>
        </w:rPr>
      </w:pPr>
    </w:p>
    <w:p w14:paraId="7C78B31B" w14:textId="09187713" w:rsidR="00562491" w:rsidRPr="00D91B35" w:rsidRDefault="00562491" w:rsidP="00DC6850">
      <w:pPr>
        <w:pStyle w:val="Pamatteksts"/>
        <w:spacing w:before="0"/>
        <w:ind w:left="0"/>
        <w:jc w:val="both"/>
        <w:rPr>
          <w:bCs/>
          <w:noProof/>
          <w:color w:val="000000" w:themeColor="text1"/>
          <w:sz w:val="24"/>
        </w:rPr>
      </w:pPr>
      <w:r>
        <w:rPr>
          <w:color w:val="000000" w:themeColor="text1"/>
          <w:sz w:val="24"/>
        </w:rPr>
        <w:t>Elders PJ, Lips P, Netelenbos JC, van Ginkel FC, Khoe E, van der Vijgh WJ and van der Stelt PF, 1994. Long-term effect of calcium supplementation on bone loss in perimenopausal women. Journal of Bone and Mineral Research, 9, 963-970.</w:t>
      </w:r>
      <w:bookmarkStart w:id="106" w:name="_bookmark73"/>
      <w:bookmarkEnd w:id="106"/>
    </w:p>
    <w:p w14:paraId="107EB50A" w14:textId="77777777" w:rsidR="00DC6850" w:rsidRDefault="00DC6850" w:rsidP="00DC6850">
      <w:pPr>
        <w:pStyle w:val="Pamatteksts"/>
        <w:spacing w:before="0"/>
        <w:ind w:left="0"/>
        <w:jc w:val="both"/>
        <w:rPr>
          <w:color w:val="000000" w:themeColor="text1"/>
          <w:sz w:val="24"/>
        </w:rPr>
      </w:pPr>
    </w:p>
    <w:p w14:paraId="3D7C0526" w14:textId="3B99A5E9" w:rsidR="00562491" w:rsidRPr="00D91B35" w:rsidRDefault="00562491" w:rsidP="00DC6850">
      <w:pPr>
        <w:pStyle w:val="Pamatteksts"/>
        <w:spacing w:before="0"/>
        <w:ind w:left="0"/>
        <w:jc w:val="both"/>
        <w:rPr>
          <w:bCs/>
          <w:noProof/>
          <w:color w:val="000000" w:themeColor="text1"/>
          <w:sz w:val="24"/>
        </w:rPr>
      </w:pPr>
      <w:r>
        <w:rPr>
          <w:color w:val="000000" w:themeColor="text1"/>
          <w:sz w:val="24"/>
        </w:rPr>
        <w:t>Elmadfa I, Freisling H, Nowak V, Hofstädter D, Hasenegger V, Ferge M, Fröhler M, Fritz K, Meyer AL, Putz P, Rust P, Grossgut R, Mischek D, Kiefer I, Schätzer M, Spanblöchel J, Sturtzel B, Wagner K-H, Zilberszac A, Vojir F and Plsek K, 2009. Österreichischer Ernährungsbericht 2008 [Austrian Nutrition Report 2008]. Institut für Ernährungswissenschaften der Universität Wien, Bundesministerium für Gesundheit, 454 pp.</w:t>
      </w:r>
      <w:bookmarkStart w:id="107" w:name="_bookmark74"/>
      <w:bookmarkEnd w:id="107"/>
    </w:p>
    <w:p w14:paraId="132B1BE4" w14:textId="77777777" w:rsidR="00DC6850" w:rsidRDefault="00DC6850" w:rsidP="00DC6850">
      <w:pPr>
        <w:pStyle w:val="Pamatteksts"/>
        <w:spacing w:before="0"/>
        <w:ind w:left="0"/>
        <w:jc w:val="both"/>
        <w:rPr>
          <w:color w:val="000000" w:themeColor="text1"/>
          <w:sz w:val="24"/>
        </w:rPr>
      </w:pPr>
    </w:p>
    <w:p w14:paraId="59DE63D6" w14:textId="67F3E87E" w:rsidR="00562491" w:rsidRPr="00D91B35" w:rsidRDefault="00562491" w:rsidP="00DC6850">
      <w:pPr>
        <w:pStyle w:val="Pamatteksts"/>
        <w:spacing w:before="0"/>
        <w:ind w:left="0"/>
        <w:jc w:val="both"/>
        <w:rPr>
          <w:bCs/>
          <w:noProof/>
          <w:color w:val="000000" w:themeColor="text1"/>
          <w:sz w:val="24"/>
        </w:rPr>
      </w:pPr>
      <w:r>
        <w:rPr>
          <w:color w:val="000000" w:themeColor="text1"/>
          <w:sz w:val="24"/>
        </w:rPr>
        <w:t>Enghardt-Barbieri H, Pearson M and Becker W, 2006. Riksmaten – Barn 2003. Livsmedels – och näringsintag bland barn i Sverige [Riksmaten - Children 2003. The food and nutritional intake among children in Sweden]. Livsmedelsverket, 216 pp.</w:t>
      </w:r>
      <w:bookmarkStart w:id="108" w:name="_bookmark75"/>
      <w:bookmarkEnd w:id="108"/>
    </w:p>
    <w:p w14:paraId="788650B7" w14:textId="77777777" w:rsidR="00DC6850" w:rsidRDefault="00DC6850" w:rsidP="00DC6850">
      <w:pPr>
        <w:pStyle w:val="Pamatteksts"/>
        <w:spacing w:before="0"/>
        <w:ind w:left="0"/>
        <w:jc w:val="both"/>
        <w:rPr>
          <w:color w:val="000000" w:themeColor="text1"/>
          <w:sz w:val="24"/>
        </w:rPr>
      </w:pPr>
    </w:p>
    <w:p w14:paraId="2483064A" w14:textId="77D9C5CD" w:rsidR="00562491" w:rsidRPr="00D91B35" w:rsidRDefault="00562491" w:rsidP="00DC6850">
      <w:pPr>
        <w:pStyle w:val="Pamatteksts"/>
        <w:spacing w:before="0"/>
        <w:ind w:left="0"/>
        <w:jc w:val="both"/>
        <w:rPr>
          <w:bCs/>
          <w:noProof/>
          <w:color w:val="000000" w:themeColor="text1"/>
          <w:sz w:val="24"/>
        </w:rPr>
      </w:pPr>
      <w:r>
        <w:rPr>
          <w:color w:val="000000" w:themeColor="text1"/>
          <w:sz w:val="24"/>
        </w:rPr>
        <w:t>Flynn A, Hirvonen T, Mensink GB, Ocke MC, Serra-Majem L, Stos K, Szponar L, Tetens I, Turrini A, Fletcher R and Wildemann T, 2009. Intake of selected nutrients from foods, from fortification and from supplements in various European countries. Food and Nutrition Research, 53, Suppl 1, 1- 51.</w:t>
      </w:r>
      <w:bookmarkStart w:id="109" w:name="_bookmark76"/>
      <w:bookmarkEnd w:id="109"/>
    </w:p>
    <w:p w14:paraId="7299E05F" w14:textId="77777777" w:rsidR="00DC6850" w:rsidRDefault="00DC6850" w:rsidP="00DC6850">
      <w:pPr>
        <w:pStyle w:val="Pamatteksts"/>
        <w:spacing w:before="0"/>
        <w:ind w:left="0"/>
        <w:jc w:val="both"/>
        <w:rPr>
          <w:color w:val="000000" w:themeColor="text1"/>
          <w:sz w:val="24"/>
        </w:rPr>
      </w:pPr>
    </w:p>
    <w:p w14:paraId="519517D4" w14:textId="53D37770" w:rsidR="00562491" w:rsidRPr="00D91B35" w:rsidRDefault="00562491" w:rsidP="00DC6850">
      <w:pPr>
        <w:pStyle w:val="Pamatteksts"/>
        <w:spacing w:before="0"/>
        <w:ind w:left="0"/>
        <w:jc w:val="both"/>
        <w:rPr>
          <w:bCs/>
          <w:noProof/>
          <w:color w:val="000000" w:themeColor="text1"/>
          <w:sz w:val="24"/>
        </w:rPr>
      </w:pPr>
      <w:r>
        <w:rPr>
          <w:color w:val="000000" w:themeColor="text1"/>
          <w:sz w:val="24"/>
        </w:rPr>
        <w:t>Foley RN, Collins AJ, Ishani A and Kalra PA, 2008. Calcium-phosphate levels and cardiovascular disease in community-dwelling adults: the Atherosclerosis Risk in Communities (ARIC) Study. American Heart Journal, 156, 556-563.</w:t>
      </w:r>
      <w:bookmarkStart w:id="110" w:name="_bookmark77"/>
      <w:bookmarkEnd w:id="110"/>
    </w:p>
    <w:p w14:paraId="325CDEB7" w14:textId="77777777" w:rsidR="00DC6850" w:rsidRDefault="00DC6850" w:rsidP="00DC6850">
      <w:pPr>
        <w:pStyle w:val="Pamatteksts"/>
        <w:spacing w:before="0"/>
        <w:ind w:left="0"/>
        <w:jc w:val="both"/>
        <w:rPr>
          <w:color w:val="000000" w:themeColor="text1"/>
          <w:sz w:val="24"/>
        </w:rPr>
      </w:pPr>
    </w:p>
    <w:p w14:paraId="5FBFFCC6" w14:textId="144190CE" w:rsidR="00562491" w:rsidRPr="00D91B35" w:rsidRDefault="00562491" w:rsidP="00DC6850">
      <w:pPr>
        <w:pStyle w:val="Pamatteksts"/>
        <w:spacing w:before="0"/>
        <w:ind w:left="0"/>
        <w:jc w:val="both"/>
        <w:rPr>
          <w:bCs/>
          <w:noProof/>
          <w:color w:val="000000" w:themeColor="text1"/>
          <w:sz w:val="24"/>
        </w:rPr>
      </w:pPr>
      <w:r>
        <w:rPr>
          <w:color w:val="000000" w:themeColor="text1"/>
          <w:sz w:val="24"/>
        </w:rPr>
        <w:t>Giovannucci E, Rimm EB, Wolk A, Ascherio A, Stampfer MJ, Colditz GA and Willett WC, 1998.</w:t>
      </w:r>
      <w:bookmarkStart w:id="111" w:name="_bookmark78"/>
      <w:bookmarkEnd w:id="111"/>
    </w:p>
    <w:p w14:paraId="305372F0" w14:textId="77777777" w:rsidR="00DC6850" w:rsidRDefault="00DC6850" w:rsidP="00DC6850">
      <w:pPr>
        <w:pStyle w:val="Pamatteksts"/>
        <w:spacing w:before="0"/>
        <w:ind w:left="0"/>
        <w:jc w:val="both"/>
        <w:rPr>
          <w:color w:val="000000" w:themeColor="text1"/>
          <w:sz w:val="24"/>
        </w:rPr>
      </w:pPr>
    </w:p>
    <w:p w14:paraId="6351332F" w14:textId="2FD8EEF1" w:rsidR="00562491" w:rsidRPr="00D91B35" w:rsidRDefault="00562491" w:rsidP="00DC6850">
      <w:pPr>
        <w:pStyle w:val="Pamatteksts"/>
        <w:spacing w:before="0"/>
        <w:ind w:left="0"/>
        <w:jc w:val="both"/>
        <w:rPr>
          <w:bCs/>
          <w:noProof/>
          <w:color w:val="000000" w:themeColor="text1"/>
          <w:sz w:val="24"/>
        </w:rPr>
      </w:pPr>
      <w:r>
        <w:rPr>
          <w:color w:val="000000" w:themeColor="text1"/>
          <w:sz w:val="24"/>
        </w:rPr>
        <w:t>Calcium and fructose intake in relation to risk of prostate cancer. Cancer Research, 58, 442-447.</w:t>
      </w:r>
    </w:p>
    <w:p w14:paraId="510EE04C" w14:textId="77777777" w:rsidR="00DC6850" w:rsidRDefault="00DC6850" w:rsidP="00DC6850">
      <w:pPr>
        <w:pStyle w:val="Pamatteksts"/>
        <w:spacing w:before="0"/>
        <w:ind w:left="0"/>
        <w:jc w:val="both"/>
        <w:rPr>
          <w:color w:val="000000" w:themeColor="text1"/>
          <w:sz w:val="24"/>
        </w:rPr>
      </w:pPr>
    </w:p>
    <w:p w14:paraId="3D258A8F" w14:textId="0C6D1D6F" w:rsidR="00562491" w:rsidRPr="00D91B35" w:rsidRDefault="00562491" w:rsidP="00DC6850">
      <w:pPr>
        <w:pStyle w:val="Pamatteksts"/>
        <w:spacing w:before="0"/>
        <w:ind w:left="0"/>
        <w:jc w:val="both"/>
        <w:rPr>
          <w:bCs/>
          <w:noProof/>
          <w:color w:val="000000" w:themeColor="text1"/>
          <w:sz w:val="24"/>
        </w:rPr>
      </w:pPr>
      <w:r>
        <w:rPr>
          <w:color w:val="000000" w:themeColor="text1"/>
          <w:sz w:val="24"/>
        </w:rPr>
        <w:t>Giovannucci E, Liu Y, Stampfer MJ and Willett WC, 2006. A prospective study of calcium intake and incident and fatal prostate cancer. Cancer Epidemiology, Biomarkers and Prevention, 15, 203-210.</w:t>
      </w:r>
      <w:bookmarkStart w:id="112" w:name="_bookmark79"/>
      <w:bookmarkEnd w:id="112"/>
    </w:p>
    <w:p w14:paraId="4E721AA5" w14:textId="77777777" w:rsidR="00DC6850" w:rsidRDefault="00DC6850" w:rsidP="00DC6850">
      <w:pPr>
        <w:pStyle w:val="Pamatteksts"/>
        <w:spacing w:before="0"/>
        <w:ind w:left="0"/>
        <w:jc w:val="both"/>
        <w:rPr>
          <w:color w:val="000000" w:themeColor="text1"/>
          <w:sz w:val="24"/>
        </w:rPr>
      </w:pPr>
    </w:p>
    <w:p w14:paraId="64416CC9" w14:textId="42BFAD8F" w:rsidR="00562491" w:rsidRPr="00D91B35" w:rsidRDefault="00562491" w:rsidP="00DC6850">
      <w:pPr>
        <w:pStyle w:val="Pamatteksts"/>
        <w:spacing w:before="0"/>
        <w:ind w:left="0"/>
        <w:jc w:val="both"/>
        <w:rPr>
          <w:bCs/>
          <w:noProof/>
          <w:color w:val="000000" w:themeColor="text1"/>
          <w:sz w:val="24"/>
        </w:rPr>
      </w:pPr>
      <w:r>
        <w:rPr>
          <w:color w:val="000000" w:themeColor="text1"/>
          <w:sz w:val="24"/>
        </w:rPr>
        <w:t>Goodman WG, Goldin J, Kuizon BD, Yoon C, Gales B, Sider D, Wang Y, Chung J, Emerick A, Greaser L, Elashoff RM and Salusky IB, 2000. Coronary-artery calcification in young adults with end-stage renal disease who are undergoing dialysis. New England Journal of Medicine, 342, 1478-1483.</w:t>
      </w:r>
      <w:bookmarkStart w:id="113" w:name="_bookmark80"/>
      <w:bookmarkEnd w:id="113"/>
    </w:p>
    <w:p w14:paraId="45CD8271" w14:textId="77777777" w:rsidR="00DC6850" w:rsidRDefault="00DC6850" w:rsidP="00DC6850">
      <w:pPr>
        <w:pStyle w:val="Pamatteksts"/>
        <w:spacing w:before="0"/>
        <w:ind w:left="0"/>
        <w:jc w:val="both"/>
        <w:rPr>
          <w:color w:val="000000" w:themeColor="text1"/>
          <w:sz w:val="24"/>
        </w:rPr>
      </w:pPr>
    </w:p>
    <w:p w14:paraId="3CF736E2" w14:textId="0A7501AA" w:rsidR="00562491" w:rsidRPr="00D91B35" w:rsidRDefault="00562491" w:rsidP="00DC6850">
      <w:pPr>
        <w:pStyle w:val="Pamatteksts"/>
        <w:spacing w:before="0"/>
        <w:ind w:left="0"/>
        <w:jc w:val="both"/>
        <w:rPr>
          <w:bCs/>
          <w:noProof/>
          <w:color w:val="000000" w:themeColor="text1"/>
          <w:sz w:val="24"/>
        </w:rPr>
      </w:pPr>
      <w:r>
        <w:rPr>
          <w:color w:val="000000" w:themeColor="text1"/>
          <w:sz w:val="24"/>
        </w:rPr>
        <w:t>Grandi NC, Brenner H, Hahmann H, Wusten B, Marz W, Rothenbacher D and Breitling LP, 2012. Calcium, phosphate and the risk of cardiovascular events and all-cause mortality in a population with stable coronary heart disease. Heart, 98, 926-933.</w:t>
      </w:r>
      <w:bookmarkStart w:id="114" w:name="_bookmark81"/>
      <w:bookmarkEnd w:id="114"/>
    </w:p>
    <w:p w14:paraId="656D5D5A" w14:textId="77777777" w:rsidR="00DC6850" w:rsidRDefault="00DC6850" w:rsidP="00DC6850">
      <w:pPr>
        <w:pStyle w:val="Pamatteksts"/>
        <w:spacing w:before="0"/>
        <w:ind w:left="0"/>
        <w:jc w:val="both"/>
        <w:rPr>
          <w:color w:val="000000" w:themeColor="text1"/>
          <w:sz w:val="24"/>
        </w:rPr>
      </w:pPr>
    </w:p>
    <w:p w14:paraId="73014A19" w14:textId="7811FEEA" w:rsidR="00562491" w:rsidRPr="00D91B35" w:rsidRDefault="00562491" w:rsidP="00DC6850">
      <w:pPr>
        <w:pStyle w:val="Pamatteksts"/>
        <w:spacing w:before="0"/>
        <w:ind w:left="0"/>
        <w:jc w:val="both"/>
        <w:rPr>
          <w:bCs/>
          <w:noProof/>
          <w:color w:val="000000" w:themeColor="text1"/>
          <w:sz w:val="24"/>
        </w:rPr>
      </w:pPr>
      <w:r>
        <w:rPr>
          <w:color w:val="000000" w:themeColor="text1"/>
          <w:sz w:val="24"/>
        </w:rPr>
        <w:t>Grant AM, Avenell A, Campbell MK, McDonald AM, MacLennan GS, McPherson GC, Anderson FH, Cooper C, Francis RM, Donaldson C, Gillespie WJ, Robinson CM, Torgerson DJ, Wallace WA and Group RT, 2005. Oral vitamin D3 and calcium for secondary prevention of low-trauma fractures in elderly people (Randomised Evaluation of Calcium Or vitamin D, RECORD): a randomised placebo-controlled trial. Lancet, 365, 1621-1628.</w:t>
      </w:r>
      <w:bookmarkStart w:id="115" w:name="_bookmark82"/>
      <w:bookmarkEnd w:id="115"/>
    </w:p>
    <w:p w14:paraId="23EBAF2E" w14:textId="77777777" w:rsidR="00DC6850" w:rsidRDefault="00DC6850" w:rsidP="00DC6850">
      <w:pPr>
        <w:pStyle w:val="Pamatteksts"/>
        <w:spacing w:before="0"/>
        <w:ind w:left="0"/>
        <w:jc w:val="both"/>
        <w:rPr>
          <w:color w:val="000000" w:themeColor="text1"/>
          <w:sz w:val="24"/>
        </w:rPr>
      </w:pPr>
    </w:p>
    <w:p w14:paraId="1384A4A9" w14:textId="2FA339C3" w:rsidR="00562491" w:rsidRPr="00D91B35" w:rsidRDefault="00562491" w:rsidP="00DC6850">
      <w:pPr>
        <w:pStyle w:val="Pamatteksts"/>
        <w:spacing w:before="0"/>
        <w:ind w:left="0"/>
        <w:jc w:val="both"/>
        <w:rPr>
          <w:bCs/>
          <w:noProof/>
          <w:color w:val="000000" w:themeColor="text1"/>
          <w:sz w:val="24"/>
        </w:rPr>
      </w:pPr>
      <w:r>
        <w:rPr>
          <w:color w:val="000000" w:themeColor="text1"/>
          <w:sz w:val="24"/>
        </w:rPr>
        <w:t>Guéguen L and Pointillart A, 2000. The bioavailability of dietary calcium. Journal of the American College of Nutrition, 19, 119-136.</w:t>
      </w:r>
      <w:bookmarkStart w:id="116" w:name="_bookmark83"/>
      <w:bookmarkEnd w:id="116"/>
    </w:p>
    <w:p w14:paraId="2140883F" w14:textId="77777777" w:rsidR="00DC6850" w:rsidRDefault="00DC6850" w:rsidP="00DC6850">
      <w:pPr>
        <w:pStyle w:val="Pamatteksts"/>
        <w:spacing w:before="0"/>
        <w:ind w:left="0"/>
        <w:jc w:val="both"/>
        <w:rPr>
          <w:color w:val="000000" w:themeColor="text1"/>
          <w:sz w:val="24"/>
        </w:rPr>
      </w:pPr>
    </w:p>
    <w:p w14:paraId="62AD995F" w14:textId="23AC3A2D" w:rsidR="00562491" w:rsidRPr="00D91B35" w:rsidRDefault="00562491" w:rsidP="00DC6850">
      <w:pPr>
        <w:pStyle w:val="Pamatteksts"/>
        <w:spacing w:before="0"/>
        <w:ind w:left="0"/>
        <w:jc w:val="both"/>
        <w:rPr>
          <w:bCs/>
          <w:noProof/>
          <w:color w:val="000000" w:themeColor="text1"/>
          <w:sz w:val="24"/>
        </w:rPr>
      </w:pPr>
      <w:r>
        <w:rPr>
          <w:color w:val="000000" w:themeColor="text1"/>
          <w:sz w:val="24"/>
        </w:rPr>
        <w:t>Hanzlik RP, Fowler SC and Fisher DH, 2005. Relative bioavailability of calcium from calcium formate, calcium citrate, and calcium carbonate. Journal of Pharmacology and Experimental Therapeutics, 313, 1217-1222.</w:t>
      </w:r>
      <w:bookmarkStart w:id="117" w:name="_bookmark84"/>
      <w:bookmarkEnd w:id="117"/>
    </w:p>
    <w:p w14:paraId="76763C17" w14:textId="77777777" w:rsidR="00DC6850" w:rsidRDefault="00DC6850" w:rsidP="00DC6850">
      <w:pPr>
        <w:pStyle w:val="Pamatteksts"/>
        <w:spacing w:before="0"/>
        <w:ind w:left="0"/>
        <w:jc w:val="both"/>
        <w:rPr>
          <w:color w:val="000000" w:themeColor="text1"/>
          <w:sz w:val="24"/>
        </w:rPr>
      </w:pPr>
    </w:p>
    <w:p w14:paraId="031F2E26" w14:textId="43B79FB2" w:rsidR="00886A1A" w:rsidRPr="00D91B35" w:rsidRDefault="00562491" w:rsidP="00DC6850">
      <w:pPr>
        <w:pStyle w:val="Pamatteksts"/>
        <w:spacing w:before="0"/>
        <w:ind w:left="0"/>
        <w:jc w:val="both"/>
        <w:rPr>
          <w:bCs/>
          <w:noProof/>
          <w:color w:val="000000" w:themeColor="text1"/>
          <w:sz w:val="24"/>
        </w:rPr>
      </w:pPr>
      <w:r>
        <w:rPr>
          <w:color w:val="000000" w:themeColor="text1"/>
          <w:sz w:val="24"/>
        </w:rPr>
        <w:t>Hayes RB, Ziegler RG, Gridley G, Swanson C, Greenberg RS, Swanson GM, Schoenberg JB, Silverman DT, Brown LM, Pottern LM, Liff J, Schwartz AG, Fraumeni JF, Jr. and Hoover RN, 1999. Dietary factors and risks for prostate cancer among blacks and whites in the United States. Cancer Epidemiology, Biomarkers and Prevention, 8, 25-34.</w:t>
      </w:r>
      <w:bookmarkStart w:id="118" w:name="_bookmark85"/>
      <w:bookmarkEnd w:id="118"/>
    </w:p>
    <w:p w14:paraId="6DFB75CD" w14:textId="77777777" w:rsidR="00DC6850" w:rsidRDefault="00DC6850" w:rsidP="00DC6850">
      <w:pPr>
        <w:pStyle w:val="Pamatteksts"/>
        <w:spacing w:before="0"/>
        <w:ind w:left="0"/>
        <w:jc w:val="both"/>
        <w:rPr>
          <w:color w:val="000000" w:themeColor="text1"/>
          <w:sz w:val="24"/>
        </w:rPr>
      </w:pPr>
    </w:p>
    <w:p w14:paraId="455A8327" w14:textId="30EC22B0" w:rsidR="00562491" w:rsidRPr="00D91B35" w:rsidRDefault="00562491" w:rsidP="00DC6850">
      <w:pPr>
        <w:pStyle w:val="Pamatteksts"/>
        <w:spacing w:before="0"/>
        <w:ind w:left="0"/>
        <w:jc w:val="both"/>
        <w:rPr>
          <w:bCs/>
          <w:noProof/>
          <w:color w:val="000000" w:themeColor="text1"/>
          <w:sz w:val="24"/>
        </w:rPr>
      </w:pPr>
      <w:r>
        <w:rPr>
          <w:color w:val="000000" w:themeColor="text1"/>
          <w:sz w:val="24"/>
        </w:rPr>
        <w:t>Heaney RP and Skillman TG, 1971. Calcium metabolism in normal human pregnancy. Journal of Clinical Endocrinology and Metabolism, 33, 661-670.</w:t>
      </w:r>
      <w:bookmarkStart w:id="119" w:name="_bookmark86"/>
      <w:bookmarkEnd w:id="119"/>
    </w:p>
    <w:p w14:paraId="42E90B01" w14:textId="77777777" w:rsidR="00DC6850" w:rsidRDefault="00DC6850" w:rsidP="00DC6850">
      <w:pPr>
        <w:pStyle w:val="Pamatteksts"/>
        <w:spacing w:before="0"/>
        <w:ind w:left="0"/>
        <w:jc w:val="both"/>
        <w:rPr>
          <w:color w:val="000000" w:themeColor="text1"/>
          <w:sz w:val="24"/>
        </w:rPr>
      </w:pPr>
    </w:p>
    <w:p w14:paraId="3C6635E7" w14:textId="62E33EB2" w:rsidR="00562491" w:rsidRPr="00D91B35" w:rsidRDefault="00562491" w:rsidP="00DC6850">
      <w:pPr>
        <w:pStyle w:val="Pamatteksts"/>
        <w:spacing w:before="0"/>
        <w:ind w:left="0"/>
        <w:jc w:val="both"/>
        <w:rPr>
          <w:bCs/>
          <w:noProof/>
          <w:color w:val="000000" w:themeColor="text1"/>
          <w:sz w:val="24"/>
        </w:rPr>
      </w:pPr>
      <w:r>
        <w:rPr>
          <w:color w:val="000000" w:themeColor="text1"/>
          <w:sz w:val="24"/>
        </w:rPr>
        <w:t>Heaney RP, Recker RR, Stegman MR and Moy AJ, 1989. Calcium absorption in women: relationships to calcium intake, estrogen status, and age. Journal of Bone and Mineral Research, 4, 469-475.</w:t>
      </w:r>
      <w:bookmarkStart w:id="120" w:name="_bookmark87"/>
      <w:bookmarkEnd w:id="120"/>
    </w:p>
    <w:p w14:paraId="28C95559" w14:textId="77777777" w:rsidR="00DC6850" w:rsidRDefault="00DC6850" w:rsidP="00DC6850">
      <w:pPr>
        <w:pStyle w:val="Pamatteksts"/>
        <w:spacing w:before="0"/>
        <w:ind w:left="0"/>
        <w:jc w:val="both"/>
        <w:rPr>
          <w:color w:val="000000" w:themeColor="text1"/>
          <w:sz w:val="24"/>
        </w:rPr>
      </w:pPr>
    </w:p>
    <w:p w14:paraId="382EA461" w14:textId="01580520" w:rsidR="00562491" w:rsidRPr="00D91B35" w:rsidRDefault="00562491" w:rsidP="00DC6850">
      <w:pPr>
        <w:pStyle w:val="Pamatteksts"/>
        <w:spacing w:before="0"/>
        <w:ind w:left="0"/>
        <w:jc w:val="both"/>
        <w:rPr>
          <w:bCs/>
          <w:noProof/>
          <w:color w:val="000000" w:themeColor="text1"/>
          <w:sz w:val="24"/>
        </w:rPr>
      </w:pPr>
      <w:r>
        <w:rPr>
          <w:color w:val="000000" w:themeColor="text1"/>
          <w:sz w:val="24"/>
        </w:rPr>
        <w:t>Heaney RP, 2002. Protein and calcium: antagonists or synergists? American Journal of Clinical Nutrition, 75, 609-610.</w:t>
      </w:r>
      <w:bookmarkStart w:id="121" w:name="_bookmark88"/>
      <w:bookmarkEnd w:id="121"/>
    </w:p>
    <w:p w14:paraId="68AEA322" w14:textId="77777777" w:rsidR="00DC6850" w:rsidRDefault="00DC6850" w:rsidP="00DC6850">
      <w:pPr>
        <w:pStyle w:val="Pamatteksts"/>
        <w:spacing w:before="0"/>
        <w:ind w:left="0"/>
        <w:jc w:val="both"/>
        <w:rPr>
          <w:color w:val="000000" w:themeColor="text1"/>
          <w:sz w:val="24"/>
        </w:rPr>
      </w:pPr>
    </w:p>
    <w:p w14:paraId="7064DF53" w14:textId="4EDBFE11" w:rsidR="00562491" w:rsidRPr="00D91B35" w:rsidRDefault="00562491" w:rsidP="00DC6850">
      <w:pPr>
        <w:pStyle w:val="Pamatteksts"/>
        <w:spacing w:before="0"/>
        <w:ind w:left="0"/>
        <w:jc w:val="both"/>
        <w:rPr>
          <w:bCs/>
          <w:noProof/>
          <w:color w:val="000000" w:themeColor="text1"/>
          <w:sz w:val="24"/>
        </w:rPr>
      </w:pPr>
      <w:r>
        <w:rPr>
          <w:color w:val="000000" w:themeColor="text1"/>
          <w:sz w:val="24"/>
        </w:rPr>
        <w:t>Hodge AM, English DR, McCredie MR, Severi G, Boyle P, Hopper JL and Giles GG, 2004. Foods, nutrients and prostate cancer. Cancer Causes and Control, 15, 11-20.</w:t>
      </w:r>
      <w:bookmarkStart w:id="122" w:name="_bookmark89"/>
      <w:bookmarkEnd w:id="122"/>
    </w:p>
    <w:p w14:paraId="5B5DFBE8" w14:textId="77777777" w:rsidR="00DC6850" w:rsidRDefault="00DC6850" w:rsidP="00DC6850">
      <w:pPr>
        <w:pStyle w:val="Pamatteksts"/>
        <w:spacing w:before="0"/>
        <w:ind w:left="0"/>
        <w:jc w:val="both"/>
        <w:rPr>
          <w:color w:val="000000" w:themeColor="text1"/>
          <w:sz w:val="24"/>
        </w:rPr>
      </w:pPr>
    </w:p>
    <w:p w14:paraId="68D854EE" w14:textId="0EB5467E" w:rsidR="00562491" w:rsidRPr="00D91B35" w:rsidRDefault="00562491" w:rsidP="00DC6850">
      <w:pPr>
        <w:pStyle w:val="Pamatteksts"/>
        <w:spacing w:before="0"/>
        <w:ind w:left="0"/>
        <w:jc w:val="both"/>
        <w:rPr>
          <w:bCs/>
          <w:noProof/>
          <w:color w:val="000000" w:themeColor="text1"/>
          <w:sz w:val="24"/>
        </w:rPr>
      </w:pPr>
      <w:r>
        <w:rPr>
          <w:color w:val="000000" w:themeColor="text1"/>
          <w:sz w:val="24"/>
        </w:rPr>
        <w:t>Hoenderop JG, Nilius B and Bindels RJ, 2002. Molecular mechanism of active Ca2+ reabsorption in the distal nephron. Annual Review of Physiology, 64, 529-549.</w:t>
      </w:r>
      <w:bookmarkStart w:id="123" w:name="_bookmark90"/>
      <w:bookmarkEnd w:id="123"/>
    </w:p>
    <w:p w14:paraId="70D6D0D6" w14:textId="77777777" w:rsidR="00DC6850" w:rsidRDefault="00DC6850" w:rsidP="00DC6850">
      <w:pPr>
        <w:pStyle w:val="Pamatteksts"/>
        <w:spacing w:before="0"/>
        <w:ind w:left="0"/>
        <w:jc w:val="both"/>
        <w:rPr>
          <w:color w:val="000000" w:themeColor="text1"/>
          <w:sz w:val="24"/>
        </w:rPr>
      </w:pPr>
    </w:p>
    <w:p w14:paraId="4E3F3050" w14:textId="3F95CC99" w:rsidR="00562491" w:rsidRPr="00D91B35" w:rsidRDefault="00562491" w:rsidP="00DC6850">
      <w:pPr>
        <w:pStyle w:val="Pamatteksts"/>
        <w:spacing w:before="0"/>
        <w:ind w:left="0"/>
        <w:jc w:val="both"/>
        <w:rPr>
          <w:bCs/>
          <w:noProof/>
          <w:color w:val="000000" w:themeColor="text1"/>
          <w:sz w:val="24"/>
        </w:rPr>
      </w:pPr>
      <w:r>
        <w:rPr>
          <w:color w:val="000000" w:themeColor="text1"/>
          <w:sz w:val="24"/>
        </w:rPr>
        <w:t>Hsia J, Heiss G, Ren H, Allison M, Dolan NC, Greenland P, Heckbert SR, Johnson KC, Manson JE, Sidney S, Trevisan M and Women's Health Initiative I, 2007. Calcium/vitamin D supplementation and cardiovascular events. Circulation, 115, 846-854.</w:t>
      </w:r>
      <w:bookmarkStart w:id="124" w:name="_bookmark91"/>
      <w:bookmarkEnd w:id="124"/>
    </w:p>
    <w:p w14:paraId="09D143F1" w14:textId="77777777" w:rsidR="00DC6850" w:rsidRDefault="00DC6850" w:rsidP="00DC6850">
      <w:pPr>
        <w:pStyle w:val="Pamatteksts"/>
        <w:spacing w:before="0"/>
        <w:ind w:left="0"/>
        <w:jc w:val="both"/>
        <w:rPr>
          <w:color w:val="000000" w:themeColor="text1"/>
          <w:sz w:val="24"/>
        </w:rPr>
      </w:pPr>
    </w:p>
    <w:p w14:paraId="692D3E95" w14:textId="7C1697FA" w:rsidR="00562491" w:rsidRPr="00D91B35" w:rsidRDefault="00562491" w:rsidP="00DC6850">
      <w:pPr>
        <w:pStyle w:val="Pamatteksts"/>
        <w:spacing w:before="0"/>
        <w:ind w:left="0"/>
        <w:jc w:val="both"/>
        <w:rPr>
          <w:bCs/>
          <w:noProof/>
          <w:color w:val="000000" w:themeColor="text1"/>
          <w:sz w:val="24"/>
        </w:rPr>
      </w:pPr>
      <w:r>
        <w:rPr>
          <w:color w:val="000000" w:themeColor="text1"/>
          <w:sz w:val="24"/>
        </w:rPr>
        <w:t>IoM (Institute of Medicine), 1997. Dietary Reference Intakes for Calcium, Phosphorus, Magnesium, Vitamin D, and Fluoride. National Academy Press, Washington D.C., USA, 454 pp.</w:t>
      </w:r>
      <w:bookmarkStart w:id="125" w:name="_bookmark92"/>
      <w:bookmarkEnd w:id="125"/>
    </w:p>
    <w:p w14:paraId="69837E02" w14:textId="77777777" w:rsidR="00DC6850" w:rsidRDefault="00DC6850" w:rsidP="00DC6850">
      <w:pPr>
        <w:pStyle w:val="Pamatteksts"/>
        <w:spacing w:before="0"/>
        <w:ind w:left="0"/>
        <w:jc w:val="both"/>
        <w:rPr>
          <w:color w:val="000000" w:themeColor="text1"/>
          <w:sz w:val="24"/>
        </w:rPr>
      </w:pPr>
    </w:p>
    <w:p w14:paraId="19C24F9C" w14:textId="3C281A3E" w:rsidR="00562491" w:rsidRPr="00D91B35" w:rsidRDefault="00562491" w:rsidP="00DC6850">
      <w:pPr>
        <w:pStyle w:val="Pamatteksts"/>
        <w:spacing w:before="0"/>
        <w:ind w:left="0"/>
        <w:jc w:val="both"/>
        <w:rPr>
          <w:bCs/>
          <w:noProof/>
          <w:color w:val="000000" w:themeColor="text1"/>
          <w:sz w:val="24"/>
        </w:rPr>
      </w:pPr>
      <w:r>
        <w:rPr>
          <w:color w:val="000000" w:themeColor="text1"/>
          <w:sz w:val="24"/>
        </w:rPr>
        <w:t>IoM (Institute of Medecine), 2011. Dietary Reference Intakes for Calcium and Vitamin D. The National Academies Press, Washington D.C., USA, 1115 pp.</w:t>
      </w:r>
      <w:bookmarkStart w:id="126" w:name="_bookmark93"/>
      <w:bookmarkEnd w:id="126"/>
    </w:p>
    <w:p w14:paraId="5526D66D" w14:textId="77777777" w:rsidR="00DC6850" w:rsidRDefault="00DC6850" w:rsidP="00DC6850">
      <w:pPr>
        <w:pStyle w:val="Pamatteksts"/>
        <w:spacing w:before="0"/>
        <w:ind w:left="0"/>
        <w:jc w:val="both"/>
        <w:rPr>
          <w:color w:val="000000" w:themeColor="text1"/>
          <w:sz w:val="24"/>
        </w:rPr>
      </w:pPr>
    </w:p>
    <w:p w14:paraId="4E74C067" w14:textId="7486097C" w:rsidR="00562491" w:rsidRPr="00D91B35" w:rsidRDefault="00562491" w:rsidP="00DC6850">
      <w:pPr>
        <w:pStyle w:val="Pamatteksts"/>
        <w:spacing w:before="0"/>
        <w:ind w:left="0"/>
        <w:jc w:val="both"/>
        <w:rPr>
          <w:bCs/>
          <w:noProof/>
          <w:color w:val="000000" w:themeColor="text1"/>
          <w:sz w:val="24"/>
        </w:rPr>
      </w:pPr>
      <w:r>
        <w:rPr>
          <w:color w:val="000000" w:themeColor="text1"/>
          <w:sz w:val="24"/>
        </w:rPr>
        <w:t>Iso H, Stampfer MJ, Manson JE, Rexrode K, Hennekens CH, Colditz GA, Speizer FE and Willett WC, 1999. Prospective study of calcium, potassium, and magnesium intake and risk of stroke in women. Stroke, 30, 1772-1779.</w:t>
      </w:r>
      <w:bookmarkStart w:id="127" w:name="_bookmark94"/>
      <w:bookmarkEnd w:id="127"/>
    </w:p>
    <w:p w14:paraId="7E3010B2" w14:textId="77777777" w:rsidR="00DC6850" w:rsidRDefault="00DC6850" w:rsidP="00DC6850">
      <w:pPr>
        <w:pStyle w:val="Pamatteksts"/>
        <w:spacing w:before="0"/>
        <w:ind w:left="0"/>
        <w:jc w:val="both"/>
        <w:rPr>
          <w:color w:val="000000" w:themeColor="text1"/>
          <w:sz w:val="24"/>
        </w:rPr>
      </w:pPr>
    </w:p>
    <w:p w14:paraId="70061A1D" w14:textId="4DFD0184" w:rsidR="00562491" w:rsidRPr="00D91B35" w:rsidRDefault="00562491" w:rsidP="00DC6850">
      <w:pPr>
        <w:pStyle w:val="Pamatteksts"/>
        <w:spacing w:before="0"/>
        <w:ind w:left="0"/>
        <w:jc w:val="both"/>
        <w:rPr>
          <w:bCs/>
          <w:noProof/>
          <w:color w:val="000000" w:themeColor="text1"/>
          <w:sz w:val="24"/>
        </w:rPr>
      </w:pPr>
      <w:r>
        <w:rPr>
          <w:color w:val="000000" w:themeColor="text1"/>
          <w:sz w:val="24"/>
        </w:rPr>
        <w:t>IUNA (Irish Universities Nutrition Alliance), 2001. North/South Ireland Food Consumption Survey. IUNA (Irish Universities Nutrition Alliance), 2011. National Adult Nutrition Survey.</w:t>
      </w:r>
      <w:bookmarkStart w:id="128" w:name="_bookmark96"/>
      <w:bookmarkStart w:id="129" w:name="_bookmark95"/>
      <w:bookmarkEnd w:id="128"/>
      <w:bookmarkEnd w:id="129"/>
    </w:p>
    <w:p w14:paraId="5CD15534" w14:textId="77777777" w:rsidR="00DC6850" w:rsidRDefault="00DC6850" w:rsidP="00DC6850">
      <w:pPr>
        <w:pStyle w:val="Pamatteksts"/>
        <w:spacing w:before="0"/>
        <w:ind w:left="0"/>
        <w:jc w:val="both"/>
        <w:rPr>
          <w:color w:val="000000" w:themeColor="text1"/>
          <w:sz w:val="24"/>
        </w:rPr>
      </w:pPr>
    </w:p>
    <w:p w14:paraId="5D889D2B" w14:textId="14FD8483" w:rsidR="00562491" w:rsidRPr="00D91B35" w:rsidRDefault="00562491" w:rsidP="00DC6850">
      <w:pPr>
        <w:pStyle w:val="Pamatteksts"/>
        <w:spacing w:before="0"/>
        <w:ind w:left="0"/>
        <w:jc w:val="both"/>
        <w:rPr>
          <w:bCs/>
          <w:noProof/>
          <w:color w:val="000000" w:themeColor="text1"/>
          <w:sz w:val="24"/>
        </w:rPr>
      </w:pPr>
      <w:r>
        <w:rPr>
          <w:color w:val="000000" w:themeColor="text1"/>
          <w:sz w:val="24"/>
        </w:rPr>
        <w:t>IUNA (Irish Universities Nutrition Alliance), a. National Children's Food Survey 2003-2004.</w:t>
      </w:r>
      <w:bookmarkStart w:id="130" w:name="_bookmark97"/>
      <w:bookmarkEnd w:id="130"/>
      <w:r>
        <w:rPr>
          <w:color w:val="000000" w:themeColor="text1"/>
          <w:sz w:val="24"/>
        </w:rPr>
        <w:t xml:space="preserve"> Available from: http://www.iuna.net/. Accessed on June 2012.</w:t>
      </w:r>
    </w:p>
    <w:p w14:paraId="5A567A82" w14:textId="77777777" w:rsidR="00DC6850" w:rsidRDefault="00DC6850" w:rsidP="00DC6850">
      <w:pPr>
        <w:pStyle w:val="Pamatteksts"/>
        <w:spacing w:before="0"/>
        <w:ind w:left="0"/>
        <w:jc w:val="both"/>
        <w:rPr>
          <w:color w:val="000000" w:themeColor="text1"/>
          <w:sz w:val="24"/>
        </w:rPr>
      </w:pPr>
    </w:p>
    <w:p w14:paraId="3DDF1F7F" w14:textId="65BE8DE5" w:rsidR="00562491" w:rsidRPr="00D91B35" w:rsidRDefault="00562491" w:rsidP="00DC6850">
      <w:pPr>
        <w:pStyle w:val="Pamatteksts"/>
        <w:spacing w:before="0"/>
        <w:ind w:left="0"/>
        <w:jc w:val="both"/>
        <w:rPr>
          <w:bCs/>
          <w:noProof/>
          <w:color w:val="000000" w:themeColor="text1"/>
          <w:sz w:val="24"/>
        </w:rPr>
      </w:pPr>
      <w:r>
        <w:rPr>
          <w:color w:val="000000" w:themeColor="text1"/>
          <w:sz w:val="24"/>
        </w:rPr>
        <w:t>IUNA (Irish Universities Nutrition Alliance), b. The National Teens’ Food Survey 2005-2006.</w:t>
      </w:r>
      <w:bookmarkStart w:id="131" w:name="_bookmark98"/>
      <w:bookmarkEnd w:id="131"/>
      <w:r>
        <w:rPr>
          <w:color w:val="000000" w:themeColor="text1"/>
          <w:sz w:val="24"/>
        </w:rPr>
        <w:t xml:space="preserve"> Available from: http://www.iuna.net/. Accessed on June 2012.</w:t>
      </w:r>
    </w:p>
    <w:p w14:paraId="0FFF165B" w14:textId="77777777" w:rsidR="00DC6850" w:rsidRDefault="00DC6850" w:rsidP="00DC6850">
      <w:pPr>
        <w:pStyle w:val="Pamatteksts"/>
        <w:spacing w:before="0"/>
        <w:ind w:left="0"/>
        <w:jc w:val="both"/>
        <w:rPr>
          <w:color w:val="000000" w:themeColor="text1"/>
          <w:sz w:val="24"/>
        </w:rPr>
      </w:pPr>
    </w:p>
    <w:p w14:paraId="33C81D42" w14:textId="42A6B1C8" w:rsidR="00562491" w:rsidRPr="00D91B35" w:rsidRDefault="00562491" w:rsidP="00DC6850">
      <w:pPr>
        <w:pStyle w:val="Pamatteksts"/>
        <w:spacing w:before="0"/>
        <w:ind w:left="0"/>
        <w:jc w:val="both"/>
        <w:rPr>
          <w:bCs/>
          <w:noProof/>
          <w:color w:val="000000" w:themeColor="text1"/>
          <w:sz w:val="24"/>
        </w:rPr>
      </w:pPr>
      <w:r>
        <w:rPr>
          <w:color w:val="000000" w:themeColor="text1"/>
          <w:sz w:val="24"/>
        </w:rPr>
        <w:t>Jackson RD, LaCroix AZ, Gass M, Wallace RB, Robbins J, Lewis CE, Bassford T, Beresford SA, Black HR, Blanchette P, Bonds DE, Brunner RL, Brzyski RG, Caan B, Cauley JA, Chlebowski RT, Cummings SR, Granek I, Hays J, Heiss G, Hendrix SL, Howard BV, Hsia J, Hubbell FA, Johnson KC, Judd H, Kotchen JM, Kuller LH, Langer RD, Lasser NL, Limacher MC, Ludlam S, Manson JE, Margolis KL, McGowan J, Ockene JK, O'Sullivan MJ, Phillips L, Prentice RL, Sarto GE, Stefanick ML, Van Horn L, Wactawski-Wende J, Whitlock E, Anderson GL, Assaf AR and Barad D, 2006. Calcium plus vitamin D supplementation and the risk of fractures. New England Journal of Medicine, 354, 669-683.</w:t>
      </w:r>
      <w:bookmarkStart w:id="132" w:name="_bookmark99"/>
      <w:bookmarkEnd w:id="132"/>
    </w:p>
    <w:p w14:paraId="2C9793EE" w14:textId="77777777" w:rsidR="00DC6850" w:rsidRDefault="00DC6850" w:rsidP="00DC6850">
      <w:pPr>
        <w:pStyle w:val="Pamatteksts"/>
        <w:spacing w:before="0"/>
        <w:ind w:left="0"/>
        <w:jc w:val="both"/>
        <w:rPr>
          <w:color w:val="000000" w:themeColor="text1"/>
          <w:sz w:val="24"/>
        </w:rPr>
      </w:pPr>
    </w:p>
    <w:p w14:paraId="1F1749D1" w14:textId="48096C96" w:rsidR="00562491" w:rsidRPr="00D91B35" w:rsidRDefault="00562491" w:rsidP="00DC6850">
      <w:pPr>
        <w:pStyle w:val="Pamatteksts"/>
        <w:spacing w:before="0"/>
        <w:ind w:left="0"/>
        <w:jc w:val="both"/>
        <w:rPr>
          <w:bCs/>
          <w:noProof/>
          <w:color w:val="000000" w:themeColor="text1"/>
          <w:sz w:val="24"/>
        </w:rPr>
      </w:pPr>
      <w:r>
        <w:rPr>
          <w:color w:val="000000" w:themeColor="text1"/>
          <w:sz w:val="24"/>
        </w:rPr>
        <w:t>Jacobs PC, Prokop M, van der Graaf Y, Gondrie MJ, Janssen KJ, de Koning HJ, Isgum I, van Klaveren RJ, Oudkerk M, van Ginneken B and Mali WP, 2010. Comparing coronary artery calcium and thoracic aorta calcium for prediction of all-cause mortality and cardiovascular events on low-dose non-gated computed tomography in a high-risk population of heavy smokers. Atherosclerosis, 209, 455-462.</w:t>
      </w:r>
      <w:bookmarkStart w:id="133" w:name="_bookmark100"/>
      <w:bookmarkEnd w:id="133"/>
    </w:p>
    <w:p w14:paraId="44027B5D" w14:textId="77777777" w:rsidR="00DC6850" w:rsidRDefault="00DC6850" w:rsidP="00DC6850">
      <w:pPr>
        <w:pStyle w:val="Pamatteksts"/>
        <w:spacing w:before="0"/>
        <w:ind w:left="0"/>
        <w:jc w:val="both"/>
        <w:rPr>
          <w:color w:val="000000" w:themeColor="text1"/>
          <w:sz w:val="24"/>
        </w:rPr>
      </w:pPr>
    </w:p>
    <w:p w14:paraId="5B778C6C" w14:textId="4E12D858" w:rsidR="00562491" w:rsidRPr="00D91B35" w:rsidRDefault="00562491" w:rsidP="00DC6850">
      <w:pPr>
        <w:pStyle w:val="Pamatteksts"/>
        <w:spacing w:before="0"/>
        <w:ind w:left="0"/>
        <w:jc w:val="both"/>
        <w:rPr>
          <w:bCs/>
          <w:noProof/>
          <w:color w:val="000000" w:themeColor="text1"/>
          <w:sz w:val="24"/>
        </w:rPr>
      </w:pPr>
      <w:r>
        <w:rPr>
          <w:color w:val="000000" w:themeColor="text1"/>
          <w:sz w:val="24"/>
        </w:rPr>
        <w:t>Jorde R, Sundsfjord J, Fitzgerald P and Bonaa KH, 1999. Serum calcium and cardiovascular risk factors and diseases: the Tromso study. Hypertension, 34, 484-490.</w:t>
      </w:r>
      <w:bookmarkStart w:id="134" w:name="_bookmark101"/>
      <w:bookmarkEnd w:id="134"/>
    </w:p>
    <w:p w14:paraId="3DB55F84" w14:textId="77777777" w:rsidR="00DC6850" w:rsidRDefault="00DC6850" w:rsidP="00DC6850">
      <w:pPr>
        <w:pStyle w:val="Pamatteksts"/>
        <w:spacing w:before="0"/>
        <w:ind w:left="0"/>
        <w:jc w:val="both"/>
        <w:rPr>
          <w:color w:val="000000" w:themeColor="text1"/>
          <w:sz w:val="24"/>
        </w:rPr>
      </w:pPr>
    </w:p>
    <w:p w14:paraId="1452FF9A" w14:textId="120DFD26" w:rsidR="00562491" w:rsidRPr="00D91B35" w:rsidRDefault="00562491" w:rsidP="00DC6850">
      <w:pPr>
        <w:pStyle w:val="Pamatteksts"/>
        <w:spacing w:before="0"/>
        <w:ind w:left="0"/>
        <w:jc w:val="both"/>
        <w:rPr>
          <w:bCs/>
          <w:noProof/>
          <w:color w:val="000000" w:themeColor="text1"/>
          <w:sz w:val="24"/>
        </w:rPr>
      </w:pPr>
      <w:r>
        <w:rPr>
          <w:color w:val="000000" w:themeColor="text1"/>
          <w:sz w:val="24"/>
        </w:rPr>
        <w:t>Kaul L, Heshmat MY, Kovi J, Jackson MA, Jackson AG, Jones GW, Edson M, Enterline JP, Worrell RG and Perry SL, 1987. The role of diet in prostate cancer. Nutrition and Cancer, 9, 123-128.</w:t>
      </w:r>
      <w:bookmarkStart w:id="135" w:name="_bookmark102"/>
      <w:bookmarkEnd w:id="135"/>
    </w:p>
    <w:p w14:paraId="06F54E43" w14:textId="77777777" w:rsidR="00DC6850" w:rsidRDefault="00DC6850" w:rsidP="00DC6850">
      <w:pPr>
        <w:pStyle w:val="Pamatteksts"/>
        <w:spacing w:before="0"/>
        <w:ind w:left="0"/>
        <w:jc w:val="both"/>
        <w:rPr>
          <w:color w:val="000000" w:themeColor="text1"/>
          <w:sz w:val="24"/>
        </w:rPr>
      </w:pPr>
    </w:p>
    <w:p w14:paraId="4F246DCB" w14:textId="721E1415" w:rsidR="00562491" w:rsidRPr="00D91B35" w:rsidRDefault="00562491" w:rsidP="00DC6850">
      <w:pPr>
        <w:pStyle w:val="Pamatteksts"/>
        <w:spacing w:before="0"/>
        <w:ind w:left="0"/>
        <w:jc w:val="both"/>
        <w:rPr>
          <w:bCs/>
          <w:noProof/>
          <w:color w:val="000000" w:themeColor="text1"/>
          <w:sz w:val="24"/>
        </w:rPr>
      </w:pPr>
      <w:r>
        <w:rPr>
          <w:color w:val="000000" w:themeColor="text1"/>
          <w:sz w:val="24"/>
        </w:rPr>
        <w:t>Key TJ, Silcocks PB, Davey GK, Appleby PN and Bishop DT, 1997. A case-control study of diet and prostate cancer. British Journal of Cancer, 76, 678-687.</w:t>
      </w:r>
      <w:bookmarkStart w:id="136" w:name="_bookmark103"/>
      <w:bookmarkEnd w:id="136"/>
    </w:p>
    <w:p w14:paraId="155C8E39" w14:textId="77777777" w:rsidR="00DC6850" w:rsidRDefault="00DC6850" w:rsidP="00DC6850">
      <w:pPr>
        <w:pStyle w:val="Pamatteksts"/>
        <w:spacing w:before="0"/>
        <w:ind w:left="0"/>
        <w:jc w:val="both"/>
        <w:rPr>
          <w:color w:val="000000" w:themeColor="text1"/>
          <w:sz w:val="24"/>
        </w:rPr>
      </w:pPr>
    </w:p>
    <w:p w14:paraId="4394DD16" w14:textId="0BC811B9" w:rsidR="00562491" w:rsidRPr="00D91B35" w:rsidRDefault="00562491" w:rsidP="00DC6850">
      <w:pPr>
        <w:pStyle w:val="Pamatteksts"/>
        <w:spacing w:before="0"/>
        <w:ind w:left="0"/>
        <w:jc w:val="both"/>
        <w:rPr>
          <w:bCs/>
          <w:noProof/>
          <w:color w:val="000000" w:themeColor="text1"/>
          <w:sz w:val="24"/>
        </w:rPr>
      </w:pPr>
      <w:r>
        <w:rPr>
          <w:color w:val="000000" w:themeColor="text1"/>
          <w:sz w:val="24"/>
        </w:rPr>
        <w:t>Koh KA, Sesso HD, Paffenbarger RS, Jr. and Lee IM, 2006. Dairy products, calcium and prostate cancer risk. British Journal of Cancer, 95, 1582-1585.</w:t>
      </w:r>
      <w:bookmarkStart w:id="137" w:name="_bookmark104"/>
      <w:bookmarkEnd w:id="137"/>
    </w:p>
    <w:p w14:paraId="257B2102" w14:textId="77777777" w:rsidR="00DC6850" w:rsidRDefault="00DC6850" w:rsidP="00DC6850">
      <w:pPr>
        <w:pStyle w:val="Pamatteksts"/>
        <w:spacing w:before="0"/>
        <w:ind w:left="0"/>
        <w:jc w:val="both"/>
        <w:rPr>
          <w:color w:val="000000" w:themeColor="text1"/>
          <w:sz w:val="24"/>
        </w:rPr>
      </w:pPr>
    </w:p>
    <w:p w14:paraId="40F274C0" w14:textId="1AC8D409" w:rsidR="00562491" w:rsidRPr="00D91B35" w:rsidRDefault="00562491" w:rsidP="00DC6850">
      <w:pPr>
        <w:pStyle w:val="Pamatteksts"/>
        <w:spacing w:before="0"/>
        <w:ind w:left="0"/>
        <w:jc w:val="both"/>
        <w:rPr>
          <w:bCs/>
          <w:noProof/>
          <w:color w:val="000000" w:themeColor="text1"/>
          <w:sz w:val="24"/>
        </w:rPr>
      </w:pPr>
      <w:r>
        <w:rPr>
          <w:color w:val="000000" w:themeColor="text1"/>
          <w:sz w:val="24"/>
        </w:rPr>
        <w:t>Kurahashi N, Inoue M, Iwasaki M, Sasazuki S and Tsugane AS, 2008. Dairy product, saturated fatty acid, and calcium intake and prostate cancer in a prospective cohort of Japanese men. Cancer Epidemiology, Biomarkers and Prevention, 17, 930-937.</w:t>
      </w:r>
      <w:bookmarkStart w:id="138" w:name="_bookmark105"/>
      <w:bookmarkEnd w:id="138"/>
    </w:p>
    <w:p w14:paraId="5202781D" w14:textId="77777777" w:rsidR="00DC6850" w:rsidRDefault="00DC6850" w:rsidP="00DC6850">
      <w:pPr>
        <w:pStyle w:val="Pamatteksts"/>
        <w:spacing w:before="0"/>
        <w:ind w:left="0"/>
        <w:jc w:val="both"/>
        <w:rPr>
          <w:color w:val="000000" w:themeColor="text1"/>
          <w:sz w:val="24"/>
        </w:rPr>
      </w:pPr>
    </w:p>
    <w:p w14:paraId="3075C8D6" w14:textId="7FAE04FE" w:rsidR="00562491" w:rsidRPr="00D91B35" w:rsidRDefault="00562491" w:rsidP="00DC6850">
      <w:pPr>
        <w:pStyle w:val="Pamatteksts"/>
        <w:spacing w:before="0"/>
        <w:ind w:left="0"/>
        <w:jc w:val="both"/>
        <w:rPr>
          <w:bCs/>
          <w:noProof/>
          <w:color w:val="000000" w:themeColor="text1"/>
          <w:sz w:val="24"/>
        </w:rPr>
      </w:pPr>
      <w:r>
        <w:rPr>
          <w:color w:val="000000" w:themeColor="text1"/>
          <w:sz w:val="24"/>
        </w:rPr>
        <w:t>Kyttälä P, Ovaskainen M, Kronberg-Kippilä C, Erkkola M, Tapanainen H, Tuokkola J, Veijola R, Simell O, Knip M and Virtanen SM, 2008. The Diet of Finnish Preschoolers. B32/2008, National Public Health Institute, 158 pp.</w:t>
      </w:r>
      <w:bookmarkStart w:id="139" w:name="_bookmark106"/>
      <w:bookmarkEnd w:id="139"/>
    </w:p>
    <w:p w14:paraId="3B462272" w14:textId="77777777" w:rsidR="00DC6850" w:rsidRDefault="00DC6850" w:rsidP="00DC6850">
      <w:pPr>
        <w:pStyle w:val="Pamatteksts"/>
        <w:spacing w:before="0"/>
        <w:ind w:left="0"/>
        <w:jc w:val="both"/>
        <w:rPr>
          <w:color w:val="000000" w:themeColor="text1"/>
          <w:sz w:val="24"/>
        </w:rPr>
      </w:pPr>
    </w:p>
    <w:p w14:paraId="31A6807A" w14:textId="43C6C37B" w:rsidR="00562491" w:rsidRPr="00D91B35" w:rsidRDefault="00562491" w:rsidP="00DC6850">
      <w:pPr>
        <w:pStyle w:val="Pamatteksts"/>
        <w:spacing w:before="0"/>
        <w:ind w:left="0"/>
        <w:jc w:val="both"/>
        <w:rPr>
          <w:bCs/>
          <w:noProof/>
          <w:color w:val="000000" w:themeColor="text1"/>
          <w:sz w:val="24"/>
        </w:rPr>
      </w:pPr>
      <w:r>
        <w:rPr>
          <w:color w:val="000000" w:themeColor="text1"/>
          <w:sz w:val="24"/>
        </w:rPr>
        <w:t>Kyttälä P, Erkkola M, Kronberg-Kippila C, Tapanainen H, Veijola R, Simell O, Knip M and Virtanen SM, 2010. Food consumption and nutrient intake in Finnish 1-6-year-old children. Public Health Nutrition, 13, 947-956.</w:t>
      </w:r>
      <w:bookmarkStart w:id="140" w:name="_bookmark107"/>
      <w:bookmarkEnd w:id="140"/>
    </w:p>
    <w:p w14:paraId="14DD5CD3" w14:textId="77777777" w:rsidR="00DC6850" w:rsidRDefault="00DC6850" w:rsidP="00DC6850">
      <w:pPr>
        <w:pStyle w:val="Pamatteksts"/>
        <w:spacing w:before="0"/>
        <w:ind w:left="0"/>
        <w:jc w:val="both"/>
        <w:rPr>
          <w:color w:val="000000" w:themeColor="text1"/>
          <w:sz w:val="24"/>
        </w:rPr>
      </w:pPr>
    </w:p>
    <w:p w14:paraId="5B9B8DC7" w14:textId="0CA44450" w:rsidR="00562491" w:rsidRPr="00D91B35" w:rsidRDefault="00562491" w:rsidP="00DC6850">
      <w:pPr>
        <w:pStyle w:val="Pamatteksts"/>
        <w:spacing w:before="0"/>
        <w:ind w:left="0"/>
        <w:jc w:val="both"/>
        <w:rPr>
          <w:bCs/>
          <w:noProof/>
          <w:color w:val="000000" w:themeColor="text1"/>
          <w:sz w:val="24"/>
        </w:rPr>
      </w:pPr>
      <w:r>
        <w:rPr>
          <w:color w:val="000000" w:themeColor="text1"/>
          <w:sz w:val="24"/>
        </w:rPr>
        <w:t>Laaksonen DE, Laukkanen JA, Niskanen L, Nyyssonen K, Rissanen TH, Voutilainen S, Pukkala E, Hakkarainen A and Salonen JT, 2004. Serum linoleic and total polyunsaturated fatty acids in relation to prostate and other cancers: a population-based cohort study. International Journal of Cancer, 111, 444-450.</w:t>
      </w:r>
      <w:bookmarkStart w:id="141" w:name="_bookmark108"/>
      <w:bookmarkEnd w:id="141"/>
    </w:p>
    <w:p w14:paraId="0183C47E" w14:textId="77777777" w:rsidR="00DC6850" w:rsidRDefault="00DC6850" w:rsidP="00DC6850">
      <w:pPr>
        <w:pStyle w:val="Pamatteksts"/>
        <w:spacing w:before="0"/>
        <w:ind w:left="0"/>
        <w:jc w:val="both"/>
        <w:rPr>
          <w:color w:val="000000" w:themeColor="text1"/>
          <w:sz w:val="24"/>
        </w:rPr>
      </w:pPr>
    </w:p>
    <w:p w14:paraId="499D3753" w14:textId="0B3EC121" w:rsidR="00562491" w:rsidRPr="00D91B35" w:rsidRDefault="00562491" w:rsidP="00DC6850">
      <w:pPr>
        <w:pStyle w:val="Pamatteksts"/>
        <w:spacing w:before="0"/>
        <w:ind w:left="0"/>
        <w:jc w:val="both"/>
        <w:rPr>
          <w:bCs/>
          <w:noProof/>
          <w:color w:val="000000" w:themeColor="text1"/>
          <w:sz w:val="24"/>
        </w:rPr>
      </w:pPr>
      <w:r>
        <w:rPr>
          <w:color w:val="000000" w:themeColor="text1"/>
          <w:sz w:val="24"/>
        </w:rPr>
        <w:t>Lappe JM, Travers-Gustafson D, Davies KM, Recker RR and Heaney RP, 2007. Vitamin D and calcium supplementation reduces cancer risk: results of a randomized trial. American Journal of Clinical Nutrition, 85, 1586-1591.</w:t>
      </w:r>
      <w:bookmarkStart w:id="142" w:name="_bookmark109"/>
      <w:bookmarkEnd w:id="142"/>
    </w:p>
    <w:p w14:paraId="5810425B" w14:textId="77777777" w:rsidR="00DC6850" w:rsidRDefault="00DC6850" w:rsidP="00DC6850">
      <w:pPr>
        <w:pStyle w:val="Pamatteksts"/>
        <w:spacing w:before="0"/>
        <w:ind w:left="0"/>
        <w:jc w:val="both"/>
        <w:rPr>
          <w:color w:val="000000" w:themeColor="text1"/>
          <w:sz w:val="24"/>
        </w:rPr>
      </w:pPr>
    </w:p>
    <w:p w14:paraId="2F603CAD" w14:textId="3715BD69" w:rsidR="00562491" w:rsidRPr="00D91B35" w:rsidRDefault="00562491" w:rsidP="00DC6850">
      <w:pPr>
        <w:pStyle w:val="Pamatteksts"/>
        <w:spacing w:before="0"/>
        <w:ind w:left="0"/>
        <w:jc w:val="both"/>
        <w:rPr>
          <w:bCs/>
          <w:noProof/>
          <w:color w:val="000000" w:themeColor="text1"/>
          <w:sz w:val="24"/>
        </w:rPr>
      </w:pPr>
      <w:r>
        <w:rPr>
          <w:color w:val="000000" w:themeColor="text1"/>
          <w:sz w:val="24"/>
        </w:rPr>
        <w:t>Lappe JM and Heaney RP, 2008. Calcium supplementation: Results may not be generalisable. British Medical Journal (Clinical Research Edition), 336, 403.</w:t>
      </w:r>
      <w:bookmarkStart w:id="143" w:name="_bookmark110"/>
      <w:bookmarkEnd w:id="143"/>
    </w:p>
    <w:p w14:paraId="47327607" w14:textId="77777777" w:rsidR="00DC6850" w:rsidRDefault="00DC6850" w:rsidP="00DC6850">
      <w:pPr>
        <w:pStyle w:val="Pamatteksts"/>
        <w:spacing w:before="0"/>
        <w:ind w:left="0"/>
        <w:jc w:val="both"/>
        <w:rPr>
          <w:color w:val="000000" w:themeColor="text1"/>
          <w:sz w:val="24"/>
        </w:rPr>
      </w:pPr>
    </w:p>
    <w:p w14:paraId="1A04844E" w14:textId="02CE80DE" w:rsidR="00562491" w:rsidRPr="00D91B35" w:rsidRDefault="00562491" w:rsidP="00DC6850">
      <w:pPr>
        <w:pStyle w:val="Pamatteksts"/>
        <w:spacing w:before="0"/>
        <w:ind w:left="0"/>
        <w:jc w:val="both"/>
        <w:rPr>
          <w:bCs/>
          <w:noProof/>
          <w:color w:val="000000" w:themeColor="text1"/>
          <w:sz w:val="24"/>
        </w:rPr>
      </w:pPr>
      <w:r>
        <w:rPr>
          <w:color w:val="000000" w:themeColor="text1"/>
          <w:sz w:val="24"/>
        </w:rPr>
        <w:t>Larsson SC, Virtanen MJ, Mars M, Mannisto S, Pietinen P, Albanes D and Virtamo J, 2008. Magnesium, calcium, potassium, and sodium intakes and risk of stroke in male smokers. Archives of Internal Medicine, 168, 459-465.</w:t>
      </w:r>
      <w:bookmarkStart w:id="144" w:name="_bookmark111"/>
      <w:bookmarkEnd w:id="144"/>
    </w:p>
    <w:p w14:paraId="2F510011" w14:textId="77777777" w:rsidR="00DC6850" w:rsidRDefault="00DC6850" w:rsidP="00DC6850">
      <w:pPr>
        <w:pStyle w:val="Pamatteksts"/>
        <w:spacing w:before="0"/>
        <w:ind w:left="0"/>
        <w:jc w:val="both"/>
        <w:rPr>
          <w:color w:val="000000" w:themeColor="text1"/>
          <w:sz w:val="24"/>
        </w:rPr>
      </w:pPr>
    </w:p>
    <w:p w14:paraId="3A545471" w14:textId="75E6B8EB" w:rsidR="00562491" w:rsidRPr="00D91B35" w:rsidRDefault="00562491" w:rsidP="00DC6850">
      <w:pPr>
        <w:pStyle w:val="Pamatteksts"/>
        <w:spacing w:before="0"/>
        <w:ind w:left="0"/>
        <w:jc w:val="both"/>
        <w:rPr>
          <w:bCs/>
          <w:noProof/>
          <w:color w:val="000000" w:themeColor="text1"/>
          <w:sz w:val="24"/>
        </w:rPr>
      </w:pPr>
      <w:r>
        <w:rPr>
          <w:color w:val="000000" w:themeColor="text1"/>
          <w:sz w:val="24"/>
        </w:rPr>
        <w:t>Levitzky YS, Cupples LA, Murabito JM, Kannel WB, Kiel DP, Wilson PW, Wolf PA and O'Donnell CJ, 2008. Prediction of intermittent claudication, ischemic stroke, and other cardiovascular disease by detection of abdominal aortic calcific deposits by plain lumbar radiographs. American Journal of Cardiology, 101, 326-331.</w:t>
      </w:r>
      <w:bookmarkStart w:id="145" w:name="_bookmark112"/>
      <w:bookmarkEnd w:id="145"/>
    </w:p>
    <w:p w14:paraId="27B6AEED" w14:textId="77777777" w:rsidR="00DC6850" w:rsidRDefault="00DC6850" w:rsidP="00DC6850">
      <w:pPr>
        <w:pStyle w:val="Pamatteksts"/>
        <w:spacing w:before="0"/>
        <w:ind w:left="0"/>
        <w:jc w:val="both"/>
        <w:rPr>
          <w:color w:val="000000" w:themeColor="text1"/>
          <w:sz w:val="24"/>
        </w:rPr>
      </w:pPr>
    </w:p>
    <w:p w14:paraId="50383E0E" w14:textId="517C46D8" w:rsidR="00562491" w:rsidRPr="00D91B35" w:rsidRDefault="00562491" w:rsidP="00DC6850">
      <w:pPr>
        <w:pStyle w:val="Pamatteksts"/>
        <w:spacing w:before="0"/>
        <w:ind w:left="0"/>
        <w:jc w:val="both"/>
        <w:rPr>
          <w:bCs/>
          <w:noProof/>
          <w:color w:val="000000" w:themeColor="text1"/>
          <w:sz w:val="24"/>
        </w:rPr>
      </w:pPr>
      <w:r>
        <w:rPr>
          <w:color w:val="000000" w:themeColor="text1"/>
          <w:sz w:val="24"/>
        </w:rPr>
        <w:t>Li K, Kaaks R, Linseisen J and Rohrmann S, 2012. Associations of dietary calcium intake and calcium supplementation with myocardial infarction and stroke risk and overall cardiovascular mortality in the Heidelberg cohort of the European Prospective Investigation into Cancer and Nutrition study (EPIC-Heidelberg). Heart, 98, 920-925.</w:t>
      </w:r>
      <w:bookmarkStart w:id="146" w:name="_bookmark113"/>
      <w:bookmarkEnd w:id="146"/>
    </w:p>
    <w:p w14:paraId="586E3EDB" w14:textId="77777777" w:rsidR="00DC6850" w:rsidRDefault="00DC6850" w:rsidP="00DC6850">
      <w:pPr>
        <w:pStyle w:val="Pamatteksts"/>
        <w:spacing w:before="0"/>
        <w:ind w:left="0"/>
        <w:jc w:val="both"/>
        <w:rPr>
          <w:color w:val="000000" w:themeColor="text1"/>
          <w:sz w:val="24"/>
        </w:rPr>
      </w:pPr>
    </w:p>
    <w:p w14:paraId="18B1721C" w14:textId="7FC8E10A" w:rsidR="00562491" w:rsidRPr="00D91B35" w:rsidRDefault="00562491" w:rsidP="00DC6850">
      <w:pPr>
        <w:pStyle w:val="Pamatteksts"/>
        <w:spacing w:before="0"/>
        <w:ind w:left="0"/>
        <w:jc w:val="both"/>
        <w:rPr>
          <w:bCs/>
          <w:noProof/>
          <w:color w:val="000000" w:themeColor="text1"/>
          <w:sz w:val="24"/>
        </w:rPr>
      </w:pPr>
      <w:r>
        <w:rPr>
          <w:color w:val="000000" w:themeColor="text1"/>
          <w:sz w:val="24"/>
        </w:rPr>
        <w:t>Liaw Y-P, Huang Y-C and Lo P-Y, 2003. Nutrient intakes in relation to cancer mortality in Taiwan.</w:t>
      </w:r>
      <w:bookmarkStart w:id="147" w:name="_bookmark114"/>
      <w:bookmarkEnd w:id="147"/>
    </w:p>
    <w:p w14:paraId="5A6939AF" w14:textId="77777777" w:rsidR="00DC6850" w:rsidRDefault="00DC6850" w:rsidP="00DC6850">
      <w:pPr>
        <w:pStyle w:val="Pamatteksts"/>
        <w:spacing w:before="0"/>
        <w:ind w:left="0"/>
        <w:jc w:val="both"/>
        <w:rPr>
          <w:color w:val="000000" w:themeColor="text1"/>
          <w:sz w:val="24"/>
        </w:rPr>
      </w:pPr>
    </w:p>
    <w:p w14:paraId="6A735989" w14:textId="186E4C13" w:rsidR="00562491" w:rsidRPr="00D91B35" w:rsidRDefault="00562491" w:rsidP="00DC6850">
      <w:pPr>
        <w:pStyle w:val="Pamatteksts"/>
        <w:spacing w:before="0"/>
        <w:ind w:left="0"/>
        <w:jc w:val="both"/>
        <w:rPr>
          <w:bCs/>
          <w:noProof/>
          <w:color w:val="000000" w:themeColor="text1"/>
          <w:sz w:val="24"/>
        </w:rPr>
      </w:pPr>
      <w:r>
        <w:rPr>
          <w:color w:val="000000" w:themeColor="text1"/>
          <w:sz w:val="24"/>
        </w:rPr>
        <w:t>Nutr. Res., 23, 1597-1606.</w:t>
      </w:r>
    </w:p>
    <w:p w14:paraId="7C1D6AC6" w14:textId="77777777" w:rsidR="00DC6850" w:rsidRDefault="00DC6850" w:rsidP="00DC6850">
      <w:pPr>
        <w:pStyle w:val="Pamatteksts"/>
        <w:spacing w:before="0"/>
        <w:ind w:left="0"/>
        <w:jc w:val="both"/>
        <w:rPr>
          <w:color w:val="000000" w:themeColor="text1"/>
          <w:sz w:val="24"/>
        </w:rPr>
      </w:pPr>
    </w:p>
    <w:p w14:paraId="663ED3E7" w14:textId="11D6E50A" w:rsidR="00562491" w:rsidRPr="00D91B35" w:rsidRDefault="00562491" w:rsidP="00DC6850">
      <w:pPr>
        <w:pStyle w:val="Pamatteksts"/>
        <w:spacing w:before="0"/>
        <w:ind w:left="0"/>
        <w:jc w:val="both"/>
        <w:rPr>
          <w:bCs/>
          <w:noProof/>
          <w:color w:val="000000" w:themeColor="text1"/>
          <w:sz w:val="24"/>
        </w:rPr>
      </w:pPr>
      <w:r>
        <w:rPr>
          <w:color w:val="000000" w:themeColor="text1"/>
          <w:sz w:val="24"/>
        </w:rPr>
        <w:t>Lind L, Skarfors E, Berglund L, Lithell H and Ljunghall S, 1997. Serum calcium: a new, independent, prospective risk factor for myocardial infarction in middle-aged men followed for 18 years. Journal of Clinical Epidemiology, 50, 967-973.</w:t>
      </w:r>
      <w:bookmarkStart w:id="148" w:name="_bookmark115"/>
      <w:bookmarkEnd w:id="148"/>
    </w:p>
    <w:p w14:paraId="0F2FA335" w14:textId="77777777" w:rsidR="00DC6850" w:rsidRDefault="00DC6850" w:rsidP="00DC6850">
      <w:pPr>
        <w:pStyle w:val="Pamatteksts"/>
        <w:spacing w:before="0"/>
        <w:ind w:left="0"/>
        <w:jc w:val="both"/>
        <w:rPr>
          <w:color w:val="000000" w:themeColor="text1"/>
          <w:sz w:val="24"/>
        </w:rPr>
      </w:pPr>
    </w:p>
    <w:p w14:paraId="13543DC8" w14:textId="0F962C56" w:rsidR="00562491" w:rsidRPr="00D91B35" w:rsidRDefault="00562491" w:rsidP="00DC6850">
      <w:pPr>
        <w:pStyle w:val="Pamatteksts"/>
        <w:spacing w:before="0"/>
        <w:ind w:left="0"/>
        <w:jc w:val="both"/>
        <w:rPr>
          <w:bCs/>
          <w:noProof/>
          <w:color w:val="000000" w:themeColor="text1"/>
          <w:sz w:val="24"/>
        </w:rPr>
      </w:pPr>
      <w:r>
        <w:rPr>
          <w:color w:val="000000" w:themeColor="text1"/>
          <w:sz w:val="24"/>
        </w:rPr>
        <w:t>Lopes C, Oliveira A, Santos AC, Ramos E, Gaio AR, Severo M and Barros H, 2006. Consumo alimentar no Porto. Faculdade de Medecina da Universidade do Porto, 172 pp.</w:t>
      </w:r>
      <w:bookmarkStart w:id="149" w:name="_bookmark116"/>
      <w:bookmarkEnd w:id="149"/>
    </w:p>
    <w:p w14:paraId="354B974A" w14:textId="77777777" w:rsidR="00DC6850" w:rsidRDefault="00DC6850" w:rsidP="00DC6850">
      <w:pPr>
        <w:pStyle w:val="Pamatteksts"/>
        <w:spacing w:before="0"/>
        <w:ind w:left="0"/>
        <w:jc w:val="both"/>
        <w:rPr>
          <w:color w:val="000000" w:themeColor="text1"/>
          <w:sz w:val="24"/>
        </w:rPr>
      </w:pPr>
    </w:p>
    <w:p w14:paraId="21D2D49C" w14:textId="3194D211" w:rsidR="00562491" w:rsidRPr="00D91B35" w:rsidRDefault="00562491" w:rsidP="00DC6850">
      <w:pPr>
        <w:pStyle w:val="Pamatteksts"/>
        <w:spacing w:before="0"/>
        <w:ind w:left="0"/>
        <w:jc w:val="both"/>
        <w:rPr>
          <w:bCs/>
          <w:noProof/>
          <w:color w:val="000000" w:themeColor="text1"/>
          <w:sz w:val="24"/>
        </w:rPr>
      </w:pPr>
      <w:r>
        <w:rPr>
          <w:color w:val="000000" w:themeColor="text1"/>
          <w:sz w:val="24"/>
        </w:rPr>
        <w:t>Manios Y, Grammatikaki E, Papoutsou S, Liarigkovinos T, Kondaki K and Moschonis G, 2008. Nutrient intakes of toddlers and preschoolers in Greece: the GENESIS study. Journal of the American Dietetic Association, 108, 357-361.</w:t>
      </w:r>
      <w:bookmarkStart w:id="150" w:name="_bookmark117"/>
      <w:bookmarkEnd w:id="150"/>
    </w:p>
    <w:p w14:paraId="4F6C3418" w14:textId="77777777" w:rsidR="00DC6850" w:rsidRDefault="00DC6850" w:rsidP="00DC6850">
      <w:pPr>
        <w:pStyle w:val="Pamatteksts"/>
        <w:spacing w:before="0"/>
        <w:ind w:left="0"/>
        <w:jc w:val="both"/>
        <w:rPr>
          <w:color w:val="000000" w:themeColor="text1"/>
          <w:sz w:val="24"/>
        </w:rPr>
      </w:pPr>
    </w:p>
    <w:p w14:paraId="30332BEE" w14:textId="2FF7C5CE" w:rsidR="00562491" w:rsidRPr="00D91B35" w:rsidRDefault="00562491" w:rsidP="00DC6850">
      <w:pPr>
        <w:pStyle w:val="Pamatteksts"/>
        <w:spacing w:before="0"/>
        <w:ind w:left="0"/>
        <w:jc w:val="both"/>
        <w:rPr>
          <w:bCs/>
          <w:noProof/>
          <w:color w:val="000000" w:themeColor="text1"/>
          <w:sz w:val="24"/>
        </w:rPr>
      </w:pPr>
      <w:r>
        <w:rPr>
          <w:color w:val="000000" w:themeColor="text1"/>
          <w:sz w:val="24"/>
        </w:rPr>
        <w:t>Markowitz ME, Sinnett M and Rosen JF, 2004. A randomized trial of calcium supplementation for childhood lead poisoning. Pediatrics, 113, e34-39.</w:t>
      </w:r>
      <w:bookmarkStart w:id="151" w:name="_bookmark118"/>
      <w:bookmarkEnd w:id="151"/>
    </w:p>
    <w:p w14:paraId="6E1AFE31" w14:textId="77777777" w:rsidR="00DC6850" w:rsidRDefault="00DC6850" w:rsidP="00DC6850">
      <w:pPr>
        <w:pStyle w:val="Pamatteksts"/>
        <w:spacing w:before="0"/>
        <w:ind w:left="0"/>
        <w:jc w:val="both"/>
        <w:rPr>
          <w:color w:val="000000" w:themeColor="text1"/>
          <w:sz w:val="24"/>
        </w:rPr>
      </w:pPr>
    </w:p>
    <w:p w14:paraId="36291956" w14:textId="051768C5" w:rsidR="00562491" w:rsidRPr="00D91B35" w:rsidRDefault="00562491" w:rsidP="00DC6850">
      <w:pPr>
        <w:pStyle w:val="Pamatteksts"/>
        <w:spacing w:before="0"/>
        <w:ind w:left="0"/>
        <w:jc w:val="both"/>
        <w:rPr>
          <w:bCs/>
          <w:noProof/>
          <w:color w:val="000000" w:themeColor="text1"/>
          <w:sz w:val="24"/>
        </w:rPr>
      </w:pPr>
      <w:r>
        <w:rPr>
          <w:color w:val="000000" w:themeColor="text1"/>
          <w:sz w:val="24"/>
        </w:rPr>
        <w:t>Marniemi J, Alanen E, Impivaara O, Seppanen R, Hakala P, Rajala T and Ronnemaa T, 2005. Dietary and serum vitamins and minerals as predictors of myocardial infarction and stroke in elderly subjects. Nutrition, Metabolism and Cardiovascular Diseases, 15, 188-197.</w:t>
      </w:r>
      <w:bookmarkStart w:id="152" w:name="_bookmark119"/>
      <w:bookmarkEnd w:id="152"/>
    </w:p>
    <w:p w14:paraId="588EC5AA" w14:textId="77777777" w:rsidR="00DC6850" w:rsidRDefault="00DC6850" w:rsidP="00DC6850">
      <w:pPr>
        <w:pStyle w:val="Pamatteksts"/>
        <w:spacing w:before="0"/>
        <w:ind w:left="0"/>
        <w:jc w:val="both"/>
        <w:rPr>
          <w:color w:val="000000" w:themeColor="text1"/>
          <w:sz w:val="24"/>
        </w:rPr>
      </w:pPr>
    </w:p>
    <w:p w14:paraId="61BDC3D8" w14:textId="1C969996" w:rsidR="00562491" w:rsidRPr="00D91B35" w:rsidRDefault="00562491" w:rsidP="00DC6850">
      <w:pPr>
        <w:pStyle w:val="Pamatteksts"/>
        <w:spacing w:before="0"/>
        <w:ind w:left="0"/>
        <w:jc w:val="both"/>
        <w:rPr>
          <w:bCs/>
          <w:noProof/>
          <w:color w:val="000000" w:themeColor="text1"/>
          <w:sz w:val="24"/>
        </w:rPr>
      </w:pPr>
      <w:r>
        <w:rPr>
          <w:color w:val="000000" w:themeColor="text1"/>
          <w:sz w:val="24"/>
        </w:rPr>
        <w:t>Matkovic V, Ilich JZ, Andon MB, Hsieh LC, Tzagournis MA, Lagger BJ and Goel PK, 1995. Urinary calcium, sodium, and bone mass of young females. American Journal of Clinical Nutrition, 62, 417-425.</w:t>
      </w:r>
      <w:bookmarkStart w:id="153" w:name="_bookmark120"/>
      <w:bookmarkEnd w:id="153"/>
    </w:p>
    <w:p w14:paraId="14CB9DA9" w14:textId="77777777" w:rsidR="00DC6850" w:rsidRDefault="00DC6850" w:rsidP="00DC6850">
      <w:pPr>
        <w:pStyle w:val="Pamatteksts"/>
        <w:spacing w:before="0"/>
        <w:ind w:left="0"/>
        <w:jc w:val="both"/>
        <w:rPr>
          <w:color w:val="000000" w:themeColor="text1"/>
          <w:sz w:val="24"/>
        </w:rPr>
      </w:pPr>
    </w:p>
    <w:p w14:paraId="480F19DF" w14:textId="7841F11B" w:rsidR="00562491" w:rsidRPr="00D91B35" w:rsidRDefault="00562491" w:rsidP="00DC6850">
      <w:pPr>
        <w:pStyle w:val="Pamatteksts"/>
        <w:spacing w:before="0"/>
        <w:ind w:left="0"/>
        <w:jc w:val="both"/>
        <w:rPr>
          <w:bCs/>
          <w:noProof/>
          <w:color w:val="000000" w:themeColor="text1"/>
          <w:sz w:val="24"/>
        </w:rPr>
      </w:pPr>
      <w:r>
        <w:rPr>
          <w:color w:val="000000" w:themeColor="text1"/>
          <w:sz w:val="24"/>
        </w:rPr>
        <w:t>Medarov BI, 2009. Milk-alkali syndrome. Mayo Clinic Proceedings, 84, 261-267.</w:t>
      </w:r>
      <w:bookmarkStart w:id="154" w:name="_bookmark121"/>
      <w:bookmarkEnd w:id="154"/>
    </w:p>
    <w:p w14:paraId="66F46C52" w14:textId="77777777" w:rsidR="00DC6850" w:rsidRDefault="00DC6850" w:rsidP="00DC6850">
      <w:pPr>
        <w:pStyle w:val="Pamatteksts"/>
        <w:spacing w:before="0"/>
        <w:ind w:left="0"/>
        <w:jc w:val="both"/>
        <w:rPr>
          <w:color w:val="000000" w:themeColor="text1"/>
          <w:sz w:val="24"/>
        </w:rPr>
      </w:pPr>
    </w:p>
    <w:p w14:paraId="06606924" w14:textId="626C11D1" w:rsidR="00562491" w:rsidRPr="00D91B35" w:rsidRDefault="00562491" w:rsidP="00DC6850">
      <w:pPr>
        <w:pStyle w:val="Pamatteksts"/>
        <w:spacing w:before="0"/>
        <w:ind w:left="0"/>
        <w:jc w:val="both"/>
        <w:rPr>
          <w:bCs/>
          <w:noProof/>
          <w:color w:val="000000" w:themeColor="text1"/>
          <w:sz w:val="24"/>
        </w:rPr>
      </w:pPr>
      <w:r>
        <w:rPr>
          <w:color w:val="000000" w:themeColor="text1"/>
          <w:sz w:val="24"/>
        </w:rPr>
        <w:t>Mitrou PN, Albanes D, Weinstein SJ, Pietinen P, Taylor PR, Virtamo J and Leitzmann MF, 2007. A prospective study of dietary calcium, dairy products and prostate cancer risk (Finland). International Journal of Cancer, 120, 2466-2473.</w:t>
      </w:r>
      <w:bookmarkStart w:id="155" w:name="_bookmark122"/>
      <w:bookmarkEnd w:id="155"/>
    </w:p>
    <w:p w14:paraId="0D3CE83B" w14:textId="77777777" w:rsidR="00DC6850" w:rsidRDefault="00DC6850" w:rsidP="00DC6850">
      <w:pPr>
        <w:pStyle w:val="Pamatteksts"/>
        <w:spacing w:before="0"/>
        <w:ind w:left="0"/>
        <w:jc w:val="both"/>
        <w:rPr>
          <w:color w:val="000000" w:themeColor="text1"/>
          <w:sz w:val="24"/>
        </w:rPr>
      </w:pPr>
    </w:p>
    <w:p w14:paraId="3BAE377C" w14:textId="49EC671F" w:rsidR="00562491" w:rsidRPr="00D91B35" w:rsidRDefault="00562491" w:rsidP="00DC6850">
      <w:pPr>
        <w:pStyle w:val="Pamatteksts"/>
        <w:spacing w:before="0"/>
        <w:ind w:left="0"/>
        <w:jc w:val="both"/>
        <w:rPr>
          <w:bCs/>
          <w:noProof/>
          <w:color w:val="000000" w:themeColor="text1"/>
          <w:sz w:val="24"/>
        </w:rPr>
      </w:pPr>
      <w:r>
        <w:rPr>
          <w:color w:val="000000" w:themeColor="text1"/>
          <w:sz w:val="24"/>
        </w:rPr>
        <w:t>Moser-Veillon PB, Mangels AR, Vieira NE, Yergey AL, Patterson KY, Hill AD and Veillon C, 2001. Calcium fractional absorption and metabolism assessed using stable isotopes differ between postpartum and never pregnant women. Journal of Nutrition, 131, 2295-2299.</w:t>
      </w:r>
      <w:bookmarkStart w:id="156" w:name="_bookmark123"/>
      <w:bookmarkEnd w:id="156"/>
    </w:p>
    <w:p w14:paraId="1A033606" w14:textId="77777777" w:rsidR="00DC6850" w:rsidRDefault="00DC6850" w:rsidP="00DC6850">
      <w:pPr>
        <w:pStyle w:val="Pamatteksts"/>
        <w:spacing w:before="0"/>
        <w:ind w:left="0"/>
        <w:jc w:val="both"/>
        <w:rPr>
          <w:color w:val="000000" w:themeColor="text1"/>
          <w:sz w:val="24"/>
        </w:rPr>
      </w:pPr>
    </w:p>
    <w:p w14:paraId="25936CBC" w14:textId="74A5DC59" w:rsidR="00562491" w:rsidRPr="00D91B35" w:rsidRDefault="00562491" w:rsidP="00DC6850">
      <w:pPr>
        <w:pStyle w:val="Pamatteksts"/>
        <w:spacing w:before="0"/>
        <w:ind w:left="0"/>
        <w:jc w:val="both"/>
        <w:rPr>
          <w:bCs/>
          <w:noProof/>
          <w:color w:val="000000" w:themeColor="text1"/>
          <w:sz w:val="24"/>
        </w:rPr>
      </w:pPr>
      <w:r>
        <w:rPr>
          <w:color w:val="000000" w:themeColor="text1"/>
          <w:sz w:val="24"/>
        </w:rPr>
        <w:t>MRI, 2008. National Verzehrs Studie II. Ergebnisbericht, Teil 2. Die bundesweite Befragung zur Ernährung von Jugendlichen und Erwachsenen. Max Rubner-Institut Bundesforschungsinstitut für Ernährung und Lebensmittel, 307 pp.</w:t>
      </w:r>
      <w:bookmarkStart w:id="157" w:name="_bookmark124"/>
      <w:bookmarkEnd w:id="157"/>
    </w:p>
    <w:p w14:paraId="0BCADBB4" w14:textId="77777777" w:rsidR="00DC6850" w:rsidRDefault="00DC6850" w:rsidP="00DC6850">
      <w:pPr>
        <w:pStyle w:val="Pamatteksts"/>
        <w:spacing w:before="0"/>
        <w:ind w:left="0"/>
        <w:jc w:val="both"/>
        <w:rPr>
          <w:color w:val="000000" w:themeColor="text1"/>
          <w:sz w:val="24"/>
        </w:rPr>
      </w:pPr>
    </w:p>
    <w:p w14:paraId="23BF3639" w14:textId="083C490B" w:rsidR="00562491" w:rsidRPr="00D91B35" w:rsidRDefault="00562491" w:rsidP="00DC6850">
      <w:pPr>
        <w:pStyle w:val="Pamatteksts"/>
        <w:spacing w:before="0"/>
        <w:ind w:left="0"/>
        <w:jc w:val="both"/>
        <w:rPr>
          <w:bCs/>
          <w:noProof/>
          <w:color w:val="000000" w:themeColor="text1"/>
          <w:sz w:val="24"/>
        </w:rPr>
      </w:pPr>
      <w:r>
        <w:rPr>
          <w:color w:val="000000" w:themeColor="text1"/>
          <w:sz w:val="24"/>
        </w:rPr>
        <w:t>Mursu J, Robien K, Harnack LJ, Park K and Jacobs DR, Jr., 2011. Dietary supplements and mortality rate in older women: the Iowa Women's Health Study. Archives of Internal Medicine, 171, 1625- 1633.</w:t>
      </w:r>
      <w:bookmarkStart w:id="158" w:name="_bookmark125"/>
      <w:bookmarkEnd w:id="158"/>
    </w:p>
    <w:p w14:paraId="477640EC" w14:textId="77777777" w:rsidR="00DC6850" w:rsidRDefault="00DC6850" w:rsidP="00DC6850">
      <w:pPr>
        <w:pStyle w:val="Pamatteksts"/>
        <w:spacing w:before="0"/>
        <w:ind w:left="0"/>
        <w:jc w:val="both"/>
        <w:rPr>
          <w:color w:val="000000" w:themeColor="text1"/>
          <w:sz w:val="24"/>
        </w:rPr>
      </w:pPr>
    </w:p>
    <w:p w14:paraId="0F080E32" w14:textId="005B3E6B" w:rsidR="00562491" w:rsidRPr="00D91B35" w:rsidRDefault="00562491" w:rsidP="00DC6850">
      <w:pPr>
        <w:pStyle w:val="Pamatteksts"/>
        <w:spacing w:before="0"/>
        <w:ind w:left="0"/>
        <w:jc w:val="both"/>
        <w:rPr>
          <w:bCs/>
          <w:noProof/>
          <w:color w:val="000000" w:themeColor="text1"/>
          <w:sz w:val="24"/>
        </w:rPr>
      </w:pPr>
      <w:r>
        <w:rPr>
          <w:color w:val="000000" w:themeColor="text1"/>
          <w:sz w:val="24"/>
        </w:rPr>
        <w:t>O'Seaghdha CM, Yang Q, Glazer NL, Leak TS, Dehghan A, Smith AV, Kao WH, Lohman K, Hwang SJ, Johnson AD, Hofman A, Uitterlinden AG, Chen YD, Consortium G, Brown EM, Siscovick</w:t>
      </w:r>
      <w:bookmarkStart w:id="159" w:name="_bookmark126"/>
      <w:bookmarkEnd w:id="159"/>
    </w:p>
    <w:p w14:paraId="4ED78C37" w14:textId="77777777" w:rsidR="00DC6850" w:rsidRDefault="00DC6850" w:rsidP="00DC6850">
      <w:pPr>
        <w:pStyle w:val="Pamatteksts"/>
        <w:spacing w:before="0"/>
        <w:ind w:left="0"/>
        <w:jc w:val="both"/>
        <w:rPr>
          <w:color w:val="000000" w:themeColor="text1"/>
          <w:sz w:val="24"/>
        </w:rPr>
      </w:pPr>
    </w:p>
    <w:p w14:paraId="43155E58" w14:textId="1EA58477" w:rsidR="00562491" w:rsidRPr="00D91B35" w:rsidRDefault="00562491" w:rsidP="00DC6850">
      <w:pPr>
        <w:pStyle w:val="Pamatteksts"/>
        <w:spacing w:before="0"/>
        <w:ind w:left="0"/>
        <w:jc w:val="both"/>
        <w:rPr>
          <w:bCs/>
          <w:noProof/>
          <w:color w:val="000000" w:themeColor="text1"/>
          <w:sz w:val="24"/>
        </w:rPr>
      </w:pPr>
      <w:r>
        <w:rPr>
          <w:color w:val="000000" w:themeColor="text1"/>
          <w:sz w:val="24"/>
        </w:rPr>
        <w:t>DS, Harris TB, Psaty BM, Coresh J, Gudnason V, Witteman JC, Liu YM, Kestenbaum BR, Fox CS and Kottgen A, 2010. Common variants in the calcium-sensing receptor gene are associated with total serum calcium levels. Human Molecular Genetics, 19, 4296-4303.</w:t>
      </w:r>
    </w:p>
    <w:p w14:paraId="1311B75C" w14:textId="77777777" w:rsidR="00DC6850" w:rsidRDefault="00DC6850" w:rsidP="00DC6850">
      <w:pPr>
        <w:pStyle w:val="Pamatteksts"/>
        <w:spacing w:before="0"/>
        <w:ind w:left="0"/>
        <w:jc w:val="both"/>
        <w:rPr>
          <w:color w:val="000000" w:themeColor="text1"/>
          <w:sz w:val="24"/>
        </w:rPr>
      </w:pPr>
    </w:p>
    <w:p w14:paraId="64213582" w14:textId="0001A5F9" w:rsidR="00562491" w:rsidRPr="00D91B35" w:rsidRDefault="00562491" w:rsidP="00DC6850">
      <w:pPr>
        <w:pStyle w:val="Pamatteksts"/>
        <w:spacing w:before="0"/>
        <w:ind w:left="0"/>
        <w:jc w:val="both"/>
        <w:rPr>
          <w:bCs/>
          <w:noProof/>
          <w:color w:val="000000" w:themeColor="text1"/>
          <w:sz w:val="24"/>
        </w:rPr>
      </w:pPr>
      <w:r>
        <w:rPr>
          <w:color w:val="000000" w:themeColor="text1"/>
          <w:sz w:val="24"/>
        </w:rPr>
        <w:t>Ocke MC, van Rossum CTM, Fransen HP, Buurma EJM, de Boer EJ, Brants HAM, Niekerk EM, van der Laan JD, Drijvers JJMM and Ghameshlou Z, 2008. Dutch National Food Consumption Survey</w:t>
      </w:r>
      <w:bookmarkStart w:id="160" w:name="_bookmark127"/>
      <w:bookmarkEnd w:id="160"/>
      <w:r w:rsidR="00DC6850">
        <w:rPr>
          <w:color w:val="000000" w:themeColor="text1"/>
          <w:sz w:val="24"/>
        </w:rPr>
        <w:t xml:space="preserve"> </w:t>
      </w:r>
      <w:r>
        <w:rPr>
          <w:color w:val="000000" w:themeColor="text1"/>
          <w:sz w:val="24"/>
        </w:rPr>
        <w:t>- Young Children 2005/2006. RIVM Report 350070001/2008, National Institute for Public Health and the Environment, 105 pp.</w:t>
      </w:r>
    </w:p>
    <w:p w14:paraId="3C1A244D" w14:textId="77777777" w:rsidR="00DC6850" w:rsidRDefault="00DC6850" w:rsidP="00DC6850">
      <w:pPr>
        <w:pStyle w:val="Pamatteksts"/>
        <w:spacing w:before="0"/>
        <w:ind w:left="0"/>
        <w:jc w:val="both"/>
        <w:rPr>
          <w:color w:val="000000" w:themeColor="text1"/>
          <w:sz w:val="24"/>
        </w:rPr>
      </w:pPr>
    </w:p>
    <w:p w14:paraId="690EAF3D" w14:textId="5A48F635" w:rsidR="00562491" w:rsidRPr="00D91B35" w:rsidRDefault="00562491" w:rsidP="00DC6850">
      <w:pPr>
        <w:pStyle w:val="Pamatteksts"/>
        <w:spacing w:before="0"/>
        <w:ind w:left="0"/>
        <w:jc w:val="both"/>
        <w:rPr>
          <w:bCs/>
          <w:noProof/>
          <w:color w:val="000000" w:themeColor="text1"/>
          <w:sz w:val="24"/>
        </w:rPr>
      </w:pPr>
      <w:r>
        <w:rPr>
          <w:color w:val="000000" w:themeColor="text1"/>
          <w:sz w:val="24"/>
        </w:rPr>
        <w:t>Ohno Y, Yoshida O, Oishi K, Okada K, Yamabe H and Schroeder FH, 1988. Dietary beta-carotene and cancer of the prostate: a case-control study in Kyoto, Japan. Cancer Research, 48, 1331-1336.</w:t>
      </w:r>
      <w:bookmarkStart w:id="161" w:name="_bookmark128"/>
      <w:bookmarkEnd w:id="161"/>
    </w:p>
    <w:p w14:paraId="6816D7CA" w14:textId="77777777" w:rsidR="00DC6850" w:rsidRDefault="00DC6850" w:rsidP="00DC6850">
      <w:pPr>
        <w:pStyle w:val="Pamatteksts"/>
        <w:spacing w:before="0"/>
        <w:ind w:left="0"/>
        <w:jc w:val="both"/>
        <w:rPr>
          <w:color w:val="000000" w:themeColor="text1"/>
          <w:sz w:val="24"/>
        </w:rPr>
      </w:pPr>
    </w:p>
    <w:p w14:paraId="7365B064" w14:textId="51EF6587" w:rsidR="00562491" w:rsidRPr="00D91B35" w:rsidRDefault="00562491" w:rsidP="00DC6850">
      <w:pPr>
        <w:pStyle w:val="Pamatteksts"/>
        <w:spacing w:before="0"/>
        <w:ind w:left="0"/>
        <w:jc w:val="both"/>
        <w:rPr>
          <w:bCs/>
          <w:noProof/>
          <w:color w:val="000000" w:themeColor="text1"/>
          <w:sz w:val="24"/>
        </w:rPr>
      </w:pPr>
      <w:r>
        <w:rPr>
          <w:color w:val="000000" w:themeColor="text1"/>
          <w:sz w:val="24"/>
        </w:rPr>
        <w:t>Oishi K, Okada K, Yoshida O, Yamabe H, Ohno Y, Hayes RB and Schroeder FH, 1988. A case- control study of prostatic cancer with reference to dietary habits. Prostate, 12, 179-190.</w:t>
      </w:r>
      <w:bookmarkStart w:id="162" w:name="_bookmark129"/>
      <w:bookmarkEnd w:id="162"/>
    </w:p>
    <w:p w14:paraId="1F2CE87D" w14:textId="77777777" w:rsidR="00562491" w:rsidRPr="00D91B35" w:rsidRDefault="00562491" w:rsidP="00DC6850">
      <w:pPr>
        <w:pStyle w:val="Pamatteksts"/>
        <w:spacing w:before="0"/>
        <w:ind w:left="0"/>
        <w:jc w:val="both"/>
        <w:rPr>
          <w:bCs/>
          <w:noProof/>
          <w:color w:val="000000" w:themeColor="text1"/>
          <w:sz w:val="24"/>
        </w:rPr>
      </w:pPr>
      <w:r>
        <w:rPr>
          <w:color w:val="000000" w:themeColor="text1"/>
          <w:sz w:val="24"/>
        </w:rPr>
        <w:t>Park SY, Murphy SP, Wilkens LR, Stram DO, Henderson BE and Kolonel LN, 2007a. Calcium, vitamin D, and dairy product intake and prostate cancer risk: the Multiethnic Cohort Study. American Journal of Epidemiology, 166, 1259-1269.</w:t>
      </w:r>
      <w:bookmarkStart w:id="163" w:name="_bookmark130"/>
      <w:bookmarkEnd w:id="163"/>
    </w:p>
    <w:p w14:paraId="6128A130" w14:textId="77777777" w:rsidR="00DC6850" w:rsidRDefault="00DC6850" w:rsidP="00DC6850">
      <w:pPr>
        <w:pStyle w:val="Pamatteksts"/>
        <w:spacing w:before="0"/>
        <w:ind w:left="0"/>
        <w:jc w:val="both"/>
        <w:rPr>
          <w:color w:val="000000" w:themeColor="text1"/>
          <w:sz w:val="24"/>
        </w:rPr>
      </w:pPr>
    </w:p>
    <w:p w14:paraId="18DFB624" w14:textId="4F6141DD" w:rsidR="00562491" w:rsidRPr="00D91B35" w:rsidRDefault="00562491" w:rsidP="00DC6850">
      <w:pPr>
        <w:pStyle w:val="Pamatteksts"/>
        <w:spacing w:before="0"/>
        <w:ind w:left="0"/>
        <w:jc w:val="both"/>
        <w:rPr>
          <w:bCs/>
          <w:noProof/>
          <w:color w:val="000000" w:themeColor="text1"/>
          <w:sz w:val="24"/>
        </w:rPr>
      </w:pPr>
      <w:r>
        <w:rPr>
          <w:color w:val="000000" w:themeColor="text1"/>
          <w:sz w:val="24"/>
        </w:rPr>
        <w:t>Park Y, Mitrou PN, Kipnis V, Hollenbeck A, Schatzkin A and Leitzmann MF, 2007b. Calcium, dairy foods, and risk of incident and fatal prostate cancer: the NIH-AARP Diet and Health Study. American Journal of Epidemiology, 166, 1270-1279.</w:t>
      </w:r>
      <w:bookmarkStart w:id="164" w:name="_bookmark131"/>
      <w:bookmarkEnd w:id="164"/>
    </w:p>
    <w:p w14:paraId="51F2DB65" w14:textId="77777777" w:rsidR="00DC6850" w:rsidRDefault="00DC6850" w:rsidP="00DC6850">
      <w:pPr>
        <w:pStyle w:val="Pamatteksts"/>
        <w:spacing w:before="0"/>
        <w:ind w:left="0"/>
        <w:jc w:val="both"/>
        <w:rPr>
          <w:color w:val="000000" w:themeColor="text1"/>
          <w:sz w:val="24"/>
        </w:rPr>
      </w:pPr>
    </w:p>
    <w:p w14:paraId="595B356E" w14:textId="6EBC8979" w:rsidR="00562491" w:rsidRPr="00D91B35" w:rsidRDefault="00562491" w:rsidP="00DC6850">
      <w:pPr>
        <w:pStyle w:val="Pamatteksts"/>
        <w:spacing w:before="0"/>
        <w:ind w:left="0"/>
        <w:jc w:val="both"/>
        <w:rPr>
          <w:bCs/>
          <w:noProof/>
          <w:color w:val="000000" w:themeColor="text1"/>
          <w:sz w:val="24"/>
        </w:rPr>
      </w:pPr>
      <w:r>
        <w:rPr>
          <w:color w:val="000000" w:themeColor="text1"/>
          <w:sz w:val="24"/>
        </w:rPr>
        <w:t>Patel AM and Goldfarb S, 2010. Got calcium? Welcome to the calcium-alkali syndrome. Journal of the American Society of Nephrology, 21, 1440-1443.</w:t>
      </w:r>
      <w:bookmarkStart w:id="165" w:name="_bookmark132"/>
      <w:bookmarkEnd w:id="165"/>
    </w:p>
    <w:p w14:paraId="25A31FF9" w14:textId="77777777" w:rsidR="00DC6850" w:rsidRDefault="00DC6850" w:rsidP="00DC6850">
      <w:pPr>
        <w:pStyle w:val="Pamatteksts"/>
        <w:spacing w:before="0"/>
        <w:ind w:left="0"/>
        <w:jc w:val="both"/>
        <w:rPr>
          <w:color w:val="000000" w:themeColor="text1"/>
          <w:sz w:val="24"/>
        </w:rPr>
      </w:pPr>
    </w:p>
    <w:p w14:paraId="598B0401" w14:textId="42387641" w:rsidR="00562491" w:rsidRPr="00D91B35" w:rsidRDefault="00562491" w:rsidP="00DC6850">
      <w:pPr>
        <w:pStyle w:val="Pamatteksts"/>
        <w:spacing w:before="0"/>
        <w:ind w:left="0"/>
        <w:jc w:val="both"/>
        <w:rPr>
          <w:bCs/>
          <w:noProof/>
          <w:color w:val="000000" w:themeColor="text1"/>
          <w:sz w:val="24"/>
        </w:rPr>
      </w:pPr>
      <w:r>
        <w:rPr>
          <w:color w:val="000000" w:themeColor="text1"/>
          <w:sz w:val="24"/>
        </w:rPr>
        <w:t>Paturi M, Tapanainen H, Reinivuo H and Pietinen P, 2008. The National FINDiet 2007 Survey.</w:t>
      </w:r>
      <w:bookmarkStart w:id="166" w:name="_bookmark133"/>
      <w:bookmarkEnd w:id="166"/>
      <w:r w:rsidR="00DC6850">
        <w:rPr>
          <w:color w:val="000000" w:themeColor="text1"/>
          <w:sz w:val="24"/>
        </w:rPr>
        <w:t xml:space="preserve"> </w:t>
      </w:r>
      <w:r>
        <w:rPr>
          <w:color w:val="000000" w:themeColor="text1"/>
          <w:sz w:val="24"/>
        </w:rPr>
        <w:t>Report B23/2008. KTL-National Public Health Institute. Helsinki.</w:t>
      </w:r>
    </w:p>
    <w:p w14:paraId="02A8C668" w14:textId="77777777" w:rsidR="00DC6850" w:rsidRDefault="00DC6850" w:rsidP="00DC6850">
      <w:pPr>
        <w:pStyle w:val="Pamatteksts"/>
        <w:spacing w:before="0"/>
        <w:ind w:left="0"/>
        <w:jc w:val="both"/>
        <w:rPr>
          <w:color w:val="000000" w:themeColor="text1"/>
          <w:sz w:val="24"/>
        </w:rPr>
      </w:pPr>
    </w:p>
    <w:p w14:paraId="45258955" w14:textId="0B1D6B44" w:rsidR="00562491" w:rsidRPr="00D91B35" w:rsidRDefault="00562491" w:rsidP="00DC6850">
      <w:pPr>
        <w:pStyle w:val="Pamatteksts"/>
        <w:spacing w:before="0"/>
        <w:ind w:left="0"/>
        <w:jc w:val="both"/>
        <w:rPr>
          <w:bCs/>
          <w:noProof/>
          <w:color w:val="000000" w:themeColor="text1"/>
          <w:sz w:val="24"/>
        </w:rPr>
      </w:pPr>
      <w:r>
        <w:rPr>
          <w:color w:val="000000" w:themeColor="text1"/>
          <w:sz w:val="24"/>
        </w:rPr>
        <w:t>Pedersen AN, Fagt S, Groth MV, Christensen T, Biltoft-Jensen A, Matthiessen J, Lyhne Andersen N, Kørup K, Hartkopp H, Hess Ygil K, Hinsch HJ, Saxholt E and Trolle E, 2010. Danskernes kostvaner 2003-2008. Hovedresultater [Dietary habits in Denmark 2003-2008. Main results]. DTU Fødevareinstituttet, Søborg, 298 pp.</w:t>
      </w:r>
      <w:bookmarkStart w:id="167" w:name="_bookmark134"/>
      <w:bookmarkEnd w:id="167"/>
    </w:p>
    <w:p w14:paraId="0F948B4C" w14:textId="77777777" w:rsidR="00DC6850" w:rsidRDefault="00DC6850" w:rsidP="00DC6850">
      <w:pPr>
        <w:pStyle w:val="Pamatteksts"/>
        <w:spacing w:before="0"/>
        <w:ind w:left="0"/>
        <w:jc w:val="both"/>
        <w:rPr>
          <w:color w:val="000000" w:themeColor="text1"/>
          <w:sz w:val="24"/>
        </w:rPr>
      </w:pPr>
    </w:p>
    <w:p w14:paraId="4C125C18" w14:textId="1FD027D3" w:rsidR="00562491" w:rsidRPr="00D91B35" w:rsidRDefault="00562491" w:rsidP="00DC6850">
      <w:pPr>
        <w:pStyle w:val="Pamatteksts"/>
        <w:spacing w:before="0"/>
        <w:ind w:left="0"/>
        <w:jc w:val="both"/>
        <w:rPr>
          <w:bCs/>
          <w:noProof/>
          <w:color w:val="000000" w:themeColor="text1"/>
          <w:sz w:val="24"/>
        </w:rPr>
      </w:pPr>
      <w:r>
        <w:rPr>
          <w:color w:val="000000" w:themeColor="text1"/>
          <w:sz w:val="24"/>
        </w:rPr>
        <w:t>Pentti K, Tuppurainen MT, Honkanen R, Sandini L, Kroger H, Alhava E and Saarikoski S, 2009. Use of calcium supplements and the risk of coronary heart disease in 52-62-year-old women: The Kuopio Osteoporosis Risk Factor and Prevention Study. Maturitas, 63, 73-78.</w:t>
      </w:r>
      <w:bookmarkStart w:id="168" w:name="_bookmark135"/>
      <w:bookmarkEnd w:id="168"/>
    </w:p>
    <w:p w14:paraId="5EB88661" w14:textId="77777777" w:rsidR="004C2B47" w:rsidRDefault="004C2B47" w:rsidP="00DC6850">
      <w:pPr>
        <w:pStyle w:val="Pamatteksts"/>
        <w:spacing w:before="0"/>
        <w:ind w:left="0"/>
        <w:jc w:val="both"/>
        <w:rPr>
          <w:color w:val="000000" w:themeColor="text1"/>
          <w:sz w:val="24"/>
        </w:rPr>
      </w:pPr>
    </w:p>
    <w:p w14:paraId="7763D2DE" w14:textId="5A71E705" w:rsidR="00562491" w:rsidRPr="00D91B35" w:rsidRDefault="00562491" w:rsidP="00DC6850">
      <w:pPr>
        <w:pStyle w:val="Pamatteksts"/>
        <w:spacing w:before="0"/>
        <w:ind w:left="0"/>
        <w:jc w:val="both"/>
        <w:rPr>
          <w:bCs/>
          <w:noProof/>
          <w:color w:val="000000" w:themeColor="text1"/>
          <w:sz w:val="24"/>
        </w:rPr>
      </w:pPr>
      <w:r>
        <w:rPr>
          <w:color w:val="000000" w:themeColor="text1"/>
          <w:sz w:val="24"/>
        </w:rPr>
        <w:t>Perez AV, Picotto G, Carpentieri AR, Rivoira MA, Peralta Lopez ME and Tolosa de Talamoni NG, 2008. Minireview on regulation of intestinal calcium absorption. Emphasis on molecular mechanisms of transcellular pathway. Digestion, 77, 22-34.</w:t>
      </w:r>
      <w:bookmarkStart w:id="169" w:name="_bookmark136"/>
      <w:bookmarkEnd w:id="169"/>
    </w:p>
    <w:p w14:paraId="18504045" w14:textId="77777777" w:rsidR="004C2B47" w:rsidRDefault="004C2B47" w:rsidP="00DC6850">
      <w:pPr>
        <w:pStyle w:val="Pamatteksts"/>
        <w:spacing w:before="0"/>
        <w:ind w:left="0"/>
        <w:jc w:val="both"/>
        <w:rPr>
          <w:color w:val="000000" w:themeColor="text1"/>
          <w:sz w:val="24"/>
        </w:rPr>
      </w:pPr>
    </w:p>
    <w:p w14:paraId="4B9D79CC" w14:textId="68080FBA" w:rsidR="00562491" w:rsidRPr="00D91B35" w:rsidRDefault="00562491" w:rsidP="00DC6850">
      <w:pPr>
        <w:pStyle w:val="Pamatteksts"/>
        <w:spacing w:before="0"/>
        <w:ind w:left="0"/>
        <w:jc w:val="both"/>
        <w:rPr>
          <w:bCs/>
          <w:noProof/>
          <w:color w:val="000000" w:themeColor="text1"/>
          <w:sz w:val="24"/>
        </w:rPr>
      </w:pPr>
      <w:r>
        <w:rPr>
          <w:color w:val="000000" w:themeColor="text1"/>
          <w:sz w:val="24"/>
        </w:rPr>
        <w:t>Platz EA, Leitzmann MF, Hollis BW, Willett WC and Giovannucci E, 2004. Plasma 1,25-dihydroxy- and 25-hydroxyvitamin D and subsequent risk of prostate cancer. Cancer Causes and Control, 15, 255-265.</w:t>
      </w:r>
      <w:bookmarkStart w:id="170" w:name="_bookmark137"/>
      <w:bookmarkEnd w:id="170"/>
    </w:p>
    <w:p w14:paraId="73CB8D57" w14:textId="77777777" w:rsidR="004C2B47" w:rsidRDefault="004C2B47" w:rsidP="00DC6850">
      <w:pPr>
        <w:pStyle w:val="Pamatteksts"/>
        <w:spacing w:before="0"/>
        <w:ind w:left="0"/>
        <w:jc w:val="both"/>
        <w:rPr>
          <w:color w:val="000000" w:themeColor="text1"/>
          <w:sz w:val="24"/>
        </w:rPr>
      </w:pPr>
    </w:p>
    <w:p w14:paraId="7356575B" w14:textId="59BE478B" w:rsidR="00562491" w:rsidRPr="00D91B35" w:rsidRDefault="00562491" w:rsidP="00DC6850">
      <w:pPr>
        <w:pStyle w:val="Pamatteksts"/>
        <w:spacing w:before="0"/>
        <w:ind w:left="0"/>
        <w:jc w:val="both"/>
        <w:rPr>
          <w:bCs/>
          <w:noProof/>
          <w:color w:val="000000" w:themeColor="text1"/>
          <w:sz w:val="24"/>
        </w:rPr>
      </w:pPr>
      <w:r>
        <w:rPr>
          <w:color w:val="000000" w:themeColor="text1"/>
          <w:sz w:val="24"/>
        </w:rPr>
        <w:t>Prince RL, Devine A, Dhaliwal SS and Dick IM, 2006. Effects of calcium supplementation on clinical fracture and bone structure: results of a 5-year, double-blind, placebo-controlled trial in elderly women. Archives of Internal Medicine, 166, 869-875.</w:t>
      </w:r>
      <w:bookmarkStart w:id="171" w:name="_bookmark138"/>
      <w:bookmarkEnd w:id="171"/>
    </w:p>
    <w:p w14:paraId="31C5C048" w14:textId="77777777" w:rsidR="004C2B47" w:rsidRDefault="004C2B47" w:rsidP="00DC6850">
      <w:pPr>
        <w:pStyle w:val="Pamatteksts"/>
        <w:spacing w:before="0"/>
        <w:ind w:left="0"/>
        <w:jc w:val="both"/>
        <w:rPr>
          <w:color w:val="000000" w:themeColor="text1"/>
          <w:sz w:val="24"/>
        </w:rPr>
      </w:pPr>
    </w:p>
    <w:p w14:paraId="52622C81" w14:textId="62FA2762" w:rsidR="00562491" w:rsidRPr="00D91B35" w:rsidRDefault="00562491" w:rsidP="00DC6850">
      <w:pPr>
        <w:pStyle w:val="Pamatteksts"/>
        <w:spacing w:before="0"/>
        <w:ind w:left="0"/>
        <w:jc w:val="both"/>
        <w:rPr>
          <w:bCs/>
          <w:noProof/>
          <w:color w:val="000000" w:themeColor="text1"/>
          <w:sz w:val="24"/>
        </w:rPr>
      </w:pPr>
      <w:r>
        <w:rPr>
          <w:color w:val="000000" w:themeColor="text1"/>
          <w:sz w:val="24"/>
        </w:rPr>
        <w:t>Ramon JM, Bou R, Romea S, Alkiza ME, Jacas M, Ribes J and Oromi J, 2000. Dietary fat intake and prostate cancer risk: a case-control study in Spain. Cancer Causes and Control, 11, 679-685.</w:t>
      </w:r>
      <w:bookmarkStart w:id="172" w:name="_bookmark139"/>
      <w:bookmarkEnd w:id="172"/>
    </w:p>
    <w:p w14:paraId="450B0152" w14:textId="77777777" w:rsidR="004C2B47" w:rsidRDefault="004C2B47" w:rsidP="00DC6850">
      <w:pPr>
        <w:pStyle w:val="Pamatteksts"/>
        <w:spacing w:before="0"/>
        <w:ind w:left="0"/>
        <w:jc w:val="both"/>
        <w:rPr>
          <w:color w:val="000000" w:themeColor="text1"/>
          <w:sz w:val="24"/>
        </w:rPr>
      </w:pPr>
    </w:p>
    <w:p w14:paraId="1B5220D0" w14:textId="0A6E504B" w:rsidR="00562491" w:rsidRPr="00D91B35" w:rsidRDefault="00562491" w:rsidP="00DC6850">
      <w:pPr>
        <w:pStyle w:val="Pamatteksts"/>
        <w:spacing w:before="0"/>
        <w:ind w:left="0"/>
        <w:jc w:val="both"/>
        <w:rPr>
          <w:bCs/>
          <w:noProof/>
          <w:color w:val="000000" w:themeColor="text1"/>
          <w:sz w:val="24"/>
        </w:rPr>
      </w:pPr>
      <w:r>
        <w:rPr>
          <w:color w:val="000000" w:themeColor="text1"/>
          <w:sz w:val="24"/>
        </w:rPr>
        <w:t>Reid IR, Schooler BA, Hannan SF and Ibbertson HK, 1986. The acute biochemical effects of four proprietary calcium preparations. Australian and New Zealand Journal of Medicine, 16, 193-197.</w:t>
      </w:r>
      <w:bookmarkStart w:id="173" w:name="_bookmark140"/>
      <w:bookmarkEnd w:id="173"/>
    </w:p>
    <w:p w14:paraId="443B0241" w14:textId="77777777" w:rsidR="004C2B47" w:rsidRDefault="004C2B47" w:rsidP="00DC6850">
      <w:pPr>
        <w:pStyle w:val="Pamatteksts"/>
        <w:spacing w:before="0"/>
        <w:ind w:left="0"/>
        <w:jc w:val="both"/>
        <w:rPr>
          <w:color w:val="000000" w:themeColor="text1"/>
          <w:sz w:val="24"/>
        </w:rPr>
      </w:pPr>
    </w:p>
    <w:p w14:paraId="38C19E22" w14:textId="523E89D8" w:rsidR="00562491" w:rsidRPr="00D91B35" w:rsidRDefault="00562491" w:rsidP="00DC6850">
      <w:pPr>
        <w:pStyle w:val="Pamatteksts"/>
        <w:spacing w:before="0"/>
        <w:ind w:left="0"/>
        <w:jc w:val="both"/>
        <w:rPr>
          <w:bCs/>
          <w:noProof/>
          <w:color w:val="000000" w:themeColor="text1"/>
          <w:sz w:val="24"/>
        </w:rPr>
      </w:pPr>
      <w:r>
        <w:rPr>
          <w:color w:val="000000" w:themeColor="text1"/>
          <w:sz w:val="24"/>
        </w:rPr>
        <w:t>Reid IR, Ames RW, Evans MC, Gamble GD and Sharpe SJ, 1993. Effect of calcium supplementation on bone loss in postmenopausal women. New England Journal of Medicine, 328, 460-464.</w:t>
      </w:r>
      <w:bookmarkStart w:id="174" w:name="_bookmark141"/>
      <w:bookmarkEnd w:id="174"/>
    </w:p>
    <w:p w14:paraId="561B4AF5" w14:textId="77777777" w:rsidR="004C2B47" w:rsidRDefault="004C2B47" w:rsidP="00DC6850">
      <w:pPr>
        <w:pStyle w:val="Pamatteksts"/>
        <w:spacing w:before="0"/>
        <w:ind w:left="0"/>
        <w:jc w:val="both"/>
        <w:rPr>
          <w:color w:val="000000" w:themeColor="text1"/>
          <w:sz w:val="24"/>
        </w:rPr>
      </w:pPr>
    </w:p>
    <w:p w14:paraId="23288AF2" w14:textId="69575315" w:rsidR="00562491" w:rsidRPr="00D91B35" w:rsidRDefault="00562491" w:rsidP="00DC6850">
      <w:pPr>
        <w:pStyle w:val="Pamatteksts"/>
        <w:spacing w:before="0"/>
        <w:ind w:left="0"/>
        <w:jc w:val="both"/>
        <w:rPr>
          <w:bCs/>
          <w:noProof/>
          <w:color w:val="000000" w:themeColor="text1"/>
          <w:sz w:val="24"/>
        </w:rPr>
      </w:pPr>
      <w:r>
        <w:rPr>
          <w:color w:val="000000" w:themeColor="text1"/>
          <w:sz w:val="24"/>
        </w:rPr>
        <w:t>Reid IR, Ames RW, Evans MC, Gamble GD and Sharpe SJ, 1995. Long-term effects of calcium supplementation on bone loss and fractures in postmenopausal women: a randomized controlled trial. American Journal of Medicine, 98, 331-335.</w:t>
      </w:r>
      <w:bookmarkStart w:id="175" w:name="_bookmark142"/>
      <w:bookmarkEnd w:id="175"/>
    </w:p>
    <w:p w14:paraId="5007C9D8" w14:textId="77777777" w:rsidR="004C2B47" w:rsidRDefault="004C2B47" w:rsidP="00DC6850">
      <w:pPr>
        <w:pStyle w:val="Pamatteksts"/>
        <w:spacing w:before="0"/>
        <w:ind w:left="0"/>
        <w:jc w:val="both"/>
        <w:rPr>
          <w:color w:val="000000" w:themeColor="text1"/>
          <w:sz w:val="24"/>
        </w:rPr>
      </w:pPr>
    </w:p>
    <w:p w14:paraId="65672E11" w14:textId="70177C48" w:rsidR="00562491" w:rsidRPr="00D91B35" w:rsidRDefault="00562491" w:rsidP="00DC6850">
      <w:pPr>
        <w:pStyle w:val="Pamatteksts"/>
        <w:spacing w:before="0"/>
        <w:ind w:left="0"/>
        <w:jc w:val="both"/>
        <w:rPr>
          <w:bCs/>
          <w:noProof/>
          <w:color w:val="000000" w:themeColor="text1"/>
          <w:sz w:val="24"/>
        </w:rPr>
      </w:pPr>
      <w:r>
        <w:rPr>
          <w:color w:val="000000" w:themeColor="text1"/>
          <w:sz w:val="24"/>
        </w:rPr>
        <w:t>Reid IR, Mason B, Horne A, Ames R, Reid HE, Bava U, Bolland MJ and Gamble GD, 2006. Randomized controlled trial of calcium in healthy older women. American Journal of Medicine, 119, 777-785.</w:t>
      </w:r>
      <w:bookmarkStart w:id="176" w:name="_bookmark143"/>
      <w:bookmarkEnd w:id="176"/>
    </w:p>
    <w:p w14:paraId="3FF2B35E" w14:textId="77777777" w:rsidR="004C2B47" w:rsidRDefault="004C2B47" w:rsidP="00DC6850">
      <w:pPr>
        <w:pStyle w:val="Pamatteksts"/>
        <w:spacing w:before="0"/>
        <w:ind w:left="0"/>
        <w:jc w:val="both"/>
        <w:rPr>
          <w:color w:val="000000" w:themeColor="text1"/>
          <w:sz w:val="24"/>
        </w:rPr>
      </w:pPr>
    </w:p>
    <w:p w14:paraId="425F3F4E" w14:textId="55D74EB1" w:rsidR="00562491" w:rsidRPr="00D91B35" w:rsidRDefault="00562491" w:rsidP="00DC6850">
      <w:pPr>
        <w:pStyle w:val="Pamatteksts"/>
        <w:spacing w:before="0"/>
        <w:ind w:left="0"/>
        <w:jc w:val="both"/>
        <w:rPr>
          <w:bCs/>
          <w:noProof/>
          <w:color w:val="000000" w:themeColor="text1"/>
          <w:sz w:val="24"/>
        </w:rPr>
      </w:pPr>
      <w:r>
        <w:rPr>
          <w:color w:val="000000" w:themeColor="text1"/>
          <w:sz w:val="24"/>
        </w:rPr>
        <w:t>Reid IR, Ames R, Mason B, Reid HE, Bacon CJ, Bolland MJ, Gamble GD, Grey A and Horne A, 2008. Randomized controlled trial of calcium supplementation in healthy, nonosteoporotic, older men. Archives of Internal Medicine, 168, 2276-2282.</w:t>
      </w:r>
      <w:bookmarkStart w:id="177" w:name="_bookmark144"/>
      <w:bookmarkEnd w:id="177"/>
    </w:p>
    <w:p w14:paraId="648CD52F" w14:textId="77777777" w:rsidR="004C2B47" w:rsidRDefault="004C2B47" w:rsidP="00DC6850">
      <w:pPr>
        <w:pStyle w:val="Pamatteksts"/>
        <w:spacing w:before="0"/>
        <w:ind w:left="0"/>
        <w:jc w:val="both"/>
        <w:rPr>
          <w:color w:val="000000" w:themeColor="text1"/>
          <w:sz w:val="24"/>
        </w:rPr>
      </w:pPr>
    </w:p>
    <w:p w14:paraId="5B0C7A36" w14:textId="5CD7F989" w:rsidR="00562491" w:rsidRPr="00D91B35" w:rsidRDefault="00562491" w:rsidP="00DC6850">
      <w:pPr>
        <w:pStyle w:val="Pamatteksts"/>
        <w:spacing w:before="0"/>
        <w:ind w:left="0"/>
        <w:jc w:val="both"/>
        <w:rPr>
          <w:bCs/>
          <w:noProof/>
          <w:color w:val="000000" w:themeColor="text1"/>
          <w:sz w:val="24"/>
        </w:rPr>
      </w:pPr>
      <w:r>
        <w:rPr>
          <w:color w:val="000000" w:themeColor="text1"/>
          <w:sz w:val="24"/>
        </w:rPr>
        <w:t>Riccardi D and Brown EM, 2010. Physiology and pathophysiology of the calcium-sensing receptor in the kidney. American Journal of Physiology. Renal Physiology, 298, F485-499.</w:t>
      </w:r>
      <w:bookmarkStart w:id="178" w:name="_bookmark145"/>
      <w:bookmarkEnd w:id="178"/>
    </w:p>
    <w:p w14:paraId="3E045D70" w14:textId="77777777" w:rsidR="004C2B47" w:rsidRDefault="004C2B47" w:rsidP="00DC6850">
      <w:pPr>
        <w:pStyle w:val="Pamatteksts"/>
        <w:spacing w:before="0"/>
        <w:ind w:left="0"/>
        <w:jc w:val="both"/>
        <w:rPr>
          <w:color w:val="000000" w:themeColor="text1"/>
          <w:sz w:val="24"/>
        </w:rPr>
      </w:pPr>
    </w:p>
    <w:p w14:paraId="08B95285" w14:textId="09DB52CE" w:rsidR="00562491" w:rsidRPr="00D91B35" w:rsidRDefault="00562491" w:rsidP="00DC6850">
      <w:pPr>
        <w:pStyle w:val="Pamatteksts"/>
        <w:spacing w:before="0"/>
        <w:ind w:left="0"/>
        <w:jc w:val="both"/>
        <w:rPr>
          <w:bCs/>
          <w:noProof/>
          <w:color w:val="000000" w:themeColor="text1"/>
          <w:sz w:val="24"/>
        </w:rPr>
      </w:pPr>
      <w:r>
        <w:rPr>
          <w:color w:val="000000" w:themeColor="text1"/>
          <w:sz w:val="24"/>
        </w:rPr>
        <w:t>Riggs BL, O'Fallon WM, Muhs J, O'Connor MK, Kumar R and Melton LJ, 3rd, 1998. Long-term effects of calcium supplementation on serum parathyroid hormone level, bone turnover, and bone loss in elderly women. Journal of Bone and Mineral Research, 13, 168-174.</w:t>
      </w:r>
      <w:bookmarkStart w:id="179" w:name="_bookmark146"/>
      <w:bookmarkEnd w:id="179"/>
    </w:p>
    <w:p w14:paraId="25384C0C" w14:textId="77777777" w:rsidR="004C2B47" w:rsidRDefault="004C2B47" w:rsidP="00DC6850">
      <w:pPr>
        <w:pStyle w:val="Pamatteksts"/>
        <w:spacing w:before="0"/>
        <w:ind w:left="0"/>
        <w:jc w:val="both"/>
        <w:rPr>
          <w:color w:val="000000" w:themeColor="text1"/>
          <w:sz w:val="24"/>
        </w:rPr>
      </w:pPr>
    </w:p>
    <w:p w14:paraId="489F772E" w14:textId="488158CB" w:rsidR="00562491" w:rsidRPr="00D91B35" w:rsidRDefault="00562491" w:rsidP="00DC6850">
      <w:pPr>
        <w:pStyle w:val="Pamatteksts"/>
        <w:spacing w:before="0"/>
        <w:ind w:left="0"/>
        <w:jc w:val="both"/>
        <w:rPr>
          <w:bCs/>
          <w:noProof/>
          <w:color w:val="000000" w:themeColor="text1"/>
          <w:sz w:val="24"/>
        </w:rPr>
      </w:pPr>
      <w:r>
        <w:rPr>
          <w:color w:val="000000" w:themeColor="text1"/>
          <w:sz w:val="24"/>
        </w:rPr>
        <w:t>Rodriguez C, McCullough ML, Mondul AM, Jacobs EJ, Fakhrabadi-Shokoohi D, Giovannucci EL, Thun MJ and Calle EE, 2003. Calcium, dairy products, and risk of prostate cancer in a prospective cohort of United States men. Cancer Epidemiology, Biomarkers and Prevention, 12, 597-603.</w:t>
      </w:r>
      <w:bookmarkStart w:id="180" w:name="_bookmark147"/>
      <w:bookmarkEnd w:id="180"/>
    </w:p>
    <w:p w14:paraId="18747A8C" w14:textId="77777777" w:rsidR="004C2B47" w:rsidRDefault="004C2B47" w:rsidP="00DC6850">
      <w:pPr>
        <w:pStyle w:val="Pamatteksts"/>
        <w:spacing w:before="0"/>
        <w:ind w:left="0"/>
        <w:jc w:val="both"/>
        <w:rPr>
          <w:color w:val="000000" w:themeColor="text1"/>
          <w:sz w:val="24"/>
        </w:rPr>
      </w:pPr>
    </w:p>
    <w:p w14:paraId="28AC08C3" w14:textId="7BCA3C33" w:rsidR="00562491" w:rsidRPr="00D91B35" w:rsidRDefault="00562491" w:rsidP="00DC6850">
      <w:pPr>
        <w:pStyle w:val="Pamatteksts"/>
        <w:spacing w:before="0"/>
        <w:ind w:left="0"/>
        <w:jc w:val="both"/>
        <w:rPr>
          <w:bCs/>
          <w:noProof/>
          <w:color w:val="000000" w:themeColor="text1"/>
          <w:sz w:val="24"/>
        </w:rPr>
      </w:pPr>
      <w:r>
        <w:rPr>
          <w:color w:val="000000" w:themeColor="text1"/>
          <w:sz w:val="24"/>
        </w:rPr>
        <w:t>Rohrmann S, Platz EA, Kavanaugh CJ, Thuita L, Hoffman SC and Helzlsouer KJ, 2007. Meat and dairy consumption and subsequent risk of prostate cancer in a US cohort study. Cancer Causes and Control, 18, 41-50.</w:t>
      </w:r>
      <w:bookmarkStart w:id="181" w:name="_bookmark148"/>
      <w:bookmarkEnd w:id="181"/>
    </w:p>
    <w:p w14:paraId="310E0E1E" w14:textId="77777777" w:rsidR="004C2B47" w:rsidRDefault="004C2B47" w:rsidP="00DC6850">
      <w:pPr>
        <w:pStyle w:val="Pamatteksts"/>
        <w:spacing w:before="0"/>
        <w:ind w:left="0"/>
        <w:jc w:val="both"/>
        <w:rPr>
          <w:color w:val="000000" w:themeColor="text1"/>
          <w:sz w:val="24"/>
        </w:rPr>
      </w:pPr>
    </w:p>
    <w:p w14:paraId="6AD8EDA4" w14:textId="478E16D0" w:rsidR="00562491" w:rsidRPr="00D91B35" w:rsidRDefault="00562491" w:rsidP="00DC6850">
      <w:pPr>
        <w:pStyle w:val="Pamatteksts"/>
        <w:spacing w:before="0"/>
        <w:ind w:left="0"/>
        <w:jc w:val="both"/>
        <w:rPr>
          <w:bCs/>
          <w:noProof/>
          <w:color w:val="000000" w:themeColor="text1"/>
          <w:sz w:val="24"/>
        </w:rPr>
      </w:pPr>
      <w:r>
        <w:rPr>
          <w:color w:val="000000" w:themeColor="text1"/>
          <w:sz w:val="24"/>
        </w:rPr>
        <w:t>Ross RK, Yuan JM, Henderson BE, Park J, Gao YT and Yu MC, 1997. Prospective evaluation of dietary and other predictors of fatal stroke in Shanghai, China. Circulation, 96, 50-55.</w:t>
      </w:r>
      <w:bookmarkStart w:id="182" w:name="_bookmark149"/>
      <w:bookmarkEnd w:id="182"/>
    </w:p>
    <w:p w14:paraId="58866A1C" w14:textId="77777777" w:rsidR="004C2B47" w:rsidRDefault="004C2B47" w:rsidP="00DC6850">
      <w:pPr>
        <w:pStyle w:val="Pamatteksts"/>
        <w:spacing w:before="0"/>
        <w:ind w:left="0"/>
        <w:jc w:val="both"/>
        <w:rPr>
          <w:color w:val="000000" w:themeColor="text1"/>
          <w:sz w:val="24"/>
        </w:rPr>
      </w:pPr>
    </w:p>
    <w:p w14:paraId="1F218D63" w14:textId="0340659A" w:rsidR="00562491" w:rsidRPr="00D91B35" w:rsidRDefault="00562491" w:rsidP="00DC6850">
      <w:pPr>
        <w:pStyle w:val="Pamatteksts"/>
        <w:spacing w:before="0"/>
        <w:ind w:left="0"/>
        <w:jc w:val="both"/>
        <w:rPr>
          <w:bCs/>
          <w:noProof/>
          <w:color w:val="000000" w:themeColor="text1"/>
          <w:sz w:val="24"/>
        </w:rPr>
      </w:pPr>
      <w:r>
        <w:rPr>
          <w:color w:val="000000" w:themeColor="text1"/>
          <w:sz w:val="24"/>
        </w:rPr>
        <w:t>Russo D, Miranda I, Ruocco C, Battaglia Y, Buonanno E, Manzi S, Russo L, Scafarto A and Andreucci VE, 2007. The progression of coronary artery calcification in predialysis patients on calcium carbonate or sevelamer. Kidney International, 72, 1255-1261.</w:t>
      </w:r>
      <w:bookmarkStart w:id="183" w:name="_bookmark150"/>
      <w:bookmarkEnd w:id="183"/>
    </w:p>
    <w:p w14:paraId="4C5BEB8E" w14:textId="77777777" w:rsidR="004C2B47" w:rsidRDefault="004C2B47" w:rsidP="00DC6850">
      <w:pPr>
        <w:pStyle w:val="Pamatteksts"/>
        <w:spacing w:before="0"/>
        <w:ind w:left="0"/>
        <w:jc w:val="both"/>
        <w:rPr>
          <w:color w:val="000000" w:themeColor="text1"/>
          <w:sz w:val="24"/>
        </w:rPr>
      </w:pPr>
    </w:p>
    <w:p w14:paraId="6539DC84" w14:textId="37A1919C" w:rsidR="00562491" w:rsidRPr="00D91B35" w:rsidRDefault="00562491" w:rsidP="00DC6850">
      <w:pPr>
        <w:pStyle w:val="Pamatteksts"/>
        <w:spacing w:before="0"/>
        <w:ind w:left="0"/>
        <w:jc w:val="both"/>
        <w:rPr>
          <w:bCs/>
          <w:noProof/>
          <w:color w:val="000000" w:themeColor="text1"/>
          <w:sz w:val="24"/>
        </w:rPr>
      </w:pPr>
      <w:r>
        <w:rPr>
          <w:color w:val="000000" w:themeColor="text1"/>
          <w:sz w:val="24"/>
        </w:rPr>
        <w:t>Sargent JD, Stukel TA, Kresel J and Klein RZ, 1993. Normal values for random urinary calcium to creatinine ratios in infancy. Journal of Pediatrics, 123, 393-397.</w:t>
      </w:r>
      <w:bookmarkStart w:id="184" w:name="_bookmark151"/>
      <w:bookmarkEnd w:id="184"/>
    </w:p>
    <w:p w14:paraId="30805FD4" w14:textId="77777777" w:rsidR="004C2B47" w:rsidRDefault="004C2B47" w:rsidP="00DC6850">
      <w:pPr>
        <w:pStyle w:val="Pamatteksts"/>
        <w:spacing w:before="0"/>
        <w:ind w:left="0"/>
        <w:jc w:val="both"/>
        <w:rPr>
          <w:color w:val="000000" w:themeColor="text1"/>
          <w:sz w:val="24"/>
        </w:rPr>
      </w:pPr>
    </w:p>
    <w:p w14:paraId="77CD8DB7" w14:textId="7D689746" w:rsidR="00562491" w:rsidRPr="00D91B35" w:rsidRDefault="00562491" w:rsidP="00DC6850">
      <w:pPr>
        <w:pStyle w:val="Pamatteksts"/>
        <w:spacing w:before="0"/>
        <w:ind w:left="0"/>
        <w:jc w:val="both"/>
        <w:rPr>
          <w:bCs/>
          <w:noProof/>
          <w:color w:val="000000" w:themeColor="text1"/>
          <w:sz w:val="24"/>
        </w:rPr>
      </w:pPr>
      <w:r>
        <w:rPr>
          <w:color w:val="000000" w:themeColor="text1"/>
          <w:sz w:val="24"/>
        </w:rPr>
        <w:t>Sargent JD, Dalton MA, O'Connor GT, Olmstead EM and Klein RZ, 1999. Randomized trial of calcium glycerophosphate-supplemented infant formula to prevent lead absorption. American Journal of Clinical Nutrition, 69, 1224-1230.</w:t>
      </w:r>
      <w:bookmarkStart w:id="185" w:name="_bookmark152"/>
      <w:bookmarkEnd w:id="185"/>
    </w:p>
    <w:p w14:paraId="51525371" w14:textId="77777777" w:rsidR="004C2B47" w:rsidRDefault="004C2B47" w:rsidP="00DC6850">
      <w:pPr>
        <w:pStyle w:val="Pamatteksts"/>
        <w:spacing w:before="0"/>
        <w:ind w:left="0"/>
        <w:jc w:val="both"/>
        <w:rPr>
          <w:color w:val="000000" w:themeColor="text1"/>
          <w:sz w:val="24"/>
        </w:rPr>
      </w:pPr>
    </w:p>
    <w:p w14:paraId="7B165671" w14:textId="47E9042F" w:rsidR="00562491" w:rsidRPr="00D91B35" w:rsidRDefault="00562491" w:rsidP="00DC6850">
      <w:pPr>
        <w:pStyle w:val="Pamatteksts"/>
        <w:spacing w:before="0"/>
        <w:ind w:left="0"/>
        <w:jc w:val="both"/>
        <w:rPr>
          <w:bCs/>
          <w:noProof/>
          <w:color w:val="000000" w:themeColor="text1"/>
          <w:sz w:val="24"/>
        </w:rPr>
      </w:pPr>
      <w:r>
        <w:rPr>
          <w:color w:val="000000" w:themeColor="text1"/>
          <w:sz w:val="24"/>
        </w:rPr>
        <w:t>SCF (Scientific Committee on Food), 2003. Opinion on the Tolerable Upper Intake Level of Calcium.</w:t>
      </w:r>
      <w:bookmarkStart w:id="186" w:name="_bookmark153"/>
      <w:bookmarkEnd w:id="186"/>
      <w:r>
        <w:rPr>
          <w:color w:val="000000" w:themeColor="text1"/>
          <w:sz w:val="24"/>
        </w:rPr>
        <w:t xml:space="preserve"> SCF/CS/NUT/UPPLEV/64 Final, 39 pp.</w:t>
      </w:r>
    </w:p>
    <w:p w14:paraId="71A2EC94" w14:textId="77777777" w:rsidR="004C2B47" w:rsidRDefault="004C2B47" w:rsidP="00DC6850">
      <w:pPr>
        <w:pStyle w:val="Pamatteksts"/>
        <w:spacing w:before="0"/>
        <w:ind w:left="0"/>
        <w:jc w:val="both"/>
        <w:rPr>
          <w:color w:val="000000" w:themeColor="text1"/>
          <w:sz w:val="24"/>
        </w:rPr>
      </w:pPr>
    </w:p>
    <w:p w14:paraId="22FF283C" w14:textId="5E58041E" w:rsidR="00562491" w:rsidRPr="00D91B35" w:rsidRDefault="00562491" w:rsidP="00DC6850">
      <w:pPr>
        <w:pStyle w:val="Pamatteksts"/>
        <w:spacing w:before="0"/>
        <w:ind w:left="0"/>
        <w:jc w:val="both"/>
        <w:rPr>
          <w:bCs/>
          <w:noProof/>
          <w:color w:val="000000" w:themeColor="text1"/>
          <w:sz w:val="24"/>
        </w:rPr>
      </w:pPr>
      <w:r>
        <w:rPr>
          <w:color w:val="000000" w:themeColor="text1"/>
          <w:sz w:val="24"/>
        </w:rPr>
        <w:t>Schaafsma A, van Doormaal JJ, Muskiet FA, Hofstede GJ, Pakan I and van der Veer E, 2002. Positive effects of a chicken eggshell powder-enriched vitamin-mineral supplement on femoral neck bone mineral density in healthy late post-menopausal Dutch women. British Journal of Nutrition, 87, 267-275.</w:t>
      </w:r>
      <w:bookmarkStart w:id="187" w:name="_bookmark154"/>
      <w:bookmarkEnd w:id="187"/>
    </w:p>
    <w:p w14:paraId="44B7A1E0" w14:textId="77777777" w:rsidR="004C2B47" w:rsidRDefault="004C2B47" w:rsidP="00DC6850">
      <w:pPr>
        <w:pStyle w:val="Pamatteksts"/>
        <w:spacing w:before="0"/>
        <w:ind w:left="0"/>
        <w:jc w:val="both"/>
        <w:rPr>
          <w:color w:val="000000" w:themeColor="text1"/>
          <w:sz w:val="24"/>
        </w:rPr>
      </w:pPr>
    </w:p>
    <w:p w14:paraId="31B750F3" w14:textId="125AE95F" w:rsidR="00562491" w:rsidRPr="00D91B35" w:rsidRDefault="00562491" w:rsidP="00DC6850">
      <w:pPr>
        <w:pStyle w:val="Pamatteksts"/>
        <w:spacing w:before="0"/>
        <w:ind w:left="0"/>
        <w:jc w:val="both"/>
        <w:rPr>
          <w:bCs/>
          <w:noProof/>
          <w:color w:val="000000" w:themeColor="text1"/>
          <w:sz w:val="24"/>
        </w:rPr>
      </w:pPr>
      <w:r>
        <w:rPr>
          <w:color w:val="000000" w:themeColor="text1"/>
          <w:sz w:val="24"/>
        </w:rPr>
        <w:t>Schlingmann KP, Kaufmann M, Weber S, Irwin A, Goos C, John U, Misselwitz J, Klaus G, Kuwertz- Broking E, Fehrenbach H, Wingen AM, Guran T, Hoenderop JG, Bindels RJ, Prosser DE, Jones G and Konrad M, 2011. Mutations in CYP24A1 and idiopathic infantile hypercalcemia. New England Journal of Medicine, 365, 410-421.</w:t>
      </w:r>
      <w:bookmarkStart w:id="188" w:name="_bookmark155"/>
      <w:bookmarkEnd w:id="188"/>
    </w:p>
    <w:p w14:paraId="040975B7" w14:textId="77777777" w:rsidR="004C2B47" w:rsidRDefault="004C2B47" w:rsidP="00DC6850">
      <w:pPr>
        <w:pStyle w:val="Pamatteksts"/>
        <w:spacing w:before="0"/>
        <w:ind w:left="0"/>
        <w:jc w:val="both"/>
        <w:rPr>
          <w:color w:val="000000" w:themeColor="text1"/>
          <w:sz w:val="24"/>
        </w:rPr>
      </w:pPr>
    </w:p>
    <w:p w14:paraId="60A95B3C" w14:textId="53C9E956" w:rsidR="00562491" w:rsidRPr="00D91B35" w:rsidRDefault="00562491" w:rsidP="00DC6850">
      <w:pPr>
        <w:pStyle w:val="Pamatteksts"/>
        <w:spacing w:before="0"/>
        <w:ind w:left="0"/>
        <w:jc w:val="both"/>
        <w:rPr>
          <w:bCs/>
          <w:noProof/>
          <w:color w:val="000000" w:themeColor="text1"/>
          <w:sz w:val="24"/>
        </w:rPr>
      </w:pPr>
      <w:r>
        <w:rPr>
          <w:color w:val="000000" w:themeColor="text1"/>
          <w:sz w:val="24"/>
        </w:rPr>
        <w:t>Schuurman AG, van den Brandt PA, Dorant E and Goldbohm RA, 1999. Animal products, calcium and protein and prostate cancer risk in The Netherlands Cohort Study. British Journal of Cancer, 80, 1107-1113.</w:t>
      </w:r>
      <w:bookmarkStart w:id="189" w:name="_bookmark156"/>
      <w:bookmarkEnd w:id="189"/>
    </w:p>
    <w:p w14:paraId="61576FB7" w14:textId="77777777" w:rsidR="004C2B47" w:rsidRDefault="004C2B47" w:rsidP="00DC6850">
      <w:pPr>
        <w:pStyle w:val="Pamatteksts"/>
        <w:spacing w:before="0"/>
        <w:ind w:left="0"/>
        <w:jc w:val="both"/>
        <w:rPr>
          <w:color w:val="000000" w:themeColor="text1"/>
          <w:sz w:val="24"/>
        </w:rPr>
      </w:pPr>
    </w:p>
    <w:p w14:paraId="5C1DE848" w14:textId="79F5AF6A" w:rsidR="00562491" w:rsidRPr="00D91B35" w:rsidRDefault="00562491" w:rsidP="00DC6850">
      <w:pPr>
        <w:pStyle w:val="Pamatteksts"/>
        <w:spacing w:before="0"/>
        <w:ind w:left="0"/>
        <w:jc w:val="both"/>
        <w:rPr>
          <w:bCs/>
          <w:noProof/>
          <w:color w:val="000000" w:themeColor="text1"/>
          <w:sz w:val="24"/>
        </w:rPr>
      </w:pPr>
      <w:r>
        <w:rPr>
          <w:color w:val="000000" w:themeColor="text1"/>
          <w:sz w:val="24"/>
        </w:rPr>
        <w:t>Sette S, Le Donne C, Piccinelli R, Arcella D, Turrini A and Leclercq C, 2010. The third Italian National Food Consumption Survey, INRAN-SCAI 2005-06 - Part 1: Nutrient intakes in Italy. Nutrition, Metabolism and Cardiovascular Diseases, 1-11.</w:t>
      </w:r>
      <w:bookmarkStart w:id="190" w:name="_bookmark157"/>
      <w:bookmarkEnd w:id="190"/>
    </w:p>
    <w:p w14:paraId="40331F64" w14:textId="77777777" w:rsidR="004C2B47" w:rsidRDefault="004C2B47" w:rsidP="00DC6850">
      <w:pPr>
        <w:pStyle w:val="Pamatteksts"/>
        <w:spacing w:before="0"/>
        <w:ind w:left="0"/>
        <w:jc w:val="both"/>
        <w:rPr>
          <w:color w:val="000000" w:themeColor="text1"/>
          <w:sz w:val="24"/>
        </w:rPr>
      </w:pPr>
    </w:p>
    <w:p w14:paraId="03D9F940" w14:textId="7265A335" w:rsidR="00562491" w:rsidRPr="00D91B35" w:rsidRDefault="00562491" w:rsidP="00DC6850">
      <w:pPr>
        <w:pStyle w:val="Pamatteksts"/>
        <w:spacing w:before="0"/>
        <w:ind w:left="0"/>
        <w:jc w:val="both"/>
        <w:rPr>
          <w:bCs/>
          <w:noProof/>
          <w:color w:val="000000" w:themeColor="text1"/>
          <w:sz w:val="24"/>
        </w:rPr>
      </w:pPr>
      <w:r>
        <w:rPr>
          <w:color w:val="000000" w:themeColor="text1"/>
          <w:sz w:val="24"/>
        </w:rPr>
        <w:t>Sowers MR, Jannausch M, Wood C, Pope SK, Lachance LL and Peterson B, 1998. Prevalence of renal stones in a population-based study with dietary calcium, oxalate, and medication exposures. American Journal of Epidemiology, 147, 914-920.</w:t>
      </w:r>
      <w:bookmarkStart w:id="191" w:name="_bookmark158"/>
      <w:bookmarkEnd w:id="191"/>
    </w:p>
    <w:p w14:paraId="5BE664B5" w14:textId="77777777" w:rsidR="004C2B47" w:rsidRDefault="004C2B47" w:rsidP="00DC6850">
      <w:pPr>
        <w:pStyle w:val="Pamatteksts"/>
        <w:spacing w:before="0"/>
        <w:ind w:left="0"/>
        <w:jc w:val="both"/>
        <w:rPr>
          <w:color w:val="000000" w:themeColor="text1"/>
          <w:sz w:val="24"/>
        </w:rPr>
      </w:pPr>
    </w:p>
    <w:p w14:paraId="5C3BC7F7" w14:textId="044811FA" w:rsidR="00562491" w:rsidRPr="00D91B35" w:rsidRDefault="00562491" w:rsidP="00DC6850">
      <w:pPr>
        <w:pStyle w:val="Pamatteksts"/>
        <w:spacing w:before="0"/>
        <w:ind w:left="0"/>
        <w:jc w:val="both"/>
        <w:rPr>
          <w:bCs/>
          <w:noProof/>
          <w:color w:val="000000" w:themeColor="text1"/>
          <w:sz w:val="24"/>
        </w:rPr>
      </w:pPr>
      <w:r>
        <w:rPr>
          <w:color w:val="000000" w:themeColor="text1"/>
          <w:sz w:val="24"/>
        </w:rPr>
        <w:t>Tavani A, Gallus S, Franceschi S and La Vecchia C, 2001. Calcium, dairy products, and the risk of prostate cancer. Prostate, 48, 118-121.</w:t>
      </w:r>
      <w:bookmarkStart w:id="192" w:name="_bookmark159"/>
      <w:bookmarkEnd w:id="192"/>
    </w:p>
    <w:p w14:paraId="45123DF9" w14:textId="77777777" w:rsidR="004C2B47" w:rsidRDefault="004C2B47" w:rsidP="00DC6850">
      <w:pPr>
        <w:pStyle w:val="Pamatteksts"/>
        <w:spacing w:before="0"/>
        <w:ind w:left="0"/>
        <w:jc w:val="both"/>
        <w:rPr>
          <w:color w:val="000000" w:themeColor="text1"/>
          <w:sz w:val="24"/>
        </w:rPr>
      </w:pPr>
    </w:p>
    <w:p w14:paraId="7C734603" w14:textId="30B25922" w:rsidR="00562491" w:rsidRPr="00D91B35" w:rsidRDefault="00562491" w:rsidP="00DC6850">
      <w:pPr>
        <w:pStyle w:val="Pamatteksts"/>
        <w:spacing w:before="0"/>
        <w:ind w:left="0"/>
        <w:jc w:val="both"/>
        <w:rPr>
          <w:bCs/>
          <w:noProof/>
          <w:color w:val="000000" w:themeColor="text1"/>
          <w:sz w:val="24"/>
        </w:rPr>
      </w:pPr>
      <w:r>
        <w:rPr>
          <w:color w:val="000000" w:themeColor="text1"/>
          <w:sz w:val="24"/>
        </w:rPr>
        <w:t>Tavani A, Bertuccio P, Bosetti C, Talamini R, Negri E, Franceschi S, Montella M and La Vecchia C, 2005. Dietary intake of calcium, vitamin D, phosphorus and the risk of prostate cancer. European Urology, 48, 27-33.</w:t>
      </w:r>
      <w:bookmarkStart w:id="193" w:name="_bookmark160"/>
      <w:bookmarkEnd w:id="193"/>
    </w:p>
    <w:p w14:paraId="2677BECC" w14:textId="77777777" w:rsidR="004C2B47" w:rsidRDefault="004C2B47" w:rsidP="00DC6850">
      <w:pPr>
        <w:pStyle w:val="Pamatteksts"/>
        <w:spacing w:before="0"/>
        <w:ind w:left="0"/>
        <w:jc w:val="both"/>
        <w:rPr>
          <w:color w:val="000000" w:themeColor="text1"/>
          <w:sz w:val="24"/>
        </w:rPr>
      </w:pPr>
    </w:p>
    <w:p w14:paraId="6D51E7E2" w14:textId="67E06461" w:rsidR="00562491" w:rsidRPr="00D91B35" w:rsidRDefault="00562491" w:rsidP="00DC6850">
      <w:pPr>
        <w:pStyle w:val="Pamatteksts"/>
        <w:spacing w:before="0"/>
        <w:ind w:left="0"/>
        <w:jc w:val="both"/>
        <w:rPr>
          <w:bCs/>
          <w:noProof/>
          <w:color w:val="000000" w:themeColor="text1"/>
          <w:sz w:val="24"/>
        </w:rPr>
      </w:pPr>
      <w:r>
        <w:rPr>
          <w:color w:val="000000" w:themeColor="text1"/>
          <w:sz w:val="24"/>
        </w:rPr>
        <w:t>Taylor EN, Stampfer MJ and Curhan GC, 2004. Dietary factors and the risk of incident kidney stones in men: new insights after 14 years of follow-up. Journal of the American Society of Nephrology, 15, 3225-3232.</w:t>
      </w:r>
      <w:bookmarkStart w:id="194" w:name="_bookmark161"/>
      <w:bookmarkEnd w:id="194"/>
    </w:p>
    <w:p w14:paraId="463DAA51" w14:textId="77777777" w:rsidR="004C2B47" w:rsidRDefault="004C2B47" w:rsidP="00DC6850">
      <w:pPr>
        <w:pStyle w:val="Pamatteksts"/>
        <w:spacing w:before="0"/>
        <w:ind w:left="0"/>
        <w:jc w:val="both"/>
        <w:rPr>
          <w:color w:val="000000" w:themeColor="text1"/>
          <w:sz w:val="24"/>
        </w:rPr>
      </w:pPr>
    </w:p>
    <w:p w14:paraId="7A39C09C" w14:textId="5ADF5E9E" w:rsidR="00562491" w:rsidRPr="00D91B35" w:rsidRDefault="00562491" w:rsidP="00DC6850">
      <w:pPr>
        <w:pStyle w:val="Pamatteksts"/>
        <w:spacing w:before="0"/>
        <w:ind w:left="0"/>
        <w:jc w:val="both"/>
        <w:rPr>
          <w:bCs/>
          <w:noProof/>
          <w:color w:val="000000" w:themeColor="text1"/>
          <w:sz w:val="24"/>
        </w:rPr>
      </w:pPr>
      <w:r>
        <w:rPr>
          <w:color w:val="000000" w:themeColor="text1"/>
          <w:sz w:val="24"/>
        </w:rPr>
        <w:t>Tetens I, Biltoft-Jensen A, Spagner C, Christensen T, Gille MB, Bugel S and Banke Rasmussen L, 2011. Intake of micronutrients among Danish adult users and non-users of dietary supplements. Food &amp; Nutrition Research, 55, 7153-7161.</w:t>
      </w:r>
      <w:bookmarkStart w:id="195" w:name="_bookmark162"/>
      <w:bookmarkEnd w:id="195"/>
    </w:p>
    <w:p w14:paraId="29F07909" w14:textId="77777777" w:rsidR="004C2B47" w:rsidRDefault="004C2B47" w:rsidP="00DC6850">
      <w:pPr>
        <w:pStyle w:val="Pamatteksts"/>
        <w:spacing w:before="0"/>
        <w:ind w:left="0"/>
        <w:jc w:val="both"/>
        <w:rPr>
          <w:color w:val="000000" w:themeColor="text1"/>
          <w:sz w:val="24"/>
        </w:rPr>
      </w:pPr>
    </w:p>
    <w:p w14:paraId="149F1616" w14:textId="46BBB3E0" w:rsidR="00562491" w:rsidRPr="00D91B35" w:rsidRDefault="00562491" w:rsidP="00DC6850">
      <w:pPr>
        <w:pStyle w:val="Pamatteksts"/>
        <w:spacing w:before="0"/>
        <w:ind w:left="0"/>
        <w:jc w:val="both"/>
        <w:rPr>
          <w:bCs/>
          <w:noProof/>
          <w:color w:val="000000" w:themeColor="text1"/>
          <w:sz w:val="24"/>
        </w:rPr>
      </w:pPr>
      <w:r>
        <w:rPr>
          <w:color w:val="000000" w:themeColor="text1"/>
          <w:sz w:val="24"/>
        </w:rPr>
        <w:t>Tseng M, Breslow RA, Graubard BI and Ziegler RG, 2005. Dairy, calcium, and vitamin D intakes and prostate cancer risk in the National Health and Nutrition Examination Epidemiologic Follow-up Study cohort. American Journal of Clinical Nutrition, 81, 1147-1154.</w:t>
      </w:r>
      <w:bookmarkStart w:id="196" w:name="_bookmark163"/>
      <w:bookmarkEnd w:id="196"/>
    </w:p>
    <w:p w14:paraId="4501791C" w14:textId="77777777" w:rsidR="004C2B47" w:rsidRDefault="004C2B47" w:rsidP="00DC6850">
      <w:pPr>
        <w:pStyle w:val="Pamatteksts"/>
        <w:spacing w:before="0"/>
        <w:ind w:left="0"/>
        <w:jc w:val="both"/>
        <w:rPr>
          <w:color w:val="000000" w:themeColor="text1"/>
          <w:sz w:val="24"/>
        </w:rPr>
      </w:pPr>
    </w:p>
    <w:p w14:paraId="361F15BF" w14:textId="09600DE3" w:rsidR="00562491" w:rsidRPr="00D91B35" w:rsidRDefault="00562491" w:rsidP="00DC6850">
      <w:pPr>
        <w:pStyle w:val="Pamatteksts"/>
        <w:spacing w:before="0"/>
        <w:ind w:left="0"/>
        <w:jc w:val="both"/>
        <w:rPr>
          <w:bCs/>
          <w:noProof/>
          <w:color w:val="000000" w:themeColor="text1"/>
          <w:sz w:val="24"/>
        </w:rPr>
      </w:pPr>
      <w:r>
        <w:rPr>
          <w:color w:val="000000" w:themeColor="text1"/>
          <w:sz w:val="24"/>
        </w:rPr>
        <w:t>Tzonou A, Signorello LB, Lagiou P, Wuu J, Trichopoulos D and Trichopoulou A, 1999. Diet and cancer of the prostate: a case-control study in Greece. International Journal of Cancer, 80, 704- 708.</w:t>
      </w:r>
      <w:bookmarkStart w:id="197" w:name="_bookmark164"/>
      <w:bookmarkEnd w:id="197"/>
    </w:p>
    <w:p w14:paraId="01223D2F" w14:textId="77777777" w:rsidR="004C2B47" w:rsidRDefault="004C2B47" w:rsidP="00DC6850">
      <w:pPr>
        <w:pStyle w:val="Pamatteksts"/>
        <w:spacing w:before="0"/>
        <w:ind w:left="0"/>
        <w:jc w:val="both"/>
        <w:rPr>
          <w:color w:val="000000" w:themeColor="text1"/>
          <w:sz w:val="24"/>
        </w:rPr>
      </w:pPr>
    </w:p>
    <w:p w14:paraId="61920C5D" w14:textId="648FF120" w:rsidR="00562491" w:rsidRPr="00D91B35" w:rsidRDefault="00562491" w:rsidP="00DC6850">
      <w:pPr>
        <w:pStyle w:val="Pamatteksts"/>
        <w:spacing w:before="0"/>
        <w:ind w:left="0"/>
        <w:jc w:val="both"/>
        <w:rPr>
          <w:bCs/>
          <w:noProof/>
          <w:color w:val="000000" w:themeColor="text1"/>
          <w:sz w:val="24"/>
        </w:rPr>
      </w:pPr>
      <w:r>
        <w:rPr>
          <w:color w:val="000000" w:themeColor="text1"/>
          <w:sz w:val="24"/>
        </w:rPr>
        <w:t>Umesawa M, Iso H, Date C, Yamamoto A, Toyoshima H, Watanabe Y, Kikuchi S, Koizumi A, Kondo T, Inaba Y, Tanabe N and Tamakoshi A, 2006. Dietary intake of calcium in relation to mortality from cardiovascular disease: the JACC Study. Stroke, 37, 20-26.</w:t>
      </w:r>
      <w:bookmarkStart w:id="198" w:name="_bookmark165"/>
      <w:bookmarkEnd w:id="198"/>
    </w:p>
    <w:p w14:paraId="0C0E2DAD" w14:textId="77777777" w:rsidR="004C2B47" w:rsidRDefault="004C2B47" w:rsidP="00DC6850">
      <w:pPr>
        <w:pStyle w:val="Pamatteksts"/>
        <w:spacing w:before="0"/>
        <w:ind w:left="0"/>
        <w:jc w:val="both"/>
        <w:rPr>
          <w:color w:val="000000" w:themeColor="text1"/>
          <w:sz w:val="24"/>
        </w:rPr>
      </w:pPr>
    </w:p>
    <w:p w14:paraId="3AF12CAB" w14:textId="1991DE69" w:rsidR="00562491" w:rsidRPr="00D91B35" w:rsidRDefault="00562491" w:rsidP="00DC6850">
      <w:pPr>
        <w:pStyle w:val="Pamatteksts"/>
        <w:spacing w:before="0"/>
        <w:ind w:left="0"/>
        <w:jc w:val="both"/>
        <w:rPr>
          <w:bCs/>
          <w:noProof/>
          <w:color w:val="000000" w:themeColor="text1"/>
          <w:sz w:val="24"/>
        </w:rPr>
      </w:pPr>
      <w:r>
        <w:rPr>
          <w:color w:val="000000" w:themeColor="text1"/>
          <w:sz w:val="24"/>
        </w:rPr>
        <w:t>Umesawa M, Iso H, Ishihara J, Saito I, Kokubo Y, Inoue M, Tsugane S and Group JS, 2008. Dietary calcium intake and risks of stroke, its subtypes, and coronary heart disease in Japanese: the JPHC Study Cohort I. Stroke, 39, 2449-2456.</w:t>
      </w:r>
      <w:bookmarkStart w:id="199" w:name="_bookmark166"/>
      <w:bookmarkEnd w:id="199"/>
    </w:p>
    <w:p w14:paraId="377EECC4" w14:textId="77777777" w:rsidR="004C2B47" w:rsidRDefault="004C2B47" w:rsidP="00DC6850">
      <w:pPr>
        <w:pStyle w:val="Pamatteksts"/>
        <w:spacing w:before="0"/>
        <w:ind w:left="0"/>
        <w:jc w:val="both"/>
        <w:rPr>
          <w:color w:val="000000" w:themeColor="text1"/>
          <w:sz w:val="24"/>
        </w:rPr>
      </w:pPr>
    </w:p>
    <w:p w14:paraId="514B70A4" w14:textId="16FB086D" w:rsidR="00562491" w:rsidRPr="00D91B35" w:rsidRDefault="00562491" w:rsidP="00DC6850">
      <w:pPr>
        <w:pStyle w:val="Pamatteksts"/>
        <w:spacing w:before="0"/>
        <w:ind w:left="0"/>
        <w:jc w:val="both"/>
        <w:rPr>
          <w:bCs/>
          <w:noProof/>
          <w:color w:val="000000" w:themeColor="text1"/>
          <w:sz w:val="24"/>
        </w:rPr>
      </w:pPr>
      <w:r>
        <w:rPr>
          <w:color w:val="000000" w:themeColor="text1"/>
          <w:sz w:val="24"/>
        </w:rPr>
        <w:t>Van der Vijver LP, van der Waal MA, Weterings KG, Dekker JM, Schouten EG and Kok FJ, 1992. Calcium intake and 28-year cardiovascular and coronary heart disease mortality in Dutch civil servants. International Journal of Epidemiology, 21, 36-39.</w:t>
      </w:r>
      <w:bookmarkStart w:id="200" w:name="_bookmark167"/>
      <w:bookmarkEnd w:id="200"/>
    </w:p>
    <w:p w14:paraId="17D7131E" w14:textId="77777777" w:rsidR="004C2B47" w:rsidRDefault="004C2B47" w:rsidP="00DC6850">
      <w:pPr>
        <w:pStyle w:val="Pamatteksts"/>
        <w:spacing w:before="0"/>
        <w:ind w:left="0"/>
        <w:jc w:val="both"/>
        <w:rPr>
          <w:color w:val="000000" w:themeColor="text1"/>
          <w:sz w:val="24"/>
        </w:rPr>
      </w:pPr>
    </w:p>
    <w:p w14:paraId="562D1938" w14:textId="1B4DEF03" w:rsidR="00562491" w:rsidRPr="00D91B35" w:rsidRDefault="00562491" w:rsidP="00DC6850">
      <w:pPr>
        <w:pStyle w:val="Pamatteksts"/>
        <w:spacing w:before="0"/>
        <w:ind w:left="0"/>
        <w:jc w:val="both"/>
        <w:rPr>
          <w:bCs/>
          <w:noProof/>
          <w:color w:val="000000" w:themeColor="text1"/>
          <w:sz w:val="24"/>
        </w:rPr>
      </w:pPr>
      <w:r>
        <w:rPr>
          <w:color w:val="000000" w:themeColor="text1"/>
          <w:sz w:val="24"/>
        </w:rPr>
        <w:t>Van Pelt N, Ruygrok P, Bolland MJ, Gamble GD, Mason B, Ames R and Reid IR, 2009. Do calcium supplements lead to an increase in coronary calcification? Heart, Lung, Circulation, 18S, S 241.</w:t>
      </w:r>
      <w:bookmarkStart w:id="201" w:name="_bookmark168"/>
      <w:bookmarkEnd w:id="201"/>
    </w:p>
    <w:p w14:paraId="2FD89970" w14:textId="77777777" w:rsidR="004C2B47" w:rsidRDefault="004C2B47" w:rsidP="00DC6850">
      <w:pPr>
        <w:pStyle w:val="Pamatteksts"/>
        <w:spacing w:before="0"/>
        <w:ind w:left="0"/>
        <w:jc w:val="both"/>
        <w:rPr>
          <w:color w:val="000000" w:themeColor="text1"/>
          <w:sz w:val="24"/>
        </w:rPr>
      </w:pPr>
    </w:p>
    <w:p w14:paraId="1B2D6ACA" w14:textId="31053540" w:rsidR="00562491" w:rsidRPr="00D91B35" w:rsidRDefault="00562491" w:rsidP="00DC6850">
      <w:pPr>
        <w:pStyle w:val="Pamatteksts"/>
        <w:spacing w:before="0"/>
        <w:ind w:left="0"/>
        <w:jc w:val="both"/>
        <w:rPr>
          <w:bCs/>
          <w:noProof/>
          <w:color w:val="000000" w:themeColor="text1"/>
          <w:sz w:val="24"/>
        </w:rPr>
      </w:pPr>
      <w:r>
        <w:rPr>
          <w:color w:val="000000" w:themeColor="text1"/>
          <w:sz w:val="24"/>
        </w:rPr>
        <w:t>van Rossum CTM, Fransen HP, Verkaik-Kloosterman J, Buurma-Rethans EJM and Ocké MC, 2011. Dutch National Food Consumption Survey 2007-2010: Diet of children and adults aged 7 to 69 years. RIVM Report number: 350050006/2011, National Institute for Public Health and the Environment, 148 pp.</w:t>
      </w:r>
      <w:bookmarkStart w:id="202" w:name="_bookmark169"/>
      <w:bookmarkEnd w:id="202"/>
    </w:p>
    <w:p w14:paraId="7C1E45E7" w14:textId="77777777" w:rsidR="004C2B47" w:rsidRDefault="004C2B47" w:rsidP="00DC6850">
      <w:pPr>
        <w:pStyle w:val="Pamatteksts"/>
        <w:spacing w:before="0"/>
        <w:ind w:left="0"/>
        <w:jc w:val="both"/>
        <w:rPr>
          <w:color w:val="000000" w:themeColor="text1"/>
          <w:sz w:val="24"/>
        </w:rPr>
      </w:pPr>
    </w:p>
    <w:p w14:paraId="38667B02" w14:textId="23833894" w:rsidR="00562491" w:rsidRPr="00D91B35" w:rsidRDefault="00562491" w:rsidP="00DC6850">
      <w:pPr>
        <w:pStyle w:val="Pamatteksts"/>
        <w:spacing w:before="0"/>
        <w:ind w:left="0"/>
        <w:jc w:val="both"/>
        <w:rPr>
          <w:bCs/>
          <w:noProof/>
          <w:color w:val="000000" w:themeColor="text1"/>
          <w:sz w:val="24"/>
        </w:rPr>
      </w:pPr>
      <w:r>
        <w:rPr>
          <w:color w:val="000000" w:themeColor="text1"/>
          <w:sz w:val="24"/>
        </w:rPr>
        <w:t>Vlajinac H, Ilic M and Sipetic S, 2001. A case-control study of diet and prostate cancer. J BUON, 6, 177-181.</w:t>
      </w:r>
      <w:bookmarkStart w:id="203" w:name="_bookmark170"/>
      <w:bookmarkEnd w:id="203"/>
    </w:p>
    <w:p w14:paraId="51902C26" w14:textId="77777777" w:rsidR="004C2B47" w:rsidRDefault="004C2B47" w:rsidP="00DC6850">
      <w:pPr>
        <w:pStyle w:val="Pamatteksts"/>
        <w:spacing w:before="0"/>
        <w:ind w:left="0"/>
        <w:jc w:val="both"/>
        <w:rPr>
          <w:color w:val="000000" w:themeColor="text1"/>
          <w:sz w:val="24"/>
        </w:rPr>
      </w:pPr>
    </w:p>
    <w:p w14:paraId="19B04364" w14:textId="45D2B0C6" w:rsidR="00562491" w:rsidRPr="00D91B35" w:rsidRDefault="00562491" w:rsidP="00DC6850">
      <w:pPr>
        <w:pStyle w:val="Pamatteksts"/>
        <w:spacing w:before="0"/>
        <w:ind w:left="0"/>
        <w:jc w:val="both"/>
        <w:rPr>
          <w:bCs/>
          <w:noProof/>
          <w:color w:val="000000" w:themeColor="text1"/>
          <w:sz w:val="24"/>
        </w:rPr>
      </w:pPr>
      <w:r>
        <w:rPr>
          <w:color w:val="000000" w:themeColor="text1"/>
          <w:sz w:val="24"/>
        </w:rPr>
        <w:t>Vlajinac HD, Marinkovic JM and Ilic MD, 1997. Diet and prostate cancer: a case-control study.</w:t>
      </w:r>
      <w:bookmarkStart w:id="204" w:name="_bookmark171"/>
      <w:bookmarkEnd w:id="204"/>
      <w:r w:rsidR="004C2B47">
        <w:rPr>
          <w:color w:val="000000" w:themeColor="text1"/>
          <w:sz w:val="24"/>
        </w:rPr>
        <w:t xml:space="preserve"> </w:t>
      </w:r>
      <w:r>
        <w:rPr>
          <w:color w:val="000000" w:themeColor="text1"/>
          <w:sz w:val="24"/>
        </w:rPr>
        <w:t>European Journal of Cancer, 33, 101-107.</w:t>
      </w:r>
    </w:p>
    <w:p w14:paraId="79C200B3" w14:textId="77777777" w:rsidR="004C2B47" w:rsidRDefault="004C2B47" w:rsidP="00DC6850">
      <w:pPr>
        <w:pStyle w:val="Pamatteksts"/>
        <w:spacing w:before="0"/>
        <w:ind w:left="0"/>
        <w:jc w:val="both"/>
        <w:rPr>
          <w:color w:val="000000" w:themeColor="text1"/>
          <w:sz w:val="24"/>
        </w:rPr>
      </w:pPr>
    </w:p>
    <w:p w14:paraId="1A16224E" w14:textId="3ED48368" w:rsidR="00562491" w:rsidRPr="00D91B35" w:rsidRDefault="00562491" w:rsidP="00DC6850">
      <w:pPr>
        <w:pStyle w:val="Pamatteksts"/>
        <w:spacing w:before="0"/>
        <w:ind w:left="0"/>
        <w:jc w:val="both"/>
        <w:rPr>
          <w:bCs/>
          <w:noProof/>
          <w:color w:val="000000" w:themeColor="text1"/>
          <w:sz w:val="24"/>
        </w:rPr>
      </w:pPr>
      <w:r>
        <w:rPr>
          <w:color w:val="000000" w:themeColor="text1"/>
          <w:sz w:val="24"/>
        </w:rPr>
        <w:t>Walker M, Aronson KJ, King W, Wilson JW, Fan W, Heaton JP, MacNeily A, Nickel JC and Morales A, 2005. Dietary patterns and risk of prostate cancer in Ontario, Canada. International Journal of Cancer, 116, 592-598.</w:t>
      </w:r>
      <w:bookmarkStart w:id="205" w:name="_bookmark172"/>
      <w:bookmarkEnd w:id="205"/>
    </w:p>
    <w:p w14:paraId="31F5756D" w14:textId="77777777" w:rsidR="004C2B47" w:rsidRDefault="004C2B47" w:rsidP="00DC6850">
      <w:pPr>
        <w:pStyle w:val="Pamatteksts"/>
        <w:spacing w:before="0"/>
        <w:ind w:left="0"/>
        <w:jc w:val="both"/>
        <w:rPr>
          <w:color w:val="000000" w:themeColor="text1"/>
          <w:sz w:val="24"/>
        </w:rPr>
      </w:pPr>
    </w:p>
    <w:p w14:paraId="5E2ECF0B" w14:textId="22A1BDA7" w:rsidR="00562491" w:rsidRPr="00D91B35" w:rsidRDefault="00562491" w:rsidP="00DC6850">
      <w:pPr>
        <w:pStyle w:val="Pamatteksts"/>
        <w:spacing w:before="0"/>
        <w:ind w:left="0"/>
        <w:jc w:val="both"/>
        <w:rPr>
          <w:bCs/>
          <w:noProof/>
          <w:color w:val="000000" w:themeColor="text1"/>
          <w:sz w:val="24"/>
        </w:rPr>
      </w:pPr>
      <w:r>
        <w:rPr>
          <w:color w:val="000000" w:themeColor="text1"/>
          <w:sz w:val="24"/>
        </w:rPr>
        <w:t>Walker RM and Linkswiler HM, 1972. Calcium retention in the adult human male as affected by protein intake. Journal of Nutrition, 102, 1297-1302.</w:t>
      </w:r>
      <w:bookmarkStart w:id="206" w:name="_bookmark173"/>
      <w:bookmarkEnd w:id="206"/>
    </w:p>
    <w:p w14:paraId="0669A340" w14:textId="77777777" w:rsidR="004C2B47" w:rsidRDefault="004C2B47" w:rsidP="00DC6850">
      <w:pPr>
        <w:pStyle w:val="Pamatteksts"/>
        <w:spacing w:before="0"/>
        <w:ind w:left="0"/>
        <w:jc w:val="both"/>
        <w:rPr>
          <w:color w:val="000000" w:themeColor="text1"/>
          <w:sz w:val="24"/>
        </w:rPr>
      </w:pPr>
    </w:p>
    <w:p w14:paraId="5A617F4C" w14:textId="30A6B48F" w:rsidR="00562491" w:rsidRPr="00D91B35" w:rsidRDefault="00562491" w:rsidP="00DC6850">
      <w:pPr>
        <w:pStyle w:val="Pamatteksts"/>
        <w:spacing w:before="0"/>
        <w:ind w:left="0"/>
        <w:jc w:val="both"/>
        <w:rPr>
          <w:bCs/>
          <w:noProof/>
          <w:color w:val="000000" w:themeColor="text1"/>
          <w:sz w:val="24"/>
        </w:rPr>
      </w:pPr>
      <w:r>
        <w:rPr>
          <w:color w:val="000000" w:themeColor="text1"/>
          <w:sz w:val="24"/>
        </w:rPr>
        <w:t>Wallace RB, Wactawski-Wende J, O'Sullivan MJ, Larson JC, Cochrane B, Gass M and Masaki K, 2011. Urinary tract stone occurrence in the Women's Health Initiative (WHI) randomized clinical trial of calcium and vitamin D supplements. American Journal of Clinical Nutrition, 94, 270-277.</w:t>
      </w:r>
      <w:bookmarkStart w:id="207" w:name="_bookmark174"/>
      <w:bookmarkEnd w:id="207"/>
    </w:p>
    <w:p w14:paraId="64FB68F0" w14:textId="77777777" w:rsidR="004C2B47" w:rsidRDefault="004C2B47" w:rsidP="00DC6850">
      <w:pPr>
        <w:pStyle w:val="Pamatteksts"/>
        <w:spacing w:before="0"/>
        <w:ind w:left="0"/>
        <w:jc w:val="both"/>
        <w:rPr>
          <w:color w:val="000000" w:themeColor="text1"/>
          <w:sz w:val="24"/>
        </w:rPr>
      </w:pPr>
    </w:p>
    <w:p w14:paraId="695D7461" w14:textId="1DA884CD" w:rsidR="00562491" w:rsidRPr="00D91B35" w:rsidRDefault="00562491" w:rsidP="00DC6850">
      <w:pPr>
        <w:pStyle w:val="Pamatteksts"/>
        <w:spacing w:before="0"/>
        <w:ind w:left="0"/>
        <w:jc w:val="both"/>
        <w:rPr>
          <w:bCs/>
          <w:noProof/>
          <w:color w:val="000000" w:themeColor="text1"/>
          <w:sz w:val="24"/>
        </w:rPr>
      </w:pPr>
      <w:r>
        <w:rPr>
          <w:color w:val="000000" w:themeColor="text1"/>
          <w:sz w:val="24"/>
        </w:rPr>
        <w:t>Wang L, Manson JE, Song Y and Sesso HD, 2010. Systematic review: Vitamin D and calcium supplementation in prevention of cardiovascular events. Annals of Internal Medicine, 152, 315- 323.</w:t>
      </w:r>
      <w:bookmarkStart w:id="208" w:name="_bookmark175"/>
      <w:bookmarkEnd w:id="208"/>
    </w:p>
    <w:p w14:paraId="3B57EC8C" w14:textId="77777777" w:rsidR="004C2B47" w:rsidRDefault="004C2B47" w:rsidP="00DC6850">
      <w:pPr>
        <w:pStyle w:val="Pamatteksts"/>
        <w:spacing w:before="0"/>
        <w:ind w:left="0"/>
        <w:jc w:val="both"/>
        <w:rPr>
          <w:color w:val="000000" w:themeColor="text1"/>
          <w:sz w:val="24"/>
        </w:rPr>
      </w:pPr>
    </w:p>
    <w:p w14:paraId="41468B0C" w14:textId="1BF5AF6F" w:rsidR="00562491" w:rsidRPr="00D91B35" w:rsidRDefault="00562491" w:rsidP="00DC6850">
      <w:pPr>
        <w:pStyle w:val="Pamatteksts"/>
        <w:spacing w:before="0"/>
        <w:ind w:left="0"/>
        <w:jc w:val="both"/>
        <w:rPr>
          <w:bCs/>
          <w:noProof/>
          <w:color w:val="000000" w:themeColor="text1"/>
          <w:sz w:val="24"/>
        </w:rPr>
      </w:pPr>
      <w:r>
        <w:rPr>
          <w:color w:val="000000" w:themeColor="text1"/>
          <w:sz w:val="24"/>
        </w:rPr>
        <w:t>WCRF/AICR (World Cancer Research Fund/ American Institute of Cancer Research), 2007. Food, Nutrition, Physical Activity, and the Prevention of Cancer: A Global Perspective. 517 pp.</w:t>
      </w:r>
      <w:bookmarkStart w:id="209" w:name="_bookmark176"/>
      <w:bookmarkEnd w:id="209"/>
    </w:p>
    <w:p w14:paraId="5CF6560B" w14:textId="77777777" w:rsidR="002A1AC1" w:rsidRDefault="002A1AC1" w:rsidP="00DC6850">
      <w:pPr>
        <w:pStyle w:val="Pamatteksts"/>
        <w:spacing w:before="0"/>
        <w:ind w:left="0"/>
        <w:jc w:val="both"/>
        <w:rPr>
          <w:color w:val="000000" w:themeColor="text1"/>
          <w:sz w:val="24"/>
        </w:rPr>
      </w:pPr>
    </w:p>
    <w:p w14:paraId="4A513515" w14:textId="667CCDF6" w:rsidR="00562491" w:rsidRPr="00D91B35" w:rsidRDefault="00562491" w:rsidP="00DC6850">
      <w:pPr>
        <w:pStyle w:val="Pamatteksts"/>
        <w:spacing w:before="0"/>
        <w:ind w:left="0"/>
        <w:jc w:val="both"/>
        <w:rPr>
          <w:bCs/>
          <w:noProof/>
          <w:color w:val="000000" w:themeColor="text1"/>
          <w:sz w:val="24"/>
        </w:rPr>
      </w:pPr>
      <w:r>
        <w:rPr>
          <w:color w:val="000000" w:themeColor="text1"/>
          <w:sz w:val="24"/>
        </w:rPr>
        <w:t>Weaver C, 2001. Calcium. In: Present knowledge in nutrition. Eds Bowman B, Russell R. ILSI Press, Washington, DC, 273-280.</w:t>
      </w:r>
      <w:bookmarkStart w:id="210" w:name="_bookmark177"/>
      <w:bookmarkEnd w:id="210"/>
    </w:p>
    <w:p w14:paraId="1E296A46" w14:textId="77777777" w:rsidR="002A1AC1" w:rsidRDefault="002A1AC1" w:rsidP="00DC6850">
      <w:pPr>
        <w:pStyle w:val="Pamatteksts"/>
        <w:spacing w:before="0"/>
        <w:ind w:left="0"/>
        <w:jc w:val="both"/>
        <w:rPr>
          <w:color w:val="000000" w:themeColor="text1"/>
          <w:sz w:val="24"/>
        </w:rPr>
      </w:pPr>
    </w:p>
    <w:p w14:paraId="286E4BC9" w14:textId="714FD19D" w:rsidR="00562491" w:rsidRPr="00D91B35" w:rsidRDefault="00562491" w:rsidP="00DC6850">
      <w:pPr>
        <w:pStyle w:val="Pamatteksts"/>
        <w:spacing w:before="0"/>
        <w:ind w:left="0"/>
        <w:jc w:val="both"/>
        <w:rPr>
          <w:bCs/>
          <w:noProof/>
          <w:color w:val="000000" w:themeColor="text1"/>
          <w:sz w:val="24"/>
        </w:rPr>
      </w:pPr>
      <w:r>
        <w:rPr>
          <w:color w:val="000000" w:themeColor="text1"/>
          <w:sz w:val="24"/>
        </w:rPr>
        <w:t>Weng LC, Yeh WT, Bai CH, Chen HJ, Chuang SY, Chang HY, Lin BF, Chen KJ and Pan WH, 2008. Is ischemic stroke risk related to folate status or other nutrients correlated with folate intake? Stroke, 39, 3152-3158.</w:t>
      </w:r>
      <w:bookmarkStart w:id="211" w:name="_bookmark178"/>
      <w:bookmarkEnd w:id="211"/>
    </w:p>
    <w:p w14:paraId="3F25960D" w14:textId="77777777" w:rsidR="002A1AC1" w:rsidRDefault="002A1AC1" w:rsidP="00DC6850">
      <w:pPr>
        <w:pStyle w:val="Pamatteksts"/>
        <w:spacing w:before="0"/>
        <w:ind w:left="0"/>
        <w:jc w:val="both"/>
        <w:rPr>
          <w:color w:val="000000" w:themeColor="text1"/>
          <w:sz w:val="24"/>
        </w:rPr>
      </w:pPr>
    </w:p>
    <w:p w14:paraId="2A5E19BD" w14:textId="35DECB2F" w:rsidR="00562491" w:rsidRPr="00D91B35" w:rsidRDefault="00562491" w:rsidP="00DC6850">
      <w:pPr>
        <w:pStyle w:val="Pamatteksts"/>
        <w:spacing w:before="0"/>
        <w:ind w:left="0"/>
        <w:jc w:val="both"/>
        <w:rPr>
          <w:bCs/>
          <w:noProof/>
          <w:color w:val="000000" w:themeColor="text1"/>
          <w:sz w:val="24"/>
        </w:rPr>
      </w:pPr>
      <w:r>
        <w:rPr>
          <w:color w:val="000000" w:themeColor="text1"/>
          <w:sz w:val="24"/>
        </w:rPr>
        <w:t>Whiting SJ, Green TJ, MacKenzie EP and Weeks SJ, 1998. Effects of excess protein, sodium and potassium on acute and chronic urinary calcium excretion in young women. Nutrition Research, 18, 475-487.</w:t>
      </w:r>
      <w:bookmarkStart w:id="212" w:name="_bookmark179"/>
      <w:bookmarkEnd w:id="212"/>
    </w:p>
    <w:p w14:paraId="61197BD3" w14:textId="77777777" w:rsidR="002A1AC1" w:rsidRDefault="002A1AC1" w:rsidP="00DC6850">
      <w:pPr>
        <w:pStyle w:val="Pamatteksts"/>
        <w:spacing w:before="0"/>
        <w:ind w:left="0"/>
        <w:jc w:val="both"/>
        <w:rPr>
          <w:color w:val="000000" w:themeColor="text1"/>
          <w:sz w:val="24"/>
        </w:rPr>
      </w:pPr>
    </w:p>
    <w:p w14:paraId="770E3894" w14:textId="1FFA519B" w:rsidR="00562491" w:rsidRPr="00D91B35" w:rsidRDefault="00562491" w:rsidP="00DC6850">
      <w:pPr>
        <w:pStyle w:val="Pamatteksts"/>
        <w:spacing w:before="0"/>
        <w:ind w:left="0"/>
        <w:jc w:val="both"/>
        <w:rPr>
          <w:bCs/>
          <w:noProof/>
          <w:color w:val="000000" w:themeColor="text1"/>
          <w:sz w:val="24"/>
        </w:rPr>
      </w:pPr>
      <w:r>
        <w:rPr>
          <w:color w:val="000000" w:themeColor="text1"/>
          <w:sz w:val="24"/>
        </w:rPr>
        <w:t>Wilson PW, Kauppila LI, O'Donnell CJ, Kiel DP, Hannan M, Polak JM and Cupples LA, 2001. Abdominal aortic calcific deposits are an important predictor of vascular morbidity and mortality. Circulation, 103, 1529-1534.</w:t>
      </w:r>
      <w:bookmarkStart w:id="213" w:name="_bookmark180"/>
      <w:bookmarkEnd w:id="213"/>
    </w:p>
    <w:p w14:paraId="6B06A378" w14:textId="77777777" w:rsidR="002A1AC1" w:rsidRDefault="002A1AC1" w:rsidP="00DC6850">
      <w:pPr>
        <w:pStyle w:val="Pamatteksts"/>
        <w:spacing w:before="0"/>
        <w:ind w:left="0"/>
        <w:jc w:val="both"/>
        <w:rPr>
          <w:color w:val="000000" w:themeColor="text1"/>
          <w:sz w:val="24"/>
        </w:rPr>
      </w:pPr>
    </w:p>
    <w:p w14:paraId="72264175" w14:textId="29B049A9" w:rsidR="00562491" w:rsidRPr="00D91B35" w:rsidRDefault="00562491" w:rsidP="00DC6850">
      <w:pPr>
        <w:pStyle w:val="Pamatteksts"/>
        <w:spacing w:before="0"/>
        <w:ind w:left="0"/>
        <w:jc w:val="both"/>
        <w:rPr>
          <w:bCs/>
          <w:noProof/>
          <w:color w:val="000000" w:themeColor="text1"/>
          <w:sz w:val="24"/>
        </w:rPr>
        <w:sectPr w:rsidR="00562491" w:rsidRPr="00D91B35" w:rsidSect="00BE71C6">
          <w:headerReference w:type="default" r:id="rId13"/>
          <w:footerReference w:type="default" r:id="rId14"/>
          <w:headerReference w:type="first" r:id="rId15"/>
          <w:footerReference w:type="first" r:id="rId16"/>
          <w:pgSz w:w="11910" w:h="16840" w:code="9"/>
          <w:pgMar w:top="1134" w:right="1134" w:bottom="1134" w:left="1701" w:header="567" w:footer="567" w:gutter="0"/>
          <w:cols w:space="720"/>
          <w:titlePg/>
        </w:sectPr>
      </w:pPr>
      <w:r>
        <w:rPr>
          <w:color w:val="000000" w:themeColor="text1"/>
          <w:sz w:val="24"/>
        </w:rPr>
        <w:t>Wong ND, Gransar H, Shaw L, Polk D, Moon JH, Miranda-Peats R, Hayes SW, Thomson LE, Rozanski A, Friedman JD and Berman DS, 2009. Thoracic aortic calcium versus coronary artery calcium for the prediction of coronary heart disease and cardiovascular disease events. JACC. Cardiovascular imaging, 2, 319-326.</w:t>
      </w:r>
    </w:p>
    <w:p w14:paraId="5CB5189A" w14:textId="35DBB98A" w:rsidR="00562491" w:rsidRPr="00993AF1" w:rsidRDefault="00562491" w:rsidP="00993AF1">
      <w:pPr>
        <w:pStyle w:val="Virsraksts1"/>
        <w:tabs>
          <w:tab w:val="left" w:pos="726"/>
        </w:tabs>
        <w:ind w:left="0" w:firstLine="0"/>
        <w:jc w:val="both"/>
        <w:rPr>
          <w:color w:val="000000" w:themeColor="text1"/>
          <w:sz w:val="24"/>
        </w:rPr>
      </w:pPr>
      <w:bookmarkStart w:id="233" w:name="_Toc73454071"/>
      <w:r>
        <w:rPr>
          <w:color w:val="000000" w:themeColor="text1"/>
          <w:sz w:val="24"/>
        </w:rPr>
        <w:t>PIELIKUMI</w:t>
      </w:r>
      <w:bookmarkStart w:id="234" w:name="_bookmark182"/>
      <w:bookmarkEnd w:id="234"/>
      <w:bookmarkEnd w:id="233"/>
    </w:p>
    <w:p w14:paraId="66FA6681" w14:textId="77777777" w:rsidR="00832657" w:rsidRDefault="00832657" w:rsidP="00993AF1">
      <w:pPr>
        <w:pStyle w:val="Virsraksts1"/>
        <w:tabs>
          <w:tab w:val="left" w:pos="726"/>
        </w:tabs>
        <w:ind w:left="0" w:firstLine="0"/>
        <w:jc w:val="both"/>
        <w:rPr>
          <w:color w:val="000000" w:themeColor="text1"/>
          <w:sz w:val="24"/>
        </w:rPr>
      </w:pPr>
    </w:p>
    <w:p w14:paraId="2A7DACD4" w14:textId="6979212B" w:rsidR="00562491" w:rsidRPr="00993AF1" w:rsidRDefault="00E46F88" w:rsidP="00993AF1">
      <w:pPr>
        <w:pStyle w:val="Virsraksts1"/>
        <w:tabs>
          <w:tab w:val="left" w:pos="726"/>
        </w:tabs>
        <w:ind w:left="0" w:firstLine="0"/>
        <w:jc w:val="both"/>
        <w:rPr>
          <w:color w:val="000000" w:themeColor="text1"/>
          <w:sz w:val="24"/>
        </w:rPr>
      </w:pPr>
      <w:bookmarkStart w:id="235" w:name="_Toc73454072"/>
      <w:r>
        <w:rPr>
          <w:color w:val="000000" w:themeColor="text1"/>
          <w:sz w:val="24"/>
        </w:rPr>
        <w:t>A. PIEAUGUŠO UZŅEMTĀS KALCIJA DEVAS EIROPAS VALSTĪS</w:t>
      </w:r>
      <w:bookmarkStart w:id="236" w:name="_bookmark183"/>
      <w:bookmarkEnd w:id="236"/>
      <w:bookmarkEnd w:id="235"/>
    </w:p>
    <w:p w14:paraId="325C1589" w14:textId="77777777" w:rsidR="00562491" w:rsidRPr="00D91B35" w:rsidRDefault="00562491" w:rsidP="00E03EDE">
      <w:pPr>
        <w:jc w:val="both"/>
        <w:rPr>
          <w:rFonts w:ascii="Times New Roman" w:eastAsia="Times New Roman" w:hAnsi="Times New Roman" w:cs="Times New Roman"/>
          <w:bCs/>
          <w:noProof/>
          <w:color w:val="000000" w:themeColor="text1"/>
          <w:sz w:val="24"/>
          <w:szCs w:val="20"/>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062"/>
        <w:gridCol w:w="730"/>
        <w:gridCol w:w="1020"/>
        <w:gridCol w:w="1045"/>
        <w:gridCol w:w="2639"/>
        <w:gridCol w:w="561"/>
        <w:gridCol w:w="359"/>
        <w:gridCol w:w="563"/>
        <w:gridCol w:w="305"/>
        <w:gridCol w:w="563"/>
        <w:gridCol w:w="1903"/>
        <w:gridCol w:w="677"/>
        <w:gridCol w:w="724"/>
        <w:gridCol w:w="556"/>
        <w:gridCol w:w="677"/>
        <w:gridCol w:w="677"/>
      </w:tblGrid>
      <w:tr w:rsidR="008A656B" w:rsidRPr="001D2342" w14:paraId="1FAFB5B9" w14:textId="77777777" w:rsidTr="00B71487">
        <w:trPr>
          <w:trHeight w:val="590"/>
          <w:tblHeader/>
        </w:trPr>
        <w:tc>
          <w:tcPr>
            <w:tcW w:w="379" w:type="pct"/>
            <w:tcBorders>
              <w:top w:val="single" w:sz="4" w:space="0" w:color="auto"/>
              <w:bottom w:val="single" w:sz="4" w:space="0" w:color="auto"/>
            </w:tcBorders>
            <w:vAlign w:val="bottom"/>
          </w:tcPr>
          <w:p w14:paraId="60615DE1"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Uzturvielu avots</w:t>
            </w:r>
          </w:p>
        </w:tc>
        <w:tc>
          <w:tcPr>
            <w:tcW w:w="261" w:type="pct"/>
            <w:tcBorders>
              <w:top w:val="single" w:sz="4" w:space="0" w:color="auto"/>
              <w:bottom w:val="single" w:sz="4" w:space="0" w:color="auto"/>
            </w:tcBorders>
            <w:vAlign w:val="bottom"/>
          </w:tcPr>
          <w:p w14:paraId="125B73C2"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Dzimums</w:t>
            </w:r>
          </w:p>
        </w:tc>
        <w:tc>
          <w:tcPr>
            <w:tcW w:w="364" w:type="pct"/>
            <w:tcBorders>
              <w:top w:val="single" w:sz="4" w:space="0" w:color="auto"/>
              <w:bottom w:val="single" w:sz="4" w:space="0" w:color="auto"/>
            </w:tcBorders>
            <w:vAlign w:val="bottom"/>
          </w:tcPr>
          <w:p w14:paraId="597485FC"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Valsts</w:t>
            </w:r>
          </w:p>
        </w:tc>
        <w:tc>
          <w:tcPr>
            <w:tcW w:w="373" w:type="pct"/>
            <w:tcBorders>
              <w:top w:val="single" w:sz="4" w:space="0" w:color="auto"/>
              <w:bottom w:val="single" w:sz="4" w:space="0" w:color="auto"/>
            </w:tcBorders>
            <w:vAlign w:val="bottom"/>
          </w:tcPr>
          <w:p w14:paraId="6644EA56"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Atsauces</w:t>
            </w:r>
          </w:p>
        </w:tc>
        <w:tc>
          <w:tcPr>
            <w:tcW w:w="940" w:type="pct"/>
            <w:tcBorders>
              <w:top w:val="single" w:sz="4" w:space="0" w:color="auto"/>
              <w:bottom w:val="single" w:sz="4" w:space="0" w:color="auto"/>
            </w:tcBorders>
            <w:vAlign w:val="bottom"/>
          </w:tcPr>
          <w:p w14:paraId="7CDEE49E"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Uztura novērtēšanas metode</w:t>
            </w:r>
          </w:p>
        </w:tc>
        <w:tc>
          <w:tcPr>
            <w:tcW w:w="201" w:type="pct"/>
            <w:tcBorders>
              <w:top w:val="single" w:sz="4" w:space="0" w:color="auto"/>
              <w:bottom w:val="single" w:sz="4" w:space="0" w:color="auto"/>
            </w:tcBorders>
            <w:vAlign w:val="bottom"/>
          </w:tcPr>
          <w:p w14:paraId="0DF57983"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n (skaits)</w:t>
            </w:r>
          </w:p>
        </w:tc>
        <w:tc>
          <w:tcPr>
            <w:tcW w:w="129" w:type="pct"/>
            <w:tcBorders>
              <w:top w:val="single" w:sz="4" w:space="0" w:color="auto"/>
              <w:bottom w:val="single" w:sz="4" w:space="0" w:color="auto"/>
            </w:tcBorders>
            <w:vAlign w:val="bottom"/>
          </w:tcPr>
          <w:p w14:paraId="1D4350A9" w14:textId="77777777" w:rsidR="008A656B" w:rsidRPr="001D2342" w:rsidRDefault="008A656B" w:rsidP="00851097">
            <w:pPr>
              <w:rPr>
                <w:rFonts w:ascii="Times New Roman" w:hAnsi="Times New Roman" w:cs="Times New Roman"/>
                <w:b/>
                <w:bCs/>
                <w:sz w:val="16"/>
                <w:szCs w:val="16"/>
              </w:rPr>
            </w:pPr>
          </w:p>
        </w:tc>
        <w:tc>
          <w:tcPr>
            <w:tcW w:w="189" w:type="pct"/>
            <w:tcBorders>
              <w:top w:val="single" w:sz="4" w:space="0" w:color="auto"/>
              <w:bottom w:val="single" w:sz="4" w:space="0" w:color="auto"/>
            </w:tcBorders>
            <w:vAlign w:val="bottom"/>
          </w:tcPr>
          <w:p w14:paraId="3A7A3478"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Min. vecums</w:t>
            </w:r>
          </w:p>
        </w:tc>
        <w:tc>
          <w:tcPr>
            <w:tcW w:w="110" w:type="pct"/>
            <w:tcBorders>
              <w:top w:val="single" w:sz="4" w:space="0" w:color="auto"/>
              <w:bottom w:val="single" w:sz="4" w:space="0" w:color="auto"/>
            </w:tcBorders>
            <w:vAlign w:val="bottom"/>
          </w:tcPr>
          <w:p w14:paraId="7D3BA799" w14:textId="77777777" w:rsidR="008A656B" w:rsidRPr="001D2342" w:rsidRDefault="008A656B" w:rsidP="00851097">
            <w:pPr>
              <w:rPr>
                <w:rFonts w:ascii="Times New Roman" w:hAnsi="Times New Roman" w:cs="Times New Roman"/>
                <w:b/>
                <w:bCs/>
                <w:sz w:val="16"/>
                <w:szCs w:val="16"/>
              </w:rPr>
            </w:pPr>
          </w:p>
        </w:tc>
        <w:tc>
          <w:tcPr>
            <w:tcW w:w="192" w:type="pct"/>
            <w:tcBorders>
              <w:top w:val="single" w:sz="4" w:space="0" w:color="auto"/>
              <w:bottom w:val="single" w:sz="4" w:space="0" w:color="auto"/>
            </w:tcBorders>
            <w:vAlign w:val="bottom"/>
          </w:tcPr>
          <w:p w14:paraId="749987C6" w14:textId="77777777" w:rsidR="008A656B" w:rsidRPr="001D2342" w:rsidRDefault="008A656B" w:rsidP="00851097">
            <w:pPr>
              <w:rPr>
                <w:rFonts w:ascii="Times New Roman" w:hAnsi="Times New Roman" w:cs="Times New Roman"/>
                <w:b/>
                <w:bCs/>
                <w:sz w:val="16"/>
                <w:szCs w:val="16"/>
              </w:rPr>
            </w:pPr>
            <w:r>
              <w:rPr>
                <w:rFonts w:ascii="Times New Roman" w:hAnsi="Times New Roman"/>
                <w:b/>
                <w:color w:val="000000" w:themeColor="text1"/>
                <w:sz w:val="16"/>
              </w:rPr>
              <w:t>Maks. vecums</w:t>
            </w:r>
          </w:p>
        </w:tc>
        <w:tc>
          <w:tcPr>
            <w:tcW w:w="678" w:type="pct"/>
            <w:tcBorders>
              <w:top w:val="single" w:sz="4" w:space="0" w:color="auto"/>
              <w:bottom w:val="single" w:sz="4" w:space="0" w:color="auto"/>
            </w:tcBorders>
            <w:vAlign w:val="bottom"/>
          </w:tcPr>
          <w:p w14:paraId="40FAA60C" w14:textId="77777777" w:rsidR="008A656B" w:rsidRPr="001D2342" w:rsidRDefault="008A656B" w:rsidP="00851097">
            <w:pPr>
              <w:rPr>
                <w:rFonts w:ascii="Times New Roman" w:hAnsi="Times New Roman" w:cs="Times New Roman"/>
                <w:b/>
                <w:bCs/>
                <w:sz w:val="16"/>
                <w:szCs w:val="16"/>
              </w:rPr>
            </w:pPr>
            <w:r>
              <w:rPr>
                <w:rFonts w:ascii="Times New Roman" w:hAnsi="Times New Roman"/>
                <w:b/>
                <w:color w:val="000000" w:themeColor="text1"/>
                <w:sz w:val="16"/>
              </w:rPr>
              <w:t>Iedzīvotāji/Bagātināta pārtika iekļauta vai neiekļauta</w:t>
            </w:r>
          </w:p>
        </w:tc>
        <w:tc>
          <w:tcPr>
            <w:tcW w:w="242" w:type="pct"/>
            <w:tcBorders>
              <w:top w:val="single" w:sz="4" w:space="0" w:color="auto"/>
              <w:bottom w:val="single" w:sz="4" w:space="0" w:color="auto"/>
            </w:tcBorders>
            <w:vAlign w:val="bottom"/>
          </w:tcPr>
          <w:p w14:paraId="6AC10295"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Vidējais rādītājs</w:t>
            </w:r>
          </w:p>
        </w:tc>
        <w:tc>
          <w:tcPr>
            <w:tcW w:w="259" w:type="pct"/>
            <w:tcBorders>
              <w:top w:val="single" w:sz="4" w:space="0" w:color="auto"/>
              <w:bottom w:val="single" w:sz="4" w:space="0" w:color="auto"/>
            </w:tcBorders>
            <w:vAlign w:val="bottom"/>
          </w:tcPr>
          <w:p w14:paraId="098D015F"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Mediāna</w:t>
            </w:r>
          </w:p>
        </w:tc>
        <w:tc>
          <w:tcPr>
            <w:tcW w:w="199" w:type="pct"/>
            <w:tcBorders>
              <w:top w:val="single" w:sz="4" w:space="0" w:color="auto"/>
              <w:bottom w:val="single" w:sz="4" w:space="0" w:color="auto"/>
            </w:tcBorders>
            <w:vAlign w:val="bottom"/>
          </w:tcPr>
          <w:p w14:paraId="017A5AEE"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P75</w:t>
            </w:r>
          </w:p>
        </w:tc>
        <w:tc>
          <w:tcPr>
            <w:tcW w:w="242" w:type="pct"/>
            <w:tcBorders>
              <w:top w:val="single" w:sz="4" w:space="0" w:color="auto"/>
              <w:bottom w:val="single" w:sz="4" w:space="0" w:color="auto"/>
            </w:tcBorders>
            <w:vAlign w:val="bottom"/>
          </w:tcPr>
          <w:p w14:paraId="4DFEFF87"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P95</w:t>
            </w:r>
          </w:p>
        </w:tc>
        <w:tc>
          <w:tcPr>
            <w:tcW w:w="243" w:type="pct"/>
            <w:tcBorders>
              <w:top w:val="single" w:sz="4" w:space="0" w:color="auto"/>
              <w:bottom w:val="single" w:sz="4" w:space="0" w:color="auto"/>
            </w:tcBorders>
            <w:vAlign w:val="bottom"/>
          </w:tcPr>
          <w:p w14:paraId="4A9DB82F"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P97.5</w:t>
            </w:r>
          </w:p>
        </w:tc>
      </w:tr>
      <w:tr w:rsidR="008A656B" w:rsidRPr="001D2342" w14:paraId="7F07838E" w14:textId="77777777" w:rsidTr="00851097">
        <w:trPr>
          <w:trHeight w:val="520"/>
        </w:trPr>
        <w:tc>
          <w:tcPr>
            <w:tcW w:w="379" w:type="pct"/>
            <w:tcBorders>
              <w:top w:val="single" w:sz="4" w:space="0" w:color="auto"/>
            </w:tcBorders>
            <w:vAlign w:val="bottom"/>
          </w:tcPr>
          <w:p w14:paraId="32DB3B19"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Pārtika</w:t>
            </w:r>
          </w:p>
        </w:tc>
        <w:tc>
          <w:tcPr>
            <w:tcW w:w="261" w:type="pct"/>
            <w:tcBorders>
              <w:top w:val="single" w:sz="4" w:space="0" w:color="auto"/>
            </w:tcBorders>
            <w:vAlign w:val="bottom"/>
          </w:tcPr>
          <w:p w14:paraId="1F76ED19"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Sievietes</w:t>
            </w:r>
          </w:p>
        </w:tc>
        <w:tc>
          <w:tcPr>
            <w:tcW w:w="364" w:type="pct"/>
            <w:tcBorders>
              <w:top w:val="single" w:sz="4" w:space="0" w:color="auto"/>
            </w:tcBorders>
            <w:vAlign w:val="bottom"/>
          </w:tcPr>
          <w:p w14:paraId="3072A8B5"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Austrija</w:t>
            </w:r>
          </w:p>
        </w:tc>
        <w:tc>
          <w:tcPr>
            <w:tcW w:w="373" w:type="pct"/>
            <w:tcBorders>
              <w:top w:val="single" w:sz="4" w:space="0" w:color="auto"/>
            </w:tcBorders>
            <w:vAlign w:val="bottom"/>
          </w:tcPr>
          <w:p w14:paraId="39BEEC50" w14:textId="77777777" w:rsidR="008A656B" w:rsidRPr="001D2342" w:rsidRDefault="008A656B" w:rsidP="00851097">
            <w:pPr>
              <w:rPr>
                <w:rFonts w:ascii="Times New Roman" w:hAnsi="Times New Roman" w:cs="Times New Roman"/>
                <w:sz w:val="16"/>
                <w:szCs w:val="16"/>
              </w:rPr>
            </w:pPr>
            <w:r>
              <w:rPr>
                <w:rFonts w:ascii="Times New Roman" w:hAnsi="Times New Roman"/>
                <w:color w:val="000000" w:themeColor="text1"/>
                <w:sz w:val="16"/>
              </w:rPr>
              <w:t>(Elmadfa et al., 2009)</w:t>
            </w:r>
          </w:p>
        </w:tc>
        <w:tc>
          <w:tcPr>
            <w:tcW w:w="940" w:type="pct"/>
            <w:tcBorders>
              <w:top w:val="single" w:sz="4" w:space="0" w:color="auto"/>
            </w:tcBorders>
            <w:vAlign w:val="bottom"/>
          </w:tcPr>
          <w:p w14:paraId="6C7C9A9E" w14:textId="77777777" w:rsidR="008A656B" w:rsidRPr="001D2342" w:rsidRDefault="008A656B" w:rsidP="00851097">
            <w:pPr>
              <w:rPr>
                <w:rFonts w:ascii="Times New Roman" w:hAnsi="Times New Roman" w:cs="Times New Roman"/>
                <w:sz w:val="16"/>
                <w:szCs w:val="16"/>
              </w:rPr>
            </w:pPr>
          </w:p>
          <w:p w14:paraId="03448C46" w14:textId="77777777" w:rsidR="008A656B" w:rsidRPr="001D2342" w:rsidRDefault="008A656B" w:rsidP="00851097">
            <w:pPr>
              <w:rPr>
                <w:rFonts w:ascii="Times New Roman" w:hAnsi="Times New Roman" w:cs="Times New Roman"/>
                <w:sz w:val="16"/>
                <w:szCs w:val="16"/>
              </w:rPr>
            </w:pPr>
            <w:r>
              <w:rPr>
                <w:rFonts w:ascii="Times New Roman" w:hAnsi="Times New Roman"/>
                <w:color w:val="000000" w:themeColor="text1"/>
                <w:sz w:val="16"/>
              </w:rPr>
              <w:t xml:space="preserve">24 stundu atcerēšanās anketa </w:t>
            </w:r>
          </w:p>
        </w:tc>
        <w:tc>
          <w:tcPr>
            <w:tcW w:w="201" w:type="pct"/>
            <w:tcBorders>
              <w:top w:val="single" w:sz="4" w:space="0" w:color="auto"/>
            </w:tcBorders>
            <w:vAlign w:val="bottom"/>
          </w:tcPr>
          <w:p w14:paraId="77C60A0E"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426</w:t>
            </w:r>
          </w:p>
        </w:tc>
        <w:tc>
          <w:tcPr>
            <w:tcW w:w="129" w:type="pct"/>
            <w:tcBorders>
              <w:top w:val="single" w:sz="4" w:space="0" w:color="auto"/>
            </w:tcBorders>
            <w:vAlign w:val="bottom"/>
          </w:tcPr>
          <w:p w14:paraId="037CB6E0" w14:textId="77777777" w:rsidR="008A656B" w:rsidRPr="001D2342" w:rsidRDefault="008A656B" w:rsidP="00851097">
            <w:pPr>
              <w:pStyle w:val="TableParagraph"/>
              <w:rPr>
                <w:rFonts w:ascii="Times New Roman" w:eastAsia="Times New Roman" w:hAnsi="Times New Roman" w:cs="Times New Roman"/>
                <w:bCs/>
                <w:noProof/>
                <w:color w:val="000000" w:themeColor="text1"/>
                <w:sz w:val="16"/>
                <w:szCs w:val="16"/>
              </w:rPr>
            </w:pPr>
          </w:p>
          <w:p w14:paraId="62805643" w14:textId="77777777" w:rsidR="008A656B" w:rsidRPr="001D2342" w:rsidRDefault="008A656B" w:rsidP="00851097">
            <w:pPr>
              <w:rPr>
                <w:rFonts w:ascii="Times New Roman" w:hAnsi="Times New Roman" w:cs="Times New Roman"/>
                <w:sz w:val="16"/>
                <w:szCs w:val="16"/>
              </w:rPr>
            </w:pPr>
            <w:r>
              <w:rPr>
                <w:rFonts w:ascii="Times New Roman" w:hAnsi="Times New Roman"/>
                <w:color w:val="000000" w:themeColor="text1"/>
                <w:sz w:val="16"/>
              </w:rPr>
              <w:t>&lt;</w:t>
            </w:r>
          </w:p>
        </w:tc>
        <w:tc>
          <w:tcPr>
            <w:tcW w:w="189" w:type="pct"/>
            <w:tcBorders>
              <w:top w:val="single" w:sz="4" w:space="0" w:color="auto"/>
            </w:tcBorders>
            <w:vAlign w:val="bottom"/>
          </w:tcPr>
          <w:p w14:paraId="707A2C97"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25</w:t>
            </w:r>
          </w:p>
        </w:tc>
        <w:tc>
          <w:tcPr>
            <w:tcW w:w="110" w:type="pct"/>
            <w:tcBorders>
              <w:top w:val="single" w:sz="4" w:space="0" w:color="auto"/>
            </w:tcBorders>
            <w:vAlign w:val="bottom"/>
          </w:tcPr>
          <w:p w14:paraId="1A0D9E69" w14:textId="77777777" w:rsidR="008A656B" w:rsidRPr="001D2342" w:rsidRDefault="008A656B" w:rsidP="00851097">
            <w:pPr>
              <w:pStyle w:val="TableParagraph"/>
              <w:rPr>
                <w:rFonts w:ascii="Times New Roman" w:eastAsia="Times New Roman" w:hAnsi="Times New Roman" w:cs="Times New Roman"/>
                <w:bCs/>
                <w:noProof/>
                <w:color w:val="000000" w:themeColor="text1"/>
                <w:sz w:val="16"/>
                <w:szCs w:val="16"/>
              </w:rPr>
            </w:pPr>
          </w:p>
          <w:p w14:paraId="1782D7DF" w14:textId="77777777" w:rsidR="008A656B" w:rsidRPr="001D2342" w:rsidRDefault="008A656B" w:rsidP="00851097">
            <w:pPr>
              <w:rPr>
                <w:rFonts w:ascii="Times New Roman" w:hAnsi="Times New Roman" w:cs="Times New Roman"/>
                <w:sz w:val="16"/>
                <w:szCs w:val="16"/>
              </w:rPr>
            </w:pPr>
            <w:r>
              <w:rPr>
                <w:rFonts w:ascii="Times New Roman" w:hAnsi="Times New Roman"/>
                <w:color w:val="000000" w:themeColor="text1"/>
                <w:sz w:val="16"/>
              </w:rPr>
              <w:t>&gt;</w:t>
            </w:r>
          </w:p>
        </w:tc>
        <w:tc>
          <w:tcPr>
            <w:tcW w:w="192" w:type="pct"/>
            <w:tcBorders>
              <w:top w:val="single" w:sz="4" w:space="0" w:color="auto"/>
            </w:tcBorders>
            <w:vAlign w:val="bottom"/>
          </w:tcPr>
          <w:p w14:paraId="11A0428F"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35</w:t>
            </w:r>
          </w:p>
        </w:tc>
        <w:tc>
          <w:tcPr>
            <w:tcW w:w="678" w:type="pct"/>
            <w:tcBorders>
              <w:top w:val="single" w:sz="4" w:space="0" w:color="auto"/>
            </w:tcBorders>
            <w:vAlign w:val="bottom"/>
          </w:tcPr>
          <w:p w14:paraId="4C26126F"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Grūtnieces 2. trimestrī</w:t>
            </w:r>
          </w:p>
        </w:tc>
        <w:tc>
          <w:tcPr>
            <w:tcW w:w="242" w:type="pct"/>
            <w:tcBorders>
              <w:top w:val="single" w:sz="4" w:space="0" w:color="auto"/>
            </w:tcBorders>
            <w:vAlign w:val="bottom"/>
          </w:tcPr>
          <w:p w14:paraId="6B9E05C9"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919,0</w:t>
            </w:r>
          </w:p>
        </w:tc>
        <w:tc>
          <w:tcPr>
            <w:tcW w:w="259" w:type="pct"/>
            <w:tcBorders>
              <w:top w:val="single" w:sz="4" w:space="0" w:color="auto"/>
            </w:tcBorders>
            <w:vAlign w:val="bottom"/>
          </w:tcPr>
          <w:p w14:paraId="2850EB94" w14:textId="77777777" w:rsidR="008A656B" w:rsidRPr="001D2342" w:rsidRDefault="008A656B" w:rsidP="00851097">
            <w:pPr>
              <w:rPr>
                <w:rFonts w:ascii="Times New Roman" w:hAnsi="Times New Roman" w:cs="Times New Roman"/>
                <w:sz w:val="16"/>
                <w:szCs w:val="16"/>
              </w:rPr>
            </w:pPr>
          </w:p>
        </w:tc>
        <w:tc>
          <w:tcPr>
            <w:tcW w:w="199" w:type="pct"/>
            <w:tcBorders>
              <w:top w:val="single" w:sz="4" w:space="0" w:color="auto"/>
            </w:tcBorders>
            <w:vAlign w:val="bottom"/>
          </w:tcPr>
          <w:p w14:paraId="436A5479" w14:textId="77777777" w:rsidR="008A656B" w:rsidRPr="001D2342" w:rsidRDefault="008A656B" w:rsidP="00851097">
            <w:pPr>
              <w:rPr>
                <w:rFonts w:ascii="Times New Roman" w:hAnsi="Times New Roman" w:cs="Times New Roman"/>
                <w:sz w:val="16"/>
                <w:szCs w:val="16"/>
              </w:rPr>
            </w:pPr>
          </w:p>
        </w:tc>
        <w:tc>
          <w:tcPr>
            <w:tcW w:w="242" w:type="pct"/>
            <w:tcBorders>
              <w:top w:val="single" w:sz="4" w:space="0" w:color="auto"/>
            </w:tcBorders>
            <w:vAlign w:val="bottom"/>
          </w:tcPr>
          <w:p w14:paraId="61377947" w14:textId="77777777" w:rsidR="008A656B" w:rsidRPr="001D2342" w:rsidRDefault="008A656B" w:rsidP="00851097">
            <w:pPr>
              <w:rPr>
                <w:rFonts w:ascii="Times New Roman" w:hAnsi="Times New Roman" w:cs="Times New Roman"/>
                <w:sz w:val="16"/>
                <w:szCs w:val="16"/>
              </w:rPr>
            </w:pPr>
          </w:p>
        </w:tc>
        <w:tc>
          <w:tcPr>
            <w:tcW w:w="243" w:type="pct"/>
            <w:tcBorders>
              <w:top w:val="single" w:sz="4" w:space="0" w:color="auto"/>
            </w:tcBorders>
            <w:vAlign w:val="bottom"/>
          </w:tcPr>
          <w:p w14:paraId="28347209" w14:textId="77777777" w:rsidR="008A656B" w:rsidRPr="001D2342" w:rsidRDefault="008A656B" w:rsidP="00851097">
            <w:pPr>
              <w:rPr>
                <w:rFonts w:ascii="Times New Roman" w:hAnsi="Times New Roman" w:cs="Times New Roman"/>
                <w:sz w:val="16"/>
                <w:szCs w:val="16"/>
              </w:rPr>
            </w:pPr>
          </w:p>
        </w:tc>
      </w:tr>
      <w:tr w:rsidR="008A656B" w:rsidRPr="001D2342" w14:paraId="1D85043E" w14:textId="77777777" w:rsidTr="00851097">
        <w:trPr>
          <w:trHeight w:val="260"/>
        </w:trPr>
        <w:tc>
          <w:tcPr>
            <w:tcW w:w="379" w:type="pct"/>
            <w:vAlign w:val="bottom"/>
          </w:tcPr>
          <w:p w14:paraId="5E4ED8F1" w14:textId="77777777" w:rsidR="008A656B" w:rsidRPr="001D2342" w:rsidRDefault="008A656B" w:rsidP="00851097">
            <w:pPr>
              <w:rPr>
                <w:rFonts w:ascii="Times New Roman" w:hAnsi="Times New Roman" w:cs="Times New Roman"/>
                <w:sz w:val="16"/>
                <w:szCs w:val="16"/>
              </w:rPr>
            </w:pPr>
          </w:p>
        </w:tc>
        <w:tc>
          <w:tcPr>
            <w:tcW w:w="261" w:type="pct"/>
            <w:vAlign w:val="bottom"/>
          </w:tcPr>
          <w:p w14:paraId="11E58738" w14:textId="77777777" w:rsidR="008A656B" w:rsidRPr="001D2342" w:rsidRDefault="008A656B" w:rsidP="00851097">
            <w:pPr>
              <w:rPr>
                <w:rFonts w:ascii="Times New Roman" w:hAnsi="Times New Roman" w:cs="Times New Roman"/>
                <w:sz w:val="16"/>
                <w:szCs w:val="16"/>
              </w:rPr>
            </w:pPr>
          </w:p>
        </w:tc>
        <w:tc>
          <w:tcPr>
            <w:tcW w:w="364" w:type="pct"/>
            <w:vAlign w:val="bottom"/>
          </w:tcPr>
          <w:p w14:paraId="2D8137E0" w14:textId="77777777" w:rsidR="008A656B" w:rsidRPr="001D2342" w:rsidRDefault="008A656B" w:rsidP="00851097">
            <w:pPr>
              <w:rPr>
                <w:rFonts w:ascii="Times New Roman" w:hAnsi="Times New Roman" w:cs="Times New Roman"/>
                <w:sz w:val="16"/>
                <w:szCs w:val="16"/>
              </w:rPr>
            </w:pPr>
          </w:p>
        </w:tc>
        <w:tc>
          <w:tcPr>
            <w:tcW w:w="373" w:type="pct"/>
            <w:vAlign w:val="bottom"/>
          </w:tcPr>
          <w:p w14:paraId="51495F9F" w14:textId="77777777" w:rsidR="008A656B" w:rsidRPr="001D2342" w:rsidRDefault="008A656B" w:rsidP="00851097">
            <w:pPr>
              <w:rPr>
                <w:rFonts w:ascii="Times New Roman" w:hAnsi="Times New Roman" w:cs="Times New Roman"/>
                <w:sz w:val="16"/>
                <w:szCs w:val="16"/>
              </w:rPr>
            </w:pPr>
          </w:p>
        </w:tc>
        <w:tc>
          <w:tcPr>
            <w:tcW w:w="940" w:type="pct"/>
            <w:vAlign w:val="bottom"/>
          </w:tcPr>
          <w:p w14:paraId="06E62909" w14:textId="77777777" w:rsidR="008A656B" w:rsidRPr="001D2342" w:rsidRDefault="008A656B" w:rsidP="00851097">
            <w:pPr>
              <w:rPr>
                <w:rFonts w:ascii="Times New Roman" w:hAnsi="Times New Roman" w:cs="Times New Roman"/>
                <w:sz w:val="16"/>
                <w:szCs w:val="16"/>
              </w:rPr>
            </w:pPr>
          </w:p>
        </w:tc>
        <w:tc>
          <w:tcPr>
            <w:tcW w:w="201" w:type="pct"/>
            <w:vAlign w:val="bottom"/>
          </w:tcPr>
          <w:p w14:paraId="46C102AE"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76</w:t>
            </w:r>
          </w:p>
        </w:tc>
        <w:tc>
          <w:tcPr>
            <w:tcW w:w="129" w:type="pct"/>
            <w:vAlign w:val="bottom"/>
          </w:tcPr>
          <w:p w14:paraId="7590A0D4" w14:textId="77777777" w:rsidR="008A656B" w:rsidRPr="001D2342" w:rsidRDefault="008A656B" w:rsidP="00851097">
            <w:pPr>
              <w:rPr>
                <w:rFonts w:ascii="Times New Roman" w:hAnsi="Times New Roman" w:cs="Times New Roman"/>
                <w:sz w:val="16"/>
                <w:szCs w:val="16"/>
              </w:rPr>
            </w:pPr>
            <w:r>
              <w:rPr>
                <w:rFonts w:ascii="Times New Roman" w:hAnsi="Times New Roman"/>
                <w:color w:val="000000" w:themeColor="text1"/>
                <w:sz w:val="16"/>
              </w:rPr>
              <w:t>&lt;</w:t>
            </w:r>
          </w:p>
        </w:tc>
        <w:tc>
          <w:tcPr>
            <w:tcW w:w="189" w:type="pct"/>
            <w:vAlign w:val="bottom"/>
          </w:tcPr>
          <w:p w14:paraId="4876DA21"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25</w:t>
            </w:r>
          </w:p>
        </w:tc>
        <w:tc>
          <w:tcPr>
            <w:tcW w:w="110" w:type="pct"/>
            <w:vAlign w:val="bottom"/>
          </w:tcPr>
          <w:p w14:paraId="129AFA3C" w14:textId="77777777" w:rsidR="008A656B" w:rsidRPr="001D2342" w:rsidRDefault="008A656B" w:rsidP="00851097">
            <w:pPr>
              <w:rPr>
                <w:rFonts w:ascii="Times New Roman" w:hAnsi="Times New Roman" w:cs="Times New Roman"/>
                <w:sz w:val="16"/>
                <w:szCs w:val="16"/>
              </w:rPr>
            </w:pPr>
          </w:p>
        </w:tc>
        <w:tc>
          <w:tcPr>
            <w:tcW w:w="192" w:type="pct"/>
            <w:vAlign w:val="bottom"/>
          </w:tcPr>
          <w:p w14:paraId="5E7E85E5"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25</w:t>
            </w:r>
          </w:p>
        </w:tc>
        <w:tc>
          <w:tcPr>
            <w:tcW w:w="678" w:type="pct"/>
            <w:vAlign w:val="bottom"/>
          </w:tcPr>
          <w:p w14:paraId="36E3819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Grūtnieces 2. trimestrī</w:t>
            </w:r>
          </w:p>
        </w:tc>
        <w:tc>
          <w:tcPr>
            <w:tcW w:w="242" w:type="pct"/>
            <w:vAlign w:val="bottom"/>
          </w:tcPr>
          <w:p w14:paraId="50EEC702"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798,0</w:t>
            </w:r>
          </w:p>
        </w:tc>
        <w:tc>
          <w:tcPr>
            <w:tcW w:w="259" w:type="pct"/>
            <w:vAlign w:val="bottom"/>
          </w:tcPr>
          <w:p w14:paraId="73557310" w14:textId="77777777" w:rsidR="008A656B" w:rsidRPr="001D2342" w:rsidRDefault="008A656B" w:rsidP="00851097">
            <w:pPr>
              <w:rPr>
                <w:rFonts w:ascii="Times New Roman" w:hAnsi="Times New Roman" w:cs="Times New Roman"/>
                <w:sz w:val="16"/>
                <w:szCs w:val="16"/>
              </w:rPr>
            </w:pPr>
          </w:p>
        </w:tc>
        <w:tc>
          <w:tcPr>
            <w:tcW w:w="199" w:type="pct"/>
            <w:vAlign w:val="bottom"/>
          </w:tcPr>
          <w:p w14:paraId="302C16C3" w14:textId="77777777" w:rsidR="008A656B" w:rsidRPr="001D2342" w:rsidRDefault="008A656B" w:rsidP="00851097">
            <w:pPr>
              <w:rPr>
                <w:rFonts w:ascii="Times New Roman" w:hAnsi="Times New Roman" w:cs="Times New Roman"/>
                <w:sz w:val="16"/>
                <w:szCs w:val="16"/>
              </w:rPr>
            </w:pPr>
          </w:p>
        </w:tc>
        <w:tc>
          <w:tcPr>
            <w:tcW w:w="242" w:type="pct"/>
            <w:vAlign w:val="bottom"/>
          </w:tcPr>
          <w:p w14:paraId="26720AB0" w14:textId="77777777" w:rsidR="008A656B" w:rsidRPr="001D2342" w:rsidRDefault="008A656B" w:rsidP="00851097">
            <w:pPr>
              <w:rPr>
                <w:rFonts w:ascii="Times New Roman" w:hAnsi="Times New Roman" w:cs="Times New Roman"/>
                <w:sz w:val="16"/>
                <w:szCs w:val="16"/>
              </w:rPr>
            </w:pPr>
          </w:p>
        </w:tc>
        <w:tc>
          <w:tcPr>
            <w:tcW w:w="243" w:type="pct"/>
            <w:vAlign w:val="bottom"/>
          </w:tcPr>
          <w:p w14:paraId="0010BF3C" w14:textId="77777777" w:rsidR="008A656B" w:rsidRPr="001D2342" w:rsidRDefault="008A656B" w:rsidP="00851097">
            <w:pPr>
              <w:rPr>
                <w:rFonts w:ascii="Times New Roman" w:hAnsi="Times New Roman" w:cs="Times New Roman"/>
                <w:sz w:val="16"/>
                <w:szCs w:val="16"/>
              </w:rPr>
            </w:pPr>
          </w:p>
        </w:tc>
      </w:tr>
      <w:tr w:rsidR="008A656B" w:rsidRPr="001D2342" w14:paraId="6A6FA982" w14:textId="77777777" w:rsidTr="00851097">
        <w:trPr>
          <w:trHeight w:val="282"/>
        </w:trPr>
        <w:tc>
          <w:tcPr>
            <w:tcW w:w="379" w:type="pct"/>
            <w:vAlign w:val="bottom"/>
          </w:tcPr>
          <w:p w14:paraId="13006EC8" w14:textId="77777777" w:rsidR="008A656B" w:rsidRPr="001D2342" w:rsidRDefault="008A656B" w:rsidP="00851097">
            <w:pPr>
              <w:rPr>
                <w:rFonts w:ascii="Times New Roman" w:hAnsi="Times New Roman" w:cs="Times New Roman"/>
                <w:sz w:val="16"/>
                <w:szCs w:val="16"/>
              </w:rPr>
            </w:pPr>
          </w:p>
        </w:tc>
        <w:tc>
          <w:tcPr>
            <w:tcW w:w="261" w:type="pct"/>
            <w:vAlign w:val="bottom"/>
          </w:tcPr>
          <w:p w14:paraId="12A6AEDF" w14:textId="77777777" w:rsidR="008A656B" w:rsidRPr="001D2342" w:rsidRDefault="008A656B" w:rsidP="00851097">
            <w:pPr>
              <w:rPr>
                <w:rFonts w:ascii="Times New Roman" w:hAnsi="Times New Roman" w:cs="Times New Roman"/>
                <w:sz w:val="16"/>
                <w:szCs w:val="16"/>
              </w:rPr>
            </w:pPr>
          </w:p>
        </w:tc>
        <w:tc>
          <w:tcPr>
            <w:tcW w:w="364" w:type="pct"/>
            <w:vAlign w:val="bottom"/>
          </w:tcPr>
          <w:p w14:paraId="1F8F6E0A" w14:textId="77777777" w:rsidR="008A656B" w:rsidRPr="001D2342" w:rsidRDefault="008A656B" w:rsidP="00851097">
            <w:pPr>
              <w:rPr>
                <w:rFonts w:ascii="Times New Roman" w:hAnsi="Times New Roman" w:cs="Times New Roman"/>
                <w:sz w:val="16"/>
                <w:szCs w:val="16"/>
              </w:rPr>
            </w:pPr>
          </w:p>
        </w:tc>
        <w:tc>
          <w:tcPr>
            <w:tcW w:w="373" w:type="pct"/>
            <w:vAlign w:val="bottom"/>
          </w:tcPr>
          <w:p w14:paraId="5C7D44FB" w14:textId="77777777" w:rsidR="008A656B" w:rsidRPr="001D2342" w:rsidRDefault="008A656B" w:rsidP="00851097">
            <w:pPr>
              <w:rPr>
                <w:rFonts w:ascii="Times New Roman" w:hAnsi="Times New Roman" w:cs="Times New Roman"/>
                <w:sz w:val="16"/>
                <w:szCs w:val="16"/>
              </w:rPr>
            </w:pPr>
          </w:p>
        </w:tc>
        <w:tc>
          <w:tcPr>
            <w:tcW w:w="940" w:type="pct"/>
            <w:vAlign w:val="bottom"/>
          </w:tcPr>
          <w:p w14:paraId="4CCC38BC" w14:textId="77777777" w:rsidR="008A656B" w:rsidRPr="001D2342" w:rsidRDefault="008A656B" w:rsidP="00851097">
            <w:pPr>
              <w:rPr>
                <w:rFonts w:ascii="Times New Roman" w:hAnsi="Times New Roman" w:cs="Times New Roman"/>
                <w:sz w:val="16"/>
                <w:szCs w:val="16"/>
              </w:rPr>
            </w:pPr>
          </w:p>
        </w:tc>
        <w:tc>
          <w:tcPr>
            <w:tcW w:w="201" w:type="pct"/>
            <w:vAlign w:val="bottom"/>
          </w:tcPr>
          <w:p w14:paraId="51A95F2F"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288</w:t>
            </w:r>
          </w:p>
        </w:tc>
        <w:tc>
          <w:tcPr>
            <w:tcW w:w="129" w:type="pct"/>
            <w:vAlign w:val="bottom"/>
          </w:tcPr>
          <w:p w14:paraId="69B57493" w14:textId="77777777" w:rsidR="008A656B" w:rsidRPr="001D2342" w:rsidRDefault="008A656B" w:rsidP="00851097">
            <w:pPr>
              <w:rPr>
                <w:rFonts w:ascii="Times New Roman" w:hAnsi="Times New Roman" w:cs="Times New Roman"/>
                <w:sz w:val="16"/>
                <w:szCs w:val="16"/>
              </w:rPr>
            </w:pPr>
          </w:p>
        </w:tc>
        <w:tc>
          <w:tcPr>
            <w:tcW w:w="189" w:type="pct"/>
            <w:vAlign w:val="bottom"/>
          </w:tcPr>
          <w:p w14:paraId="714617D2"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25</w:t>
            </w:r>
          </w:p>
        </w:tc>
        <w:tc>
          <w:tcPr>
            <w:tcW w:w="110" w:type="pct"/>
            <w:vAlign w:val="bottom"/>
          </w:tcPr>
          <w:p w14:paraId="290CCD20" w14:textId="77777777" w:rsidR="008A656B" w:rsidRPr="001D2342" w:rsidRDefault="008A656B" w:rsidP="00851097">
            <w:pPr>
              <w:rPr>
                <w:rFonts w:ascii="Times New Roman" w:hAnsi="Times New Roman" w:cs="Times New Roman"/>
                <w:sz w:val="16"/>
                <w:szCs w:val="16"/>
              </w:rPr>
            </w:pPr>
          </w:p>
        </w:tc>
        <w:tc>
          <w:tcPr>
            <w:tcW w:w="192" w:type="pct"/>
            <w:vAlign w:val="bottom"/>
          </w:tcPr>
          <w:p w14:paraId="6B260596"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35</w:t>
            </w:r>
          </w:p>
        </w:tc>
        <w:tc>
          <w:tcPr>
            <w:tcW w:w="678" w:type="pct"/>
            <w:vAlign w:val="bottom"/>
          </w:tcPr>
          <w:p w14:paraId="2CB137D7"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Grūtnieces 2. trimestrī</w:t>
            </w:r>
          </w:p>
        </w:tc>
        <w:tc>
          <w:tcPr>
            <w:tcW w:w="242" w:type="pct"/>
            <w:vAlign w:val="bottom"/>
          </w:tcPr>
          <w:p w14:paraId="25B7FFC2"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919,0</w:t>
            </w:r>
          </w:p>
        </w:tc>
        <w:tc>
          <w:tcPr>
            <w:tcW w:w="259" w:type="pct"/>
            <w:vAlign w:val="bottom"/>
          </w:tcPr>
          <w:p w14:paraId="1EDB8859" w14:textId="77777777" w:rsidR="008A656B" w:rsidRPr="001D2342" w:rsidRDefault="008A656B" w:rsidP="00851097">
            <w:pPr>
              <w:rPr>
                <w:rFonts w:ascii="Times New Roman" w:hAnsi="Times New Roman" w:cs="Times New Roman"/>
                <w:sz w:val="16"/>
                <w:szCs w:val="16"/>
              </w:rPr>
            </w:pPr>
          </w:p>
        </w:tc>
        <w:tc>
          <w:tcPr>
            <w:tcW w:w="199" w:type="pct"/>
            <w:vAlign w:val="bottom"/>
          </w:tcPr>
          <w:p w14:paraId="670A941F" w14:textId="77777777" w:rsidR="008A656B" w:rsidRPr="001D2342" w:rsidRDefault="008A656B" w:rsidP="00851097">
            <w:pPr>
              <w:rPr>
                <w:rFonts w:ascii="Times New Roman" w:hAnsi="Times New Roman" w:cs="Times New Roman"/>
                <w:sz w:val="16"/>
                <w:szCs w:val="16"/>
              </w:rPr>
            </w:pPr>
          </w:p>
        </w:tc>
        <w:tc>
          <w:tcPr>
            <w:tcW w:w="242" w:type="pct"/>
            <w:vAlign w:val="bottom"/>
          </w:tcPr>
          <w:p w14:paraId="1BE168A4" w14:textId="77777777" w:rsidR="008A656B" w:rsidRPr="001D2342" w:rsidRDefault="008A656B" w:rsidP="00851097">
            <w:pPr>
              <w:rPr>
                <w:rFonts w:ascii="Times New Roman" w:hAnsi="Times New Roman" w:cs="Times New Roman"/>
                <w:sz w:val="16"/>
                <w:szCs w:val="16"/>
              </w:rPr>
            </w:pPr>
          </w:p>
        </w:tc>
        <w:tc>
          <w:tcPr>
            <w:tcW w:w="243" w:type="pct"/>
            <w:vAlign w:val="bottom"/>
          </w:tcPr>
          <w:p w14:paraId="31782D53" w14:textId="77777777" w:rsidR="008A656B" w:rsidRPr="001D2342" w:rsidRDefault="008A656B" w:rsidP="00851097">
            <w:pPr>
              <w:rPr>
                <w:rFonts w:ascii="Times New Roman" w:hAnsi="Times New Roman" w:cs="Times New Roman"/>
                <w:sz w:val="16"/>
                <w:szCs w:val="16"/>
              </w:rPr>
            </w:pPr>
          </w:p>
        </w:tc>
      </w:tr>
      <w:tr w:rsidR="008A656B" w:rsidRPr="001D2342" w14:paraId="1FCE602A" w14:textId="77777777" w:rsidTr="00851097">
        <w:trPr>
          <w:trHeight w:val="260"/>
        </w:trPr>
        <w:tc>
          <w:tcPr>
            <w:tcW w:w="379" w:type="pct"/>
            <w:vAlign w:val="bottom"/>
          </w:tcPr>
          <w:p w14:paraId="58C6D0B1" w14:textId="77777777" w:rsidR="008A656B" w:rsidRPr="001D2342" w:rsidRDefault="008A656B" w:rsidP="00851097">
            <w:pPr>
              <w:rPr>
                <w:rFonts w:ascii="Times New Roman" w:hAnsi="Times New Roman" w:cs="Times New Roman"/>
                <w:sz w:val="16"/>
                <w:szCs w:val="16"/>
              </w:rPr>
            </w:pPr>
          </w:p>
        </w:tc>
        <w:tc>
          <w:tcPr>
            <w:tcW w:w="261" w:type="pct"/>
            <w:vAlign w:val="bottom"/>
          </w:tcPr>
          <w:p w14:paraId="5E4108CA" w14:textId="77777777" w:rsidR="008A656B" w:rsidRPr="001D2342" w:rsidRDefault="008A656B" w:rsidP="00851097">
            <w:pPr>
              <w:rPr>
                <w:rFonts w:ascii="Times New Roman" w:hAnsi="Times New Roman" w:cs="Times New Roman"/>
                <w:sz w:val="16"/>
                <w:szCs w:val="16"/>
              </w:rPr>
            </w:pPr>
          </w:p>
        </w:tc>
        <w:tc>
          <w:tcPr>
            <w:tcW w:w="364" w:type="pct"/>
            <w:vAlign w:val="bottom"/>
          </w:tcPr>
          <w:p w14:paraId="7FFB1C33" w14:textId="77777777" w:rsidR="008A656B" w:rsidRPr="001D2342" w:rsidRDefault="008A656B" w:rsidP="00851097">
            <w:pPr>
              <w:rPr>
                <w:rFonts w:ascii="Times New Roman" w:hAnsi="Times New Roman" w:cs="Times New Roman"/>
                <w:sz w:val="16"/>
                <w:szCs w:val="16"/>
              </w:rPr>
            </w:pPr>
          </w:p>
        </w:tc>
        <w:tc>
          <w:tcPr>
            <w:tcW w:w="373" w:type="pct"/>
            <w:vAlign w:val="bottom"/>
          </w:tcPr>
          <w:p w14:paraId="5F75C32B" w14:textId="77777777" w:rsidR="008A656B" w:rsidRPr="001D2342" w:rsidRDefault="008A656B" w:rsidP="00851097">
            <w:pPr>
              <w:rPr>
                <w:rFonts w:ascii="Times New Roman" w:hAnsi="Times New Roman" w:cs="Times New Roman"/>
                <w:sz w:val="16"/>
                <w:szCs w:val="16"/>
              </w:rPr>
            </w:pPr>
          </w:p>
        </w:tc>
        <w:tc>
          <w:tcPr>
            <w:tcW w:w="940" w:type="pct"/>
            <w:vAlign w:val="bottom"/>
          </w:tcPr>
          <w:p w14:paraId="43CD1F2A" w14:textId="77777777" w:rsidR="008A656B" w:rsidRPr="001D2342" w:rsidRDefault="008A656B" w:rsidP="00851097">
            <w:pPr>
              <w:rPr>
                <w:rFonts w:ascii="Times New Roman" w:hAnsi="Times New Roman" w:cs="Times New Roman"/>
                <w:sz w:val="16"/>
                <w:szCs w:val="16"/>
              </w:rPr>
            </w:pPr>
          </w:p>
        </w:tc>
        <w:tc>
          <w:tcPr>
            <w:tcW w:w="201" w:type="pct"/>
            <w:vAlign w:val="bottom"/>
          </w:tcPr>
          <w:p w14:paraId="2F31603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62</w:t>
            </w:r>
          </w:p>
        </w:tc>
        <w:tc>
          <w:tcPr>
            <w:tcW w:w="129" w:type="pct"/>
            <w:vAlign w:val="bottom"/>
          </w:tcPr>
          <w:p w14:paraId="14458656" w14:textId="77777777" w:rsidR="008A656B" w:rsidRPr="001D2342" w:rsidRDefault="008A656B" w:rsidP="00851097">
            <w:pPr>
              <w:rPr>
                <w:rFonts w:ascii="Times New Roman" w:hAnsi="Times New Roman" w:cs="Times New Roman"/>
                <w:sz w:val="16"/>
                <w:szCs w:val="16"/>
              </w:rPr>
            </w:pPr>
          </w:p>
        </w:tc>
        <w:tc>
          <w:tcPr>
            <w:tcW w:w="189" w:type="pct"/>
            <w:vAlign w:val="bottom"/>
          </w:tcPr>
          <w:p w14:paraId="4A3F4EF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35</w:t>
            </w:r>
          </w:p>
        </w:tc>
        <w:tc>
          <w:tcPr>
            <w:tcW w:w="110" w:type="pct"/>
            <w:vAlign w:val="bottom"/>
          </w:tcPr>
          <w:p w14:paraId="79C5E6CB" w14:textId="77777777" w:rsidR="008A656B" w:rsidRPr="001D2342" w:rsidRDefault="008A656B" w:rsidP="00851097">
            <w:pPr>
              <w:rPr>
                <w:rFonts w:ascii="Times New Roman" w:hAnsi="Times New Roman" w:cs="Times New Roman"/>
                <w:sz w:val="16"/>
                <w:szCs w:val="16"/>
              </w:rPr>
            </w:pPr>
            <w:r>
              <w:rPr>
                <w:rFonts w:ascii="Times New Roman" w:hAnsi="Times New Roman"/>
                <w:color w:val="000000" w:themeColor="text1"/>
                <w:sz w:val="16"/>
              </w:rPr>
              <w:t>&gt;</w:t>
            </w:r>
          </w:p>
        </w:tc>
        <w:tc>
          <w:tcPr>
            <w:tcW w:w="192" w:type="pct"/>
            <w:vAlign w:val="bottom"/>
          </w:tcPr>
          <w:p w14:paraId="3834045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35</w:t>
            </w:r>
          </w:p>
        </w:tc>
        <w:tc>
          <w:tcPr>
            <w:tcW w:w="678" w:type="pct"/>
            <w:vAlign w:val="bottom"/>
          </w:tcPr>
          <w:p w14:paraId="3E983F20"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Grūtnieces 2. trimestrī</w:t>
            </w:r>
          </w:p>
        </w:tc>
        <w:tc>
          <w:tcPr>
            <w:tcW w:w="242" w:type="pct"/>
            <w:vAlign w:val="bottom"/>
          </w:tcPr>
          <w:p w14:paraId="71BA7235"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1 078,0</w:t>
            </w:r>
          </w:p>
        </w:tc>
        <w:tc>
          <w:tcPr>
            <w:tcW w:w="259" w:type="pct"/>
            <w:vAlign w:val="bottom"/>
          </w:tcPr>
          <w:p w14:paraId="18BC5551" w14:textId="77777777" w:rsidR="008A656B" w:rsidRPr="001D2342" w:rsidRDefault="008A656B" w:rsidP="00851097">
            <w:pPr>
              <w:rPr>
                <w:rFonts w:ascii="Times New Roman" w:hAnsi="Times New Roman" w:cs="Times New Roman"/>
                <w:sz w:val="16"/>
                <w:szCs w:val="16"/>
              </w:rPr>
            </w:pPr>
          </w:p>
        </w:tc>
        <w:tc>
          <w:tcPr>
            <w:tcW w:w="199" w:type="pct"/>
            <w:vAlign w:val="bottom"/>
          </w:tcPr>
          <w:p w14:paraId="0C21B3DC" w14:textId="77777777" w:rsidR="008A656B" w:rsidRPr="001D2342" w:rsidRDefault="008A656B" w:rsidP="00851097">
            <w:pPr>
              <w:rPr>
                <w:rFonts w:ascii="Times New Roman" w:hAnsi="Times New Roman" w:cs="Times New Roman"/>
                <w:sz w:val="16"/>
                <w:szCs w:val="16"/>
              </w:rPr>
            </w:pPr>
          </w:p>
        </w:tc>
        <w:tc>
          <w:tcPr>
            <w:tcW w:w="242" w:type="pct"/>
            <w:vAlign w:val="bottom"/>
          </w:tcPr>
          <w:p w14:paraId="03FDB194" w14:textId="77777777" w:rsidR="008A656B" w:rsidRPr="001D2342" w:rsidRDefault="008A656B" w:rsidP="00851097">
            <w:pPr>
              <w:rPr>
                <w:rFonts w:ascii="Times New Roman" w:hAnsi="Times New Roman" w:cs="Times New Roman"/>
                <w:sz w:val="16"/>
                <w:szCs w:val="16"/>
              </w:rPr>
            </w:pPr>
          </w:p>
        </w:tc>
        <w:tc>
          <w:tcPr>
            <w:tcW w:w="243" w:type="pct"/>
            <w:vAlign w:val="bottom"/>
          </w:tcPr>
          <w:p w14:paraId="36922626" w14:textId="77777777" w:rsidR="008A656B" w:rsidRPr="001D2342" w:rsidRDefault="008A656B" w:rsidP="00851097">
            <w:pPr>
              <w:rPr>
                <w:rFonts w:ascii="Times New Roman" w:hAnsi="Times New Roman" w:cs="Times New Roman"/>
                <w:sz w:val="16"/>
                <w:szCs w:val="16"/>
              </w:rPr>
            </w:pPr>
          </w:p>
        </w:tc>
      </w:tr>
      <w:tr w:rsidR="008A656B" w:rsidRPr="001D2342" w14:paraId="6C2EE134" w14:textId="77777777" w:rsidTr="00851097">
        <w:trPr>
          <w:trHeight w:val="520"/>
        </w:trPr>
        <w:tc>
          <w:tcPr>
            <w:tcW w:w="379" w:type="pct"/>
            <w:vAlign w:val="bottom"/>
          </w:tcPr>
          <w:p w14:paraId="4B4BF55D" w14:textId="77777777" w:rsidR="008A656B" w:rsidRPr="001D2342" w:rsidRDefault="008A656B" w:rsidP="00851097">
            <w:pPr>
              <w:rPr>
                <w:rFonts w:ascii="Times New Roman" w:hAnsi="Times New Roman" w:cs="Times New Roman"/>
                <w:sz w:val="16"/>
                <w:szCs w:val="16"/>
              </w:rPr>
            </w:pPr>
          </w:p>
        </w:tc>
        <w:tc>
          <w:tcPr>
            <w:tcW w:w="261" w:type="pct"/>
            <w:vAlign w:val="bottom"/>
          </w:tcPr>
          <w:p w14:paraId="3C10BCEA" w14:textId="77777777" w:rsidR="008A656B" w:rsidRPr="001D2342" w:rsidRDefault="008A656B" w:rsidP="00851097">
            <w:pPr>
              <w:rPr>
                <w:rFonts w:ascii="Times New Roman" w:hAnsi="Times New Roman" w:cs="Times New Roman"/>
                <w:sz w:val="16"/>
                <w:szCs w:val="16"/>
              </w:rPr>
            </w:pPr>
          </w:p>
        </w:tc>
        <w:tc>
          <w:tcPr>
            <w:tcW w:w="364" w:type="pct"/>
            <w:vAlign w:val="bottom"/>
          </w:tcPr>
          <w:p w14:paraId="692C2576"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Dānija</w:t>
            </w:r>
          </w:p>
        </w:tc>
        <w:tc>
          <w:tcPr>
            <w:tcW w:w="373" w:type="pct"/>
            <w:vAlign w:val="bottom"/>
          </w:tcPr>
          <w:p w14:paraId="5DA61282"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(Pedersen et al., 2010)</w:t>
            </w:r>
          </w:p>
        </w:tc>
        <w:tc>
          <w:tcPr>
            <w:tcW w:w="940" w:type="pct"/>
            <w:vAlign w:val="bottom"/>
          </w:tcPr>
          <w:p w14:paraId="4720DB9E" w14:textId="77777777" w:rsidR="008A656B" w:rsidRPr="001D2342" w:rsidRDefault="008A656B" w:rsidP="00851097">
            <w:pPr>
              <w:pStyle w:val="Default"/>
              <w:rPr>
                <w:sz w:val="16"/>
                <w:szCs w:val="16"/>
              </w:rPr>
            </w:pPr>
            <w:r>
              <w:rPr>
                <w:sz w:val="16"/>
              </w:rPr>
              <w:t>7 dienu uztura pieraksts (dati savākti 2003.–2008. gadā)</w:t>
            </w:r>
          </w:p>
        </w:tc>
        <w:tc>
          <w:tcPr>
            <w:tcW w:w="201" w:type="pct"/>
            <w:vAlign w:val="bottom"/>
          </w:tcPr>
          <w:p w14:paraId="529626C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150</w:t>
            </w:r>
          </w:p>
        </w:tc>
        <w:tc>
          <w:tcPr>
            <w:tcW w:w="129" w:type="pct"/>
            <w:vAlign w:val="bottom"/>
          </w:tcPr>
          <w:p w14:paraId="655B3740" w14:textId="77777777" w:rsidR="008A656B" w:rsidRPr="001D2342" w:rsidRDefault="008A656B" w:rsidP="00851097">
            <w:pPr>
              <w:rPr>
                <w:rFonts w:ascii="Times New Roman" w:hAnsi="Times New Roman" w:cs="Times New Roman"/>
                <w:sz w:val="16"/>
                <w:szCs w:val="16"/>
              </w:rPr>
            </w:pPr>
          </w:p>
        </w:tc>
        <w:tc>
          <w:tcPr>
            <w:tcW w:w="189" w:type="pct"/>
            <w:vAlign w:val="bottom"/>
          </w:tcPr>
          <w:p w14:paraId="7763759A"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18</w:t>
            </w:r>
          </w:p>
        </w:tc>
        <w:tc>
          <w:tcPr>
            <w:tcW w:w="110" w:type="pct"/>
            <w:vAlign w:val="bottom"/>
          </w:tcPr>
          <w:p w14:paraId="3DA38F9A" w14:textId="77777777" w:rsidR="008A656B" w:rsidRPr="001D2342" w:rsidRDefault="008A656B" w:rsidP="00851097">
            <w:pPr>
              <w:rPr>
                <w:rFonts w:ascii="Times New Roman" w:hAnsi="Times New Roman" w:cs="Times New Roman"/>
                <w:sz w:val="16"/>
                <w:szCs w:val="16"/>
              </w:rPr>
            </w:pPr>
          </w:p>
        </w:tc>
        <w:tc>
          <w:tcPr>
            <w:tcW w:w="192" w:type="pct"/>
            <w:vAlign w:val="bottom"/>
          </w:tcPr>
          <w:p w14:paraId="46C8EE1F"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24</w:t>
            </w:r>
          </w:p>
        </w:tc>
        <w:tc>
          <w:tcPr>
            <w:tcW w:w="678" w:type="pct"/>
            <w:vAlign w:val="bottom"/>
          </w:tcPr>
          <w:p w14:paraId="2563F9AC" w14:textId="77777777" w:rsidR="008A656B" w:rsidRPr="001D2342" w:rsidRDefault="008A656B" w:rsidP="00851097">
            <w:pPr>
              <w:rPr>
                <w:rFonts w:ascii="Times New Roman" w:hAnsi="Times New Roman" w:cs="Times New Roman"/>
                <w:sz w:val="16"/>
                <w:szCs w:val="16"/>
              </w:rPr>
            </w:pPr>
          </w:p>
        </w:tc>
        <w:tc>
          <w:tcPr>
            <w:tcW w:w="242" w:type="pct"/>
            <w:vAlign w:val="bottom"/>
          </w:tcPr>
          <w:p w14:paraId="076E103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1 040</w:t>
            </w:r>
          </w:p>
        </w:tc>
        <w:tc>
          <w:tcPr>
            <w:tcW w:w="259" w:type="pct"/>
            <w:vAlign w:val="bottom"/>
          </w:tcPr>
          <w:p w14:paraId="24716B9F" w14:textId="77777777" w:rsidR="008A656B" w:rsidRPr="001D2342" w:rsidRDefault="008A656B" w:rsidP="00851097">
            <w:pPr>
              <w:rPr>
                <w:rFonts w:ascii="Times New Roman" w:hAnsi="Times New Roman" w:cs="Times New Roman"/>
                <w:sz w:val="16"/>
                <w:szCs w:val="16"/>
              </w:rPr>
            </w:pPr>
          </w:p>
        </w:tc>
        <w:tc>
          <w:tcPr>
            <w:tcW w:w="199" w:type="pct"/>
            <w:vAlign w:val="bottom"/>
          </w:tcPr>
          <w:p w14:paraId="2E3A717A" w14:textId="77777777" w:rsidR="008A656B" w:rsidRPr="001D2342" w:rsidRDefault="008A656B" w:rsidP="00851097">
            <w:pPr>
              <w:rPr>
                <w:rFonts w:ascii="Times New Roman" w:hAnsi="Times New Roman" w:cs="Times New Roman"/>
                <w:sz w:val="16"/>
                <w:szCs w:val="16"/>
              </w:rPr>
            </w:pPr>
          </w:p>
        </w:tc>
        <w:tc>
          <w:tcPr>
            <w:tcW w:w="242" w:type="pct"/>
            <w:vAlign w:val="bottom"/>
          </w:tcPr>
          <w:p w14:paraId="13203070"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1 619,0</w:t>
            </w:r>
          </w:p>
        </w:tc>
        <w:tc>
          <w:tcPr>
            <w:tcW w:w="243" w:type="pct"/>
            <w:vAlign w:val="bottom"/>
          </w:tcPr>
          <w:p w14:paraId="54EEE75E" w14:textId="77777777" w:rsidR="008A656B" w:rsidRPr="001D2342" w:rsidRDefault="008A656B" w:rsidP="00851097">
            <w:pPr>
              <w:rPr>
                <w:rFonts w:ascii="Times New Roman" w:hAnsi="Times New Roman" w:cs="Times New Roman"/>
                <w:sz w:val="16"/>
                <w:szCs w:val="16"/>
              </w:rPr>
            </w:pPr>
          </w:p>
        </w:tc>
      </w:tr>
      <w:tr w:rsidR="008A656B" w:rsidRPr="001D2342" w14:paraId="78FCF607" w14:textId="77777777" w:rsidTr="00851097">
        <w:trPr>
          <w:trHeight w:val="282"/>
        </w:trPr>
        <w:tc>
          <w:tcPr>
            <w:tcW w:w="379" w:type="pct"/>
            <w:vAlign w:val="bottom"/>
          </w:tcPr>
          <w:p w14:paraId="5D8282D9" w14:textId="77777777" w:rsidR="008A656B" w:rsidRPr="001D2342" w:rsidRDefault="008A656B" w:rsidP="00851097">
            <w:pPr>
              <w:rPr>
                <w:rFonts w:ascii="Times New Roman" w:hAnsi="Times New Roman" w:cs="Times New Roman"/>
                <w:sz w:val="16"/>
                <w:szCs w:val="16"/>
              </w:rPr>
            </w:pPr>
          </w:p>
        </w:tc>
        <w:tc>
          <w:tcPr>
            <w:tcW w:w="261" w:type="pct"/>
            <w:vAlign w:val="bottom"/>
          </w:tcPr>
          <w:p w14:paraId="72E29B84" w14:textId="77777777" w:rsidR="008A656B" w:rsidRPr="001D2342" w:rsidRDefault="008A656B" w:rsidP="00851097">
            <w:pPr>
              <w:rPr>
                <w:rFonts w:ascii="Times New Roman" w:hAnsi="Times New Roman" w:cs="Times New Roman"/>
                <w:sz w:val="16"/>
                <w:szCs w:val="16"/>
              </w:rPr>
            </w:pPr>
          </w:p>
        </w:tc>
        <w:tc>
          <w:tcPr>
            <w:tcW w:w="364" w:type="pct"/>
            <w:vAlign w:val="bottom"/>
          </w:tcPr>
          <w:p w14:paraId="7A750B3D" w14:textId="77777777" w:rsidR="008A656B" w:rsidRPr="001D2342" w:rsidRDefault="008A656B" w:rsidP="00851097">
            <w:pPr>
              <w:rPr>
                <w:rFonts w:ascii="Times New Roman" w:hAnsi="Times New Roman" w:cs="Times New Roman"/>
                <w:sz w:val="16"/>
                <w:szCs w:val="16"/>
              </w:rPr>
            </w:pPr>
          </w:p>
        </w:tc>
        <w:tc>
          <w:tcPr>
            <w:tcW w:w="373" w:type="pct"/>
            <w:vAlign w:val="bottom"/>
          </w:tcPr>
          <w:p w14:paraId="773D1FC3" w14:textId="77777777" w:rsidR="008A656B" w:rsidRPr="001D2342" w:rsidRDefault="008A656B" w:rsidP="00851097">
            <w:pPr>
              <w:rPr>
                <w:rFonts w:ascii="Times New Roman" w:hAnsi="Times New Roman" w:cs="Times New Roman"/>
                <w:sz w:val="16"/>
                <w:szCs w:val="16"/>
              </w:rPr>
            </w:pPr>
          </w:p>
        </w:tc>
        <w:tc>
          <w:tcPr>
            <w:tcW w:w="940" w:type="pct"/>
            <w:vAlign w:val="bottom"/>
          </w:tcPr>
          <w:p w14:paraId="7EF87EBC" w14:textId="77777777" w:rsidR="008A656B" w:rsidRPr="001D2342" w:rsidRDefault="008A656B" w:rsidP="00851097">
            <w:pPr>
              <w:rPr>
                <w:rFonts w:ascii="Times New Roman" w:hAnsi="Times New Roman" w:cs="Times New Roman"/>
                <w:sz w:val="16"/>
                <w:szCs w:val="16"/>
              </w:rPr>
            </w:pPr>
          </w:p>
        </w:tc>
        <w:tc>
          <w:tcPr>
            <w:tcW w:w="201" w:type="pct"/>
            <w:vAlign w:val="bottom"/>
          </w:tcPr>
          <w:p w14:paraId="1E22FF17"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340</w:t>
            </w:r>
          </w:p>
        </w:tc>
        <w:tc>
          <w:tcPr>
            <w:tcW w:w="129" w:type="pct"/>
            <w:vAlign w:val="bottom"/>
          </w:tcPr>
          <w:p w14:paraId="3FA0D485" w14:textId="77777777" w:rsidR="008A656B" w:rsidRPr="001D2342" w:rsidRDefault="008A656B" w:rsidP="00851097">
            <w:pPr>
              <w:rPr>
                <w:rFonts w:ascii="Times New Roman" w:hAnsi="Times New Roman" w:cs="Times New Roman"/>
                <w:sz w:val="16"/>
                <w:szCs w:val="16"/>
              </w:rPr>
            </w:pPr>
          </w:p>
        </w:tc>
        <w:tc>
          <w:tcPr>
            <w:tcW w:w="189" w:type="pct"/>
            <w:vAlign w:val="bottom"/>
          </w:tcPr>
          <w:p w14:paraId="1805D0E1"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25</w:t>
            </w:r>
          </w:p>
        </w:tc>
        <w:tc>
          <w:tcPr>
            <w:tcW w:w="110" w:type="pct"/>
            <w:vAlign w:val="bottom"/>
          </w:tcPr>
          <w:p w14:paraId="322B040F" w14:textId="77777777" w:rsidR="008A656B" w:rsidRPr="001D2342" w:rsidRDefault="008A656B" w:rsidP="00851097">
            <w:pPr>
              <w:rPr>
                <w:rFonts w:ascii="Times New Roman" w:hAnsi="Times New Roman" w:cs="Times New Roman"/>
                <w:sz w:val="16"/>
                <w:szCs w:val="16"/>
              </w:rPr>
            </w:pPr>
          </w:p>
        </w:tc>
        <w:tc>
          <w:tcPr>
            <w:tcW w:w="192" w:type="pct"/>
            <w:vAlign w:val="bottom"/>
          </w:tcPr>
          <w:p w14:paraId="37476F65"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34</w:t>
            </w:r>
          </w:p>
        </w:tc>
        <w:tc>
          <w:tcPr>
            <w:tcW w:w="678" w:type="pct"/>
            <w:vAlign w:val="bottom"/>
          </w:tcPr>
          <w:p w14:paraId="4A893528" w14:textId="77777777" w:rsidR="008A656B" w:rsidRPr="001D2342" w:rsidRDefault="008A656B" w:rsidP="00851097">
            <w:pPr>
              <w:rPr>
                <w:rFonts w:ascii="Times New Roman" w:hAnsi="Times New Roman" w:cs="Times New Roman"/>
                <w:sz w:val="16"/>
                <w:szCs w:val="16"/>
              </w:rPr>
            </w:pPr>
          </w:p>
        </w:tc>
        <w:tc>
          <w:tcPr>
            <w:tcW w:w="242" w:type="pct"/>
            <w:vAlign w:val="bottom"/>
          </w:tcPr>
          <w:p w14:paraId="0CC9139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1 106</w:t>
            </w:r>
          </w:p>
        </w:tc>
        <w:tc>
          <w:tcPr>
            <w:tcW w:w="259" w:type="pct"/>
            <w:vAlign w:val="bottom"/>
          </w:tcPr>
          <w:p w14:paraId="1901CD25" w14:textId="77777777" w:rsidR="008A656B" w:rsidRPr="001D2342" w:rsidRDefault="008A656B" w:rsidP="00851097">
            <w:pPr>
              <w:rPr>
                <w:rFonts w:ascii="Times New Roman" w:hAnsi="Times New Roman" w:cs="Times New Roman"/>
                <w:sz w:val="16"/>
                <w:szCs w:val="16"/>
              </w:rPr>
            </w:pPr>
          </w:p>
        </w:tc>
        <w:tc>
          <w:tcPr>
            <w:tcW w:w="199" w:type="pct"/>
            <w:vAlign w:val="bottom"/>
          </w:tcPr>
          <w:p w14:paraId="7527C1E1" w14:textId="77777777" w:rsidR="008A656B" w:rsidRPr="001D2342" w:rsidRDefault="008A656B" w:rsidP="00851097">
            <w:pPr>
              <w:rPr>
                <w:rFonts w:ascii="Times New Roman" w:hAnsi="Times New Roman" w:cs="Times New Roman"/>
                <w:sz w:val="16"/>
                <w:szCs w:val="16"/>
              </w:rPr>
            </w:pPr>
          </w:p>
        </w:tc>
        <w:tc>
          <w:tcPr>
            <w:tcW w:w="242" w:type="pct"/>
            <w:vAlign w:val="bottom"/>
          </w:tcPr>
          <w:p w14:paraId="1145D2D9"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1 843,0</w:t>
            </w:r>
          </w:p>
        </w:tc>
        <w:tc>
          <w:tcPr>
            <w:tcW w:w="243" w:type="pct"/>
            <w:vAlign w:val="bottom"/>
          </w:tcPr>
          <w:p w14:paraId="3EB676EB" w14:textId="77777777" w:rsidR="008A656B" w:rsidRPr="001D2342" w:rsidRDefault="008A656B" w:rsidP="00851097">
            <w:pPr>
              <w:rPr>
                <w:rFonts w:ascii="Times New Roman" w:hAnsi="Times New Roman" w:cs="Times New Roman"/>
                <w:sz w:val="16"/>
                <w:szCs w:val="16"/>
              </w:rPr>
            </w:pPr>
          </w:p>
        </w:tc>
      </w:tr>
      <w:tr w:rsidR="008A656B" w:rsidRPr="001D2342" w14:paraId="65D6C9F8" w14:textId="77777777" w:rsidTr="00851097">
        <w:trPr>
          <w:trHeight w:val="260"/>
        </w:trPr>
        <w:tc>
          <w:tcPr>
            <w:tcW w:w="379" w:type="pct"/>
            <w:vAlign w:val="bottom"/>
          </w:tcPr>
          <w:p w14:paraId="1B775086" w14:textId="77777777" w:rsidR="008A656B" w:rsidRPr="001D2342" w:rsidRDefault="008A656B" w:rsidP="00851097">
            <w:pPr>
              <w:rPr>
                <w:rFonts w:ascii="Times New Roman" w:hAnsi="Times New Roman" w:cs="Times New Roman"/>
                <w:sz w:val="16"/>
                <w:szCs w:val="16"/>
              </w:rPr>
            </w:pPr>
          </w:p>
        </w:tc>
        <w:tc>
          <w:tcPr>
            <w:tcW w:w="261" w:type="pct"/>
            <w:vAlign w:val="bottom"/>
          </w:tcPr>
          <w:p w14:paraId="4B58E066" w14:textId="77777777" w:rsidR="008A656B" w:rsidRPr="001D2342" w:rsidRDefault="008A656B" w:rsidP="00851097">
            <w:pPr>
              <w:rPr>
                <w:rFonts w:ascii="Times New Roman" w:hAnsi="Times New Roman" w:cs="Times New Roman"/>
                <w:sz w:val="16"/>
                <w:szCs w:val="16"/>
              </w:rPr>
            </w:pPr>
          </w:p>
        </w:tc>
        <w:tc>
          <w:tcPr>
            <w:tcW w:w="364" w:type="pct"/>
            <w:vAlign w:val="bottom"/>
          </w:tcPr>
          <w:p w14:paraId="2BA579FB" w14:textId="77777777" w:rsidR="008A656B" w:rsidRPr="001D2342" w:rsidRDefault="008A656B" w:rsidP="00851097">
            <w:pPr>
              <w:rPr>
                <w:rFonts w:ascii="Times New Roman" w:hAnsi="Times New Roman" w:cs="Times New Roman"/>
                <w:sz w:val="16"/>
                <w:szCs w:val="16"/>
              </w:rPr>
            </w:pPr>
          </w:p>
        </w:tc>
        <w:tc>
          <w:tcPr>
            <w:tcW w:w="373" w:type="pct"/>
            <w:vAlign w:val="bottom"/>
          </w:tcPr>
          <w:p w14:paraId="06454C42" w14:textId="77777777" w:rsidR="008A656B" w:rsidRPr="001D2342" w:rsidRDefault="008A656B" w:rsidP="00851097">
            <w:pPr>
              <w:rPr>
                <w:rFonts w:ascii="Times New Roman" w:hAnsi="Times New Roman" w:cs="Times New Roman"/>
                <w:sz w:val="16"/>
                <w:szCs w:val="16"/>
              </w:rPr>
            </w:pPr>
          </w:p>
        </w:tc>
        <w:tc>
          <w:tcPr>
            <w:tcW w:w="940" w:type="pct"/>
            <w:vAlign w:val="bottom"/>
          </w:tcPr>
          <w:p w14:paraId="2B8B2AB0" w14:textId="77777777" w:rsidR="008A656B" w:rsidRPr="001D2342" w:rsidRDefault="008A656B" w:rsidP="00851097">
            <w:pPr>
              <w:rPr>
                <w:rFonts w:ascii="Times New Roman" w:hAnsi="Times New Roman" w:cs="Times New Roman"/>
                <w:sz w:val="16"/>
                <w:szCs w:val="16"/>
              </w:rPr>
            </w:pPr>
          </w:p>
        </w:tc>
        <w:tc>
          <w:tcPr>
            <w:tcW w:w="201" w:type="pct"/>
            <w:vAlign w:val="bottom"/>
          </w:tcPr>
          <w:p w14:paraId="14F169F2"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412</w:t>
            </w:r>
          </w:p>
        </w:tc>
        <w:tc>
          <w:tcPr>
            <w:tcW w:w="129" w:type="pct"/>
            <w:vAlign w:val="bottom"/>
          </w:tcPr>
          <w:p w14:paraId="0C7A31BF" w14:textId="77777777" w:rsidR="008A656B" w:rsidRPr="001D2342" w:rsidRDefault="008A656B" w:rsidP="00851097">
            <w:pPr>
              <w:rPr>
                <w:rFonts w:ascii="Times New Roman" w:hAnsi="Times New Roman" w:cs="Times New Roman"/>
                <w:sz w:val="16"/>
                <w:szCs w:val="16"/>
              </w:rPr>
            </w:pPr>
          </w:p>
        </w:tc>
        <w:tc>
          <w:tcPr>
            <w:tcW w:w="189" w:type="pct"/>
            <w:vAlign w:val="bottom"/>
          </w:tcPr>
          <w:p w14:paraId="46D33524"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35</w:t>
            </w:r>
          </w:p>
        </w:tc>
        <w:tc>
          <w:tcPr>
            <w:tcW w:w="110" w:type="pct"/>
            <w:vAlign w:val="bottom"/>
          </w:tcPr>
          <w:p w14:paraId="2FAA8E3B" w14:textId="77777777" w:rsidR="008A656B" w:rsidRPr="001D2342" w:rsidRDefault="008A656B" w:rsidP="00851097">
            <w:pPr>
              <w:rPr>
                <w:rFonts w:ascii="Times New Roman" w:hAnsi="Times New Roman" w:cs="Times New Roman"/>
                <w:sz w:val="16"/>
                <w:szCs w:val="16"/>
              </w:rPr>
            </w:pPr>
          </w:p>
        </w:tc>
        <w:tc>
          <w:tcPr>
            <w:tcW w:w="192" w:type="pct"/>
            <w:vAlign w:val="bottom"/>
          </w:tcPr>
          <w:p w14:paraId="3D1F3358"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44</w:t>
            </w:r>
          </w:p>
        </w:tc>
        <w:tc>
          <w:tcPr>
            <w:tcW w:w="678" w:type="pct"/>
            <w:vAlign w:val="bottom"/>
          </w:tcPr>
          <w:p w14:paraId="71017C80" w14:textId="77777777" w:rsidR="008A656B" w:rsidRPr="001D2342" w:rsidRDefault="008A656B" w:rsidP="00851097">
            <w:pPr>
              <w:rPr>
                <w:rFonts w:ascii="Times New Roman" w:hAnsi="Times New Roman" w:cs="Times New Roman"/>
                <w:sz w:val="16"/>
                <w:szCs w:val="16"/>
              </w:rPr>
            </w:pPr>
          </w:p>
        </w:tc>
        <w:tc>
          <w:tcPr>
            <w:tcW w:w="242" w:type="pct"/>
            <w:vAlign w:val="bottom"/>
          </w:tcPr>
          <w:p w14:paraId="611229E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1 058</w:t>
            </w:r>
          </w:p>
        </w:tc>
        <w:tc>
          <w:tcPr>
            <w:tcW w:w="259" w:type="pct"/>
            <w:vAlign w:val="bottom"/>
          </w:tcPr>
          <w:p w14:paraId="10DEFA1C" w14:textId="77777777" w:rsidR="008A656B" w:rsidRPr="001D2342" w:rsidRDefault="008A656B" w:rsidP="00851097">
            <w:pPr>
              <w:rPr>
                <w:rFonts w:ascii="Times New Roman" w:hAnsi="Times New Roman" w:cs="Times New Roman"/>
                <w:sz w:val="16"/>
                <w:szCs w:val="16"/>
              </w:rPr>
            </w:pPr>
          </w:p>
        </w:tc>
        <w:tc>
          <w:tcPr>
            <w:tcW w:w="199" w:type="pct"/>
            <w:vAlign w:val="bottom"/>
          </w:tcPr>
          <w:p w14:paraId="552DC090" w14:textId="77777777" w:rsidR="008A656B" w:rsidRPr="001D2342" w:rsidRDefault="008A656B" w:rsidP="00851097">
            <w:pPr>
              <w:rPr>
                <w:rFonts w:ascii="Times New Roman" w:hAnsi="Times New Roman" w:cs="Times New Roman"/>
                <w:sz w:val="16"/>
                <w:szCs w:val="16"/>
              </w:rPr>
            </w:pPr>
          </w:p>
        </w:tc>
        <w:tc>
          <w:tcPr>
            <w:tcW w:w="242" w:type="pct"/>
            <w:vAlign w:val="bottom"/>
          </w:tcPr>
          <w:p w14:paraId="57413D96"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1 787,0</w:t>
            </w:r>
          </w:p>
        </w:tc>
        <w:tc>
          <w:tcPr>
            <w:tcW w:w="243" w:type="pct"/>
            <w:vAlign w:val="bottom"/>
          </w:tcPr>
          <w:p w14:paraId="7CE48532" w14:textId="77777777" w:rsidR="008A656B" w:rsidRPr="001D2342" w:rsidRDefault="008A656B" w:rsidP="00851097">
            <w:pPr>
              <w:rPr>
                <w:rFonts w:ascii="Times New Roman" w:hAnsi="Times New Roman" w:cs="Times New Roman"/>
                <w:sz w:val="16"/>
                <w:szCs w:val="16"/>
              </w:rPr>
            </w:pPr>
          </w:p>
        </w:tc>
      </w:tr>
      <w:tr w:rsidR="008A656B" w:rsidRPr="001D2342" w14:paraId="19EF6506" w14:textId="77777777" w:rsidTr="00851097">
        <w:trPr>
          <w:trHeight w:val="260"/>
        </w:trPr>
        <w:tc>
          <w:tcPr>
            <w:tcW w:w="379" w:type="pct"/>
            <w:vAlign w:val="bottom"/>
          </w:tcPr>
          <w:p w14:paraId="7C0F2434" w14:textId="77777777" w:rsidR="008A656B" w:rsidRPr="001D2342" w:rsidRDefault="008A656B" w:rsidP="00851097">
            <w:pPr>
              <w:rPr>
                <w:rFonts w:ascii="Times New Roman" w:hAnsi="Times New Roman" w:cs="Times New Roman"/>
                <w:sz w:val="16"/>
                <w:szCs w:val="16"/>
              </w:rPr>
            </w:pPr>
          </w:p>
        </w:tc>
        <w:tc>
          <w:tcPr>
            <w:tcW w:w="261" w:type="pct"/>
            <w:vAlign w:val="bottom"/>
          </w:tcPr>
          <w:p w14:paraId="6BECDB6B" w14:textId="77777777" w:rsidR="008A656B" w:rsidRPr="001D2342" w:rsidRDefault="008A656B" w:rsidP="00851097">
            <w:pPr>
              <w:rPr>
                <w:rFonts w:ascii="Times New Roman" w:hAnsi="Times New Roman" w:cs="Times New Roman"/>
                <w:sz w:val="16"/>
                <w:szCs w:val="16"/>
              </w:rPr>
            </w:pPr>
          </w:p>
        </w:tc>
        <w:tc>
          <w:tcPr>
            <w:tcW w:w="364" w:type="pct"/>
            <w:vAlign w:val="bottom"/>
          </w:tcPr>
          <w:p w14:paraId="78AA93E0" w14:textId="77777777" w:rsidR="008A656B" w:rsidRPr="001D2342" w:rsidRDefault="008A656B" w:rsidP="00851097">
            <w:pPr>
              <w:rPr>
                <w:rFonts w:ascii="Times New Roman" w:hAnsi="Times New Roman" w:cs="Times New Roman"/>
                <w:sz w:val="16"/>
                <w:szCs w:val="16"/>
              </w:rPr>
            </w:pPr>
          </w:p>
        </w:tc>
        <w:tc>
          <w:tcPr>
            <w:tcW w:w="373" w:type="pct"/>
            <w:vAlign w:val="bottom"/>
          </w:tcPr>
          <w:p w14:paraId="42F7E9E4" w14:textId="77777777" w:rsidR="008A656B" w:rsidRPr="001D2342" w:rsidRDefault="008A656B" w:rsidP="00851097">
            <w:pPr>
              <w:rPr>
                <w:rFonts w:ascii="Times New Roman" w:hAnsi="Times New Roman" w:cs="Times New Roman"/>
                <w:sz w:val="16"/>
                <w:szCs w:val="16"/>
              </w:rPr>
            </w:pPr>
          </w:p>
        </w:tc>
        <w:tc>
          <w:tcPr>
            <w:tcW w:w="940" w:type="pct"/>
            <w:vAlign w:val="bottom"/>
          </w:tcPr>
          <w:p w14:paraId="3BD4B0DC" w14:textId="77777777" w:rsidR="008A656B" w:rsidRPr="001D2342" w:rsidRDefault="008A656B" w:rsidP="00851097">
            <w:pPr>
              <w:rPr>
                <w:rFonts w:ascii="Times New Roman" w:hAnsi="Times New Roman" w:cs="Times New Roman"/>
                <w:sz w:val="16"/>
                <w:szCs w:val="16"/>
              </w:rPr>
            </w:pPr>
          </w:p>
        </w:tc>
        <w:tc>
          <w:tcPr>
            <w:tcW w:w="201" w:type="pct"/>
            <w:vAlign w:val="bottom"/>
          </w:tcPr>
          <w:p w14:paraId="6991CA60"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259</w:t>
            </w:r>
          </w:p>
        </w:tc>
        <w:tc>
          <w:tcPr>
            <w:tcW w:w="129" w:type="pct"/>
            <w:vAlign w:val="bottom"/>
          </w:tcPr>
          <w:p w14:paraId="190DB8A4" w14:textId="77777777" w:rsidR="008A656B" w:rsidRPr="001D2342" w:rsidRDefault="008A656B" w:rsidP="00851097">
            <w:pPr>
              <w:rPr>
                <w:rFonts w:ascii="Times New Roman" w:hAnsi="Times New Roman" w:cs="Times New Roman"/>
                <w:sz w:val="16"/>
                <w:szCs w:val="16"/>
              </w:rPr>
            </w:pPr>
          </w:p>
        </w:tc>
        <w:tc>
          <w:tcPr>
            <w:tcW w:w="189" w:type="pct"/>
            <w:vAlign w:val="bottom"/>
          </w:tcPr>
          <w:p w14:paraId="3E713768"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45</w:t>
            </w:r>
          </w:p>
        </w:tc>
        <w:tc>
          <w:tcPr>
            <w:tcW w:w="110" w:type="pct"/>
            <w:vAlign w:val="bottom"/>
          </w:tcPr>
          <w:p w14:paraId="186763BB" w14:textId="77777777" w:rsidR="008A656B" w:rsidRPr="001D2342" w:rsidRDefault="008A656B" w:rsidP="00851097">
            <w:pPr>
              <w:rPr>
                <w:rFonts w:ascii="Times New Roman" w:hAnsi="Times New Roman" w:cs="Times New Roman"/>
                <w:sz w:val="16"/>
                <w:szCs w:val="16"/>
              </w:rPr>
            </w:pPr>
          </w:p>
        </w:tc>
        <w:tc>
          <w:tcPr>
            <w:tcW w:w="192" w:type="pct"/>
            <w:vAlign w:val="bottom"/>
          </w:tcPr>
          <w:p w14:paraId="5169B355"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54</w:t>
            </w:r>
          </w:p>
        </w:tc>
        <w:tc>
          <w:tcPr>
            <w:tcW w:w="678" w:type="pct"/>
            <w:vAlign w:val="bottom"/>
          </w:tcPr>
          <w:p w14:paraId="5F1198C5" w14:textId="77777777" w:rsidR="008A656B" w:rsidRPr="001D2342" w:rsidRDefault="008A656B" w:rsidP="00851097">
            <w:pPr>
              <w:rPr>
                <w:rFonts w:ascii="Times New Roman" w:hAnsi="Times New Roman" w:cs="Times New Roman"/>
                <w:sz w:val="16"/>
                <w:szCs w:val="16"/>
              </w:rPr>
            </w:pPr>
          </w:p>
        </w:tc>
        <w:tc>
          <w:tcPr>
            <w:tcW w:w="242" w:type="pct"/>
            <w:vAlign w:val="bottom"/>
          </w:tcPr>
          <w:p w14:paraId="411EB60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961,0</w:t>
            </w:r>
          </w:p>
        </w:tc>
        <w:tc>
          <w:tcPr>
            <w:tcW w:w="259" w:type="pct"/>
            <w:vAlign w:val="bottom"/>
          </w:tcPr>
          <w:p w14:paraId="523AED8F" w14:textId="77777777" w:rsidR="008A656B" w:rsidRPr="001D2342" w:rsidRDefault="008A656B" w:rsidP="00851097">
            <w:pPr>
              <w:rPr>
                <w:rFonts w:ascii="Times New Roman" w:hAnsi="Times New Roman" w:cs="Times New Roman"/>
                <w:sz w:val="16"/>
                <w:szCs w:val="16"/>
              </w:rPr>
            </w:pPr>
          </w:p>
        </w:tc>
        <w:tc>
          <w:tcPr>
            <w:tcW w:w="199" w:type="pct"/>
            <w:vAlign w:val="bottom"/>
          </w:tcPr>
          <w:p w14:paraId="39B862D0" w14:textId="77777777" w:rsidR="008A656B" w:rsidRPr="001D2342" w:rsidRDefault="008A656B" w:rsidP="00851097">
            <w:pPr>
              <w:rPr>
                <w:rFonts w:ascii="Times New Roman" w:hAnsi="Times New Roman" w:cs="Times New Roman"/>
                <w:sz w:val="16"/>
                <w:szCs w:val="16"/>
              </w:rPr>
            </w:pPr>
          </w:p>
        </w:tc>
        <w:tc>
          <w:tcPr>
            <w:tcW w:w="242" w:type="pct"/>
            <w:vAlign w:val="bottom"/>
          </w:tcPr>
          <w:p w14:paraId="71B3938F"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1 585,0</w:t>
            </w:r>
          </w:p>
        </w:tc>
        <w:tc>
          <w:tcPr>
            <w:tcW w:w="243" w:type="pct"/>
            <w:vAlign w:val="bottom"/>
          </w:tcPr>
          <w:p w14:paraId="1130D887" w14:textId="77777777" w:rsidR="008A656B" w:rsidRPr="001D2342" w:rsidRDefault="008A656B" w:rsidP="00851097">
            <w:pPr>
              <w:rPr>
                <w:rFonts w:ascii="Times New Roman" w:hAnsi="Times New Roman" w:cs="Times New Roman"/>
                <w:sz w:val="16"/>
                <w:szCs w:val="16"/>
              </w:rPr>
            </w:pPr>
          </w:p>
        </w:tc>
      </w:tr>
      <w:tr w:rsidR="008A656B" w:rsidRPr="001D2342" w14:paraId="60E94B80" w14:textId="77777777" w:rsidTr="00851097">
        <w:trPr>
          <w:trHeight w:val="260"/>
        </w:trPr>
        <w:tc>
          <w:tcPr>
            <w:tcW w:w="379" w:type="pct"/>
            <w:vAlign w:val="bottom"/>
          </w:tcPr>
          <w:p w14:paraId="10035094" w14:textId="77777777" w:rsidR="008A656B" w:rsidRPr="001D2342" w:rsidRDefault="008A656B" w:rsidP="00851097">
            <w:pPr>
              <w:rPr>
                <w:rFonts w:ascii="Times New Roman" w:hAnsi="Times New Roman" w:cs="Times New Roman"/>
                <w:sz w:val="16"/>
                <w:szCs w:val="16"/>
              </w:rPr>
            </w:pPr>
          </w:p>
        </w:tc>
        <w:tc>
          <w:tcPr>
            <w:tcW w:w="261" w:type="pct"/>
            <w:vAlign w:val="bottom"/>
          </w:tcPr>
          <w:p w14:paraId="6A36F67C" w14:textId="77777777" w:rsidR="008A656B" w:rsidRPr="001D2342" w:rsidRDefault="008A656B" w:rsidP="00851097">
            <w:pPr>
              <w:rPr>
                <w:rFonts w:ascii="Times New Roman" w:hAnsi="Times New Roman" w:cs="Times New Roman"/>
                <w:sz w:val="16"/>
                <w:szCs w:val="16"/>
              </w:rPr>
            </w:pPr>
          </w:p>
        </w:tc>
        <w:tc>
          <w:tcPr>
            <w:tcW w:w="364" w:type="pct"/>
            <w:vAlign w:val="bottom"/>
          </w:tcPr>
          <w:p w14:paraId="599AE024" w14:textId="77777777" w:rsidR="008A656B" w:rsidRPr="001D2342" w:rsidRDefault="008A656B" w:rsidP="00851097">
            <w:pPr>
              <w:rPr>
                <w:rFonts w:ascii="Times New Roman" w:hAnsi="Times New Roman" w:cs="Times New Roman"/>
                <w:sz w:val="16"/>
                <w:szCs w:val="16"/>
              </w:rPr>
            </w:pPr>
          </w:p>
        </w:tc>
        <w:tc>
          <w:tcPr>
            <w:tcW w:w="373" w:type="pct"/>
            <w:vAlign w:val="bottom"/>
          </w:tcPr>
          <w:p w14:paraId="2595B0E7" w14:textId="77777777" w:rsidR="008A656B" w:rsidRPr="001D2342" w:rsidRDefault="008A656B" w:rsidP="00851097">
            <w:pPr>
              <w:rPr>
                <w:rFonts w:ascii="Times New Roman" w:hAnsi="Times New Roman" w:cs="Times New Roman"/>
                <w:sz w:val="16"/>
                <w:szCs w:val="16"/>
              </w:rPr>
            </w:pPr>
          </w:p>
        </w:tc>
        <w:tc>
          <w:tcPr>
            <w:tcW w:w="940" w:type="pct"/>
            <w:vAlign w:val="bottom"/>
          </w:tcPr>
          <w:p w14:paraId="7AB05000" w14:textId="77777777" w:rsidR="008A656B" w:rsidRPr="001D2342" w:rsidRDefault="008A656B" w:rsidP="00851097">
            <w:pPr>
              <w:rPr>
                <w:rFonts w:ascii="Times New Roman" w:hAnsi="Times New Roman" w:cs="Times New Roman"/>
                <w:sz w:val="16"/>
                <w:szCs w:val="16"/>
              </w:rPr>
            </w:pPr>
          </w:p>
        </w:tc>
        <w:tc>
          <w:tcPr>
            <w:tcW w:w="201" w:type="pct"/>
            <w:shd w:val="clear" w:color="auto" w:fill="D9D9D9" w:themeFill="background1" w:themeFillShade="D9"/>
            <w:vAlign w:val="bottom"/>
          </w:tcPr>
          <w:p w14:paraId="58FA1825"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326</w:t>
            </w:r>
          </w:p>
        </w:tc>
        <w:tc>
          <w:tcPr>
            <w:tcW w:w="129" w:type="pct"/>
            <w:shd w:val="clear" w:color="auto" w:fill="D9D9D9" w:themeFill="background1" w:themeFillShade="D9"/>
            <w:vAlign w:val="bottom"/>
          </w:tcPr>
          <w:p w14:paraId="0D7D1EEF" w14:textId="77777777" w:rsidR="008A656B" w:rsidRPr="001D2342" w:rsidRDefault="008A656B" w:rsidP="00851097">
            <w:pPr>
              <w:rPr>
                <w:rFonts w:ascii="Times New Roman" w:hAnsi="Times New Roman" w:cs="Times New Roman"/>
                <w:sz w:val="16"/>
                <w:szCs w:val="16"/>
              </w:rPr>
            </w:pPr>
          </w:p>
        </w:tc>
        <w:tc>
          <w:tcPr>
            <w:tcW w:w="189" w:type="pct"/>
            <w:shd w:val="clear" w:color="auto" w:fill="D9D9D9" w:themeFill="background1" w:themeFillShade="D9"/>
            <w:vAlign w:val="bottom"/>
          </w:tcPr>
          <w:p w14:paraId="141861F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55</w:t>
            </w:r>
          </w:p>
        </w:tc>
        <w:tc>
          <w:tcPr>
            <w:tcW w:w="110" w:type="pct"/>
            <w:shd w:val="clear" w:color="auto" w:fill="D9D9D9" w:themeFill="background1" w:themeFillShade="D9"/>
            <w:vAlign w:val="bottom"/>
          </w:tcPr>
          <w:p w14:paraId="0673CC01" w14:textId="77777777" w:rsidR="008A656B" w:rsidRPr="001D2342" w:rsidRDefault="008A656B" w:rsidP="00851097">
            <w:pPr>
              <w:rPr>
                <w:rFonts w:ascii="Times New Roman" w:hAnsi="Times New Roman" w:cs="Times New Roman"/>
                <w:sz w:val="16"/>
                <w:szCs w:val="16"/>
              </w:rPr>
            </w:pPr>
          </w:p>
        </w:tc>
        <w:tc>
          <w:tcPr>
            <w:tcW w:w="192" w:type="pct"/>
            <w:shd w:val="clear" w:color="auto" w:fill="D9D9D9" w:themeFill="background1" w:themeFillShade="D9"/>
            <w:vAlign w:val="bottom"/>
          </w:tcPr>
          <w:p w14:paraId="2365F278"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64</w:t>
            </w:r>
          </w:p>
        </w:tc>
        <w:tc>
          <w:tcPr>
            <w:tcW w:w="678" w:type="pct"/>
            <w:shd w:val="clear" w:color="auto" w:fill="D9D9D9" w:themeFill="background1" w:themeFillShade="D9"/>
            <w:vAlign w:val="bottom"/>
          </w:tcPr>
          <w:p w14:paraId="1913B09A"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236AB09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926,0</w:t>
            </w:r>
          </w:p>
        </w:tc>
        <w:tc>
          <w:tcPr>
            <w:tcW w:w="259" w:type="pct"/>
            <w:shd w:val="clear" w:color="auto" w:fill="D9D9D9" w:themeFill="background1" w:themeFillShade="D9"/>
            <w:vAlign w:val="bottom"/>
          </w:tcPr>
          <w:p w14:paraId="4F05E7AD" w14:textId="77777777" w:rsidR="008A656B" w:rsidRPr="001D2342" w:rsidRDefault="008A656B" w:rsidP="00851097">
            <w:pPr>
              <w:rPr>
                <w:rFonts w:ascii="Times New Roman" w:hAnsi="Times New Roman" w:cs="Times New Roman"/>
                <w:sz w:val="16"/>
                <w:szCs w:val="16"/>
              </w:rPr>
            </w:pPr>
          </w:p>
        </w:tc>
        <w:tc>
          <w:tcPr>
            <w:tcW w:w="199" w:type="pct"/>
            <w:shd w:val="clear" w:color="auto" w:fill="D9D9D9" w:themeFill="background1" w:themeFillShade="D9"/>
            <w:vAlign w:val="bottom"/>
          </w:tcPr>
          <w:p w14:paraId="3095A89F"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7872AE41"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1 559,0</w:t>
            </w:r>
          </w:p>
        </w:tc>
        <w:tc>
          <w:tcPr>
            <w:tcW w:w="243" w:type="pct"/>
            <w:shd w:val="clear" w:color="auto" w:fill="D9D9D9" w:themeFill="background1" w:themeFillShade="D9"/>
            <w:vAlign w:val="bottom"/>
          </w:tcPr>
          <w:p w14:paraId="6293F34A" w14:textId="77777777" w:rsidR="008A656B" w:rsidRPr="001D2342" w:rsidRDefault="008A656B" w:rsidP="00851097">
            <w:pPr>
              <w:rPr>
                <w:rFonts w:ascii="Times New Roman" w:hAnsi="Times New Roman" w:cs="Times New Roman"/>
                <w:sz w:val="16"/>
                <w:szCs w:val="16"/>
              </w:rPr>
            </w:pPr>
          </w:p>
        </w:tc>
      </w:tr>
      <w:tr w:rsidR="008A656B" w:rsidRPr="001D2342" w14:paraId="05EFE1E3" w14:textId="77777777" w:rsidTr="00851097">
        <w:trPr>
          <w:trHeight w:val="282"/>
        </w:trPr>
        <w:tc>
          <w:tcPr>
            <w:tcW w:w="379" w:type="pct"/>
            <w:vAlign w:val="bottom"/>
          </w:tcPr>
          <w:p w14:paraId="710263BC" w14:textId="77777777" w:rsidR="008A656B" w:rsidRPr="001D2342" w:rsidRDefault="008A656B" w:rsidP="00851097">
            <w:pPr>
              <w:rPr>
                <w:rFonts w:ascii="Times New Roman" w:hAnsi="Times New Roman" w:cs="Times New Roman"/>
                <w:sz w:val="16"/>
                <w:szCs w:val="16"/>
              </w:rPr>
            </w:pPr>
          </w:p>
        </w:tc>
        <w:tc>
          <w:tcPr>
            <w:tcW w:w="261" w:type="pct"/>
            <w:vAlign w:val="bottom"/>
          </w:tcPr>
          <w:p w14:paraId="03B91544" w14:textId="77777777" w:rsidR="008A656B" w:rsidRPr="001D2342" w:rsidRDefault="008A656B" w:rsidP="00851097">
            <w:pPr>
              <w:rPr>
                <w:rFonts w:ascii="Times New Roman" w:hAnsi="Times New Roman" w:cs="Times New Roman"/>
                <w:sz w:val="16"/>
                <w:szCs w:val="16"/>
              </w:rPr>
            </w:pPr>
          </w:p>
        </w:tc>
        <w:tc>
          <w:tcPr>
            <w:tcW w:w="364" w:type="pct"/>
            <w:vAlign w:val="bottom"/>
          </w:tcPr>
          <w:p w14:paraId="6E718FD1" w14:textId="77777777" w:rsidR="008A656B" w:rsidRPr="001D2342" w:rsidRDefault="008A656B" w:rsidP="00851097">
            <w:pPr>
              <w:rPr>
                <w:rFonts w:ascii="Times New Roman" w:hAnsi="Times New Roman" w:cs="Times New Roman"/>
                <w:sz w:val="16"/>
                <w:szCs w:val="16"/>
              </w:rPr>
            </w:pPr>
          </w:p>
        </w:tc>
        <w:tc>
          <w:tcPr>
            <w:tcW w:w="373" w:type="pct"/>
            <w:vAlign w:val="bottom"/>
          </w:tcPr>
          <w:p w14:paraId="15A73505" w14:textId="77777777" w:rsidR="008A656B" w:rsidRPr="001D2342" w:rsidRDefault="008A656B" w:rsidP="00851097">
            <w:pPr>
              <w:rPr>
                <w:rFonts w:ascii="Times New Roman" w:hAnsi="Times New Roman" w:cs="Times New Roman"/>
                <w:sz w:val="16"/>
                <w:szCs w:val="16"/>
              </w:rPr>
            </w:pPr>
          </w:p>
        </w:tc>
        <w:tc>
          <w:tcPr>
            <w:tcW w:w="940" w:type="pct"/>
            <w:vAlign w:val="bottom"/>
          </w:tcPr>
          <w:p w14:paraId="4AA9D077" w14:textId="77777777" w:rsidR="008A656B" w:rsidRPr="001D2342" w:rsidRDefault="008A656B" w:rsidP="00851097">
            <w:pPr>
              <w:rPr>
                <w:rFonts w:ascii="Times New Roman" w:hAnsi="Times New Roman" w:cs="Times New Roman"/>
                <w:sz w:val="16"/>
                <w:szCs w:val="16"/>
              </w:rPr>
            </w:pPr>
          </w:p>
        </w:tc>
        <w:tc>
          <w:tcPr>
            <w:tcW w:w="201" w:type="pct"/>
            <w:shd w:val="clear" w:color="auto" w:fill="D9D9D9" w:themeFill="background1" w:themeFillShade="D9"/>
            <w:vAlign w:val="bottom"/>
          </w:tcPr>
          <w:p w14:paraId="6FAF424A"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198</w:t>
            </w:r>
          </w:p>
        </w:tc>
        <w:tc>
          <w:tcPr>
            <w:tcW w:w="129" w:type="pct"/>
            <w:shd w:val="clear" w:color="auto" w:fill="D9D9D9" w:themeFill="background1" w:themeFillShade="D9"/>
            <w:vAlign w:val="bottom"/>
          </w:tcPr>
          <w:p w14:paraId="318F01A7" w14:textId="77777777" w:rsidR="008A656B" w:rsidRPr="001D2342" w:rsidRDefault="008A656B" w:rsidP="00851097">
            <w:pPr>
              <w:rPr>
                <w:rFonts w:ascii="Times New Roman" w:hAnsi="Times New Roman" w:cs="Times New Roman"/>
                <w:sz w:val="16"/>
                <w:szCs w:val="16"/>
              </w:rPr>
            </w:pPr>
          </w:p>
        </w:tc>
        <w:tc>
          <w:tcPr>
            <w:tcW w:w="189" w:type="pct"/>
            <w:shd w:val="clear" w:color="auto" w:fill="D9D9D9" w:themeFill="background1" w:themeFillShade="D9"/>
            <w:vAlign w:val="bottom"/>
          </w:tcPr>
          <w:p w14:paraId="563F2561"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65</w:t>
            </w:r>
          </w:p>
        </w:tc>
        <w:tc>
          <w:tcPr>
            <w:tcW w:w="110" w:type="pct"/>
            <w:shd w:val="clear" w:color="auto" w:fill="D9D9D9" w:themeFill="background1" w:themeFillShade="D9"/>
            <w:vAlign w:val="bottom"/>
          </w:tcPr>
          <w:p w14:paraId="4F89DF8A" w14:textId="77777777" w:rsidR="008A656B" w:rsidRPr="001D2342" w:rsidRDefault="008A656B" w:rsidP="00851097">
            <w:pPr>
              <w:rPr>
                <w:rFonts w:ascii="Times New Roman" w:hAnsi="Times New Roman" w:cs="Times New Roman"/>
                <w:sz w:val="16"/>
                <w:szCs w:val="16"/>
              </w:rPr>
            </w:pPr>
          </w:p>
        </w:tc>
        <w:tc>
          <w:tcPr>
            <w:tcW w:w="192" w:type="pct"/>
            <w:shd w:val="clear" w:color="auto" w:fill="D9D9D9" w:themeFill="background1" w:themeFillShade="D9"/>
            <w:vAlign w:val="bottom"/>
          </w:tcPr>
          <w:p w14:paraId="7751A126"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75</w:t>
            </w:r>
          </w:p>
        </w:tc>
        <w:tc>
          <w:tcPr>
            <w:tcW w:w="678" w:type="pct"/>
            <w:shd w:val="clear" w:color="auto" w:fill="D9D9D9" w:themeFill="background1" w:themeFillShade="D9"/>
            <w:vAlign w:val="bottom"/>
          </w:tcPr>
          <w:p w14:paraId="11A01DDA"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46A5EF2A"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880,0</w:t>
            </w:r>
          </w:p>
        </w:tc>
        <w:tc>
          <w:tcPr>
            <w:tcW w:w="259" w:type="pct"/>
            <w:shd w:val="clear" w:color="auto" w:fill="D9D9D9" w:themeFill="background1" w:themeFillShade="D9"/>
            <w:vAlign w:val="bottom"/>
          </w:tcPr>
          <w:p w14:paraId="66D4F639" w14:textId="77777777" w:rsidR="008A656B" w:rsidRPr="001D2342" w:rsidRDefault="008A656B" w:rsidP="00851097">
            <w:pPr>
              <w:rPr>
                <w:rFonts w:ascii="Times New Roman" w:hAnsi="Times New Roman" w:cs="Times New Roman"/>
                <w:sz w:val="16"/>
                <w:szCs w:val="16"/>
              </w:rPr>
            </w:pPr>
          </w:p>
        </w:tc>
        <w:tc>
          <w:tcPr>
            <w:tcW w:w="199" w:type="pct"/>
            <w:shd w:val="clear" w:color="auto" w:fill="D9D9D9" w:themeFill="background1" w:themeFillShade="D9"/>
            <w:vAlign w:val="bottom"/>
          </w:tcPr>
          <w:p w14:paraId="12F6CBFD"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20FC763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1582,0</w:t>
            </w:r>
          </w:p>
        </w:tc>
        <w:tc>
          <w:tcPr>
            <w:tcW w:w="243" w:type="pct"/>
            <w:shd w:val="clear" w:color="auto" w:fill="D9D9D9" w:themeFill="background1" w:themeFillShade="D9"/>
            <w:vAlign w:val="bottom"/>
          </w:tcPr>
          <w:p w14:paraId="1050C706" w14:textId="77777777" w:rsidR="008A656B" w:rsidRPr="001D2342" w:rsidRDefault="008A656B" w:rsidP="00851097">
            <w:pPr>
              <w:rPr>
                <w:rFonts w:ascii="Times New Roman" w:hAnsi="Times New Roman" w:cs="Times New Roman"/>
                <w:sz w:val="16"/>
                <w:szCs w:val="16"/>
              </w:rPr>
            </w:pPr>
          </w:p>
        </w:tc>
      </w:tr>
      <w:tr w:rsidR="008A656B" w:rsidRPr="001D2342" w14:paraId="580B3731" w14:textId="77777777" w:rsidTr="00851097">
        <w:trPr>
          <w:trHeight w:val="520"/>
        </w:trPr>
        <w:tc>
          <w:tcPr>
            <w:tcW w:w="379" w:type="pct"/>
            <w:vAlign w:val="bottom"/>
          </w:tcPr>
          <w:p w14:paraId="5EB9777D" w14:textId="77777777" w:rsidR="008A656B" w:rsidRPr="001D2342" w:rsidRDefault="008A656B" w:rsidP="00851097">
            <w:pPr>
              <w:rPr>
                <w:rFonts w:ascii="Times New Roman" w:hAnsi="Times New Roman" w:cs="Times New Roman"/>
                <w:sz w:val="16"/>
                <w:szCs w:val="16"/>
              </w:rPr>
            </w:pPr>
          </w:p>
        </w:tc>
        <w:tc>
          <w:tcPr>
            <w:tcW w:w="261" w:type="pct"/>
            <w:vAlign w:val="bottom"/>
          </w:tcPr>
          <w:p w14:paraId="0C29CED4" w14:textId="77777777" w:rsidR="008A656B" w:rsidRPr="001D2342" w:rsidRDefault="008A656B" w:rsidP="00851097">
            <w:pPr>
              <w:rPr>
                <w:rFonts w:ascii="Times New Roman" w:hAnsi="Times New Roman" w:cs="Times New Roman"/>
                <w:sz w:val="16"/>
                <w:szCs w:val="16"/>
              </w:rPr>
            </w:pPr>
          </w:p>
        </w:tc>
        <w:tc>
          <w:tcPr>
            <w:tcW w:w="364" w:type="pct"/>
            <w:vAlign w:val="bottom"/>
          </w:tcPr>
          <w:p w14:paraId="3AF05B61" w14:textId="77777777" w:rsidR="008A656B" w:rsidRPr="001D2342" w:rsidRDefault="008A656B" w:rsidP="00851097">
            <w:pPr>
              <w:rPr>
                <w:rFonts w:ascii="Times New Roman" w:hAnsi="Times New Roman" w:cs="Times New Roman"/>
                <w:sz w:val="16"/>
                <w:szCs w:val="16"/>
              </w:rPr>
            </w:pPr>
          </w:p>
        </w:tc>
        <w:tc>
          <w:tcPr>
            <w:tcW w:w="373" w:type="pct"/>
            <w:vAlign w:val="bottom"/>
          </w:tcPr>
          <w:p w14:paraId="31EE7334"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(Tetens et al., 2011)</w:t>
            </w:r>
          </w:p>
        </w:tc>
        <w:tc>
          <w:tcPr>
            <w:tcW w:w="940" w:type="pct"/>
            <w:vAlign w:val="bottom"/>
          </w:tcPr>
          <w:p w14:paraId="23C65900" w14:textId="77777777" w:rsidR="008A656B" w:rsidRPr="001D2342" w:rsidRDefault="008A656B" w:rsidP="00851097">
            <w:pPr>
              <w:pStyle w:val="Default"/>
              <w:rPr>
                <w:sz w:val="16"/>
                <w:szCs w:val="16"/>
              </w:rPr>
            </w:pPr>
            <w:r>
              <w:rPr>
                <w:sz w:val="16"/>
              </w:rPr>
              <w:t>7 dienu uztura pieraksts un intervija (dati savākti 2000.–2004. gadā)</w:t>
            </w:r>
          </w:p>
        </w:tc>
        <w:tc>
          <w:tcPr>
            <w:tcW w:w="201" w:type="pct"/>
            <w:vAlign w:val="bottom"/>
          </w:tcPr>
          <w:p w14:paraId="0B5116F1"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671</w:t>
            </w:r>
          </w:p>
        </w:tc>
        <w:tc>
          <w:tcPr>
            <w:tcW w:w="129" w:type="pct"/>
            <w:vAlign w:val="bottom"/>
          </w:tcPr>
          <w:p w14:paraId="40E9C908" w14:textId="77777777" w:rsidR="008A656B" w:rsidRPr="001D2342" w:rsidRDefault="008A656B" w:rsidP="00851097">
            <w:pPr>
              <w:rPr>
                <w:rFonts w:ascii="Times New Roman" w:hAnsi="Times New Roman" w:cs="Times New Roman"/>
                <w:sz w:val="16"/>
                <w:szCs w:val="16"/>
              </w:rPr>
            </w:pPr>
          </w:p>
        </w:tc>
        <w:tc>
          <w:tcPr>
            <w:tcW w:w="189" w:type="pct"/>
            <w:vAlign w:val="bottom"/>
          </w:tcPr>
          <w:p w14:paraId="63D21B8F"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18</w:t>
            </w:r>
          </w:p>
        </w:tc>
        <w:tc>
          <w:tcPr>
            <w:tcW w:w="110" w:type="pct"/>
            <w:vAlign w:val="bottom"/>
          </w:tcPr>
          <w:p w14:paraId="0E782D1F" w14:textId="77777777" w:rsidR="008A656B" w:rsidRPr="001D2342" w:rsidRDefault="008A656B" w:rsidP="00851097">
            <w:pPr>
              <w:rPr>
                <w:rFonts w:ascii="Times New Roman" w:hAnsi="Times New Roman" w:cs="Times New Roman"/>
                <w:sz w:val="16"/>
                <w:szCs w:val="16"/>
              </w:rPr>
            </w:pPr>
          </w:p>
        </w:tc>
        <w:tc>
          <w:tcPr>
            <w:tcW w:w="192" w:type="pct"/>
            <w:vAlign w:val="bottom"/>
          </w:tcPr>
          <w:p w14:paraId="3367AE84"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49</w:t>
            </w:r>
          </w:p>
        </w:tc>
        <w:tc>
          <w:tcPr>
            <w:tcW w:w="678" w:type="pct"/>
            <w:vAlign w:val="bottom"/>
          </w:tcPr>
          <w:p w14:paraId="2B9ED6E5" w14:textId="77777777" w:rsidR="008A656B" w:rsidRPr="001D2342" w:rsidRDefault="008A656B" w:rsidP="00851097">
            <w:pPr>
              <w:pStyle w:val="TableParagraph"/>
              <w:rPr>
                <w:rFonts w:ascii="Times New Roman" w:eastAsia="Times New Roman" w:hAnsi="Times New Roman" w:cs="Times New Roman"/>
                <w:bCs/>
                <w:noProof/>
                <w:color w:val="000000" w:themeColor="text1"/>
                <w:sz w:val="16"/>
                <w:szCs w:val="16"/>
              </w:rPr>
            </w:pPr>
          </w:p>
          <w:p w14:paraId="07A6D9F9" w14:textId="77777777" w:rsidR="008A656B" w:rsidRPr="001D2342" w:rsidRDefault="008A656B" w:rsidP="00851097">
            <w:pPr>
              <w:rPr>
                <w:rFonts w:ascii="Times New Roman" w:hAnsi="Times New Roman" w:cs="Times New Roman"/>
                <w:sz w:val="16"/>
                <w:szCs w:val="16"/>
              </w:rPr>
            </w:pPr>
            <w:r>
              <w:rPr>
                <w:rFonts w:ascii="Times New Roman" w:hAnsi="Times New Roman"/>
                <w:color w:val="000000" w:themeColor="text1"/>
                <w:sz w:val="16"/>
              </w:rPr>
              <w:t>Uztura bagātinātāju nelietotāji</w:t>
            </w:r>
          </w:p>
        </w:tc>
        <w:tc>
          <w:tcPr>
            <w:tcW w:w="242" w:type="pct"/>
            <w:vAlign w:val="bottom"/>
          </w:tcPr>
          <w:p w14:paraId="2704E39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939,0</w:t>
            </w:r>
          </w:p>
        </w:tc>
        <w:tc>
          <w:tcPr>
            <w:tcW w:w="259" w:type="pct"/>
            <w:vAlign w:val="bottom"/>
          </w:tcPr>
          <w:p w14:paraId="019B4823" w14:textId="77777777" w:rsidR="008A656B" w:rsidRPr="001D2342" w:rsidRDefault="008A656B" w:rsidP="00851097">
            <w:pPr>
              <w:rPr>
                <w:rFonts w:ascii="Times New Roman" w:hAnsi="Times New Roman" w:cs="Times New Roman"/>
                <w:sz w:val="16"/>
                <w:szCs w:val="16"/>
              </w:rPr>
            </w:pPr>
          </w:p>
        </w:tc>
        <w:tc>
          <w:tcPr>
            <w:tcW w:w="199" w:type="pct"/>
            <w:vAlign w:val="bottom"/>
          </w:tcPr>
          <w:p w14:paraId="3D2B1000" w14:textId="77777777" w:rsidR="008A656B" w:rsidRPr="001D2342" w:rsidRDefault="008A656B" w:rsidP="00851097">
            <w:pPr>
              <w:rPr>
                <w:rFonts w:ascii="Times New Roman" w:hAnsi="Times New Roman" w:cs="Times New Roman"/>
                <w:sz w:val="16"/>
                <w:szCs w:val="16"/>
              </w:rPr>
            </w:pPr>
          </w:p>
        </w:tc>
        <w:tc>
          <w:tcPr>
            <w:tcW w:w="242" w:type="pct"/>
            <w:vAlign w:val="bottom"/>
          </w:tcPr>
          <w:p w14:paraId="3811AD10"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1 675,0</w:t>
            </w:r>
          </w:p>
        </w:tc>
        <w:tc>
          <w:tcPr>
            <w:tcW w:w="243" w:type="pct"/>
            <w:vAlign w:val="bottom"/>
          </w:tcPr>
          <w:p w14:paraId="192914AF" w14:textId="77777777" w:rsidR="008A656B" w:rsidRPr="001D2342" w:rsidRDefault="008A656B" w:rsidP="00851097">
            <w:pPr>
              <w:rPr>
                <w:rFonts w:ascii="Times New Roman" w:hAnsi="Times New Roman" w:cs="Times New Roman"/>
                <w:sz w:val="16"/>
                <w:szCs w:val="16"/>
              </w:rPr>
            </w:pPr>
          </w:p>
        </w:tc>
      </w:tr>
      <w:tr w:rsidR="008A656B" w:rsidRPr="001D2342" w14:paraId="401F8D43" w14:textId="77777777" w:rsidTr="00851097">
        <w:trPr>
          <w:trHeight w:val="282"/>
        </w:trPr>
        <w:tc>
          <w:tcPr>
            <w:tcW w:w="379" w:type="pct"/>
            <w:vAlign w:val="bottom"/>
          </w:tcPr>
          <w:p w14:paraId="415146CA" w14:textId="77777777" w:rsidR="008A656B" w:rsidRPr="001D2342" w:rsidRDefault="008A656B" w:rsidP="00851097">
            <w:pPr>
              <w:rPr>
                <w:rFonts w:ascii="Times New Roman" w:hAnsi="Times New Roman" w:cs="Times New Roman"/>
                <w:sz w:val="16"/>
                <w:szCs w:val="16"/>
              </w:rPr>
            </w:pPr>
          </w:p>
        </w:tc>
        <w:tc>
          <w:tcPr>
            <w:tcW w:w="261" w:type="pct"/>
            <w:vAlign w:val="bottom"/>
          </w:tcPr>
          <w:p w14:paraId="6615941D" w14:textId="77777777" w:rsidR="008A656B" w:rsidRPr="001D2342" w:rsidRDefault="008A656B" w:rsidP="00851097">
            <w:pPr>
              <w:rPr>
                <w:rFonts w:ascii="Times New Roman" w:hAnsi="Times New Roman" w:cs="Times New Roman"/>
                <w:sz w:val="16"/>
                <w:szCs w:val="16"/>
              </w:rPr>
            </w:pPr>
          </w:p>
        </w:tc>
        <w:tc>
          <w:tcPr>
            <w:tcW w:w="364" w:type="pct"/>
            <w:vAlign w:val="bottom"/>
          </w:tcPr>
          <w:p w14:paraId="64E0097B" w14:textId="77777777" w:rsidR="008A656B" w:rsidRPr="001D2342" w:rsidRDefault="008A656B" w:rsidP="00851097">
            <w:pPr>
              <w:rPr>
                <w:rFonts w:ascii="Times New Roman" w:hAnsi="Times New Roman" w:cs="Times New Roman"/>
                <w:sz w:val="16"/>
                <w:szCs w:val="16"/>
              </w:rPr>
            </w:pPr>
          </w:p>
        </w:tc>
        <w:tc>
          <w:tcPr>
            <w:tcW w:w="373" w:type="pct"/>
            <w:vAlign w:val="bottom"/>
          </w:tcPr>
          <w:p w14:paraId="01D89193" w14:textId="77777777" w:rsidR="008A656B" w:rsidRPr="001D2342" w:rsidRDefault="008A656B" w:rsidP="00851097">
            <w:pPr>
              <w:rPr>
                <w:rFonts w:ascii="Times New Roman" w:hAnsi="Times New Roman" w:cs="Times New Roman"/>
                <w:sz w:val="16"/>
                <w:szCs w:val="16"/>
              </w:rPr>
            </w:pPr>
          </w:p>
        </w:tc>
        <w:tc>
          <w:tcPr>
            <w:tcW w:w="940" w:type="pct"/>
            <w:vAlign w:val="bottom"/>
          </w:tcPr>
          <w:p w14:paraId="6C55585E" w14:textId="77777777" w:rsidR="008A656B" w:rsidRPr="001D2342" w:rsidRDefault="008A656B" w:rsidP="00851097">
            <w:pPr>
              <w:rPr>
                <w:rFonts w:ascii="Times New Roman" w:hAnsi="Times New Roman" w:cs="Times New Roman"/>
                <w:sz w:val="16"/>
                <w:szCs w:val="16"/>
              </w:rPr>
            </w:pPr>
          </w:p>
        </w:tc>
        <w:tc>
          <w:tcPr>
            <w:tcW w:w="201" w:type="pct"/>
            <w:vAlign w:val="bottom"/>
          </w:tcPr>
          <w:p w14:paraId="212BEF2F"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825</w:t>
            </w:r>
          </w:p>
        </w:tc>
        <w:tc>
          <w:tcPr>
            <w:tcW w:w="129" w:type="pct"/>
            <w:vAlign w:val="bottom"/>
          </w:tcPr>
          <w:p w14:paraId="2D83B12C" w14:textId="77777777" w:rsidR="008A656B" w:rsidRPr="001D2342" w:rsidRDefault="008A656B" w:rsidP="00851097">
            <w:pPr>
              <w:rPr>
                <w:rFonts w:ascii="Times New Roman" w:hAnsi="Times New Roman" w:cs="Times New Roman"/>
                <w:sz w:val="16"/>
                <w:szCs w:val="16"/>
              </w:rPr>
            </w:pPr>
          </w:p>
        </w:tc>
        <w:tc>
          <w:tcPr>
            <w:tcW w:w="189" w:type="pct"/>
            <w:vAlign w:val="bottom"/>
          </w:tcPr>
          <w:p w14:paraId="3030A952"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18</w:t>
            </w:r>
          </w:p>
        </w:tc>
        <w:tc>
          <w:tcPr>
            <w:tcW w:w="110" w:type="pct"/>
            <w:vAlign w:val="bottom"/>
          </w:tcPr>
          <w:p w14:paraId="55DC7B71" w14:textId="77777777" w:rsidR="008A656B" w:rsidRPr="001D2342" w:rsidRDefault="008A656B" w:rsidP="00851097">
            <w:pPr>
              <w:rPr>
                <w:rFonts w:ascii="Times New Roman" w:hAnsi="Times New Roman" w:cs="Times New Roman"/>
                <w:sz w:val="16"/>
                <w:szCs w:val="16"/>
              </w:rPr>
            </w:pPr>
          </w:p>
        </w:tc>
        <w:tc>
          <w:tcPr>
            <w:tcW w:w="192" w:type="pct"/>
            <w:vAlign w:val="bottom"/>
          </w:tcPr>
          <w:p w14:paraId="067870E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49</w:t>
            </w:r>
          </w:p>
        </w:tc>
        <w:tc>
          <w:tcPr>
            <w:tcW w:w="678" w:type="pct"/>
            <w:vAlign w:val="bottom"/>
          </w:tcPr>
          <w:p w14:paraId="5590E387" w14:textId="77777777" w:rsidR="008A656B" w:rsidRPr="001D2342" w:rsidRDefault="008A656B" w:rsidP="00851097">
            <w:pPr>
              <w:rPr>
                <w:rFonts w:ascii="Times New Roman" w:hAnsi="Times New Roman" w:cs="Times New Roman"/>
                <w:sz w:val="16"/>
                <w:szCs w:val="16"/>
              </w:rPr>
            </w:pPr>
            <w:r>
              <w:rPr>
                <w:rFonts w:ascii="Times New Roman" w:hAnsi="Times New Roman"/>
                <w:color w:val="000000" w:themeColor="text1"/>
                <w:sz w:val="16"/>
              </w:rPr>
              <w:t>Uztura bagātinātāju lietotāji</w:t>
            </w:r>
          </w:p>
        </w:tc>
        <w:tc>
          <w:tcPr>
            <w:tcW w:w="242" w:type="pct"/>
            <w:vAlign w:val="bottom"/>
          </w:tcPr>
          <w:p w14:paraId="32758B0F"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1 014,0</w:t>
            </w:r>
          </w:p>
        </w:tc>
        <w:tc>
          <w:tcPr>
            <w:tcW w:w="259" w:type="pct"/>
            <w:vAlign w:val="bottom"/>
          </w:tcPr>
          <w:p w14:paraId="62649032" w14:textId="77777777" w:rsidR="008A656B" w:rsidRPr="001D2342" w:rsidRDefault="008A656B" w:rsidP="00851097">
            <w:pPr>
              <w:rPr>
                <w:rFonts w:ascii="Times New Roman" w:hAnsi="Times New Roman" w:cs="Times New Roman"/>
                <w:sz w:val="16"/>
                <w:szCs w:val="16"/>
              </w:rPr>
            </w:pPr>
          </w:p>
        </w:tc>
        <w:tc>
          <w:tcPr>
            <w:tcW w:w="199" w:type="pct"/>
            <w:vAlign w:val="bottom"/>
          </w:tcPr>
          <w:p w14:paraId="46FCAE86" w14:textId="77777777" w:rsidR="008A656B" w:rsidRPr="001D2342" w:rsidRDefault="008A656B" w:rsidP="00851097">
            <w:pPr>
              <w:rPr>
                <w:rFonts w:ascii="Times New Roman" w:hAnsi="Times New Roman" w:cs="Times New Roman"/>
                <w:sz w:val="16"/>
                <w:szCs w:val="16"/>
              </w:rPr>
            </w:pPr>
          </w:p>
        </w:tc>
        <w:tc>
          <w:tcPr>
            <w:tcW w:w="242" w:type="pct"/>
            <w:vAlign w:val="bottom"/>
          </w:tcPr>
          <w:p w14:paraId="66C014C8"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1 712,0</w:t>
            </w:r>
          </w:p>
        </w:tc>
        <w:tc>
          <w:tcPr>
            <w:tcW w:w="243" w:type="pct"/>
            <w:vAlign w:val="bottom"/>
          </w:tcPr>
          <w:p w14:paraId="71EA2F25" w14:textId="77777777" w:rsidR="008A656B" w:rsidRPr="001D2342" w:rsidRDefault="008A656B" w:rsidP="00851097">
            <w:pPr>
              <w:rPr>
                <w:rFonts w:ascii="Times New Roman" w:hAnsi="Times New Roman" w:cs="Times New Roman"/>
                <w:sz w:val="16"/>
                <w:szCs w:val="16"/>
              </w:rPr>
            </w:pPr>
          </w:p>
        </w:tc>
      </w:tr>
      <w:tr w:rsidR="008A656B" w:rsidRPr="001D2342" w14:paraId="2FDF23F5" w14:textId="77777777" w:rsidTr="00851097">
        <w:trPr>
          <w:trHeight w:val="260"/>
        </w:trPr>
        <w:tc>
          <w:tcPr>
            <w:tcW w:w="379" w:type="pct"/>
            <w:vAlign w:val="bottom"/>
          </w:tcPr>
          <w:p w14:paraId="157B0FB2" w14:textId="77777777" w:rsidR="008A656B" w:rsidRPr="001D2342" w:rsidRDefault="008A656B" w:rsidP="00851097">
            <w:pPr>
              <w:rPr>
                <w:rFonts w:ascii="Times New Roman" w:hAnsi="Times New Roman" w:cs="Times New Roman"/>
                <w:sz w:val="16"/>
                <w:szCs w:val="16"/>
              </w:rPr>
            </w:pPr>
          </w:p>
        </w:tc>
        <w:tc>
          <w:tcPr>
            <w:tcW w:w="261" w:type="pct"/>
            <w:vAlign w:val="bottom"/>
          </w:tcPr>
          <w:p w14:paraId="2D15D6AA" w14:textId="77777777" w:rsidR="008A656B" w:rsidRPr="001D2342" w:rsidRDefault="008A656B" w:rsidP="00851097">
            <w:pPr>
              <w:rPr>
                <w:rFonts w:ascii="Times New Roman" w:hAnsi="Times New Roman" w:cs="Times New Roman"/>
                <w:sz w:val="16"/>
                <w:szCs w:val="16"/>
              </w:rPr>
            </w:pPr>
          </w:p>
        </w:tc>
        <w:tc>
          <w:tcPr>
            <w:tcW w:w="364" w:type="pct"/>
            <w:vAlign w:val="bottom"/>
          </w:tcPr>
          <w:p w14:paraId="39D8F7AC" w14:textId="77777777" w:rsidR="008A656B" w:rsidRPr="001D2342" w:rsidRDefault="008A656B" w:rsidP="00851097">
            <w:pPr>
              <w:rPr>
                <w:rFonts w:ascii="Times New Roman" w:hAnsi="Times New Roman" w:cs="Times New Roman"/>
                <w:sz w:val="16"/>
                <w:szCs w:val="16"/>
              </w:rPr>
            </w:pPr>
          </w:p>
        </w:tc>
        <w:tc>
          <w:tcPr>
            <w:tcW w:w="373" w:type="pct"/>
            <w:vAlign w:val="bottom"/>
          </w:tcPr>
          <w:p w14:paraId="53A25900" w14:textId="77777777" w:rsidR="008A656B" w:rsidRPr="001D2342" w:rsidRDefault="008A656B" w:rsidP="00851097">
            <w:pPr>
              <w:rPr>
                <w:rFonts w:ascii="Times New Roman" w:hAnsi="Times New Roman" w:cs="Times New Roman"/>
                <w:sz w:val="16"/>
                <w:szCs w:val="16"/>
              </w:rPr>
            </w:pPr>
          </w:p>
        </w:tc>
        <w:tc>
          <w:tcPr>
            <w:tcW w:w="940" w:type="pct"/>
            <w:vAlign w:val="bottom"/>
          </w:tcPr>
          <w:p w14:paraId="163D34D6" w14:textId="77777777" w:rsidR="008A656B" w:rsidRPr="001D2342" w:rsidRDefault="008A656B" w:rsidP="00851097">
            <w:pPr>
              <w:rPr>
                <w:rFonts w:ascii="Times New Roman" w:hAnsi="Times New Roman" w:cs="Times New Roman"/>
                <w:sz w:val="16"/>
                <w:szCs w:val="16"/>
              </w:rPr>
            </w:pPr>
          </w:p>
        </w:tc>
        <w:tc>
          <w:tcPr>
            <w:tcW w:w="201" w:type="pct"/>
            <w:shd w:val="clear" w:color="auto" w:fill="D9D9D9" w:themeFill="background1" w:themeFillShade="D9"/>
            <w:vAlign w:val="bottom"/>
          </w:tcPr>
          <w:p w14:paraId="4520B56E"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280</w:t>
            </w:r>
          </w:p>
        </w:tc>
        <w:tc>
          <w:tcPr>
            <w:tcW w:w="129" w:type="pct"/>
            <w:shd w:val="clear" w:color="auto" w:fill="D9D9D9" w:themeFill="background1" w:themeFillShade="D9"/>
            <w:vAlign w:val="bottom"/>
          </w:tcPr>
          <w:p w14:paraId="12DD25F0" w14:textId="77777777" w:rsidR="008A656B" w:rsidRPr="001D2342" w:rsidRDefault="008A656B" w:rsidP="00851097">
            <w:pPr>
              <w:rPr>
                <w:rFonts w:ascii="Times New Roman" w:hAnsi="Times New Roman" w:cs="Times New Roman"/>
                <w:sz w:val="16"/>
                <w:szCs w:val="16"/>
              </w:rPr>
            </w:pPr>
          </w:p>
        </w:tc>
        <w:tc>
          <w:tcPr>
            <w:tcW w:w="189" w:type="pct"/>
            <w:shd w:val="clear" w:color="auto" w:fill="D9D9D9" w:themeFill="background1" w:themeFillShade="D9"/>
            <w:vAlign w:val="bottom"/>
          </w:tcPr>
          <w:p w14:paraId="49052E05"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50</w:t>
            </w:r>
          </w:p>
        </w:tc>
        <w:tc>
          <w:tcPr>
            <w:tcW w:w="110" w:type="pct"/>
            <w:shd w:val="clear" w:color="auto" w:fill="D9D9D9" w:themeFill="background1" w:themeFillShade="D9"/>
            <w:vAlign w:val="bottom"/>
          </w:tcPr>
          <w:p w14:paraId="66C35ABE" w14:textId="77777777" w:rsidR="008A656B" w:rsidRPr="001D2342" w:rsidRDefault="008A656B" w:rsidP="00851097">
            <w:pPr>
              <w:rPr>
                <w:rFonts w:ascii="Times New Roman" w:hAnsi="Times New Roman" w:cs="Times New Roman"/>
                <w:sz w:val="16"/>
                <w:szCs w:val="16"/>
              </w:rPr>
            </w:pPr>
          </w:p>
        </w:tc>
        <w:tc>
          <w:tcPr>
            <w:tcW w:w="192" w:type="pct"/>
            <w:shd w:val="clear" w:color="auto" w:fill="D9D9D9" w:themeFill="background1" w:themeFillShade="D9"/>
            <w:vAlign w:val="bottom"/>
          </w:tcPr>
          <w:p w14:paraId="6F7D1E8F"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75</w:t>
            </w:r>
          </w:p>
        </w:tc>
        <w:tc>
          <w:tcPr>
            <w:tcW w:w="678" w:type="pct"/>
            <w:shd w:val="clear" w:color="auto" w:fill="D9D9D9" w:themeFill="background1" w:themeFillShade="D9"/>
            <w:vAlign w:val="bottom"/>
          </w:tcPr>
          <w:p w14:paraId="2E0A579A" w14:textId="77777777" w:rsidR="008A656B" w:rsidRPr="001D2342" w:rsidRDefault="008A656B" w:rsidP="00851097">
            <w:pPr>
              <w:rPr>
                <w:rFonts w:ascii="Times New Roman" w:hAnsi="Times New Roman" w:cs="Times New Roman"/>
                <w:sz w:val="16"/>
                <w:szCs w:val="16"/>
              </w:rPr>
            </w:pPr>
            <w:r>
              <w:rPr>
                <w:rFonts w:ascii="Times New Roman" w:hAnsi="Times New Roman"/>
                <w:color w:val="000000" w:themeColor="text1"/>
                <w:sz w:val="16"/>
              </w:rPr>
              <w:t>Uztura bagātinātāju nelietotāji</w:t>
            </w:r>
          </w:p>
        </w:tc>
        <w:tc>
          <w:tcPr>
            <w:tcW w:w="242" w:type="pct"/>
            <w:shd w:val="clear" w:color="auto" w:fill="D9D9D9" w:themeFill="background1" w:themeFillShade="D9"/>
            <w:vAlign w:val="bottom"/>
          </w:tcPr>
          <w:p w14:paraId="5DCF67F7"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834,0</w:t>
            </w:r>
          </w:p>
        </w:tc>
        <w:tc>
          <w:tcPr>
            <w:tcW w:w="259" w:type="pct"/>
            <w:shd w:val="clear" w:color="auto" w:fill="D9D9D9" w:themeFill="background1" w:themeFillShade="D9"/>
            <w:vAlign w:val="bottom"/>
          </w:tcPr>
          <w:p w14:paraId="78D45155" w14:textId="77777777" w:rsidR="008A656B" w:rsidRPr="001D2342" w:rsidRDefault="008A656B" w:rsidP="00851097">
            <w:pPr>
              <w:rPr>
                <w:rFonts w:ascii="Times New Roman" w:hAnsi="Times New Roman" w:cs="Times New Roman"/>
                <w:sz w:val="16"/>
                <w:szCs w:val="16"/>
              </w:rPr>
            </w:pPr>
          </w:p>
        </w:tc>
        <w:tc>
          <w:tcPr>
            <w:tcW w:w="199" w:type="pct"/>
            <w:shd w:val="clear" w:color="auto" w:fill="D9D9D9" w:themeFill="background1" w:themeFillShade="D9"/>
            <w:vAlign w:val="bottom"/>
          </w:tcPr>
          <w:p w14:paraId="04412B95"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5331B6CA"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1 524,0</w:t>
            </w:r>
          </w:p>
        </w:tc>
        <w:tc>
          <w:tcPr>
            <w:tcW w:w="243" w:type="pct"/>
            <w:shd w:val="clear" w:color="auto" w:fill="D9D9D9" w:themeFill="background1" w:themeFillShade="D9"/>
            <w:vAlign w:val="bottom"/>
          </w:tcPr>
          <w:p w14:paraId="353E3E0C" w14:textId="77777777" w:rsidR="008A656B" w:rsidRPr="001D2342" w:rsidRDefault="008A656B" w:rsidP="00851097">
            <w:pPr>
              <w:rPr>
                <w:rFonts w:ascii="Times New Roman" w:hAnsi="Times New Roman" w:cs="Times New Roman"/>
                <w:sz w:val="16"/>
                <w:szCs w:val="16"/>
              </w:rPr>
            </w:pPr>
          </w:p>
        </w:tc>
      </w:tr>
      <w:tr w:rsidR="008A656B" w:rsidRPr="001D2342" w14:paraId="0EE722CD" w14:textId="77777777" w:rsidTr="00851097">
        <w:trPr>
          <w:trHeight w:val="260"/>
        </w:trPr>
        <w:tc>
          <w:tcPr>
            <w:tcW w:w="379" w:type="pct"/>
            <w:vAlign w:val="bottom"/>
          </w:tcPr>
          <w:p w14:paraId="1E73406D" w14:textId="77777777" w:rsidR="008A656B" w:rsidRPr="001D2342" w:rsidRDefault="008A656B" w:rsidP="00851097">
            <w:pPr>
              <w:rPr>
                <w:rFonts w:ascii="Times New Roman" w:hAnsi="Times New Roman" w:cs="Times New Roman"/>
                <w:sz w:val="16"/>
                <w:szCs w:val="16"/>
              </w:rPr>
            </w:pPr>
          </w:p>
        </w:tc>
        <w:tc>
          <w:tcPr>
            <w:tcW w:w="261" w:type="pct"/>
            <w:vAlign w:val="bottom"/>
          </w:tcPr>
          <w:p w14:paraId="467B67F2" w14:textId="77777777" w:rsidR="008A656B" w:rsidRPr="001D2342" w:rsidRDefault="008A656B" w:rsidP="00851097">
            <w:pPr>
              <w:rPr>
                <w:rFonts w:ascii="Times New Roman" w:hAnsi="Times New Roman" w:cs="Times New Roman"/>
                <w:sz w:val="16"/>
                <w:szCs w:val="16"/>
              </w:rPr>
            </w:pPr>
          </w:p>
        </w:tc>
        <w:tc>
          <w:tcPr>
            <w:tcW w:w="364" w:type="pct"/>
            <w:vAlign w:val="bottom"/>
          </w:tcPr>
          <w:p w14:paraId="074F7A4C" w14:textId="77777777" w:rsidR="008A656B" w:rsidRPr="001D2342" w:rsidRDefault="008A656B" w:rsidP="00851097">
            <w:pPr>
              <w:rPr>
                <w:rFonts w:ascii="Times New Roman" w:hAnsi="Times New Roman" w:cs="Times New Roman"/>
                <w:sz w:val="16"/>
                <w:szCs w:val="16"/>
              </w:rPr>
            </w:pPr>
          </w:p>
        </w:tc>
        <w:tc>
          <w:tcPr>
            <w:tcW w:w="373" w:type="pct"/>
            <w:vAlign w:val="bottom"/>
          </w:tcPr>
          <w:p w14:paraId="0F135EC0" w14:textId="77777777" w:rsidR="008A656B" w:rsidRPr="001D2342" w:rsidRDefault="008A656B" w:rsidP="00851097">
            <w:pPr>
              <w:rPr>
                <w:rFonts w:ascii="Times New Roman" w:hAnsi="Times New Roman" w:cs="Times New Roman"/>
                <w:sz w:val="16"/>
                <w:szCs w:val="16"/>
              </w:rPr>
            </w:pPr>
          </w:p>
        </w:tc>
        <w:tc>
          <w:tcPr>
            <w:tcW w:w="940" w:type="pct"/>
            <w:vAlign w:val="bottom"/>
          </w:tcPr>
          <w:p w14:paraId="75269482" w14:textId="77777777" w:rsidR="008A656B" w:rsidRPr="001D2342" w:rsidRDefault="008A656B" w:rsidP="00851097">
            <w:pPr>
              <w:rPr>
                <w:rFonts w:ascii="Times New Roman" w:hAnsi="Times New Roman" w:cs="Times New Roman"/>
                <w:sz w:val="16"/>
                <w:szCs w:val="16"/>
              </w:rPr>
            </w:pPr>
          </w:p>
        </w:tc>
        <w:tc>
          <w:tcPr>
            <w:tcW w:w="201" w:type="pct"/>
            <w:shd w:val="clear" w:color="auto" w:fill="D9D9D9" w:themeFill="background1" w:themeFillShade="D9"/>
            <w:vAlign w:val="bottom"/>
          </w:tcPr>
          <w:p w14:paraId="641C383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599</w:t>
            </w:r>
          </w:p>
        </w:tc>
        <w:tc>
          <w:tcPr>
            <w:tcW w:w="129" w:type="pct"/>
            <w:shd w:val="clear" w:color="auto" w:fill="D9D9D9" w:themeFill="background1" w:themeFillShade="D9"/>
            <w:vAlign w:val="bottom"/>
          </w:tcPr>
          <w:p w14:paraId="29A63D20" w14:textId="77777777" w:rsidR="008A656B" w:rsidRPr="001D2342" w:rsidRDefault="008A656B" w:rsidP="00851097">
            <w:pPr>
              <w:rPr>
                <w:rFonts w:ascii="Times New Roman" w:hAnsi="Times New Roman" w:cs="Times New Roman"/>
                <w:sz w:val="16"/>
                <w:szCs w:val="16"/>
              </w:rPr>
            </w:pPr>
          </w:p>
        </w:tc>
        <w:tc>
          <w:tcPr>
            <w:tcW w:w="189" w:type="pct"/>
            <w:shd w:val="clear" w:color="auto" w:fill="D9D9D9" w:themeFill="background1" w:themeFillShade="D9"/>
            <w:vAlign w:val="bottom"/>
          </w:tcPr>
          <w:p w14:paraId="6983BA9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50</w:t>
            </w:r>
          </w:p>
        </w:tc>
        <w:tc>
          <w:tcPr>
            <w:tcW w:w="110" w:type="pct"/>
            <w:shd w:val="clear" w:color="auto" w:fill="D9D9D9" w:themeFill="background1" w:themeFillShade="D9"/>
            <w:vAlign w:val="bottom"/>
          </w:tcPr>
          <w:p w14:paraId="7D9ABF2C" w14:textId="77777777" w:rsidR="008A656B" w:rsidRPr="001D2342" w:rsidRDefault="008A656B" w:rsidP="00851097">
            <w:pPr>
              <w:rPr>
                <w:rFonts w:ascii="Times New Roman" w:hAnsi="Times New Roman" w:cs="Times New Roman"/>
                <w:sz w:val="16"/>
                <w:szCs w:val="16"/>
              </w:rPr>
            </w:pPr>
          </w:p>
        </w:tc>
        <w:tc>
          <w:tcPr>
            <w:tcW w:w="192" w:type="pct"/>
            <w:shd w:val="clear" w:color="auto" w:fill="D9D9D9" w:themeFill="background1" w:themeFillShade="D9"/>
            <w:vAlign w:val="bottom"/>
          </w:tcPr>
          <w:p w14:paraId="34A4E648"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75</w:t>
            </w:r>
          </w:p>
        </w:tc>
        <w:tc>
          <w:tcPr>
            <w:tcW w:w="678" w:type="pct"/>
            <w:shd w:val="clear" w:color="auto" w:fill="D9D9D9" w:themeFill="background1" w:themeFillShade="D9"/>
            <w:vAlign w:val="bottom"/>
          </w:tcPr>
          <w:p w14:paraId="35233631" w14:textId="77777777" w:rsidR="008A656B" w:rsidRPr="001D2342" w:rsidRDefault="008A656B" w:rsidP="00851097">
            <w:pPr>
              <w:rPr>
                <w:rFonts w:ascii="Times New Roman" w:hAnsi="Times New Roman" w:cs="Times New Roman"/>
                <w:sz w:val="16"/>
                <w:szCs w:val="16"/>
              </w:rPr>
            </w:pPr>
            <w:r>
              <w:rPr>
                <w:rFonts w:ascii="Times New Roman" w:hAnsi="Times New Roman"/>
                <w:color w:val="000000" w:themeColor="text1"/>
                <w:sz w:val="16"/>
              </w:rPr>
              <w:t>Uztura bagātinātāju lietotāji</w:t>
            </w:r>
          </w:p>
        </w:tc>
        <w:tc>
          <w:tcPr>
            <w:tcW w:w="242" w:type="pct"/>
            <w:shd w:val="clear" w:color="auto" w:fill="D9D9D9" w:themeFill="background1" w:themeFillShade="D9"/>
            <w:vAlign w:val="bottom"/>
          </w:tcPr>
          <w:p w14:paraId="22E2CE12"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864,0</w:t>
            </w:r>
          </w:p>
        </w:tc>
        <w:tc>
          <w:tcPr>
            <w:tcW w:w="259" w:type="pct"/>
            <w:shd w:val="clear" w:color="auto" w:fill="D9D9D9" w:themeFill="background1" w:themeFillShade="D9"/>
            <w:vAlign w:val="bottom"/>
          </w:tcPr>
          <w:p w14:paraId="72083AF7" w14:textId="77777777" w:rsidR="008A656B" w:rsidRPr="001D2342" w:rsidRDefault="008A656B" w:rsidP="00851097">
            <w:pPr>
              <w:rPr>
                <w:rFonts w:ascii="Times New Roman" w:hAnsi="Times New Roman" w:cs="Times New Roman"/>
                <w:sz w:val="16"/>
                <w:szCs w:val="16"/>
              </w:rPr>
            </w:pPr>
          </w:p>
        </w:tc>
        <w:tc>
          <w:tcPr>
            <w:tcW w:w="199" w:type="pct"/>
            <w:shd w:val="clear" w:color="auto" w:fill="D9D9D9" w:themeFill="background1" w:themeFillShade="D9"/>
            <w:vAlign w:val="bottom"/>
          </w:tcPr>
          <w:p w14:paraId="40CAF8F0"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45BCD58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1 589,0</w:t>
            </w:r>
          </w:p>
        </w:tc>
        <w:tc>
          <w:tcPr>
            <w:tcW w:w="243" w:type="pct"/>
            <w:shd w:val="clear" w:color="auto" w:fill="D9D9D9" w:themeFill="background1" w:themeFillShade="D9"/>
            <w:vAlign w:val="bottom"/>
          </w:tcPr>
          <w:p w14:paraId="785924D6" w14:textId="77777777" w:rsidR="008A656B" w:rsidRPr="001D2342" w:rsidRDefault="008A656B" w:rsidP="00851097">
            <w:pPr>
              <w:rPr>
                <w:rFonts w:ascii="Times New Roman" w:hAnsi="Times New Roman" w:cs="Times New Roman"/>
                <w:sz w:val="16"/>
                <w:szCs w:val="16"/>
              </w:rPr>
            </w:pPr>
          </w:p>
        </w:tc>
      </w:tr>
      <w:tr w:rsidR="008A656B" w:rsidRPr="001D2342" w14:paraId="22DFA599" w14:textId="77777777" w:rsidTr="00851097">
        <w:trPr>
          <w:trHeight w:val="260"/>
        </w:trPr>
        <w:tc>
          <w:tcPr>
            <w:tcW w:w="379" w:type="pct"/>
            <w:vAlign w:val="bottom"/>
          </w:tcPr>
          <w:p w14:paraId="542ECC17" w14:textId="77777777" w:rsidR="008A656B" w:rsidRPr="001D2342" w:rsidRDefault="008A656B" w:rsidP="00851097">
            <w:pPr>
              <w:rPr>
                <w:rFonts w:ascii="Times New Roman" w:hAnsi="Times New Roman" w:cs="Times New Roman"/>
                <w:sz w:val="16"/>
                <w:szCs w:val="16"/>
              </w:rPr>
            </w:pPr>
          </w:p>
        </w:tc>
        <w:tc>
          <w:tcPr>
            <w:tcW w:w="261" w:type="pct"/>
            <w:vAlign w:val="bottom"/>
          </w:tcPr>
          <w:p w14:paraId="22588259" w14:textId="77777777" w:rsidR="008A656B" w:rsidRPr="001D2342" w:rsidRDefault="008A656B" w:rsidP="00851097">
            <w:pPr>
              <w:rPr>
                <w:rFonts w:ascii="Times New Roman" w:hAnsi="Times New Roman" w:cs="Times New Roman"/>
                <w:sz w:val="16"/>
                <w:szCs w:val="16"/>
              </w:rPr>
            </w:pPr>
          </w:p>
        </w:tc>
        <w:tc>
          <w:tcPr>
            <w:tcW w:w="364" w:type="pct"/>
            <w:vAlign w:val="bottom"/>
          </w:tcPr>
          <w:p w14:paraId="388D4AB4"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Somija</w:t>
            </w:r>
          </w:p>
        </w:tc>
        <w:tc>
          <w:tcPr>
            <w:tcW w:w="373" w:type="pct"/>
            <w:vAlign w:val="bottom"/>
          </w:tcPr>
          <w:p w14:paraId="1F77A1FA"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(Paturi et al., 2008)</w:t>
            </w:r>
          </w:p>
        </w:tc>
        <w:tc>
          <w:tcPr>
            <w:tcW w:w="940" w:type="pct"/>
            <w:vAlign w:val="bottom"/>
          </w:tcPr>
          <w:p w14:paraId="4B8DAB58" w14:textId="77777777" w:rsidR="008A656B" w:rsidRPr="001D2342" w:rsidRDefault="008A656B" w:rsidP="00851097">
            <w:pPr>
              <w:pStyle w:val="Default"/>
              <w:rPr>
                <w:sz w:val="16"/>
                <w:szCs w:val="16"/>
              </w:rPr>
            </w:pPr>
            <w:r>
              <w:rPr>
                <w:sz w:val="16"/>
              </w:rPr>
              <w:t>48 stundu atcerēšanās anketa un divi 3 dienu uztura pieraksti par parastajām devām pēdējā gada laikā (novērtējums par tiem, kas sniedz nepilnīgu informāciju)</w:t>
            </w:r>
          </w:p>
        </w:tc>
        <w:tc>
          <w:tcPr>
            <w:tcW w:w="201" w:type="pct"/>
            <w:vAlign w:val="bottom"/>
          </w:tcPr>
          <w:p w14:paraId="14F3194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641</w:t>
            </w:r>
          </w:p>
        </w:tc>
        <w:tc>
          <w:tcPr>
            <w:tcW w:w="129" w:type="pct"/>
            <w:vAlign w:val="bottom"/>
          </w:tcPr>
          <w:p w14:paraId="4D1E59A4" w14:textId="77777777" w:rsidR="008A656B" w:rsidRPr="001D2342" w:rsidRDefault="008A656B" w:rsidP="00851097">
            <w:pPr>
              <w:rPr>
                <w:rFonts w:ascii="Times New Roman" w:hAnsi="Times New Roman" w:cs="Times New Roman"/>
                <w:sz w:val="16"/>
                <w:szCs w:val="16"/>
              </w:rPr>
            </w:pPr>
          </w:p>
        </w:tc>
        <w:tc>
          <w:tcPr>
            <w:tcW w:w="189" w:type="pct"/>
            <w:vAlign w:val="bottom"/>
          </w:tcPr>
          <w:p w14:paraId="2061CB09"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25</w:t>
            </w:r>
          </w:p>
        </w:tc>
        <w:tc>
          <w:tcPr>
            <w:tcW w:w="110" w:type="pct"/>
            <w:vAlign w:val="bottom"/>
          </w:tcPr>
          <w:p w14:paraId="62B6E5AB" w14:textId="77777777" w:rsidR="008A656B" w:rsidRPr="001D2342" w:rsidRDefault="008A656B" w:rsidP="00851097">
            <w:pPr>
              <w:rPr>
                <w:rFonts w:ascii="Times New Roman" w:hAnsi="Times New Roman" w:cs="Times New Roman"/>
                <w:sz w:val="16"/>
                <w:szCs w:val="16"/>
              </w:rPr>
            </w:pPr>
          </w:p>
        </w:tc>
        <w:tc>
          <w:tcPr>
            <w:tcW w:w="192" w:type="pct"/>
            <w:vAlign w:val="bottom"/>
          </w:tcPr>
          <w:p w14:paraId="1D95C350"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74</w:t>
            </w:r>
          </w:p>
        </w:tc>
        <w:tc>
          <w:tcPr>
            <w:tcW w:w="678" w:type="pct"/>
            <w:vAlign w:val="bottom"/>
          </w:tcPr>
          <w:p w14:paraId="1572A70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Parastās devas. Izņemot tos, kuri nesniedza datus pilnā apjomā</w:t>
            </w:r>
          </w:p>
        </w:tc>
        <w:tc>
          <w:tcPr>
            <w:tcW w:w="242" w:type="pct"/>
            <w:vAlign w:val="bottom"/>
          </w:tcPr>
          <w:p w14:paraId="6A7DD47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1 000,0</w:t>
            </w:r>
          </w:p>
        </w:tc>
        <w:tc>
          <w:tcPr>
            <w:tcW w:w="259" w:type="pct"/>
            <w:vAlign w:val="bottom"/>
          </w:tcPr>
          <w:p w14:paraId="784D944D" w14:textId="77777777" w:rsidR="008A656B" w:rsidRPr="001D2342" w:rsidRDefault="008A656B" w:rsidP="00851097">
            <w:pPr>
              <w:rPr>
                <w:rFonts w:ascii="Times New Roman" w:hAnsi="Times New Roman" w:cs="Times New Roman"/>
                <w:sz w:val="16"/>
                <w:szCs w:val="16"/>
              </w:rPr>
            </w:pPr>
          </w:p>
        </w:tc>
        <w:tc>
          <w:tcPr>
            <w:tcW w:w="199" w:type="pct"/>
            <w:vAlign w:val="bottom"/>
          </w:tcPr>
          <w:p w14:paraId="533F4675" w14:textId="77777777" w:rsidR="008A656B" w:rsidRPr="001D2342" w:rsidRDefault="008A656B" w:rsidP="00851097">
            <w:pPr>
              <w:rPr>
                <w:rFonts w:ascii="Times New Roman" w:hAnsi="Times New Roman" w:cs="Times New Roman"/>
                <w:sz w:val="16"/>
                <w:szCs w:val="16"/>
              </w:rPr>
            </w:pPr>
          </w:p>
        </w:tc>
        <w:tc>
          <w:tcPr>
            <w:tcW w:w="242" w:type="pct"/>
            <w:vAlign w:val="bottom"/>
          </w:tcPr>
          <w:p w14:paraId="3D7ED357"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1 700,0</w:t>
            </w:r>
          </w:p>
        </w:tc>
        <w:tc>
          <w:tcPr>
            <w:tcW w:w="243" w:type="pct"/>
            <w:vAlign w:val="bottom"/>
          </w:tcPr>
          <w:p w14:paraId="457E8C78" w14:textId="77777777" w:rsidR="008A656B" w:rsidRPr="001D2342" w:rsidRDefault="008A656B" w:rsidP="00851097">
            <w:pPr>
              <w:rPr>
                <w:rFonts w:ascii="Times New Roman" w:hAnsi="Times New Roman" w:cs="Times New Roman"/>
                <w:sz w:val="16"/>
                <w:szCs w:val="16"/>
              </w:rPr>
            </w:pPr>
          </w:p>
        </w:tc>
      </w:tr>
      <w:tr w:rsidR="008A656B" w:rsidRPr="001D2342" w14:paraId="24236AA8" w14:textId="77777777" w:rsidTr="00851097">
        <w:trPr>
          <w:trHeight w:val="260"/>
        </w:trPr>
        <w:tc>
          <w:tcPr>
            <w:tcW w:w="379" w:type="pct"/>
            <w:vAlign w:val="bottom"/>
          </w:tcPr>
          <w:p w14:paraId="78E0956D" w14:textId="77777777" w:rsidR="008A656B" w:rsidRPr="001D2342" w:rsidRDefault="008A656B" w:rsidP="00851097">
            <w:pPr>
              <w:rPr>
                <w:rFonts w:ascii="Times New Roman" w:hAnsi="Times New Roman" w:cs="Times New Roman"/>
                <w:sz w:val="16"/>
                <w:szCs w:val="16"/>
              </w:rPr>
            </w:pPr>
          </w:p>
        </w:tc>
        <w:tc>
          <w:tcPr>
            <w:tcW w:w="261" w:type="pct"/>
            <w:vAlign w:val="bottom"/>
          </w:tcPr>
          <w:p w14:paraId="5AD1754D" w14:textId="77777777" w:rsidR="008A656B" w:rsidRPr="001D2342" w:rsidRDefault="008A656B" w:rsidP="00851097">
            <w:pPr>
              <w:rPr>
                <w:rFonts w:ascii="Times New Roman" w:hAnsi="Times New Roman" w:cs="Times New Roman"/>
                <w:sz w:val="16"/>
                <w:szCs w:val="16"/>
              </w:rPr>
            </w:pPr>
          </w:p>
        </w:tc>
        <w:tc>
          <w:tcPr>
            <w:tcW w:w="364" w:type="pct"/>
            <w:vAlign w:val="bottom"/>
          </w:tcPr>
          <w:p w14:paraId="308DEACF"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Vācija</w:t>
            </w:r>
          </w:p>
        </w:tc>
        <w:tc>
          <w:tcPr>
            <w:tcW w:w="373" w:type="pct"/>
            <w:vAlign w:val="bottom"/>
          </w:tcPr>
          <w:p w14:paraId="4F75C6E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(MRI, 2008)</w:t>
            </w:r>
          </w:p>
        </w:tc>
        <w:tc>
          <w:tcPr>
            <w:tcW w:w="940" w:type="pct"/>
            <w:vAlign w:val="bottom"/>
          </w:tcPr>
          <w:p w14:paraId="745BDB70" w14:textId="77777777" w:rsidR="008A656B" w:rsidRPr="001D2342" w:rsidRDefault="008A656B" w:rsidP="00851097">
            <w:pPr>
              <w:pStyle w:val="Default"/>
              <w:rPr>
                <w:sz w:val="16"/>
                <w:szCs w:val="16"/>
              </w:rPr>
            </w:pPr>
            <w:r>
              <w:rPr>
                <w:sz w:val="16"/>
              </w:rPr>
              <w:t xml:space="preserve">24 stundu atcerēšanās anketa + uztura vēsture </w:t>
            </w:r>
          </w:p>
        </w:tc>
        <w:tc>
          <w:tcPr>
            <w:tcW w:w="201" w:type="pct"/>
            <w:vAlign w:val="bottom"/>
          </w:tcPr>
          <w:p w14:paraId="02FE43E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510</w:t>
            </w:r>
          </w:p>
        </w:tc>
        <w:tc>
          <w:tcPr>
            <w:tcW w:w="129" w:type="pct"/>
            <w:vAlign w:val="bottom"/>
          </w:tcPr>
          <w:p w14:paraId="6F7F1A07" w14:textId="77777777" w:rsidR="008A656B" w:rsidRPr="001D2342" w:rsidRDefault="008A656B" w:rsidP="00851097">
            <w:pPr>
              <w:rPr>
                <w:rFonts w:ascii="Times New Roman" w:hAnsi="Times New Roman" w:cs="Times New Roman"/>
                <w:sz w:val="16"/>
                <w:szCs w:val="16"/>
              </w:rPr>
            </w:pPr>
          </w:p>
        </w:tc>
        <w:tc>
          <w:tcPr>
            <w:tcW w:w="189" w:type="pct"/>
            <w:vAlign w:val="bottom"/>
          </w:tcPr>
          <w:p w14:paraId="7A167215"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19</w:t>
            </w:r>
          </w:p>
        </w:tc>
        <w:tc>
          <w:tcPr>
            <w:tcW w:w="110" w:type="pct"/>
            <w:vAlign w:val="bottom"/>
          </w:tcPr>
          <w:p w14:paraId="4A2383FE" w14:textId="77777777" w:rsidR="008A656B" w:rsidRPr="001D2342" w:rsidRDefault="008A656B" w:rsidP="00851097">
            <w:pPr>
              <w:rPr>
                <w:rFonts w:ascii="Times New Roman" w:hAnsi="Times New Roman" w:cs="Times New Roman"/>
                <w:sz w:val="16"/>
                <w:szCs w:val="16"/>
              </w:rPr>
            </w:pPr>
          </w:p>
        </w:tc>
        <w:tc>
          <w:tcPr>
            <w:tcW w:w="192" w:type="pct"/>
            <w:vAlign w:val="bottom"/>
          </w:tcPr>
          <w:p w14:paraId="4F8B848F"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24</w:t>
            </w:r>
          </w:p>
        </w:tc>
        <w:tc>
          <w:tcPr>
            <w:tcW w:w="678" w:type="pct"/>
            <w:vAlign w:val="bottom"/>
          </w:tcPr>
          <w:p w14:paraId="36694142" w14:textId="77777777" w:rsidR="008A656B" w:rsidRPr="001D2342" w:rsidRDefault="008A656B" w:rsidP="00851097">
            <w:pPr>
              <w:rPr>
                <w:rFonts w:ascii="Times New Roman" w:hAnsi="Times New Roman" w:cs="Times New Roman"/>
                <w:sz w:val="16"/>
                <w:szCs w:val="16"/>
              </w:rPr>
            </w:pPr>
          </w:p>
        </w:tc>
        <w:tc>
          <w:tcPr>
            <w:tcW w:w="242" w:type="pct"/>
            <w:vAlign w:val="bottom"/>
          </w:tcPr>
          <w:p w14:paraId="7EF95C9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1 039,0</w:t>
            </w:r>
          </w:p>
        </w:tc>
        <w:tc>
          <w:tcPr>
            <w:tcW w:w="259" w:type="pct"/>
            <w:vAlign w:val="bottom"/>
          </w:tcPr>
          <w:p w14:paraId="3F62D27F" w14:textId="77777777" w:rsidR="008A656B" w:rsidRPr="001D2342" w:rsidRDefault="008A656B" w:rsidP="00851097">
            <w:pPr>
              <w:rPr>
                <w:rFonts w:ascii="Times New Roman" w:hAnsi="Times New Roman" w:cs="Times New Roman"/>
                <w:sz w:val="16"/>
                <w:szCs w:val="16"/>
              </w:rPr>
            </w:pPr>
          </w:p>
        </w:tc>
        <w:tc>
          <w:tcPr>
            <w:tcW w:w="199" w:type="pct"/>
            <w:vAlign w:val="bottom"/>
          </w:tcPr>
          <w:p w14:paraId="4D32157F" w14:textId="77777777" w:rsidR="008A656B" w:rsidRPr="001D2342" w:rsidRDefault="008A656B" w:rsidP="00851097">
            <w:pPr>
              <w:rPr>
                <w:rFonts w:ascii="Times New Roman" w:hAnsi="Times New Roman" w:cs="Times New Roman"/>
                <w:sz w:val="16"/>
                <w:szCs w:val="16"/>
              </w:rPr>
            </w:pPr>
          </w:p>
        </w:tc>
        <w:tc>
          <w:tcPr>
            <w:tcW w:w="242" w:type="pct"/>
            <w:vAlign w:val="bottom"/>
          </w:tcPr>
          <w:p w14:paraId="156F8E4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1 756,0</w:t>
            </w:r>
          </w:p>
        </w:tc>
        <w:tc>
          <w:tcPr>
            <w:tcW w:w="243" w:type="pct"/>
            <w:vAlign w:val="bottom"/>
          </w:tcPr>
          <w:p w14:paraId="73B28EF6" w14:textId="77777777" w:rsidR="008A656B" w:rsidRPr="001D2342" w:rsidRDefault="008A656B" w:rsidP="00851097">
            <w:pPr>
              <w:rPr>
                <w:rFonts w:ascii="Times New Roman" w:hAnsi="Times New Roman" w:cs="Times New Roman"/>
                <w:sz w:val="16"/>
                <w:szCs w:val="16"/>
              </w:rPr>
            </w:pPr>
          </w:p>
        </w:tc>
      </w:tr>
      <w:tr w:rsidR="008A656B" w:rsidRPr="001D2342" w14:paraId="680B5577" w14:textId="77777777" w:rsidTr="00851097">
        <w:trPr>
          <w:trHeight w:val="282"/>
        </w:trPr>
        <w:tc>
          <w:tcPr>
            <w:tcW w:w="379" w:type="pct"/>
            <w:vAlign w:val="bottom"/>
          </w:tcPr>
          <w:p w14:paraId="7DBF6919" w14:textId="77777777" w:rsidR="008A656B" w:rsidRPr="001D2342" w:rsidRDefault="008A656B" w:rsidP="00851097">
            <w:pPr>
              <w:rPr>
                <w:rFonts w:ascii="Times New Roman" w:hAnsi="Times New Roman" w:cs="Times New Roman"/>
                <w:sz w:val="16"/>
                <w:szCs w:val="16"/>
              </w:rPr>
            </w:pPr>
          </w:p>
        </w:tc>
        <w:tc>
          <w:tcPr>
            <w:tcW w:w="261" w:type="pct"/>
            <w:vAlign w:val="bottom"/>
          </w:tcPr>
          <w:p w14:paraId="332FDB85" w14:textId="77777777" w:rsidR="008A656B" w:rsidRPr="001D2342" w:rsidRDefault="008A656B" w:rsidP="00851097">
            <w:pPr>
              <w:rPr>
                <w:rFonts w:ascii="Times New Roman" w:hAnsi="Times New Roman" w:cs="Times New Roman"/>
                <w:sz w:val="16"/>
                <w:szCs w:val="16"/>
              </w:rPr>
            </w:pPr>
          </w:p>
        </w:tc>
        <w:tc>
          <w:tcPr>
            <w:tcW w:w="364" w:type="pct"/>
            <w:vAlign w:val="bottom"/>
          </w:tcPr>
          <w:p w14:paraId="4E054579" w14:textId="77777777" w:rsidR="008A656B" w:rsidRPr="001D2342" w:rsidRDefault="008A656B" w:rsidP="00851097">
            <w:pPr>
              <w:rPr>
                <w:rFonts w:ascii="Times New Roman" w:hAnsi="Times New Roman" w:cs="Times New Roman"/>
                <w:sz w:val="16"/>
                <w:szCs w:val="16"/>
              </w:rPr>
            </w:pPr>
          </w:p>
        </w:tc>
        <w:tc>
          <w:tcPr>
            <w:tcW w:w="373" w:type="pct"/>
            <w:vAlign w:val="bottom"/>
          </w:tcPr>
          <w:p w14:paraId="3B4709B9" w14:textId="77777777" w:rsidR="008A656B" w:rsidRPr="001D2342" w:rsidRDefault="008A656B" w:rsidP="00851097">
            <w:pPr>
              <w:rPr>
                <w:rFonts w:ascii="Times New Roman" w:hAnsi="Times New Roman" w:cs="Times New Roman"/>
                <w:sz w:val="16"/>
                <w:szCs w:val="16"/>
              </w:rPr>
            </w:pPr>
          </w:p>
        </w:tc>
        <w:tc>
          <w:tcPr>
            <w:tcW w:w="940" w:type="pct"/>
            <w:vAlign w:val="bottom"/>
          </w:tcPr>
          <w:p w14:paraId="2F4CE516" w14:textId="77777777" w:rsidR="008A656B" w:rsidRPr="001D2342" w:rsidRDefault="008A656B" w:rsidP="00851097">
            <w:pPr>
              <w:rPr>
                <w:rFonts w:ascii="Times New Roman" w:hAnsi="Times New Roman" w:cs="Times New Roman"/>
                <w:sz w:val="16"/>
                <w:szCs w:val="16"/>
              </w:rPr>
            </w:pPr>
          </w:p>
        </w:tc>
        <w:tc>
          <w:tcPr>
            <w:tcW w:w="201" w:type="pct"/>
            <w:vAlign w:val="bottom"/>
          </w:tcPr>
          <w:p w14:paraId="33FD3F88"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972</w:t>
            </w:r>
          </w:p>
        </w:tc>
        <w:tc>
          <w:tcPr>
            <w:tcW w:w="129" w:type="pct"/>
            <w:vAlign w:val="bottom"/>
          </w:tcPr>
          <w:p w14:paraId="157B0346" w14:textId="77777777" w:rsidR="008A656B" w:rsidRPr="001D2342" w:rsidRDefault="008A656B" w:rsidP="00851097">
            <w:pPr>
              <w:rPr>
                <w:rFonts w:ascii="Times New Roman" w:hAnsi="Times New Roman" w:cs="Times New Roman"/>
                <w:sz w:val="16"/>
                <w:szCs w:val="16"/>
              </w:rPr>
            </w:pPr>
          </w:p>
        </w:tc>
        <w:tc>
          <w:tcPr>
            <w:tcW w:w="189" w:type="pct"/>
            <w:vAlign w:val="bottom"/>
          </w:tcPr>
          <w:p w14:paraId="2B39571E"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25</w:t>
            </w:r>
          </w:p>
        </w:tc>
        <w:tc>
          <w:tcPr>
            <w:tcW w:w="110" w:type="pct"/>
            <w:vAlign w:val="bottom"/>
          </w:tcPr>
          <w:p w14:paraId="51CFE6B3" w14:textId="77777777" w:rsidR="008A656B" w:rsidRPr="001D2342" w:rsidRDefault="008A656B" w:rsidP="00851097">
            <w:pPr>
              <w:rPr>
                <w:rFonts w:ascii="Times New Roman" w:hAnsi="Times New Roman" w:cs="Times New Roman"/>
                <w:sz w:val="16"/>
                <w:szCs w:val="16"/>
              </w:rPr>
            </w:pPr>
          </w:p>
        </w:tc>
        <w:tc>
          <w:tcPr>
            <w:tcW w:w="192" w:type="pct"/>
            <w:vAlign w:val="bottom"/>
          </w:tcPr>
          <w:p w14:paraId="2FD241D6"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34</w:t>
            </w:r>
          </w:p>
        </w:tc>
        <w:tc>
          <w:tcPr>
            <w:tcW w:w="678" w:type="pct"/>
            <w:vAlign w:val="bottom"/>
          </w:tcPr>
          <w:p w14:paraId="30347C4B" w14:textId="77777777" w:rsidR="008A656B" w:rsidRPr="001D2342" w:rsidRDefault="008A656B" w:rsidP="00851097">
            <w:pPr>
              <w:rPr>
                <w:rFonts w:ascii="Times New Roman" w:hAnsi="Times New Roman" w:cs="Times New Roman"/>
                <w:sz w:val="16"/>
                <w:szCs w:val="16"/>
              </w:rPr>
            </w:pPr>
          </w:p>
        </w:tc>
        <w:tc>
          <w:tcPr>
            <w:tcW w:w="242" w:type="pct"/>
            <w:vAlign w:val="bottom"/>
          </w:tcPr>
          <w:p w14:paraId="68912302"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1 061,0</w:t>
            </w:r>
          </w:p>
        </w:tc>
        <w:tc>
          <w:tcPr>
            <w:tcW w:w="259" w:type="pct"/>
            <w:vAlign w:val="bottom"/>
          </w:tcPr>
          <w:p w14:paraId="22F8F4CC" w14:textId="77777777" w:rsidR="008A656B" w:rsidRPr="001D2342" w:rsidRDefault="008A656B" w:rsidP="00851097">
            <w:pPr>
              <w:rPr>
                <w:rFonts w:ascii="Times New Roman" w:hAnsi="Times New Roman" w:cs="Times New Roman"/>
                <w:sz w:val="16"/>
                <w:szCs w:val="16"/>
              </w:rPr>
            </w:pPr>
          </w:p>
        </w:tc>
        <w:tc>
          <w:tcPr>
            <w:tcW w:w="199" w:type="pct"/>
            <w:vAlign w:val="bottom"/>
          </w:tcPr>
          <w:p w14:paraId="43D3ED42" w14:textId="77777777" w:rsidR="008A656B" w:rsidRPr="001D2342" w:rsidRDefault="008A656B" w:rsidP="00851097">
            <w:pPr>
              <w:rPr>
                <w:rFonts w:ascii="Times New Roman" w:hAnsi="Times New Roman" w:cs="Times New Roman"/>
                <w:sz w:val="16"/>
                <w:szCs w:val="16"/>
              </w:rPr>
            </w:pPr>
          </w:p>
        </w:tc>
        <w:tc>
          <w:tcPr>
            <w:tcW w:w="242" w:type="pct"/>
            <w:vAlign w:val="bottom"/>
          </w:tcPr>
          <w:p w14:paraId="3441CAD4"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1 804,0</w:t>
            </w:r>
          </w:p>
        </w:tc>
        <w:tc>
          <w:tcPr>
            <w:tcW w:w="243" w:type="pct"/>
            <w:vAlign w:val="bottom"/>
          </w:tcPr>
          <w:p w14:paraId="5B0EF64A" w14:textId="77777777" w:rsidR="008A656B" w:rsidRPr="001D2342" w:rsidRDefault="008A656B" w:rsidP="00851097">
            <w:pPr>
              <w:rPr>
                <w:rFonts w:ascii="Times New Roman" w:hAnsi="Times New Roman" w:cs="Times New Roman"/>
                <w:sz w:val="16"/>
                <w:szCs w:val="16"/>
              </w:rPr>
            </w:pPr>
          </w:p>
        </w:tc>
      </w:tr>
      <w:tr w:rsidR="008A656B" w:rsidRPr="001D2342" w14:paraId="3B743361" w14:textId="77777777" w:rsidTr="00851097">
        <w:trPr>
          <w:trHeight w:val="260"/>
        </w:trPr>
        <w:tc>
          <w:tcPr>
            <w:tcW w:w="379" w:type="pct"/>
            <w:vAlign w:val="bottom"/>
          </w:tcPr>
          <w:p w14:paraId="15DA953E" w14:textId="77777777" w:rsidR="008A656B" w:rsidRPr="001D2342" w:rsidRDefault="008A656B" w:rsidP="00851097">
            <w:pPr>
              <w:rPr>
                <w:rFonts w:ascii="Times New Roman" w:hAnsi="Times New Roman" w:cs="Times New Roman"/>
                <w:sz w:val="16"/>
                <w:szCs w:val="16"/>
              </w:rPr>
            </w:pPr>
          </w:p>
        </w:tc>
        <w:tc>
          <w:tcPr>
            <w:tcW w:w="261" w:type="pct"/>
            <w:vAlign w:val="bottom"/>
          </w:tcPr>
          <w:p w14:paraId="7D9C2B49" w14:textId="77777777" w:rsidR="008A656B" w:rsidRPr="001D2342" w:rsidRDefault="008A656B" w:rsidP="00851097">
            <w:pPr>
              <w:rPr>
                <w:rFonts w:ascii="Times New Roman" w:hAnsi="Times New Roman" w:cs="Times New Roman"/>
                <w:sz w:val="16"/>
                <w:szCs w:val="16"/>
              </w:rPr>
            </w:pPr>
          </w:p>
        </w:tc>
        <w:tc>
          <w:tcPr>
            <w:tcW w:w="364" w:type="pct"/>
            <w:vAlign w:val="bottom"/>
          </w:tcPr>
          <w:p w14:paraId="6B357F76" w14:textId="77777777" w:rsidR="008A656B" w:rsidRPr="001D2342" w:rsidRDefault="008A656B" w:rsidP="00851097">
            <w:pPr>
              <w:rPr>
                <w:rFonts w:ascii="Times New Roman" w:hAnsi="Times New Roman" w:cs="Times New Roman"/>
                <w:sz w:val="16"/>
                <w:szCs w:val="16"/>
              </w:rPr>
            </w:pPr>
          </w:p>
        </w:tc>
        <w:tc>
          <w:tcPr>
            <w:tcW w:w="373" w:type="pct"/>
            <w:vAlign w:val="bottom"/>
          </w:tcPr>
          <w:p w14:paraId="7E67BA17" w14:textId="77777777" w:rsidR="008A656B" w:rsidRPr="001D2342" w:rsidRDefault="008A656B" w:rsidP="00851097">
            <w:pPr>
              <w:rPr>
                <w:rFonts w:ascii="Times New Roman" w:hAnsi="Times New Roman" w:cs="Times New Roman"/>
                <w:sz w:val="16"/>
                <w:szCs w:val="16"/>
              </w:rPr>
            </w:pPr>
          </w:p>
        </w:tc>
        <w:tc>
          <w:tcPr>
            <w:tcW w:w="940" w:type="pct"/>
            <w:vAlign w:val="bottom"/>
          </w:tcPr>
          <w:p w14:paraId="6C5AF7AB" w14:textId="77777777" w:rsidR="008A656B" w:rsidRPr="001D2342" w:rsidRDefault="008A656B" w:rsidP="00851097">
            <w:pPr>
              <w:rPr>
                <w:rFonts w:ascii="Times New Roman" w:hAnsi="Times New Roman" w:cs="Times New Roman"/>
                <w:sz w:val="16"/>
                <w:szCs w:val="16"/>
              </w:rPr>
            </w:pPr>
          </w:p>
        </w:tc>
        <w:tc>
          <w:tcPr>
            <w:tcW w:w="201" w:type="pct"/>
            <w:vAlign w:val="bottom"/>
          </w:tcPr>
          <w:p w14:paraId="78DC49F0"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2 694</w:t>
            </w:r>
          </w:p>
        </w:tc>
        <w:tc>
          <w:tcPr>
            <w:tcW w:w="129" w:type="pct"/>
            <w:vAlign w:val="bottom"/>
          </w:tcPr>
          <w:p w14:paraId="360D6EE7" w14:textId="77777777" w:rsidR="008A656B" w:rsidRPr="001D2342" w:rsidRDefault="008A656B" w:rsidP="00851097">
            <w:pPr>
              <w:rPr>
                <w:rFonts w:ascii="Times New Roman" w:hAnsi="Times New Roman" w:cs="Times New Roman"/>
                <w:sz w:val="16"/>
                <w:szCs w:val="16"/>
              </w:rPr>
            </w:pPr>
          </w:p>
        </w:tc>
        <w:tc>
          <w:tcPr>
            <w:tcW w:w="189" w:type="pct"/>
            <w:vAlign w:val="bottom"/>
          </w:tcPr>
          <w:p w14:paraId="3C64715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35</w:t>
            </w:r>
          </w:p>
        </w:tc>
        <w:tc>
          <w:tcPr>
            <w:tcW w:w="110" w:type="pct"/>
            <w:vAlign w:val="bottom"/>
          </w:tcPr>
          <w:p w14:paraId="745D76F0" w14:textId="77777777" w:rsidR="008A656B" w:rsidRPr="001D2342" w:rsidRDefault="008A656B" w:rsidP="00851097">
            <w:pPr>
              <w:rPr>
                <w:rFonts w:ascii="Times New Roman" w:hAnsi="Times New Roman" w:cs="Times New Roman"/>
                <w:sz w:val="16"/>
                <w:szCs w:val="16"/>
              </w:rPr>
            </w:pPr>
          </w:p>
        </w:tc>
        <w:tc>
          <w:tcPr>
            <w:tcW w:w="192" w:type="pct"/>
            <w:vAlign w:val="bottom"/>
          </w:tcPr>
          <w:p w14:paraId="40A8CEF2"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50</w:t>
            </w:r>
          </w:p>
        </w:tc>
        <w:tc>
          <w:tcPr>
            <w:tcW w:w="678" w:type="pct"/>
            <w:vAlign w:val="bottom"/>
          </w:tcPr>
          <w:p w14:paraId="2717FA33" w14:textId="77777777" w:rsidR="008A656B" w:rsidRPr="001D2342" w:rsidRDefault="008A656B" w:rsidP="00851097">
            <w:pPr>
              <w:rPr>
                <w:rFonts w:ascii="Times New Roman" w:hAnsi="Times New Roman" w:cs="Times New Roman"/>
                <w:sz w:val="16"/>
                <w:szCs w:val="16"/>
              </w:rPr>
            </w:pPr>
          </w:p>
        </w:tc>
        <w:tc>
          <w:tcPr>
            <w:tcW w:w="242" w:type="pct"/>
            <w:vAlign w:val="bottom"/>
          </w:tcPr>
          <w:p w14:paraId="5DE639A9"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1 067,0</w:t>
            </w:r>
          </w:p>
        </w:tc>
        <w:tc>
          <w:tcPr>
            <w:tcW w:w="259" w:type="pct"/>
            <w:vAlign w:val="bottom"/>
          </w:tcPr>
          <w:p w14:paraId="643EFF01" w14:textId="77777777" w:rsidR="008A656B" w:rsidRPr="001D2342" w:rsidRDefault="008A656B" w:rsidP="00851097">
            <w:pPr>
              <w:rPr>
                <w:rFonts w:ascii="Times New Roman" w:hAnsi="Times New Roman" w:cs="Times New Roman"/>
                <w:sz w:val="16"/>
                <w:szCs w:val="16"/>
              </w:rPr>
            </w:pPr>
          </w:p>
        </w:tc>
        <w:tc>
          <w:tcPr>
            <w:tcW w:w="199" w:type="pct"/>
            <w:vAlign w:val="bottom"/>
          </w:tcPr>
          <w:p w14:paraId="5FC9B7CE" w14:textId="77777777" w:rsidR="008A656B" w:rsidRPr="001D2342" w:rsidRDefault="008A656B" w:rsidP="00851097">
            <w:pPr>
              <w:rPr>
                <w:rFonts w:ascii="Times New Roman" w:hAnsi="Times New Roman" w:cs="Times New Roman"/>
                <w:sz w:val="16"/>
                <w:szCs w:val="16"/>
              </w:rPr>
            </w:pPr>
          </w:p>
        </w:tc>
        <w:tc>
          <w:tcPr>
            <w:tcW w:w="242" w:type="pct"/>
            <w:vAlign w:val="bottom"/>
          </w:tcPr>
          <w:p w14:paraId="589D4FFF"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1 815,0</w:t>
            </w:r>
          </w:p>
        </w:tc>
        <w:tc>
          <w:tcPr>
            <w:tcW w:w="243" w:type="pct"/>
            <w:vAlign w:val="bottom"/>
          </w:tcPr>
          <w:p w14:paraId="2612D4A3" w14:textId="77777777" w:rsidR="008A656B" w:rsidRPr="001D2342" w:rsidRDefault="008A656B" w:rsidP="00851097">
            <w:pPr>
              <w:rPr>
                <w:rFonts w:ascii="Times New Roman" w:hAnsi="Times New Roman" w:cs="Times New Roman"/>
                <w:sz w:val="16"/>
                <w:szCs w:val="16"/>
              </w:rPr>
            </w:pPr>
          </w:p>
        </w:tc>
      </w:tr>
      <w:tr w:rsidR="008A656B" w:rsidRPr="001D2342" w14:paraId="1BCEA4CE" w14:textId="77777777" w:rsidTr="00851097">
        <w:trPr>
          <w:trHeight w:val="260"/>
        </w:trPr>
        <w:tc>
          <w:tcPr>
            <w:tcW w:w="379" w:type="pct"/>
            <w:vAlign w:val="bottom"/>
          </w:tcPr>
          <w:p w14:paraId="73E3D29F" w14:textId="77777777" w:rsidR="008A656B" w:rsidRPr="001D2342" w:rsidRDefault="008A656B" w:rsidP="00851097">
            <w:pPr>
              <w:rPr>
                <w:rFonts w:ascii="Times New Roman" w:hAnsi="Times New Roman" w:cs="Times New Roman"/>
                <w:sz w:val="16"/>
                <w:szCs w:val="16"/>
              </w:rPr>
            </w:pPr>
          </w:p>
        </w:tc>
        <w:tc>
          <w:tcPr>
            <w:tcW w:w="261" w:type="pct"/>
            <w:vAlign w:val="bottom"/>
          </w:tcPr>
          <w:p w14:paraId="06141B6C" w14:textId="77777777" w:rsidR="008A656B" w:rsidRPr="001D2342" w:rsidRDefault="008A656B" w:rsidP="00851097">
            <w:pPr>
              <w:rPr>
                <w:rFonts w:ascii="Times New Roman" w:hAnsi="Times New Roman" w:cs="Times New Roman"/>
                <w:sz w:val="16"/>
                <w:szCs w:val="16"/>
              </w:rPr>
            </w:pPr>
          </w:p>
        </w:tc>
        <w:tc>
          <w:tcPr>
            <w:tcW w:w="364" w:type="pct"/>
            <w:vAlign w:val="bottom"/>
          </w:tcPr>
          <w:p w14:paraId="4C6CA2E0" w14:textId="77777777" w:rsidR="008A656B" w:rsidRPr="001D2342" w:rsidRDefault="008A656B" w:rsidP="00851097">
            <w:pPr>
              <w:rPr>
                <w:rFonts w:ascii="Times New Roman" w:hAnsi="Times New Roman" w:cs="Times New Roman"/>
                <w:sz w:val="16"/>
                <w:szCs w:val="16"/>
              </w:rPr>
            </w:pPr>
          </w:p>
        </w:tc>
        <w:tc>
          <w:tcPr>
            <w:tcW w:w="373" w:type="pct"/>
            <w:vAlign w:val="bottom"/>
          </w:tcPr>
          <w:p w14:paraId="7EB13E64" w14:textId="77777777" w:rsidR="008A656B" w:rsidRPr="001D2342" w:rsidRDefault="008A656B" w:rsidP="00851097">
            <w:pPr>
              <w:rPr>
                <w:rFonts w:ascii="Times New Roman" w:hAnsi="Times New Roman" w:cs="Times New Roman"/>
                <w:sz w:val="16"/>
                <w:szCs w:val="16"/>
              </w:rPr>
            </w:pPr>
          </w:p>
        </w:tc>
        <w:tc>
          <w:tcPr>
            <w:tcW w:w="940" w:type="pct"/>
            <w:vAlign w:val="bottom"/>
          </w:tcPr>
          <w:p w14:paraId="70B38C6B" w14:textId="77777777" w:rsidR="008A656B" w:rsidRPr="001D2342" w:rsidRDefault="008A656B" w:rsidP="00851097">
            <w:pPr>
              <w:rPr>
                <w:rFonts w:ascii="Times New Roman" w:hAnsi="Times New Roman" w:cs="Times New Roman"/>
                <w:sz w:val="16"/>
                <w:szCs w:val="16"/>
              </w:rPr>
            </w:pPr>
          </w:p>
        </w:tc>
        <w:tc>
          <w:tcPr>
            <w:tcW w:w="201" w:type="pct"/>
            <w:shd w:val="clear" w:color="auto" w:fill="D9D9D9" w:themeFill="background1" w:themeFillShade="D9"/>
            <w:vAlign w:val="bottom"/>
          </w:tcPr>
          <w:p w14:paraId="331EDC15"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1 840</w:t>
            </w:r>
          </w:p>
        </w:tc>
        <w:tc>
          <w:tcPr>
            <w:tcW w:w="129" w:type="pct"/>
            <w:shd w:val="clear" w:color="auto" w:fill="D9D9D9" w:themeFill="background1" w:themeFillShade="D9"/>
            <w:vAlign w:val="bottom"/>
          </w:tcPr>
          <w:p w14:paraId="41EDEB2B" w14:textId="77777777" w:rsidR="008A656B" w:rsidRPr="001D2342" w:rsidRDefault="008A656B" w:rsidP="00851097">
            <w:pPr>
              <w:rPr>
                <w:rFonts w:ascii="Times New Roman" w:hAnsi="Times New Roman" w:cs="Times New Roman"/>
                <w:sz w:val="16"/>
                <w:szCs w:val="16"/>
              </w:rPr>
            </w:pPr>
          </w:p>
        </w:tc>
        <w:tc>
          <w:tcPr>
            <w:tcW w:w="189" w:type="pct"/>
            <w:shd w:val="clear" w:color="auto" w:fill="D9D9D9" w:themeFill="background1" w:themeFillShade="D9"/>
            <w:vAlign w:val="bottom"/>
          </w:tcPr>
          <w:p w14:paraId="5F63ACC8"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51</w:t>
            </w:r>
          </w:p>
        </w:tc>
        <w:tc>
          <w:tcPr>
            <w:tcW w:w="110" w:type="pct"/>
            <w:shd w:val="clear" w:color="auto" w:fill="D9D9D9" w:themeFill="background1" w:themeFillShade="D9"/>
            <w:vAlign w:val="bottom"/>
          </w:tcPr>
          <w:p w14:paraId="0DE85E89" w14:textId="77777777" w:rsidR="008A656B" w:rsidRPr="001D2342" w:rsidRDefault="008A656B" w:rsidP="00851097">
            <w:pPr>
              <w:rPr>
                <w:rFonts w:ascii="Times New Roman" w:hAnsi="Times New Roman" w:cs="Times New Roman"/>
                <w:sz w:val="16"/>
                <w:szCs w:val="16"/>
              </w:rPr>
            </w:pPr>
          </w:p>
        </w:tc>
        <w:tc>
          <w:tcPr>
            <w:tcW w:w="192" w:type="pct"/>
            <w:shd w:val="clear" w:color="auto" w:fill="D9D9D9" w:themeFill="background1" w:themeFillShade="D9"/>
            <w:vAlign w:val="bottom"/>
          </w:tcPr>
          <w:p w14:paraId="267F5422"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64</w:t>
            </w:r>
          </w:p>
        </w:tc>
        <w:tc>
          <w:tcPr>
            <w:tcW w:w="678" w:type="pct"/>
            <w:shd w:val="clear" w:color="auto" w:fill="D9D9D9" w:themeFill="background1" w:themeFillShade="D9"/>
            <w:vAlign w:val="bottom"/>
          </w:tcPr>
          <w:p w14:paraId="7DCB7630"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0182077A"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1 011,0</w:t>
            </w:r>
          </w:p>
        </w:tc>
        <w:tc>
          <w:tcPr>
            <w:tcW w:w="259" w:type="pct"/>
            <w:shd w:val="clear" w:color="auto" w:fill="D9D9D9" w:themeFill="background1" w:themeFillShade="D9"/>
            <w:vAlign w:val="bottom"/>
          </w:tcPr>
          <w:p w14:paraId="7465867E" w14:textId="77777777" w:rsidR="008A656B" w:rsidRPr="001D2342" w:rsidRDefault="008A656B" w:rsidP="00851097">
            <w:pPr>
              <w:rPr>
                <w:rFonts w:ascii="Times New Roman" w:hAnsi="Times New Roman" w:cs="Times New Roman"/>
                <w:sz w:val="16"/>
                <w:szCs w:val="16"/>
              </w:rPr>
            </w:pPr>
          </w:p>
        </w:tc>
        <w:tc>
          <w:tcPr>
            <w:tcW w:w="199" w:type="pct"/>
            <w:shd w:val="clear" w:color="auto" w:fill="D9D9D9" w:themeFill="background1" w:themeFillShade="D9"/>
            <w:vAlign w:val="bottom"/>
          </w:tcPr>
          <w:p w14:paraId="75E5924C"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032A6307"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1 700,0</w:t>
            </w:r>
          </w:p>
        </w:tc>
        <w:tc>
          <w:tcPr>
            <w:tcW w:w="243" w:type="pct"/>
            <w:shd w:val="clear" w:color="auto" w:fill="D9D9D9" w:themeFill="background1" w:themeFillShade="D9"/>
            <w:vAlign w:val="bottom"/>
          </w:tcPr>
          <w:p w14:paraId="0C25A8F0" w14:textId="77777777" w:rsidR="008A656B" w:rsidRPr="001D2342" w:rsidRDefault="008A656B" w:rsidP="00851097">
            <w:pPr>
              <w:rPr>
                <w:rFonts w:ascii="Times New Roman" w:hAnsi="Times New Roman" w:cs="Times New Roman"/>
                <w:sz w:val="16"/>
                <w:szCs w:val="16"/>
              </w:rPr>
            </w:pPr>
          </w:p>
        </w:tc>
      </w:tr>
      <w:tr w:rsidR="008A656B" w:rsidRPr="001D2342" w14:paraId="5C9AA0FC" w14:textId="77777777" w:rsidTr="00851097">
        <w:trPr>
          <w:trHeight w:val="260"/>
        </w:trPr>
        <w:tc>
          <w:tcPr>
            <w:tcW w:w="379" w:type="pct"/>
            <w:vAlign w:val="bottom"/>
          </w:tcPr>
          <w:p w14:paraId="61954459" w14:textId="77777777" w:rsidR="008A656B" w:rsidRPr="001D2342" w:rsidRDefault="008A656B" w:rsidP="00851097">
            <w:pPr>
              <w:rPr>
                <w:rFonts w:ascii="Times New Roman" w:hAnsi="Times New Roman" w:cs="Times New Roman"/>
                <w:sz w:val="16"/>
                <w:szCs w:val="16"/>
              </w:rPr>
            </w:pPr>
          </w:p>
        </w:tc>
        <w:tc>
          <w:tcPr>
            <w:tcW w:w="261" w:type="pct"/>
            <w:vAlign w:val="bottom"/>
          </w:tcPr>
          <w:p w14:paraId="366BECE7" w14:textId="77777777" w:rsidR="008A656B" w:rsidRPr="001D2342" w:rsidRDefault="008A656B" w:rsidP="00851097">
            <w:pPr>
              <w:rPr>
                <w:rFonts w:ascii="Times New Roman" w:hAnsi="Times New Roman" w:cs="Times New Roman"/>
                <w:sz w:val="16"/>
                <w:szCs w:val="16"/>
              </w:rPr>
            </w:pPr>
          </w:p>
        </w:tc>
        <w:tc>
          <w:tcPr>
            <w:tcW w:w="364" w:type="pct"/>
            <w:vAlign w:val="bottom"/>
          </w:tcPr>
          <w:p w14:paraId="656C1E8D" w14:textId="77777777" w:rsidR="008A656B" w:rsidRPr="001D2342" w:rsidRDefault="008A656B" w:rsidP="00851097">
            <w:pPr>
              <w:rPr>
                <w:rFonts w:ascii="Times New Roman" w:hAnsi="Times New Roman" w:cs="Times New Roman"/>
                <w:sz w:val="16"/>
                <w:szCs w:val="16"/>
              </w:rPr>
            </w:pPr>
          </w:p>
        </w:tc>
        <w:tc>
          <w:tcPr>
            <w:tcW w:w="373" w:type="pct"/>
            <w:vAlign w:val="bottom"/>
          </w:tcPr>
          <w:p w14:paraId="7FDCEFBE" w14:textId="77777777" w:rsidR="008A656B" w:rsidRPr="001D2342" w:rsidRDefault="008A656B" w:rsidP="00851097">
            <w:pPr>
              <w:rPr>
                <w:rFonts w:ascii="Times New Roman" w:hAnsi="Times New Roman" w:cs="Times New Roman"/>
                <w:sz w:val="16"/>
                <w:szCs w:val="16"/>
              </w:rPr>
            </w:pPr>
          </w:p>
        </w:tc>
        <w:tc>
          <w:tcPr>
            <w:tcW w:w="940" w:type="pct"/>
            <w:vAlign w:val="bottom"/>
          </w:tcPr>
          <w:p w14:paraId="59E65B23" w14:textId="77777777" w:rsidR="008A656B" w:rsidRPr="001D2342" w:rsidRDefault="008A656B" w:rsidP="00851097">
            <w:pPr>
              <w:rPr>
                <w:rFonts w:ascii="Times New Roman" w:hAnsi="Times New Roman" w:cs="Times New Roman"/>
                <w:sz w:val="16"/>
                <w:szCs w:val="16"/>
              </w:rPr>
            </w:pPr>
          </w:p>
        </w:tc>
        <w:tc>
          <w:tcPr>
            <w:tcW w:w="201" w:type="pct"/>
            <w:shd w:val="clear" w:color="auto" w:fill="D9D9D9" w:themeFill="background1" w:themeFillShade="D9"/>
            <w:vAlign w:val="bottom"/>
          </w:tcPr>
          <w:p w14:paraId="75432527"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1 562</w:t>
            </w:r>
          </w:p>
        </w:tc>
        <w:tc>
          <w:tcPr>
            <w:tcW w:w="129" w:type="pct"/>
            <w:shd w:val="clear" w:color="auto" w:fill="D9D9D9" w:themeFill="background1" w:themeFillShade="D9"/>
            <w:vAlign w:val="bottom"/>
          </w:tcPr>
          <w:p w14:paraId="2BF54866" w14:textId="77777777" w:rsidR="008A656B" w:rsidRPr="001D2342" w:rsidRDefault="008A656B" w:rsidP="00851097">
            <w:pPr>
              <w:rPr>
                <w:rFonts w:ascii="Times New Roman" w:hAnsi="Times New Roman" w:cs="Times New Roman"/>
                <w:sz w:val="16"/>
                <w:szCs w:val="16"/>
              </w:rPr>
            </w:pPr>
          </w:p>
        </w:tc>
        <w:tc>
          <w:tcPr>
            <w:tcW w:w="189" w:type="pct"/>
            <w:shd w:val="clear" w:color="auto" w:fill="D9D9D9" w:themeFill="background1" w:themeFillShade="D9"/>
            <w:vAlign w:val="bottom"/>
          </w:tcPr>
          <w:p w14:paraId="7BE7350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65</w:t>
            </w:r>
          </w:p>
        </w:tc>
        <w:tc>
          <w:tcPr>
            <w:tcW w:w="110" w:type="pct"/>
            <w:shd w:val="clear" w:color="auto" w:fill="D9D9D9" w:themeFill="background1" w:themeFillShade="D9"/>
            <w:vAlign w:val="bottom"/>
          </w:tcPr>
          <w:p w14:paraId="6FE9AAA0" w14:textId="77777777" w:rsidR="008A656B" w:rsidRPr="001D2342" w:rsidRDefault="008A656B" w:rsidP="00851097">
            <w:pPr>
              <w:rPr>
                <w:rFonts w:ascii="Times New Roman" w:hAnsi="Times New Roman" w:cs="Times New Roman"/>
                <w:sz w:val="16"/>
                <w:szCs w:val="16"/>
              </w:rPr>
            </w:pPr>
          </w:p>
        </w:tc>
        <w:tc>
          <w:tcPr>
            <w:tcW w:w="192" w:type="pct"/>
            <w:shd w:val="clear" w:color="auto" w:fill="D9D9D9" w:themeFill="background1" w:themeFillShade="D9"/>
            <w:vAlign w:val="bottom"/>
          </w:tcPr>
          <w:p w14:paraId="7243A3C0"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80</w:t>
            </w:r>
          </w:p>
        </w:tc>
        <w:tc>
          <w:tcPr>
            <w:tcW w:w="678" w:type="pct"/>
            <w:shd w:val="clear" w:color="auto" w:fill="D9D9D9" w:themeFill="background1" w:themeFillShade="D9"/>
            <w:vAlign w:val="bottom"/>
          </w:tcPr>
          <w:p w14:paraId="27EDDEAF"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6B84A2A2"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918,0</w:t>
            </w:r>
          </w:p>
        </w:tc>
        <w:tc>
          <w:tcPr>
            <w:tcW w:w="259" w:type="pct"/>
            <w:shd w:val="clear" w:color="auto" w:fill="D9D9D9" w:themeFill="background1" w:themeFillShade="D9"/>
            <w:vAlign w:val="bottom"/>
          </w:tcPr>
          <w:p w14:paraId="5A60107E" w14:textId="77777777" w:rsidR="008A656B" w:rsidRPr="001D2342" w:rsidRDefault="008A656B" w:rsidP="00851097">
            <w:pPr>
              <w:rPr>
                <w:rFonts w:ascii="Times New Roman" w:hAnsi="Times New Roman" w:cs="Times New Roman"/>
                <w:sz w:val="16"/>
                <w:szCs w:val="16"/>
              </w:rPr>
            </w:pPr>
          </w:p>
        </w:tc>
        <w:tc>
          <w:tcPr>
            <w:tcW w:w="199" w:type="pct"/>
            <w:shd w:val="clear" w:color="auto" w:fill="D9D9D9" w:themeFill="background1" w:themeFillShade="D9"/>
            <w:vAlign w:val="bottom"/>
          </w:tcPr>
          <w:p w14:paraId="3265A47D"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00642CC6"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1 553,0</w:t>
            </w:r>
          </w:p>
        </w:tc>
        <w:tc>
          <w:tcPr>
            <w:tcW w:w="243" w:type="pct"/>
            <w:shd w:val="clear" w:color="auto" w:fill="D9D9D9" w:themeFill="background1" w:themeFillShade="D9"/>
            <w:vAlign w:val="bottom"/>
          </w:tcPr>
          <w:p w14:paraId="1E1667D9" w14:textId="77777777" w:rsidR="008A656B" w:rsidRPr="001D2342" w:rsidRDefault="008A656B" w:rsidP="00851097">
            <w:pPr>
              <w:rPr>
                <w:rFonts w:ascii="Times New Roman" w:hAnsi="Times New Roman" w:cs="Times New Roman"/>
                <w:sz w:val="16"/>
                <w:szCs w:val="16"/>
              </w:rPr>
            </w:pPr>
          </w:p>
        </w:tc>
      </w:tr>
      <w:tr w:rsidR="008A656B" w:rsidRPr="001D2342" w14:paraId="4927F968" w14:textId="77777777" w:rsidTr="00851097">
        <w:trPr>
          <w:trHeight w:val="1289"/>
        </w:trPr>
        <w:tc>
          <w:tcPr>
            <w:tcW w:w="379" w:type="pct"/>
            <w:vAlign w:val="bottom"/>
          </w:tcPr>
          <w:p w14:paraId="331ED1C4" w14:textId="77777777" w:rsidR="008A656B" w:rsidRPr="001D2342" w:rsidRDefault="008A656B" w:rsidP="00851097">
            <w:pPr>
              <w:rPr>
                <w:rFonts w:ascii="Times New Roman" w:hAnsi="Times New Roman" w:cs="Times New Roman"/>
                <w:sz w:val="16"/>
                <w:szCs w:val="16"/>
              </w:rPr>
            </w:pPr>
          </w:p>
        </w:tc>
        <w:tc>
          <w:tcPr>
            <w:tcW w:w="261" w:type="pct"/>
            <w:vAlign w:val="bottom"/>
          </w:tcPr>
          <w:p w14:paraId="40622D76" w14:textId="77777777" w:rsidR="008A656B" w:rsidRPr="001D2342" w:rsidRDefault="008A656B" w:rsidP="00851097">
            <w:pPr>
              <w:rPr>
                <w:rFonts w:ascii="Times New Roman" w:hAnsi="Times New Roman" w:cs="Times New Roman"/>
                <w:sz w:val="16"/>
                <w:szCs w:val="16"/>
              </w:rPr>
            </w:pPr>
          </w:p>
        </w:tc>
        <w:tc>
          <w:tcPr>
            <w:tcW w:w="364" w:type="pct"/>
            <w:vAlign w:val="bottom"/>
          </w:tcPr>
          <w:p w14:paraId="1176D8DE"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Īrija</w:t>
            </w:r>
          </w:p>
        </w:tc>
        <w:tc>
          <w:tcPr>
            <w:tcW w:w="373" w:type="pct"/>
            <w:vAlign w:val="bottom"/>
          </w:tcPr>
          <w:p w14:paraId="176A7DB0"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(IUNA (Irish Universities Nutrition Alliance), 2011)</w:t>
            </w:r>
          </w:p>
        </w:tc>
        <w:tc>
          <w:tcPr>
            <w:tcW w:w="940" w:type="pct"/>
            <w:vAlign w:val="bottom"/>
          </w:tcPr>
          <w:p w14:paraId="6B6495E3" w14:textId="77777777" w:rsidR="008A656B" w:rsidRPr="001D2342" w:rsidRDefault="008A656B" w:rsidP="00851097">
            <w:pPr>
              <w:pStyle w:val="TableParagraph"/>
              <w:rPr>
                <w:rFonts w:ascii="Times New Roman" w:eastAsia="Times New Roman" w:hAnsi="Times New Roman" w:cs="Times New Roman"/>
                <w:bCs/>
                <w:noProof/>
                <w:color w:val="000000" w:themeColor="text1"/>
                <w:sz w:val="16"/>
                <w:szCs w:val="16"/>
              </w:rPr>
            </w:pPr>
          </w:p>
          <w:p w14:paraId="0CD71436" w14:textId="77777777" w:rsidR="008A656B" w:rsidRPr="001D2342" w:rsidRDefault="008A656B" w:rsidP="00851097">
            <w:pPr>
              <w:pStyle w:val="TableParagraph"/>
              <w:rPr>
                <w:rFonts w:ascii="Times New Roman" w:eastAsia="Times New Roman" w:hAnsi="Times New Roman" w:cs="Times New Roman"/>
                <w:bCs/>
                <w:noProof/>
                <w:color w:val="000000" w:themeColor="text1"/>
                <w:sz w:val="16"/>
                <w:szCs w:val="16"/>
              </w:rPr>
            </w:pPr>
          </w:p>
          <w:p w14:paraId="322F2114" w14:textId="77777777" w:rsidR="008A656B" w:rsidRPr="001D2342" w:rsidRDefault="008A656B" w:rsidP="00851097">
            <w:pPr>
              <w:pStyle w:val="TableParagraph"/>
              <w:rPr>
                <w:rFonts w:ascii="Times New Roman" w:eastAsia="Times New Roman" w:hAnsi="Times New Roman" w:cs="Times New Roman"/>
                <w:bCs/>
                <w:noProof/>
                <w:color w:val="000000" w:themeColor="text1"/>
                <w:sz w:val="16"/>
                <w:szCs w:val="16"/>
              </w:rPr>
            </w:pPr>
          </w:p>
          <w:p w14:paraId="5514BE5A" w14:textId="77777777" w:rsidR="008A656B" w:rsidRPr="001D2342" w:rsidRDefault="008A656B" w:rsidP="00851097">
            <w:pPr>
              <w:pStyle w:val="TableParagraph"/>
              <w:rPr>
                <w:rFonts w:ascii="Times New Roman" w:eastAsia="Times New Roman" w:hAnsi="Times New Roman" w:cs="Times New Roman"/>
                <w:bCs/>
                <w:noProof/>
                <w:color w:val="000000" w:themeColor="text1"/>
                <w:sz w:val="16"/>
                <w:szCs w:val="16"/>
              </w:rPr>
            </w:pPr>
          </w:p>
          <w:p w14:paraId="17D7647B" w14:textId="77777777" w:rsidR="008A656B" w:rsidRPr="001D2342" w:rsidRDefault="008A656B" w:rsidP="00851097">
            <w:pPr>
              <w:rPr>
                <w:rFonts w:ascii="Times New Roman" w:hAnsi="Times New Roman" w:cs="Times New Roman"/>
                <w:sz w:val="16"/>
                <w:szCs w:val="16"/>
              </w:rPr>
            </w:pPr>
            <w:r>
              <w:rPr>
                <w:rFonts w:ascii="Times New Roman" w:hAnsi="Times New Roman"/>
                <w:color w:val="000000" w:themeColor="text1"/>
                <w:sz w:val="16"/>
              </w:rPr>
              <w:t>4 dienu uztura pieraksts</w:t>
            </w:r>
          </w:p>
        </w:tc>
        <w:tc>
          <w:tcPr>
            <w:tcW w:w="201" w:type="pct"/>
            <w:vAlign w:val="bottom"/>
          </w:tcPr>
          <w:p w14:paraId="3D3677B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255</w:t>
            </w:r>
          </w:p>
        </w:tc>
        <w:tc>
          <w:tcPr>
            <w:tcW w:w="129" w:type="pct"/>
            <w:vAlign w:val="bottom"/>
          </w:tcPr>
          <w:p w14:paraId="6D9C31D9" w14:textId="77777777" w:rsidR="008A656B" w:rsidRPr="001D2342" w:rsidRDefault="008A656B" w:rsidP="00851097">
            <w:pPr>
              <w:rPr>
                <w:rFonts w:ascii="Times New Roman" w:hAnsi="Times New Roman" w:cs="Times New Roman"/>
                <w:sz w:val="16"/>
                <w:szCs w:val="16"/>
              </w:rPr>
            </w:pPr>
          </w:p>
        </w:tc>
        <w:tc>
          <w:tcPr>
            <w:tcW w:w="189" w:type="pct"/>
            <w:vAlign w:val="bottom"/>
          </w:tcPr>
          <w:p w14:paraId="1C3147C6"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18</w:t>
            </w:r>
          </w:p>
        </w:tc>
        <w:tc>
          <w:tcPr>
            <w:tcW w:w="110" w:type="pct"/>
            <w:vAlign w:val="bottom"/>
          </w:tcPr>
          <w:p w14:paraId="299B26D0" w14:textId="77777777" w:rsidR="008A656B" w:rsidRPr="001D2342" w:rsidRDefault="008A656B" w:rsidP="00851097">
            <w:pPr>
              <w:rPr>
                <w:rFonts w:ascii="Times New Roman" w:hAnsi="Times New Roman" w:cs="Times New Roman"/>
                <w:sz w:val="16"/>
                <w:szCs w:val="16"/>
              </w:rPr>
            </w:pPr>
          </w:p>
        </w:tc>
        <w:tc>
          <w:tcPr>
            <w:tcW w:w="192" w:type="pct"/>
            <w:vAlign w:val="bottom"/>
          </w:tcPr>
          <w:p w14:paraId="402CAFA9"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35</w:t>
            </w:r>
          </w:p>
        </w:tc>
        <w:tc>
          <w:tcPr>
            <w:tcW w:w="678" w:type="pct"/>
            <w:vAlign w:val="bottom"/>
          </w:tcPr>
          <w:p w14:paraId="0D5BC5C8" w14:textId="77777777" w:rsidR="008A656B" w:rsidRPr="001D2342" w:rsidRDefault="008A656B" w:rsidP="00851097">
            <w:pPr>
              <w:rPr>
                <w:rFonts w:ascii="Times New Roman" w:hAnsi="Times New Roman" w:cs="Times New Roman"/>
                <w:sz w:val="16"/>
                <w:szCs w:val="16"/>
              </w:rPr>
            </w:pPr>
          </w:p>
        </w:tc>
        <w:tc>
          <w:tcPr>
            <w:tcW w:w="242" w:type="pct"/>
            <w:vAlign w:val="bottom"/>
          </w:tcPr>
          <w:p w14:paraId="14BF45E7"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772,0</w:t>
            </w:r>
          </w:p>
        </w:tc>
        <w:tc>
          <w:tcPr>
            <w:tcW w:w="259" w:type="pct"/>
            <w:vAlign w:val="bottom"/>
          </w:tcPr>
          <w:p w14:paraId="08E963E5" w14:textId="77777777" w:rsidR="008A656B" w:rsidRPr="001D2342" w:rsidRDefault="008A656B" w:rsidP="00851097">
            <w:pPr>
              <w:rPr>
                <w:rFonts w:ascii="Times New Roman" w:hAnsi="Times New Roman" w:cs="Times New Roman"/>
                <w:sz w:val="16"/>
                <w:szCs w:val="16"/>
              </w:rPr>
            </w:pPr>
          </w:p>
        </w:tc>
        <w:tc>
          <w:tcPr>
            <w:tcW w:w="199" w:type="pct"/>
            <w:vAlign w:val="bottom"/>
          </w:tcPr>
          <w:p w14:paraId="7CAA0BC6" w14:textId="77777777" w:rsidR="008A656B" w:rsidRPr="001D2342" w:rsidRDefault="008A656B" w:rsidP="00851097">
            <w:pPr>
              <w:rPr>
                <w:rFonts w:ascii="Times New Roman" w:hAnsi="Times New Roman" w:cs="Times New Roman"/>
                <w:sz w:val="16"/>
                <w:szCs w:val="16"/>
              </w:rPr>
            </w:pPr>
          </w:p>
        </w:tc>
        <w:tc>
          <w:tcPr>
            <w:tcW w:w="242" w:type="pct"/>
            <w:vAlign w:val="bottom"/>
          </w:tcPr>
          <w:p w14:paraId="2292A4F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1 388,0</w:t>
            </w:r>
          </w:p>
        </w:tc>
        <w:tc>
          <w:tcPr>
            <w:tcW w:w="243" w:type="pct"/>
            <w:vAlign w:val="bottom"/>
          </w:tcPr>
          <w:p w14:paraId="6ED053B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1 590,0</w:t>
            </w:r>
          </w:p>
        </w:tc>
      </w:tr>
      <w:tr w:rsidR="008A656B" w:rsidRPr="001D2342" w14:paraId="25253128" w14:textId="77777777" w:rsidTr="00851097">
        <w:trPr>
          <w:trHeight w:val="282"/>
        </w:trPr>
        <w:tc>
          <w:tcPr>
            <w:tcW w:w="379" w:type="pct"/>
            <w:vAlign w:val="bottom"/>
          </w:tcPr>
          <w:p w14:paraId="1D97DC88" w14:textId="77777777" w:rsidR="008A656B" w:rsidRPr="001D2342" w:rsidRDefault="008A656B" w:rsidP="00851097">
            <w:pPr>
              <w:rPr>
                <w:rFonts w:ascii="Times New Roman" w:hAnsi="Times New Roman" w:cs="Times New Roman"/>
                <w:sz w:val="16"/>
                <w:szCs w:val="16"/>
              </w:rPr>
            </w:pPr>
          </w:p>
        </w:tc>
        <w:tc>
          <w:tcPr>
            <w:tcW w:w="261" w:type="pct"/>
            <w:vAlign w:val="bottom"/>
          </w:tcPr>
          <w:p w14:paraId="65F40766" w14:textId="77777777" w:rsidR="008A656B" w:rsidRPr="001D2342" w:rsidRDefault="008A656B" w:rsidP="00851097">
            <w:pPr>
              <w:rPr>
                <w:rFonts w:ascii="Times New Roman" w:hAnsi="Times New Roman" w:cs="Times New Roman"/>
                <w:sz w:val="16"/>
                <w:szCs w:val="16"/>
              </w:rPr>
            </w:pPr>
          </w:p>
        </w:tc>
        <w:tc>
          <w:tcPr>
            <w:tcW w:w="364" w:type="pct"/>
            <w:vAlign w:val="bottom"/>
          </w:tcPr>
          <w:p w14:paraId="5DCCC485" w14:textId="77777777" w:rsidR="008A656B" w:rsidRPr="001D2342" w:rsidRDefault="008A656B" w:rsidP="00851097">
            <w:pPr>
              <w:rPr>
                <w:rFonts w:ascii="Times New Roman" w:hAnsi="Times New Roman" w:cs="Times New Roman"/>
                <w:sz w:val="16"/>
                <w:szCs w:val="16"/>
              </w:rPr>
            </w:pPr>
          </w:p>
        </w:tc>
        <w:tc>
          <w:tcPr>
            <w:tcW w:w="373" w:type="pct"/>
            <w:vAlign w:val="bottom"/>
          </w:tcPr>
          <w:p w14:paraId="139C14CF" w14:textId="77777777" w:rsidR="008A656B" w:rsidRPr="001D2342" w:rsidRDefault="008A656B" w:rsidP="00851097">
            <w:pPr>
              <w:rPr>
                <w:rFonts w:ascii="Times New Roman" w:hAnsi="Times New Roman" w:cs="Times New Roman"/>
                <w:sz w:val="16"/>
                <w:szCs w:val="16"/>
              </w:rPr>
            </w:pPr>
          </w:p>
        </w:tc>
        <w:tc>
          <w:tcPr>
            <w:tcW w:w="940" w:type="pct"/>
            <w:vAlign w:val="bottom"/>
          </w:tcPr>
          <w:p w14:paraId="65D711A7" w14:textId="77777777" w:rsidR="008A656B" w:rsidRPr="001D2342" w:rsidRDefault="008A656B" w:rsidP="00851097">
            <w:pPr>
              <w:rPr>
                <w:rFonts w:ascii="Times New Roman" w:hAnsi="Times New Roman" w:cs="Times New Roman"/>
                <w:sz w:val="16"/>
                <w:szCs w:val="16"/>
              </w:rPr>
            </w:pPr>
          </w:p>
        </w:tc>
        <w:tc>
          <w:tcPr>
            <w:tcW w:w="201" w:type="pct"/>
            <w:vAlign w:val="bottom"/>
          </w:tcPr>
          <w:p w14:paraId="06CD2650"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232</w:t>
            </w:r>
          </w:p>
        </w:tc>
        <w:tc>
          <w:tcPr>
            <w:tcW w:w="129" w:type="pct"/>
            <w:vAlign w:val="bottom"/>
          </w:tcPr>
          <w:p w14:paraId="07437B18" w14:textId="77777777" w:rsidR="008A656B" w:rsidRPr="001D2342" w:rsidRDefault="008A656B" w:rsidP="00851097">
            <w:pPr>
              <w:rPr>
                <w:rFonts w:ascii="Times New Roman" w:hAnsi="Times New Roman" w:cs="Times New Roman"/>
                <w:sz w:val="16"/>
                <w:szCs w:val="16"/>
              </w:rPr>
            </w:pPr>
          </w:p>
        </w:tc>
        <w:tc>
          <w:tcPr>
            <w:tcW w:w="189" w:type="pct"/>
            <w:vAlign w:val="bottom"/>
          </w:tcPr>
          <w:p w14:paraId="42D60BC1"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36</w:t>
            </w:r>
          </w:p>
        </w:tc>
        <w:tc>
          <w:tcPr>
            <w:tcW w:w="110" w:type="pct"/>
            <w:vAlign w:val="bottom"/>
          </w:tcPr>
          <w:p w14:paraId="288DC242" w14:textId="77777777" w:rsidR="008A656B" w:rsidRPr="001D2342" w:rsidRDefault="008A656B" w:rsidP="00851097">
            <w:pPr>
              <w:rPr>
                <w:rFonts w:ascii="Times New Roman" w:hAnsi="Times New Roman" w:cs="Times New Roman"/>
                <w:sz w:val="16"/>
                <w:szCs w:val="16"/>
              </w:rPr>
            </w:pPr>
          </w:p>
        </w:tc>
        <w:tc>
          <w:tcPr>
            <w:tcW w:w="192" w:type="pct"/>
            <w:vAlign w:val="bottom"/>
          </w:tcPr>
          <w:p w14:paraId="61621AF7"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50</w:t>
            </w:r>
          </w:p>
        </w:tc>
        <w:tc>
          <w:tcPr>
            <w:tcW w:w="678" w:type="pct"/>
            <w:vAlign w:val="bottom"/>
          </w:tcPr>
          <w:p w14:paraId="0BB17064"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Ieskaitot bagātinātu pārtiku</w:t>
            </w:r>
          </w:p>
        </w:tc>
        <w:tc>
          <w:tcPr>
            <w:tcW w:w="242" w:type="pct"/>
            <w:vAlign w:val="bottom"/>
          </w:tcPr>
          <w:p w14:paraId="31316D11"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775,0</w:t>
            </w:r>
          </w:p>
        </w:tc>
        <w:tc>
          <w:tcPr>
            <w:tcW w:w="259" w:type="pct"/>
            <w:vAlign w:val="bottom"/>
          </w:tcPr>
          <w:p w14:paraId="5031FC9E" w14:textId="77777777" w:rsidR="008A656B" w:rsidRPr="001D2342" w:rsidRDefault="008A656B" w:rsidP="00851097">
            <w:pPr>
              <w:rPr>
                <w:rFonts w:ascii="Times New Roman" w:hAnsi="Times New Roman" w:cs="Times New Roman"/>
                <w:sz w:val="16"/>
                <w:szCs w:val="16"/>
              </w:rPr>
            </w:pPr>
          </w:p>
        </w:tc>
        <w:tc>
          <w:tcPr>
            <w:tcW w:w="199" w:type="pct"/>
            <w:vAlign w:val="bottom"/>
          </w:tcPr>
          <w:p w14:paraId="28B51244" w14:textId="77777777" w:rsidR="008A656B" w:rsidRPr="001D2342" w:rsidRDefault="008A656B" w:rsidP="00851097">
            <w:pPr>
              <w:rPr>
                <w:rFonts w:ascii="Times New Roman" w:hAnsi="Times New Roman" w:cs="Times New Roman"/>
                <w:sz w:val="16"/>
                <w:szCs w:val="16"/>
              </w:rPr>
            </w:pPr>
          </w:p>
        </w:tc>
        <w:tc>
          <w:tcPr>
            <w:tcW w:w="242" w:type="pct"/>
            <w:vAlign w:val="bottom"/>
          </w:tcPr>
          <w:p w14:paraId="458A7E8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1 289,0</w:t>
            </w:r>
          </w:p>
        </w:tc>
        <w:tc>
          <w:tcPr>
            <w:tcW w:w="243" w:type="pct"/>
            <w:vAlign w:val="bottom"/>
          </w:tcPr>
          <w:p w14:paraId="6D245030"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1 436,0</w:t>
            </w:r>
          </w:p>
        </w:tc>
      </w:tr>
      <w:tr w:rsidR="008A656B" w:rsidRPr="001D2342" w14:paraId="74CC8F8B" w14:textId="77777777" w:rsidTr="00851097">
        <w:trPr>
          <w:trHeight w:val="260"/>
        </w:trPr>
        <w:tc>
          <w:tcPr>
            <w:tcW w:w="379" w:type="pct"/>
            <w:vAlign w:val="bottom"/>
          </w:tcPr>
          <w:p w14:paraId="1EDB9EC7" w14:textId="77777777" w:rsidR="008A656B" w:rsidRPr="001D2342" w:rsidRDefault="008A656B" w:rsidP="00851097">
            <w:pPr>
              <w:rPr>
                <w:rFonts w:ascii="Times New Roman" w:hAnsi="Times New Roman" w:cs="Times New Roman"/>
                <w:sz w:val="16"/>
                <w:szCs w:val="16"/>
              </w:rPr>
            </w:pPr>
          </w:p>
        </w:tc>
        <w:tc>
          <w:tcPr>
            <w:tcW w:w="261" w:type="pct"/>
            <w:vAlign w:val="bottom"/>
          </w:tcPr>
          <w:p w14:paraId="6A670A90" w14:textId="77777777" w:rsidR="008A656B" w:rsidRPr="001D2342" w:rsidRDefault="008A656B" w:rsidP="00851097">
            <w:pPr>
              <w:rPr>
                <w:rFonts w:ascii="Times New Roman" w:hAnsi="Times New Roman" w:cs="Times New Roman"/>
                <w:sz w:val="16"/>
                <w:szCs w:val="16"/>
              </w:rPr>
            </w:pPr>
          </w:p>
        </w:tc>
        <w:tc>
          <w:tcPr>
            <w:tcW w:w="364" w:type="pct"/>
            <w:vAlign w:val="bottom"/>
          </w:tcPr>
          <w:p w14:paraId="0E0D2117" w14:textId="77777777" w:rsidR="008A656B" w:rsidRPr="001D2342" w:rsidRDefault="008A656B" w:rsidP="00851097">
            <w:pPr>
              <w:rPr>
                <w:rFonts w:ascii="Times New Roman" w:hAnsi="Times New Roman" w:cs="Times New Roman"/>
                <w:sz w:val="16"/>
                <w:szCs w:val="16"/>
              </w:rPr>
            </w:pPr>
          </w:p>
        </w:tc>
        <w:tc>
          <w:tcPr>
            <w:tcW w:w="373" w:type="pct"/>
            <w:vAlign w:val="bottom"/>
          </w:tcPr>
          <w:p w14:paraId="28BB1C9D" w14:textId="77777777" w:rsidR="008A656B" w:rsidRPr="001D2342" w:rsidRDefault="008A656B" w:rsidP="00851097">
            <w:pPr>
              <w:rPr>
                <w:rFonts w:ascii="Times New Roman" w:hAnsi="Times New Roman" w:cs="Times New Roman"/>
                <w:sz w:val="16"/>
                <w:szCs w:val="16"/>
              </w:rPr>
            </w:pPr>
          </w:p>
        </w:tc>
        <w:tc>
          <w:tcPr>
            <w:tcW w:w="940" w:type="pct"/>
            <w:vAlign w:val="bottom"/>
          </w:tcPr>
          <w:p w14:paraId="2D4581C9" w14:textId="77777777" w:rsidR="008A656B" w:rsidRPr="001D2342" w:rsidRDefault="008A656B" w:rsidP="00851097">
            <w:pPr>
              <w:rPr>
                <w:rFonts w:ascii="Times New Roman" w:hAnsi="Times New Roman" w:cs="Times New Roman"/>
                <w:sz w:val="16"/>
                <w:szCs w:val="16"/>
              </w:rPr>
            </w:pPr>
          </w:p>
        </w:tc>
        <w:tc>
          <w:tcPr>
            <w:tcW w:w="201" w:type="pct"/>
            <w:vAlign w:val="bottom"/>
          </w:tcPr>
          <w:p w14:paraId="5E90D22F"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153</w:t>
            </w:r>
          </w:p>
        </w:tc>
        <w:tc>
          <w:tcPr>
            <w:tcW w:w="129" w:type="pct"/>
            <w:vAlign w:val="bottom"/>
          </w:tcPr>
          <w:p w14:paraId="74DC50EE" w14:textId="77777777" w:rsidR="008A656B" w:rsidRPr="001D2342" w:rsidRDefault="008A656B" w:rsidP="00851097">
            <w:pPr>
              <w:rPr>
                <w:rFonts w:ascii="Times New Roman" w:hAnsi="Times New Roman" w:cs="Times New Roman"/>
                <w:sz w:val="16"/>
                <w:szCs w:val="16"/>
              </w:rPr>
            </w:pPr>
          </w:p>
        </w:tc>
        <w:tc>
          <w:tcPr>
            <w:tcW w:w="189" w:type="pct"/>
            <w:vAlign w:val="bottom"/>
          </w:tcPr>
          <w:p w14:paraId="43199DF7"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51</w:t>
            </w:r>
          </w:p>
        </w:tc>
        <w:tc>
          <w:tcPr>
            <w:tcW w:w="110" w:type="pct"/>
            <w:vAlign w:val="bottom"/>
          </w:tcPr>
          <w:p w14:paraId="48CDEEF6" w14:textId="77777777" w:rsidR="008A656B" w:rsidRPr="001D2342" w:rsidRDefault="008A656B" w:rsidP="00851097">
            <w:pPr>
              <w:rPr>
                <w:rFonts w:ascii="Times New Roman" w:hAnsi="Times New Roman" w:cs="Times New Roman"/>
                <w:sz w:val="16"/>
                <w:szCs w:val="16"/>
              </w:rPr>
            </w:pPr>
          </w:p>
        </w:tc>
        <w:tc>
          <w:tcPr>
            <w:tcW w:w="192" w:type="pct"/>
            <w:vAlign w:val="bottom"/>
          </w:tcPr>
          <w:p w14:paraId="1F55323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64</w:t>
            </w:r>
          </w:p>
        </w:tc>
        <w:tc>
          <w:tcPr>
            <w:tcW w:w="678" w:type="pct"/>
            <w:vAlign w:val="bottom"/>
          </w:tcPr>
          <w:p w14:paraId="2274B34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Ieskaitot bagātinātu pārtiku</w:t>
            </w:r>
          </w:p>
        </w:tc>
        <w:tc>
          <w:tcPr>
            <w:tcW w:w="242" w:type="pct"/>
            <w:vAlign w:val="bottom"/>
          </w:tcPr>
          <w:p w14:paraId="720DE329"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782,0</w:t>
            </w:r>
          </w:p>
        </w:tc>
        <w:tc>
          <w:tcPr>
            <w:tcW w:w="259" w:type="pct"/>
            <w:vAlign w:val="bottom"/>
          </w:tcPr>
          <w:p w14:paraId="19D08339" w14:textId="77777777" w:rsidR="008A656B" w:rsidRPr="001D2342" w:rsidRDefault="008A656B" w:rsidP="00851097">
            <w:pPr>
              <w:rPr>
                <w:rFonts w:ascii="Times New Roman" w:hAnsi="Times New Roman" w:cs="Times New Roman"/>
                <w:sz w:val="16"/>
                <w:szCs w:val="16"/>
              </w:rPr>
            </w:pPr>
          </w:p>
        </w:tc>
        <w:tc>
          <w:tcPr>
            <w:tcW w:w="199" w:type="pct"/>
            <w:vAlign w:val="bottom"/>
          </w:tcPr>
          <w:p w14:paraId="6F46E7C3" w14:textId="77777777" w:rsidR="008A656B" w:rsidRPr="001D2342" w:rsidRDefault="008A656B" w:rsidP="00851097">
            <w:pPr>
              <w:rPr>
                <w:rFonts w:ascii="Times New Roman" w:hAnsi="Times New Roman" w:cs="Times New Roman"/>
                <w:sz w:val="16"/>
                <w:szCs w:val="16"/>
              </w:rPr>
            </w:pPr>
          </w:p>
        </w:tc>
        <w:tc>
          <w:tcPr>
            <w:tcW w:w="242" w:type="pct"/>
            <w:vAlign w:val="bottom"/>
          </w:tcPr>
          <w:p w14:paraId="0E361DA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1 226,0</w:t>
            </w:r>
          </w:p>
        </w:tc>
        <w:tc>
          <w:tcPr>
            <w:tcW w:w="243" w:type="pct"/>
            <w:vAlign w:val="bottom"/>
          </w:tcPr>
          <w:p w14:paraId="4D1D36CF"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1 397,0</w:t>
            </w:r>
          </w:p>
        </w:tc>
      </w:tr>
      <w:tr w:rsidR="008A656B" w:rsidRPr="001D2342" w14:paraId="75E84DB5" w14:textId="77777777" w:rsidTr="00851097">
        <w:trPr>
          <w:trHeight w:val="260"/>
        </w:trPr>
        <w:tc>
          <w:tcPr>
            <w:tcW w:w="379" w:type="pct"/>
            <w:vAlign w:val="bottom"/>
          </w:tcPr>
          <w:p w14:paraId="66ABBA5C"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Pārtika</w:t>
            </w:r>
          </w:p>
        </w:tc>
        <w:tc>
          <w:tcPr>
            <w:tcW w:w="261" w:type="pct"/>
            <w:vAlign w:val="bottom"/>
          </w:tcPr>
          <w:p w14:paraId="651946CB"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Sievietes</w:t>
            </w:r>
          </w:p>
        </w:tc>
        <w:tc>
          <w:tcPr>
            <w:tcW w:w="364" w:type="pct"/>
            <w:vAlign w:val="bottom"/>
          </w:tcPr>
          <w:p w14:paraId="15BDBEC1"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Itālija</w:t>
            </w:r>
          </w:p>
        </w:tc>
        <w:tc>
          <w:tcPr>
            <w:tcW w:w="373" w:type="pct"/>
            <w:vAlign w:val="bottom"/>
          </w:tcPr>
          <w:p w14:paraId="2B4B9FE5"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(Sette et al., 2010)</w:t>
            </w:r>
          </w:p>
        </w:tc>
        <w:tc>
          <w:tcPr>
            <w:tcW w:w="940" w:type="pct"/>
            <w:vAlign w:val="bottom"/>
          </w:tcPr>
          <w:p w14:paraId="0F41ED5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Secīgi 3 dienu uztura pieraksti</w:t>
            </w:r>
          </w:p>
        </w:tc>
        <w:tc>
          <w:tcPr>
            <w:tcW w:w="201" w:type="pct"/>
            <w:vAlign w:val="bottom"/>
          </w:tcPr>
          <w:p w14:paraId="6F3B9BB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1 245</w:t>
            </w:r>
          </w:p>
        </w:tc>
        <w:tc>
          <w:tcPr>
            <w:tcW w:w="129" w:type="pct"/>
            <w:vAlign w:val="bottom"/>
          </w:tcPr>
          <w:p w14:paraId="5CD2A023" w14:textId="77777777" w:rsidR="008A656B" w:rsidRPr="001D2342" w:rsidRDefault="008A656B" w:rsidP="00851097">
            <w:pPr>
              <w:rPr>
                <w:rFonts w:ascii="Times New Roman" w:hAnsi="Times New Roman" w:cs="Times New Roman"/>
                <w:sz w:val="16"/>
                <w:szCs w:val="16"/>
              </w:rPr>
            </w:pPr>
          </w:p>
        </w:tc>
        <w:tc>
          <w:tcPr>
            <w:tcW w:w="189" w:type="pct"/>
            <w:vAlign w:val="bottom"/>
          </w:tcPr>
          <w:p w14:paraId="17564FEF"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18</w:t>
            </w:r>
          </w:p>
        </w:tc>
        <w:tc>
          <w:tcPr>
            <w:tcW w:w="110" w:type="pct"/>
            <w:vAlign w:val="bottom"/>
          </w:tcPr>
          <w:p w14:paraId="654548E8" w14:textId="77777777" w:rsidR="008A656B" w:rsidRPr="001D2342" w:rsidRDefault="008A656B" w:rsidP="00851097">
            <w:pPr>
              <w:rPr>
                <w:rFonts w:ascii="Times New Roman" w:hAnsi="Times New Roman" w:cs="Times New Roman"/>
                <w:sz w:val="16"/>
                <w:szCs w:val="16"/>
              </w:rPr>
            </w:pPr>
            <w:r>
              <w:rPr>
                <w:rFonts w:ascii="Times New Roman" w:hAnsi="Times New Roman"/>
                <w:color w:val="000000" w:themeColor="text1"/>
                <w:sz w:val="16"/>
              </w:rPr>
              <w:t>&lt;</w:t>
            </w:r>
          </w:p>
        </w:tc>
        <w:tc>
          <w:tcPr>
            <w:tcW w:w="192" w:type="pct"/>
            <w:vAlign w:val="bottom"/>
          </w:tcPr>
          <w:p w14:paraId="2E0AD841"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65</w:t>
            </w:r>
          </w:p>
        </w:tc>
        <w:tc>
          <w:tcPr>
            <w:tcW w:w="678" w:type="pct"/>
            <w:vAlign w:val="bottom"/>
          </w:tcPr>
          <w:p w14:paraId="711705A2" w14:textId="77777777" w:rsidR="008A656B" w:rsidRPr="001D2342" w:rsidRDefault="008A656B" w:rsidP="00851097">
            <w:pPr>
              <w:rPr>
                <w:rFonts w:ascii="Times New Roman" w:hAnsi="Times New Roman" w:cs="Times New Roman"/>
                <w:sz w:val="16"/>
                <w:szCs w:val="16"/>
              </w:rPr>
            </w:pPr>
          </w:p>
        </w:tc>
        <w:tc>
          <w:tcPr>
            <w:tcW w:w="242" w:type="pct"/>
            <w:vAlign w:val="bottom"/>
          </w:tcPr>
          <w:p w14:paraId="1B4017C2"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730,0</w:t>
            </w:r>
          </w:p>
        </w:tc>
        <w:tc>
          <w:tcPr>
            <w:tcW w:w="259" w:type="pct"/>
            <w:vAlign w:val="bottom"/>
          </w:tcPr>
          <w:p w14:paraId="04DC235B" w14:textId="77777777" w:rsidR="008A656B" w:rsidRPr="001D2342" w:rsidRDefault="008A656B" w:rsidP="00851097">
            <w:pPr>
              <w:rPr>
                <w:rFonts w:ascii="Times New Roman" w:hAnsi="Times New Roman" w:cs="Times New Roman"/>
                <w:sz w:val="16"/>
                <w:szCs w:val="16"/>
              </w:rPr>
            </w:pPr>
          </w:p>
        </w:tc>
        <w:tc>
          <w:tcPr>
            <w:tcW w:w="199" w:type="pct"/>
            <w:vAlign w:val="bottom"/>
          </w:tcPr>
          <w:p w14:paraId="0C44FE2D" w14:textId="77777777" w:rsidR="008A656B" w:rsidRPr="001D2342" w:rsidRDefault="008A656B" w:rsidP="00851097">
            <w:pPr>
              <w:rPr>
                <w:rFonts w:ascii="Times New Roman" w:hAnsi="Times New Roman" w:cs="Times New Roman"/>
                <w:sz w:val="16"/>
                <w:szCs w:val="16"/>
              </w:rPr>
            </w:pPr>
          </w:p>
        </w:tc>
        <w:tc>
          <w:tcPr>
            <w:tcW w:w="242" w:type="pct"/>
            <w:vAlign w:val="bottom"/>
          </w:tcPr>
          <w:p w14:paraId="4DD7CCF4"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1 233,0</w:t>
            </w:r>
          </w:p>
        </w:tc>
        <w:tc>
          <w:tcPr>
            <w:tcW w:w="243" w:type="pct"/>
            <w:vAlign w:val="bottom"/>
          </w:tcPr>
          <w:p w14:paraId="6ADE86DA" w14:textId="77777777" w:rsidR="008A656B" w:rsidRPr="001D2342" w:rsidRDefault="008A656B" w:rsidP="00851097">
            <w:pPr>
              <w:rPr>
                <w:rFonts w:ascii="Times New Roman" w:hAnsi="Times New Roman" w:cs="Times New Roman"/>
                <w:sz w:val="16"/>
                <w:szCs w:val="16"/>
              </w:rPr>
            </w:pPr>
          </w:p>
        </w:tc>
      </w:tr>
      <w:tr w:rsidR="008A656B" w:rsidRPr="001D2342" w14:paraId="61E54159" w14:textId="77777777" w:rsidTr="00851097">
        <w:trPr>
          <w:trHeight w:val="260"/>
        </w:trPr>
        <w:tc>
          <w:tcPr>
            <w:tcW w:w="379" w:type="pct"/>
            <w:vAlign w:val="bottom"/>
          </w:tcPr>
          <w:p w14:paraId="6BFA03F9" w14:textId="77777777" w:rsidR="008A656B" w:rsidRPr="001D2342" w:rsidRDefault="008A656B" w:rsidP="00851097">
            <w:pPr>
              <w:rPr>
                <w:rFonts w:ascii="Times New Roman" w:hAnsi="Times New Roman" w:cs="Times New Roman"/>
                <w:sz w:val="16"/>
                <w:szCs w:val="16"/>
              </w:rPr>
            </w:pPr>
          </w:p>
        </w:tc>
        <w:tc>
          <w:tcPr>
            <w:tcW w:w="261" w:type="pct"/>
            <w:vAlign w:val="bottom"/>
          </w:tcPr>
          <w:p w14:paraId="717764F6" w14:textId="77777777" w:rsidR="008A656B" w:rsidRPr="001D2342" w:rsidRDefault="008A656B" w:rsidP="00851097">
            <w:pPr>
              <w:rPr>
                <w:rFonts w:ascii="Times New Roman" w:hAnsi="Times New Roman" w:cs="Times New Roman"/>
                <w:sz w:val="16"/>
                <w:szCs w:val="16"/>
              </w:rPr>
            </w:pPr>
          </w:p>
        </w:tc>
        <w:tc>
          <w:tcPr>
            <w:tcW w:w="364" w:type="pct"/>
            <w:vAlign w:val="bottom"/>
          </w:tcPr>
          <w:p w14:paraId="0C6914CD" w14:textId="77777777" w:rsidR="008A656B" w:rsidRPr="001D2342" w:rsidRDefault="008A656B" w:rsidP="00851097">
            <w:pPr>
              <w:rPr>
                <w:rFonts w:ascii="Times New Roman" w:hAnsi="Times New Roman" w:cs="Times New Roman"/>
                <w:b/>
                <w:bCs/>
                <w:sz w:val="16"/>
                <w:szCs w:val="16"/>
              </w:rPr>
            </w:pPr>
          </w:p>
        </w:tc>
        <w:tc>
          <w:tcPr>
            <w:tcW w:w="373" w:type="pct"/>
            <w:vAlign w:val="bottom"/>
          </w:tcPr>
          <w:p w14:paraId="364FB173" w14:textId="77777777" w:rsidR="008A656B" w:rsidRPr="001D2342" w:rsidRDefault="008A656B" w:rsidP="00851097">
            <w:pPr>
              <w:rPr>
                <w:rFonts w:ascii="Times New Roman" w:hAnsi="Times New Roman" w:cs="Times New Roman"/>
                <w:sz w:val="16"/>
                <w:szCs w:val="16"/>
              </w:rPr>
            </w:pPr>
          </w:p>
        </w:tc>
        <w:tc>
          <w:tcPr>
            <w:tcW w:w="940" w:type="pct"/>
            <w:vAlign w:val="bottom"/>
          </w:tcPr>
          <w:p w14:paraId="2A574C5D" w14:textId="77777777" w:rsidR="008A656B" w:rsidRPr="001D2342" w:rsidRDefault="008A656B" w:rsidP="00851097">
            <w:pPr>
              <w:rPr>
                <w:rFonts w:ascii="Times New Roman" w:hAnsi="Times New Roman" w:cs="Times New Roman"/>
                <w:sz w:val="16"/>
                <w:szCs w:val="16"/>
              </w:rPr>
            </w:pPr>
          </w:p>
        </w:tc>
        <w:tc>
          <w:tcPr>
            <w:tcW w:w="201" w:type="pct"/>
            <w:shd w:val="clear" w:color="auto" w:fill="D9D9D9" w:themeFill="background1" w:themeFillShade="D9"/>
            <w:vAlign w:val="bottom"/>
          </w:tcPr>
          <w:p w14:paraId="72195F7A"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316</w:t>
            </w:r>
          </w:p>
        </w:tc>
        <w:tc>
          <w:tcPr>
            <w:tcW w:w="129" w:type="pct"/>
            <w:shd w:val="clear" w:color="auto" w:fill="D9D9D9" w:themeFill="background1" w:themeFillShade="D9"/>
            <w:vAlign w:val="bottom"/>
          </w:tcPr>
          <w:p w14:paraId="5270C767" w14:textId="77777777" w:rsidR="008A656B" w:rsidRPr="001D2342" w:rsidRDefault="008A656B" w:rsidP="00851097">
            <w:pPr>
              <w:rPr>
                <w:rFonts w:ascii="Times New Roman" w:hAnsi="Times New Roman" w:cs="Times New Roman"/>
                <w:sz w:val="16"/>
                <w:szCs w:val="16"/>
              </w:rPr>
            </w:pPr>
          </w:p>
        </w:tc>
        <w:tc>
          <w:tcPr>
            <w:tcW w:w="189" w:type="pct"/>
            <w:shd w:val="clear" w:color="auto" w:fill="D9D9D9" w:themeFill="background1" w:themeFillShade="D9"/>
            <w:vAlign w:val="bottom"/>
          </w:tcPr>
          <w:p w14:paraId="4B9E8C77"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65</w:t>
            </w:r>
          </w:p>
        </w:tc>
        <w:tc>
          <w:tcPr>
            <w:tcW w:w="110" w:type="pct"/>
            <w:shd w:val="clear" w:color="auto" w:fill="D9D9D9" w:themeFill="background1" w:themeFillShade="D9"/>
            <w:vAlign w:val="bottom"/>
          </w:tcPr>
          <w:p w14:paraId="1C7F871A" w14:textId="77777777" w:rsidR="008A656B" w:rsidRPr="001D2342" w:rsidRDefault="008A656B" w:rsidP="00851097">
            <w:pPr>
              <w:rPr>
                <w:rFonts w:ascii="Times New Roman" w:hAnsi="Times New Roman" w:cs="Times New Roman"/>
                <w:sz w:val="16"/>
                <w:szCs w:val="16"/>
              </w:rPr>
            </w:pPr>
          </w:p>
        </w:tc>
        <w:tc>
          <w:tcPr>
            <w:tcW w:w="192" w:type="pct"/>
            <w:shd w:val="clear" w:color="auto" w:fill="D9D9D9" w:themeFill="background1" w:themeFillShade="D9"/>
            <w:vAlign w:val="bottom"/>
          </w:tcPr>
          <w:p w14:paraId="636EAA10"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99</w:t>
            </w:r>
          </w:p>
        </w:tc>
        <w:tc>
          <w:tcPr>
            <w:tcW w:w="678" w:type="pct"/>
            <w:shd w:val="clear" w:color="auto" w:fill="D9D9D9" w:themeFill="background1" w:themeFillShade="D9"/>
            <w:vAlign w:val="bottom"/>
          </w:tcPr>
          <w:p w14:paraId="277F1BCE"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525A6834"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754,0</w:t>
            </w:r>
          </w:p>
        </w:tc>
        <w:tc>
          <w:tcPr>
            <w:tcW w:w="259" w:type="pct"/>
            <w:shd w:val="clear" w:color="auto" w:fill="D9D9D9" w:themeFill="background1" w:themeFillShade="D9"/>
            <w:vAlign w:val="bottom"/>
          </w:tcPr>
          <w:p w14:paraId="715C7FD5" w14:textId="77777777" w:rsidR="008A656B" w:rsidRPr="001D2342" w:rsidRDefault="008A656B" w:rsidP="00851097">
            <w:pPr>
              <w:rPr>
                <w:rFonts w:ascii="Times New Roman" w:hAnsi="Times New Roman" w:cs="Times New Roman"/>
                <w:sz w:val="16"/>
                <w:szCs w:val="16"/>
              </w:rPr>
            </w:pPr>
          </w:p>
        </w:tc>
        <w:tc>
          <w:tcPr>
            <w:tcW w:w="199" w:type="pct"/>
            <w:shd w:val="clear" w:color="auto" w:fill="D9D9D9" w:themeFill="background1" w:themeFillShade="D9"/>
            <w:vAlign w:val="bottom"/>
          </w:tcPr>
          <w:p w14:paraId="04A112A2"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325474E5"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1 285,0</w:t>
            </w:r>
          </w:p>
        </w:tc>
        <w:tc>
          <w:tcPr>
            <w:tcW w:w="243" w:type="pct"/>
            <w:shd w:val="clear" w:color="auto" w:fill="D9D9D9" w:themeFill="background1" w:themeFillShade="D9"/>
            <w:vAlign w:val="bottom"/>
          </w:tcPr>
          <w:p w14:paraId="6D1536D3" w14:textId="77777777" w:rsidR="008A656B" w:rsidRPr="001D2342" w:rsidRDefault="008A656B" w:rsidP="00851097">
            <w:pPr>
              <w:rPr>
                <w:rFonts w:ascii="Times New Roman" w:hAnsi="Times New Roman" w:cs="Times New Roman"/>
                <w:sz w:val="16"/>
                <w:szCs w:val="16"/>
              </w:rPr>
            </w:pPr>
          </w:p>
        </w:tc>
      </w:tr>
      <w:tr w:rsidR="008A656B" w:rsidRPr="001D2342" w14:paraId="311968B5" w14:textId="77777777" w:rsidTr="00851097">
        <w:trPr>
          <w:trHeight w:val="260"/>
        </w:trPr>
        <w:tc>
          <w:tcPr>
            <w:tcW w:w="379" w:type="pct"/>
            <w:vAlign w:val="bottom"/>
          </w:tcPr>
          <w:p w14:paraId="3308E78C" w14:textId="77777777" w:rsidR="008A656B" w:rsidRPr="001D2342" w:rsidRDefault="008A656B" w:rsidP="00851097">
            <w:pPr>
              <w:rPr>
                <w:rFonts w:ascii="Times New Roman" w:hAnsi="Times New Roman" w:cs="Times New Roman"/>
                <w:sz w:val="16"/>
                <w:szCs w:val="16"/>
              </w:rPr>
            </w:pPr>
          </w:p>
        </w:tc>
        <w:tc>
          <w:tcPr>
            <w:tcW w:w="261" w:type="pct"/>
            <w:vAlign w:val="bottom"/>
          </w:tcPr>
          <w:p w14:paraId="77A7B521" w14:textId="77777777" w:rsidR="008A656B" w:rsidRPr="001D2342" w:rsidRDefault="008A656B" w:rsidP="00851097">
            <w:pPr>
              <w:rPr>
                <w:rFonts w:ascii="Times New Roman" w:hAnsi="Times New Roman" w:cs="Times New Roman"/>
                <w:sz w:val="16"/>
                <w:szCs w:val="16"/>
              </w:rPr>
            </w:pPr>
          </w:p>
        </w:tc>
        <w:tc>
          <w:tcPr>
            <w:tcW w:w="364" w:type="pct"/>
            <w:vAlign w:val="bottom"/>
          </w:tcPr>
          <w:p w14:paraId="77DCB9EE"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Polija</w:t>
            </w:r>
          </w:p>
        </w:tc>
        <w:tc>
          <w:tcPr>
            <w:tcW w:w="373" w:type="pct"/>
            <w:vAlign w:val="bottom"/>
          </w:tcPr>
          <w:p w14:paraId="69D5E4E8"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(Flynn et al., 2009)</w:t>
            </w:r>
          </w:p>
        </w:tc>
        <w:tc>
          <w:tcPr>
            <w:tcW w:w="940" w:type="pct"/>
            <w:vAlign w:val="bottom"/>
          </w:tcPr>
          <w:p w14:paraId="4DBB8574"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24 stundu atcerēšanās anketa</w:t>
            </w:r>
          </w:p>
        </w:tc>
        <w:tc>
          <w:tcPr>
            <w:tcW w:w="201" w:type="pct"/>
            <w:vAlign w:val="bottom"/>
          </w:tcPr>
          <w:p w14:paraId="2DFB7F92"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1 656</w:t>
            </w:r>
          </w:p>
        </w:tc>
        <w:tc>
          <w:tcPr>
            <w:tcW w:w="129" w:type="pct"/>
            <w:vAlign w:val="bottom"/>
          </w:tcPr>
          <w:p w14:paraId="2459C202" w14:textId="77777777" w:rsidR="008A656B" w:rsidRPr="001D2342" w:rsidRDefault="008A656B" w:rsidP="00851097">
            <w:pPr>
              <w:rPr>
                <w:rFonts w:ascii="Times New Roman" w:hAnsi="Times New Roman" w:cs="Times New Roman"/>
                <w:sz w:val="16"/>
                <w:szCs w:val="16"/>
              </w:rPr>
            </w:pPr>
          </w:p>
        </w:tc>
        <w:tc>
          <w:tcPr>
            <w:tcW w:w="189" w:type="pct"/>
            <w:vAlign w:val="bottom"/>
          </w:tcPr>
          <w:p w14:paraId="22748285"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18</w:t>
            </w:r>
          </w:p>
        </w:tc>
        <w:tc>
          <w:tcPr>
            <w:tcW w:w="110" w:type="pct"/>
            <w:vAlign w:val="bottom"/>
          </w:tcPr>
          <w:p w14:paraId="6AC00034" w14:textId="77777777" w:rsidR="008A656B" w:rsidRPr="001D2342" w:rsidRDefault="008A656B" w:rsidP="00851097">
            <w:pPr>
              <w:rPr>
                <w:rFonts w:ascii="Times New Roman" w:hAnsi="Times New Roman" w:cs="Times New Roman"/>
                <w:sz w:val="16"/>
                <w:szCs w:val="16"/>
              </w:rPr>
            </w:pPr>
          </w:p>
        </w:tc>
        <w:tc>
          <w:tcPr>
            <w:tcW w:w="192" w:type="pct"/>
            <w:vAlign w:val="bottom"/>
          </w:tcPr>
          <w:p w14:paraId="62D4CD90"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96</w:t>
            </w:r>
          </w:p>
        </w:tc>
        <w:tc>
          <w:tcPr>
            <w:tcW w:w="678" w:type="pct"/>
            <w:vAlign w:val="bottom"/>
          </w:tcPr>
          <w:p w14:paraId="18DF0520" w14:textId="77777777" w:rsidR="008A656B" w:rsidRPr="001D2342" w:rsidRDefault="008A656B" w:rsidP="00851097">
            <w:pPr>
              <w:rPr>
                <w:rFonts w:ascii="Times New Roman" w:hAnsi="Times New Roman" w:cs="Times New Roman"/>
                <w:sz w:val="16"/>
                <w:szCs w:val="16"/>
              </w:rPr>
            </w:pPr>
          </w:p>
        </w:tc>
        <w:tc>
          <w:tcPr>
            <w:tcW w:w="242" w:type="pct"/>
            <w:vAlign w:val="bottom"/>
          </w:tcPr>
          <w:p w14:paraId="3ED4611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516,0</w:t>
            </w:r>
          </w:p>
        </w:tc>
        <w:tc>
          <w:tcPr>
            <w:tcW w:w="259" w:type="pct"/>
            <w:vAlign w:val="bottom"/>
          </w:tcPr>
          <w:p w14:paraId="749E49C2" w14:textId="77777777" w:rsidR="008A656B" w:rsidRPr="001D2342" w:rsidRDefault="008A656B" w:rsidP="00851097">
            <w:pPr>
              <w:rPr>
                <w:rFonts w:ascii="Times New Roman" w:hAnsi="Times New Roman" w:cs="Times New Roman"/>
                <w:sz w:val="16"/>
                <w:szCs w:val="16"/>
              </w:rPr>
            </w:pPr>
          </w:p>
        </w:tc>
        <w:tc>
          <w:tcPr>
            <w:tcW w:w="199" w:type="pct"/>
            <w:vAlign w:val="bottom"/>
          </w:tcPr>
          <w:p w14:paraId="77808877" w14:textId="77777777" w:rsidR="008A656B" w:rsidRPr="001D2342" w:rsidRDefault="008A656B" w:rsidP="00851097">
            <w:pPr>
              <w:rPr>
                <w:rFonts w:ascii="Times New Roman" w:hAnsi="Times New Roman" w:cs="Times New Roman"/>
                <w:sz w:val="16"/>
                <w:szCs w:val="16"/>
              </w:rPr>
            </w:pPr>
          </w:p>
        </w:tc>
        <w:tc>
          <w:tcPr>
            <w:tcW w:w="242" w:type="pct"/>
            <w:vAlign w:val="bottom"/>
          </w:tcPr>
          <w:p w14:paraId="19003A2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1 113,0</w:t>
            </w:r>
          </w:p>
        </w:tc>
        <w:tc>
          <w:tcPr>
            <w:tcW w:w="243" w:type="pct"/>
            <w:vAlign w:val="bottom"/>
          </w:tcPr>
          <w:p w14:paraId="38C322C3" w14:textId="77777777" w:rsidR="008A656B" w:rsidRPr="001D2342" w:rsidRDefault="008A656B" w:rsidP="00851097">
            <w:pPr>
              <w:rPr>
                <w:rFonts w:ascii="Times New Roman" w:hAnsi="Times New Roman" w:cs="Times New Roman"/>
                <w:sz w:val="16"/>
                <w:szCs w:val="16"/>
              </w:rPr>
            </w:pPr>
          </w:p>
        </w:tc>
      </w:tr>
      <w:tr w:rsidR="008A656B" w:rsidRPr="001D2342" w14:paraId="14175666" w14:textId="77777777" w:rsidTr="00851097">
        <w:trPr>
          <w:trHeight w:val="260"/>
        </w:trPr>
        <w:tc>
          <w:tcPr>
            <w:tcW w:w="379" w:type="pct"/>
            <w:vAlign w:val="bottom"/>
          </w:tcPr>
          <w:p w14:paraId="36D2C7BD" w14:textId="77777777" w:rsidR="008A656B" w:rsidRPr="001D2342" w:rsidRDefault="008A656B" w:rsidP="00851097">
            <w:pPr>
              <w:rPr>
                <w:rFonts w:ascii="Times New Roman" w:hAnsi="Times New Roman" w:cs="Times New Roman"/>
                <w:sz w:val="16"/>
                <w:szCs w:val="16"/>
              </w:rPr>
            </w:pPr>
          </w:p>
        </w:tc>
        <w:tc>
          <w:tcPr>
            <w:tcW w:w="261" w:type="pct"/>
            <w:vAlign w:val="bottom"/>
          </w:tcPr>
          <w:p w14:paraId="4F456B49" w14:textId="77777777" w:rsidR="008A656B" w:rsidRPr="001D2342" w:rsidRDefault="008A656B" w:rsidP="00851097">
            <w:pPr>
              <w:rPr>
                <w:rFonts w:ascii="Times New Roman" w:hAnsi="Times New Roman" w:cs="Times New Roman"/>
                <w:sz w:val="16"/>
                <w:szCs w:val="16"/>
              </w:rPr>
            </w:pPr>
          </w:p>
        </w:tc>
        <w:tc>
          <w:tcPr>
            <w:tcW w:w="364" w:type="pct"/>
            <w:vAlign w:val="bottom"/>
          </w:tcPr>
          <w:p w14:paraId="3531B041"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Spānija</w:t>
            </w:r>
          </w:p>
        </w:tc>
        <w:tc>
          <w:tcPr>
            <w:tcW w:w="373" w:type="pct"/>
            <w:vAlign w:val="bottom"/>
          </w:tcPr>
          <w:p w14:paraId="4E437432"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(Flynn et al., 2009)</w:t>
            </w:r>
          </w:p>
        </w:tc>
        <w:tc>
          <w:tcPr>
            <w:tcW w:w="940" w:type="pct"/>
            <w:vAlign w:val="bottom"/>
          </w:tcPr>
          <w:p w14:paraId="0CCD800D" w14:textId="77777777" w:rsidR="008A656B" w:rsidRPr="001D2342" w:rsidRDefault="008A656B" w:rsidP="00851097">
            <w:pPr>
              <w:spacing w:line="360" w:lineRule="auto"/>
              <w:rPr>
                <w:rFonts w:ascii="Times New Roman" w:hAnsi="Times New Roman" w:cs="Times New Roman"/>
                <w:sz w:val="16"/>
                <w:szCs w:val="16"/>
              </w:rPr>
            </w:pPr>
            <w:r>
              <w:rPr>
                <w:rFonts w:ascii="Times New Roman" w:hAnsi="Times New Roman"/>
                <w:sz w:val="16"/>
              </w:rPr>
              <w:t>Divas nesecīgas 24 stundu atcerēšanās anketas (vienu aizpilda visi, otru – 62 % no izlases)</w:t>
            </w:r>
          </w:p>
        </w:tc>
        <w:tc>
          <w:tcPr>
            <w:tcW w:w="201" w:type="pct"/>
            <w:vAlign w:val="bottom"/>
          </w:tcPr>
          <w:p w14:paraId="42B63D0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895</w:t>
            </w:r>
          </w:p>
        </w:tc>
        <w:tc>
          <w:tcPr>
            <w:tcW w:w="129" w:type="pct"/>
            <w:vAlign w:val="bottom"/>
          </w:tcPr>
          <w:p w14:paraId="6450FCC1" w14:textId="77777777" w:rsidR="008A656B" w:rsidRPr="001D2342" w:rsidRDefault="008A656B" w:rsidP="00851097">
            <w:pPr>
              <w:rPr>
                <w:rFonts w:ascii="Times New Roman" w:hAnsi="Times New Roman" w:cs="Times New Roman"/>
                <w:sz w:val="16"/>
                <w:szCs w:val="16"/>
              </w:rPr>
            </w:pPr>
          </w:p>
        </w:tc>
        <w:tc>
          <w:tcPr>
            <w:tcW w:w="189" w:type="pct"/>
            <w:vAlign w:val="bottom"/>
          </w:tcPr>
          <w:p w14:paraId="11FD5A92"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18</w:t>
            </w:r>
          </w:p>
        </w:tc>
        <w:tc>
          <w:tcPr>
            <w:tcW w:w="110" w:type="pct"/>
            <w:vAlign w:val="bottom"/>
          </w:tcPr>
          <w:p w14:paraId="3F886071" w14:textId="77777777" w:rsidR="008A656B" w:rsidRPr="001D2342" w:rsidRDefault="008A656B" w:rsidP="00851097">
            <w:pPr>
              <w:rPr>
                <w:rFonts w:ascii="Times New Roman" w:hAnsi="Times New Roman" w:cs="Times New Roman"/>
                <w:sz w:val="16"/>
                <w:szCs w:val="16"/>
              </w:rPr>
            </w:pPr>
          </w:p>
        </w:tc>
        <w:tc>
          <w:tcPr>
            <w:tcW w:w="192" w:type="pct"/>
            <w:vAlign w:val="bottom"/>
          </w:tcPr>
          <w:p w14:paraId="6DE89AE0"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64</w:t>
            </w:r>
          </w:p>
        </w:tc>
        <w:tc>
          <w:tcPr>
            <w:tcW w:w="678" w:type="pct"/>
            <w:vAlign w:val="bottom"/>
          </w:tcPr>
          <w:p w14:paraId="0F8A7CB0"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Dati savākti Katalonijā</w:t>
            </w:r>
          </w:p>
        </w:tc>
        <w:tc>
          <w:tcPr>
            <w:tcW w:w="242" w:type="pct"/>
            <w:vAlign w:val="bottom"/>
          </w:tcPr>
          <w:p w14:paraId="4EDE2269"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767,0</w:t>
            </w:r>
          </w:p>
        </w:tc>
        <w:tc>
          <w:tcPr>
            <w:tcW w:w="259" w:type="pct"/>
            <w:vAlign w:val="bottom"/>
          </w:tcPr>
          <w:p w14:paraId="3ADAF202" w14:textId="77777777" w:rsidR="008A656B" w:rsidRPr="001D2342" w:rsidRDefault="008A656B" w:rsidP="00851097">
            <w:pPr>
              <w:rPr>
                <w:rFonts w:ascii="Times New Roman" w:hAnsi="Times New Roman" w:cs="Times New Roman"/>
                <w:sz w:val="16"/>
                <w:szCs w:val="16"/>
              </w:rPr>
            </w:pPr>
          </w:p>
        </w:tc>
        <w:tc>
          <w:tcPr>
            <w:tcW w:w="199" w:type="pct"/>
            <w:vAlign w:val="bottom"/>
          </w:tcPr>
          <w:p w14:paraId="7C8304B9" w14:textId="77777777" w:rsidR="008A656B" w:rsidRPr="001D2342" w:rsidRDefault="008A656B" w:rsidP="00851097">
            <w:pPr>
              <w:rPr>
                <w:rFonts w:ascii="Times New Roman" w:hAnsi="Times New Roman" w:cs="Times New Roman"/>
                <w:sz w:val="16"/>
                <w:szCs w:val="16"/>
              </w:rPr>
            </w:pPr>
          </w:p>
        </w:tc>
        <w:tc>
          <w:tcPr>
            <w:tcW w:w="242" w:type="pct"/>
            <w:vAlign w:val="bottom"/>
          </w:tcPr>
          <w:p w14:paraId="495930C8"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1 045,0</w:t>
            </w:r>
          </w:p>
        </w:tc>
        <w:tc>
          <w:tcPr>
            <w:tcW w:w="243" w:type="pct"/>
            <w:vAlign w:val="bottom"/>
          </w:tcPr>
          <w:p w14:paraId="7DB140FE" w14:textId="77777777" w:rsidR="008A656B" w:rsidRPr="001D2342" w:rsidRDefault="008A656B" w:rsidP="00851097">
            <w:pPr>
              <w:rPr>
                <w:rFonts w:ascii="Times New Roman" w:hAnsi="Times New Roman" w:cs="Times New Roman"/>
                <w:sz w:val="16"/>
                <w:szCs w:val="16"/>
              </w:rPr>
            </w:pPr>
          </w:p>
        </w:tc>
      </w:tr>
      <w:tr w:rsidR="008A656B" w:rsidRPr="001D2342" w14:paraId="52F9A994" w14:textId="77777777" w:rsidTr="00851097">
        <w:trPr>
          <w:trHeight w:val="260"/>
        </w:trPr>
        <w:tc>
          <w:tcPr>
            <w:tcW w:w="379" w:type="pct"/>
            <w:vAlign w:val="bottom"/>
          </w:tcPr>
          <w:p w14:paraId="5E5A3FEC" w14:textId="77777777" w:rsidR="008A656B" w:rsidRPr="001D2342" w:rsidRDefault="008A656B" w:rsidP="00851097">
            <w:pPr>
              <w:rPr>
                <w:rFonts w:ascii="Times New Roman" w:hAnsi="Times New Roman" w:cs="Times New Roman"/>
                <w:sz w:val="16"/>
                <w:szCs w:val="16"/>
              </w:rPr>
            </w:pPr>
          </w:p>
        </w:tc>
        <w:tc>
          <w:tcPr>
            <w:tcW w:w="261" w:type="pct"/>
            <w:vAlign w:val="bottom"/>
          </w:tcPr>
          <w:p w14:paraId="47533BC4" w14:textId="77777777" w:rsidR="008A656B" w:rsidRPr="001D2342" w:rsidRDefault="008A656B" w:rsidP="00851097">
            <w:pPr>
              <w:rPr>
                <w:rFonts w:ascii="Times New Roman" w:hAnsi="Times New Roman" w:cs="Times New Roman"/>
                <w:sz w:val="16"/>
                <w:szCs w:val="16"/>
              </w:rPr>
            </w:pPr>
          </w:p>
        </w:tc>
        <w:tc>
          <w:tcPr>
            <w:tcW w:w="364" w:type="pct"/>
            <w:vAlign w:val="bottom"/>
          </w:tcPr>
          <w:p w14:paraId="5F28B1C8"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Zviedrija</w:t>
            </w:r>
          </w:p>
        </w:tc>
        <w:tc>
          <w:tcPr>
            <w:tcW w:w="373" w:type="pct"/>
            <w:vAlign w:val="bottom"/>
          </w:tcPr>
          <w:p w14:paraId="37392ED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(Becker and Pearson, 2002)</w:t>
            </w:r>
          </w:p>
        </w:tc>
        <w:tc>
          <w:tcPr>
            <w:tcW w:w="940" w:type="pct"/>
            <w:vAlign w:val="bottom"/>
          </w:tcPr>
          <w:p w14:paraId="27C7624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7 dienu uztura pieraksts</w:t>
            </w:r>
          </w:p>
        </w:tc>
        <w:tc>
          <w:tcPr>
            <w:tcW w:w="201" w:type="pct"/>
            <w:vAlign w:val="bottom"/>
          </w:tcPr>
          <w:p w14:paraId="2712D62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67</w:t>
            </w:r>
          </w:p>
        </w:tc>
        <w:tc>
          <w:tcPr>
            <w:tcW w:w="129" w:type="pct"/>
            <w:vAlign w:val="bottom"/>
          </w:tcPr>
          <w:p w14:paraId="18AF4AA7" w14:textId="77777777" w:rsidR="008A656B" w:rsidRPr="001D2342" w:rsidRDefault="008A656B" w:rsidP="00851097">
            <w:pPr>
              <w:rPr>
                <w:rFonts w:ascii="Times New Roman" w:hAnsi="Times New Roman" w:cs="Times New Roman"/>
                <w:sz w:val="16"/>
                <w:szCs w:val="16"/>
              </w:rPr>
            </w:pPr>
          </w:p>
        </w:tc>
        <w:tc>
          <w:tcPr>
            <w:tcW w:w="189" w:type="pct"/>
            <w:vAlign w:val="bottom"/>
          </w:tcPr>
          <w:p w14:paraId="17CF9507"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17</w:t>
            </w:r>
          </w:p>
        </w:tc>
        <w:tc>
          <w:tcPr>
            <w:tcW w:w="110" w:type="pct"/>
            <w:vAlign w:val="bottom"/>
          </w:tcPr>
          <w:p w14:paraId="1194F567" w14:textId="77777777" w:rsidR="008A656B" w:rsidRPr="001D2342" w:rsidRDefault="008A656B" w:rsidP="00851097">
            <w:pPr>
              <w:rPr>
                <w:rFonts w:ascii="Times New Roman" w:hAnsi="Times New Roman" w:cs="Times New Roman"/>
                <w:sz w:val="16"/>
                <w:szCs w:val="16"/>
              </w:rPr>
            </w:pPr>
          </w:p>
        </w:tc>
        <w:tc>
          <w:tcPr>
            <w:tcW w:w="192" w:type="pct"/>
            <w:vAlign w:val="bottom"/>
          </w:tcPr>
          <w:p w14:paraId="1A972B50"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24</w:t>
            </w:r>
          </w:p>
        </w:tc>
        <w:tc>
          <w:tcPr>
            <w:tcW w:w="678" w:type="pct"/>
            <w:vAlign w:val="bottom"/>
          </w:tcPr>
          <w:p w14:paraId="34656D10" w14:textId="77777777" w:rsidR="008A656B" w:rsidRPr="001D2342" w:rsidRDefault="008A656B" w:rsidP="00851097">
            <w:pPr>
              <w:rPr>
                <w:rFonts w:ascii="Times New Roman" w:hAnsi="Times New Roman" w:cs="Times New Roman"/>
                <w:sz w:val="16"/>
                <w:szCs w:val="16"/>
              </w:rPr>
            </w:pPr>
          </w:p>
        </w:tc>
        <w:tc>
          <w:tcPr>
            <w:tcW w:w="242" w:type="pct"/>
            <w:vAlign w:val="bottom"/>
          </w:tcPr>
          <w:p w14:paraId="3215BFDA"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937,0</w:t>
            </w:r>
          </w:p>
        </w:tc>
        <w:tc>
          <w:tcPr>
            <w:tcW w:w="259" w:type="pct"/>
            <w:vAlign w:val="bottom"/>
          </w:tcPr>
          <w:p w14:paraId="076DDB27" w14:textId="77777777" w:rsidR="008A656B" w:rsidRPr="001D2342" w:rsidRDefault="008A656B" w:rsidP="00851097">
            <w:pPr>
              <w:rPr>
                <w:rFonts w:ascii="Times New Roman" w:hAnsi="Times New Roman" w:cs="Times New Roman"/>
                <w:sz w:val="16"/>
                <w:szCs w:val="16"/>
              </w:rPr>
            </w:pPr>
          </w:p>
        </w:tc>
        <w:tc>
          <w:tcPr>
            <w:tcW w:w="199" w:type="pct"/>
            <w:vAlign w:val="bottom"/>
          </w:tcPr>
          <w:p w14:paraId="1C7D0930" w14:textId="77777777" w:rsidR="008A656B" w:rsidRPr="001D2342" w:rsidRDefault="008A656B" w:rsidP="00851097">
            <w:pPr>
              <w:rPr>
                <w:rFonts w:ascii="Times New Roman" w:hAnsi="Times New Roman" w:cs="Times New Roman"/>
                <w:sz w:val="16"/>
                <w:szCs w:val="16"/>
              </w:rPr>
            </w:pPr>
          </w:p>
        </w:tc>
        <w:tc>
          <w:tcPr>
            <w:tcW w:w="242" w:type="pct"/>
            <w:vAlign w:val="bottom"/>
          </w:tcPr>
          <w:p w14:paraId="03D63BC0"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1 436,0</w:t>
            </w:r>
          </w:p>
        </w:tc>
        <w:tc>
          <w:tcPr>
            <w:tcW w:w="243" w:type="pct"/>
            <w:vAlign w:val="bottom"/>
          </w:tcPr>
          <w:p w14:paraId="4CBEE8E6" w14:textId="77777777" w:rsidR="008A656B" w:rsidRPr="001D2342" w:rsidRDefault="008A656B" w:rsidP="00851097">
            <w:pPr>
              <w:rPr>
                <w:rFonts w:ascii="Times New Roman" w:hAnsi="Times New Roman" w:cs="Times New Roman"/>
                <w:sz w:val="16"/>
                <w:szCs w:val="16"/>
              </w:rPr>
            </w:pPr>
          </w:p>
        </w:tc>
      </w:tr>
      <w:tr w:rsidR="008A656B" w:rsidRPr="001D2342" w14:paraId="2C402E6B" w14:textId="77777777" w:rsidTr="00851097">
        <w:trPr>
          <w:trHeight w:val="260"/>
        </w:trPr>
        <w:tc>
          <w:tcPr>
            <w:tcW w:w="379" w:type="pct"/>
            <w:vAlign w:val="bottom"/>
          </w:tcPr>
          <w:p w14:paraId="4EEB6D6E" w14:textId="77777777" w:rsidR="008A656B" w:rsidRPr="001D2342" w:rsidRDefault="008A656B" w:rsidP="00851097">
            <w:pPr>
              <w:rPr>
                <w:rFonts w:ascii="Times New Roman" w:hAnsi="Times New Roman" w:cs="Times New Roman"/>
                <w:sz w:val="16"/>
                <w:szCs w:val="16"/>
              </w:rPr>
            </w:pPr>
          </w:p>
        </w:tc>
        <w:tc>
          <w:tcPr>
            <w:tcW w:w="261" w:type="pct"/>
            <w:vAlign w:val="bottom"/>
          </w:tcPr>
          <w:p w14:paraId="38D1E68F" w14:textId="77777777" w:rsidR="008A656B" w:rsidRPr="001D2342" w:rsidRDefault="008A656B" w:rsidP="00851097">
            <w:pPr>
              <w:rPr>
                <w:rFonts w:ascii="Times New Roman" w:hAnsi="Times New Roman" w:cs="Times New Roman"/>
                <w:sz w:val="16"/>
                <w:szCs w:val="16"/>
              </w:rPr>
            </w:pPr>
          </w:p>
        </w:tc>
        <w:tc>
          <w:tcPr>
            <w:tcW w:w="364" w:type="pct"/>
            <w:vAlign w:val="bottom"/>
          </w:tcPr>
          <w:p w14:paraId="6786CE5E" w14:textId="77777777" w:rsidR="008A656B" w:rsidRPr="001D2342" w:rsidRDefault="008A656B" w:rsidP="00851097">
            <w:pPr>
              <w:rPr>
                <w:rFonts w:ascii="Times New Roman" w:hAnsi="Times New Roman" w:cs="Times New Roman"/>
                <w:b/>
                <w:bCs/>
                <w:sz w:val="16"/>
                <w:szCs w:val="16"/>
              </w:rPr>
            </w:pPr>
          </w:p>
        </w:tc>
        <w:tc>
          <w:tcPr>
            <w:tcW w:w="373" w:type="pct"/>
            <w:vAlign w:val="bottom"/>
          </w:tcPr>
          <w:p w14:paraId="39A7E4DC" w14:textId="77777777" w:rsidR="008A656B" w:rsidRPr="001D2342" w:rsidRDefault="008A656B" w:rsidP="00851097">
            <w:pPr>
              <w:rPr>
                <w:rFonts w:ascii="Times New Roman" w:hAnsi="Times New Roman" w:cs="Times New Roman"/>
                <w:sz w:val="16"/>
                <w:szCs w:val="16"/>
              </w:rPr>
            </w:pPr>
          </w:p>
        </w:tc>
        <w:tc>
          <w:tcPr>
            <w:tcW w:w="940" w:type="pct"/>
            <w:vAlign w:val="bottom"/>
          </w:tcPr>
          <w:p w14:paraId="7903974C" w14:textId="77777777" w:rsidR="008A656B" w:rsidRPr="001D2342" w:rsidRDefault="008A656B" w:rsidP="00851097">
            <w:pPr>
              <w:rPr>
                <w:rFonts w:ascii="Times New Roman" w:hAnsi="Times New Roman" w:cs="Times New Roman"/>
                <w:sz w:val="16"/>
                <w:szCs w:val="16"/>
              </w:rPr>
            </w:pPr>
          </w:p>
        </w:tc>
        <w:tc>
          <w:tcPr>
            <w:tcW w:w="201" w:type="pct"/>
            <w:vAlign w:val="bottom"/>
          </w:tcPr>
          <w:p w14:paraId="19D03479"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128</w:t>
            </w:r>
          </w:p>
        </w:tc>
        <w:tc>
          <w:tcPr>
            <w:tcW w:w="129" w:type="pct"/>
            <w:vAlign w:val="bottom"/>
          </w:tcPr>
          <w:p w14:paraId="6379D528" w14:textId="77777777" w:rsidR="008A656B" w:rsidRPr="001D2342" w:rsidRDefault="008A656B" w:rsidP="00851097">
            <w:pPr>
              <w:rPr>
                <w:rFonts w:ascii="Times New Roman" w:hAnsi="Times New Roman" w:cs="Times New Roman"/>
                <w:sz w:val="16"/>
                <w:szCs w:val="16"/>
              </w:rPr>
            </w:pPr>
          </w:p>
        </w:tc>
        <w:tc>
          <w:tcPr>
            <w:tcW w:w="189" w:type="pct"/>
            <w:vAlign w:val="bottom"/>
          </w:tcPr>
          <w:p w14:paraId="53F33925"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25</w:t>
            </w:r>
          </w:p>
        </w:tc>
        <w:tc>
          <w:tcPr>
            <w:tcW w:w="110" w:type="pct"/>
            <w:vAlign w:val="bottom"/>
          </w:tcPr>
          <w:p w14:paraId="34E42393" w14:textId="77777777" w:rsidR="008A656B" w:rsidRPr="001D2342" w:rsidRDefault="008A656B" w:rsidP="00851097">
            <w:pPr>
              <w:rPr>
                <w:rFonts w:ascii="Times New Roman" w:hAnsi="Times New Roman" w:cs="Times New Roman"/>
                <w:sz w:val="16"/>
                <w:szCs w:val="16"/>
              </w:rPr>
            </w:pPr>
          </w:p>
        </w:tc>
        <w:tc>
          <w:tcPr>
            <w:tcW w:w="192" w:type="pct"/>
            <w:vAlign w:val="bottom"/>
          </w:tcPr>
          <w:p w14:paraId="2F357DC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34</w:t>
            </w:r>
          </w:p>
        </w:tc>
        <w:tc>
          <w:tcPr>
            <w:tcW w:w="678" w:type="pct"/>
            <w:vAlign w:val="bottom"/>
          </w:tcPr>
          <w:p w14:paraId="3227A1D9" w14:textId="77777777" w:rsidR="008A656B" w:rsidRPr="001D2342" w:rsidRDefault="008A656B" w:rsidP="00851097">
            <w:pPr>
              <w:rPr>
                <w:rFonts w:ascii="Times New Roman" w:hAnsi="Times New Roman" w:cs="Times New Roman"/>
                <w:sz w:val="16"/>
                <w:szCs w:val="16"/>
              </w:rPr>
            </w:pPr>
          </w:p>
        </w:tc>
        <w:tc>
          <w:tcPr>
            <w:tcW w:w="242" w:type="pct"/>
            <w:vAlign w:val="bottom"/>
          </w:tcPr>
          <w:p w14:paraId="3578D827"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973,0</w:t>
            </w:r>
          </w:p>
        </w:tc>
        <w:tc>
          <w:tcPr>
            <w:tcW w:w="259" w:type="pct"/>
            <w:vAlign w:val="bottom"/>
          </w:tcPr>
          <w:p w14:paraId="78090D3B" w14:textId="77777777" w:rsidR="008A656B" w:rsidRPr="001D2342" w:rsidRDefault="008A656B" w:rsidP="00851097">
            <w:pPr>
              <w:rPr>
                <w:rFonts w:ascii="Times New Roman" w:hAnsi="Times New Roman" w:cs="Times New Roman"/>
                <w:sz w:val="16"/>
                <w:szCs w:val="16"/>
              </w:rPr>
            </w:pPr>
          </w:p>
        </w:tc>
        <w:tc>
          <w:tcPr>
            <w:tcW w:w="199" w:type="pct"/>
            <w:vAlign w:val="bottom"/>
          </w:tcPr>
          <w:p w14:paraId="0E4D9210" w14:textId="77777777" w:rsidR="008A656B" w:rsidRPr="001D2342" w:rsidRDefault="008A656B" w:rsidP="00851097">
            <w:pPr>
              <w:rPr>
                <w:rFonts w:ascii="Times New Roman" w:hAnsi="Times New Roman" w:cs="Times New Roman"/>
                <w:sz w:val="16"/>
                <w:szCs w:val="16"/>
              </w:rPr>
            </w:pPr>
          </w:p>
        </w:tc>
        <w:tc>
          <w:tcPr>
            <w:tcW w:w="242" w:type="pct"/>
            <w:vAlign w:val="bottom"/>
          </w:tcPr>
          <w:p w14:paraId="50E92C94"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1 421,0</w:t>
            </w:r>
          </w:p>
        </w:tc>
        <w:tc>
          <w:tcPr>
            <w:tcW w:w="243" w:type="pct"/>
            <w:vAlign w:val="bottom"/>
          </w:tcPr>
          <w:p w14:paraId="1C600F85" w14:textId="77777777" w:rsidR="008A656B" w:rsidRPr="001D2342" w:rsidRDefault="008A656B" w:rsidP="00851097">
            <w:pPr>
              <w:rPr>
                <w:rFonts w:ascii="Times New Roman" w:hAnsi="Times New Roman" w:cs="Times New Roman"/>
                <w:sz w:val="16"/>
                <w:szCs w:val="16"/>
              </w:rPr>
            </w:pPr>
          </w:p>
        </w:tc>
      </w:tr>
      <w:tr w:rsidR="008A656B" w:rsidRPr="001D2342" w14:paraId="29E7504E" w14:textId="77777777" w:rsidTr="00851097">
        <w:trPr>
          <w:trHeight w:val="260"/>
        </w:trPr>
        <w:tc>
          <w:tcPr>
            <w:tcW w:w="379" w:type="pct"/>
            <w:vAlign w:val="bottom"/>
          </w:tcPr>
          <w:p w14:paraId="35419531" w14:textId="77777777" w:rsidR="008A656B" w:rsidRPr="001D2342" w:rsidRDefault="008A656B" w:rsidP="00851097">
            <w:pPr>
              <w:rPr>
                <w:rFonts w:ascii="Times New Roman" w:hAnsi="Times New Roman" w:cs="Times New Roman"/>
                <w:sz w:val="16"/>
                <w:szCs w:val="16"/>
              </w:rPr>
            </w:pPr>
          </w:p>
        </w:tc>
        <w:tc>
          <w:tcPr>
            <w:tcW w:w="261" w:type="pct"/>
            <w:vAlign w:val="bottom"/>
          </w:tcPr>
          <w:p w14:paraId="300535DE" w14:textId="77777777" w:rsidR="008A656B" w:rsidRPr="001D2342" w:rsidRDefault="008A656B" w:rsidP="00851097">
            <w:pPr>
              <w:rPr>
                <w:rFonts w:ascii="Times New Roman" w:hAnsi="Times New Roman" w:cs="Times New Roman"/>
                <w:sz w:val="16"/>
                <w:szCs w:val="16"/>
              </w:rPr>
            </w:pPr>
          </w:p>
        </w:tc>
        <w:tc>
          <w:tcPr>
            <w:tcW w:w="364" w:type="pct"/>
            <w:vAlign w:val="bottom"/>
          </w:tcPr>
          <w:p w14:paraId="52F060E9" w14:textId="77777777" w:rsidR="008A656B" w:rsidRPr="001D2342" w:rsidRDefault="008A656B" w:rsidP="00851097">
            <w:pPr>
              <w:rPr>
                <w:rFonts w:ascii="Times New Roman" w:hAnsi="Times New Roman" w:cs="Times New Roman"/>
                <w:b/>
                <w:bCs/>
                <w:sz w:val="16"/>
                <w:szCs w:val="16"/>
              </w:rPr>
            </w:pPr>
          </w:p>
        </w:tc>
        <w:tc>
          <w:tcPr>
            <w:tcW w:w="373" w:type="pct"/>
            <w:vAlign w:val="bottom"/>
          </w:tcPr>
          <w:p w14:paraId="6AC2AD9F" w14:textId="77777777" w:rsidR="008A656B" w:rsidRPr="001D2342" w:rsidRDefault="008A656B" w:rsidP="00851097">
            <w:pPr>
              <w:rPr>
                <w:rFonts w:ascii="Times New Roman" w:hAnsi="Times New Roman" w:cs="Times New Roman"/>
                <w:sz w:val="16"/>
                <w:szCs w:val="16"/>
              </w:rPr>
            </w:pPr>
          </w:p>
        </w:tc>
        <w:tc>
          <w:tcPr>
            <w:tcW w:w="940" w:type="pct"/>
            <w:vAlign w:val="bottom"/>
          </w:tcPr>
          <w:p w14:paraId="498BAAF1" w14:textId="77777777" w:rsidR="008A656B" w:rsidRPr="001D2342" w:rsidRDefault="008A656B" w:rsidP="00851097">
            <w:pPr>
              <w:rPr>
                <w:rFonts w:ascii="Times New Roman" w:hAnsi="Times New Roman" w:cs="Times New Roman"/>
                <w:sz w:val="16"/>
                <w:szCs w:val="16"/>
              </w:rPr>
            </w:pPr>
          </w:p>
        </w:tc>
        <w:tc>
          <w:tcPr>
            <w:tcW w:w="201" w:type="pct"/>
            <w:vAlign w:val="bottom"/>
          </w:tcPr>
          <w:p w14:paraId="0E29B4E6"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143</w:t>
            </w:r>
          </w:p>
        </w:tc>
        <w:tc>
          <w:tcPr>
            <w:tcW w:w="129" w:type="pct"/>
            <w:vAlign w:val="bottom"/>
          </w:tcPr>
          <w:p w14:paraId="710D8AC2" w14:textId="77777777" w:rsidR="008A656B" w:rsidRPr="001D2342" w:rsidRDefault="008A656B" w:rsidP="00851097">
            <w:pPr>
              <w:rPr>
                <w:rFonts w:ascii="Times New Roman" w:hAnsi="Times New Roman" w:cs="Times New Roman"/>
                <w:sz w:val="16"/>
                <w:szCs w:val="16"/>
              </w:rPr>
            </w:pPr>
          </w:p>
        </w:tc>
        <w:tc>
          <w:tcPr>
            <w:tcW w:w="189" w:type="pct"/>
            <w:vAlign w:val="bottom"/>
          </w:tcPr>
          <w:p w14:paraId="2F911EF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35</w:t>
            </w:r>
          </w:p>
        </w:tc>
        <w:tc>
          <w:tcPr>
            <w:tcW w:w="110" w:type="pct"/>
            <w:vAlign w:val="bottom"/>
          </w:tcPr>
          <w:p w14:paraId="6D5D2E76" w14:textId="77777777" w:rsidR="008A656B" w:rsidRPr="001D2342" w:rsidRDefault="008A656B" w:rsidP="00851097">
            <w:pPr>
              <w:rPr>
                <w:rFonts w:ascii="Times New Roman" w:hAnsi="Times New Roman" w:cs="Times New Roman"/>
                <w:sz w:val="16"/>
                <w:szCs w:val="16"/>
              </w:rPr>
            </w:pPr>
          </w:p>
        </w:tc>
        <w:tc>
          <w:tcPr>
            <w:tcW w:w="192" w:type="pct"/>
            <w:vAlign w:val="bottom"/>
          </w:tcPr>
          <w:p w14:paraId="2ACC4B12"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44</w:t>
            </w:r>
          </w:p>
        </w:tc>
        <w:tc>
          <w:tcPr>
            <w:tcW w:w="678" w:type="pct"/>
            <w:vAlign w:val="bottom"/>
          </w:tcPr>
          <w:p w14:paraId="7A68C215" w14:textId="77777777" w:rsidR="008A656B" w:rsidRPr="001D2342" w:rsidRDefault="008A656B" w:rsidP="00851097">
            <w:pPr>
              <w:rPr>
                <w:rFonts w:ascii="Times New Roman" w:hAnsi="Times New Roman" w:cs="Times New Roman"/>
                <w:sz w:val="16"/>
                <w:szCs w:val="16"/>
              </w:rPr>
            </w:pPr>
          </w:p>
        </w:tc>
        <w:tc>
          <w:tcPr>
            <w:tcW w:w="242" w:type="pct"/>
            <w:vAlign w:val="bottom"/>
          </w:tcPr>
          <w:p w14:paraId="1FEAA9F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888,0</w:t>
            </w:r>
          </w:p>
        </w:tc>
        <w:tc>
          <w:tcPr>
            <w:tcW w:w="259" w:type="pct"/>
            <w:vAlign w:val="bottom"/>
          </w:tcPr>
          <w:p w14:paraId="08868EBF" w14:textId="77777777" w:rsidR="008A656B" w:rsidRPr="001D2342" w:rsidRDefault="008A656B" w:rsidP="00851097">
            <w:pPr>
              <w:rPr>
                <w:rFonts w:ascii="Times New Roman" w:hAnsi="Times New Roman" w:cs="Times New Roman"/>
                <w:sz w:val="16"/>
                <w:szCs w:val="16"/>
              </w:rPr>
            </w:pPr>
          </w:p>
        </w:tc>
        <w:tc>
          <w:tcPr>
            <w:tcW w:w="199" w:type="pct"/>
            <w:vAlign w:val="bottom"/>
          </w:tcPr>
          <w:p w14:paraId="2D1EE318" w14:textId="77777777" w:rsidR="008A656B" w:rsidRPr="001D2342" w:rsidRDefault="008A656B" w:rsidP="00851097">
            <w:pPr>
              <w:rPr>
                <w:rFonts w:ascii="Times New Roman" w:hAnsi="Times New Roman" w:cs="Times New Roman"/>
                <w:sz w:val="16"/>
                <w:szCs w:val="16"/>
              </w:rPr>
            </w:pPr>
          </w:p>
        </w:tc>
        <w:tc>
          <w:tcPr>
            <w:tcW w:w="242" w:type="pct"/>
            <w:vAlign w:val="bottom"/>
          </w:tcPr>
          <w:p w14:paraId="14FAE1E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1 362,0</w:t>
            </w:r>
          </w:p>
        </w:tc>
        <w:tc>
          <w:tcPr>
            <w:tcW w:w="243" w:type="pct"/>
            <w:vAlign w:val="bottom"/>
          </w:tcPr>
          <w:p w14:paraId="77B9B1CF" w14:textId="77777777" w:rsidR="008A656B" w:rsidRPr="001D2342" w:rsidRDefault="008A656B" w:rsidP="00851097">
            <w:pPr>
              <w:rPr>
                <w:rFonts w:ascii="Times New Roman" w:hAnsi="Times New Roman" w:cs="Times New Roman"/>
                <w:sz w:val="16"/>
                <w:szCs w:val="16"/>
              </w:rPr>
            </w:pPr>
          </w:p>
        </w:tc>
      </w:tr>
      <w:tr w:rsidR="008A656B" w:rsidRPr="001D2342" w14:paraId="0ADE5F59" w14:textId="77777777" w:rsidTr="00851097">
        <w:trPr>
          <w:trHeight w:val="260"/>
        </w:trPr>
        <w:tc>
          <w:tcPr>
            <w:tcW w:w="379" w:type="pct"/>
            <w:vAlign w:val="bottom"/>
          </w:tcPr>
          <w:p w14:paraId="2A008ECA" w14:textId="77777777" w:rsidR="008A656B" w:rsidRPr="001D2342" w:rsidRDefault="008A656B" w:rsidP="00851097">
            <w:pPr>
              <w:rPr>
                <w:rFonts w:ascii="Times New Roman" w:hAnsi="Times New Roman" w:cs="Times New Roman"/>
                <w:sz w:val="16"/>
                <w:szCs w:val="16"/>
              </w:rPr>
            </w:pPr>
          </w:p>
        </w:tc>
        <w:tc>
          <w:tcPr>
            <w:tcW w:w="261" w:type="pct"/>
            <w:vAlign w:val="bottom"/>
          </w:tcPr>
          <w:p w14:paraId="727295AD" w14:textId="77777777" w:rsidR="008A656B" w:rsidRPr="001D2342" w:rsidRDefault="008A656B" w:rsidP="00851097">
            <w:pPr>
              <w:rPr>
                <w:rFonts w:ascii="Times New Roman" w:hAnsi="Times New Roman" w:cs="Times New Roman"/>
                <w:sz w:val="16"/>
                <w:szCs w:val="16"/>
              </w:rPr>
            </w:pPr>
          </w:p>
        </w:tc>
        <w:tc>
          <w:tcPr>
            <w:tcW w:w="364" w:type="pct"/>
            <w:vAlign w:val="bottom"/>
          </w:tcPr>
          <w:p w14:paraId="30E4F3D4" w14:textId="77777777" w:rsidR="008A656B" w:rsidRPr="001D2342" w:rsidRDefault="008A656B" w:rsidP="00851097">
            <w:pPr>
              <w:rPr>
                <w:rFonts w:ascii="Times New Roman" w:hAnsi="Times New Roman" w:cs="Times New Roman"/>
                <w:b/>
                <w:bCs/>
                <w:sz w:val="16"/>
                <w:szCs w:val="16"/>
              </w:rPr>
            </w:pPr>
          </w:p>
        </w:tc>
        <w:tc>
          <w:tcPr>
            <w:tcW w:w="373" w:type="pct"/>
            <w:vAlign w:val="bottom"/>
          </w:tcPr>
          <w:p w14:paraId="5A6AC7BB" w14:textId="77777777" w:rsidR="008A656B" w:rsidRPr="001D2342" w:rsidRDefault="008A656B" w:rsidP="00851097">
            <w:pPr>
              <w:rPr>
                <w:rFonts w:ascii="Times New Roman" w:hAnsi="Times New Roman" w:cs="Times New Roman"/>
                <w:sz w:val="16"/>
                <w:szCs w:val="16"/>
              </w:rPr>
            </w:pPr>
          </w:p>
        </w:tc>
        <w:tc>
          <w:tcPr>
            <w:tcW w:w="940" w:type="pct"/>
            <w:vAlign w:val="bottom"/>
          </w:tcPr>
          <w:p w14:paraId="4D7D4838" w14:textId="77777777" w:rsidR="008A656B" w:rsidRPr="001D2342" w:rsidRDefault="008A656B" w:rsidP="00851097">
            <w:pPr>
              <w:rPr>
                <w:rFonts w:ascii="Times New Roman" w:hAnsi="Times New Roman" w:cs="Times New Roman"/>
                <w:sz w:val="16"/>
                <w:szCs w:val="16"/>
              </w:rPr>
            </w:pPr>
          </w:p>
        </w:tc>
        <w:tc>
          <w:tcPr>
            <w:tcW w:w="201" w:type="pct"/>
            <w:vAlign w:val="bottom"/>
          </w:tcPr>
          <w:p w14:paraId="5A486CC6"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118</w:t>
            </w:r>
          </w:p>
        </w:tc>
        <w:tc>
          <w:tcPr>
            <w:tcW w:w="129" w:type="pct"/>
            <w:vAlign w:val="bottom"/>
          </w:tcPr>
          <w:p w14:paraId="2781DF5E" w14:textId="77777777" w:rsidR="008A656B" w:rsidRPr="001D2342" w:rsidRDefault="008A656B" w:rsidP="00851097">
            <w:pPr>
              <w:rPr>
                <w:rFonts w:ascii="Times New Roman" w:hAnsi="Times New Roman" w:cs="Times New Roman"/>
                <w:sz w:val="16"/>
                <w:szCs w:val="16"/>
              </w:rPr>
            </w:pPr>
          </w:p>
        </w:tc>
        <w:tc>
          <w:tcPr>
            <w:tcW w:w="189" w:type="pct"/>
            <w:vAlign w:val="bottom"/>
          </w:tcPr>
          <w:p w14:paraId="3C62E128"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45</w:t>
            </w:r>
          </w:p>
        </w:tc>
        <w:tc>
          <w:tcPr>
            <w:tcW w:w="110" w:type="pct"/>
            <w:vAlign w:val="bottom"/>
          </w:tcPr>
          <w:p w14:paraId="3864845D" w14:textId="77777777" w:rsidR="008A656B" w:rsidRPr="001D2342" w:rsidRDefault="008A656B" w:rsidP="00851097">
            <w:pPr>
              <w:rPr>
                <w:rFonts w:ascii="Times New Roman" w:hAnsi="Times New Roman" w:cs="Times New Roman"/>
                <w:sz w:val="16"/>
                <w:szCs w:val="16"/>
              </w:rPr>
            </w:pPr>
          </w:p>
        </w:tc>
        <w:tc>
          <w:tcPr>
            <w:tcW w:w="192" w:type="pct"/>
            <w:vAlign w:val="bottom"/>
          </w:tcPr>
          <w:p w14:paraId="0336AC8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54</w:t>
            </w:r>
          </w:p>
        </w:tc>
        <w:tc>
          <w:tcPr>
            <w:tcW w:w="678" w:type="pct"/>
            <w:vAlign w:val="bottom"/>
          </w:tcPr>
          <w:p w14:paraId="63861248" w14:textId="77777777" w:rsidR="008A656B" w:rsidRPr="001D2342" w:rsidRDefault="008A656B" w:rsidP="00851097">
            <w:pPr>
              <w:rPr>
                <w:rFonts w:ascii="Times New Roman" w:hAnsi="Times New Roman" w:cs="Times New Roman"/>
                <w:sz w:val="16"/>
                <w:szCs w:val="16"/>
              </w:rPr>
            </w:pPr>
          </w:p>
        </w:tc>
        <w:tc>
          <w:tcPr>
            <w:tcW w:w="242" w:type="pct"/>
            <w:vAlign w:val="bottom"/>
          </w:tcPr>
          <w:p w14:paraId="2978406F"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901,0</w:t>
            </w:r>
          </w:p>
        </w:tc>
        <w:tc>
          <w:tcPr>
            <w:tcW w:w="259" w:type="pct"/>
            <w:vAlign w:val="bottom"/>
          </w:tcPr>
          <w:p w14:paraId="054C9880" w14:textId="77777777" w:rsidR="008A656B" w:rsidRPr="001D2342" w:rsidRDefault="008A656B" w:rsidP="00851097">
            <w:pPr>
              <w:rPr>
                <w:rFonts w:ascii="Times New Roman" w:hAnsi="Times New Roman" w:cs="Times New Roman"/>
                <w:sz w:val="16"/>
                <w:szCs w:val="16"/>
              </w:rPr>
            </w:pPr>
          </w:p>
        </w:tc>
        <w:tc>
          <w:tcPr>
            <w:tcW w:w="199" w:type="pct"/>
            <w:vAlign w:val="bottom"/>
          </w:tcPr>
          <w:p w14:paraId="6683267D" w14:textId="77777777" w:rsidR="008A656B" w:rsidRPr="001D2342" w:rsidRDefault="008A656B" w:rsidP="00851097">
            <w:pPr>
              <w:rPr>
                <w:rFonts w:ascii="Times New Roman" w:hAnsi="Times New Roman" w:cs="Times New Roman"/>
                <w:sz w:val="16"/>
                <w:szCs w:val="16"/>
              </w:rPr>
            </w:pPr>
          </w:p>
        </w:tc>
        <w:tc>
          <w:tcPr>
            <w:tcW w:w="242" w:type="pct"/>
            <w:vAlign w:val="bottom"/>
          </w:tcPr>
          <w:p w14:paraId="506867E5"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1 451,0</w:t>
            </w:r>
          </w:p>
        </w:tc>
        <w:tc>
          <w:tcPr>
            <w:tcW w:w="243" w:type="pct"/>
            <w:vAlign w:val="bottom"/>
          </w:tcPr>
          <w:p w14:paraId="506697E7" w14:textId="77777777" w:rsidR="008A656B" w:rsidRPr="001D2342" w:rsidRDefault="008A656B" w:rsidP="00851097">
            <w:pPr>
              <w:rPr>
                <w:rFonts w:ascii="Times New Roman" w:hAnsi="Times New Roman" w:cs="Times New Roman"/>
                <w:sz w:val="16"/>
                <w:szCs w:val="16"/>
              </w:rPr>
            </w:pPr>
          </w:p>
        </w:tc>
      </w:tr>
      <w:tr w:rsidR="008A656B" w:rsidRPr="001D2342" w14:paraId="4DD1ECD0" w14:textId="77777777" w:rsidTr="00851097">
        <w:trPr>
          <w:trHeight w:val="260"/>
        </w:trPr>
        <w:tc>
          <w:tcPr>
            <w:tcW w:w="379" w:type="pct"/>
            <w:vAlign w:val="bottom"/>
          </w:tcPr>
          <w:p w14:paraId="0FFC986D" w14:textId="77777777" w:rsidR="008A656B" w:rsidRPr="001D2342" w:rsidRDefault="008A656B" w:rsidP="00851097">
            <w:pPr>
              <w:rPr>
                <w:rFonts w:ascii="Times New Roman" w:hAnsi="Times New Roman" w:cs="Times New Roman"/>
                <w:sz w:val="16"/>
                <w:szCs w:val="16"/>
              </w:rPr>
            </w:pPr>
          </w:p>
        </w:tc>
        <w:tc>
          <w:tcPr>
            <w:tcW w:w="261" w:type="pct"/>
            <w:vAlign w:val="bottom"/>
          </w:tcPr>
          <w:p w14:paraId="68703ED3" w14:textId="77777777" w:rsidR="008A656B" w:rsidRPr="001D2342" w:rsidRDefault="008A656B" w:rsidP="00851097">
            <w:pPr>
              <w:rPr>
                <w:rFonts w:ascii="Times New Roman" w:hAnsi="Times New Roman" w:cs="Times New Roman"/>
                <w:sz w:val="16"/>
                <w:szCs w:val="16"/>
              </w:rPr>
            </w:pPr>
          </w:p>
        </w:tc>
        <w:tc>
          <w:tcPr>
            <w:tcW w:w="364" w:type="pct"/>
            <w:vAlign w:val="bottom"/>
          </w:tcPr>
          <w:p w14:paraId="35270B74" w14:textId="77777777" w:rsidR="008A656B" w:rsidRPr="001D2342" w:rsidRDefault="008A656B" w:rsidP="00851097">
            <w:pPr>
              <w:rPr>
                <w:rFonts w:ascii="Times New Roman" w:hAnsi="Times New Roman" w:cs="Times New Roman"/>
                <w:b/>
                <w:bCs/>
                <w:sz w:val="16"/>
                <w:szCs w:val="16"/>
              </w:rPr>
            </w:pPr>
          </w:p>
        </w:tc>
        <w:tc>
          <w:tcPr>
            <w:tcW w:w="373" w:type="pct"/>
            <w:vAlign w:val="bottom"/>
          </w:tcPr>
          <w:p w14:paraId="35EF4313" w14:textId="77777777" w:rsidR="008A656B" w:rsidRPr="001D2342" w:rsidRDefault="008A656B" w:rsidP="00851097">
            <w:pPr>
              <w:rPr>
                <w:rFonts w:ascii="Times New Roman" w:hAnsi="Times New Roman" w:cs="Times New Roman"/>
                <w:sz w:val="16"/>
                <w:szCs w:val="16"/>
              </w:rPr>
            </w:pPr>
          </w:p>
        </w:tc>
        <w:tc>
          <w:tcPr>
            <w:tcW w:w="940" w:type="pct"/>
            <w:vAlign w:val="bottom"/>
          </w:tcPr>
          <w:p w14:paraId="36ECF2E4" w14:textId="77777777" w:rsidR="008A656B" w:rsidRPr="001D2342" w:rsidRDefault="008A656B" w:rsidP="00851097">
            <w:pPr>
              <w:rPr>
                <w:rFonts w:ascii="Times New Roman" w:hAnsi="Times New Roman" w:cs="Times New Roman"/>
                <w:sz w:val="16"/>
                <w:szCs w:val="16"/>
              </w:rPr>
            </w:pPr>
          </w:p>
        </w:tc>
        <w:tc>
          <w:tcPr>
            <w:tcW w:w="201" w:type="pct"/>
            <w:shd w:val="clear" w:color="auto" w:fill="D9D9D9" w:themeFill="background1" w:themeFillShade="D9"/>
            <w:vAlign w:val="bottom"/>
          </w:tcPr>
          <w:p w14:paraId="3B2ED724"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68</w:t>
            </w:r>
          </w:p>
        </w:tc>
        <w:tc>
          <w:tcPr>
            <w:tcW w:w="129" w:type="pct"/>
            <w:shd w:val="clear" w:color="auto" w:fill="D9D9D9" w:themeFill="background1" w:themeFillShade="D9"/>
            <w:vAlign w:val="bottom"/>
          </w:tcPr>
          <w:p w14:paraId="0F005068" w14:textId="77777777" w:rsidR="008A656B" w:rsidRPr="001D2342" w:rsidRDefault="008A656B" w:rsidP="00851097">
            <w:pPr>
              <w:rPr>
                <w:rFonts w:ascii="Times New Roman" w:hAnsi="Times New Roman" w:cs="Times New Roman"/>
                <w:sz w:val="16"/>
                <w:szCs w:val="16"/>
              </w:rPr>
            </w:pPr>
          </w:p>
        </w:tc>
        <w:tc>
          <w:tcPr>
            <w:tcW w:w="189" w:type="pct"/>
            <w:shd w:val="clear" w:color="auto" w:fill="D9D9D9" w:themeFill="background1" w:themeFillShade="D9"/>
            <w:vAlign w:val="bottom"/>
          </w:tcPr>
          <w:p w14:paraId="1A194E78"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55</w:t>
            </w:r>
          </w:p>
        </w:tc>
        <w:tc>
          <w:tcPr>
            <w:tcW w:w="110" w:type="pct"/>
            <w:shd w:val="clear" w:color="auto" w:fill="D9D9D9" w:themeFill="background1" w:themeFillShade="D9"/>
            <w:vAlign w:val="bottom"/>
          </w:tcPr>
          <w:p w14:paraId="57E41D45" w14:textId="77777777" w:rsidR="008A656B" w:rsidRPr="001D2342" w:rsidRDefault="008A656B" w:rsidP="00851097">
            <w:pPr>
              <w:rPr>
                <w:rFonts w:ascii="Times New Roman" w:hAnsi="Times New Roman" w:cs="Times New Roman"/>
                <w:sz w:val="16"/>
                <w:szCs w:val="16"/>
              </w:rPr>
            </w:pPr>
          </w:p>
        </w:tc>
        <w:tc>
          <w:tcPr>
            <w:tcW w:w="192" w:type="pct"/>
            <w:shd w:val="clear" w:color="auto" w:fill="D9D9D9" w:themeFill="background1" w:themeFillShade="D9"/>
            <w:vAlign w:val="bottom"/>
          </w:tcPr>
          <w:p w14:paraId="6543CB70"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64</w:t>
            </w:r>
          </w:p>
        </w:tc>
        <w:tc>
          <w:tcPr>
            <w:tcW w:w="678" w:type="pct"/>
            <w:shd w:val="clear" w:color="auto" w:fill="D9D9D9" w:themeFill="background1" w:themeFillShade="D9"/>
            <w:vAlign w:val="bottom"/>
          </w:tcPr>
          <w:p w14:paraId="74E06CB0"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60B69672"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927,0</w:t>
            </w:r>
          </w:p>
        </w:tc>
        <w:tc>
          <w:tcPr>
            <w:tcW w:w="259" w:type="pct"/>
            <w:shd w:val="clear" w:color="auto" w:fill="D9D9D9" w:themeFill="background1" w:themeFillShade="D9"/>
            <w:vAlign w:val="bottom"/>
          </w:tcPr>
          <w:p w14:paraId="57B66CA7" w14:textId="77777777" w:rsidR="008A656B" w:rsidRPr="001D2342" w:rsidRDefault="008A656B" w:rsidP="00851097">
            <w:pPr>
              <w:rPr>
                <w:rFonts w:ascii="Times New Roman" w:hAnsi="Times New Roman" w:cs="Times New Roman"/>
                <w:sz w:val="16"/>
                <w:szCs w:val="16"/>
              </w:rPr>
            </w:pPr>
          </w:p>
        </w:tc>
        <w:tc>
          <w:tcPr>
            <w:tcW w:w="199" w:type="pct"/>
            <w:shd w:val="clear" w:color="auto" w:fill="D9D9D9" w:themeFill="background1" w:themeFillShade="D9"/>
            <w:vAlign w:val="bottom"/>
          </w:tcPr>
          <w:p w14:paraId="0C732953"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390502C9"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1 607,0</w:t>
            </w:r>
          </w:p>
        </w:tc>
        <w:tc>
          <w:tcPr>
            <w:tcW w:w="243" w:type="pct"/>
            <w:shd w:val="clear" w:color="auto" w:fill="D9D9D9" w:themeFill="background1" w:themeFillShade="D9"/>
            <w:vAlign w:val="bottom"/>
          </w:tcPr>
          <w:p w14:paraId="1048A440" w14:textId="77777777" w:rsidR="008A656B" w:rsidRPr="001D2342" w:rsidRDefault="008A656B" w:rsidP="00851097">
            <w:pPr>
              <w:rPr>
                <w:rFonts w:ascii="Times New Roman" w:hAnsi="Times New Roman" w:cs="Times New Roman"/>
                <w:sz w:val="16"/>
                <w:szCs w:val="16"/>
              </w:rPr>
            </w:pPr>
          </w:p>
        </w:tc>
      </w:tr>
      <w:tr w:rsidR="008A656B" w:rsidRPr="001D2342" w14:paraId="4D39B74C" w14:textId="77777777" w:rsidTr="00851097">
        <w:trPr>
          <w:trHeight w:val="260"/>
        </w:trPr>
        <w:tc>
          <w:tcPr>
            <w:tcW w:w="379" w:type="pct"/>
            <w:vAlign w:val="bottom"/>
          </w:tcPr>
          <w:p w14:paraId="0976BEEF" w14:textId="77777777" w:rsidR="008A656B" w:rsidRPr="001D2342" w:rsidRDefault="008A656B" w:rsidP="00851097">
            <w:pPr>
              <w:rPr>
                <w:rFonts w:ascii="Times New Roman" w:hAnsi="Times New Roman" w:cs="Times New Roman"/>
                <w:sz w:val="16"/>
                <w:szCs w:val="16"/>
              </w:rPr>
            </w:pPr>
          </w:p>
        </w:tc>
        <w:tc>
          <w:tcPr>
            <w:tcW w:w="261" w:type="pct"/>
            <w:vAlign w:val="bottom"/>
          </w:tcPr>
          <w:p w14:paraId="2B87825C" w14:textId="77777777" w:rsidR="008A656B" w:rsidRPr="001D2342" w:rsidRDefault="008A656B" w:rsidP="00851097">
            <w:pPr>
              <w:rPr>
                <w:rFonts w:ascii="Times New Roman" w:hAnsi="Times New Roman" w:cs="Times New Roman"/>
                <w:sz w:val="16"/>
                <w:szCs w:val="16"/>
              </w:rPr>
            </w:pPr>
          </w:p>
        </w:tc>
        <w:tc>
          <w:tcPr>
            <w:tcW w:w="364" w:type="pct"/>
            <w:vAlign w:val="bottom"/>
          </w:tcPr>
          <w:p w14:paraId="08A0CB5B" w14:textId="77777777" w:rsidR="008A656B" w:rsidRPr="001D2342" w:rsidRDefault="008A656B" w:rsidP="00851097">
            <w:pPr>
              <w:rPr>
                <w:rFonts w:ascii="Times New Roman" w:hAnsi="Times New Roman" w:cs="Times New Roman"/>
                <w:b/>
                <w:bCs/>
                <w:sz w:val="16"/>
                <w:szCs w:val="16"/>
              </w:rPr>
            </w:pPr>
          </w:p>
        </w:tc>
        <w:tc>
          <w:tcPr>
            <w:tcW w:w="373" w:type="pct"/>
            <w:vAlign w:val="bottom"/>
          </w:tcPr>
          <w:p w14:paraId="1BA623EC" w14:textId="77777777" w:rsidR="008A656B" w:rsidRPr="001D2342" w:rsidRDefault="008A656B" w:rsidP="00851097">
            <w:pPr>
              <w:rPr>
                <w:rFonts w:ascii="Times New Roman" w:hAnsi="Times New Roman" w:cs="Times New Roman"/>
                <w:sz w:val="16"/>
                <w:szCs w:val="16"/>
              </w:rPr>
            </w:pPr>
          </w:p>
        </w:tc>
        <w:tc>
          <w:tcPr>
            <w:tcW w:w="940" w:type="pct"/>
            <w:vAlign w:val="bottom"/>
          </w:tcPr>
          <w:p w14:paraId="4FBCE19C" w14:textId="77777777" w:rsidR="008A656B" w:rsidRPr="001D2342" w:rsidRDefault="008A656B" w:rsidP="00851097">
            <w:pPr>
              <w:rPr>
                <w:rFonts w:ascii="Times New Roman" w:hAnsi="Times New Roman" w:cs="Times New Roman"/>
                <w:sz w:val="16"/>
                <w:szCs w:val="16"/>
              </w:rPr>
            </w:pPr>
          </w:p>
        </w:tc>
        <w:tc>
          <w:tcPr>
            <w:tcW w:w="201" w:type="pct"/>
            <w:shd w:val="clear" w:color="auto" w:fill="D9D9D9" w:themeFill="background1" w:themeFillShade="D9"/>
            <w:vAlign w:val="bottom"/>
          </w:tcPr>
          <w:p w14:paraId="1C28057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65</w:t>
            </w:r>
          </w:p>
        </w:tc>
        <w:tc>
          <w:tcPr>
            <w:tcW w:w="129" w:type="pct"/>
            <w:shd w:val="clear" w:color="auto" w:fill="D9D9D9" w:themeFill="background1" w:themeFillShade="D9"/>
            <w:vAlign w:val="bottom"/>
          </w:tcPr>
          <w:p w14:paraId="4665D635" w14:textId="77777777" w:rsidR="008A656B" w:rsidRPr="001D2342" w:rsidRDefault="008A656B" w:rsidP="00851097">
            <w:pPr>
              <w:rPr>
                <w:rFonts w:ascii="Times New Roman" w:hAnsi="Times New Roman" w:cs="Times New Roman"/>
                <w:sz w:val="16"/>
                <w:szCs w:val="16"/>
              </w:rPr>
            </w:pPr>
          </w:p>
        </w:tc>
        <w:tc>
          <w:tcPr>
            <w:tcW w:w="189" w:type="pct"/>
            <w:shd w:val="clear" w:color="auto" w:fill="D9D9D9" w:themeFill="background1" w:themeFillShade="D9"/>
            <w:vAlign w:val="bottom"/>
          </w:tcPr>
          <w:p w14:paraId="4BD78964"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65</w:t>
            </w:r>
          </w:p>
        </w:tc>
        <w:tc>
          <w:tcPr>
            <w:tcW w:w="110" w:type="pct"/>
            <w:shd w:val="clear" w:color="auto" w:fill="D9D9D9" w:themeFill="background1" w:themeFillShade="D9"/>
            <w:vAlign w:val="bottom"/>
          </w:tcPr>
          <w:p w14:paraId="26BEAEE0" w14:textId="77777777" w:rsidR="008A656B" w:rsidRPr="001D2342" w:rsidRDefault="008A656B" w:rsidP="00851097">
            <w:pPr>
              <w:rPr>
                <w:rFonts w:ascii="Times New Roman" w:hAnsi="Times New Roman" w:cs="Times New Roman"/>
                <w:sz w:val="16"/>
                <w:szCs w:val="16"/>
              </w:rPr>
            </w:pPr>
          </w:p>
        </w:tc>
        <w:tc>
          <w:tcPr>
            <w:tcW w:w="192" w:type="pct"/>
            <w:shd w:val="clear" w:color="auto" w:fill="D9D9D9" w:themeFill="background1" w:themeFillShade="D9"/>
            <w:vAlign w:val="bottom"/>
          </w:tcPr>
          <w:p w14:paraId="7C479047"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74</w:t>
            </w:r>
          </w:p>
        </w:tc>
        <w:tc>
          <w:tcPr>
            <w:tcW w:w="678" w:type="pct"/>
            <w:shd w:val="clear" w:color="auto" w:fill="D9D9D9" w:themeFill="background1" w:themeFillShade="D9"/>
            <w:vAlign w:val="bottom"/>
          </w:tcPr>
          <w:p w14:paraId="6076E9E1"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4CF740C4"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937,0</w:t>
            </w:r>
          </w:p>
        </w:tc>
        <w:tc>
          <w:tcPr>
            <w:tcW w:w="259" w:type="pct"/>
            <w:shd w:val="clear" w:color="auto" w:fill="D9D9D9" w:themeFill="background1" w:themeFillShade="D9"/>
            <w:vAlign w:val="bottom"/>
          </w:tcPr>
          <w:p w14:paraId="447C8BD9" w14:textId="77777777" w:rsidR="008A656B" w:rsidRPr="001D2342" w:rsidRDefault="008A656B" w:rsidP="00851097">
            <w:pPr>
              <w:rPr>
                <w:rFonts w:ascii="Times New Roman" w:hAnsi="Times New Roman" w:cs="Times New Roman"/>
                <w:sz w:val="16"/>
                <w:szCs w:val="16"/>
              </w:rPr>
            </w:pPr>
          </w:p>
        </w:tc>
        <w:tc>
          <w:tcPr>
            <w:tcW w:w="199" w:type="pct"/>
            <w:shd w:val="clear" w:color="auto" w:fill="D9D9D9" w:themeFill="background1" w:themeFillShade="D9"/>
            <w:vAlign w:val="bottom"/>
          </w:tcPr>
          <w:p w14:paraId="790DEC34"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262B8812"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1 504,0</w:t>
            </w:r>
          </w:p>
        </w:tc>
        <w:tc>
          <w:tcPr>
            <w:tcW w:w="243" w:type="pct"/>
            <w:shd w:val="clear" w:color="auto" w:fill="D9D9D9" w:themeFill="background1" w:themeFillShade="D9"/>
            <w:vAlign w:val="bottom"/>
          </w:tcPr>
          <w:p w14:paraId="6F0FD3B5" w14:textId="77777777" w:rsidR="008A656B" w:rsidRPr="001D2342" w:rsidRDefault="008A656B" w:rsidP="00851097">
            <w:pPr>
              <w:rPr>
                <w:rFonts w:ascii="Times New Roman" w:hAnsi="Times New Roman" w:cs="Times New Roman"/>
                <w:sz w:val="16"/>
                <w:szCs w:val="16"/>
              </w:rPr>
            </w:pPr>
          </w:p>
        </w:tc>
      </w:tr>
      <w:tr w:rsidR="008A656B" w:rsidRPr="001D2342" w14:paraId="69A5BEE5" w14:textId="77777777" w:rsidTr="00851097">
        <w:trPr>
          <w:trHeight w:val="260"/>
        </w:trPr>
        <w:tc>
          <w:tcPr>
            <w:tcW w:w="379" w:type="pct"/>
            <w:vAlign w:val="bottom"/>
          </w:tcPr>
          <w:p w14:paraId="3A39B1DB" w14:textId="77777777" w:rsidR="008A656B" w:rsidRPr="001D2342" w:rsidRDefault="008A656B" w:rsidP="00851097">
            <w:pPr>
              <w:rPr>
                <w:rFonts w:ascii="Times New Roman" w:hAnsi="Times New Roman" w:cs="Times New Roman"/>
                <w:sz w:val="16"/>
                <w:szCs w:val="16"/>
              </w:rPr>
            </w:pPr>
          </w:p>
        </w:tc>
        <w:tc>
          <w:tcPr>
            <w:tcW w:w="261" w:type="pct"/>
            <w:vAlign w:val="bottom"/>
          </w:tcPr>
          <w:p w14:paraId="5268F0D4" w14:textId="77777777" w:rsidR="008A656B" w:rsidRPr="001D2342" w:rsidRDefault="008A656B" w:rsidP="00851097">
            <w:pPr>
              <w:rPr>
                <w:rFonts w:ascii="Times New Roman" w:hAnsi="Times New Roman" w:cs="Times New Roman"/>
                <w:sz w:val="16"/>
                <w:szCs w:val="16"/>
              </w:rPr>
            </w:pPr>
          </w:p>
        </w:tc>
        <w:tc>
          <w:tcPr>
            <w:tcW w:w="364" w:type="pct"/>
            <w:vAlign w:val="bottom"/>
          </w:tcPr>
          <w:p w14:paraId="1EEBDFCA"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Nīderlande</w:t>
            </w:r>
          </w:p>
        </w:tc>
        <w:tc>
          <w:tcPr>
            <w:tcW w:w="373" w:type="pct"/>
            <w:vAlign w:val="bottom"/>
          </w:tcPr>
          <w:p w14:paraId="59F51C00"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(van Rossum et al., 2011)</w:t>
            </w:r>
          </w:p>
        </w:tc>
        <w:tc>
          <w:tcPr>
            <w:tcW w:w="940" w:type="pct"/>
            <w:vAlign w:val="bottom"/>
          </w:tcPr>
          <w:p w14:paraId="2B40211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Divas nesecīgas  24 stundu atcerēšanās anketas</w:t>
            </w:r>
          </w:p>
        </w:tc>
        <w:tc>
          <w:tcPr>
            <w:tcW w:w="201" w:type="pct"/>
            <w:vAlign w:val="bottom"/>
          </w:tcPr>
          <w:p w14:paraId="56432BB4"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347</w:t>
            </w:r>
          </w:p>
        </w:tc>
        <w:tc>
          <w:tcPr>
            <w:tcW w:w="129" w:type="pct"/>
            <w:vAlign w:val="bottom"/>
          </w:tcPr>
          <w:p w14:paraId="69F06DE2" w14:textId="77777777" w:rsidR="008A656B" w:rsidRPr="001D2342" w:rsidRDefault="008A656B" w:rsidP="00851097">
            <w:pPr>
              <w:rPr>
                <w:rFonts w:ascii="Times New Roman" w:hAnsi="Times New Roman" w:cs="Times New Roman"/>
                <w:sz w:val="16"/>
                <w:szCs w:val="16"/>
              </w:rPr>
            </w:pPr>
          </w:p>
        </w:tc>
        <w:tc>
          <w:tcPr>
            <w:tcW w:w="189" w:type="pct"/>
            <w:vAlign w:val="bottom"/>
          </w:tcPr>
          <w:p w14:paraId="47B45A9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19</w:t>
            </w:r>
          </w:p>
        </w:tc>
        <w:tc>
          <w:tcPr>
            <w:tcW w:w="110" w:type="pct"/>
            <w:vAlign w:val="bottom"/>
          </w:tcPr>
          <w:p w14:paraId="6D04CE8A" w14:textId="77777777" w:rsidR="008A656B" w:rsidRPr="001D2342" w:rsidRDefault="008A656B" w:rsidP="00851097">
            <w:pPr>
              <w:rPr>
                <w:rFonts w:ascii="Times New Roman" w:hAnsi="Times New Roman" w:cs="Times New Roman"/>
                <w:sz w:val="16"/>
                <w:szCs w:val="16"/>
              </w:rPr>
            </w:pPr>
          </w:p>
        </w:tc>
        <w:tc>
          <w:tcPr>
            <w:tcW w:w="192" w:type="pct"/>
            <w:vAlign w:val="bottom"/>
          </w:tcPr>
          <w:p w14:paraId="6C7462F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30</w:t>
            </w:r>
          </w:p>
        </w:tc>
        <w:tc>
          <w:tcPr>
            <w:tcW w:w="678" w:type="pct"/>
            <w:vAlign w:val="bottom"/>
          </w:tcPr>
          <w:p w14:paraId="4806829D" w14:textId="77777777" w:rsidR="008A656B" w:rsidRPr="001D2342" w:rsidRDefault="008A656B" w:rsidP="00851097">
            <w:pPr>
              <w:rPr>
                <w:rFonts w:ascii="Times New Roman" w:hAnsi="Times New Roman" w:cs="Times New Roman"/>
                <w:sz w:val="16"/>
                <w:szCs w:val="16"/>
              </w:rPr>
            </w:pPr>
          </w:p>
        </w:tc>
        <w:tc>
          <w:tcPr>
            <w:tcW w:w="242" w:type="pct"/>
            <w:vAlign w:val="bottom"/>
          </w:tcPr>
          <w:p w14:paraId="3CCDA0DE" w14:textId="77777777" w:rsidR="008A656B" w:rsidRPr="001D2342" w:rsidRDefault="008A656B" w:rsidP="00851097">
            <w:pPr>
              <w:rPr>
                <w:rFonts w:ascii="Times New Roman" w:hAnsi="Times New Roman" w:cs="Times New Roman"/>
                <w:sz w:val="16"/>
                <w:szCs w:val="16"/>
              </w:rPr>
            </w:pPr>
          </w:p>
        </w:tc>
        <w:tc>
          <w:tcPr>
            <w:tcW w:w="259" w:type="pct"/>
            <w:vAlign w:val="bottom"/>
          </w:tcPr>
          <w:p w14:paraId="37A14AB4"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910,0</w:t>
            </w:r>
          </w:p>
        </w:tc>
        <w:tc>
          <w:tcPr>
            <w:tcW w:w="199" w:type="pct"/>
            <w:vAlign w:val="bottom"/>
          </w:tcPr>
          <w:p w14:paraId="41BB9E01" w14:textId="77777777" w:rsidR="008A656B" w:rsidRPr="001D2342" w:rsidRDefault="008A656B" w:rsidP="00851097">
            <w:pPr>
              <w:rPr>
                <w:rFonts w:ascii="Times New Roman" w:hAnsi="Times New Roman" w:cs="Times New Roman"/>
                <w:sz w:val="16"/>
                <w:szCs w:val="16"/>
              </w:rPr>
            </w:pPr>
          </w:p>
        </w:tc>
        <w:tc>
          <w:tcPr>
            <w:tcW w:w="242" w:type="pct"/>
            <w:vAlign w:val="bottom"/>
          </w:tcPr>
          <w:p w14:paraId="55A95232"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1 482,0</w:t>
            </w:r>
          </w:p>
        </w:tc>
        <w:tc>
          <w:tcPr>
            <w:tcW w:w="243" w:type="pct"/>
            <w:vAlign w:val="bottom"/>
          </w:tcPr>
          <w:p w14:paraId="5BC32D17" w14:textId="77777777" w:rsidR="008A656B" w:rsidRPr="001D2342" w:rsidRDefault="008A656B" w:rsidP="00851097">
            <w:pPr>
              <w:rPr>
                <w:rFonts w:ascii="Times New Roman" w:hAnsi="Times New Roman" w:cs="Times New Roman"/>
                <w:sz w:val="16"/>
                <w:szCs w:val="16"/>
              </w:rPr>
            </w:pPr>
          </w:p>
        </w:tc>
      </w:tr>
      <w:tr w:rsidR="008A656B" w:rsidRPr="001D2342" w14:paraId="34465503" w14:textId="77777777" w:rsidTr="00851097">
        <w:trPr>
          <w:trHeight w:val="301"/>
        </w:trPr>
        <w:tc>
          <w:tcPr>
            <w:tcW w:w="379" w:type="pct"/>
            <w:vAlign w:val="bottom"/>
          </w:tcPr>
          <w:p w14:paraId="1699347B" w14:textId="77777777" w:rsidR="008A656B" w:rsidRPr="001D2342" w:rsidRDefault="008A656B" w:rsidP="00851097">
            <w:pPr>
              <w:rPr>
                <w:rFonts w:ascii="Times New Roman" w:hAnsi="Times New Roman" w:cs="Times New Roman"/>
                <w:sz w:val="16"/>
                <w:szCs w:val="16"/>
              </w:rPr>
            </w:pPr>
          </w:p>
        </w:tc>
        <w:tc>
          <w:tcPr>
            <w:tcW w:w="261" w:type="pct"/>
            <w:vAlign w:val="bottom"/>
          </w:tcPr>
          <w:p w14:paraId="0E7F0BA2" w14:textId="77777777" w:rsidR="008A656B" w:rsidRPr="001D2342" w:rsidRDefault="008A656B" w:rsidP="00851097">
            <w:pPr>
              <w:rPr>
                <w:rFonts w:ascii="Times New Roman" w:hAnsi="Times New Roman" w:cs="Times New Roman"/>
                <w:sz w:val="16"/>
                <w:szCs w:val="16"/>
              </w:rPr>
            </w:pPr>
          </w:p>
        </w:tc>
        <w:tc>
          <w:tcPr>
            <w:tcW w:w="364" w:type="pct"/>
            <w:vAlign w:val="bottom"/>
          </w:tcPr>
          <w:p w14:paraId="3AEDFB20" w14:textId="77777777" w:rsidR="008A656B" w:rsidRPr="001D2342" w:rsidRDefault="008A656B" w:rsidP="00851097">
            <w:pPr>
              <w:rPr>
                <w:rFonts w:ascii="Times New Roman" w:hAnsi="Times New Roman" w:cs="Times New Roman"/>
                <w:sz w:val="16"/>
                <w:szCs w:val="16"/>
              </w:rPr>
            </w:pPr>
          </w:p>
        </w:tc>
        <w:tc>
          <w:tcPr>
            <w:tcW w:w="373" w:type="pct"/>
            <w:vAlign w:val="bottom"/>
          </w:tcPr>
          <w:p w14:paraId="56C7DA15" w14:textId="77777777" w:rsidR="008A656B" w:rsidRPr="001D2342" w:rsidRDefault="008A656B" w:rsidP="00851097">
            <w:pPr>
              <w:rPr>
                <w:rFonts w:ascii="Times New Roman" w:hAnsi="Times New Roman" w:cs="Times New Roman"/>
                <w:sz w:val="16"/>
                <w:szCs w:val="16"/>
              </w:rPr>
            </w:pPr>
          </w:p>
        </w:tc>
        <w:tc>
          <w:tcPr>
            <w:tcW w:w="940" w:type="pct"/>
            <w:vAlign w:val="bottom"/>
          </w:tcPr>
          <w:p w14:paraId="4C064134" w14:textId="77777777" w:rsidR="008A656B" w:rsidRPr="001D2342" w:rsidRDefault="008A656B" w:rsidP="00851097">
            <w:pPr>
              <w:rPr>
                <w:rFonts w:ascii="Times New Roman" w:hAnsi="Times New Roman" w:cs="Times New Roman"/>
                <w:sz w:val="16"/>
                <w:szCs w:val="16"/>
              </w:rPr>
            </w:pPr>
          </w:p>
        </w:tc>
        <w:tc>
          <w:tcPr>
            <w:tcW w:w="201" w:type="pct"/>
            <w:vAlign w:val="bottom"/>
          </w:tcPr>
          <w:p w14:paraId="27003F1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351</w:t>
            </w:r>
          </w:p>
        </w:tc>
        <w:tc>
          <w:tcPr>
            <w:tcW w:w="129" w:type="pct"/>
            <w:vAlign w:val="bottom"/>
          </w:tcPr>
          <w:p w14:paraId="4F81D922" w14:textId="77777777" w:rsidR="008A656B" w:rsidRPr="001D2342" w:rsidRDefault="008A656B" w:rsidP="00851097">
            <w:pPr>
              <w:rPr>
                <w:rFonts w:ascii="Times New Roman" w:hAnsi="Times New Roman" w:cs="Times New Roman"/>
                <w:sz w:val="16"/>
                <w:szCs w:val="16"/>
              </w:rPr>
            </w:pPr>
          </w:p>
        </w:tc>
        <w:tc>
          <w:tcPr>
            <w:tcW w:w="189" w:type="pct"/>
            <w:vAlign w:val="bottom"/>
          </w:tcPr>
          <w:p w14:paraId="4373BD86"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31</w:t>
            </w:r>
          </w:p>
        </w:tc>
        <w:tc>
          <w:tcPr>
            <w:tcW w:w="110" w:type="pct"/>
            <w:vAlign w:val="bottom"/>
          </w:tcPr>
          <w:p w14:paraId="4A3AA528" w14:textId="77777777" w:rsidR="008A656B" w:rsidRPr="001D2342" w:rsidRDefault="008A656B" w:rsidP="00851097">
            <w:pPr>
              <w:rPr>
                <w:rFonts w:ascii="Times New Roman" w:hAnsi="Times New Roman" w:cs="Times New Roman"/>
                <w:sz w:val="16"/>
                <w:szCs w:val="16"/>
              </w:rPr>
            </w:pPr>
          </w:p>
        </w:tc>
        <w:tc>
          <w:tcPr>
            <w:tcW w:w="192" w:type="pct"/>
            <w:vAlign w:val="bottom"/>
          </w:tcPr>
          <w:p w14:paraId="46DEC37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50</w:t>
            </w:r>
          </w:p>
        </w:tc>
        <w:tc>
          <w:tcPr>
            <w:tcW w:w="678" w:type="pct"/>
            <w:vAlign w:val="bottom"/>
          </w:tcPr>
          <w:p w14:paraId="6AFCFD66" w14:textId="77777777" w:rsidR="008A656B" w:rsidRPr="001D2342" w:rsidRDefault="008A656B" w:rsidP="00851097">
            <w:pPr>
              <w:rPr>
                <w:rFonts w:ascii="Times New Roman" w:hAnsi="Times New Roman" w:cs="Times New Roman"/>
                <w:sz w:val="16"/>
                <w:szCs w:val="16"/>
              </w:rPr>
            </w:pPr>
          </w:p>
        </w:tc>
        <w:tc>
          <w:tcPr>
            <w:tcW w:w="242" w:type="pct"/>
            <w:vAlign w:val="bottom"/>
          </w:tcPr>
          <w:p w14:paraId="06921E1B" w14:textId="77777777" w:rsidR="008A656B" w:rsidRPr="001D2342" w:rsidRDefault="008A656B" w:rsidP="00851097">
            <w:pPr>
              <w:rPr>
                <w:rFonts w:ascii="Times New Roman" w:hAnsi="Times New Roman" w:cs="Times New Roman"/>
                <w:sz w:val="16"/>
                <w:szCs w:val="16"/>
              </w:rPr>
            </w:pPr>
          </w:p>
        </w:tc>
        <w:tc>
          <w:tcPr>
            <w:tcW w:w="259" w:type="pct"/>
            <w:vAlign w:val="bottom"/>
          </w:tcPr>
          <w:p w14:paraId="2E99A297"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953,0</w:t>
            </w:r>
          </w:p>
        </w:tc>
        <w:tc>
          <w:tcPr>
            <w:tcW w:w="199" w:type="pct"/>
            <w:vAlign w:val="bottom"/>
          </w:tcPr>
          <w:p w14:paraId="56FF37D9" w14:textId="77777777" w:rsidR="008A656B" w:rsidRPr="001D2342" w:rsidRDefault="008A656B" w:rsidP="00851097">
            <w:pPr>
              <w:rPr>
                <w:rFonts w:ascii="Times New Roman" w:hAnsi="Times New Roman" w:cs="Times New Roman"/>
                <w:sz w:val="16"/>
                <w:szCs w:val="16"/>
              </w:rPr>
            </w:pPr>
          </w:p>
        </w:tc>
        <w:tc>
          <w:tcPr>
            <w:tcW w:w="242" w:type="pct"/>
            <w:vAlign w:val="bottom"/>
          </w:tcPr>
          <w:p w14:paraId="180E5421"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1 540,0</w:t>
            </w:r>
          </w:p>
        </w:tc>
        <w:tc>
          <w:tcPr>
            <w:tcW w:w="243" w:type="pct"/>
            <w:vAlign w:val="bottom"/>
          </w:tcPr>
          <w:p w14:paraId="78BE36B9" w14:textId="77777777" w:rsidR="008A656B" w:rsidRPr="001D2342" w:rsidRDefault="008A656B" w:rsidP="00851097">
            <w:pPr>
              <w:rPr>
                <w:rFonts w:ascii="Times New Roman" w:hAnsi="Times New Roman" w:cs="Times New Roman"/>
                <w:sz w:val="16"/>
                <w:szCs w:val="16"/>
              </w:rPr>
            </w:pPr>
          </w:p>
        </w:tc>
      </w:tr>
      <w:tr w:rsidR="008A656B" w:rsidRPr="001D2342" w14:paraId="4BC082A9" w14:textId="77777777" w:rsidTr="00851097">
        <w:trPr>
          <w:trHeight w:val="260"/>
        </w:trPr>
        <w:tc>
          <w:tcPr>
            <w:tcW w:w="379" w:type="pct"/>
            <w:tcBorders>
              <w:bottom w:val="single" w:sz="4" w:space="0" w:color="auto"/>
            </w:tcBorders>
            <w:vAlign w:val="bottom"/>
          </w:tcPr>
          <w:p w14:paraId="09382D09" w14:textId="77777777" w:rsidR="008A656B" w:rsidRPr="001D2342" w:rsidRDefault="008A656B" w:rsidP="00851097">
            <w:pPr>
              <w:rPr>
                <w:rFonts w:ascii="Times New Roman" w:hAnsi="Times New Roman" w:cs="Times New Roman"/>
                <w:sz w:val="16"/>
                <w:szCs w:val="16"/>
              </w:rPr>
            </w:pPr>
          </w:p>
        </w:tc>
        <w:tc>
          <w:tcPr>
            <w:tcW w:w="261" w:type="pct"/>
            <w:tcBorders>
              <w:bottom w:val="single" w:sz="4" w:space="0" w:color="auto"/>
            </w:tcBorders>
            <w:vAlign w:val="bottom"/>
          </w:tcPr>
          <w:p w14:paraId="4B2456AF" w14:textId="77777777" w:rsidR="008A656B" w:rsidRPr="001D2342" w:rsidRDefault="008A656B" w:rsidP="00851097">
            <w:pPr>
              <w:rPr>
                <w:rFonts w:ascii="Times New Roman" w:hAnsi="Times New Roman" w:cs="Times New Roman"/>
                <w:sz w:val="16"/>
                <w:szCs w:val="16"/>
              </w:rPr>
            </w:pPr>
          </w:p>
        </w:tc>
        <w:tc>
          <w:tcPr>
            <w:tcW w:w="364" w:type="pct"/>
            <w:tcBorders>
              <w:bottom w:val="single" w:sz="4" w:space="0" w:color="auto"/>
            </w:tcBorders>
            <w:vAlign w:val="bottom"/>
          </w:tcPr>
          <w:p w14:paraId="4C1E5C0D" w14:textId="77777777" w:rsidR="008A656B" w:rsidRPr="001D2342" w:rsidRDefault="008A656B" w:rsidP="00851097">
            <w:pPr>
              <w:rPr>
                <w:rFonts w:ascii="Times New Roman" w:hAnsi="Times New Roman" w:cs="Times New Roman"/>
                <w:sz w:val="16"/>
                <w:szCs w:val="16"/>
              </w:rPr>
            </w:pPr>
          </w:p>
        </w:tc>
        <w:tc>
          <w:tcPr>
            <w:tcW w:w="373" w:type="pct"/>
            <w:tcBorders>
              <w:bottom w:val="single" w:sz="4" w:space="0" w:color="auto"/>
            </w:tcBorders>
            <w:vAlign w:val="bottom"/>
          </w:tcPr>
          <w:p w14:paraId="43BE4ED1" w14:textId="77777777" w:rsidR="008A656B" w:rsidRPr="001D2342" w:rsidRDefault="008A656B" w:rsidP="00851097">
            <w:pPr>
              <w:rPr>
                <w:rFonts w:ascii="Times New Roman" w:hAnsi="Times New Roman" w:cs="Times New Roman"/>
                <w:sz w:val="16"/>
                <w:szCs w:val="16"/>
              </w:rPr>
            </w:pPr>
          </w:p>
        </w:tc>
        <w:tc>
          <w:tcPr>
            <w:tcW w:w="940" w:type="pct"/>
            <w:tcBorders>
              <w:bottom w:val="single" w:sz="4" w:space="0" w:color="auto"/>
            </w:tcBorders>
            <w:vAlign w:val="bottom"/>
          </w:tcPr>
          <w:p w14:paraId="76E27792" w14:textId="77777777" w:rsidR="008A656B" w:rsidRPr="001D2342" w:rsidRDefault="008A656B" w:rsidP="00851097">
            <w:pPr>
              <w:rPr>
                <w:rFonts w:ascii="Times New Roman" w:hAnsi="Times New Roman" w:cs="Times New Roman"/>
                <w:sz w:val="16"/>
                <w:szCs w:val="16"/>
              </w:rPr>
            </w:pPr>
          </w:p>
        </w:tc>
        <w:tc>
          <w:tcPr>
            <w:tcW w:w="201" w:type="pct"/>
            <w:tcBorders>
              <w:bottom w:val="single" w:sz="4" w:space="0" w:color="auto"/>
            </w:tcBorders>
            <w:shd w:val="clear" w:color="auto" w:fill="D9D9D9" w:themeFill="background1" w:themeFillShade="D9"/>
            <w:vAlign w:val="bottom"/>
          </w:tcPr>
          <w:p w14:paraId="69121F76"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353</w:t>
            </w:r>
          </w:p>
        </w:tc>
        <w:tc>
          <w:tcPr>
            <w:tcW w:w="129" w:type="pct"/>
            <w:tcBorders>
              <w:bottom w:val="single" w:sz="4" w:space="0" w:color="auto"/>
            </w:tcBorders>
            <w:shd w:val="clear" w:color="auto" w:fill="D9D9D9" w:themeFill="background1" w:themeFillShade="D9"/>
            <w:vAlign w:val="bottom"/>
          </w:tcPr>
          <w:p w14:paraId="774DE2C8" w14:textId="77777777" w:rsidR="008A656B" w:rsidRPr="001D2342" w:rsidRDefault="008A656B" w:rsidP="00851097">
            <w:pPr>
              <w:rPr>
                <w:rFonts w:ascii="Times New Roman" w:hAnsi="Times New Roman" w:cs="Times New Roman"/>
                <w:sz w:val="16"/>
                <w:szCs w:val="16"/>
              </w:rPr>
            </w:pPr>
          </w:p>
        </w:tc>
        <w:tc>
          <w:tcPr>
            <w:tcW w:w="189" w:type="pct"/>
            <w:tcBorders>
              <w:bottom w:val="single" w:sz="4" w:space="0" w:color="auto"/>
            </w:tcBorders>
            <w:shd w:val="clear" w:color="auto" w:fill="D9D9D9" w:themeFill="background1" w:themeFillShade="D9"/>
            <w:vAlign w:val="bottom"/>
          </w:tcPr>
          <w:p w14:paraId="02020899"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51</w:t>
            </w:r>
          </w:p>
        </w:tc>
        <w:tc>
          <w:tcPr>
            <w:tcW w:w="110" w:type="pct"/>
            <w:tcBorders>
              <w:bottom w:val="single" w:sz="4" w:space="0" w:color="auto"/>
            </w:tcBorders>
            <w:shd w:val="clear" w:color="auto" w:fill="D9D9D9" w:themeFill="background1" w:themeFillShade="D9"/>
            <w:vAlign w:val="bottom"/>
          </w:tcPr>
          <w:p w14:paraId="23108577" w14:textId="77777777" w:rsidR="008A656B" w:rsidRPr="001D2342" w:rsidRDefault="008A656B" w:rsidP="00851097">
            <w:pPr>
              <w:rPr>
                <w:rFonts w:ascii="Times New Roman" w:hAnsi="Times New Roman" w:cs="Times New Roman"/>
                <w:sz w:val="16"/>
                <w:szCs w:val="16"/>
              </w:rPr>
            </w:pPr>
          </w:p>
        </w:tc>
        <w:tc>
          <w:tcPr>
            <w:tcW w:w="192" w:type="pct"/>
            <w:tcBorders>
              <w:bottom w:val="single" w:sz="4" w:space="0" w:color="auto"/>
            </w:tcBorders>
            <w:shd w:val="clear" w:color="auto" w:fill="D9D9D9" w:themeFill="background1" w:themeFillShade="D9"/>
            <w:vAlign w:val="bottom"/>
          </w:tcPr>
          <w:p w14:paraId="4BDCDC55"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69</w:t>
            </w:r>
          </w:p>
        </w:tc>
        <w:tc>
          <w:tcPr>
            <w:tcW w:w="678" w:type="pct"/>
            <w:tcBorders>
              <w:bottom w:val="single" w:sz="4" w:space="0" w:color="auto"/>
            </w:tcBorders>
            <w:shd w:val="clear" w:color="auto" w:fill="D9D9D9" w:themeFill="background1" w:themeFillShade="D9"/>
            <w:vAlign w:val="bottom"/>
          </w:tcPr>
          <w:p w14:paraId="72FD78E6" w14:textId="77777777" w:rsidR="008A656B" w:rsidRPr="001D2342" w:rsidRDefault="008A656B" w:rsidP="00851097">
            <w:pPr>
              <w:rPr>
                <w:rFonts w:ascii="Times New Roman" w:hAnsi="Times New Roman" w:cs="Times New Roman"/>
                <w:sz w:val="16"/>
                <w:szCs w:val="16"/>
              </w:rPr>
            </w:pPr>
          </w:p>
        </w:tc>
        <w:tc>
          <w:tcPr>
            <w:tcW w:w="242" w:type="pct"/>
            <w:tcBorders>
              <w:bottom w:val="single" w:sz="4" w:space="0" w:color="auto"/>
            </w:tcBorders>
            <w:shd w:val="clear" w:color="auto" w:fill="D9D9D9" w:themeFill="background1" w:themeFillShade="D9"/>
            <w:vAlign w:val="bottom"/>
          </w:tcPr>
          <w:p w14:paraId="01140F76" w14:textId="77777777" w:rsidR="008A656B" w:rsidRPr="001D2342" w:rsidRDefault="008A656B" w:rsidP="00851097">
            <w:pPr>
              <w:rPr>
                <w:rFonts w:ascii="Times New Roman" w:hAnsi="Times New Roman" w:cs="Times New Roman"/>
                <w:sz w:val="16"/>
                <w:szCs w:val="16"/>
              </w:rPr>
            </w:pPr>
          </w:p>
        </w:tc>
        <w:tc>
          <w:tcPr>
            <w:tcW w:w="259" w:type="pct"/>
            <w:tcBorders>
              <w:bottom w:val="single" w:sz="4" w:space="0" w:color="auto"/>
            </w:tcBorders>
            <w:shd w:val="clear" w:color="auto" w:fill="D9D9D9" w:themeFill="background1" w:themeFillShade="D9"/>
            <w:vAlign w:val="bottom"/>
          </w:tcPr>
          <w:p w14:paraId="79A1D7B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985,0</w:t>
            </w:r>
          </w:p>
        </w:tc>
        <w:tc>
          <w:tcPr>
            <w:tcW w:w="199" w:type="pct"/>
            <w:tcBorders>
              <w:bottom w:val="single" w:sz="4" w:space="0" w:color="auto"/>
            </w:tcBorders>
            <w:shd w:val="clear" w:color="auto" w:fill="D9D9D9" w:themeFill="background1" w:themeFillShade="D9"/>
            <w:vAlign w:val="bottom"/>
          </w:tcPr>
          <w:p w14:paraId="50DE5E81" w14:textId="77777777" w:rsidR="008A656B" w:rsidRPr="001D2342" w:rsidRDefault="008A656B" w:rsidP="00851097">
            <w:pPr>
              <w:rPr>
                <w:rFonts w:ascii="Times New Roman" w:hAnsi="Times New Roman" w:cs="Times New Roman"/>
                <w:sz w:val="16"/>
                <w:szCs w:val="16"/>
              </w:rPr>
            </w:pPr>
          </w:p>
        </w:tc>
        <w:tc>
          <w:tcPr>
            <w:tcW w:w="242" w:type="pct"/>
            <w:tcBorders>
              <w:bottom w:val="single" w:sz="4" w:space="0" w:color="auto"/>
            </w:tcBorders>
            <w:shd w:val="clear" w:color="auto" w:fill="D9D9D9" w:themeFill="background1" w:themeFillShade="D9"/>
            <w:vAlign w:val="bottom"/>
          </w:tcPr>
          <w:p w14:paraId="7DDC4F01"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1 583,0</w:t>
            </w:r>
          </w:p>
        </w:tc>
        <w:tc>
          <w:tcPr>
            <w:tcW w:w="243" w:type="pct"/>
            <w:tcBorders>
              <w:bottom w:val="single" w:sz="4" w:space="0" w:color="auto"/>
            </w:tcBorders>
            <w:shd w:val="clear" w:color="auto" w:fill="D9D9D9" w:themeFill="background1" w:themeFillShade="D9"/>
            <w:vAlign w:val="bottom"/>
          </w:tcPr>
          <w:p w14:paraId="07CFD8E5" w14:textId="77777777" w:rsidR="008A656B" w:rsidRPr="001D2342" w:rsidRDefault="008A656B" w:rsidP="00851097">
            <w:pPr>
              <w:rPr>
                <w:rFonts w:ascii="Times New Roman" w:hAnsi="Times New Roman" w:cs="Times New Roman"/>
                <w:sz w:val="16"/>
                <w:szCs w:val="16"/>
              </w:rPr>
            </w:pPr>
          </w:p>
        </w:tc>
      </w:tr>
      <w:tr w:rsidR="008A656B" w:rsidRPr="001D2342" w14:paraId="669724C2" w14:textId="77777777" w:rsidTr="00851097">
        <w:trPr>
          <w:trHeight w:val="260"/>
        </w:trPr>
        <w:tc>
          <w:tcPr>
            <w:tcW w:w="379" w:type="pct"/>
            <w:tcBorders>
              <w:top w:val="single" w:sz="4" w:space="0" w:color="auto"/>
            </w:tcBorders>
            <w:vAlign w:val="bottom"/>
          </w:tcPr>
          <w:p w14:paraId="33617373"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Pārtika</w:t>
            </w:r>
          </w:p>
        </w:tc>
        <w:tc>
          <w:tcPr>
            <w:tcW w:w="261" w:type="pct"/>
            <w:tcBorders>
              <w:top w:val="single" w:sz="4" w:space="0" w:color="auto"/>
            </w:tcBorders>
            <w:vAlign w:val="bottom"/>
          </w:tcPr>
          <w:p w14:paraId="3C96C564"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Vīrieši</w:t>
            </w:r>
          </w:p>
        </w:tc>
        <w:tc>
          <w:tcPr>
            <w:tcW w:w="364" w:type="pct"/>
            <w:tcBorders>
              <w:top w:val="single" w:sz="4" w:space="0" w:color="auto"/>
            </w:tcBorders>
            <w:vAlign w:val="bottom"/>
          </w:tcPr>
          <w:p w14:paraId="7F1F5328"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Dānija</w:t>
            </w:r>
          </w:p>
        </w:tc>
        <w:tc>
          <w:tcPr>
            <w:tcW w:w="373" w:type="pct"/>
            <w:tcBorders>
              <w:top w:val="single" w:sz="4" w:space="0" w:color="auto"/>
            </w:tcBorders>
            <w:vAlign w:val="bottom"/>
          </w:tcPr>
          <w:p w14:paraId="6FC630D2"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(Pedersen et al., 2010)</w:t>
            </w:r>
          </w:p>
        </w:tc>
        <w:tc>
          <w:tcPr>
            <w:tcW w:w="940" w:type="pct"/>
            <w:tcBorders>
              <w:top w:val="single" w:sz="4" w:space="0" w:color="auto"/>
            </w:tcBorders>
            <w:vAlign w:val="bottom"/>
          </w:tcPr>
          <w:p w14:paraId="214BDBE8" w14:textId="77777777" w:rsidR="008A656B" w:rsidRPr="001D2342" w:rsidRDefault="008A656B" w:rsidP="00851097">
            <w:pPr>
              <w:pStyle w:val="Default"/>
              <w:rPr>
                <w:sz w:val="16"/>
                <w:szCs w:val="16"/>
              </w:rPr>
            </w:pPr>
            <w:r>
              <w:rPr>
                <w:sz w:val="16"/>
              </w:rPr>
              <w:t>7 dienu uztura pieraksts (dati savākti 2003.–2008. gadā)</w:t>
            </w:r>
          </w:p>
        </w:tc>
        <w:tc>
          <w:tcPr>
            <w:tcW w:w="201" w:type="pct"/>
            <w:tcBorders>
              <w:top w:val="single" w:sz="4" w:space="0" w:color="auto"/>
            </w:tcBorders>
            <w:vAlign w:val="bottom"/>
          </w:tcPr>
          <w:p w14:paraId="7640113E"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105</w:t>
            </w:r>
          </w:p>
        </w:tc>
        <w:tc>
          <w:tcPr>
            <w:tcW w:w="129" w:type="pct"/>
            <w:tcBorders>
              <w:top w:val="single" w:sz="4" w:space="0" w:color="auto"/>
            </w:tcBorders>
            <w:vAlign w:val="bottom"/>
          </w:tcPr>
          <w:p w14:paraId="12E2800C" w14:textId="77777777" w:rsidR="008A656B" w:rsidRPr="001D2342" w:rsidRDefault="008A656B" w:rsidP="00851097">
            <w:pPr>
              <w:rPr>
                <w:rFonts w:ascii="Times New Roman" w:hAnsi="Times New Roman" w:cs="Times New Roman"/>
                <w:sz w:val="16"/>
                <w:szCs w:val="16"/>
              </w:rPr>
            </w:pPr>
          </w:p>
        </w:tc>
        <w:tc>
          <w:tcPr>
            <w:tcW w:w="189" w:type="pct"/>
            <w:tcBorders>
              <w:top w:val="single" w:sz="4" w:space="0" w:color="auto"/>
            </w:tcBorders>
            <w:vAlign w:val="bottom"/>
          </w:tcPr>
          <w:p w14:paraId="1656FE0A"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18</w:t>
            </w:r>
          </w:p>
        </w:tc>
        <w:tc>
          <w:tcPr>
            <w:tcW w:w="110" w:type="pct"/>
            <w:tcBorders>
              <w:top w:val="single" w:sz="4" w:space="0" w:color="auto"/>
            </w:tcBorders>
            <w:vAlign w:val="bottom"/>
          </w:tcPr>
          <w:p w14:paraId="225C8985" w14:textId="77777777" w:rsidR="008A656B" w:rsidRPr="001D2342" w:rsidRDefault="008A656B" w:rsidP="00851097">
            <w:pPr>
              <w:rPr>
                <w:rFonts w:ascii="Times New Roman" w:hAnsi="Times New Roman" w:cs="Times New Roman"/>
                <w:sz w:val="16"/>
                <w:szCs w:val="16"/>
              </w:rPr>
            </w:pPr>
          </w:p>
        </w:tc>
        <w:tc>
          <w:tcPr>
            <w:tcW w:w="192" w:type="pct"/>
            <w:tcBorders>
              <w:top w:val="single" w:sz="4" w:space="0" w:color="auto"/>
            </w:tcBorders>
            <w:vAlign w:val="bottom"/>
          </w:tcPr>
          <w:p w14:paraId="53147C85"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24</w:t>
            </w:r>
          </w:p>
        </w:tc>
        <w:tc>
          <w:tcPr>
            <w:tcW w:w="678" w:type="pct"/>
            <w:tcBorders>
              <w:top w:val="single" w:sz="4" w:space="0" w:color="auto"/>
            </w:tcBorders>
            <w:vAlign w:val="bottom"/>
          </w:tcPr>
          <w:p w14:paraId="53F9E5EA" w14:textId="77777777" w:rsidR="008A656B" w:rsidRPr="001D2342" w:rsidRDefault="008A656B" w:rsidP="00851097">
            <w:pPr>
              <w:rPr>
                <w:rFonts w:ascii="Times New Roman" w:hAnsi="Times New Roman" w:cs="Times New Roman"/>
                <w:sz w:val="16"/>
                <w:szCs w:val="16"/>
              </w:rPr>
            </w:pPr>
          </w:p>
        </w:tc>
        <w:tc>
          <w:tcPr>
            <w:tcW w:w="242" w:type="pct"/>
            <w:tcBorders>
              <w:top w:val="single" w:sz="4" w:space="0" w:color="auto"/>
            </w:tcBorders>
            <w:vAlign w:val="bottom"/>
          </w:tcPr>
          <w:p w14:paraId="34F6158E"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1 374,0</w:t>
            </w:r>
          </w:p>
        </w:tc>
        <w:tc>
          <w:tcPr>
            <w:tcW w:w="259" w:type="pct"/>
            <w:tcBorders>
              <w:top w:val="single" w:sz="4" w:space="0" w:color="auto"/>
            </w:tcBorders>
            <w:vAlign w:val="bottom"/>
          </w:tcPr>
          <w:p w14:paraId="5FA5B05E" w14:textId="77777777" w:rsidR="008A656B" w:rsidRPr="001D2342" w:rsidRDefault="008A656B" w:rsidP="00851097">
            <w:pPr>
              <w:rPr>
                <w:rFonts w:ascii="Times New Roman" w:hAnsi="Times New Roman" w:cs="Times New Roman"/>
                <w:sz w:val="16"/>
                <w:szCs w:val="16"/>
              </w:rPr>
            </w:pPr>
          </w:p>
        </w:tc>
        <w:tc>
          <w:tcPr>
            <w:tcW w:w="199" w:type="pct"/>
            <w:tcBorders>
              <w:top w:val="single" w:sz="4" w:space="0" w:color="auto"/>
            </w:tcBorders>
            <w:vAlign w:val="bottom"/>
          </w:tcPr>
          <w:p w14:paraId="726BE06F" w14:textId="77777777" w:rsidR="008A656B" w:rsidRPr="001D2342" w:rsidRDefault="008A656B" w:rsidP="00851097">
            <w:pPr>
              <w:rPr>
                <w:rFonts w:ascii="Times New Roman" w:hAnsi="Times New Roman" w:cs="Times New Roman"/>
                <w:sz w:val="16"/>
                <w:szCs w:val="16"/>
              </w:rPr>
            </w:pPr>
          </w:p>
        </w:tc>
        <w:tc>
          <w:tcPr>
            <w:tcW w:w="242" w:type="pct"/>
            <w:tcBorders>
              <w:top w:val="single" w:sz="4" w:space="0" w:color="auto"/>
            </w:tcBorders>
            <w:vAlign w:val="bottom"/>
          </w:tcPr>
          <w:p w14:paraId="2F8DFDCF"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2 182,0</w:t>
            </w:r>
          </w:p>
        </w:tc>
        <w:tc>
          <w:tcPr>
            <w:tcW w:w="243" w:type="pct"/>
            <w:tcBorders>
              <w:top w:val="single" w:sz="4" w:space="0" w:color="auto"/>
            </w:tcBorders>
            <w:vAlign w:val="bottom"/>
          </w:tcPr>
          <w:p w14:paraId="754EAEDC" w14:textId="77777777" w:rsidR="008A656B" w:rsidRPr="001D2342" w:rsidRDefault="008A656B" w:rsidP="00851097">
            <w:pPr>
              <w:rPr>
                <w:rFonts w:ascii="Times New Roman" w:hAnsi="Times New Roman" w:cs="Times New Roman"/>
                <w:sz w:val="16"/>
                <w:szCs w:val="16"/>
              </w:rPr>
            </w:pPr>
          </w:p>
        </w:tc>
      </w:tr>
      <w:tr w:rsidR="008A656B" w:rsidRPr="001D2342" w14:paraId="394CCDB7" w14:textId="77777777" w:rsidTr="00851097">
        <w:trPr>
          <w:trHeight w:val="260"/>
        </w:trPr>
        <w:tc>
          <w:tcPr>
            <w:tcW w:w="379" w:type="pct"/>
            <w:vAlign w:val="bottom"/>
          </w:tcPr>
          <w:p w14:paraId="4F6A039D" w14:textId="77777777" w:rsidR="008A656B" w:rsidRPr="001D2342" w:rsidRDefault="008A656B" w:rsidP="00851097">
            <w:pPr>
              <w:rPr>
                <w:rFonts w:ascii="Times New Roman" w:hAnsi="Times New Roman" w:cs="Times New Roman"/>
                <w:sz w:val="16"/>
                <w:szCs w:val="16"/>
              </w:rPr>
            </w:pPr>
          </w:p>
        </w:tc>
        <w:tc>
          <w:tcPr>
            <w:tcW w:w="261" w:type="pct"/>
            <w:vAlign w:val="bottom"/>
          </w:tcPr>
          <w:p w14:paraId="31196F69" w14:textId="77777777" w:rsidR="008A656B" w:rsidRPr="001D2342" w:rsidRDefault="008A656B" w:rsidP="00851097">
            <w:pPr>
              <w:rPr>
                <w:rFonts w:ascii="Times New Roman" w:hAnsi="Times New Roman" w:cs="Times New Roman"/>
                <w:sz w:val="16"/>
                <w:szCs w:val="16"/>
              </w:rPr>
            </w:pPr>
          </w:p>
        </w:tc>
        <w:tc>
          <w:tcPr>
            <w:tcW w:w="364" w:type="pct"/>
            <w:vAlign w:val="bottom"/>
          </w:tcPr>
          <w:p w14:paraId="37D3CCA9" w14:textId="77777777" w:rsidR="008A656B" w:rsidRPr="001D2342" w:rsidRDefault="008A656B" w:rsidP="00851097">
            <w:pPr>
              <w:rPr>
                <w:rFonts w:ascii="Times New Roman" w:hAnsi="Times New Roman" w:cs="Times New Roman"/>
                <w:sz w:val="16"/>
                <w:szCs w:val="16"/>
              </w:rPr>
            </w:pPr>
          </w:p>
        </w:tc>
        <w:tc>
          <w:tcPr>
            <w:tcW w:w="373" w:type="pct"/>
            <w:vAlign w:val="bottom"/>
          </w:tcPr>
          <w:p w14:paraId="535F4E1A" w14:textId="77777777" w:rsidR="008A656B" w:rsidRPr="001D2342" w:rsidRDefault="008A656B" w:rsidP="00851097">
            <w:pPr>
              <w:rPr>
                <w:rFonts w:ascii="Times New Roman" w:hAnsi="Times New Roman" w:cs="Times New Roman"/>
                <w:sz w:val="16"/>
                <w:szCs w:val="16"/>
              </w:rPr>
            </w:pPr>
          </w:p>
        </w:tc>
        <w:tc>
          <w:tcPr>
            <w:tcW w:w="940" w:type="pct"/>
            <w:vAlign w:val="bottom"/>
          </w:tcPr>
          <w:p w14:paraId="0A442C11" w14:textId="77777777" w:rsidR="008A656B" w:rsidRPr="001D2342" w:rsidRDefault="008A656B" w:rsidP="00851097">
            <w:pPr>
              <w:rPr>
                <w:rFonts w:ascii="Times New Roman" w:hAnsi="Times New Roman" w:cs="Times New Roman"/>
                <w:sz w:val="16"/>
                <w:szCs w:val="16"/>
              </w:rPr>
            </w:pPr>
          </w:p>
        </w:tc>
        <w:tc>
          <w:tcPr>
            <w:tcW w:w="201" w:type="pct"/>
            <w:vAlign w:val="bottom"/>
          </w:tcPr>
          <w:p w14:paraId="745B3BE0"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234</w:t>
            </w:r>
          </w:p>
        </w:tc>
        <w:tc>
          <w:tcPr>
            <w:tcW w:w="129" w:type="pct"/>
            <w:vAlign w:val="bottom"/>
          </w:tcPr>
          <w:p w14:paraId="6B14E6F3" w14:textId="77777777" w:rsidR="008A656B" w:rsidRPr="001D2342" w:rsidRDefault="008A656B" w:rsidP="00851097">
            <w:pPr>
              <w:rPr>
                <w:rFonts w:ascii="Times New Roman" w:hAnsi="Times New Roman" w:cs="Times New Roman"/>
                <w:sz w:val="16"/>
                <w:szCs w:val="16"/>
              </w:rPr>
            </w:pPr>
          </w:p>
        </w:tc>
        <w:tc>
          <w:tcPr>
            <w:tcW w:w="189" w:type="pct"/>
            <w:vAlign w:val="bottom"/>
          </w:tcPr>
          <w:p w14:paraId="1BECEBBF"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25</w:t>
            </w:r>
          </w:p>
        </w:tc>
        <w:tc>
          <w:tcPr>
            <w:tcW w:w="110" w:type="pct"/>
            <w:vAlign w:val="bottom"/>
          </w:tcPr>
          <w:p w14:paraId="6B1CAE6A" w14:textId="77777777" w:rsidR="008A656B" w:rsidRPr="001D2342" w:rsidRDefault="008A656B" w:rsidP="00851097">
            <w:pPr>
              <w:rPr>
                <w:rFonts w:ascii="Times New Roman" w:hAnsi="Times New Roman" w:cs="Times New Roman"/>
                <w:sz w:val="16"/>
                <w:szCs w:val="16"/>
              </w:rPr>
            </w:pPr>
          </w:p>
        </w:tc>
        <w:tc>
          <w:tcPr>
            <w:tcW w:w="192" w:type="pct"/>
            <w:vAlign w:val="bottom"/>
          </w:tcPr>
          <w:p w14:paraId="465C02E8"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34</w:t>
            </w:r>
          </w:p>
        </w:tc>
        <w:tc>
          <w:tcPr>
            <w:tcW w:w="678" w:type="pct"/>
            <w:vAlign w:val="bottom"/>
          </w:tcPr>
          <w:p w14:paraId="52E8556C" w14:textId="77777777" w:rsidR="008A656B" w:rsidRPr="001D2342" w:rsidRDefault="008A656B" w:rsidP="00851097">
            <w:pPr>
              <w:rPr>
                <w:rFonts w:ascii="Times New Roman" w:hAnsi="Times New Roman" w:cs="Times New Roman"/>
                <w:sz w:val="16"/>
                <w:szCs w:val="16"/>
              </w:rPr>
            </w:pPr>
          </w:p>
        </w:tc>
        <w:tc>
          <w:tcPr>
            <w:tcW w:w="242" w:type="pct"/>
            <w:vAlign w:val="bottom"/>
          </w:tcPr>
          <w:p w14:paraId="3621F397"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1 235,0</w:t>
            </w:r>
          </w:p>
        </w:tc>
        <w:tc>
          <w:tcPr>
            <w:tcW w:w="259" w:type="pct"/>
            <w:vAlign w:val="bottom"/>
          </w:tcPr>
          <w:p w14:paraId="4F8ABC26" w14:textId="77777777" w:rsidR="008A656B" w:rsidRPr="001D2342" w:rsidRDefault="008A656B" w:rsidP="00851097">
            <w:pPr>
              <w:rPr>
                <w:rFonts w:ascii="Times New Roman" w:hAnsi="Times New Roman" w:cs="Times New Roman"/>
                <w:sz w:val="16"/>
                <w:szCs w:val="16"/>
              </w:rPr>
            </w:pPr>
          </w:p>
        </w:tc>
        <w:tc>
          <w:tcPr>
            <w:tcW w:w="199" w:type="pct"/>
            <w:vAlign w:val="bottom"/>
          </w:tcPr>
          <w:p w14:paraId="1860E4E9" w14:textId="77777777" w:rsidR="008A656B" w:rsidRPr="001D2342" w:rsidRDefault="008A656B" w:rsidP="00851097">
            <w:pPr>
              <w:rPr>
                <w:rFonts w:ascii="Times New Roman" w:hAnsi="Times New Roman" w:cs="Times New Roman"/>
                <w:sz w:val="16"/>
                <w:szCs w:val="16"/>
              </w:rPr>
            </w:pPr>
          </w:p>
        </w:tc>
        <w:tc>
          <w:tcPr>
            <w:tcW w:w="242" w:type="pct"/>
            <w:vAlign w:val="bottom"/>
          </w:tcPr>
          <w:p w14:paraId="583A6FB9"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2 071,0</w:t>
            </w:r>
          </w:p>
        </w:tc>
        <w:tc>
          <w:tcPr>
            <w:tcW w:w="243" w:type="pct"/>
            <w:vAlign w:val="bottom"/>
          </w:tcPr>
          <w:p w14:paraId="54DCE512" w14:textId="77777777" w:rsidR="008A656B" w:rsidRPr="001D2342" w:rsidRDefault="008A656B" w:rsidP="00851097">
            <w:pPr>
              <w:rPr>
                <w:rFonts w:ascii="Times New Roman" w:hAnsi="Times New Roman" w:cs="Times New Roman"/>
                <w:sz w:val="16"/>
                <w:szCs w:val="16"/>
              </w:rPr>
            </w:pPr>
          </w:p>
        </w:tc>
      </w:tr>
      <w:tr w:rsidR="008A656B" w:rsidRPr="001D2342" w14:paraId="43F06D98" w14:textId="77777777" w:rsidTr="00851097">
        <w:trPr>
          <w:trHeight w:val="260"/>
        </w:trPr>
        <w:tc>
          <w:tcPr>
            <w:tcW w:w="379" w:type="pct"/>
            <w:vAlign w:val="bottom"/>
          </w:tcPr>
          <w:p w14:paraId="527CA7B7" w14:textId="77777777" w:rsidR="008A656B" w:rsidRPr="001D2342" w:rsidRDefault="008A656B" w:rsidP="00851097">
            <w:pPr>
              <w:rPr>
                <w:rFonts w:ascii="Times New Roman" w:hAnsi="Times New Roman" w:cs="Times New Roman"/>
                <w:sz w:val="16"/>
                <w:szCs w:val="16"/>
              </w:rPr>
            </w:pPr>
          </w:p>
        </w:tc>
        <w:tc>
          <w:tcPr>
            <w:tcW w:w="261" w:type="pct"/>
            <w:vAlign w:val="bottom"/>
          </w:tcPr>
          <w:p w14:paraId="133B0734" w14:textId="77777777" w:rsidR="008A656B" w:rsidRPr="001D2342" w:rsidRDefault="008A656B" w:rsidP="00851097">
            <w:pPr>
              <w:rPr>
                <w:rFonts w:ascii="Times New Roman" w:hAnsi="Times New Roman" w:cs="Times New Roman"/>
                <w:sz w:val="16"/>
                <w:szCs w:val="16"/>
              </w:rPr>
            </w:pPr>
          </w:p>
        </w:tc>
        <w:tc>
          <w:tcPr>
            <w:tcW w:w="364" w:type="pct"/>
            <w:vAlign w:val="bottom"/>
          </w:tcPr>
          <w:p w14:paraId="5A9002B2" w14:textId="77777777" w:rsidR="008A656B" w:rsidRPr="001D2342" w:rsidRDefault="008A656B" w:rsidP="00851097">
            <w:pPr>
              <w:rPr>
                <w:rFonts w:ascii="Times New Roman" w:hAnsi="Times New Roman" w:cs="Times New Roman"/>
                <w:sz w:val="16"/>
                <w:szCs w:val="16"/>
              </w:rPr>
            </w:pPr>
          </w:p>
        </w:tc>
        <w:tc>
          <w:tcPr>
            <w:tcW w:w="373" w:type="pct"/>
            <w:vAlign w:val="bottom"/>
          </w:tcPr>
          <w:p w14:paraId="61C45854" w14:textId="77777777" w:rsidR="008A656B" w:rsidRPr="001D2342" w:rsidRDefault="008A656B" w:rsidP="00851097">
            <w:pPr>
              <w:rPr>
                <w:rFonts w:ascii="Times New Roman" w:hAnsi="Times New Roman" w:cs="Times New Roman"/>
                <w:sz w:val="16"/>
                <w:szCs w:val="16"/>
              </w:rPr>
            </w:pPr>
          </w:p>
        </w:tc>
        <w:tc>
          <w:tcPr>
            <w:tcW w:w="940" w:type="pct"/>
            <w:vAlign w:val="bottom"/>
          </w:tcPr>
          <w:p w14:paraId="447D7D69" w14:textId="77777777" w:rsidR="008A656B" w:rsidRPr="001D2342" w:rsidRDefault="008A656B" w:rsidP="00851097">
            <w:pPr>
              <w:rPr>
                <w:rFonts w:ascii="Times New Roman" w:hAnsi="Times New Roman" w:cs="Times New Roman"/>
                <w:sz w:val="16"/>
                <w:szCs w:val="16"/>
              </w:rPr>
            </w:pPr>
          </w:p>
        </w:tc>
        <w:tc>
          <w:tcPr>
            <w:tcW w:w="201" w:type="pct"/>
            <w:vAlign w:val="bottom"/>
          </w:tcPr>
          <w:p w14:paraId="1D40F864"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318</w:t>
            </w:r>
          </w:p>
        </w:tc>
        <w:tc>
          <w:tcPr>
            <w:tcW w:w="129" w:type="pct"/>
            <w:vAlign w:val="bottom"/>
          </w:tcPr>
          <w:p w14:paraId="6085E699" w14:textId="77777777" w:rsidR="008A656B" w:rsidRPr="001D2342" w:rsidRDefault="008A656B" w:rsidP="00851097">
            <w:pPr>
              <w:rPr>
                <w:rFonts w:ascii="Times New Roman" w:hAnsi="Times New Roman" w:cs="Times New Roman"/>
                <w:sz w:val="16"/>
                <w:szCs w:val="16"/>
              </w:rPr>
            </w:pPr>
          </w:p>
        </w:tc>
        <w:tc>
          <w:tcPr>
            <w:tcW w:w="189" w:type="pct"/>
            <w:vAlign w:val="bottom"/>
          </w:tcPr>
          <w:p w14:paraId="0BEC665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35</w:t>
            </w:r>
          </w:p>
        </w:tc>
        <w:tc>
          <w:tcPr>
            <w:tcW w:w="110" w:type="pct"/>
            <w:vAlign w:val="bottom"/>
          </w:tcPr>
          <w:p w14:paraId="071F84AF" w14:textId="77777777" w:rsidR="008A656B" w:rsidRPr="001D2342" w:rsidRDefault="008A656B" w:rsidP="00851097">
            <w:pPr>
              <w:rPr>
                <w:rFonts w:ascii="Times New Roman" w:hAnsi="Times New Roman" w:cs="Times New Roman"/>
                <w:sz w:val="16"/>
                <w:szCs w:val="16"/>
              </w:rPr>
            </w:pPr>
          </w:p>
        </w:tc>
        <w:tc>
          <w:tcPr>
            <w:tcW w:w="192" w:type="pct"/>
            <w:vAlign w:val="bottom"/>
          </w:tcPr>
          <w:p w14:paraId="5F31D5F6"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44</w:t>
            </w:r>
          </w:p>
        </w:tc>
        <w:tc>
          <w:tcPr>
            <w:tcW w:w="678" w:type="pct"/>
            <w:vAlign w:val="bottom"/>
          </w:tcPr>
          <w:p w14:paraId="15EA148A" w14:textId="77777777" w:rsidR="008A656B" w:rsidRPr="001D2342" w:rsidRDefault="008A656B" w:rsidP="00851097">
            <w:pPr>
              <w:rPr>
                <w:rFonts w:ascii="Times New Roman" w:hAnsi="Times New Roman" w:cs="Times New Roman"/>
                <w:sz w:val="16"/>
                <w:szCs w:val="16"/>
              </w:rPr>
            </w:pPr>
          </w:p>
        </w:tc>
        <w:tc>
          <w:tcPr>
            <w:tcW w:w="242" w:type="pct"/>
            <w:vAlign w:val="bottom"/>
          </w:tcPr>
          <w:p w14:paraId="5022A14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1 182,0</w:t>
            </w:r>
          </w:p>
        </w:tc>
        <w:tc>
          <w:tcPr>
            <w:tcW w:w="259" w:type="pct"/>
            <w:vAlign w:val="bottom"/>
          </w:tcPr>
          <w:p w14:paraId="5B916AD8" w14:textId="77777777" w:rsidR="008A656B" w:rsidRPr="001D2342" w:rsidRDefault="008A656B" w:rsidP="00851097">
            <w:pPr>
              <w:rPr>
                <w:rFonts w:ascii="Times New Roman" w:hAnsi="Times New Roman" w:cs="Times New Roman"/>
                <w:sz w:val="16"/>
                <w:szCs w:val="16"/>
              </w:rPr>
            </w:pPr>
          </w:p>
        </w:tc>
        <w:tc>
          <w:tcPr>
            <w:tcW w:w="199" w:type="pct"/>
            <w:vAlign w:val="bottom"/>
          </w:tcPr>
          <w:p w14:paraId="74BCC2B2" w14:textId="77777777" w:rsidR="008A656B" w:rsidRPr="001D2342" w:rsidRDefault="008A656B" w:rsidP="00851097">
            <w:pPr>
              <w:rPr>
                <w:rFonts w:ascii="Times New Roman" w:hAnsi="Times New Roman" w:cs="Times New Roman"/>
                <w:sz w:val="16"/>
                <w:szCs w:val="16"/>
              </w:rPr>
            </w:pPr>
          </w:p>
        </w:tc>
        <w:tc>
          <w:tcPr>
            <w:tcW w:w="242" w:type="pct"/>
            <w:vAlign w:val="bottom"/>
          </w:tcPr>
          <w:p w14:paraId="08862BE4"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1 967,0</w:t>
            </w:r>
          </w:p>
        </w:tc>
        <w:tc>
          <w:tcPr>
            <w:tcW w:w="243" w:type="pct"/>
            <w:vAlign w:val="bottom"/>
          </w:tcPr>
          <w:p w14:paraId="1E4E7BCF" w14:textId="77777777" w:rsidR="008A656B" w:rsidRPr="001D2342" w:rsidRDefault="008A656B" w:rsidP="00851097">
            <w:pPr>
              <w:rPr>
                <w:rFonts w:ascii="Times New Roman" w:hAnsi="Times New Roman" w:cs="Times New Roman"/>
                <w:sz w:val="16"/>
                <w:szCs w:val="16"/>
              </w:rPr>
            </w:pPr>
          </w:p>
        </w:tc>
      </w:tr>
      <w:tr w:rsidR="008A656B" w:rsidRPr="001D2342" w14:paraId="0AF82B79" w14:textId="77777777" w:rsidTr="00851097">
        <w:trPr>
          <w:trHeight w:val="260"/>
        </w:trPr>
        <w:tc>
          <w:tcPr>
            <w:tcW w:w="379" w:type="pct"/>
            <w:vAlign w:val="bottom"/>
          </w:tcPr>
          <w:p w14:paraId="79A93F4D" w14:textId="77777777" w:rsidR="008A656B" w:rsidRPr="001D2342" w:rsidRDefault="008A656B" w:rsidP="00851097">
            <w:pPr>
              <w:rPr>
                <w:rFonts w:ascii="Times New Roman" w:hAnsi="Times New Roman" w:cs="Times New Roman"/>
                <w:sz w:val="16"/>
                <w:szCs w:val="16"/>
              </w:rPr>
            </w:pPr>
          </w:p>
        </w:tc>
        <w:tc>
          <w:tcPr>
            <w:tcW w:w="261" w:type="pct"/>
            <w:vAlign w:val="bottom"/>
          </w:tcPr>
          <w:p w14:paraId="6CEE5A11" w14:textId="77777777" w:rsidR="008A656B" w:rsidRPr="001D2342" w:rsidRDefault="008A656B" w:rsidP="00851097">
            <w:pPr>
              <w:rPr>
                <w:rFonts w:ascii="Times New Roman" w:hAnsi="Times New Roman" w:cs="Times New Roman"/>
                <w:sz w:val="16"/>
                <w:szCs w:val="16"/>
              </w:rPr>
            </w:pPr>
          </w:p>
        </w:tc>
        <w:tc>
          <w:tcPr>
            <w:tcW w:w="364" w:type="pct"/>
            <w:vAlign w:val="bottom"/>
          </w:tcPr>
          <w:p w14:paraId="0F022A00" w14:textId="77777777" w:rsidR="008A656B" w:rsidRPr="001D2342" w:rsidRDefault="008A656B" w:rsidP="00851097">
            <w:pPr>
              <w:rPr>
                <w:rFonts w:ascii="Times New Roman" w:hAnsi="Times New Roman" w:cs="Times New Roman"/>
                <w:sz w:val="16"/>
                <w:szCs w:val="16"/>
              </w:rPr>
            </w:pPr>
          </w:p>
        </w:tc>
        <w:tc>
          <w:tcPr>
            <w:tcW w:w="373" w:type="pct"/>
            <w:vAlign w:val="bottom"/>
          </w:tcPr>
          <w:p w14:paraId="61120429" w14:textId="77777777" w:rsidR="008A656B" w:rsidRPr="001D2342" w:rsidRDefault="008A656B" w:rsidP="00851097">
            <w:pPr>
              <w:rPr>
                <w:rFonts w:ascii="Times New Roman" w:hAnsi="Times New Roman" w:cs="Times New Roman"/>
                <w:sz w:val="16"/>
                <w:szCs w:val="16"/>
              </w:rPr>
            </w:pPr>
          </w:p>
        </w:tc>
        <w:tc>
          <w:tcPr>
            <w:tcW w:w="940" w:type="pct"/>
            <w:vAlign w:val="bottom"/>
          </w:tcPr>
          <w:p w14:paraId="0B3681A6" w14:textId="77777777" w:rsidR="008A656B" w:rsidRPr="001D2342" w:rsidRDefault="008A656B" w:rsidP="00851097">
            <w:pPr>
              <w:rPr>
                <w:rFonts w:ascii="Times New Roman" w:hAnsi="Times New Roman" w:cs="Times New Roman"/>
                <w:sz w:val="16"/>
                <w:szCs w:val="16"/>
              </w:rPr>
            </w:pPr>
          </w:p>
        </w:tc>
        <w:tc>
          <w:tcPr>
            <w:tcW w:w="201" w:type="pct"/>
            <w:vAlign w:val="bottom"/>
          </w:tcPr>
          <w:p w14:paraId="45186E3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336</w:t>
            </w:r>
          </w:p>
        </w:tc>
        <w:tc>
          <w:tcPr>
            <w:tcW w:w="129" w:type="pct"/>
            <w:vAlign w:val="bottom"/>
          </w:tcPr>
          <w:p w14:paraId="5549BEB9" w14:textId="77777777" w:rsidR="008A656B" w:rsidRPr="001D2342" w:rsidRDefault="008A656B" w:rsidP="00851097">
            <w:pPr>
              <w:rPr>
                <w:rFonts w:ascii="Times New Roman" w:hAnsi="Times New Roman" w:cs="Times New Roman"/>
                <w:sz w:val="16"/>
                <w:szCs w:val="16"/>
              </w:rPr>
            </w:pPr>
          </w:p>
        </w:tc>
        <w:tc>
          <w:tcPr>
            <w:tcW w:w="189" w:type="pct"/>
            <w:vAlign w:val="bottom"/>
          </w:tcPr>
          <w:p w14:paraId="0926B1A0"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45</w:t>
            </w:r>
          </w:p>
        </w:tc>
        <w:tc>
          <w:tcPr>
            <w:tcW w:w="110" w:type="pct"/>
            <w:vAlign w:val="bottom"/>
          </w:tcPr>
          <w:p w14:paraId="2C79089D" w14:textId="77777777" w:rsidR="008A656B" w:rsidRPr="001D2342" w:rsidRDefault="008A656B" w:rsidP="00851097">
            <w:pPr>
              <w:rPr>
                <w:rFonts w:ascii="Times New Roman" w:hAnsi="Times New Roman" w:cs="Times New Roman"/>
                <w:sz w:val="16"/>
                <w:szCs w:val="16"/>
              </w:rPr>
            </w:pPr>
          </w:p>
        </w:tc>
        <w:tc>
          <w:tcPr>
            <w:tcW w:w="192" w:type="pct"/>
            <w:vAlign w:val="bottom"/>
          </w:tcPr>
          <w:p w14:paraId="3A4C3F6F"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54</w:t>
            </w:r>
          </w:p>
        </w:tc>
        <w:tc>
          <w:tcPr>
            <w:tcW w:w="678" w:type="pct"/>
            <w:vAlign w:val="bottom"/>
          </w:tcPr>
          <w:p w14:paraId="1A2A5B58" w14:textId="77777777" w:rsidR="008A656B" w:rsidRPr="001D2342" w:rsidRDefault="008A656B" w:rsidP="00851097">
            <w:pPr>
              <w:rPr>
                <w:rFonts w:ascii="Times New Roman" w:hAnsi="Times New Roman" w:cs="Times New Roman"/>
                <w:sz w:val="16"/>
                <w:szCs w:val="16"/>
              </w:rPr>
            </w:pPr>
          </w:p>
        </w:tc>
        <w:tc>
          <w:tcPr>
            <w:tcW w:w="242" w:type="pct"/>
            <w:vAlign w:val="bottom"/>
          </w:tcPr>
          <w:p w14:paraId="65FF0686"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1 073,0</w:t>
            </w:r>
          </w:p>
        </w:tc>
        <w:tc>
          <w:tcPr>
            <w:tcW w:w="259" w:type="pct"/>
            <w:vAlign w:val="bottom"/>
          </w:tcPr>
          <w:p w14:paraId="03AA2E6E" w14:textId="77777777" w:rsidR="008A656B" w:rsidRPr="001D2342" w:rsidRDefault="008A656B" w:rsidP="00851097">
            <w:pPr>
              <w:rPr>
                <w:rFonts w:ascii="Times New Roman" w:hAnsi="Times New Roman" w:cs="Times New Roman"/>
                <w:sz w:val="16"/>
                <w:szCs w:val="16"/>
              </w:rPr>
            </w:pPr>
          </w:p>
        </w:tc>
        <w:tc>
          <w:tcPr>
            <w:tcW w:w="199" w:type="pct"/>
            <w:vAlign w:val="bottom"/>
          </w:tcPr>
          <w:p w14:paraId="32C3ED15" w14:textId="77777777" w:rsidR="008A656B" w:rsidRPr="001D2342" w:rsidRDefault="008A656B" w:rsidP="00851097">
            <w:pPr>
              <w:rPr>
                <w:rFonts w:ascii="Times New Roman" w:hAnsi="Times New Roman" w:cs="Times New Roman"/>
                <w:sz w:val="16"/>
                <w:szCs w:val="16"/>
              </w:rPr>
            </w:pPr>
          </w:p>
        </w:tc>
        <w:tc>
          <w:tcPr>
            <w:tcW w:w="242" w:type="pct"/>
            <w:vAlign w:val="bottom"/>
          </w:tcPr>
          <w:p w14:paraId="216AFE2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1 898,0</w:t>
            </w:r>
          </w:p>
        </w:tc>
        <w:tc>
          <w:tcPr>
            <w:tcW w:w="243" w:type="pct"/>
            <w:vAlign w:val="bottom"/>
          </w:tcPr>
          <w:p w14:paraId="20A592A9" w14:textId="77777777" w:rsidR="008A656B" w:rsidRPr="001D2342" w:rsidRDefault="008A656B" w:rsidP="00851097">
            <w:pPr>
              <w:rPr>
                <w:rFonts w:ascii="Times New Roman" w:hAnsi="Times New Roman" w:cs="Times New Roman"/>
                <w:sz w:val="16"/>
                <w:szCs w:val="16"/>
              </w:rPr>
            </w:pPr>
          </w:p>
        </w:tc>
      </w:tr>
      <w:tr w:rsidR="008A656B" w:rsidRPr="001D2342" w14:paraId="5FE55C69" w14:textId="77777777" w:rsidTr="00851097">
        <w:trPr>
          <w:trHeight w:val="260"/>
        </w:trPr>
        <w:tc>
          <w:tcPr>
            <w:tcW w:w="379" w:type="pct"/>
            <w:vAlign w:val="bottom"/>
          </w:tcPr>
          <w:p w14:paraId="6DA87EC5" w14:textId="77777777" w:rsidR="008A656B" w:rsidRPr="001D2342" w:rsidRDefault="008A656B" w:rsidP="00851097">
            <w:pPr>
              <w:rPr>
                <w:rFonts w:ascii="Times New Roman" w:hAnsi="Times New Roman" w:cs="Times New Roman"/>
                <w:sz w:val="16"/>
                <w:szCs w:val="16"/>
              </w:rPr>
            </w:pPr>
          </w:p>
        </w:tc>
        <w:tc>
          <w:tcPr>
            <w:tcW w:w="261" w:type="pct"/>
            <w:vAlign w:val="bottom"/>
          </w:tcPr>
          <w:p w14:paraId="74144625" w14:textId="77777777" w:rsidR="008A656B" w:rsidRPr="001D2342" w:rsidRDefault="008A656B" w:rsidP="00851097">
            <w:pPr>
              <w:rPr>
                <w:rFonts w:ascii="Times New Roman" w:hAnsi="Times New Roman" w:cs="Times New Roman"/>
                <w:sz w:val="16"/>
                <w:szCs w:val="16"/>
              </w:rPr>
            </w:pPr>
          </w:p>
        </w:tc>
        <w:tc>
          <w:tcPr>
            <w:tcW w:w="364" w:type="pct"/>
            <w:vAlign w:val="bottom"/>
          </w:tcPr>
          <w:p w14:paraId="48D3FFF0" w14:textId="77777777" w:rsidR="008A656B" w:rsidRPr="001D2342" w:rsidRDefault="008A656B" w:rsidP="00851097">
            <w:pPr>
              <w:rPr>
                <w:rFonts w:ascii="Times New Roman" w:hAnsi="Times New Roman" w:cs="Times New Roman"/>
                <w:sz w:val="16"/>
                <w:szCs w:val="16"/>
              </w:rPr>
            </w:pPr>
          </w:p>
        </w:tc>
        <w:tc>
          <w:tcPr>
            <w:tcW w:w="373" w:type="pct"/>
            <w:vAlign w:val="bottom"/>
          </w:tcPr>
          <w:p w14:paraId="080E75D4" w14:textId="77777777" w:rsidR="008A656B" w:rsidRPr="001D2342" w:rsidRDefault="008A656B" w:rsidP="00851097">
            <w:pPr>
              <w:rPr>
                <w:rFonts w:ascii="Times New Roman" w:hAnsi="Times New Roman" w:cs="Times New Roman"/>
                <w:sz w:val="16"/>
                <w:szCs w:val="16"/>
              </w:rPr>
            </w:pPr>
          </w:p>
        </w:tc>
        <w:tc>
          <w:tcPr>
            <w:tcW w:w="940" w:type="pct"/>
            <w:vAlign w:val="bottom"/>
          </w:tcPr>
          <w:p w14:paraId="2DCAFF1D" w14:textId="77777777" w:rsidR="008A656B" w:rsidRPr="001D2342" w:rsidRDefault="008A656B" w:rsidP="00851097">
            <w:pPr>
              <w:rPr>
                <w:rFonts w:ascii="Times New Roman" w:hAnsi="Times New Roman" w:cs="Times New Roman"/>
                <w:sz w:val="16"/>
                <w:szCs w:val="16"/>
              </w:rPr>
            </w:pPr>
          </w:p>
        </w:tc>
        <w:tc>
          <w:tcPr>
            <w:tcW w:w="201" w:type="pct"/>
            <w:shd w:val="clear" w:color="auto" w:fill="D9D9D9" w:themeFill="background1" w:themeFillShade="D9"/>
            <w:vAlign w:val="bottom"/>
          </w:tcPr>
          <w:p w14:paraId="5FA9BEBF"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336</w:t>
            </w:r>
          </w:p>
        </w:tc>
        <w:tc>
          <w:tcPr>
            <w:tcW w:w="129" w:type="pct"/>
            <w:shd w:val="clear" w:color="auto" w:fill="D9D9D9" w:themeFill="background1" w:themeFillShade="D9"/>
            <w:vAlign w:val="bottom"/>
          </w:tcPr>
          <w:p w14:paraId="0E077C9B" w14:textId="77777777" w:rsidR="008A656B" w:rsidRPr="001D2342" w:rsidRDefault="008A656B" w:rsidP="00851097">
            <w:pPr>
              <w:rPr>
                <w:rFonts w:ascii="Times New Roman" w:hAnsi="Times New Roman" w:cs="Times New Roman"/>
                <w:sz w:val="16"/>
                <w:szCs w:val="16"/>
              </w:rPr>
            </w:pPr>
          </w:p>
        </w:tc>
        <w:tc>
          <w:tcPr>
            <w:tcW w:w="189" w:type="pct"/>
            <w:shd w:val="clear" w:color="auto" w:fill="D9D9D9" w:themeFill="background1" w:themeFillShade="D9"/>
            <w:vAlign w:val="bottom"/>
          </w:tcPr>
          <w:p w14:paraId="50440A45"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55</w:t>
            </w:r>
          </w:p>
        </w:tc>
        <w:tc>
          <w:tcPr>
            <w:tcW w:w="110" w:type="pct"/>
            <w:shd w:val="clear" w:color="auto" w:fill="D9D9D9" w:themeFill="background1" w:themeFillShade="D9"/>
            <w:vAlign w:val="bottom"/>
          </w:tcPr>
          <w:p w14:paraId="5D4AC93D" w14:textId="77777777" w:rsidR="008A656B" w:rsidRPr="001D2342" w:rsidRDefault="008A656B" w:rsidP="00851097">
            <w:pPr>
              <w:rPr>
                <w:rFonts w:ascii="Times New Roman" w:hAnsi="Times New Roman" w:cs="Times New Roman"/>
                <w:sz w:val="16"/>
                <w:szCs w:val="16"/>
              </w:rPr>
            </w:pPr>
          </w:p>
        </w:tc>
        <w:tc>
          <w:tcPr>
            <w:tcW w:w="192" w:type="pct"/>
            <w:shd w:val="clear" w:color="auto" w:fill="D9D9D9" w:themeFill="background1" w:themeFillShade="D9"/>
            <w:vAlign w:val="bottom"/>
          </w:tcPr>
          <w:p w14:paraId="191710A4"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64</w:t>
            </w:r>
          </w:p>
        </w:tc>
        <w:tc>
          <w:tcPr>
            <w:tcW w:w="678" w:type="pct"/>
            <w:shd w:val="clear" w:color="auto" w:fill="D9D9D9" w:themeFill="background1" w:themeFillShade="D9"/>
            <w:vAlign w:val="bottom"/>
          </w:tcPr>
          <w:p w14:paraId="24E61123"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292C2FFA"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955,0</w:t>
            </w:r>
          </w:p>
        </w:tc>
        <w:tc>
          <w:tcPr>
            <w:tcW w:w="259" w:type="pct"/>
            <w:shd w:val="clear" w:color="auto" w:fill="D9D9D9" w:themeFill="background1" w:themeFillShade="D9"/>
            <w:vAlign w:val="bottom"/>
          </w:tcPr>
          <w:p w14:paraId="1F394F82" w14:textId="77777777" w:rsidR="008A656B" w:rsidRPr="001D2342" w:rsidRDefault="008A656B" w:rsidP="00851097">
            <w:pPr>
              <w:rPr>
                <w:rFonts w:ascii="Times New Roman" w:hAnsi="Times New Roman" w:cs="Times New Roman"/>
                <w:sz w:val="16"/>
                <w:szCs w:val="16"/>
              </w:rPr>
            </w:pPr>
          </w:p>
        </w:tc>
        <w:tc>
          <w:tcPr>
            <w:tcW w:w="199" w:type="pct"/>
            <w:shd w:val="clear" w:color="auto" w:fill="D9D9D9" w:themeFill="background1" w:themeFillShade="D9"/>
            <w:vAlign w:val="bottom"/>
          </w:tcPr>
          <w:p w14:paraId="74ABDEDA"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00914CF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1 742,0</w:t>
            </w:r>
          </w:p>
        </w:tc>
        <w:tc>
          <w:tcPr>
            <w:tcW w:w="243" w:type="pct"/>
            <w:shd w:val="clear" w:color="auto" w:fill="D9D9D9" w:themeFill="background1" w:themeFillShade="D9"/>
            <w:vAlign w:val="bottom"/>
          </w:tcPr>
          <w:p w14:paraId="6142EF5B" w14:textId="77777777" w:rsidR="008A656B" w:rsidRPr="001D2342" w:rsidRDefault="008A656B" w:rsidP="00851097">
            <w:pPr>
              <w:rPr>
                <w:rFonts w:ascii="Times New Roman" w:hAnsi="Times New Roman" w:cs="Times New Roman"/>
                <w:sz w:val="16"/>
                <w:szCs w:val="16"/>
              </w:rPr>
            </w:pPr>
          </w:p>
        </w:tc>
      </w:tr>
      <w:tr w:rsidR="008A656B" w:rsidRPr="001D2342" w14:paraId="26B5F63B" w14:textId="77777777" w:rsidTr="00851097">
        <w:trPr>
          <w:trHeight w:val="260"/>
        </w:trPr>
        <w:tc>
          <w:tcPr>
            <w:tcW w:w="379" w:type="pct"/>
            <w:vAlign w:val="bottom"/>
          </w:tcPr>
          <w:p w14:paraId="7D171217" w14:textId="77777777" w:rsidR="008A656B" w:rsidRPr="001D2342" w:rsidRDefault="008A656B" w:rsidP="00851097">
            <w:pPr>
              <w:rPr>
                <w:rFonts w:ascii="Times New Roman" w:hAnsi="Times New Roman" w:cs="Times New Roman"/>
                <w:sz w:val="16"/>
                <w:szCs w:val="16"/>
              </w:rPr>
            </w:pPr>
          </w:p>
        </w:tc>
        <w:tc>
          <w:tcPr>
            <w:tcW w:w="261" w:type="pct"/>
            <w:vAlign w:val="bottom"/>
          </w:tcPr>
          <w:p w14:paraId="791DF669" w14:textId="77777777" w:rsidR="008A656B" w:rsidRPr="001D2342" w:rsidRDefault="008A656B" w:rsidP="00851097">
            <w:pPr>
              <w:rPr>
                <w:rFonts w:ascii="Times New Roman" w:hAnsi="Times New Roman" w:cs="Times New Roman"/>
                <w:sz w:val="16"/>
                <w:szCs w:val="16"/>
              </w:rPr>
            </w:pPr>
          </w:p>
        </w:tc>
        <w:tc>
          <w:tcPr>
            <w:tcW w:w="364" w:type="pct"/>
            <w:vAlign w:val="bottom"/>
          </w:tcPr>
          <w:p w14:paraId="0D83164E" w14:textId="77777777" w:rsidR="008A656B" w:rsidRPr="001D2342" w:rsidRDefault="008A656B" w:rsidP="00851097">
            <w:pPr>
              <w:rPr>
                <w:rFonts w:ascii="Times New Roman" w:hAnsi="Times New Roman" w:cs="Times New Roman"/>
                <w:sz w:val="16"/>
                <w:szCs w:val="16"/>
              </w:rPr>
            </w:pPr>
          </w:p>
        </w:tc>
        <w:tc>
          <w:tcPr>
            <w:tcW w:w="373" w:type="pct"/>
            <w:vAlign w:val="bottom"/>
          </w:tcPr>
          <w:p w14:paraId="78FB610F" w14:textId="77777777" w:rsidR="008A656B" w:rsidRPr="001D2342" w:rsidRDefault="008A656B" w:rsidP="00851097">
            <w:pPr>
              <w:rPr>
                <w:rFonts w:ascii="Times New Roman" w:hAnsi="Times New Roman" w:cs="Times New Roman"/>
                <w:sz w:val="16"/>
                <w:szCs w:val="16"/>
              </w:rPr>
            </w:pPr>
          </w:p>
        </w:tc>
        <w:tc>
          <w:tcPr>
            <w:tcW w:w="940" w:type="pct"/>
            <w:vAlign w:val="bottom"/>
          </w:tcPr>
          <w:p w14:paraId="5EC77B87" w14:textId="77777777" w:rsidR="008A656B" w:rsidRPr="001D2342" w:rsidRDefault="008A656B" w:rsidP="00851097">
            <w:pPr>
              <w:rPr>
                <w:rFonts w:ascii="Times New Roman" w:hAnsi="Times New Roman" w:cs="Times New Roman"/>
                <w:sz w:val="16"/>
                <w:szCs w:val="16"/>
              </w:rPr>
            </w:pPr>
          </w:p>
        </w:tc>
        <w:tc>
          <w:tcPr>
            <w:tcW w:w="201" w:type="pct"/>
            <w:shd w:val="clear" w:color="auto" w:fill="D9D9D9" w:themeFill="background1" w:themeFillShade="D9"/>
            <w:vAlign w:val="bottom"/>
          </w:tcPr>
          <w:p w14:paraId="25DAC648"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240</w:t>
            </w:r>
          </w:p>
        </w:tc>
        <w:tc>
          <w:tcPr>
            <w:tcW w:w="129" w:type="pct"/>
            <w:shd w:val="clear" w:color="auto" w:fill="D9D9D9" w:themeFill="background1" w:themeFillShade="D9"/>
            <w:vAlign w:val="bottom"/>
          </w:tcPr>
          <w:p w14:paraId="54F582A2" w14:textId="77777777" w:rsidR="008A656B" w:rsidRPr="001D2342" w:rsidRDefault="008A656B" w:rsidP="00851097">
            <w:pPr>
              <w:rPr>
                <w:rFonts w:ascii="Times New Roman" w:hAnsi="Times New Roman" w:cs="Times New Roman"/>
                <w:sz w:val="16"/>
                <w:szCs w:val="16"/>
              </w:rPr>
            </w:pPr>
          </w:p>
        </w:tc>
        <w:tc>
          <w:tcPr>
            <w:tcW w:w="189" w:type="pct"/>
            <w:shd w:val="clear" w:color="auto" w:fill="D9D9D9" w:themeFill="background1" w:themeFillShade="D9"/>
            <w:vAlign w:val="bottom"/>
          </w:tcPr>
          <w:p w14:paraId="69A16FD1"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65</w:t>
            </w:r>
          </w:p>
        </w:tc>
        <w:tc>
          <w:tcPr>
            <w:tcW w:w="110" w:type="pct"/>
            <w:shd w:val="clear" w:color="auto" w:fill="D9D9D9" w:themeFill="background1" w:themeFillShade="D9"/>
            <w:vAlign w:val="bottom"/>
          </w:tcPr>
          <w:p w14:paraId="714BA580" w14:textId="77777777" w:rsidR="008A656B" w:rsidRPr="001D2342" w:rsidRDefault="008A656B" w:rsidP="00851097">
            <w:pPr>
              <w:rPr>
                <w:rFonts w:ascii="Times New Roman" w:hAnsi="Times New Roman" w:cs="Times New Roman"/>
                <w:sz w:val="16"/>
                <w:szCs w:val="16"/>
              </w:rPr>
            </w:pPr>
          </w:p>
        </w:tc>
        <w:tc>
          <w:tcPr>
            <w:tcW w:w="192" w:type="pct"/>
            <w:shd w:val="clear" w:color="auto" w:fill="D9D9D9" w:themeFill="background1" w:themeFillShade="D9"/>
            <w:vAlign w:val="bottom"/>
          </w:tcPr>
          <w:p w14:paraId="7E19140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75</w:t>
            </w:r>
          </w:p>
        </w:tc>
        <w:tc>
          <w:tcPr>
            <w:tcW w:w="678" w:type="pct"/>
            <w:shd w:val="clear" w:color="auto" w:fill="D9D9D9" w:themeFill="background1" w:themeFillShade="D9"/>
            <w:vAlign w:val="bottom"/>
          </w:tcPr>
          <w:p w14:paraId="2321A250"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5C5CAE34"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952,0</w:t>
            </w:r>
          </w:p>
        </w:tc>
        <w:tc>
          <w:tcPr>
            <w:tcW w:w="259" w:type="pct"/>
            <w:shd w:val="clear" w:color="auto" w:fill="D9D9D9" w:themeFill="background1" w:themeFillShade="D9"/>
            <w:vAlign w:val="bottom"/>
          </w:tcPr>
          <w:p w14:paraId="6A93E43E" w14:textId="77777777" w:rsidR="008A656B" w:rsidRPr="001D2342" w:rsidRDefault="008A656B" w:rsidP="00851097">
            <w:pPr>
              <w:rPr>
                <w:rFonts w:ascii="Times New Roman" w:hAnsi="Times New Roman" w:cs="Times New Roman"/>
                <w:sz w:val="16"/>
                <w:szCs w:val="16"/>
              </w:rPr>
            </w:pPr>
          </w:p>
        </w:tc>
        <w:tc>
          <w:tcPr>
            <w:tcW w:w="199" w:type="pct"/>
            <w:shd w:val="clear" w:color="auto" w:fill="D9D9D9" w:themeFill="background1" w:themeFillShade="D9"/>
            <w:vAlign w:val="bottom"/>
          </w:tcPr>
          <w:p w14:paraId="46A8192E"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39DAE0D0"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1 669,0</w:t>
            </w:r>
          </w:p>
        </w:tc>
        <w:tc>
          <w:tcPr>
            <w:tcW w:w="243" w:type="pct"/>
            <w:shd w:val="clear" w:color="auto" w:fill="D9D9D9" w:themeFill="background1" w:themeFillShade="D9"/>
            <w:vAlign w:val="bottom"/>
          </w:tcPr>
          <w:p w14:paraId="1CEF6302" w14:textId="77777777" w:rsidR="008A656B" w:rsidRPr="001D2342" w:rsidRDefault="008A656B" w:rsidP="00851097">
            <w:pPr>
              <w:rPr>
                <w:rFonts w:ascii="Times New Roman" w:hAnsi="Times New Roman" w:cs="Times New Roman"/>
                <w:sz w:val="16"/>
                <w:szCs w:val="16"/>
              </w:rPr>
            </w:pPr>
          </w:p>
        </w:tc>
      </w:tr>
      <w:tr w:rsidR="008A656B" w:rsidRPr="001D2342" w14:paraId="553EE7FC" w14:textId="77777777" w:rsidTr="00851097">
        <w:trPr>
          <w:trHeight w:val="260"/>
        </w:trPr>
        <w:tc>
          <w:tcPr>
            <w:tcW w:w="379" w:type="pct"/>
            <w:vAlign w:val="bottom"/>
          </w:tcPr>
          <w:p w14:paraId="2DB3F93F" w14:textId="77777777" w:rsidR="008A656B" w:rsidRPr="001D2342" w:rsidRDefault="008A656B" w:rsidP="00851097">
            <w:pPr>
              <w:rPr>
                <w:rFonts w:ascii="Times New Roman" w:hAnsi="Times New Roman" w:cs="Times New Roman"/>
                <w:sz w:val="16"/>
                <w:szCs w:val="16"/>
              </w:rPr>
            </w:pPr>
          </w:p>
        </w:tc>
        <w:tc>
          <w:tcPr>
            <w:tcW w:w="261" w:type="pct"/>
            <w:vAlign w:val="bottom"/>
          </w:tcPr>
          <w:p w14:paraId="6C6DA81F" w14:textId="77777777" w:rsidR="008A656B" w:rsidRPr="001D2342" w:rsidRDefault="008A656B" w:rsidP="00851097">
            <w:pPr>
              <w:rPr>
                <w:rFonts w:ascii="Times New Roman" w:hAnsi="Times New Roman" w:cs="Times New Roman"/>
                <w:sz w:val="16"/>
                <w:szCs w:val="16"/>
              </w:rPr>
            </w:pPr>
          </w:p>
        </w:tc>
        <w:tc>
          <w:tcPr>
            <w:tcW w:w="364" w:type="pct"/>
            <w:vAlign w:val="bottom"/>
          </w:tcPr>
          <w:p w14:paraId="45D79CFB" w14:textId="77777777" w:rsidR="008A656B" w:rsidRPr="001D2342" w:rsidRDefault="008A656B" w:rsidP="00851097">
            <w:pPr>
              <w:rPr>
                <w:rFonts w:ascii="Times New Roman" w:hAnsi="Times New Roman" w:cs="Times New Roman"/>
                <w:sz w:val="16"/>
                <w:szCs w:val="16"/>
              </w:rPr>
            </w:pPr>
          </w:p>
        </w:tc>
        <w:tc>
          <w:tcPr>
            <w:tcW w:w="373" w:type="pct"/>
            <w:vAlign w:val="bottom"/>
          </w:tcPr>
          <w:p w14:paraId="7BAE1C6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(Tetens et al., 2011)</w:t>
            </w:r>
          </w:p>
        </w:tc>
        <w:tc>
          <w:tcPr>
            <w:tcW w:w="940" w:type="pct"/>
            <w:vAlign w:val="bottom"/>
          </w:tcPr>
          <w:p w14:paraId="61857A3B" w14:textId="77777777" w:rsidR="008A656B" w:rsidRPr="001D2342" w:rsidRDefault="008A656B" w:rsidP="00851097">
            <w:pPr>
              <w:pStyle w:val="Default"/>
              <w:rPr>
                <w:sz w:val="16"/>
                <w:szCs w:val="16"/>
              </w:rPr>
            </w:pPr>
            <w:r>
              <w:rPr>
                <w:sz w:val="16"/>
              </w:rPr>
              <w:t xml:space="preserve">7 dienu uztura pieraksts un intervija (dati savākti 2000.–2004. gadā) </w:t>
            </w:r>
          </w:p>
        </w:tc>
        <w:tc>
          <w:tcPr>
            <w:tcW w:w="201" w:type="pct"/>
            <w:shd w:val="clear" w:color="auto" w:fill="D9D9D9" w:themeFill="background1" w:themeFillShade="D9"/>
            <w:vAlign w:val="bottom"/>
          </w:tcPr>
          <w:p w14:paraId="58AF145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663</w:t>
            </w:r>
          </w:p>
        </w:tc>
        <w:tc>
          <w:tcPr>
            <w:tcW w:w="129" w:type="pct"/>
            <w:shd w:val="clear" w:color="auto" w:fill="D9D9D9" w:themeFill="background1" w:themeFillShade="D9"/>
            <w:vAlign w:val="bottom"/>
          </w:tcPr>
          <w:p w14:paraId="4FACC89D" w14:textId="77777777" w:rsidR="008A656B" w:rsidRPr="001D2342" w:rsidRDefault="008A656B" w:rsidP="00851097">
            <w:pPr>
              <w:rPr>
                <w:rFonts w:ascii="Times New Roman" w:hAnsi="Times New Roman" w:cs="Times New Roman"/>
                <w:sz w:val="16"/>
                <w:szCs w:val="16"/>
              </w:rPr>
            </w:pPr>
          </w:p>
        </w:tc>
        <w:tc>
          <w:tcPr>
            <w:tcW w:w="189" w:type="pct"/>
            <w:shd w:val="clear" w:color="auto" w:fill="D9D9D9" w:themeFill="background1" w:themeFillShade="D9"/>
            <w:vAlign w:val="bottom"/>
          </w:tcPr>
          <w:p w14:paraId="32991BE8"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18</w:t>
            </w:r>
          </w:p>
        </w:tc>
        <w:tc>
          <w:tcPr>
            <w:tcW w:w="110" w:type="pct"/>
            <w:shd w:val="clear" w:color="auto" w:fill="D9D9D9" w:themeFill="background1" w:themeFillShade="D9"/>
            <w:vAlign w:val="bottom"/>
          </w:tcPr>
          <w:p w14:paraId="36D06A33" w14:textId="77777777" w:rsidR="008A656B" w:rsidRPr="001D2342" w:rsidRDefault="008A656B" w:rsidP="00851097">
            <w:pPr>
              <w:rPr>
                <w:rFonts w:ascii="Times New Roman" w:hAnsi="Times New Roman" w:cs="Times New Roman"/>
                <w:sz w:val="16"/>
                <w:szCs w:val="16"/>
              </w:rPr>
            </w:pPr>
          </w:p>
        </w:tc>
        <w:tc>
          <w:tcPr>
            <w:tcW w:w="192" w:type="pct"/>
            <w:shd w:val="clear" w:color="auto" w:fill="D9D9D9" w:themeFill="background1" w:themeFillShade="D9"/>
            <w:vAlign w:val="bottom"/>
          </w:tcPr>
          <w:p w14:paraId="7486F4F9"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49</w:t>
            </w:r>
          </w:p>
        </w:tc>
        <w:tc>
          <w:tcPr>
            <w:tcW w:w="678" w:type="pct"/>
            <w:shd w:val="clear" w:color="auto" w:fill="D9D9D9" w:themeFill="background1" w:themeFillShade="D9"/>
            <w:vAlign w:val="bottom"/>
          </w:tcPr>
          <w:p w14:paraId="7870FB7A"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Uztura bagātinātāju nelietotāji</w:t>
            </w:r>
          </w:p>
        </w:tc>
        <w:tc>
          <w:tcPr>
            <w:tcW w:w="242" w:type="pct"/>
            <w:shd w:val="clear" w:color="auto" w:fill="D9D9D9" w:themeFill="background1" w:themeFillShade="D9"/>
            <w:vAlign w:val="bottom"/>
          </w:tcPr>
          <w:p w14:paraId="216C5D7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1 043,0</w:t>
            </w:r>
          </w:p>
        </w:tc>
        <w:tc>
          <w:tcPr>
            <w:tcW w:w="259" w:type="pct"/>
            <w:shd w:val="clear" w:color="auto" w:fill="D9D9D9" w:themeFill="background1" w:themeFillShade="D9"/>
            <w:vAlign w:val="bottom"/>
          </w:tcPr>
          <w:p w14:paraId="5549CE6E" w14:textId="77777777" w:rsidR="008A656B" w:rsidRPr="001D2342" w:rsidRDefault="008A656B" w:rsidP="00851097">
            <w:pPr>
              <w:rPr>
                <w:rFonts w:ascii="Times New Roman" w:hAnsi="Times New Roman" w:cs="Times New Roman"/>
                <w:sz w:val="16"/>
                <w:szCs w:val="16"/>
              </w:rPr>
            </w:pPr>
          </w:p>
        </w:tc>
        <w:tc>
          <w:tcPr>
            <w:tcW w:w="199" w:type="pct"/>
            <w:shd w:val="clear" w:color="auto" w:fill="D9D9D9" w:themeFill="background1" w:themeFillShade="D9"/>
            <w:vAlign w:val="bottom"/>
          </w:tcPr>
          <w:p w14:paraId="0B814102"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78A7A48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1 937,0</w:t>
            </w:r>
          </w:p>
        </w:tc>
        <w:tc>
          <w:tcPr>
            <w:tcW w:w="243" w:type="pct"/>
            <w:shd w:val="clear" w:color="auto" w:fill="D9D9D9" w:themeFill="background1" w:themeFillShade="D9"/>
            <w:vAlign w:val="bottom"/>
          </w:tcPr>
          <w:p w14:paraId="526058E3" w14:textId="77777777" w:rsidR="008A656B" w:rsidRPr="001D2342" w:rsidRDefault="008A656B" w:rsidP="00851097">
            <w:pPr>
              <w:rPr>
                <w:rFonts w:ascii="Times New Roman" w:hAnsi="Times New Roman" w:cs="Times New Roman"/>
                <w:sz w:val="16"/>
                <w:szCs w:val="16"/>
              </w:rPr>
            </w:pPr>
          </w:p>
        </w:tc>
      </w:tr>
      <w:tr w:rsidR="008A656B" w:rsidRPr="001D2342" w14:paraId="3711865C" w14:textId="77777777" w:rsidTr="00851097">
        <w:trPr>
          <w:trHeight w:val="260"/>
        </w:trPr>
        <w:tc>
          <w:tcPr>
            <w:tcW w:w="379" w:type="pct"/>
            <w:vAlign w:val="bottom"/>
          </w:tcPr>
          <w:p w14:paraId="6956A17C" w14:textId="77777777" w:rsidR="008A656B" w:rsidRPr="001D2342" w:rsidRDefault="008A656B" w:rsidP="00851097">
            <w:pPr>
              <w:rPr>
                <w:rFonts w:ascii="Times New Roman" w:hAnsi="Times New Roman" w:cs="Times New Roman"/>
                <w:sz w:val="16"/>
                <w:szCs w:val="16"/>
              </w:rPr>
            </w:pPr>
          </w:p>
        </w:tc>
        <w:tc>
          <w:tcPr>
            <w:tcW w:w="261" w:type="pct"/>
            <w:vAlign w:val="bottom"/>
          </w:tcPr>
          <w:p w14:paraId="3B7E0450" w14:textId="77777777" w:rsidR="008A656B" w:rsidRPr="001D2342" w:rsidRDefault="008A656B" w:rsidP="00851097">
            <w:pPr>
              <w:rPr>
                <w:rFonts w:ascii="Times New Roman" w:hAnsi="Times New Roman" w:cs="Times New Roman"/>
                <w:sz w:val="16"/>
                <w:szCs w:val="16"/>
              </w:rPr>
            </w:pPr>
          </w:p>
        </w:tc>
        <w:tc>
          <w:tcPr>
            <w:tcW w:w="364" w:type="pct"/>
            <w:vAlign w:val="bottom"/>
          </w:tcPr>
          <w:p w14:paraId="6C784AF9" w14:textId="77777777" w:rsidR="008A656B" w:rsidRPr="001D2342" w:rsidRDefault="008A656B" w:rsidP="00851097">
            <w:pPr>
              <w:rPr>
                <w:rFonts w:ascii="Times New Roman" w:hAnsi="Times New Roman" w:cs="Times New Roman"/>
                <w:sz w:val="16"/>
                <w:szCs w:val="16"/>
              </w:rPr>
            </w:pPr>
          </w:p>
        </w:tc>
        <w:tc>
          <w:tcPr>
            <w:tcW w:w="373" w:type="pct"/>
            <w:vAlign w:val="bottom"/>
          </w:tcPr>
          <w:p w14:paraId="5DE13176" w14:textId="77777777" w:rsidR="008A656B" w:rsidRPr="001D2342" w:rsidRDefault="008A656B" w:rsidP="00851097">
            <w:pPr>
              <w:rPr>
                <w:rFonts w:ascii="Times New Roman" w:hAnsi="Times New Roman" w:cs="Times New Roman"/>
                <w:sz w:val="16"/>
                <w:szCs w:val="16"/>
              </w:rPr>
            </w:pPr>
          </w:p>
        </w:tc>
        <w:tc>
          <w:tcPr>
            <w:tcW w:w="940" w:type="pct"/>
            <w:vAlign w:val="bottom"/>
          </w:tcPr>
          <w:p w14:paraId="23335136" w14:textId="77777777" w:rsidR="008A656B" w:rsidRPr="001D2342" w:rsidRDefault="008A656B" w:rsidP="00851097">
            <w:pPr>
              <w:rPr>
                <w:rFonts w:ascii="Times New Roman" w:hAnsi="Times New Roman" w:cs="Times New Roman"/>
                <w:sz w:val="16"/>
                <w:szCs w:val="16"/>
              </w:rPr>
            </w:pPr>
          </w:p>
        </w:tc>
        <w:tc>
          <w:tcPr>
            <w:tcW w:w="201" w:type="pct"/>
            <w:shd w:val="clear" w:color="auto" w:fill="D9D9D9" w:themeFill="background1" w:themeFillShade="D9"/>
            <w:vAlign w:val="bottom"/>
          </w:tcPr>
          <w:p w14:paraId="02BF5A30"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587</w:t>
            </w:r>
          </w:p>
        </w:tc>
        <w:tc>
          <w:tcPr>
            <w:tcW w:w="129" w:type="pct"/>
            <w:shd w:val="clear" w:color="auto" w:fill="D9D9D9" w:themeFill="background1" w:themeFillShade="D9"/>
            <w:vAlign w:val="bottom"/>
          </w:tcPr>
          <w:p w14:paraId="01F3A78D" w14:textId="77777777" w:rsidR="008A656B" w:rsidRPr="001D2342" w:rsidRDefault="008A656B" w:rsidP="00851097">
            <w:pPr>
              <w:rPr>
                <w:rFonts w:ascii="Times New Roman" w:hAnsi="Times New Roman" w:cs="Times New Roman"/>
                <w:sz w:val="16"/>
                <w:szCs w:val="16"/>
              </w:rPr>
            </w:pPr>
          </w:p>
        </w:tc>
        <w:tc>
          <w:tcPr>
            <w:tcW w:w="189" w:type="pct"/>
            <w:shd w:val="clear" w:color="auto" w:fill="D9D9D9" w:themeFill="background1" w:themeFillShade="D9"/>
            <w:vAlign w:val="bottom"/>
          </w:tcPr>
          <w:p w14:paraId="7B6F83F8"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18</w:t>
            </w:r>
          </w:p>
        </w:tc>
        <w:tc>
          <w:tcPr>
            <w:tcW w:w="110" w:type="pct"/>
            <w:shd w:val="clear" w:color="auto" w:fill="D9D9D9" w:themeFill="background1" w:themeFillShade="D9"/>
            <w:vAlign w:val="bottom"/>
          </w:tcPr>
          <w:p w14:paraId="0026B755" w14:textId="77777777" w:rsidR="008A656B" w:rsidRPr="001D2342" w:rsidRDefault="008A656B" w:rsidP="00851097">
            <w:pPr>
              <w:rPr>
                <w:rFonts w:ascii="Times New Roman" w:hAnsi="Times New Roman" w:cs="Times New Roman"/>
                <w:sz w:val="16"/>
                <w:szCs w:val="16"/>
              </w:rPr>
            </w:pPr>
          </w:p>
        </w:tc>
        <w:tc>
          <w:tcPr>
            <w:tcW w:w="192" w:type="pct"/>
            <w:shd w:val="clear" w:color="auto" w:fill="D9D9D9" w:themeFill="background1" w:themeFillShade="D9"/>
            <w:vAlign w:val="bottom"/>
          </w:tcPr>
          <w:p w14:paraId="6853D5A0"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49</w:t>
            </w:r>
          </w:p>
        </w:tc>
        <w:tc>
          <w:tcPr>
            <w:tcW w:w="678" w:type="pct"/>
            <w:shd w:val="clear" w:color="auto" w:fill="D9D9D9" w:themeFill="background1" w:themeFillShade="D9"/>
            <w:vAlign w:val="bottom"/>
          </w:tcPr>
          <w:p w14:paraId="7337393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Uztura bagātinātāju lietotāji</w:t>
            </w:r>
          </w:p>
        </w:tc>
        <w:tc>
          <w:tcPr>
            <w:tcW w:w="242" w:type="pct"/>
            <w:shd w:val="clear" w:color="auto" w:fill="D9D9D9" w:themeFill="background1" w:themeFillShade="D9"/>
            <w:vAlign w:val="bottom"/>
          </w:tcPr>
          <w:p w14:paraId="289BA06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1 125,0</w:t>
            </w:r>
          </w:p>
        </w:tc>
        <w:tc>
          <w:tcPr>
            <w:tcW w:w="259" w:type="pct"/>
            <w:shd w:val="clear" w:color="auto" w:fill="D9D9D9" w:themeFill="background1" w:themeFillShade="D9"/>
            <w:vAlign w:val="bottom"/>
          </w:tcPr>
          <w:p w14:paraId="7565F8D1" w14:textId="77777777" w:rsidR="008A656B" w:rsidRPr="001D2342" w:rsidRDefault="008A656B" w:rsidP="00851097">
            <w:pPr>
              <w:rPr>
                <w:rFonts w:ascii="Times New Roman" w:hAnsi="Times New Roman" w:cs="Times New Roman"/>
                <w:sz w:val="16"/>
                <w:szCs w:val="16"/>
              </w:rPr>
            </w:pPr>
          </w:p>
        </w:tc>
        <w:tc>
          <w:tcPr>
            <w:tcW w:w="199" w:type="pct"/>
            <w:shd w:val="clear" w:color="auto" w:fill="D9D9D9" w:themeFill="background1" w:themeFillShade="D9"/>
            <w:vAlign w:val="bottom"/>
          </w:tcPr>
          <w:p w14:paraId="640762DC"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0A68725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1 931,0</w:t>
            </w:r>
          </w:p>
        </w:tc>
        <w:tc>
          <w:tcPr>
            <w:tcW w:w="243" w:type="pct"/>
            <w:shd w:val="clear" w:color="auto" w:fill="D9D9D9" w:themeFill="background1" w:themeFillShade="D9"/>
            <w:vAlign w:val="bottom"/>
          </w:tcPr>
          <w:p w14:paraId="63F7DE21" w14:textId="77777777" w:rsidR="008A656B" w:rsidRPr="001D2342" w:rsidRDefault="008A656B" w:rsidP="00851097">
            <w:pPr>
              <w:rPr>
                <w:rFonts w:ascii="Times New Roman" w:hAnsi="Times New Roman" w:cs="Times New Roman"/>
                <w:sz w:val="16"/>
                <w:szCs w:val="16"/>
              </w:rPr>
            </w:pPr>
          </w:p>
        </w:tc>
      </w:tr>
      <w:tr w:rsidR="008A656B" w:rsidRPr="001D2342" w14:paraId="3290630D" w14:textId="77777777" w:rsidTr="00851097">
        <w:trPr>
          <w:trHeight w:val="260"/>
        </w:trPr>
        <w:tc>
          <w:tcPr>
            <w:tcW w:w="379" w:type="pct"/>
            <w:vAlign w:val="bottom"/>
          </w:tcPr>
          <w:p w14:paraId="365C4041" w14:textId="77777777" w:rsidR="008A656B" w:rsidRPr="001D2342" w:rsidRDefault="008A656B" w:rsidP="00851097">
            <w:pPr>
              <w:rPr>
                <w:rFonts w:ascii="Times New Roman" w:hAnsi="Times New Roman" w:cs="Times New Roman"/>
                <w:sz w:val="16"/>
                <w:szCs w:val="16"/>
              </w:rPr>
            </w:pPr>
          </w:p>
        </w:tc>
        <w:tc>
          <w:tcPr>
            <w:tcW w:w="261" w:type="pct"/>
            <w:vAlign w:val="bottom"/>
          </w:tcPr>
          <w:p w14:paraId="0C19C65F" w14:textId="77777777" w:rsidR="008A656B" w:rsidRPr="001D2342" w:rsidRDefault="008A656B" w:rsidP="00851097">
            <w:pPr>
              <w:rPr>
                <w:rFonts w:ascii="Times New Roman" w:hAnsi="Times New Roman" w:cs="Times New Roman"/>
                <w:sz w:val="16"/>
                <w:szCs w:val="16"/>
              </w:rPr>
            </w:pPr>
          </w:p>
        </w:tc>
        <w:tc>
          <w:tcPr>
            <w:tcW w:w="364" w:type="pct"/>
            <w:vAlign w:val="bottom"/>
          </w:tcPr>
          <w:p w14:paraId="53DBEC4C" w14:textId="77777777" w:rsidR="008A656B" w:rsidRPr="001D2342" w:rsidRDefault="008A656B" w:rsidP="00851097">
            <w:pPr>
              <w:rPr>
                <w:rFonts w:ascii="Times New Roman" w:hAnsi="Times New Roman" w:cs="Times New Roman"/>
                <w:sz w:val="16"/>
                <w:szCs w:val="16"/>
              </w:rPr>
            </w:pPr>
          </w:p>
        </w:tc>
        <w:tc>
          <w:tcPr>
            <w:tcW w:w="373" w:type="pct"/>
            <w:vAlign w:val="bottom"/>
          </w:tcPr>
          <w:p w14:paraId="37050BE2" w14:textId="77777777" w:rsidR="008A656B" w:rsidRPr="001D2342" w:rsidRDefault="008A656B" w:rsidP="00851097">
            <w:pPr>
              <w:rPr>
                <w:rFonts w:ascii="Times New Roman" w:hAnsi="Times New Roman" w:cs="Times New Roman"/>
                <w:sz w:val="16"/>
                <w:szCs w:val="16"/>
              </w:rPr>
            </w:pPr>
          </w:p>
        </w:tc>
        <w:tc>
          <w:tcPr>
            <w:tcW w:w="940" w:type="pct"/>
            <w:vAlign w:val="bottom"/>
          </w:tcPr>
          <w:p w14:paraId="57A5A2A2" w14:textId="77777777" w:rsidR="008A656B" w:rsidRPr="001D2342" w:rsidRDefault="008A656B" w:rsidP="00851097">
            <w:pPr>
              <w:rPr>
                <w:rFonts w:ascii="Times New Roman" w:hAnsi="Times New Roman" w:cs="Times New Roman"/>
                <w:sz w:val="16"/>
                <w:szCs w:val="16"/>
              </w:rPr>
            </w:pPr>
          </w:p>
        </w:tc>
        <w:tc>
          <w:tcPr>
            <w:tcW w:w="201" w:type="pct"/>
            <w:shd w:val="clear" w:color="auto" w:fill="D9D9D9" w:themeFill="background1" w:themeFillShade="D9"/>
            <w:vAlign w:val="bottom"/>
          </w:tcPr>
          <w:p w14:paraId="085D1046"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363</w:t>
            </w:r>
          </w:p>
        </w:tc>
        <w:tc>
          <w:tcPr>
            <w:tcW w:w="129" w:type="pct"/>
            <w:shd w:val="clear" w:color="auto" w:fill="D9D9D9" w:themeFill="background1" w:themeFillShade="D9"/>
            <w:vAlign w:val="bottom"/>
          </w:tcPr>
          <w:p w14:paraId="754604B9" w14:textId="77777777" w:rsidR="008A656B" w:rsidRPr="001D2342" w:rsidRDefault="008A656B" w:rsidP="00851097">
            <w:pPr>
              <w:rPr>
                <w:rFonts w:ascii="Times New Roman" w:hAnsi="Times New Roman" w:cs="Times New Roman"/>
                <w:sz w:val="16"/>
                <w:szCs w:val="16"/>
              </w:rPr>
            </w:pPr>
          </w:p>
        </w:tc>
        <w:tc>
          <w:tcPr>
            <w:tcW w:w="189" w:type="pct"/>
            <w:shd w:val="clear" w:color="auto" w:fill="D9D9D9" w:themeFill="background1" w:themeFillShade="D9"/>
            <w:vAlign w:val="bottom"/>
          </w:tcPr>
          <w:p w14:paraId="1A302F5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50</w:t>
            </w:r>
          </w:p>
        </w:tc>
        <w:tc>
          <w:tcPr>
            <w:tcW w:w="110" w:type="pct"/>
            <w:shd w:val="clear" w:color="auto" w:fill="D9D9D9" w:themeFill="background1" w:themeFillShade="D9"/>
            <w:vAlign w:val="bottom"/>
          </w:tcPr>
          <w:p w14:paraId="4595A387" w14:textId="77777777" w:rsidR="008A656B" w:rsidRPr="001D2342" w:rsidRDefault="008A656B" w:rsidP="00851097">
            <w:pPr>
              <w:rPr>
                <w:rFonts w:ascii="Times New Roman" w:hAnsi="Times New Roman" w:cs="Times New Roman"/>
                <w:sz w:val="16"/>
                <w:szCs w:val="16"/>
              </w:rPr>
            </w:pPr>
          </w:p>
        </w:tc>
        <w:tc>
          <w:tcPr>
            <w:tcW w:w="192" w:type="pct"/>
            <w:shd w:val="clear" w:color="auto" w:fill="D9D9D9" w:themeFill="background1" w:themeFillShade="D9"/>
            <w:vAlign w:val="bottom"/>
          </w:tcPr>
          <w:p w14:paraId="18AF5A59"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75</w:t>
            </w:r>
          </w:p>
        </w:tc>
        <w:tc>
          <w:tcPr>
            <w:tcW w:w="678" w:type="pct"/>
            <w:shd w:val="clear" w:color="auto" w:fill="D9D9D9" w:themeFill="background1" w:themeFillShade="D9"/>
            <w:vAlign w:val="bottom"/>
          </w:tcPr>
          <w:p w14:paraId="1A29B5D1"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Uztura bagātinātāju nelietotāji</w:t>
            </w:r>
          </w:p>
        </w:tc>
        <w:tc>
          <w:tcPr>
            <w:tcW w:w="242" w:type="pct"/>
            <w:shd w:val="clear" w:color="auto" w:fill="D9D9D9" w:themeFill="background1" w:themeFillShade="D9"/>
            <w:vAlign w:val="bottom"/>
          </w:tcPr>
          <w:p w14:paraId="4D30D037"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829,0</w:t>
            </w:r>
          </w:p>
        </w:tc>
        <w:tc>
          <w:tcPr>
            <w:tcW w:w="259" w:type="pct"/>
            <w:shd w:val="clear" w:color="auto" w:fill="D9D9D9" w:themeFill="background1" w:themeFillShade="D9"/>
            <w:vAlign w:val="bottom"/>
          </w:tcPr>
          <w:p w14:paraId="64B0BE25" w14:textId="77777777" w:rsidR="008A656B" w:rsidRPr="001D2342" w:rsidRDefault="008A656B" w:rsidP="00851097">
            <w:pPr>
              <w:rPr>
                <w:rFonts w:ascii="Times New Roman" w:hAnsi="Times New Roman" w:cs="Times New Roman"/>
                <w:sz w:val="16"/>
                <w:szCs w:val="16"/>
              </w:rPr>
            </w:pPr>
          </w:p>
        </w:tc>
        <w:tc>
          <w:tcPr>
            <w:tcW w:w="199" w:type="pct"/>
            <w:shd w:val="clear" w:color="auto" w:fill="D9D9D9" w:themeFill="background1" w:themeFillShade="D9"/>
            <w:vAlign w:val="bottom"/>
          </w:tcPr>
          <w:p w14:paraId="6B7B8E6B"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7E139E2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1 492,0</w:t>
            </w:r>
          </w:p>
        </w:tc>
        <w:tc>
          <w:tcPr>
            <w:tcW w:w="243" w:type="pct"/>
            <w:shd w:val="clear" w:color="auto" w:fill="D9D9D9" w:themeFill="background1" w:themeFillShade="D9"/>
            <w:vAlign w:val="bottom"/>
          </w:tcPr>
          <w:p w14:paraId="51A7EF33" w14:textId="77777777" w:rsidR="008A656B" w:rsidRPr="001D2342" w:rsidRDefault="008A656B" w:rsidP="00851097">
            <w:pPr>
              <w:rPr>
                <w:rFonts w:ascii="Times New Roman" w:hAnsi="Times New Roman" w:cs="Times New Roman"/>
                <w:sz w:val="16"/>
                <w:szCs w:val="16"/>
              </w:rPr>
            </w:pPr>
          </w:p>
        </w:tc>
      </w:tr>
      <w:tr w:rsidR="008A656B" w:rsidRPr="001D2342" w14:paraId="34539208" w14:textId="77777777" w:rsidTr="00851097">
        <w:trPr>
          <w:trHeight w:val="260"/>
        </w:trPr>
        <w:tc>
          <w:tcPr>
            <w:tcW w:w="379" w:type="pct"/>
            <w:vAlign w:val="bottom"/>
          </w:tcPr>
          <w:p w14:paraId="6834B64C" w14:textId="77777777" w:rsidR="008A656B" w:rsidRPr="001D2342" w:rsidRDefault="008A656B" w:rsidP="00851097">
            <w:pPr>
              <w:rPr>
                <w:rFonts w:ascii="Times New Roman" w:hAnsi="Times New Roman" w:cs="Times New Roman"/>
                <w:sz w:val="16"/>
                <w:szCs w:val="16"/>
              </w:rPr>
            </w:pPr>
          </w:p>
        </w:tc>
        <w:tc>
          <w:tcPr>
            <w:tcW w:w="261" w:type="pct"/>
            <w:vAlign w:val="bottom"/>
          </w:tcPr>
          <w:p w14:paraId="494273E0" w14:textId="77777777" w:rsidR="008A656B" w:rsidRPr="001D2342" w:rsidRDefault="008A656B" w:rsidP="00851097">
            <w:pPr>
              <w:rPr>
                <w:rFonts w:ascii="Times New Roman" w:hAnsi="Times New Roman" w:cs="Times New Roman"/>
                <w:sz w:val="16"/>
                <w:szCs w:val="16"/>
              </w:rPr>
            </w:pPr>
          </w:p>
        </w:tc>
        <w:tc>
          <w:tcPr>
            <w:tcW w:w="364" w:type="pct"/>
            <w:vAlign w:val="bottom"/>
          </w:tcPr>
          <w:p w14:paraId="1564324B" w14:textId="77777777" w:rsidR="008A656B" w:rsidRPr="001D2342" w:rsidRDefault="008A656B" w:rsidP="00851097">
            <w:pPr>
              <w:rPr>
                <w:rFonts w:ascii="Times New Roman" w:hAnsi="Times New Roman" w:cs="Times New Roman"/>
                <w:sz w:val="16"/>
                <w:szCs w:val="16"/>
              </w:rPr>
            </w:pPr>
          </w:p>
        </w:tc>
        <w:tc>
          <w:tcPr>
            <w:tcW w:w="373" w:type="pct"/>
            <w:vAlign w:val="bottom"/>
          </w:tcPr>
          <w:p w14:paraId="3FEA1986" w14:textId="77777777" w:rsidR="008A656B" w:rsidRPr="001D2342" w:rsidRDefault="008A656B" w:rsidP="00851097">
            <w:pPr>
              <w:rPr>
                <w:rFonts w:ascii="Times New Roman" w:hAnsi="Times New Roman" w:cs="Times New Roman"/>
                <w:sz w:val="16"/>
                <w:szCs w:val="16"/>
              </w:rPr>
            </w:pPr>
          </w:p>
        </w:tc>
        <w:tc>
          <w:tcPr>
            <w:tcW w:w="940" w:type="pct"/>
            <w:vAlign w:val="bottom"/>
          </w:tcPr>
          <w:p w14:paraId="12E1FEF3" w14:textId="77777777" w:rsidR="008A656B" w:rsidRPr="001D2342" w:rsidRDefault="008A656B" w:rsidP="00851097">
            <w:pPr>
              <w:rPr>
                <w:rFonts w:ascii="Times New Roman" w:hAnsi="Times New Roman" w:cs="Times New Roman"/>
                <w:sz w:val="16"/>
                <w:szCs w:val="16"/>
              </w:rPr>
            </w:pPr>
          </w:p>
        </w:tc>
        <w:tc>
          <w:tcPr>
            <w:tcW w:w="201" w:type="pct"/>
            <w:shd w:val="clear" w:color="auto" w:fill="D9D9D9" w:themeFill="background1" w:themeFillShade="D9"/>
            <w:vAlign w:val="bottom"/>
          </w:tcPr>
          <w:p w14:paraId="02FE7EE2"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491</w:t>
            </w:r>
          </w:p>
        </w:tc>
        <w:tc>
          <w:tcPr>
            <w:tcW w:w="129" w:type="pct"/>
            <w:shd w:val="clear" w:color="auto" w:fill="D9D9D9" w:themeFill="background1" w:themeFillShade="D9"/>
            <w:vAlign w:val="bottom"/>
          </w:tcPr>
          <w:p w14:paraId="785645F7" w14:textId="77777777" w:rsidR="008A656B" w:rsidRPr="001D2342" w:rsidRDefault="008A656B" w:rsidP="00851097">
            <w:pPr>
              <w:rPr>
                <w:rFonts w:ascii="Times New Roman" w:hAnsi="Times New Roman" w:cs="Times New Roman"/>
                <w:sz w:val="16"/>
                <w:szCs w:val="16"/>
              </w:rPr>
            </w:pPr>
          </w:p>
        </w:tc>
        <w:tc>
          <w:tcPr>
            <w:tcW w:w="189" w:type="pct"/>
            <w:shd w:val="clear" w:color="auto" w:fill="D9D9D9" w:themeFill="background1" w:themeFillShade="D9"/>
            <w:vAlign w:val="bottom"/>
          </w:tcPr>
          <w:p w14:paraId="20C718D5"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50</w:t>
            </w:r>
          </w:p>
        </w:tc>
        <w:tc>
          <w:tcPr>
            <w:tcW w:w="110" w:type="pct"/>
            <w:shd w:val="clear" w:color="auto" w:fill="D9D9D9" w:themeFill="background1" w:themeFillShade="D9"/>
            <w:vAlign w:val="bottom"/>
          </w:tcPr>
          <w:p w14:paraId="111076C7" w14:textId="77777777" w:rsidR="008A656B" w:rsidRPr="001D2342" w:rsidRDefault="008A656B" w:rsidP="00851097">
            <w:pPr>
              <w:rPr>
                <w:rFonts w:ascii="Times New Roman" w:hAnsi="Times New Roman" w:cs="Times New Roman"/>
                <w:sz w:val="16"/>
                <w:szCs w:val="16"/>
              </w:rPr>
            </w:pPr>
          </w:p>
        </w:tc>
        <w:tc>
          <w:tcPr>
            <w:tcW w:w="192" w:type="pct"/>
            <w:shd w:val="clear" w:color="auto" w:fill="D9D9D9" w:themeFill="background1" w:themeFillShade="D9"/>
            <w:vAlign w:val="bottom"/>
          </w:tcPr>
          <w:p w14:paraId="3FA96A2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75</w:t>
            </w:r>
          </w:p>
        </w:tc>
        <w:tc>
          <w:tcPr>
            <w:tcW w:w="678" w:type="pct"/>
            <w:shd w:val="clear" w:color="auto" w:fill="D9D9D9" w:themeFill="background1" w:themeFillShade="D9"/>
            <w:vAlign w:val="bottom"/>
          </w:tcPr>
          <w:p w14:paraId="6159A33E"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Uztura bagātinātāju lietotāji</w:t>
            </w:r>
          </w:p>
        </w:tc>
        <w:tc>
          <w:tcPr>
            <w:tcW w:w="242" w:type="pct"/>
            <w:shd w:val="clear" w:color="auto" w:fill="D9D9D9" w:themeFill="background1" w:themeFillShade="D9"/>
            <w:vAlign w:val="bottom"/>
          </w:tcPr>
          <w:p w14:paraId="46D87C42"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859,0</w:t>
            </w:r>
          </w:p>
        </w:tc>
        <w:tc>
          <w:tcPr>
            <w:tcW w:w="259" w:type="pct"/>
            <w:shd w:val="clear" w:color="auto" w:fill="D9D9D9" w:themeFill="background1" w:themeFillShade="D9"/>
            <w:vAlign w:val="bottom"/>
          </w:tcPr>
          <w:p w14:paraId="7A23B7AE" w14:textId="77777777" w:rsidR="008A656B" w:rsidRPr="001D2342" w:rsidRDefault="008A656B" w:rsidP="00851097">
            <w:pPr>
              <w:rPr>
                <w:rFonts w:ascii="Times New Roman" w:hAnsi="Times New Roman" w:cs="Times New Roman"/>
                <w:sz w:val="16"/>
                <w:szCs w:val="16"/>
              </w:rPr>
            </w:pPr>
          </w:p>
        </w:tc>
        <w:tc>
          <w:tcPr>
            <w:tcW w:w="199" w:type="pct"/>
            <w:shd w:val="clear" w:color="auto" w:fill="D9D9D9" w:themeFill="background1" w:themeFillShade="D9"/>
            <w:vAlign w:val="bottom"/>
          </w:tcPr>
          <w:p w14:paraId="474A87E5"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114C356F"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1 639,0</w:t>
            </w:r>
          </w:p>
        </w:tc>
        <w:tc>
          <w:tcPr>
            <w:tcW w:w="243" w:type="pct"/>
            <w:shd w:val="clear" w:color="auto" w:fill="D9D9D9" w:themeFill="background1" w:themeFillShade="D9"/>
            <w:vAlign w:val="bottom"/>
          </w:tcPr>
          <w:p w14:paraId="33AAA39D" w14:textId="77777777" w:rsidR="008A656B" w:rsidRPr="001D2342" w:rsidRDefault="008A656B" w:rsidP="00851097">
            <w:pPr>
              <w:rPr>
                <w:rFonts w:ascii="Times New Roman" w:hAnsi="Times New Roman" w:cs="Times New Roman"/>
                <w:sz w:val="16"/>
                <w:szCs w:val="16"/>
              </w:rPr>
            </w:pPr>
          </w:p>
        </w:tc>
      </w:tr>
      <w:tr w:rsidR="008A656B" w:rsidRPr="001D2342" w14:paraId="354FED98" w14:textId="77777777" w:rsidTr="00851097">
        <w:trPr>
          <w:trHeight w:val="260"/>
        </w:trPr>
        <w:tc>
          <w:tcPr>
            <w:tcW w:w="379" w:type="pct"/>
            <w:vAlign w:val="bottom"/>
          </w:tcPr>
          <w:p w14:paraId="05160823" w14:textId="77777777" w:rsidR="008A656B" w:rsidRPr="001D2342" w:rsidRDefault="008A656B" w:rsidP="00851097">
            <w:pPr>
              <w:rPr>
                <w:rFonts w:ascii="Times New Roman" w:hAnsi="Times New Roman" w:cs="Times New Roman"/>
                <w:sz w:val="16"/>
                <w:szCs w:val="16"/>
              </w:rPr>
            </w:pPr>
          </w:p>
        </w:tc>
        <w:tc>
          <w:tcPr>
            <w:tcW w:w="261" w:type="pct"/>
            <w:vAlign w:val="bottom"/>
          </w:tcPr>
          <w:p w14:paraId="3942E847" w14:textId="77777777" w:rsidR="008A656B" w:rsidRPr="001D2342" w:rsidRDefault="008A656B" w:rsidP="00851097">
            <w:pPr>
              <w:rPr>
                <w:rFonts w:ascii="Times New Roman" w:hAnsi="Times New Roman" w:cs="Times New Roman"/>
                <w:sz w:val="16"/>
                <w:szCs w:val="16"/>
              </w:rPr>
            </w:pPr>
          </w:p>
        </w:tc>
        <w:tc>
          <w:tcPr>
            <w:tcW w:w="364" w:type="pct"/>
            <w:vAlign w:val="bottom"/>
          </w:tcPr>
          <w:p w14:paraId="56D5C329"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Somija</w:t>
            </w:r>
          </w:p>
        </w:tc>
        <w:tc>
          <w:tcPr>
            <w:tcW w:w="373" w:type="pct"/>
            <w:vAlign w:val="bottom"/>
          </w:tcPr>
          <w:p w14:paraId="61ACCDCA"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(Paturi et al., 2008)</w:t>
            </w:r>
          </w:p>
        </w:tc>
        <w:tc>
          <w:tcPr>
            <w:tcW w:w="940" w:type="pct"/>
            <w:vAlign w:val="bottom"/>
          </w:tcPr>
          <w:p w14:paraId="3D5FACAE" w14:textId="77777777" w:rsidR="008A656B" w:rsidRPr="001D2342" w:rsidRDefault="008A656B" w:rsidP="00851097">
            <w:pPr>
              <w:pStyle w:val="Default"/>
              <w:rPr>
                <w:sz w:val="16"/>
                <w:szCs w:val="16"/>
              </w:rPr>
            </w:pPr>
            <w:r>
              <w:rPr>
                <w:sz w:val="16"/>
              </w:rPr>
              <w:t>48 stundu atcerēšanās anketa un divi 3 dienu uztura pieraksti par parastajām devām pēdējā gada laikā (novērtējums par tiem, kas sniedz nepilnīgu informāciju)</w:t>
            </w:r>
          </w:p>
        </w:tc>
        <w:tc>
          <w:tcPr>
            <w:tcW w:w="201" w:type="pct"/>
            <w:vAlign w:val="bottom"/>
          </w:tcPr>
          <w:p w14:paraId="1A70511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637</w:t>
            </w:r>
          </w:p>
        </w:tc>
        <w:tc>
          <w:tcPr>
            <w:tcW w:w="129" w:type="pct"/>
            <w:vAlign w:val="bottom"/>
          </w:tcPr>
          <w:p w14:paraId="61E312C7" w14:textId="77777777" w:rsidR="008A656B" w:rsidRPr="001D2342" w:rsidRDefault="008A656B" w:rsidP="00851097">
            <w:pPr>
              <w:rPr>
                <w:rFonts w:ascii="Times New Roman" w:hAnsi="Times New Roman" w:cs="Times New Roman"/>
                <w:sz w:val="16"/>
                <w:szCs w:val="16"/>
              </w:rPr>
            </w:pPr>
          </w:p>
        </w:tc>
        <w:tc>
          <w:tcPr>
            <w:tcW w:w="189" w:type="pct"/>
            <w:vAlign w:val="bottom"/>
          </w:tcPr>
          <w:p w14:paraId="5F544411"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25</w:t>
            </w:r>
          </w:p>
        </w:tc>
        <w:tc>
          <w:tcPr>
            <w:tcW w:w="110" w:type="pct"/>
            <w:vAlign w:val="bottom"/>
          </w:tcPr>
          <w:p w14:paraId="3EC42FF8" w14:textId="77777777" w:rsidR="008A656B" w:rsidRPr="001D2342" w:rsidRDefault="008A656B" w:rsidP="00851097">
            <w:pPr>
              <w:rPr>
                <w:rFonts w:ascii="Times New Roman" w:hAnsi="Times New Roman" w:cs="Times New Roman"/>
                <w:sz w:val="16"/>
                <w:szCs w:val="16"/>
              </w:rPr>
            </w:pPr>
          </w:p>
        </w:tc>
        <w:tc>
          <w:tcPr>
            <w:tcW w:w="192" w:type="pct"/>
            <w:vAlign w:val="bottom"/>
          </w:tcPr>
          <w:p w14:paraId="0771173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74</w:t>
            </w:r>
          </w:p>
        </w:tc>
        <w:tc>
          <w:tcPr>
            <w:tcW w:w="678" w:type="pct"/>
            <w:vAlign w:val="bottom"/>
          </w:tcPr>
          <w:p w14:paraId="18951FF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Parastās devas. Izņemot tos, kuri nav snieguši datus pilnā apjomā</w:t>
            </w:r>
          </w:p>
        </w:tc>
        <w:tc>
          <w:tcPr>
            <w:tcW w:w="242" w:type="pct"/>
            <w:vAlign w:val="bottom"/>
          </w:tcPr>
          <w:p w14:paraId="2BF8A917"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1 286,0</w:t>
            </w:r>
          </w:p>
        </w:tc>
        <w:tc>
          <w:tcPr>
            <w:tcW w:w="259" w:type="pct"/>
            <w:vAlign w:val="bottom"/>
          </w:tcPr>
          <w:p w14:paraId="7D7BA713" w14:textId="77777777" w:rsidR="008A656B" w:rsidRPr="001D2342" w:rsidRDefault="008A656B" w:rsidP="00851097">
            <w:pPr>
              <w:rPr>
                <w:rFonts w:ascii="Times New Roman" w:hAnsi="Times New Roman" w:cs="Times New Roman"/>
                <w:sz w:val="16"/>
                <w:szCs w:val="16"/>
              </w:rPr>
            </w:pPr>
          </w:p>
        </w:tc>
        <w:tc>
          <w:tcPr>
            <w:tcW w:w="199" w:type="pct"/>
            <w:vAlign w:val="bottom"/>
          </w:tcPr>
          <w:p w14:paraId="0BC58E4C" w14:textId="77777777" w:rsidR="008A656B" w:rsidRPr="001D2342" w:rsidRDefault="008A656B" w:rsidP="00851097">
            <w:pPr>
              <w:rPr>
                <w:rFonts w:ascii="Times New Roman" w:hAnsi="Times New Roman" w:cs="Times New Roman"/>
                <w:sz w:val="16"/>
                <w:szCs w:val="16"/>
              </w:rPr>
            </w:pPr>
          </w:p>
        </w:tc>
        <w:tc>
          <w:tcPr>
            <w:tcW w:w="242" w:type="pct"/>
            <w:vAlign w:val="bottom"/>
          </w:tcPr>
          <w:p w14:paraId="34F0BFF8"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2 000,0</w:t>
            </w:r>
          </w:p>
        </w:tc>
        <w:tc>
          <w:tcPr>
            <w:tcW w:w="243" w:type="pct"/>
            <w:vAlign w:val="bottom"/>
          </w:tcPr>
          <w:p w14:paraId="13015614" w14:textId="77777777" w:rsidR="008A656B" w:rsidRPr="001D2342" w:rsidRDefault="008A656B" w:rsidP="00851097">
            <w:pPr>
              <w:rPr>
                <w:rFonts w:ascii="Times New Roman" w:hAnsi="Times New Roman" w:cs="Times New Roman"/>
                <w:sz w:val="16"/>
                <w:szCs w:val="16"/>
              </w:rPr>
            </w:pPr>
          </w:p>
        </w:tc>
      </w:tr>
      <w:tr w:rsidR="008A656B" w:rsidRPr="001D2342" w14:paraId="733CF669" w14:textId="77777777" w:rsidTr="00851097">
        <w:trPr>
          <w:trHeight w:val="260"/>
        </w:trPr>
        <w:tc>
          <w:tcPr>
            <w:tcW w:w="379" w:type="pct"/>
            <w:vAlign w:val="bottom"/>
          </w:tcPr>
          <w:p w14:paraId="565AC020"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Pārtika</w:t>
            </w:r>
          </w:p>
        </w:tc>
        <w:tc>
          <w:tcPr>
            <w:tcW w:w="261" w:type="pct"/>
            <w:vAlign w:val="bottom"/>
          </w:tcPr>
          <w:p w14:paraId="728978A5"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Vīrieši</w:t>
            </w:r>
          </w:p>
        </w:tc>
        <w:tc>
          <w:tcPr>
            <w:tcW w:w="364" w:type="pct"/>
            <w:vAlign w:val="bottom"/>
          </w:tcPr>
          <w:p w14:paraId="1EE636CC"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Vācija</w:t>
            </w:r>
          </w:p>
        </w:tc>
        <w:tc>
          <w:tcPr>
            <w:tcW w:w="373" w:type="pct"/>
            <w:vAlign w:val="bottom"/>
          </w:tcPr>
          <w:p w14:paraId="00D0F679"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(MRI, 2008)</w:t>
            </w:r>
          </w:p>
        </w:tc>
        <w:tc>
          <w:tcPr>
            <w:tcW w:w="940" w:type="pct"/>
            <w:vAlign w:val="bottom"/>
          </w:tcPr>
          <w:p w14:paraId="6B8C2292" w14:textId="77777777" w:rsidR="008A656B" w:rsidRPr="001D2342" w:rsidRDefault="008A656B" w:rsidP="00851097">
            <w:pPr>
              <w:pStyle w:val="Default"/>
              <w:rPr>
                <w:sz w:val="16"/>
                <w:szCs w:val="16"/>
              </w:rPr>
            </w:pPr>
            <w:r>
              <w:rPr>
                <w:sz w:val="16"/>
              </w:rPr>
              <w:t>24 stundu atcerēšanās anketa + uztura vēsture</w:t>
            </w:r>
          </w:p>
        </w:tc>
        <w:tc>
          <w:tcPr>
            <w:tcW w:w="201" w:type="pct"/>
            <w:vAlign w:val="bottom"/>
          </w:tcPr>
          <w:p w14:paraId="7A173818"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510</w:t>
            </w:r>
          </w:p>
        </w:tc>
        <w:tc>
          <w:tcPr>
            <w:tcW w:w="129" w:type="pct"/>
            <w:vAlign w:val="bottom"/>
          </w:tcPr>
          <w:p w14:paraId="67CFDC3D" w14:textId="77777777" w:rsidR="008A656B" w:rsidRPr="001D2342" w:rsidRDefault="008A656B" w:rsidP="00851097">
            <w:pPr>
              <w:rPr>
                <w:rFonts w:ascii="Times New Roman" w:hAnsi="Times New Roman" w:cs="Times New Roman"/>
                <w:sz w:val="16"/>
                <w:szCs w:val="16"/>
              </w:rPr>
            </w:pPr>
          </w:p>
        </w:tc>
        <w:tc>
          <w:tcPr>
            <w:tcW w:w="189" w:type="pct"/>
            <w:vAlign w:val="bottom"/>
          </w:tcPr>
          <w:p w14:paraId="2C41032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19</w:t>
            </w:r>
          </w:p>
        </w:tc>
        <w:tc>
          <w:tcPr>
            <w:tcW w:w="110" w:type="pct"/>
            <w:vAlign w:val="bottom"/>
          </w:tcPr>
          <w:p w14:paraId="5523A838" w14:textId="77777777" w:rsidR="008A656B" w:rsidRPr="001D2342" w:rsidRDefault="008A656B" w:rsidP="00851097">
            <w:pPr>
              <w:rPr>
                <w:rFonts w:ascii="Times New Roman" w:hAnsi="Times New Roman" w:cs="Times New Roman"/>
                <w:sz w:val="16"/>
                <w:szCs w:val="16"/>
              </w:rPr>
            </w:pPr>
          </w:p>
        </w:tc>
        <w:tc>
          <w:tcPr>
            <w:tcW w:w="192" w:type="pct"/>
            <w:vAlign w:val="bottom"/>
          </w:tcPr>
          <w:p w14:paraId="53F9422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24</w:t>
            </w:r>
          </w:p>
        </w:tc>
        <w:tc>
          <w:tcPr>
            <w:tcW w:w="678" w:type="pct"/>
            <w:vAlign w:val="bottom"/>
          </w:tcPr>
          <w:p w14:paraId="1C6B11BB" w14:textId="77777777" w:rsidR="008A656B" w:rsidRPr="001D2342" w:rsidRDefault="008A656B" w:rsidP="00851097">
            <w:pPr>
              <w:rPr>
                <w:rFonts w:ascii="Times New Roman" w:hAnsi="Times New Roman" w:cs="Times New Roman"/>
                <w:sz w:val="16"/>
                <w:szCs w:val="16"/>
              </w:rPr>
            </w:pPr>
          </w:p>
        </w:tc>
        <w:tc>
          <w:tcPr>
            <w:tcW w:w="242" w:type="pct"/>
            <w:vAlign w:val="bottom"/>
          </w:tcPr>
          <w:p w14:paraId="529404AE"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1 281,0</w:t>
            </w:r>
          </w:p>
        </w:tc>
        <w:tc>
          <w:tcPr>
            <w:tcW w:w="259" w:type="pct"/>
            <w:vAlign w:val="bottom"/>
          </w:tcPr>
          <w:p w14:paraId="13846792" w14:textId="77777777" w:rsidR="008A656B" w:rsidRPr="001D2342" w:rsidRDefault="008A656B" w:rsidP="00851097">
            <w:pPr>
              <w:rPr>
                <w:rFonts w:ascii="Times New Roman" w:hAnsi="Times New Roman" w:cs="Times New Roman"/>
                <w:sz w:val="16"/>
                <w:szCs w:val="16"/>
              </w:rPr>
            </w:pPr>
          </w:p>
        </w:tc>
        <w:tc>
          <w:tcPr>
            <w:tcW w:w="199" w:type="pct"/>
            <w:vAlign w:val="bottom"/>
          </w:tcPr>
          <w:p w14:paraId="59861624" w14:textId="77777777" w:rsidR="008A656B" w:rsidRPr="001D2342" w:rsidRDefault="008A656B" w:rsidP="00851097">
            <w:pPr>
              <w:rPr>
                <w:rFonts w:ascii="Times New Roman" w:hAnsi="Times New Roman" w:cs="Times New Roman"/>
                <w:sz w:val="16"/>
                <w:szCs w:val="16"/>
              </w:rPr>
            </w:pPr>
          </w:p>
        </w:tc>
        <w:tc>
          <w:tcPr>
            <w:tcW w:w="242" w:type="pct"/>
            <w:vAlign w:val="bottom"/>
          </w:tcPr>
          <w:p w14:paraId="080C559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2 422,0</w:t>
            </w:r>
          </w:p>
        </w:tc>
        <w:tc>
          <w:tcPr>
            <w:tcW w:w="243" w:type="pct"/>
            <w:vAlign w:val="bottom"/>
          </w:tcPr>
          <w:p w14:paraId="5C3B8A7E" w14:textId="77777777" w:rsidR="008A656B" w:rsidRPr="001D2342" w:rsidRDefault="008A656B" w:rsidP="00851097">
            <w:pPr>
              <w:rPr>
                <w:rFonts w:ascii="Times New Roman" w:hAnsi="Times New Roman" w:cs="Times New Roman"/>
                <w:sz w:val="16"/>
                <w:szCs w:val="16"/>
              </w:rPr>
            </w:pPr>
          </w:p>
        </w:tc>
      </w:tr>
      <w:tr w:rsidR="008A656B" w:rsidRPr="001D2342" w14:paraId="6C6893FB" w14:textId="77777777" w:rsidTr="00851097">
        <w:trPr>
          <w:trHeight w:val="260"/>
        </w:trPr>
        <w:tc>
          <w:tcPr>
            <w:tcW w:w="379" w:type="pct"/>
            <w:vAlign w:val="bottom"/>
          </w:tcPr>
          <w:p w14:paraId="04C616E7" w14:textId="77777777" w:rsidR="008A656B" w:rsidRPr="001D2342" w:rsidRDefault="008A656B" w:rsidP="00851097">
            <w:pPr>
              <w:rPr>
                <w:rFonts w:ascii="Times New Roman" w:hAnsi="Times New Roman" w:cs="Times New Roman"/>
                <w:sz w:val="16"/>
                <w:szCs w:val="16"/>
              </w:rPr>
            </w:pPr>
          </w:p>
        </w:tc>
        <w:tc>
          <w:tcPr>
            <w:tcW w:w="261" w:type="pct"/>
            <w:vAlign w:val="bottom"/>
          </w:tcPr>
          <w:p w14:paraId="3E696007" w14:textId="77777777" w:rsidR="008A656B" w:rsidRPr="001D2342" w:rsidRDefault="008A656B" w:rsidP="00851097">
            <w:pPr>
              <w:rPr>
                <w:rFonts w:ascii="Times New Roman" w:hAnsi="Times New Roman" w:cs="Times New Roman"/>
                <w:sz w:val="16"/>
                <w:szCs w:val="16"/>
              </w:rPr>
            </w:pPr>
          </w:p>
        </w:tc>
        <w:tc>
          <w:tcPr>
            <w:tcW w:w="364" w:type="pct"/>
            <w:vAlign w:val="bottom"/>
          </w:tcPr>
          <w:p w14:paraId="6B95CAA7" w14:textId="77777777" w:rsidR="008A656B" w:rsidRPr="001D2342" w:rsidRDefault="008A656B" w:rsidP="00851097">
            <w:pPr>
              <w:rPr>
                <w:rFonts w:ascii="Times New Roman" w:hAnsi="Times New Roman" w:cs="Times New Roman"/>
                <w:sz w:val="16"/>
                <w:szCs w:val="16"/>
              </w:rPr>
            </w:pPr>
          </w:p>
        </w:tc>
        <w:tc>
          <w:tcPr>
            <w:tcW w:w="373" w:type="pct"/>
            <w:vAlign w:val="bottom"/>
          </w:tcPr>
          <w:p w14:paraId="6C8C47E6" w14:textId="77777777" w:rsidR="008A656B" w:rsidRPr="001D2342" w:rsidRDefault="008A656B" w:rsidP="00851097">
            <w:pPr>
              <w:rPr>
                <w:rFonts w:ascii="Times New Roman" w:hAnsi="Times New Roman" w:cs="Times New Roman"/>
                <w:sz w:val="16"/>
                <w:szCs w:val="16"/>
              </w:rPr>
            </w:pPr>
          </w:p>
        </w:tc>
        <w:tc>
          <w:tcPr>
            <w:tcW w:w="940" w:type="pct"/>
            <w:vAlign w:val="bottom"/>
          </w:tcPr>
          <w:p w14:paraId="5CAF3DA9" w14:textId="77777777" w:rsidR="008A656B" w:rsidRPr="001D2342" w:rsidRDefault="008A656B" w:rsidP="00851097">
            <w:pPr>
              <w:rPr>
                <w:rFonts w:ascii="Times New Roman" w:hAnsi="Times New Roman" w:cs="Times New Roman"/>
                <w:sz w:val="16"/>
                <w:szCs w:val="16"/>
              </w:rPr>
            </w:pPr>
          </w:p>
        </w:tc>
        <w:tc>
          <w:tcPr>
            <w:tcW w:w="201" w:type="pct"/>
            <w:vAlign w:val="bottom"/>
          </w:tcPr>
          <w:p w14:paraId="49DD6704"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690</w:t>
            </w:r>
          </w:p>
        </w:tc>
        <w:tc>
          <w:tcPr>
            <w:tcW w:w="129" w:type="pct"/>
            <w:vAlign w:val="bottom"/>
          </w:tcPr>
          <w:p w14:paraId="4DC5F080" w14:textId="77777777" w:rsidR="008A656B" w:rsidRPr="001D2342" w:rsidRDefault="008A656B" w:rsidP="00851097">
            <w:pPr>
              <w:rPr>
                <w:rFonts w:ascii="Times New Roman" w:hAnsi="Times New Roman" w:cs="Times New Roman"/>
                <w:sz w:val="16"/>
                <w:szCs w:val="16"/>
              </w:rPr>
            </w:pPr>
          </w:p>
        </w:tc>
        <w:tc>
          <w:tcPr>
            <w:tcW w:w="189" w:type="pct"/>
            <w:vAlign w:val="bottom"/>
          </w:tcPr>
          <w:p w14:paraId="3DA8357E"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25</w:t>
            </w:r>
          </w:p>
        </w:tc>
        <w:tc>
          <w:tcPr>
            <w:tcW w:w="110" w:type="pct"/>
            <w:vAlign w:val="bottom"/>
          </w:tcPr>
          <w:p w14:paraId="7918F830" w14:textId="77777777" w:rsidR="008A656B" w:rsidRPr="001D2342" w:rsidRDefault="008A656B" w:rsidP="00851097">
            <w:pPr>
              <w:rPr>
                <w:rFonts w:ascii="Times New Roman" w:hAnsi="Times New Roman" w:cs="Times New Roman"/>
                <w:sz w:val="16"/>
                <w:szCs w:val="16"/>
              </w:rPr>
            </w:pPr>
          </w:p>
        </w:tc>
        <w:tc>
          <w:tcPr>
            <w:tcW w:w="192" w:type="pct"/>
            <w:vAlign w:val="bottom"/>
          </w:tcPr>
          <w:p w14:paraId="4DF64C56"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34</w:t>
            </w:r>
          </w:p>
        </w:tc>
        <w:tc>
          <w:tcPr>
            <w:tcW w:w="678" w:type="pct"/>
            <w:vAlign w:val="bottom"/>
          </w:tcPr>
          <w:p w14:paraId="7CDB65AA" w14:textId="77777777" w:rsidR="008A656B" w:rsidRPr="001D2342" w:rsidRDefault="008A656B" w:rsidP="00851097">
            <w:pPr>
              <w:rPr>
                <w:rFonts w:ascii="Times New Roman" w:hAnsi="Times New Roman" w:cs="Times New Roman"/>
                <w:sz w:val="16"/>
                <w:szCs w:val="16"/>
              </w:rPr>
            </w:pPr>
          </w:p>
        </w:tc>
        <w:tc>
          <w:tcPr>
            <w:tcW w:w="242" w:type="pct"/>
            <w:vAlign w:val="bottom"/>
          </w:tcPr>
          <w:p w14:paraId="07D83694"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1 252,0</w:t>
            </w:r>
          </w:p>
        </w:tc>
        <w:tc>
          <w:tcPr>
            <w:tcW w:w="259" w:type="pct"/>
            <w:vAlign w:val="bottom"/>
          </w:tcPr>
          <w:p w14:paraId="0CB27D26" w14:textId="77777777" w:rsidR="008A656B" w:rsidRPr="001D2342" w:rsidRDefault="008A656B" w:rsidP="00851097">
            <w:pPr>
              <w:rPr>
                <w:rFonts w:ascii="Times New Roman" w:hAnsi="Times New Roman" w:cs="Times New Roman"/>
                <w:sz w:val="16"/>
                <w:szCs w:val="16"/>
              </w:rPr>
            </w:pPr>
          </w:p>
        </w:tc>
        <w:tc>
          <w:tcPr>
            <w:tcW w:w="199" w:type="pct"/>
            <w:vAlign w:val="bottom"/>
          </w:tcPr>
          <w:p w14:paraId="3677C2D1" w14:textId="77777777" w:rsidR="008A656B" w:rsidRPr="001D2342" w:rsidRDefault="008A656B" w:rsidP="00851097">
            <w:pPr>
              <w:rPr>
                <w:rFonts w:ascii="Times New Roman" w:hAnsi="Times New Roman" w:cs="Times New Roman"/>
                <w:sz w:val="16"/>
                <w:szCs w:val="16"/>
              </w:rPr>
            </w:pPr>
          </w:p>
        </w:tc>
        <w:tc>
          <w:tcPr>
            <w:tcW w:w="242" w:type="pct"/>
            <w:vAlign w:val="bottom"/>
          </w:tcPr>
          <w:p w14:paraId="2B79A59E"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2 226,0</w:t>
            </w:r>
          </w:p>
        </w:tc>
        <w:tc>
          <w:tcPr>
            <w:tcW w:w="243" w:type="pct"/>
            <w:vAlign w:val="bottom"/>
          </w:tcPr>
          <w:p w14:paraId="74D36221" w14:textId="77777777" w:rsidR="008A656B" w:rsidRPr="001D2342" w:rsidRDefault="008A656B" w:rsidP="00851097">
            <w:pPr>
              <w:rPr>
                <w:rFonts w:ascii="Times New Roman" w:hAnsi="Times New Roman" w:cs="Times New Roman"/>
                <w:sz w:val="16"/>
                <w:szCs w:val="16"/>
              </w:rPr>
            </w:pPr>
          </w:p>
        </w:tc>
      </w:tr>
      <w:tr w:rsidR="008A656B" w:rsidRPr="001D2342" w14:paraId="033897A4" w14:textId="77777777" w:rsidTr="00851097">
        <w:trPr>
          <w:trHeight w:val="260"/>
        </w:trPr>
        <w:tc>
          <w:tcPr>
            <w:tcW w:w="379" w:type="pct"/>
            <w:vAlign w:val="bottom"/>
          </w:tcPr>
          <w:p w14:paraId="0301F81A" w14:textId="77777777" w:rsidR="008A656B" w:rsidRPr="001D2342" w:rsidRDefault="008A656B" w:rsidP="00851097">
            <w:pPr>
              <w:rPr>
                <w:rFonts w:ascii="Times New Roman" w:hAnsi="Times New Roman" w:cs="Times New Roman"/>
                <w:sz w:val="16"/>
                <w:szCs w:val="16"/>
              </w:rPr>
            </w:pPr>
          </w:p>
        </w:tc>
        <w:tc>
          <w:tcPr>
            <w:tcW w:w="261" w:type="pct"/>
            <w:vAlign w:val="bottom"/>
          </w:tcPr>
          <w:p w14:paraId="7D97B0EB" w14:textId="77777777" w:rsidR="008A656B" w:rsidRPr="001D2342" w:rsidRDefault="008A656B" w:rsidP="00851097">
            <w:pPr>
              <w:rPr>
                <w:rFonts w:ascii="Times New Roman" w:hAnsi="Times New Roman" w:cs="Times New Roman"/>
                <w:sz w:val="16"/>
                <w:szCs w:val="16"/>
              </w:rPr>
            </w:pPr>
          </w:p>
        </w:tc>
        <w:tc>
          <w:tcPr>
            <w:tcW w:w="364" w:type="pct"/>
            <w:vAlign w:val="bottom"/>
          </w:tcPr>
          <w:p w14:paraId="3F6B1F69" w14:textId="77777777" w:rsidR="008A656B" w:rsidRPr="001D2342" w:rsidRDefault="008A656B" w:rsidP="00851097">
            <w:pPr>
              <w:rPr>
                <w:rFonts w:ascii="Times New Roman" w:hAnsi="Times New Roman" w:cs="Times New Roman"/>
                <w:sz w:val="16"/>
                <w:szCs w:val="16"/>
              </w:rPr>
            </w:pPr>
          </w:p>
        </w:tc>
        <w:tc>
          <w:tcPr>
            <w:tcW w:w="373" w:type="pct"/>
            <w:vAlign w:val="bottom"/>
          </w:tcPr>
          <w:p w14:paraId="0BA0C941" w14:textId="77777777" w:rsidR="008A656B" w:rsidRPr="001D2342" w:rsidRDefault="008A656B" w:rsidP="00851097">
            <w:pPr>
              <w:rPr>
                <w:rFonts w:ascii="Times New Roman" w:hAnsi="Times New Roman" w:cs="Times New Roman"/>
                <w:sz w:val="16"/>
                <w:szCs w:val="16"/>
              </w:rPr>
            </w:pPr>
          </w:p>
        </w:tc>
        <w:tc>
          <w:tcPr>
            <w:tcW w:w="940" w:type="pct"/>
            <w:vAlign w:val="bottom"/>
          </w:tcPr>
          <w:p w14:paraId="32556861" w14:textId="77777777" w:rsidR="008A656B" w:rsidRPr="001D2342" w:rsidRDefault="008A656B" w:rsidP="00851097">
            <w:pPr>
              <w:rPr>
                <w:rFonts w:ascii="Times New Roman" w:hAnsi="Times New Roman" w:cs="Times New Roman"/>
                <w:sz w:val="16"/>
                <w:szCs w:val="16"/>
              </w:rPr>
            </w:pPr>
          </w:p>
        </w:tc>
        <w:tc>
          <w:tcPr>
            <w:tcW w:w="201" w:type="pct"/>
            <w:vAlign w:val="bottom"/>
          </w:tcPr>
          <w:p w14:paraId="119219B2"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2 079</w:t>
            </w:r>
          </w:p>
        </w:tc>
        <w:tc>
          <w:tcPr>
            <w:tcW w:w="129" w:type="pct"/>
            <w:vAlign w:val="bottom"/>
          </w:tcPr>
          <w:p w14:paraId="2CF08DF1" w14:textId="77777777" w:rsidR="008A656B" w:rsidRPr="001D2342" w:rsidRDefault="008A656B" w:rsidP="00851097">
            <w:pPr>
              <w:rPr>
                <w:rFonts w:ascii="Times New Roman" w:hAnsi="Times New Roman" w:cs="Times New Roman"/>
                <w:sz w:val="16"/>
                <w:szCs w:val="16"/>
              </w:rPr>
            </w:pPr>
          </w:p>
        </w:tc>
        <w:tc>
          <w:tcPr>
            <w:tcW w:w="189" w:type="pct"/>
            <w:vAlign w:val="bottom"/>
          </w:tcPr>
          <w:p w14:paraId="23822CF2"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35</w:t>
            </w:r>
          </w:p>
        </w:tc>
        <w:tc>
          <w:tcPr>
            <w:tcW w:w="110" w:type="pct"/>
            <w:vAlign w:val="bottom"/>
          </w:tcPr>
          <w:p w14:paraId="540303F3" w14:textId="77777777" w:rsidR="008A656B" w:rsidRPr="001D2342" w:rsidRDefault="008A656B" w:rsidP="00851097">
            <w:pPr>
              <w:rPr>
                <w:rFonts w:ascii="Times New Roman" w:hAnsi="Times New Roman" w:cs="Times New Roman"/>
                <w:sz w:val="16"/>
                <w:szCs w:val="16"/>
              </w:rPr>
            </w:pPr>
          </w:p>
        </w:tc>
        <w:tc>
          <w:tcPr>
            <w:tcW w:w="192" w:type="pct"/>
            <w:vAlign w:val="bottom"/>
          </w:tcPr>
          <w:p w14:paraId="12BB586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50</w:t>
            </w:r>
          </w:p>
        </w:tc>
        <w:tc>
          <w:tcPr>
            <w:tcW w:w="678" w:type="pct"/>
            <w:vAlign w:val="bottom"/>
          </w:tcPr>
          <w:p w14:paraId="383BE43A" w14:textId="77777777" w:rsidR="008A656B" w:rsidRPr="001D2342" w:rsidRDefault="008A656B" w:rsidP="00851097">
            <w:pPr>
              <w:rPr>
                <w:rFonts w:ascii="Times New Roman" w:hAnsi="Times New Roman" w:cs="Times New Roman"/>
                <w:sz w:val="16"/>
                <w:szCs w:val="16"/>
              </w:rPr>
            </w:pPr>
          </w:p>
        </w:tc>
        <w:tc>
          <w:tcPr>
            <w:tcW w:w="242" w:type="pct"/>
            <w:vAlign w:val="bottom"/>
          </w:tcPr>
          <w:p w14:paraId="6CAF595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1 167,0</w:t>
            </w:r>
          </w:p>
        </w:tc>
        <w:tc>
          <w:tcPr>
            <w:tcW w:w="259" w:type="pct"/>
            <w:vAlign w:val="bottom"/>
          </w:tcPr>
          <w:p w14:paraId="1E042BE4" w14:textId="77777777" w:rsidR="008A656B" w:rsidRPr="001D2342" w:rsidRDefault="008A656B" w:rsidP="00851097">
            <w:pPr>
              <w:rPr>
                <w:rFonts w:ascii="Times New Roman" w:hAnsi="Times New Roman" w:cs="Times New Roman"/>
                <w:sz w:val="16"/>
                <w:szCs w:val="16"/>
              </w:rPr>
            </w:pPr>
          </w:p>
        </w:tc>
        <w:tc>
          <w:tcPr>
            <w:tcW w:w="199" w:type="pct"/>
            <w:vAlign w:val="bottom"/>
          </w:tcPr>
          <w:p w14:paraId="21147AE9" w14:textId="77777777" w:rsidR="008A656B" w:rsidRPr="001D2342" w:rsidRDefault="008A656B" w:rsidP="00851097">
            <w:pPr>
              <w:rPr>
                <w:rFonts w:ascii="Times New Roman" w:hAnsi="Times New Roman" w:cs="Times New Roman"/>
                <w:sz w:val="16"/>
                <w:szCs w:val="16"/>
              </w:rPr>
            </w:pPr>
          </w:p>
        </w:tc>
        <w:tc>
          <w:tcPr>
            <w:tcW w:w="242" w:type="pct"/>
            <w:vAlign w:val="bottom"/>
          </w:tcPr>
          <w:p w14:paraId="29BBEF26"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2 109,0</w:t>
            </w:r>
          </w:p>
        </w:tc>
        <w:tc>
          <w:tcPr>
            <w:tcW w:w="243" w:type="pct"/>
            <w:vAlign w:val="bottom"/>
          </w:tcPr>
          <w:p w14:paraId="29D2489E" w14:textId="77777777" w:rsidR="008A656B" w:rsidRPr="001D2342" w:rsidRDefault="008A656B" w:rsidP="00851097">
            <w:pPr>
              <w:rPr>
                <w:rFonts w:ascii="Times New Roman" w:hAnsi="Times New Roman" w:cs="Times New Roman"/>
                <w:sz w:val="16"/>
                <w:szCs w:val="16"/>
              </w:rPr>
            </w:pPr>
          </w:p>
        </w:tc>
      </w:tr>
      <w:tr w:rsidR="008A656B" w:rsidRPr="001D2342" w14:paraId="3BCC3871" w14:textId="77777777" w:rsidTr="00851097">
        <w:trPr>
          <w:trHeight w:val="260"/>
        </w:trPr>
        <w:tc>
          <w:tcPr>
            <w:tcW w:w="379" w:type="pct"/>
            <w:vAlign w:val="bottom"/>
          </w:tcPr>
          <w:p w14:paraId="2D1E1192" w14:textId="77777777" w:rsidR="008A656B" w:rsidRPr="001D2342" w:rsidRDefault="008A656B" w:rsidP="00851097">
            <w:pPr>
              <w:rPr>
                <w:rFonts w:ascii="Times New Roman" w:hAnsi="Times New Roman" w:cs="Times New Roman"/>
                <w:sz w:val="16"/>
                <w:szCs w:val="16"/>
              </w:rPr>
            </w:pPr>
          </w:p>
        </w:tc>
        <w:tc>
          <w:tcPr>
            <w:tcW w:w="261" w:type="pct"/>
            <w:vAlign w:val="bottom"/>
          </w:tcPr>
          <w:p w14:paraId="7594E135" w14:textId="77777777" w:rsidR="008A656B" w:rsidRPr="001D2342" w:rsidRDefault="008A656B" w:rsidP="00851097">
            <w:pPr>
              <w:rPr>
                <w:rFonts w:ascii="Times New Roman" w:hAnsi="Times New Roman" w:cs="Times New Roman"/>
                <w:sz w:val="16"/>
                <w:szCs w:val="16"/>
              </w:rPr>
            </w:pPr>
          </w:p>
        </w:tc>
        <w:tc>
          <w:tcPr>
            <w:tcW w:w="364" w:type="pct"/>
            <w:vAlign w:val="bottom"/>
          </w:tcPr>
          <w:p w14:paraId="6B90B6EC" w14:textId="77777777" w:rsidR="008A656B" w:rsidRPr="001D2342" w:rsidRDefault="008A656B" w:rsidP="00851097">
            <w:pPr>
              <w:rPr>
                <w:rFonts w:ascii="Times New Roman" w:hAnsi="Times New Roman" w:cs="Times New Roman"/>
                <w:sz w:val="16"/>
                <w:szCs w:val="16"/>
              </w:rPr>
            </w:pPr>
          </w:p>
        </w:tc>
        <w:tc>
          <w:tcPr>
            <w:tcW w:w="373" w:type="pct"/>
            <w:vAlign w:val="bottom"/>
          </w:tcPr>
          <w:p w14:paraId="29C66190" w14:textId="77777777" w:rsidR="008A656B" w:rsidRPr="001D2342" w:rsidRDefault="008A656B" w:rsidP="00851097">
            <w:pPr>
              <w:rPr>
                <w:rFonts w:ascii="Times New Roman" w:hAnsi="Times New Roman" w:cs="Times New Roman"/>
                <w:sz w:val="16"/>
                <w:szCs w:val="16"/>
              </w:rPr>
            </w:pPr>
          </w:p>
        </w:tc>
        <w:tc>
          <w:tcPr>
            <w:tcW w:w="940" w:type="pct"/>
            <w:vAlign w:val="bottom"/>
          </w:tcPr>
          <w:p w14:paraId="3A99A575" w14:textId="77777777" w:rsidR="008A656B" w:rsidRPr="001D2342" w:rsidRDefault="008A656B" w:rsidP="00851097">
            <w:pPr>
              <w:rPr>
                <w:rFonts w:ascii="Times New Roman" w:hAnsi="Times New Roman" w:cs="Times New Roman"/>
                <w:sz w:val="16"/>
                <w:szCs w:val="16"/>
              </w:rPr>
            </w:pPr>
          </w:p>
        </w:tc>
        <w:tc>
          <w:tcPr>
            <w:tcW w:w="201" w:type="pct"/>
            <w:shd w:val="clear" w:color="auto" w:fill="D9D9D9" w:themeFill="background1" w:themeFillShade="D9"/>
            <w:vAlign w:val="bottom"/>
          </w:tcPr>
          <w:p w14:paraId="336D52A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1 633</w:t>
            </w:r>
          </w:p>
        </w:tc>
        <w:tc>
          <w:tcPr>
            <w:tcW w:w="129" w:type="pct"/>
            <w:shd w:val="clear" w:color="auto" w:fill="D9D9D9" w:themeFill="background1" w:themeFillShade="D9"/>
            <w:vAlign w:val="bottom"/>
          </w:tcPr>
          <w:p w14:paraId="040949CF" w14:textId="77777777" w:rsidR="008A656B" w:rsidRPr="001D2342" w:rsidRDefault="008A656B" w:rsidP="00851097">
            <w:pPr>
              <w:rPr>
                <w:rFonts w:ascii="Times New Roman" w:hAnsi="Times New Roman" w:cs="Times New Roman"/>
                <w:sz w:val="16"/>
                <w:szCs w:val="16"/>
              </w:rPr>
            </w:pPr>
          </w:p>
        </w:tc>
        <w:tc>
          <w:tcPr>
            <w:tcW w:w="189" w:type="pct"/>
            <w:shd w:val="clear" w:color="auto" w:fill="D9D9D9" w:themeFill="background1" w:themeFillShade="D9"/>
            <w:vAlign w:val="bottom"/>
          </w:tcPr>
          <w:p w14:paraId="73613BF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51</w:t>
            </w:r>
          </w:p>
        </w:tc>
        <w:tc>
          <w:tcPr>
            <w:tcW w:w="110" w:type="pct"/>
            <w:shd w:val="clear" w:color="auto" w:fill="D9D9D9" w:themeFill="background1" w:themeFillShade="D9"/>
            <w:vAlign w:val="bottom"/>
          </w:tcPr>
          <w:p w14:paraId="7445CA7E" w14:textId="77777777" w:rsidR="008A656B" w:rsidRPr="001D2342" w:rsidRDefault="008A656B" w:rsidP="00851097">
            <w:pPr>
              <w:rPr>
                <w:rFonts w:ascii="Times New Roman" w:hAnsi="Times New Roman" w:cs="Times New Roman"/>
                <w:sz w:val="16"/>
                <w:szCs w:val="16"/>
              </w:rPr>
            </w:pPr>
          </w:p>
        </w:tc>
        <w:tc>
          <w:tcPr>
            <w:tcW w:w="192" w:type="pct"/>
            <w:shd w:val="clear" w:color="auto" w:fill="D9D9D9" w:themeFill="background1" w:themeFillShade="D9"/>
            <w:vAlign w:val="bottom"/>
          </w:tcPr>
          <w:p w14:paraId="34762F4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64</w:t>
            </w:r>
          </w:p>
        </w:tc>
        <w:tc>
          <w:tcPr>
            <w:tcW w:w="678" w:type="pct"/>
            <w:shd w:val="clear" w:color="auto" w:fill="D9D9D9" w:themeFill="background1" w:themeFillShade="D9"/>
            <w:vAlign w:val="bottom"/>
          </w:tcPr>
          <w:p w14:paraId="35014343"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0C7E3437"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1 071,0</w:t>
            </w:r>
          </w:p>
        </w:tc>
        <w:tc>
          <w:tcPr>
            <w:tcW w:w="259" w:type="pct"/>
            <w:shd w:val="clear" w:color="auto" w:fill="D9D9D9" w:themeFill="background1" w:themeFillShade="D9"/>
            <w:vAlign w:val="bottom"/>
          </w:tcPr>
          <w:p w14:paraId="60A5D169" w14:textId="77777777" w:rsidR="008A656B" w:rsidRPr="001D2342" w:rsidRDefault="008A656B" w:rsidP="00851097">
            <w:pPr>
              <w:rPr>
                <w:rFonts w:ascii="Times New Roman" w:hAnsi="Times New Roman" w:cs="Times New Roman"/>
                <w:sz w:val="16"/>
                <w:szCs w:val="16"/>
              </w:rPr>
            </w:pPr>
          </w:p>
        </w:tc>
        <w:tc>
          <w:tcPr>
            <w:tcW w:w="199" w:type="pct"/>
            <w:shd w:val="clear" w:color="auto" w:fill="D9D9D9" w:themeFill="background1" w:themeFillShade="D9"/>
            <w:vAlign w:val="bottom"/>
          </w:tcPr>
          <w:p w14:paraId="545F8229"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6F1130A4"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1 908,0</w:t>
            </w:r>
          </w:p>
        </w:tc>
        <w:tc>
          <w:tcPr>
            <w:tcW w:w="243" w:type="pct"/>
            <w:shd w:val="clear" w:color="auto" w:fill="D9D9D9" w:themeFill="background1" w:themeFillShade="D9"/>
            <w:vAlign w:val="bottom"/>
          </w:tcPr>
          <w:p w14:paraId="0183E3F1" w14:textId="77777777" w:rsidR="008A656B" w:rsidRPr="001D2342" w:rsidRDefault="008A656B" w:rsidP="00851097">
            <w:pPr>
              <w:rPr>
                <w:rFonts w:ascii="Times New Roman" w:hAnsi="Times New Roman" w:cs="Times New Roman"/>
                <w:sz w:val="16"/>
                <w:szCs w:val="16"/>
              </w:rPr>
            </w:pPr>
          </w:p>
        </w:tc>
      </w:tr>
      <w:tr w:rsidR="008A656B" w:rsidRPr="001D2342" w14:paraId="79779567" w14:textId="77777777" w:rsidTr="00851097">
        <w:trPr>
          <w:trHeight w:val="260"/>
        </w:trPr>
        <w:tc>
          <w:tcPr>
            <w:tcW w:w="379" w:type="pct"/>
            <w:vAlign w:val="bottom"/>
          </w:tcPr>
          <w:p w14:paraId="249E211E" w14:textId="77777777" w:rsidR="008A656B" w:rsidRPr="001D2342" w:rsidRDefault="008A656B" w:rsidP="00851097">
            <w:pPr>
              <w:rPr>
                <w:rFonts w:ascii="Times New Roman" w:hAnsi="Times New Roman" w:cs="Times New Roman"/>
                <w:sz w:val="16"/>
                <w:szCs w:val="16"/>
              </w:rPr>
            </w:pPr>
          </w:p>
        </w:tc>
        <w:tc>
          <w:tcPr>
            <w:tcW w:w="261" w:type="pct"/>
            <w:vAlign w:val="bottom"/>
          </w:tcPr>
          <w:p w14:paraId="61694793" w14:textId="77777777" w:rsidR="008A656B" w:rsidRPr="001D2342" w:rsidRDefault="008A656B" w:rsidP="00851097">
            <w:pPr>
              <w:rPr>
                <w:rFonts w:ascii="Times New Roman" w:hAnsi="Times New Roman" w:cs="Times New Roman"/>
                <w:sz w:val="16"/>
                <w:szCs w:val="16"/>
              </w:rPr>
            </w:pPr>
          </w:p>
        </w:tc>
        <w:tc>
          <w:tcPr>
            <w:tcW w:w="364" w:type="pct"/>
            <w:vAlign w:val="bottom"/>
          </w:tcPr>
          <w:p w14:paraId="1EEBBDC7" w14:textId="77777777" w:rsidR="008A656B" w:rsidRPr="001D2342" w:rsidRDefault="008A656B" w:rsidP="00851097">
            <w:pPr>
              <w:rPr>
                <w:rFonts w:ascii="Times New Roman" w:hAnsi="Times New Roman" w:cs="Times New Roman"/>
                <w:sz w:val="16"/>
                <w:szCs w:val="16"/>
              </w:rPr>
            </w:pPr>
          </w:p>
        </w:tc>
        <w:tc>
          <w:tcPr>
            <w:tcW w:w="373" w:type="pct"/>
            <w:vAlign w:val="bottom"/>
          </w:tcPr>
          <w:p w14:paraId="54DC39EF" w14:textId="77777777" w:rsidR="008A656B" w:rsidRPr="001D2342" w:rsidRDefault="008A656B" w:rsidP="00851097">
            <w:pPr>
              <w:rPr>
                <w:rFonts w:ascii="Times New Roman" w:hAnsi="Times New Roman" w:cs="Times New Roman"/>
                <w:sz w:val="16"/>
                <w:szCs w:val="16"/>
              </w:rPr>
            </w:pPr>
          </w:p>
        </w:tc>
        <w:tc>
          <w:tcPr>
            <w:tcW w:w="940" w:type="pct"/>
            <w:vAlign w:val="bottom"/>
          </w:tcPr>
          <w:p w14:paraId="1FA759F9" w14:textId="77777777" w:rsidR="008A656B" w:rsidRPr="001D2342" w:rsidRDefault="008A656B" w:rsidP="00851097">
            <w:pPr>
              <w:rPr>
                <w:rFonts w:ascii="Times New Roman" w:hAnsi="Times New Roman" w:cs="Times New Roman"/>
                <w:sz w:val="16"/>
                <w:szCs w:val="16"/>
              </w:rPr>
            </w:pPr>
          </w:p>
        </w:tc>
        <w:tc>
          <w:tcPr>
            <w:tcW w:w="201" w:type="pct"/>
            <w:shd w:val="clear" w:color="auto" w:fill="D9D9D9" w:themeFill="background1" w:themeFillShade="D9"/>
            <w:vAlign w:val="bottom"/>
          </w:tcPr>
          <w:p w14:paraId="72335841"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1 469</w:t>
            </w:r>
          </w:p>
        </w:tc>
        <w:tc>
          <w:tcPr>
            <w:tcW w:w="129" w:type="pct"/>
            <w:shd w:val="clear" w:color="auto" w:fill="D9D9D9" w:themeFill="background1" w:themeFillShade="D9"/>
            <w:vAlign w:val="bottom"/>
          </w:tcPr>
          <w:p w14:paraId="36CDBBA9" w14:textId="77777777" w:rsidR="008A656B" w:rsidRPr="001D2342" w:rsidRDefault="008A656B" w:rsidP="00851097">
            <w:pPr>
              <w:rPr>
                <w:rFonts w:ascii="Times New Roman" w:hAnsi="Times New Roman" w:cs="Times New Roman"/>
                <w:sz w:val="16"/>
                <w:szCs w:val="16"/>
              </w:rPr>
            </w:pPr>
          </w:p>
        </w:tc>
        <w:tc>
          <w:tcPr>
            <w:tcW w:w="189" w:type="pct"/>
            <w:shd w:val="clear" w:color="auto" w:fill="D9D9D9" w:themeFill="background1" w:themeFillShade="D9"/>
            <w:vAlign w:val="bottom"/>
          </w:tcPr>
          <w:p w14:paraId="0DA51A97"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65</w:t>
            </w:r>
          </w:p>
        </w:tc>
        <w:tc>
          <w:tcPr>
            <w:tcW w:w="110" w:type="pct"/>
            <w:shd w:val="clear" w:color="auto" w:fill="D9D9D9" w:themeFill="background1" w:themeFillShade="D9"/>
            <w:vAlign w:val="bottom"/>
          </w:tcPr>
          <w:p w14:paraId="11F9BE51" w14:textId="77777777" w:rsidR="008A656B" w:rsidRPr="001D2342" w:rsidRDefault="008A656B" w:rsidP="00851097">
            <w:pPr>
              <w:rPr>
                <w:rFonts w:ascii="Times New Roman" w:hAnsi="Times New Roman" w:cs="Times New Roman"/>
                <w:sz w:val="16"/>
                <w:szCs w:val="16"/>
              </w:rPr>
            </w:pPr>
          </w:p>
        </w:tc>
        <w:tc>
          <w:tcPr>
            <w:tcW w:w="192" w:type="pct"/>
            <w:shd w:val="clear" w:color="auto" w:fill="D9D9D9" w:themeFill="background1" w:themeFillShade="D9"/>
            <w:vAlign w:val="bottom"/>
          </w:tcPr>
          <w:p w14:paraId="3506EA64"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80</w:t>
            </w:r>
          </w:p>
        </w:tc>
        <w:tc>
          <w:tcPr>
            <w:tcW w:w="678" w:type="pct"/>
            <w:shd w:val="clear" w:color="auto" w:fill="D9D9D9" w:themeFill="background1" w:themeFillShade="D9"/>
            <w:vAlign w:val="bottom"/>
          </w:tcPr>
          <w:p w14:paraId="655AC44F"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6629FD90"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970,0</w:t>
            </w:r>
          </w:p>
        </w:tc>
        <w:tc>
          <w:tcPr>
            <w:tcW w:w="259" w:type="pct"/>
            <w:shd w:val="clear" w:color="auto" w:fill="D9D9D9" w:themeFill="background1" w:themeFillShade="D9"/>
            <w:vAlign w:val="bottom"/>
          </w:tcPr>
          <w:p w14:paraId="73F1689B" w14:textId="77777777" w:rsidR="008A656B" w:rsidRPr="001D2342" w:rsidRDefault="008A656B" w:rsidP="00851097">
            <w:pPr>
              <w:rPr>
                <w:rFonts w:ascii="Times New Roman" w:hAnsi="Times New Roman" w:cs="Times New Roman"/>
                <w:sz w:val="16"/>
                <w:szCs w:val="16"/>
              </w:rPr>
            </w:pPr>
          </w:p>
        </w:tc>
        <w:tc>
          <w:tcPr>
            <w:tcW w:w="199" w:type="pct"/>
            <w:shd w:val="clear" w:color="auto" w:fill="D9D9D9" w:themeFill="background1" w:themeFillShade="D9"/>
            <w:vAlign w:val="bottom"/>
          </w:tcPr>
          <w:p w14:paraId="0F4706B6"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32D92618"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1 669,0</w:t>
            </w:r>
          </w:p>
        </w:tc>
        <w:tc>
          <w:tcPr>
            <w:tcW w:w="243" w:type="pct"/>
            <w:shd w:val="clear" w:color="auto" w:fill="D9D9D9" w:themeFill="background1" w:themeFillShade="D9"/>
            <w:vAlign w:val="bottom"/>
          </w:tcPr>
          <w:p w14:paraId="4F97467A" w14:textId="77777777" w:rsidR="008A656B" w:rsidRPr="001D2342" w:rsidRDefault="008A656B" w:rsidP="00851097">
            <w:pPr>
              <w:rPr>
                <w:rFonts w:ascii="Times New Roman" w:hAnsi="Times New Roman" w:cs="Times New Roman"/>
                <w:sz w:val="16"/>
                <w:szCs w:val="16"/>
              </w:rPr>
            </w:pPr>
          </w:p>
        </w:tc>
      </w:tr>
      <w:tr w:rsidR="008A656B" w:rsidRPr="001D2342" w14:paraId="3B74F5CF" w14:textId="77777777" w:rsidTr="00851097">
        <w:trPr>
          <w:trHeight w:val="260"/>
        </w:trPr>
        <w:tc>
          <w:tcPr>
            <w:tcW w:w="379" w:type="pct"/>
            <w:vAlign w:val="bottom"/>
          </w:tcPr>
          <w:p w14:paraId="7BAB7D83" w14:textId="77777777" w:rsidR="008A656B" w:rsidRPr="001D2342" w:rsidRDefault="008A656B" w:rsidP="00851097">
            <w:pPr>
              <w:rPr>
                <w:rFonts w:ascii="Times New Roman" w:hAnsi="Times New Roman" w:cs="Times New Roman"/>
                <w:sz w:val="16"/>
                <w:szCs w:val="16"/>
              </w:rPr>
            </w:pPr>
          </w:p>
        </w:tc>
        <w:tc>
          <w:tcPr>
            <w:tcW w:w="261" w:type="pct"/>
            <w:vAlign w:val="bottom"/>
          </w:tcPr>
          <w:p w14:paraId="7CFAF669" w14:textId="77777777" w:rsidR="008A656B" w:rsidRPr="001D2342" w:rsidRDefault="008A656B" w:rsidP="00851097">
            <w:pPr>
              <w:rPr>
                <w:rFonts w:ascii="Times New Roman" w:hAnsi="Times New Roman" w:cs="Times New Roman"/>
                <w:sz w:val="16"/>
                <w:szCs w:val="16"/>
              </w:rPr>
            </w:pPr>
          </w:p>
        </w:tc>
        <w:tc>
          <w:tcPr>
            <w:tcW w:w="364" w:type="pct"/>
            <w:vAlign w:val="bottom"/>
          </w:tcPr>
          <w:p w14:paraId="42CC02AB"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Īrija</w:t>
            </w:r>
          </w:p>
        </w:tc>
        <w:tc>
          <w:tcPr>
            <w:tcW w:w="373" w:type="pct"/>
            <w:vAlign w:val="bottom"/>
          </w:tcPr>
          <w:p w14:paraId="278F42F3" w14:textId="77777777" w:rsidR="008A656B" w:rsidRPr="001D2342" w:rsidRDefault="008A656B" w:rsidP="00851097">
            <w:pPr>
              <w:pStyle w:val="Default"/>
              <w:rPr>
                <w:sz w:val="16"/>
                <w:szCs w:val="16"/>
              </w:rPr>
            </w:pPr>
            <w:r>
              <w:rPr>
                <w:sz w:val="16"/>
              </w:rPr>
              <w:t>(IUNA (Irish Universities Nutrition Alliance), 2011)</w:t>
            </w:r>
          </w:p>
        </w:tc>
        <w:tc>
          <w:tcPr>
            <w:tcW w:w="940" w:type="pct"/>
            <w:vAlign w:val="bottom"/>
          </w:tcPr>
          <w:p w14:paraId="3E081C2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4 dienu uztura pieraksts</w:t>
            </w:r>
          </w:p>
        </w:tc>
        <w:tc>
          <w:tcPr>
            <w:tcW w:w="201" w:type="pct"/>
            <w:vAlign w:val="bottom"/>
          </w:tcPr>
          <w:p w14:paraId="582DB127"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276</w:t>
            </w:r>
          </w:p>
        </w:tc>
        <w:tc>
          <w:tcPr>
            <w:tcW w:w="129" w:type="pct"/>
            <w:vAlign w:val="bottom"/>
          </w:tcPr>
          <w:p w14:paraId="6BF217F5" w14:textId="77777777" w:rsidR="008A656B" w:rsidRPr="001D2342" w:rsidRDefault="008A656B" w:rsidP="00851097">
            <w:pPr>
              <w:rPr>
                <w:rFonts w:ascii="Times New Roman" w:hAnsi="Times New Roman" w:cs="Times New Roman"/>
                <w:sz w:val="16"/>
                <w:szCs w:val="16"/>
              </w:rPr>
            </w:pPr>
          </w:p>
        </w:tc>
        <w:tc>
          <w:tcPr>
            <w:tcW w:w="189" w:type="pct"/>
            <w:vAlign w:val="bottom"/>
          </w:tcPr>
          <w:p w14:paraId="418DF655"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18</w:t>
            </w:r>
          </w:p>
        </w:tc>
        <w:tc>
          <w:tcPr>
            <w:tcW w:w="110" w:type="pct"/>
            <w:vAlign w:val="bottom"/>
          </w:tcPr>
          <w:p w14:paraId="7E2FFD1B" w14:textId="77777777" w:rsidR="008A656B" w:rsidRPr="001D2342" w:rsidRDefault="008A656B" w:rsidP="00851097">
            <w:pPr>
              <w:rPr>
                <w:rFonts w:ascii="Times New Roman" w:hAnsi="Times New Roman" w:cs="Times New Roman"/>
                <w:sz w:val="16"/>
                <w:szCs w:val="16"/>
              </w:rPr>
            </w:pPr>
          </w:p>
        </w:tc>
        <w:tc>
          <w:tcPr>
            <w:tcW w:w="192" w:type="pct"/>
            <w:vAlign w:val="bottom"/>
          </w:tcPr>
          <w:p w14:paraId="120DFA09"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35</w:t>
            </w:r>
          </w:p>
        </w:tc>
        <w:tc>
          <w:tcPr>
            <w:tcW w:w="678" w:type="pct"/>
            <w:vAlign w:val="bottom"/>
          </w:tcPr>
          <w:p w14:paraId="3D3DDD3F" w14:textId="77777777" w:rsidR="008A656B" w:rsidRPr="001D2342" w:rsidRDefault="008A656B" w:rsidP="00851097">
            <w:pPr>
              <w:rPr>
                <w:rFonts w:ascii="Times New Roman" w:hAnsi="Times New Roman" w:cs="Times New Roman"/>
                <w:sz w:val="16"/>
                <w:szCs w:val="16"/>
              </w:rPr>
            </w:pPr>
          </w:p>
        </w:tc>
        <w:tc>
          <w:tcPr>
            <w:tcW w:w="242" w:type="pct"/>
            <w:vAlign w:val="bottom"/>
          </w:tcPr>
          <w:p w14:paraId="095D99A6"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1 105,0</w:t>
            </w:r>
          </w:p>
        </w:tc>
        <w:tc>
          <w:tcPr>
            <w:tcW w:w="259" w:type="pct"/>
            <w:vAlign w:val="bottom"/>
          </w:tcPr>
          <w:p w14:paraId="66DC2E06" w14:textId="77777777" w:rsidR="008A656B" w:rsidRPr="001D2342" w:rsidRDefault="008A656B" w:rsidP="00851097">
            <w:pPr>
              <w:rPr>
                <w:rFonts w:ascii="Times New Roman" w:hAnsi="Times New Roman" w:cs="Times New Roman"/>
                <w:sz w:val="16"/>
                <w:szCs w:val="16"/>
              </w:rPr>
            </w:pPr>
          </w:p>
        </w:tc>
        <w:tc>
          <w:tcPr>
            <w:tcW w:w="199" w:type="pct"/>
            <w:vAlign w:val="bottom"/>
          </w:tcPr>
          <w:p w14:paraId="27DE8947" w14:textId="77777777" w:rsidR="008A656B" w:rsidRPr="001D2342" w:rsidRDefault="008A656B" w:rsidP="00851097">
            <w:pPr>
              <w:rPr>
                <w:rFonts w:ascii="Times New Roman" w:hAnsi="Times New Roman" w:cs="Times New Roman"/>
                <w:sz w:val="16"/>
                <w:szCs w:val="16"/>
              </w:rPr>
            </w:pPr>
          </w:p>
        </w:tc>
        <w:tc>
          <w:tcPr>
            <w:tcW w:w="242" w:type="pct"/>
            <w:vAlign w:val="bottom"/>
          </w:tcPr>
          <w:p w14:paraId="1F452E41"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1 856,0</w:t>
            </w:r>
          </w:p>
        </w:tc>
        <w:tc>
          <w:tcPr>
            <w:tcW w:w="243" w:type="pct"/>
            <w:vAlign w:val="bottom"/>
          </w:tcPr>
          <w:p w14:paraId="3C0C35B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2 091,0</w:t>
            </w:r>
          </w:p>
        </w:tc>
      </w:tr>
      <w:tr w:rsidR="008A656B" w:rsidRPr="001D2342" w14:paraId="1AC77418" w14:textId="77777777" w:rsidTr="00851097">
        <w:trPr>
          <w:trHeight w:val="260"/>
        </w:trPr>
        <w:tc>
          <w:tcPr>
            <w:tcW w:w="379" w:type="pct"/>
            <w:vAlign w:val="bottom"/>
          </w:tcPr>
          <w:p w14:paraId="1106E19D" w14:textId="77777777" w:rsidR="008A656B" w:rsidRPr="001D2342" w:rsidRDefault="008A656B" w:rsidP="00851097">
            <w:pPr>
              <w:rPr>
                <w:rFonts w:ascii="Times New Roman" w:hAnsi="Times New Roman" w:cs="Times New Roman"/>
                <w:sz w:val="16"/>
                <w:szCs w:val="16"/>
              </w:rPr>
            </w:pPr>
          </w:p>
        </w:tc>
        <w:tc>
          <w:tcPr>
            <w:tcW w:w="261" w:type="pct"/>
            <w:vAlign w:val="bottom"/>
          </w:tcPr>
          <w:p w14:paraId="500A0E97" w14:textId="77777777" w:rsidR="008A656B" w:rsidRPr="001D2342" w:rsidRDefault="008A656B" w:rsidP="00851097">
            <w:pPr>
              <w:rPr>
                <w:rFonts w:ascii="Times New Roman" w:hAnsi="Times New Roman" w:cs="Times New Roman"/>
                <w:sz w:val="16"/>
                <w:szCs w:val="16"/>
              </w:rPr>
            </w:pPr>
          </w:p>
        </w:tc>
        <w:tc>
          <w:tcPr>
            <w:tcW w:w="364" w:type="pct"/>
            <w:vAlign w:val="bottom"/>
          </w:tcPr>
          <w:p w14:paraId="2CDE866E"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Īrija</w:t>
            </w:r>
          </w:p>
        </w:tc>
        <w:tc>
          <w:tcPr>
            <w:tcW w:w="373" w:type="pct"/>
            <w:vAlign w:val="bottom"/>
          </w:tcPr>
          <w:p w14:paraId="6FD8000D" w14:textId="77777777" w:rsidR="008A656B" w:rsidRPr="001D2342" w:rsidRDefault="008A656B" w:rsidP="00851097">
            <w:pPr>
              <w:pStyle w:val="Default"/>
              <w:rPr>
                <w:sz w:val="16"/>
                <w:szCs w:val="16"/>
              </w:rPr>
            </w:pPr>
            <w:r>
              <w:rPr>
                <w:sz w:val="16"/>
              </w:rPr>
              <w:t>(IUNA (Irish Universities Nutrition Alliance), 2011)</w:t>
            </w:r>
          </w:p>
        </w:tc>
        <w:tc>
          <w:tcPr>
            <w:tcW w:w="940" w:type="pct"/>
            <w:vAlign w:val="bottom"/>
          </w:tcPr>
          <w:p w14:paraId="4C86E79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4 dienu uztura pieraksts</w:t>
            </w:r>
          </w:p>
        </w:tc>
        <w:tc>
          <w:tcPr>
            <w:tcW w:w="201" w:type="pct"/>
            <w:vAlign w:val="bottom"/>
          </w:tcPr>
          <w:p w14:paraId="6E70334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205</w:t>
            </w:r>
          </w:p>
        </w:tc>
        <w:tc>
          <w:tcPr>
            <w:tcW w:w="129" w:type="pct"/>
            <w:vAlign w:val="bottom"/>
          </w:tcPr>
          <w:p w14:paraId="616CCC77" w14:textId="77777777" w:rsidR="008A656B" w:rsidRPr="001D2342" w:rsidRDefault="008A656B" w:rsidP="00851097">
            <w:pPr>
              <w:rPr>
                <w:rFonts w:ascii="Times New Roman" w:hAnsi="Times New Roman" w:cs="Times New Roman"/>
                <w:sz w:val="16"/>
                <w:szCs w:val="16"/>
              </w:rPr>
            </w:pPr>
          </w:p>
        </w:tc>
        <w:tc>
          <w:tcPr>
            <w:tcW w:w="189" w:type="pct"/>
            <w:vAlign w:val="bottom"/>
          </w:tcPr>
          <w:p w14:paraId="25ECD3C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36</w:t>
            </w:r>
          </w:p>
        </w:tc>
        <w:tc>
          <w:tcPr>
            <w:tcW w:w="110" w:type="pct"/>
            <w:vAlign w:val="bottom"/>
          </w:tcPr>
          <w:p w14:paraId="0984B436" w14:textId="77777777" w:rsidR="008A656B" w:rsidRPr="001D2342" w:rsidRDefault="008A656B" w:rsidP="00851097">
            <w:pPr>
              <w:rPr>
                <w:rFonts w:ascii="Times New Roman" w:hAnsi="Times New Roman" w:cs="Times New Roman"/>
                <w:sz w:val="16"/>
                <w:szCs w:val="16"/>
              </w:rPr>
            </w:pPr>
          </w:p>
        </w:tc>
        <w:tc>
          <w:tcPr>
            <w:tcW w:w="192" w:type="pct"/>
            <w:vAlign w:val="bottom"/>
          </w:tcPr>
          <w:p w14:paraId="4302435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50</w:t>
            </w:r>
          </w:p>
        </w:tc>
        <w:tc>
          <w:tcPr>
            <w:tcW w:w="678" w:type="pct"/>
            <w:vAlign w:val="bottom"/>
          </w:tcPr>
          <w:p w14:paraId="48DD9A79" w14:textId="77777777" w:rsidR="008A656B" w:rsidRPr="001D2342" w:rsidRDefault="008A656B" w:rsidP="00851097">
            <w:pPr>
              <w:rPr>
                <w:rFonts w:ascii="Times New Roman" w:hAnsi="Times New Roman" w:cs="Times New Roman"/>
                <w:sz w:val="16"/>
                <w:szCs w:val="16"/>
              </w:rPr>
            </w:pPr>
          </w:p>
        </w:tc>
        <w:tc>
          <w:tcPr>
            <w:tcW w:w="242" w:type="pct"/>
            <w:vAlign w:val="bottom"/>
          </w:tcPr>
          <w:p w14:paraId="787BED32"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1 023,0</w:t>
            </w:r>
          </w:p>
        </w:tc>
        <w:tc>
          <w:tcPr>
            <w:tcW w:w="259" w:type="pct"/>
            <w:vAlign w:val="bottom"/>
          </w:tcPr>
          <w:p w14:paraId="45477DD1" w14:textId="77777777" w:rsidR="008A656B" w:rsidRPr="001D2342" w:rsidRDefault="008A656B" w:rsidP="00851097">
            <w:pPr>
              <w:rPr>
                <w:rFonts w:ascii="Times New Roman" w:hAnsi="Times New Roman" w:cs="Times New Roman"/>
                <w:sz w:val="16"/>
                <w:szCs w:val="16"/>
              </w:rPr>
            </w:pPr>
          </w:p>
        </w:tc>
        <w:tc>
          <w:tcPr>
            <w:tcW w:w="199" w:type="pct"/>
            <w:vAlign w:val="bottom"/>
          </w:tcPr>
          <w:p w14:paraId="62B28F12" w14:textId="77777777" w:rsidR="008A656B" w:rsidRPr="001D2342" w:rsidRDefault="008A656B" w:rsidP="00851097">
            <w:pPr>
              <w:rPr>
                <w:rFonts w:ascii="Times New Roman" w:hAnsi="Times New Roman" w:cs="Times New Roman"/>
                <w:sz w:val="16"/>
                <w:szCs w:val="16"/>
              </w:rPr>
            </w:pPr>
          </w:p>
        </w:tc>
        <w:tc>
          <w:tcPr>
            <w:tcW w:w="242" w:type="pct"/>
            <w:vAlign w:val="bottom"/>
          </w:tcPr>
          <w:p w14:paraId="77277EB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1 836,0</w:t>
            </w:r>
          </w:p>
        </w:tc>
        <w:tc>
          <w:tcPr>
            <w:tcW w:w="243" w:type="pct"/>
            <w:vAlign w:val="bottom"/>
          </w:tcPr>
          <w:p w14:paraId="41349F1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2 103,0</w:t>
            </w:r>
          </w:p>
        </w:tc>
      </w:tr>
      <w:tr w:rsidR="008A656B" w:rsidRPr="001D2342" w14:paraId="3583AB79" w14:textId="77777777" w:rsidTr="00851097">
        <w:trPr>
          <w:trHeight w:val="260"/>
        </w:trPr>
        <w:tc>
          <w:tcPr>
            <w:tcW w:w="379" w:type="pct"/>
            <w:vAlign w:val="bottom"/>
          </w:tcPr>
          <w:p w14:paraId="70BD8E8A" w14:textId="77777777" w:rsidR="008A656B" w:rsidRPr="001D2342" w:rsidRDefault="008A656B" w:rsidP="00851097">
            <w:pPr>
              <w:rPr>
                <w:rFonts w:ascii="Times New Roman" w:hAnsi="Times New Roman" w:cs="Times New Roman"/>
                <w:sz w:val="16"/>
                <w:szCs w:val="16"/>
              </w:rPr>
            </w:pPr>
          </w:p>
        </w:tc>
        <w:tc>
          <w:tcPr>
            <w:tcW w:w="261" w:type="pct"/>
            <w:vAlign w:val="bottom"/>
          </w:tcPr>
          <w:p w14:paraId="33122B76" w14:textId="77777777" w:rsidR="008A656B" w:rsidRPr="001D2342" w:rsidRDefault="008A656B" w:rsidP="00851097">
            <w:pPr>
              <w:rPr>
                <w:rFonts w:ascii="Times New Roman" w:hAnsi="Times New Roman" w:cs="Times New Roman"/>
                <w:sz w:val="16"/>
                <w:szCs w:val="16"/>
              </w:rPr>
            </w:pPr>
          </w:p>
        </w:tc>
        <w:tc>
          <w:tcPr>
            <w:tcW w:w="364" w:type="pct"/>
            <w:vAlign w:val="bottom"/>
          </w:tcPr>
          <w:p w14:paraId="5B1A13EC" w14:textId="77777777" w:rsidR="008A656B" w:rsidRPr="001D2342" w:rsidRDefault="008A656B" w:rsidP="00851097">
            <w:pPr>
              <w:rPr>
                <w:rFonts w:ascii="Times New Roman" w:hAnsi="Times New Roman" w:cs="Times New Roman"/>
                <w:b/>
                <w:bCs/>
                <w:sz w:val="16"/>
                <w:szCs w:val="16"/>
              </w:rPr>
            </w:pPr>
          </w:p>
        </w:tc>
        <w:tc>
          <w:tcPr>
            <w:tcW w:w="373" w:type="pct"/>
            <w:vAlign w:val="bottom"/>
          </w:tcPr>
          <w:p w14:paraId="127B3E92" w14:textId="77777777" w:rsidR="008A656B" w:rsidRPr="001D2342" w:rsidRDefault="008A656B" w:rsidP="00851097">
            <w:pPr>
              <w:rPr>
                <w:rFonts w:ascii="Times New Roman" w:hAnsi="Times New Roman" w:cs="Times New Roman"/>
                <w:sz w:val="16"/>
                <w:szCs w:val="16"/>
              </w:rPr>
            </w:pPr>
          </w:p>
        </w:tc>
        <w:tc>
          <w:tcPr>
            <w:tcW w:w="940" w:type="pct"/>
            <w:vAlign w:val="bottom"/>
          </w:tcPr>
          <w:p w14:paraId="1D1C27DB" w14:textId="77777777" w:rsidR="008A656B" w:rsidRPr="001D2342" w:rsidRDefault="008A656B" w:rsidP="00851097">
            <w:pPr>
              <w:rPr>
                <w:rFonts w:ascii="Times New Roman" w:hAnsi="Times New Roman" w:cs="Times New Roman"/>
                <w:sz w:val="16"/>
                <w:szCs w:val="16"/>
              </w:rPr>
            </w:pPr>
          </w:p>
        </w:tc>
        <w:tc>
          <w:tcPr>
            <w:tcW w:w="201" w:type="pct"/>
            <w:shd w:val="clear" w:color="auto" w:fill="D9D9D9" w:themeFill="background1" w:themeFillShade="D9"/>
            <w:vAlign w:val="bottom"/>
          </w:tcPr>
          <w:p w14:paraId="5C31B49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153</w:t>
            </w:r>
          </w:p>
        </w:tc>
        <w:tc>
          <w:tcPr>
            <w:tcW w:w="129" w:type="pct"/>
            <w:shd w:val="clear" w:color="auto" w:fill="D9D9D9" w:themeFill="background1" w:themeFillShade="D9"/>
            <w:vAlign w:val="bottom"/>
          </w:tcPr>
          <w:p w14:paraId="79EA730D" w14:textId="77777777" w:rsidR="008A656B" w:rsidRPr="001D2342" w:rsidRDefault="008A656B" w:rsidP="00851097">
            <w:pPr>
              <w:rPr>
                <w:rFonts w:ascii="Times New Roman" w:hAnsi="Times New Roman" w:cs="Times New Roman"/>
                <w:sz w:val="16"/>
                <w:szCs w:val="16"/>
              </w:rPr>
            </w:pPr>
          </w:p>
        </w:tc>
        <w:tc>
          <w:tcPr>
            <w:tcW w:w="189" w:type="pct"/>
            <w:shd w:val="clear" w:color="auto" w:fill="D9D9D9" w:themeFill="background1" w:themeFillShade="D9"/>
            <w:vAlign w:val="bottom"/>
          </w:tcPr>
          <w:p w14:paraId="324CA446"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51</w:t>
            </w:r>
          </w:p>
        </w:tc>
        <w:tc>
          <w:tcPr>
            <w:tcW w:w="110" w:type="pct"/>
            <w:shd w:val="clear" w:color="auto" w:fill="D9D9D9" w:themeFill="background1" w:themeFillShade="D9"/>
            <w:vAlign w:val="bottom"/>
          </w:tcPr>
          <w:p w14:paraId="4146D04B" w14:textId="77777777" w:rsidR="008A656B" w:rsidRPr="001D2342" w:rsidRDefault="008A656B" w:rsidP="00851097">
            <w:pPr>
              <w:rPr>
                <w:rFonts w:ascii="Times New Roman" w:hAnsi="Times New Roman" w:cs="Times New Roman"/>
                <w:sz w:val="16"/>
                <w:szCs w:val="16"/>
              </w:rPr>
            </w:pPr>
          </w:p>
        </w:tc>
        <w:tc>
          <w:tcPr>
            <w:tcW w:w="192" w:type="pct"/>
            <w:shd w:val="clear" w:color="auto" w:fill="D9D9D9" w:themeFill="background1" w:themeFillShade="D9"/>
            <w:vAlign w:val="bottom"/>
          </w:tcPr>
          <w:p w14:paraId="54B1B64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64</w:t>
            </w:r>
          </w:p>
        </w:tc>
        <w:tc>
          <w:tcPr>
            <w:tcW w:w="678" w:type="pct"/>
            <w:shd w:val="clear" w:color="auto" w:fill="D9D9D9" w:themeFill="background1" w:themeFillShade="D9"/>
            <w:vAlign w:val="bottom"/>
          </w:tcPr>
          <w:p w14:paraId="40AB4E69"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06EBF2F5"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957,0</w:t>
            </w:r>
          </w:p>
        </w:tc>
        <w:tc>
          <w:tcPr>
            <w:tcW w:w="259" w:type="pct"/>
            <w:shd w:val="clear" w:color="auto" w:fill="D9D9D9" w:themeFill="background1" w:themeFillShade="D9"/>
            <w:vAlign w:val="bottom"/>
          </w:tcPr>
          <w:p w14:paraId="24D44832" w14:textId="77777777" w:rsidR="008A656B" w:rsidRPr="001D2342" w:rsidRDefault="008A656B" w:rsidP="00851097">
            <w:pPr>
              <w:rPr>
                <w:rFonts w:ascii="Times New Roman" w:hAnsi="Times New Roman" w:cs="Times New Roman"/>
                <w:sz w:val="16"/>
                <w:szCs w:val="16"/>
              </w:rPr>
            </w:pPr>
          </w:p>
        </w:tc>
        <w:tc>
          <w:tcPr>
            <w:tcW w:w="199" w:type="pct"/>
            <w:shd w:val="clear" w:color="auto" w:fill="D9D9D9" w:themeFill="background1" w:themeFillShade="D9"/>
            <w:vAlign w:val="bottom"/>
          </w:tcPr>
          <w:p w14:paraId="7EE25990"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4C92DA61"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1 589,0</w:t>
            </w:r>
          </w:p>
        </w:tc>
        <w:tc>
          <w:tcPr>
            <w:tcW w:w="243" w:type="pct"/>
            <w:shd w:val="clear" w:color="auto" w:fill="D9D9D9" w:themeFill="background1" w:themeFillShade="D9"/>
            <w:vAlign w:val="bottom"/>
          </w:tcPr>
          <w:p w14:paraId="38D098D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1 812,0</w:t>
            </w:r>
          </w:p>
        </w:tc>
      </w:tr>
      <w:tr w:rsidR="008A656B" w:rsidRPr="001D2342" w14:paraId="4C6B9E22" w14:textId="77777777" w:rsidTr="00851097">
        <w:trPr>
          <w:trHeight w:val="260"/>
        </w:trPr>
        <w:tc>
          <w:tcPr>
            <w:tcW w:w="379" w:type="pct"/>
            <w:vAlign w:val="bottom"/>
          </w:tcPr>
          <w:p w14:paraId="17560C1D" w14:textId="77777777" w:rsidR="008A656B" w:rsidRPr="001D2342" w:rsidRDefault="008A656B" w:rsidP="00851097">
            <w:pPr>
              <w:rPr>
                <w:rFonts w:ascii="Times New Roman" w:hAnsi="Times New Roman" w:cs="Times New Roman"/>
                <w:sz w:val="16"/>
                <w:szCs w:val="16"/>
              </w:rPr>
            </w:pPr>
          </w:p>
        </w:tc>
        <w:tc>
          <w:tcPr>
            <w:tcW w:w="261" w:type="pct"/>
            <w:vAlign w:val="bottom"/>
          </w:tcPr>
          <w:p w14:paraId="5B1B6F21" w14:textId="77777777" w:rsidR="008A656B" w:rsidRPr="001D2342" w:rsidRDefault="008A656B" w:rsidP="00851097">
            <w:pPr>
              <w:rPr>
                <w:rFonts w:ascii="Times New Roman" w:hAnsi="Times New Roman" w:cs="Times New Roman"/>
                <w:sz w:val="16"/>
                <w:szCs w:val="16"/>
              </w:rPr>
            </w:pPr>
          </w:p>
        </w:tc>
        <w:tc>
          <w:tcPr>
            <w:tcW w:w="364" w:type="pct"/>
            <w:vAlign w:val="bottom"/>
          </w:tcPr>
          <w:p w14:paraId="4683207A"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Itālija</w:t>
            </w:r>
          </w:p>
        </w:tc>
        <w:tc>
          <w:tcPr>
            <w:tcW w:w="373" w:type="pct"/>
            <w:vAlign w:val="bottom"/>
          </w:tcPr>
          <w:p w14:paraId="2F81B9D8"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(Sette et al., 2010)</w:t>
            </w:r>
          </w:p>
        </w:tc>
        <w:tc>
          <w:tcPr>
            <w:tcW w:w="940" w:type="pct"/>
            <w:vAlign w:val="bottom"/>
          </w:tcPr>
          <w:p w14:paraId="1EC35EE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Secīgi 3 dienu uztura pieraksti</w:t>
            </w:r>
          </w:p>
        </w:tc>
        <w:tc>
          <w:tcPr>
            <w:tcW w:w="201" w:type="pct"/>
            <w:vAlign w:val="bottom"/>
          </w:tcPr>
          <w:p w14:paraId="481D5A34"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1 068</w:t>
            </w:r>
          </w:p>
        </w:tc>
        <w:tc>
          <w:tcPr>
            <w:tcW w:w="129" w:type="pct"/>
            <w:vAlign w:val="bottom"/>
          </w:tcPr>
          <w:p w14:paraId="291A47E5" w14:textId="77777777" w:rsidR="008A656B" w:rsidRPr="001D2342" w:rsidRDefault="008A656B" w:rsidP="00851097">
            <w:pPr>
              <w:rPr>
                <w:rFonts w:ascii="Times New Roman" w:hAnsi="Times New Roman" w:cs="Times New Roman"/>
                <w:sz w:val="16"/>
                <w:szCs w:val="16"/>
              </w:rPr>
            </w:pPr>
          </w:p>
        </w:tc>
        <w:tc>
          <w:tcPr>
            <w:tcW w:w="189" w:type="pct"/>
            <w:vAlign w:val="bottom"/>
          </w:tcPr>
          <w:p w14:paraId="7044EF36"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18</w:t>
            </w:r>
          </w:p>
        </w:tc>
        <w:tc>
          <w:tcPr>
            <w:tcW w:w="110" w:type="pct"/>
            <w:vAlign w:val="bottom"/>
          </w:tcPr>
          <w:p w14:paraId="1F99CE59" w14:textId="77777777" w:rsidR="008A656B" w:rsidRPr="001D2342" w:rsidRDefault="008A656B" w:rsidP="00851097">
            <w:pPr>
              <w:pStyle w:val="Default"/>
              <w:rPr>
                <w:sz w:val="16"/>
                <w:szCs w:val="16"/>
              </w:rPr>
            </w:pPr>
            <w:r>
              <w:rPr>
                <w:sz w:val="16"/>
              </w:rPr>
              <w:t xml:space="preserve">&lt; </w:t>
            </w:r>
          </w:p>
        </w:tc>
        <w:tc>
          <w:tcPr>
            <w:tcW w:w="192" w:type="pct"/>
            <w:vAlign w:val="bottom"/>
          </w:tcPr>
          <w:p w14:paraId="6A8DFD2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65</w:t>
            </w:r>
          </w:p>
        </w:tc>
        <w:tc>
          <w:tcPr>
            <w:tcW w:w="678" w:type="pct"/>
            <w:vAlign w:val="bottom"/>
          </w:tcPr>
          <w:p w14:paraId="6436A72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Ieskaitot bagātinātu pārtiku</w:t>
            </w:r>
          </w:p>
        </w:tc>
        <w:tc>
          <w:tcPr>
            <w:tcW w:w="242" w:type="pct"/>
            <w:vAlign w:val="bottom"/>
          </w:tcPr>
          <w:p w14:paraId="1FB83E8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799,0</w:t>
            </w:r>
          </w:p>
        </w:tc>
        <w:tc>
          <w:tcPr>
            <w:tcW w:w="259" w:type="pct"/>
            <w:vAlign w:val="bottom"/>
          </w:tcPr>
          <w:p w14:paraId="7A442220" w14:textId="77777777" w:rsidR="008A656B" w:rsidRPr="001D2342" w:rsidRDefault="008A656B" w:rsidP="00851097">
            <w:pPr>
              <w:rPr>
                <w:rFonts w:ascii="Times New Roman" w:hAnsi="Times New Roman" w:cs="Times New Roman"/>
                <w:sz w:val="16"/>
                <w:szCs w:val="16"/>
              </w:rPr>
            </w:pPr>
          </w:p>
        </w:tc>
        <w:tc>
          <w:tcPr>
            <w:tcW w:w="199" w:type="pct"/>
            <w:vAlign w:val="bottom"/>
          </w:tcPr>
          <w:p w14:paraId="22DE1858" w14:textId="77777777" w:rsidR="008A656B" w:rsidRPr="001D2342" w:rsidRDefault="008A656B" w:rsidP="00851097">
            <w:pPr>
              <w:rPr>
                <w:rFonts w:ascii="Times New Roman" w:hAnsi="Times New Roman" w:cs="Times New Roman"/>
                <w:sz w:val="16"/>
                <w:szCs w:val="16"/>
              </w:rPr>
            </w:pPr>
          </w:p>
        </w:tc>
        <w:tc>
          <w:tcPr>
            <w:tcW w:w="242" w:type="pct"/>
            <w:vAlign w:val="bottom"/>
          </w:tcPr>
          <w:p w14:paraId="3D589F0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1 433,0</w:t>
            </w:r>
          </w:p>
        </w:tc>
        <w:tc>
          <w:tcPr>
            <w:tcW w:w="243" w:type="pct"/>
            <w:vAlign w:val="bottom"/>
          </w:tcPr>
          <w:p w14:paraId="0BDA2FE2" w14:textId="77777777" w:rsidR="008A656B" w:rsidRPr="001D2342" w:rsidRDefault="008A656B" w:rsidP="00851097">
            <w:pPr>
              <w:rPr>
                <w:rFonts w:ascii="Times New Roman" w:hAnsi="Times New Roman" w:cs="Times New Roman"/>
                <w:sz w:val="16"/>
                <w:szCs w:val="16"/>
              </w:rPr>
            </w:pPr>
          </w:p>
        </w:tc>
      </w:tr>
      <w:tr w:rsidR="008A656B" w:rsidRPr="001D2342" w14:paraId="3A08F340" w14:textId="77777777" w:rsidTr="00851097">
        <w:trPr>
          <w:trHeight w:val="260"/>
        </w:trPr>
        <w:tc>
          <w:tcPr>
            <w:tcW w:w="379" w:type="pct"/>
            <w:vAlign w:val="bottom"/>
          </w:tcPr>
          <w:p w14:paraId="579E5E8F" w14:textId="77777777" w:rsidR="008A656B" w:rsidRPr="001D2342" w:rsidRDefault="008A656B" w:rsidP="00851097">
            <w:pPr>
              <w:rPr>
                <w:rFonts w:ascii="Times New Roman" w:hAnsi="Times New Roman" w:cs="Times New Roman"/>
                <w:sz w:val="16"/>
                <w:szCs w:val="16"/>
              </w:rPr>
            </w:pPr>
          </w:p>
        </w:tc>
        <w:tc>
          <w:tcPr>
            <w:tcW w:w="261" w:type="pct"/>
            <w:vAlign w:val="bottom"/>
          </w:tcPr>
          <w:p w14:paraId="719E767A" w14:textId="77777777" w:rsidR="008A656B" w:rsidRPr="001D2342" w:rsidRDefault="008A656B" w:rsidP="00851097">
            <w:pPr>
              <w:rPr>
                <w:rFonts w:ascii="Times New Roman" w:hAnsi="Times New Roman" w:cs="Times New Roman"/>
                <w:sz w:val="16"/>
                <w:szCs w:val="16"/>
              </w:rPr>
            </w:pPr>
          </w:p>
        </w:tc>
        <w:tc>
          <w:tcPr>
            <w:tcW w:w="364" w:type="pct"/>
            <w:vAlign w:val="bottom"/>
          </w:tcPr>
          <w:p w14:paraId="6734210D" w14:textId="77777777" w:rsidR="008A656B" w:rsidRPr="001D2342" w:rsidRDefault="008A656B" w:rsidP="00851097">
            <w:pPr>
              <w:rPr>
                <w:rFonts w:ascii="Times New Roman" w:hAnsi="Times New Roman" w:cs="Times New Roman"/>
                <w:b/>
                <w:bCs/>
                <w:sz w:val="16"/>
                <w:szCs w:val="16"/>
              </w:rPr>
            </w:pPr>
          </w:p>
        </w:tc>
        <w:tc>
          <w:tcPr>
            <w:tcW w:w="373" w:type="pct"/>
            <w:vAlign w:val="bottom"/>
          </w:tcPr>
          <w:p w14:paraId="55E4DDF1" w14:textId="77777777" w:rsidR="008A656B" w:rsidRPr="001D2342" w:rsidRDefault="008A656B" w:rsidP="00851097">
            <w:pPr>
              <w:rPr>
                <w:rFonts w:ascii="Times New Roman" w:hAnsi="Times New Roman" w:cs="Times New Roman"/>
                <w:sz w:val="16"/>
                <w:szCs w:val="16"/>
              </w:rPr>
            </w:pPr>
          </w:p>
        </w:tc>
        <w:tc>
          <w:tcPr>
            <w:tcW w:w="940" w:type="pct"/>
            <w:vAlign w:val="bottom"/>
          </w:tcPr>
          <w:p w14:paraId="482347CF" w14:textId="77777777" w:rsidR="008A656B" w:rsidRPr="001D2342" w:rsidRDefault="008A656B" w:rsidP="00851097">
            <w:pPr>
              <w:rPr>
                <w:rFonts w:ascii="Times New Roman" w:hAnsi="Times New Roman" w:cs="Times New Roman"/>
                <w:sz w:val="16"/>
                <w:szCs w:val="16"/>
              </w:rPr>
            </w:pPr>
          </w:p>
        </w:tc>
        <w:tc>
          <w:tcPr>
            <w:tcW w:w="201" w:type="pct"/>
            <w:shd w:val="clear" w:color="auto" w:fill="D9D9D9" w:themeFill="background1" w:themeFillShade="D9"/>
            <w:vAlign w:val="bottom"/>
          </w:tcPr>
          <w:p w14:paraId="0C86A13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202</w:t>
            </w:r>
          </w:p>
        </w:tc>
        <w:tc>
          <w:tcPr>
            <w:tcW w:w="129" w:type="pct"/>
            <w:shd w:val="clear" w:color="auto" w:fill="D9D9D9" w:themeFill="background1" w:themeFillShade="D9"/>
            <w:vAlign w:val="bottom"/>
          </w:tcPr>
          <w:p w14:paraId="23E2E291" w14:textId="77777777" w:rsidR="008A656B" w:rsidRPr="001D2342" w:rsidRDefault="008A656B" w:rsidP="00851097">
            <w:pPr>
              <w:rPr>
                <w:rFonts w:ascii="Times New Roman" w:hAnsi="Times New Roman" w:cs="Times New Roman"/>
                <w:sz w:val="16"/>
                <w:szCs w:val="16"/>
              </w:rPr>
            </w:pPr>
          </w:p>
        </w:tc>
        <w:tc>
          <w:tcPr>
            <w:tcW w:w="189" w:type="pct"/>
            <w:shd w:val="clear" w:color="auto" w:fill="D9D9D9" w:themeFill="background1" w:themeFillShade="D9"/>
            <w:vAlign w:val="bottom"/>
          </w:tcPr>
          <w:p w14:paraId="521AA1A0"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65</w:t>
            </w:r>
          </w:p>
        </w:tc>
        <w:tc>
          <w:tcPr>
            <w:tcW w:w="110" w:type="pct"/>
            <w:shd w:val="clear" w:color="auto" w:fill="D9D9D9" w:themeFill="background1" w:themeFillShade="D9"/>
            <w:vAlign w:val="bottom"/>
          </w:tcPr>
          <w:p w14:paraId="62B765DE" w14:textId="77777777" w:rsidR="008A656B" w:rsidRPr="001D2342" w:rsidRDefault="008A656B" w:rsidP="00851097">
            <w:pPr>
              <w:rPr>
                <w:rFonts w:ascii="Times New Roman" w:hAnsi="Times New Roman" w:cs="Times New Roman"/>
                <w:sz w:val="16"/>
                <w:szCs w:val="16"/>
              </w:rPr>
            </w:pPr>
          </w:p>
        </w:tc>
        <w:tc>
          <w:tcPr>
            <w:tcW w:w="192" w:type="pct"/>
            <w:shd w:val="clear" w:color="auto" w:fill="D9D9D9" w:themeFill="background1" w:themeFillShade="D9"/>
            <w:vAlign w:val="bottom"/>
          </w:tcPr>
          <w:p w14:paraId="30CBE152"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99</w:t>
            </w:r>
          </w:p>
        </w:tc>
        <w:tc>
          <w:tcPr>
            <w:tcW w:w="678" w:type="pct"/>
            <w:shd w:val="clear" w:color="auto" w:fill="D9D9D9" w:themeFill="background1" w:themeFillShade="D9"/>
            <w:vAlign w:val="bottom"/>
          </w:tcPr>
          <w:p w14:paraId="188FE14E"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Ieskaitot bagātinātu pārtiku</w:t>
            </w:r>
          </w:p>
        </w:tc>
        <w:tc>
          <w:tcPr>
            <w:tcW w:w="242" w:type="pct"/>
            <w:shd w:val="clear" w:color="auto" w:fill="D9D9D9" w:themeFill="background1" w:themeFillShade="D9"/>
            <w:vAlign w:val="bottom"/>
          </w:tcPr>
          <w:p w14:paraId="62C330FF"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825,0</w:t>
            </w:r>
          </w:p>
        </w:tc>
        <w:tc>
          <w:tcPr>
            <w:tcW w:w="259" w:type="pct"/>
            <w:shd w:val="clear" w:color="auto" w:fill="D9D9D9" w:themeFill="background1" w:themeFillShade="D9"/>
            <w:vAlign w:val="bottom"/>
          </w:tcPr>
          <w:p w14:paraId="753B814C" w14:textId="77777777" w:rsidR="008A656B" w:rsidRPr="001D2342" w:rsidRDefault="008A656B" w:rsidP="00851097">
            <w:pPr>
              <w:rPr>
                <w:rFonts w:ascii="Times New Roman" w:hAnsi="Times New Roman" w:cs="Times New Roman"/>
                <w:sz w:val="16"/>
                <w:szCs w:val="16"/>
              </w:rPr>
            </w:pPr>
          </w:p>
        </w:tc>
        <w:tc>
          <w:tcPr>
            <w:tcW w:w="199" w:type="pct"/>
            <w:shd w:val="clear" w:color="auto" w:fill="D9D9D9" w:themeFill="background1" w:themeFillShade="D9"/>
            <w:vAlign w:val="bottom"/>
          </w:tcPr>
          <w:p w14:paraId="06DC3893"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49730B89"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1 403,0</w:t>
            </w:r>
          </w:p>
        </w:tc>
        <w:tc>
          <w:tcPr>
            <w:tcW w:w="243" w:type="pct"/>
            <w:shd w:val="clear" w:color="auto" w:fill="D9D9D9" w:themeFill="background1" w:themeFillShade="D9"/>
            <w:vAlign w:val="bottom"/>
          </w:tcPr>
          <w:p w14:paraId="5D8E6015" w14:textId="77777777" w:rsidR="008A656B" w:rsidRPr="001D2342" w:rsidRDefault="008A656B" w:rsidP="00851097">
            <w:pPr>
              <w:rPr>
                <w:rFonts w:ascii="Times New Roman" w:hAnsi="Times New Roman" w:cs="Times New Roman"/>
                <w:sz w:val="16"/>
                <w:szCs w:val="16"/>
              </w:rPr>
            </w:pPr>
          </w:p>
        </w:tc>
      </w:tr>
      <w:tr w:rsidR="008A656B" w:rsidRPr="001D2342" w14:paraId="695B60A7" w14:textId="77777777" w:rsidTr="00851097">
        <w:trPr>
          <w:trHeight w:val="260"/>
        </w:trPr>
        <w:tc>
          <w:tcPr>
            <w:tcW w:w="379" w:type="pct"/>
            <w:vAlign w:val="bottom"/>
          </w:tcPr>
          <w:p w14:paraId="0468AE21" w14:textId="77777777" w:rsidR="008A656B" w:rsidRPr="001D2342" w:rsidRDefault="008A656B" w:rsidP="00851097">
            <w:pPr>
              <w:rPr>
                <w:rFonts w:ascii="Times New Roman" w:hAnsi="Times New Roman" w:cs="Times New Roman"/>
                <w:sz w:val="16"/>
                <w:szCs w:val="16"/>
              </w:rPr>
            </w:pPr>
          </w:p>
        </w:tc>
        <w:tc>
          <w:tcPr>
            <w:tcW w:w="261" w:type="pct"/>
            <w:vAlign w:val="bottom"/>
          </w:tcPr>
          <w:p w14:paraId="3EECCD3A" w14:textId="77777777" w:rsidR="008A656B" w:rsidRPr="001D2342" w:rsidRDefault="008A656B" w:rsidP="00851097">
            <w:pPr>
              <w:rPr>
                <w:rFonts w:ascii="Times New Roman" w:hAnsi="Times New Roman" w:cs="Times New Roman"/>
                <w:sz w:val="16"/>
                <w:szCs w:val="16"/>
              </w:rPr>
            </w:pPr>
          </w:p>
        </w:tc>
        <w:tc>
          <w:tcPr>
            <w:tcW w:w="364" w:type="pct"/>
            <w:vAlign w:val="bottom"/>
          </w:tcPr>
          <w:p w14:paraId="1D8A0E7A"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Polija</w:t>
            </w:r>
          </w:p>
        </w:tc>
        <w:tc>
          <w:tcPr>
            <w:tcW w:w="373" w:type="pct"/>
            <w:vAlign w:val="bottom"/>
          </w:tcPr>
          <w:p w14:paraId="545A2115"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(Flynn et al., 2009)</w:t>
            </w:r>
          </w:p>
        </w:tc>
        <w:tc>
          <w:tcPr>
            <w:tcW w:w="940" w:type="pct"/>
            <w:vAlign w:val="bottom"/>
          </w:tcPr>
          <w:p w14:paraId="20B3F667"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24 stundu atcerēšanās anketa</w:t>
            </w:r>
          </w:p>
        </w:tc>
        <w:tc>
          <w:tcPr>
            <w:tcW w:w="201" w:type="pct"/>
            <w:vAlign w:val="bottom"/>
          </w:tcPr>
          <w:p w14:paraId="330083BE"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1 324</w:t>
            </w:r>
          </w:p>
        </w:tc>
        <w:tc>
          <w:tcPr>
            <w:tcW w:w="129" w:type="pct"/>
            <w:vAlign w:val="bottom"/>
          </w:tcPr>
          <w:p w14:paraId="35CADDF3" w14:textId="77777777" w:rsidR="008A656B" w:rsidRPr="001D2342" w:rsidRDefault="008A656B" w:rsidP="00851097">
            <w:pPr>
              <w:rPr>
                <w:rFonts w:ascii="Times New Roman" w:hAnsi="Times New Roman" w:cs="Times New Roman"/>
                <w:sz w:val="16"/>
                <w:szCs w:val="16"/>
              </w:rPr>
            </w:pPr>
          </w:p>
        </w:tc>
        <w:tc>
          <w:tcPr>
            <w:tcW w:w="189" w:type="pct"/>
            <w:vAlign w:val="bottom"/>
          </w:tcPr>
          <w:p w14:paraId="42B18985"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18</w:t>
            </w:r>
          </w:p>
        </w:tc>
        <w:tc>
          <w:tcPr>
            <w:tcW w:w="110" w:type="pct"/>
            <w:vAlign w:val="bottom"/>
          </w:tcPr>
          <w:p w14:paraId="2FF58FC7" w14:textId="77777777" w:rsidR="008A656B" w:rsidRPr="001D2342" w:rsidRDefault="008A656B" w:rsidP="00851097">
            <w:pPr>
              <w:rPr>
                <w:rFonts w:ascii="Times New Roman" w:hAnsi="Times New Roman" w:cs="Times New Roman"/>
                <w:sz w:val="16"/>
                <w:szCs w:val="16"/>
              </w:rPr>
            </w:pPr>
          </w:p>
        </w:tc>
        <w:tc>
          <w:tcPr>
            <w:tcW w:w="192" w:type="pct"/>
            <w:vAlign w:val="bottom"/>
          </w:tcPr>
          <w:p w14:paraId="7A99A4A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96</w:t>
            </w:r>
          </w:p>
        </w:tc>
        <w:tc>
          <w:tcPr>
            <w:tcW w:w="678" w:type="pct"/>
            <w:vAlign w:val="bottom"/>
          </w:tcPr>
          <w:p w14:paraId="734F6373" w14:textId="77777777" w:rsidR="008A656B" w:rsidRPr="001D2342" w:rsidRDefault="008A656B" w:rsidP="00851097">
            <w:pPr>
              <w:rPr>
                <w:rFonts w:ascii="Times New Roman" w:hAnsi="Times New Roman" w:cs="Times New Roman"/>
                <w:sz w:val="16"/>
                <w:szCs w:val="16"/>
              </w:rPr>
            </w:pPr>
          </w:p>
        </w:tc>
        <w:tc>
          <w:tcPr>
            <w:tcW w:w="242" w:type="pct"/>
            <w:vAlign w:val="bottom"/>
          </w:tcPr>
          <w:p w14:paraId="47A7347A"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658,0</w:t>
            </w:r>
          </w:p>
        </w:tc>
        <w:tc>
          <w:tcPr>
            <w:tcW w:w="259" w:type="pct"/>
            <w:vAlign w:val="bottom"/>
          </w:tcPr>
          <w:p w14:paraId="74951657" w14:textId="77777777" w:rsidR="008A656B" w:rsidRPr="001D2342" w:rsidRDefault="008A656B" w:rsidP="00851097">
            <w:pPr>
              <w:rPr>
                <w:rFonts w:ascii="Times New Roman" w:hAnsi="Times New Roman" w:cs="Times New Roman"/>
                <w:sz w:val="16"/>
                <w:szCs w:val="16"/>
              </w:rPr>
            </w:pPr>
          </w:p>
        </w:tc>
        <w:tc>
          <w:tcPr>
            <w:tcW w:w="199" w:type="pct"/>
            <w:vAlign w:val="bottom"/>
          </w:tcPr>
          <w:p w14:paraId="168708A3" w14:textId="77777777" w:rsidR="008A656B" w:rsidRPr="001D2342" w:rsidRDefault="008A656B" w:rsidP="00851097">
            <w:pPr>
              <w:rPr>
                <w:rFonts w:ascii="Times New Roman" w:hAnsi="Times New Roman" w:cs="Times New Roman"/>
                <w:sz w:val="16"/>
                <w:szCs w:val="16"/>
              </w:rPr>
            </w:pPr>
          </w:p>
        </w:tc>
        <w:tc>
          <w:tcPr>
            <w:tcW w:w="242" w:type="pct"/>
            <w:vAlign w:val="bottom"/>
          </w:tcPr>
          <w:p w14:paraId="55630099"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1 428,0</w:t>
            </w:r>
          </w:p>
        </w:tc>
        <w:tc>
          <w:tcPr>
            <w:tcW w:w="243" w:type="pct"/>
            <w:vAlign w:val="bottom"/>
          </w:tcPr>
          <w:p w14:paraId="521ACDF0" w14:textId="77777777" w:rsidR="008A656B" w:rsidRPr="001D2342" w:rsidRDefault="008A656B" w:rsidP="00851097">
            <w:pPr>
              <w:rPr>
                <w:rFonts w:ascii="Times New Roman" w:hAnsi="Times New Roman" w:cs="Times New Roman"/>
                <w:sz w:val="16"/>
                <w:szCs w:val="16"/>
              </w:rPr>
            </w:pPr>
          </w:p>
        </w:tc>
      </w:tr>
      <w:tr w:rsidR="008A656B" w:rsidRPr="001D2342" w14:paraId="074B5293" w14:textId="77777777" w:rsidTr="00851097">
        <w:trPr>
          <w:trHeight w:val="260"/>
        </w:trPr>
        <w:tc>
          <w:tcPr>
            <w:tcW w:w="379" w:type="pct"/>
            <w:vAlign w:val="bottom"/>
          </w:tcPr>
          <w:p w14:paraId="7197D928" w14:textId="77777777" w:rsidR="008A656B" w:rsidRPr="001D2342" w:rsidRDefault="008A656B" w:rsidP="00851097">
            <w:pPr>
              <w:rPr>
                <w:rFonts w:ascii="Times New Roman" w:hAnsi="Times New Roman" w:cs="Times New Roman"/>
                <w:sz w:val="16"/>
                <w:szCs w:val="16"/>
              </w:rPr>
            </w:pPr>
          </w:p>
        </w:tc>
        <w:tc>
          <w:tcPr>
            <w:tcW w:w="261" w:type="pct"/>
            <w:vAlign w:val="bottom"/>
          </w:tcPr>
          <w:p w14:paraId="6972C259" w14:textId="77777777" w:rsidR="008A656B" w:rsidRPr="001D2342" w:rsidRDefault="008A656B" w:rsidP="00851097">
            <w:pPr>
              <w:rPr>
                <w:rFonts w:ascii="Times New Roman" w:hAnsi="Times New Roman" w:cs="Times New Roman"/>
                <w:sz w:val="16"/>
                <w:szCs w:val="16"/>
              </w:rPr>
            </w:pPr>
          </w:p>
        </w:tc>
        <w:tc>
          <w:tcPr>
            <w:tcW w:w="364" w:type="pct"/>
            <w:vAlign w:val="bottom"/>
          </w:tcPr>
          <w:p w14:paraId="7296C30B"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Spānija</w:t>
            </w:r>
          </w:p>
        </w:tc>
        <w:tc>
          <w:tcPr>
            <w:tcW w:w="373" w:type="pct"/>
            <w:vAlign w:val="bottom"/>
          </w:tcPr>
          <w:p w14:paraId="1CC580B9"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(Flynn et al., 2009)</w:t>
            </w:r>
          </w:p>
        </w:tc>
        <w:tc>
          <w:tcPr>
            <w:tcW w:w="940" w:type="pct"/>
            <w:vAlign w:val="bottom"/>
          </w:tcPr>
          <w:p w14:paraId="5FE7F945" w14:textId="77777777" w:rsidR="008A656B" w:rsidRPr="001D2342" w:rsidRDefault="008A656B" w:rsidP="00851097">
            <w:pPr>
              <w:pStyle w:val="Default"/>
              <w:rPr>
                <w:sz w:val="16"/>
                <w:szCs w:val="16"/>
              </w:rPr>
            </w:pPr>
            <w:r>
              <w:rPr>
                <w:sz w:val="16"/>
              </w:rPr>
              <w:t>Divas nesecīgas 24 stundu atcerēšanās anketas (vienu aizpilda visi, otru – 62 % no izlases)</w:t>
            </w:r>
          </w:p>
        </w:tc>
        <w:tc>
          <w:tcPr>
            <w:tcW w:w="201" w:type="pct"/>
            <w:vAlign w:val="bottom"/>
          </w:tcPr>
          <w:p w14:paraId="6152B185"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718</w:t>
            </w:r>
          </w:p>
        </w:tc>
        <w:tc>
          <w:tcPr>
            <w:tcW w:w="129" w:type="pct"/>
            <w:vAlign w:val="bottom"/>
          </w:tcPr>
          <w:p w14:paraId="3C7112E8" w14:textId="77777777" w:rsidR="008A656B" w:rsidRPr="001D2342" w:rsidRDefault="008A656B" w:rsidP="00851097">
            <w:pPr>
              <w:rPr>
                <w:rFonts w:ascii="Times New Roman" w:hAnsi="Times New Roman" w:cs="Times New Roman"/>
                <w:sz w:val="16"/>
                <w:szCs w:val="16"/>
              </w:rPr>
            </w:pPr>
          </w:p>
        </w:tc>
        <w:tc>
          <w:tcPr>
            <w:tcW w:w="189" w:type="pct"/>
            <w:vAlign w:val="bottom"/>
          </w:tcPr>
          <w:p w14:paraId="58EF3515"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18</w:t>
            </w:r>
          </w:p>
        </w:tc>
        <w:tc>
          <w:tcPr>
            <w:tcW w:w="110" w:type="pct"/>
            <w:vAlign w:val="bottom"/>
          </w:tcPr>
          <w:p w14:paraId="6BD4488F" w14:textId="77777777" w:rsidR="008A656B" w:rsidRPr="001D2342" w:rsidRDefault="008A656B" w:rsidP="00851097">
            <w:pPr>
              <w:rPr>
                <w:rFonts w:ascii="Times New Roman" w:hAnsi="Times New Roman" w:cs="Times New Roman"/>
                <w:sz w:val="16"/>
                <w:szCs w:val="16"/>
              </w:rPr>
            </w:pPr>
          </w:p>
        </w:tc>
        <w:tc>
          <w:tcPr>
            <w:tcW w:w="192" w:type="pct"/>
            <w:vAlign w:val="bottom"/>
          </w:tcPr>
          <w:p w14:paraId="49F07F4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64</w:t>
            </w:r>
          </w:p>
        </w:tc>
        <w:tc>
          <w:tcPr>
            <w:tcW w:w="678" w:type="pct"/>
            <w:vAlign w:val="bottom"/>
          </w:tcPr>
          <w:p w14:paraId="2A506F70"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Dati savākti Katalonijā</w:t>
            </w:r>
          </w:p>
        </w:tc>
        <w:tc>
          <w:tcPr>
            <w:tcW w:w="242" w:type="pct"/>
            <w:vAlign w:val="bottom"/>
          </w:tcPr>
          <w:p w14:paraId="6ACFD395"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821,0</w:t>
            </w:r>
          </w:p>
        </w:tc>
        <w:tc>
          <w:tcPr>
            <w:tcW w:w="259" w:type="pct"/>
            <w:vAlign w:val="bottom"/>
          </w:tcPr>
          <w:p w14:paraId="41F4E84D" w14:textId="77777777" w:rsidR="008A656B" w:rsidRPr="001D2342" w:rsidRDefault="008A656B" w:rsidP="00851097">
            <w:pPr>
              <w:rPr>
                <w:rFonts w:ascii="Times New Roman" w:hAnsi="Times New Roman" w:cs="Times New Roman"/>
                <w:sz w:val="16"/>
                <w:szCs w:val="16"/>
              </w:rPr>
            </w:pPr>
          </w:p>
        </w:tc>
        <w:tc>
          <w:tcPr>
            <w:tcW w:w="199" w:type="pct"/>
            <w:vAlign w:val="bottom"/>
          </w:tcPr>
          <w:p w14:paraId="6B809E79" w14:textId="77777777" w:rsidR="008A656B" w:rsidRPr="001D2342" w:rsidRDefault="008A656B" w:rsidP="00851097">
            <w:pPr>
              <w:rPr>
                <w:rFonts w:ascii="Times New Roman" w:hAnsi="Times New Roman" w:cs="Times New Roman"/>
                <w:sz w:val="16"/>
                <w:szCs w:val="16"/>
              </w:rPr>
            </w:pPr>
          </w:p>
        </w:tc>
        <w:tc>
          <w:tcPr>
            <w:tcW w:w="242" w:type="pct"/>
            <w:vAlign w:val="bottom"/>
          </w:tcPr>
          <w:p w14:paraId="404C7341"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1 203,0</w:t>
            </w:r>
          </w:p>
        </w:tc>
        <w:tc>
          <w:tcPr>
            <w:tcW w:w="243" w:type="pct"/>
            <w:vAlign w:val="bottom"/>
          </w:tcPr>
          <w:p w14:paraId="4FEE62A6" w14:textId="77777777" w:rsidR="008A656B" w:rsidRPr="001D2342" w:rsidRDefault="008A656B" w:rsidP="00851097">
            <w:pPr>
              <w:rPr>
                <w:rFonts w:ascii="Times New Roman" w:hAnsi="Times New Roman" w:cs="Times New Roman"/>
                <w:sz w:val="16"/>
                <w:szCs w:val="16"/>
              </w:rPr>
            </w:pPr>
          </w:p>
        </w:tc>
      </w:tr>
      <w:tr w:rsidR="008A656B" w:rsidRPr="001D2342" w14:paraId="0309E44A" w14:textId="77777777" w:rsidTr="00851097">
        <w:trPr>
          <w:trHeight w:val="260"/>
        </w:trPr>
        <w:tc>
          <w:tcPr>
            <w:tcW w:w="379" w:type="pct"/>
            <w:vAlign w:val="bottom"/>
          </w:tcPr>
          <w:p w14:paraId="6FAB83D4" w14:textId="77777777" w:rsidR="008A656B" w:rsidRPr="001D2342" w:rsidRDefault="008A656B" w:rsidP="00851097">
            <w:pPr>
              <w:rPr>
                <w:rFonts w:ascii="Times New Roman" w:hAnsi="Times New Roman" w:cs="Times New Roman"/>
                <w:sz w:val="16"/>
                <w:szCs w:val="16"/>
              </w:rPr>
            </w:pPr>
          </w:p>
        </w:tc>
        <w:tc>
          <w:tcPr>
            <w:tcW w:w="261" w:type="pct"/>
            <w:vAlign w:val="bottom"/>
          </w:tcPr>
          <w:p w14:paraId="21ED3F39" w14:textId="77777777" w:rsidR="008A656B" w:rsidRPr="001D2342" w:rsidRDefault="008A656B" w:rsidP="00851097">
            <w:pPr>
              <w:rPr>
                <w:rFonts w:ascii="Times New Roman" w:hAnsi="Times New Roman" w:cs="Times New Roman"/>
                <w:sz w:val="16"/>
                <w:szCs w:val="16"/>
              </w:rPr>
            </w:pPr>
          </w:p>
        </w:tc>
        <w:tc>
          <w:tcPr>
            <w:tcW w:w="364" w:type="pct"/>
            <w:vAlign w:val="bottom"/>
          </w:tcPr>
          <w:p w14:paraId="259F3411"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Zviedrija</w:t>
            </w:r>
          </w:p>
        </w:tc>
        <w:tc>
          <w:tcPr>
            <w:tcW w:w="373" w:type="pct"/>
            <w:vAlign w:val="bottom"/>
          </w:tcPr>
          <w:p w14:paraId="679D3927"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 xml:space="preserve">(Becker and </w:t>
            </w:r>
            <w:r>
              <w:rPr>
                <w:rFonts w:ascii="Times New Roman" w:hAnsi="Times New Roman"/>
                <w:sz w:val="16"/>
              </w:rPr>
              <w:lastRenderedPageBreak/>
              <w:t>Pearson, 2002)</w:t>
            </w:r>
          </w:p>
        </w:tc>
        <w:tc>
          <w:tcPr>
            <w:tcW w:w="940" w:type="pct"/>
            <w:vAlign w:val="bottom"/>
          </w:tcPr>
          <w:p w14:paraId="15A68A3A"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lastRenderedPageBreak/>
              <w:t>7 dienu uztura pieraksts</w:t>
            </w:r>
          </w:p>
        </w:tc>
        <w:tc>
          <w:tcPr>
            <w:tcW w:w="201" w:type="pct"/>
            <w:vAlign w:val="bottom"/>
          </w:tcPr>
          <w:p w14:paraId="31118C9E"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67</w:t>
            </w:r>
          </w:p>
        </w:tc>
        <w:tc>
          <w:tcPr>
            <w:tcW w:w="129" w:type="pct"/>
            <w:vAlign w:val="bottom"/>
          </w:tcPr>
          <w:p w14:paraId="094C500F" w14:textId="77777777" w:rsidR="008A656B" w:rsidRPr="001D2342" w:rsidRDefault="008A656B" w:rsidP="00851097">
            <w:pPr>
              <w:rPr>
                <w:rFonts w:ascii="Times New Roman" w:hAnsi="Times New Roman" w:cs="Times New Roman"/>
                <w:sz w:val="16"/>
                <w:szCs w:val="16"/>
              </w:rPr>
            </w:pPr>
          </w:p>
        </w:tc>
        <w:tc>
          <w:tcPr>
            <w:tcW w:w="189" w:type="pct"/>
            <w:vAlign w:val="bottom"/>
          </w:tcPr>
          <w:p w14:paraId="4FA80DF0"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17</w:t>
            </w:r>
          </w:p>
        </w:tc>
        <w:tc>
          <w:tcPr>
            <w:tcW w:w="110" w:type="pct"/>
            <w:vAlign w:val="bottom"/>
          </w:tcPr>
          <w:p w14:paraId="7D2B9CC1" w14:textId="77777777" w:rsidR="008A656B" w:rsidRPr="001D2342" w:rsidRDefault="008A656B" w:rsidP="00851097">
            <w:pPr>
              <w:rPr>
                <w:rFonts w:ascii="Times New Roman" w:hAnsi="Times New Roman" w:cs="Times New Roman"/>
                <w:sz w:val="16"/>
                <w:szCs w:val="16"/>
              </w:rPr>
            </w:pPr>
          </w:p>
        </w:tc>
        <w:tc>
          <w:tcPr>
            <w:tcW w:w="192" w:type="pct"/>
            <w:vAlign w:val="bottom"/>
          </w:tcPr>
          <w:p w14:paraId="0D299FE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24</w:t>
            </w:r>
          </w:p>
        </w:tc>
        <w:tc>
          <w:tcPr>
            <w:tcW w:w="678" w:type="pct"/>
            <w:vAlign w:val="bottom"/>
          </w:tcPr>
          <w:p w14:paraId="10E7800A" w14:textId="77777777" w:rsidR="008A656B" w:rsidRPr="001D2342" w:rsidRDefault="008A656B" w:rsidP="00851097">
            <w:pPr>
              <w:rPr>
                <w:rFonts w:ascii="Times New Roman" w:hAnsi="Times New Roman" w:cs="Times New Roman"/>
                <w:sz w:val="16"/>
                <w:szCs w:val="16"/>
              </w:rPr>
            </w:pPr>
          </w:p>
        </w:tc>
        <w:tc>
          <w:tcPr>
            <w:tcW w:w="242" w:type="pct"/>
            <w:vAlign w:val="bottom"/>
          </w:tcPr>
          <w:p w14:paraId="1C27B86E"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1 201,0</w:t>
            </w:r>
          </w:p>
        </w:tc>
        <w:tc>
          <w:tcPr>
            <w:tcW w:w="259" w:type="pct"/>
            <w:vAlign w:val="bottom"/>
          </w:tcPr>
          <w:p w14:paraId="3ADB21AA" w14:textId="77777777" w:rsidR="008A656B" w:rsidRPr="001D2342" w:rsidRDefault="008A656B" w:rsidP="00851097">
            <w:pPr>
              <w:rPr>
                <w:rFonts w:ascii="Times New Roman" w:hAnsi="Times New Roman" w:cs="Times New Roman"/>
                <w:sz w:val="16"/>
                <w:szCs w:val="16"/>
              </w:rPr>
            </w:pPr>
          </w:p>
        </w:tc>
        <w:tc>
          <w:tcPr>
            <w:tcW w:w="199" w:type="pct"/>
            <w:vAlign w:val="bottom"/>
          </w:tcPr>
          <w:p w14:paraId="03A73819" w14:textId="77777777" w:rsidR="008A656B" w:rsidRPr="001D2342" w:rsidRDefault="008A656B" w:rsidP="00851097">
            <w:pPr>
              <w:rPr>
                <w:rFonts w:ascii="Times New Roman" w:hAnsi="Times New Roman" w:cs="Times New Roman"/>
                <w:sz w:val="16"/>
                <w:szCs w:val="16"/>
              </w:rPr>
            </w:pPr>
          </w:p>
        </w:tc>
        <w:tc>
          <w:tcPr>
            <w:tcW w:w="242" w:type="pct"/>
            <w:vAlign w:val="bottom"/>
          </w:tcPr>
          <w:p w14:paraId="411FD98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2 073,0</w:t>
            </w:r>
          </w:p>
        </w:tc>
        <w:tc>
          <w:tcPr>
            <w:tcW w:w="243" w:type="pct"/>
            <w:vAlign w:val="bottom"/>
          </w:tcPr>
          <w:p w14:paraId="7DE987C1" w14:textId="77777777" w:rsidR="008A656B" w:rsidRPr="001D2342" w:rsidRDefault="008A656B" w:rsidP="00851097">
            <w:pPr>
              <w:rPr>
                <w:rFonts w:ascii="Times New Roman" w:hAnsi="Times New Roman" w:cs="Times New Roman"/>
                <w:sz w:val="16"/>
                <w:szCs w:val="16"/>
              </w:rPr>
            </w:pPr>
          </w:p>
        </w:tc>
      </w:tr>
      <w:tr w:rsidR="008A656B" w:rsidRPr="001D2342" w14:paraId="54DAAA12" w14:textId="77777777" w:rsidTr="00851097">
        <w:trPr>
          <w:trHeight w:val="260"/>
        </w:trPr>
        <w:tc>
          <w:tcPr>
            <w:tcW w:w="379" w:type="pct"/>
            <w:vAlign w:val="bottom"/>
          </w:tcPr>
          <w:p w14:paraId="2D879106" w14:textId="77777777" w:rsidR="008A656B" w:rsidRPr="001D2342" w:rsidRDefault="008A656B" w:rsidP="00851097">
            <w:pPr>
              <w:rPr>
                <w:rFonts w:ascii="Times New Roman" w:hAnsi="Times New Roman" w:cs="Times New Roman"/>
                <w:sz w:val="16"/>
                <w:szCs w:val="16"/>
              </w:rPr>
            </w:pPr>
          </w:p>
        </w:tc>
        <w:tc>
          <w:tcPr>
            <w:tcW w:w="261" w:type="pct"/>
            <w:vAlign w:val="bottom"/>
          </w:tcPr>
          <w:p w14:paraId="44D3581E" w14:textId="77777777" w:rsidR="008A656B" w:rsidRPr="001D2342" w:rsidRDefault="008A656B" w:rsidP="00851097">
            <w:pPr>
              <w:rPr>
                <w:rFonts w:ascii="Times New Roman" w:hAnsi="Times New Roman" w:cs="Times New Roman"/>
                <w:sz w:val="16"/>
                <w:szCs w:val="16"/>
              </w:rPr>
            </w:pPr>
          </w:p>
        </w:tc>
        <w:tc>
          <w:tcPr>
            <w:tcW w:w="364" w:type="pct"/>
            <w:vAlign w:val="bottom"/>
          </w:tcPr>
          <w:p w14:paraId="7AE84592" w14:textId="77777777" w:rsidR="008A656B" w:rsidRPr="001D2342" w:rsidRDefault="008A656B" w:rsidP="00851097">
            <w:pPr>
              <w:rPr>
                <w:rFonts w:ascii="Times New Roman" w:hAnsi="Times New Roman" w:cs="Times New Roman"/>
                <w:sz w:val="16"/>
                <w:szCs w:val="16"/>
              </w:rPr>
            </w:pPr>
          </w:p>
        </w:tc>
        <w:tc>
          <w:tcPr>
            <w:tcW w:w="373" w:type="pct"/>
            <w:vAlign w:val="bottom"/>
          </w:tcPr>
          <w:p w14:paraId="3BC1E79A" w14:textId="77777777" w:rsidR="008A656B" w:rsidRPr="001D2342" w:rsidRDefault="008A656B" w:rsidP="00851097">
            <w:pPr>
              <w:rPr>
                <w:rFonts w:ascii="Times New Roman" w:hAnsi="Times New Roman" w:cs="Times New Roman"/>
                <w:sz w:val="16"/>
                <w:szCs w:val="16"/>
              </w:rPr>
            </w:pPr>
          </w:p>
        </w:tc>
        <w:tc>
          <w:tcPr>
            <w:tcW w:w="940" w:type="pct"/>
            <w:vAlign w:val="bottom"/>
          </w:tcPr>
          <w:p w14:paraId="18DED8A3" w14:textId="77777777" w:rsidR="008A656B" w:rsidRPr="001D2342" w:rsidRDefault="008A656B" w:rsidP="00851097">
            <w:pPr>
              <w:rPr>
                <w:rFonts w:ascii="Times New Roman" w:hAnsi="Times New Roman" w:cs="Times New Roman"/>
                <w:sz w:val="16"/>
                <w:szCs w:val="16"/>
              </w:rPr>
            </w:pPr>
          </w:p>
        </w:tc>
        <w:tc>
          <w:tcPr>
            <w:tcW w:w="201" w:type="pct"/>
            <w:vAlign w:val="bottom"/>
          </w:tcPr>
          <w:p w14:paraId="3829A8F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128</w:t>
            </w:r>
          </w:p>
        </w:tc>
        <w:tc>
          <w:tcPr>
            <w:tcW w:w="129" w:type="pct"/>
            <w:vAlign w:val="bottom"/>
          </w:tcPr>
          <w:p w14:paraId="314353E9" w14:textId="77777777" w:rsidR="008A656B" w:rsidRPr="001D2342" w:rsidRDefault="008A656B" w:rsidP="00851097">
            <w:pPr>
              <w:rPr>
                <w:rFonts w:ascii="Times New Roman" w:hAnsi="Times New Roman" w:cs="Times New Roman"/>
                <w:sz w:val="16"/>
                <w:szCs w:val="16"/>
              </w:rPr>
            </w:pPr>
          </w:p>
        </w:tc>
        <w:tc>
          <w:tcPr>
            <w:tcW w:w="189" w:type="pct"/>
            <w:vAlign w:val="bottom"/>
          </w:tcPr>
          <w:p w14:paraId="7EF6DF1E"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25</w:t>
            </w:r>
          </w:p>
        </w:tc>
        <w:tc>
          <w:tcPr>
            <w:tcW w:w="110" w:type="pct"/>
            <w:vAlign w:val="bottom"/>
          </w:tcPr>
          <w:p w14:paraId="5FDA7B0E" w14:textId="77777777" w:rsidR="008A656B" w:rsidRPr="001D2342" w:rsidRDefault="008A656B" w:rsidP="00851097">
            <w:pPr>
              <w:rPr>
                <w:rFonts w:ascii="Times New Roman" w:hAnsi="Times New Roman" w:cs="Times New Roman"/>
                <w:sz w:val="16"/>
                <w:szCs w:val="16"/>
              </w:rPr>
            </w:pPr>
          </w:p>
        </w:tc>
        <w:tc>
          <w:tcPr>
            <w:tcW w:w="192" w:type="pct"/>
            <w:vAlign w:val="bottom"/>
          </w:tcPr>
          <w:p w14:paraId="5BAFBD59"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34</w:t>
            </w:r>
          </w:p>
        </w:tc>
        <w:tc>
          <w:tcPr>
            <w:tcW w:w="678" w:type="pct"/>
            <w:vAlign w:val="bottom"/>
          </w:tcPr>
          <w:p w14:paraId="7FFFE36F" w14:textId="77777777" w:rsidR="008A656B" w:rsidRPr="001D2342" w:rsidRDefault="008A656B" w:rsidP="00851097">
            <w:pPr>
              <w:rPr>
                <w:rFonts w:ascii="Times New Roman" w:hAnsi="Times New Roman" w:cs="Times New Roman"/>
                <w:sz w:val="16"/>
                <w:szCs w:val="16"/>
              </w:rPr>
            </w:pPr>
          </w:p>
        </w:tc>
        <w:tc>
          <w:tcPr>
            <w:tcW w:w="242" w:type="pct"/>
            <w:vAlign w:val="bottom"/>
          </w:tcPr>
          <w:p w14:paraId="16C50CF1"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1 090,0</w:t>
            </w:r>
          </w:p>
        </w:tc>
        <w:tc>
          <w:tcPr>
            <w:tcW w:w="259" w:type="pct"/>
            <w:vAlign w:val="bottom"/>
          </w:tcPr>
          <w:p w14:paraId="208E3785" w14:textId="77777777" w:rsidR="008A656B" w:rsidRPr="001D2342" w:rsidRDefault="008A656B" w:rsidP="00851097">
            <w:pPr>
              <w:rPr>
                <w:rFonts w:ascii="Times New Roman" w:hAnsi="Times New Roman" w:cs="Times New Roman"/>
                <w:sz w:val="16"/>
                <w:szCs w:val="16"/>
              </w:rPr>
            </w:pPr>
          </w:p>
        </w:tc>
        <w:tc>
          <w:tcPr>
            <w:tcW w:w="199" w:type="pct"/>
            <w:vAlign w:val="bottom"/>
          </w:tcPr>
          <w:p w14:paraId="0AF4A51D" w14:textId="77777777" w:rsidR="008A656B" w:rsidRPr="001D2342" w:rsidRDefault="008A656B" w:rsidP="00851097">
            <w:pPr>
              <w:rPr>
                <w:rFonts w:ascii="Times New Roman" w:hAnsi="Times New Roman" w:cs="Times New Roman"/>
                <w:sz w:val="16"/>
                <w:szCs w:val="16"/>
              </w:rPr>
            </w:pPr>
          </w:p>
        </w:tc>
        <w:tc>
          <w:tcPr>
            <w:tcW w:w="242" w:type="pct"/>
            <w:vAlign w:val="bottom"/>
          </w:tcPr>
          <w:p w14:paraId="666EFB10"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1 719,0</w:t>
            </w:r>
          </w:p>
        </w:tc>
        <w:tc>
          <w:tcPr>
            <w:tcW w:w="243" w:type="pct"/>
            <w:vAlign w:val="bottom"/>
          </w:tcPr>
          <w:p w14:paraId="4AA27120" w14:textId="77777777" w:rsidR="008A656B" w:rsidRPr="001D2342" w:rsidRDefault="008A656B" w:rsidP="00851097">
            <w:pPr>
              <w:rPr>
                <w:rFonts w:ascii="Times New Roman" w:hAnsi="Times New Roman" w:cs="Times New Roman"/>
                <w:sz w:val="16"/>
                <w:szCs w:val="16"/>
              </w:rPr>
            </w:pPr>
          </w:p>
        </w:tc>
      </w:tr>
      <w:tr w:rsidR="008A656B" w:rsidRPr="001D2342" w14:paraId="624B06E4" w14:textId="77777777" w:rsidTr="00851097">
        <w:trPr>
          <w:trHeight w:val="260"/>
        </w:trPr>
        <w:tc>
          <w:tcPr>
            <w:tcW w:w="379" w:type="pct"/>
            <w:vAlign w:val="bottom"/>
          </w:tcPr>
          <w:p w14:paraId="63BB5F63" w14:textId="77777777" w:rsidR="008A656B" w:rsidRPr="001D2342" w:rsidRDefault="008A656B" w:rsidP="00851097">
            <w:pPr>
              <w:rPr>
                <w:rFonts w:ascii="Times New Roman" w:hAnsi="Times New Roman" w:cs="Times New Roman"/>
                <w:sz w:val="16"/>
                <w:szCs w:val="16"/>
              </w:rPr>
            </w:pPr>
          </w:p>
        </w:tc>
        <w:tc>
          <w:tcPr>
            <w:tcW w:w="261" w:type="pct"/>
            <w:vAlign w:val="bottom"/>
          </w:tcPr>
          <w:p w14:paraId="2647338E" w14:textId="77777777" w:rsidR="008A656B" w:rsidRPr="001D2342" w:rsidRDefault="008A656B" w:rsidP="00851097">
            <w:pPr>
              <w:rPr>
                <w:rFonts w:ascii="Times New Roman" w:hAnsi="Times New Roman" w:cs="Times New Roman"/>
                <w:sz w:val="16"/>
                <w:szCs w:val="16"/>
              </w:rPr>
            </w:pPr>
          </w:p>
        </w:tc>
        <w:tc>
          <w:tcPr>
            <w:tcW w:w="364" w:type="pct"/>
            <w:vAlign w:val="bottom"/>
          </w:tcPr>
          <w:p w14:paraId="14919938" w14:textId="77777777" w:rsidR="008A656B" w:rsidRPr="001D2342" w:rsidRDefault="008A656B" w:rsidP="00851097">
            <w:pPr>
              <w:rPr>
                <w:rFonts w:ascii="Times New Roman" w:hAnsi="Times New Roman" w:cs="Times New Roman"/>
                <w:sz w:val="16"/>
                <w:szCs w:val="16"/>
              </w:rPr>
            </w:pPr>
          </w:p>
        </w:tc>
        <w:tc>
          <w:tcPr>
            <w:tcW w:w="373" w:type="pct"/>
            <w:vAlign w:val="bottom"/>
          </w:tcPr>
          <w:p w14:paraId="30AFA986" w14:textId="77777777" w:rsidR="008A656B" w:rsidRPr="001D2342" w:rsidRDefault="008A656B" w:rsidP="00851097">
            <w:pPr>
              <w:rPr>
                <w:rFonts w:ascii="Times New Roman" w:hAnsi="Times New Roman" w:cs="Times New Roman"/>
                <w:sz w:val="16"/>
                <w:szCs w:val="16"/>
              </w:rPr>
            </w:pPr>
          </w:p>
        </w:tc>
        <w:tc>
          <w:tcPr>
            <w:tcW w:w="940" w:type="pct"/>
            <w:vAlign w:val="bottom"/>
          </w:tcPr>
          <w:p w14:paraId="5E074BA6" w14:textId="77777777" w:rsidR="008A656B" w:rsidRPr="001D2342" w:rsidRDefault="008A656B" w:rsidP="00851097">
            <w:pPr>
              <w:rPr>
                <w:rFonts w:ascii="Times New Roman" w:hAnsi="Times New Roman" w:cs="Times New Roman"/>
                <w:sz w:val="16"/>
                <w:szCs w:val="16"/>
              </w:rPr>
            </w:pPr>
          </w:p>
        </w:tc>
        <w:tc>
          <w:tcPr>
            <w:tcW w:w="201" w:type="pct"/>
            <w:vAlign w:val="bottom"/>
          </w:tcPr>
          <w:p w14:paraId="58EE1491"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143</w:t>
            </w:r>
          </w:p>
        </w:tc>
        <w:tc>
          <w:tcPr>
            <w:tcW w:w="129" w:type="pct"/>
            <w:vAlign w:val="bottom"/>
          </w:tcPr>
          <w:p w14:paraId="4097E2C8" w14:textId="77777777" w:rsidR="008A656B" w:rsidRPr="001D2342" w:rsidRDefault="008A656B" w:rsidP="00851097">
            <w:pPr>
              <w:rPr>
                <w:rFonts w:ascii="Times New Roman" w:hAnsi="Times New Roman" w:cs="Times New Roman"/>
                <w:sz w:val="16"/>
                <w:szCs w:val="16"/>
              </w:rPr>
            </w:pPr>
          </w:p>
        </w:tc>
        <w:tc>
          <w:tcPr>
            <w:tcW w:w="189" w:type="pct"/>
            <w:vAlign w:val="bottom"/>
          </w:tcPr>
          <w:p w14:paraId="1DE3DFE9"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35</w:t>
            </w:r>
          </w:p>
        </w:tc>
        <w:tc>
          <w:tcPr>
            <w:tcW w:w="110" w:type="pct"/>
            <w:vAlign w:val="bottom"/>
          </w:tcPr>
          <w:p w14:paraId="4A11AB89" w14:textId="77777777" w:rsidR="008A656B" w:rsidRPr="001D2342" w:rsidRDefault="008A656B" w:rsidP="00851097">
            <w:pPr>
              <w:rPr>
                <w:rFonts w:ascii="Times New Roman" w:hAnsi="Times New Roman" w:cs="Times New Roman"/>
                <w:sz w:val="16"/>
                <w:szCs w:val="16"/>
              </w:rPr>
            </w:pPr>
          </w:p>
        </w:tc>
        <w:tc>
          <w:tcPr>
            <w:tcW w:w="192" w:type="pct"/>
            <w:vAlign w:val="bottom"/>
          </w:tcPr>
          <w:p w14:paraId="22EE81F6"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44</w:t>
            </w:r>
          </w:p>
        </w:tc>
        <w:tc>
          <w:tcPr>
            <w:tcW w:w="678" w:type="pct"/>
            <w:vAlign w:val="bottom"/>
          </w:tcPr>
          <w:p w14:paraId="32FC7004" w14:textId="77777777" w:rsidR="008A656B" w:rsidRPr="001D2342" w:rsidRDefault="008A656B" w:rsidP="00851097">
            <w:pPr>
              <w:rPr>
                <w:rFonts w:ascii="Times New Roman" w:hAnsi="Times New Roman" w:cs="Times New Roman"/>
                <w:sz w:val="16"/>
                <w:szCs w:val="16"/>
              </w:rPr>
            </w:pPr>
          </w:p>
        </w:tc>
        <w:tc>
          <w:tcPr>
            <w:tcW w:w="242" w:type="pct"/>
            <w:vAlign w:val="bottom"/>
          </w:tcPr>
          <w:p w14:paraId="19622565"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1 029,0</w:t>
            </w:r>
          </w:p>
        </w:tc>
        <w:tc>
          <w:tcPr>
            <w:tcW w:w="259" w:type="pct"/>
            <w:vAlign w:val="bottom"/>
          </w:tcPr>
          <w:p w14:paraId="6541424B" w14:textId="77777777" w:rsidR="008A656B" w:rsidRPr="001D2342" w:rsidRDefault="008A656B" w:rsidP="00851097">
            <w:pPr>
              <w:rPr>
                <w:rFonts w:ascii="Times New Roman" w:hAnsi="Times New Roman" w:cs="Times New Roman"/>
                <w:sz w:val="16"/>
                <w:szCs w:val="16"/>
              </w:rPr>
            </w:pPr>
          </w:p>
        </w:tc>
        <w:tc>
          <w:tcPr>
            <w:tcW w:w="199" w:type="pct"/>
            <w:vAlign w:val="bottom"/>
          </w:tcPr>
          <w:p w14:paraId="139936B4" w14:textId="77777777" w:rsidR="008A656B" w:rsidRPr="001D2342" w:rsidRDefault="008A656B" w:rsidP="00851097">
            <w:pPr>
              <w:rPr>
                <w:rFonts w:ascii="Times New Roman" w:hAnsi="Times New Roman" w:cs="Times New Roman"/>
                <w:sz w:val="16"/>
                <w:szCs w:val="16"/>
              </w:rPr>
            </w:pPr>
          </w:p>
        </w:tc>
        <w:tc>
          <w:tcPr>
            <w:tcW w:w="242" w:type="pct"/>
            <w:vAlign w:val="bottom"/>
          </w:tcPr>
          <w:p w14:paraId="77D449B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1 638,0</w:t>
            </w:r>
          </w:p>
        </w:tc>
        <w:tc>
          <w:tcPr>
            <w:tcW w:w="243" w:type="pct"/>
            <w:vAlign w:val="bottom"/>
          </w:tcPr>
          <w:p w14:paraId="261DDA43" w14:textId="77777777" w:rsidR="008A656B" w:rsidRPr="001D2342" w:rsidRDefault="008A656B" w:rsidP="00851097">
            <w:pPr>
              <w:rPr>
                <w:rFonts w:ascii="Times New Roman" w:hAnsi="Times New Roman" w:cs="Times New Roman"/>
                <w:sz w:val="16"/>
                <w:szCs w:val="16"/>
              </w:rPr>
            </w:pPr>
          </w:p>
        </w:tc>
      </w:tr>
      <w:tr w:rsidR="008A656B" w:rsidRPr="001D2342" w14:paraId="6BD71BB5" w14:textId="77777777" w:rsidTr="00851097">
        <w:trPr>
          <w:trHeight w:val="260"/>
        </w:trPr>
        <w:tc>
          <w:tcPr>
            <w:tcW w:w="379" w:type="pct"/>
            <w:vAlign w:val="bottom"/>
          </w:tcPr>
          <w:p w14:paraId="73544EC3" w14:textId="77777777" w:rsidR="008A656B" w:rsidRPr="001D2342" w:rsidRDefault="008A656B" w:rsidP="00851097">
            <w:pPr>
              <w:rPr>
                <w:rFonts w:ascii="Times New Roman" w:hAnsi="Times New Roman" w:cs="Times New Roman"/>
                <w:sz w:val="16"/>
                <w:szCs w:val="16"/>
              </w:rPr>
            </w:pPr>
          </w:p>
        </w:tc>
        <w:tc>
          <w:tcPr>
            <w:tcW w:w="261" w:type="pct"/>
            <w:vAlign w:val="bottom"/>
          </w:tcPr>
          <w:p w14:paraId="045E8B4D" w14:textId="77777777" w:rsidR="008A656B" w:rsidRPr="001D2342" w:rsidRDefault="008A656B" w:rsidP="00851097">
            <w:pPr>
              <w:rPr>
                <w:rFonts w:ascii="Times New Roman" w:hAnsi="Times New Roman" w:cs="Times New Roman"/>
                <w:sz w:val="16"/>
                <w:szCs w:val="16"/>
              </w:rPr>
            </w:pPr>
          </w:p>
        </w:tc>
        <w:tc>
          <w:tcPr>
            <w:tcW w:w="364" w:type="pct"/>
            <w:vAlign w:val="bottom"/>
          </w:tcPr>
          <w:p w14:paraId="3A12B136" w14:textId="77777777" w:rsidR="008A656B" w:rsidRPr="001D2342" w:rsidRDefault="008A656B" w:rsidP="00851097">
            <w:pPr>
              <w:rPr>
                <w:rFonts w:ascii="Times New Roman" w:hAnsi="Times New Roman" w:cs="Times New Roman"/>
                <w:sz w:val="16"/>
                <w:szCs w:val="16"/>
              </w:rPr>
            </w:pPr>
          </w:p>
        </w:tc>
        <w:tc>
          <w:tcPr>
            <w:tcW w:w="373" w:type="pct"/>
            <w:vAlign w:val="bottom"/>
          </w:tcPr>
          <w:p w14:paraId="7A252CD8" w14:textId="77777777" w:rsidR="008A656B" w:rsidRPr="001D2342" w:rsidRDefault="008A656B" w:rsidP="00851097">
            <w:pPr>
              <w:rPr>
                <w:rFonts w:ascii="Times New Roman" w:hAnsi="Times New Roman" w:cs="Times New Roman"/>
                <w:sz w:val="16"/>
                <w:szCs w:val="16"/>
              </w:rPr>
            </w:pPr>
          </w:p>
        </w:tc>
        <w:tc>
          <w:tcPr>
            <w:tcW w:w="940" w:type="pct"/>
            <w:vAlign w:val="bottom"/>
          </w:tcPr>
          <w:p w14:paraId="7F365E90" w14:textId="77777777" w:rsidR="008A656B" w:rsidRPr="001D2342" w:rsidRDefault="008A656B" w:rsidP="00851097">
            <w:pPr>
              <w:rPr>
                <w:rFonts w:ascii="Times New Roman" w:hAnsi="Times New Roman" w:cs="Times New Roman"/>
                <w:sz w:val="16"/>
                <w:szCs w:val="16"/>
              </w:rPr>
            </w:pPr>
          </w:p>
        </w:tc>
        <w:tc>
          <w:tcPr>
            <w:tcW w:w="201" w:type="pct"/>
            <w:vAlign w:val="bottom"/>
          </w:tcPr>
          <w:p w14:paraId="63D6C381"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118</w:t>
            </w:r>
          </w:p>
        </w:tc>
        <w:tc>
          <w:tcPr>
            <w:tcW w:w="129" w:type="pct"/>
            <w:vAlign w:val="bottom"/>
          </w:tcPr>
          <w:p w14:paraId="41171C2E" w14:textId="77777777" w:rsidR="008A656B" w:rsidRPr="001D2342" w:rsidRDefault="008A656B" w:rsidP="00851097">
            <w:pPr>
              <w:rPr>
                <w:rFonts w:ascii="Times New Roman" w:hAnsi="Times New Roman" w:cs="Times New Roman"/>
                <w:sz w:val="16"/>
                <w:szCs w:val="16"/>
              </w:rPr>
            </w:pPr>
          </w:p>
        </w:tc>
        <w:tc>
          <w:tcPr>
            <w:tcW w:w="189" w:type="pct"/>
            <w:vAlign w:val="bottom"/>
          </w:tcPr>
          <w:p w14:paraId="2EA0F544"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45</w:t>
            </w:r>
          </w:p>
        </w:tc>
        <w:tc>
          <w:tcPr>
            <w:tcW w:w="110" w:type="pct"/>
            <w:vAlign w:val="bottom"/>
          </w:tcPr>
          <w:p w14:paraId="6FEE0266" w14:textId="77777777" w:rsidR="008A656B" w:rsidRPr="001D2342" w:rsidRDefault="008A656B" w:rsidP="00851097">
            <w:pPr>
              <w:rPr>
                <w:rFonts w:ascii="Times New Roman" w:hAnsi="Times New Roman" w:cs="Times New Roman"/>
                <w:sz w:val="16"/>
                <w:szCs w:val="16"/>
              </w:rPr>
            </w:pPr>
          </w:p>
        </w:tc>
        <w:tc>
          <w:tcPr>
            <w:tcW w:w="192" w:type="pct"/>
            <w:vAlign w:val="bottom"/>
          </w:tcPr>
          <w:p w14:paraId="18DEF4F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54</w:t>
            </w:r>
          </w:p>
        </w:tc>
        <w:tc>
          <w:tcPr>
            <w:tcW w:w="678" w:type="pct"/>
            <w:vAlign w:val="bottom"/>
          </w:tcPr>
          <w:p w14:paraId="3C67C55A" w14:textId="77777777" w:rsidR="008A656B" w:rsidRPr="001D2342" w:rsidRDefault="008A656B" w:rsidP="00851097">
            <w:pPr>
              <w:rPr>
                <w:rFonts w:ascii="Times New Roman" w:hAnsi="Times New Roman" w:cs="Times New Roman"/>
                <w:sz w:val="16"/>
                <w:szCs w:val="16"/>
              </w:rPr>
            </w:pPr>
          </w:p>
        </w:tc>
        <w:tc>
          <w:tcPr>
            <w:tcW w:w="242" w:type="pct"/>
            <w:vAlign w:val="bottom"/>
          </w:tcPr>
          <w:p w14:paraId="740AD49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1 041,0</w:t>
            </w:r>
          </w:p>
        </w:tc>
        <w:tc>
          <w:tcPr>
            <w:tcW w:w="259" w:type="pct"/>
            <w:vAlign w:val="bottom"/>
          </w:tcPr>
          <w:p w14:paraId="5E8A0529" w14:textId="77777777" w:rsidR="008A656B" w:rsidRPr="001D2342" w:rsidRDefault="008A656B" w:rsidP="00851097">
            <w:pPr>
              <w:rPr>
                <w:rFonts w:ascii="Times New Roman" w:hAnsi="Times New Roman" w:cs="Times New Roman"/>
                <w:sz w:val="16"/>
                <w:szCs w:val="16"/>
              </w:rPr>
            </w:pPr>
          </w:p>
        </w:tc>
        <w:tc>
          <w:tcPr>
            <w:tcW w:w="199" w:type="pct"/>
            <w:vAlign w:val="bottom"/>
          </w:tcPr>
          <w:p w14:paraId="6FF4D62D" w14:textId="77777777" w:rsidR="008A656B" w:rsidRPr="001D2342" w:rsidRDefault="008A656B" w:rsidP="00851097">
            <w:pPr>
              <w:rPr>
                <w:rFonts w:ascii="Times New Roman" w:hAnsi="Times New Roman" w:cs="Times New Roman"/>
                <w:sz w:val="16"/>
                <w:szCs w:val="16"/>
              </w:rPr>
            </w:pPr>
          </w:p>
        </w:tc>
        <w:tc>
          <w:tcPr>
            <w:tcW w:w="242" w:type="pct"/>
            <w:vAlign w:val="bottom"/>
          </w:tcPr>
          <w:p w14:paraId="1EC965D9"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1 657,0</w:t>
            </w:r>
          </w:p>
        </w:tc>
        <w:tc>
          <w:tcPr>
            <w:tcW w:w="243" w:type="pct"/>
            <w:vAlign w:val="bottom"/>
          </w:tcPr>
          <w:p w14:paraId="2F550615" w14:textId="77777777" w:rsidR="008A656B" w:rsidRPr="001D2342" w:rsidRDefault="008A656B" w:rsidP="00851097">
            <w:pPr>
              <w:rPr>
                <w:rFonts w:ascii="Times New Roman" w:hAnsi="Times New Roman" w:cs="Times New Roman"/>
                <w:sz w:val="16"/>
                <w:szCs w:val="16"/>
              </w:rPr>
            </w:pPr>
          </w:p>
        </w:tc>
      </w:tr>
      <w:tr w:rsidR="008A656B" w:rsidRPr="001D2342" w14:paraId="159F694B" w14:textId="77777777" w:rsidTr="00851097">
        <w:trPr>
          <w:trHeight w:val="260"/>
        </w:trPr>
        <w:tc>
          <w:tcPr>
            <w:tcW w:w="379" w:type="pct"/>
            <w:vAlign w:val="bottom"/>
          </w:tcPr>
          <w:p w14:paraId="364EE4EB" w14:textId="77777777" w:rsidR="008A656B" w:rsidRPr="001D2342" w:rsidRDefault="008A656B" w:rsidP="00851097">
            <w:pPr>
              <w:rPr>
                <w:rFonts w:ascii="Times New Roman" w:hAnsi="Times New Roman" w:cs="Times New Roman"/>
                <w:sz w:val="16"/>
                <w:szCs w:val="16"/>
              </w:rPr>
            </w:pPr>
          </w:p>
        </w:tc>
        <w:tc>
          <w:tcPr>
            <w:tcW w:w="261" w:type="pct"/>
            <w:vAlign w:val="bottom"/>
          </w:tcPr>
          <w:p w14:paraId="0BB0D015" w14:textId="77777777" w:rsidR="008A656B" w:rsidRPr="001D2342" w:rsidRDefault="008A656B" w:rsidP="00851097">
            <w:pPr>
              <w:rPr>
                <w:rFonts w:ascii="Times New Roman" w:hAnsi="Times New Roman" w:cs="Times New Roman"/>
                <w:sz w:val="16"/>
                <w:szCs w:val="16"/>
              </w:rPr>
            </w:pPr>
          </w:p>
        </w:tc>
        <w:tc>
          <w:tcPr>
            <w:tcW w:w="364" w:type="pct"/>
            <w:vAlign w:val="bottom"/>
          </w:tcPr>
          <w:p w14:paraId="192B7EC3" w14:textId="77777777" w:rsidR="008A656B" w:rsidRPr="001D2342" w:rsidRDefault="008A656B" w:rsidP="00851097">
            <w:pPr>
              <w:rPr>
                <w:rFonts w:ascii="Times New Roman" w:hAnsi="Times New Roman" w:cs="Times New Roman"/>
                <w:sz w:val="16"/>
                <w:szCs w:val="16"/>
              </w:rPr>
            </w:pPr>
          </w:p>
        </w:tc>
        <w:tc>
          <w:tcPr>
            <w:tcW w:w="373" w:type="pct"/>
            <w:vAlign w:val="bottom"/>
          </w:tcPr>
          <w:p w14:paraId="34AABD1B" w14:textId="77777777" w:rsidR="008A656B" w:rsidRPr="001D2342" w:rsidRDefault="008A656B" w:rsidP="00851097">
            <w:pPr>
              <w:rPr>
                <w:rFonts w:ascii="Times New Roman" w:hAnsi="Times New Roman" w:cs="Times New Roman"/>
                <w:sz w:val="16"/>
                <w:szCs w:val="16"/>
              </w:rPr>
            </w:pPr>
          </w:p>
        </w:tc>
        <w:tc>
          <w:tcPr>
            <w:tcW w:w="940" w:type="pct"/>
            <w:vAlign w:val="bottom"/>
          </w:tcPr>
          <w:p w14:paraId="15258C7A" w14:textId="77777777" w:rsidR="008A656B" w:rsidRPr="001D2342" w:rsidRDefault="008A656B" w:rsidP="00851097">
            <w:pPr>
              <w:rPr>
                <w:rFonts w:ascii="Times New Roman" w:hAnsi="Times New Roman" w:cs="Times New Roman"/>
                <w:sz w:val="16"/>
                <w:szCs w:val="16"/>
              </w:rPr>
            </w:pPr>
          </w:p>
        </w:tc>
        <w:tc>
          <w:tcPr>
            <w:tcW w:w="201" w:type="pct"/>
            <w:shd w:val="clear" w:color="auto" w:fill="D9D9D9" w:themeFill="background1" w:themeFillShade="D9"/>
            <w:vAlign w:val="bottom"/>
          </w:tcPr>
          <w:p w14:paraId="5C8AEBBA"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68</w:t>
            </w:r>
          </w:p>
        </w:tc>
        <w:tc>
          <w:tcPr>
            <w:tcW w:w="129" w:type="pct"/>
            <w:shd w:val="clear" w:color="auto" w:fill="D9D9D9" w:themeFill="background1" w:themeFillShade="D9"/>
            <w:vAlign w:val="bottom"/>
          </w:tcPr>
          <w:p w14:paraId="58821C61" w14:textId="77777777" w:rsidR="008A656B" w:rsidRPr="001D2342" w:rsidRDefault="008A656B" w:rsidP="00851097">
            <w:pPr>
              <w:rPr>
                <w:rFonts w:ascii="Times New Roman" w:hAnsi="Times New Roman" w:cs="Times New Roman"/>
                <w:sz w:val="16"/>
                <w:szCs w:val="16"/>
              </w:rPr>
            </w:pPr>
          </w:p>
        </w:tc>
        <w:tc>
          <w:tcPr>
            <w:tcW w:w="189" w:type="pct"/>
            <w:shd w:val="clear" w:color="auto" w:fill="D9D9D9" w:themeFill="background1" w:themeFillShade="D9"/>
            <w:vAlign w:val="bottom"/>
          </w:tcPr>
          <w:p w14:paraId="12879EF7"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55</w:t>
            </w:r>
          </w:p>
        </w:tc>
        <w:tc>
          <w:tcPr>
            <w:tcW w:w="110" w:type="pct"/>
            <w:shd w:val="clear" w:color="auto" w:fill="D9D9D9" w:themeFill="background1" w:themeFillShade="D9"/>
            <w:vAlign w:val="bottom"/>
          </w:tcPr>
          <w:p w14:paraId="77EA2884" w14:textId="77777777" w:rsidR="008A656B" w:rsidRPr="001D2342" w:rsidRDefault="008A656B" w:rsidP="00851097">
            <w:pPr>
              <w:rPr>
                <w:rFonts w:ascii="Times New Roman" w:hAnsi="Times New Roman" w:cs="Times New Roman"/>
                <w:sz w:val="16"/>
                <w:szCs w:val="16"/>
              </w:rPr>
            </w:pPr>
          </w:p>
        </w:tc>
        <w:tc>
          <w:tcPr>
            <w:tcW w:w="192" w:type="pct"/>
            <w:shd w:val="clear" w:color="auto" w:fill="D9D9D9" w:themeFill="background1" w:themeFillShade="D9"/>
            <w:vAlign w:val="bottom"/>
          </w:tcPr>
          <w:p w14:paraId="6D215865"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64</w:t>
            </w:r>
          </w:p>
        </w:tc>
        <w:tc>
          <w:tcPr>
            <w:tcW w:w="678" w:type="pct"/>
            <w:shd w:val="clear" w:color="auto" w:fill="D9D9D9" w:themeFill="background1" w:themeFillShade="D9"/>
            <w:vAlign w:val="bottom"/>
          </w:tcPr>
          <w:p w14:paraId="3349120E"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15466434"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1 035,0</w:t>
            </w:r>
          </w:p>
        </w:tc>
        <w:tc>
          <w:tcPr>
            <w:tcW w:w="259" w:type="pct"/>
            <w:shd w:val="clear" w:color="auto" w:fill="D9D9D9" w:themeFill="background1" w:themeFillShade="D9"/>
            <w:vAlign w:val="bottom"/>
          </w:tcPr>
          <w:p w14:paraId="487ECC72" w14:textId="77777777" w:rsidR="008A656B" w:rsidRPr="001D2342" w:rsidRDefault="008A656B" w:rsidP="00851097">
            <w:pPr>
              <w:rPr>
                <w:rFonts w:ascii="Times New Roman" w:hAnsi="Times New Roman" w:cs="Times New Roman"/>
                <w:sz w:val="16"/>
                <w:szCs w:val="16"/>
              </w:rPr>
            </w:pPr>
          </w:p>
        </w:tc>
        <w:tc>
          <w:tcPr>
            <w:tcW w:w="199" w:type="pct"/>
            <w:shd w:val="clear" w:color="auto" w:fill="D9D9D9" w:themeFill="background1" w:themeFillShade="D9"/>
            <w:vAlign w:val="bottom"/>
          </w:tcPr>
          <w:p w14:paraId="43761C0A"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251E7151"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1 699,0</w:t>
            </w:r>
          </w:p>
        </w:tc>
        <w:tc>
          <w:tcPr>
            <w:tcW w:w="243" w:type="pct"/>
            <w:shd w:val="clear" w:color="auto" w:fill="D9D9D9" w:themeFill="background1" w:themeFillShade="D9"/>
            <w:vAlign w:val="bottom"/>
          </w:tcPr>
          <w:p w14:paraId="1BEE076C" w14:textId="77777777" w:rsidR="008A656B" w:rsidRPr="001D2342" w:rsidRDefault="008A656B" w:rsidP="00851097">
            <w:pPr>
              <w:rPr>
                <w:rFonts w:ascii="Times New Roman" w:hAnsi="Times New Roman" w:cs="Times New Roman"/>
                <w:sz w:val="16"/>
                <w:szCs w:val="16"/>
              </w:rPr>
            </w:pPr>
          </w:p>
        </w:tc>
      </w:tr>
      <w:tr w:rsidR="008A656B" w:rsidRPr="001D2342" w14:paraId="4E8608C7" w14:textId="77777777" w:rsidTr="00851097">
        <w:trPr>
          <w:trHeight w:val="260"/>
        </w:trPr>
        <w:tc>
          <w:tcPr>
            <w:tcW w:w="379" w:type="pct"/>
            <w:vAlign w:val="bottom"/>
          </w:tcPr>
          <w:p w14:paraId="1F97186C" w14:textId="77777777" w:rsidR="008A656B" w:rsidRPr="001D2342" w:rsidRDefault="008A656B" w:rsidP="00851097">
            <w:pPr>
              <w:rPr>
                <w:rFonts w:ascii="Times New Roman" w:hAnsi="Times New Roman" w:cs="Times New Roman"/>
                <w:sz w:val="16"/>
                <w:szCs w:val="16"/>
              </w:rPr>
            </w:pPr>
          </w:p>
        </w:tc>
        <w:tc>
          <w:tcPr>
            <w:tcW w:w="261" w:type="pct"/>
            <w:vAlign w:val="bottom"/>
          </w:tcPr>
          <w:p w14:paraId="0290A73A" w14:textId="77777777" w:rsidR="008A656B" w:rsidRPr="001D2342" w:rsidRDefault="008A656B" w:rsidP="00851097">
            <w:pPr>
              <w:rPr>
                <w:rFonts w:ascii="Times New Roman" w:hAnsi="Times New Roman" w:cs="Times New Roman"/>
                <w:sz w:val="16"/>
                <w:szCs w:val="16"/>
              </w:rPr>
            </w:pPr>
          </w:p>
        </w:tc>
        <w:tc>
          <w:tcPr>
            <w:tcW w:w="364" w:type="pct"/>
            <w:vAlign w:val="bottom"/>
          </w:tcPr>
          <w:p w14:paraId="026C1432" w14:textId="77777777" w:rsidR="008A656B" w:rsidRPr="001D2342" w:rsidRDefault="008A656B" w:rsidP="00851097">
            <w:pPr>
              <w:rPr>
                <w:rFonts w:ascii="Times New Roman" w:hAnsi="Times New Roman" w:cs="Times New Roman"/>
                <w:sz w:val="16"/>
                <w:szCs w:val="16"/>
              </w:rPr>
            </w:pPr>
          </w:p>
        </w:tc>
        <w:tc>
          <w:tcPr>
            <w:tcW w:w="373" w:type="pct"/>
            <w:vAlign w:val="bottom"/>
          </w:tcPr>
          <w:p w14:paraId="074F7785" w14:textId="77777777" w:rsidR="008A656B" w:rsidRPr="001D2342" w:rsidRDefault="008A656B" w:rsidP="00851097">
            <w:pPr>
              <w:rPr>
                <w:rFonts w:ascii="Times New Roman" w:hAnsi="Times New Roman" w:cs="Times New Roman"/>
                <w:sz w:val="16"/>
                <w:szCs w:val="16"/>
              </w:rPr>
            </w:pPr>
          </w:p>
        </w:tc>
        <w:tc>
          <w:tcPr>
            <w:tcW w:w="940" w:type="pct"/>
            <w:vAlign w:val="bottom"/>
          </w:tcPr>
          <w:p w14:paraId="0EA8DA05" w14:textId="77777777" w:rsidR="008A656B" w:rsidRPr="001D2342" w:rsidRDefault="008A656B" w:rsidP="00851097">
            <w:pPr>
              <w:rPr>
                <w:rFonts w:ascii="Times New Roman" w:hAnsi="Times New Roman" w:cs="Times New Roman"/>
                <w:sz w:val="16"/>
                <w:szCs w:val="16"/>
              </w:rPr>
            </w:pPr>
          </w:p>
        </w:tc>
        <w:tc>
          <w:tcPr>
            <w:tcW w:w="201" w:type="pct"/>
            <w:shd w:val="clear" w:color="auto" w:fill="D9D9D9" w:themeFill="background1" w:themeFillShade="D9"/>
            <w:vAlign w:val="bottom"/>
          </w:tcPr>
          <w:p w14:paraId="7EC0A036"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65</w:t>
            </w:r>
          </w:p>
        </w:tc>
        <w:tc>
          <w:tcPr>
            <w:tcW w:w="129" w:type="pct"/>
            <w:shd w:val="clear" w:color="auto" w:fill="D9D9D9" w:themeFill="background1" w:themeFillShade="D9"/>
            <w:vAlign w:val="bottom"/>
          </w:tcPr>
          <w:p w14:paraId="3ECF40AE" w14:textId="77777777" w:rsidR="008A656B" w:rsidRPr="001D2342" w:rsidRDefault="008A656B" w:rsidP="00851097">
            <w:pPr>
              <w:rPr>
                <w:rFonts w:ascii="Times New Roman" w:hAnsi="Times New Roman" w:cs="Times New Roman"/>
                <w:sz w:val="16"/>
                <w:szCs w:val="16"/>
              </w:rPr>
            </w:pPr>
          </w:p>
        </w:tc>
        <w:tc>
          <w:tcPr>
            <w:tcW w:w="189" w:type="pct"/>
            <w:shd w:val="clear" w:color="auto" w:fill="D9D9D9" w:themeFill="background1" w:themeFillShade="D9"/>
            <w:vAlign w:val="bottom"/>
          </w:tcPr>
          <w:p w14:paraId="2FF12DC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65</w:t>
            </w:r>
          </w:p>
        </w:tc>
        <w:tc>
          <w:tcPr>
            <w:tcW w:w="110" w:type="pct"/>
            <w:shd w:val="clear" w:color="auto" w:fill="D9D9D9" w:themeFill="background1" w:themeFillShade="D9"/>
            <w:vAlign w:val="bottom"/>
          </w:tcPr>
          <w:p w14:paraId="5276DC1A" w14:textId="77777777" w:rsidR="008A656B" w:rsidRPr="001D2342" w:rsidRDefault="008A656B" w:rsidP="00851097">
            <w:pPr>
              <w:rPr>
                <w:rFonts w:ascii="Times New Roman" w:hAnsi="Times New Roman" w:cs="Times New Roman"/>
                <w:sz w:val="16"/>
                <w:szCs w:val="16"/>
              </w:rPr>
            </w:pPr>
          </w:p>
        </w:tc>
        <w:tc>
          <w:tcPr>
            <w:tcW w:w="192" w:type="pct"/>
            <w:shd w:val="clear" w:color="auto" w:fill="D9D9D9" w:themeFill="background1" w:themeFillShade="D9"/>
            <w:vAlign w:val="bottom"/>
          </w:tcPr>
          <w:p w14:paraId="34E6A7F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74</w:t>
            </w:r>
          </w:p>
        </w:tc>
        <w:tc>
          <w:tcPr>
            <w:tcW w:w="678" w:type="pct"/>
            <w:shd w:val="clear" w:color="auto" w:fill="D9D9D9" w:themeFill="background1" w:themeFillShade="D9"/>
            <w:vAlign w:val="bottom"/>
          </w:tcPr>
          <w:p w14:paraId="0FC766E3"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6FC2BB00"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1 064,0</w:t>
            </w:r>
          </w:p>
        </w:tc>
        <w:tc>
          <w:tcPr>
            <w:tcW w:w="259" w:type="pct"/>
            <w:shd w:val="clear" w:color="auto" w:fill="D9D9D9" w:themeFill="background1" w:themeFillShade="D9"/>
            <w:vAlign w:val="bottom"/>
          </w:tcPr>
          <w:p w14:paraId="1C8CD31B" w14:textId="77777777" w:rsidR="008A656B" w:rsidRPr="001D2342" w:rsidRDefault="008A656B" w:rsidP="00851097">
            <w:pPr>
              <w:rPr>
                <w:rFonts w:ascii="Times New Roman" w:hAnsi="Times New Roman" w:cs="Times New Roman"/>
                <w:sz w:val="16"/>
                <w:szCs w:val="16"/>
              </w:rPr>
            </w:pPr>
          </w:p>
        </w:tc>
        <w:tc>
          <w:tcPr>
            <w:tcW w:w="199" w:type="pct"/>
            <w:shd w:val="clear" w:color="auto" w:fill="D9D9D9" w:themeFill="background1" w:themeFillShade="D9"/>
            <w:vAlign w:val="bottom"/>
          </w:tcPr>
          <w:p w14:paraId="618B800F"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3FBCA3B4"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1 868,0</w:t>
            </w:r>
          </w:p>
        </w:tc>
        <w:tc>
          <w:tcPr>
            <w:tcW w:w="243" w:type="pct"/>
            <w:shd w:val="clear" w:color="auto" w:fill="D9D9D9" w:themeFill="background1" w:themeFillShade="D9"/>
            <w:vAlign w:val="bottom"/>
          </w:tcPr>
          <w:p w14:paraId="42E10B94" w14:textId="77777777" w:rsidR="008A656B" w:rsidRPr="001D2342" w:rsidRDefault="008A656B" w:rsidP="00851097">
            <w:pPr>
              <w:rPr>
                <w:rFonts w:ascii="Times New Roman" w:hAnsi="Times New Roman" w:cs="Times New Roman"/>
                <w:sz w:val="16"/>
                <w:szCs w:val="16"/>
              </w:rPr>
            </w:pPr>
          </w:p>
        </w:tc>
      </w:tr>
      <w:tr w:rsidR="008A656B" w:rsidRPr="001D2342" w14:paraId="79478032" w14:textId="77777777" w:rsidTr="00851097">
        <w:trPr>
          <w:trHeight w:val="260"/>
        </w:trPr>
        <w:tc>
          <w:tcPr>
            <w:tcW w:w="379" w:type="pct"/>
            <w:vAlign w:val="bottom"/>
          </w:tcPr>
          <w:p w14:paraId="070B963C" w14:textId="77777777" w:rsidR="008A656B" w:rsidRPr="001D2342" w:rsidRDefault="008A656B" w:rsidP="00851097">
            <w:pPr>
              <w:rPr>
                <w:rFonts w:ascii="Times New Roman" w:hAnsi="Times New Roman" w:cs="Times New Roman"/>
                <w:sz w:val="16"/>
                <w:szCs w:val="16"/>
              </w:rPr>
            </w:pPr>
          </w:p>
        </w:tc>
        <w:tc>
          <w:tcPr>
            <w:tcW w:w="261" w:type="pct"/>
            <w:vAlign w:val="bottom"/>
          </w:tcPr>
          <w:p w14:paraId="628F2A67" w14:textId="77777777" w:rsidR="008A656B" w:rsidRPr="001D2342" w:rsidRDefault="008A656B" w:rsidP="00851097">
            <w:pPr>
              <w:rPr>
                <w:rFonts w:ascii="Times New Roman" w:hAnsi="Times New Roman" w:cs="Times New Roman"/>
                <w:b/>
                <w:bCs/>
                <w:sz w:val="16"/>
                <w:szCs w:val="16"/>
              </w:rPr>
            </w:pPr>
          </w:p>
        </w:tc>
        <w:tc>
          <w:tcPr>
            <w:tcW w:w="364" w:type="pct"/>
            <w:vAlign w:val="bottom"/>
          </w:tcPr>
          <w:p w14:paraId="295A8A82"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Nīderlande</w:t>
            </w:r>
          </w:p>
        </w:tc>
        <w:tc>
          <w:tcPr>
            <w:tcW w:w="373" w:type="pct"/>
            <w:vAlign w:val="bottom"/>
          </w:tcPr>
          <w:p w14:paraId="118075F2"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(van Rossum et al., 2011)</w:t>
            </w:r>
          </w:p>
        </w:tc>
        <w:tc>
          <w:tcPr>
            <w:tcW w:w="940" w:type="pct"/>
            <w:vAlign w:val="bottom"/>
          </w:tcPr>
          <w:p w14:paraId="08397ACB" w14:textId="77777777" w:rsidR="008A656B" w:rsidRPr="001D2342" w:rsidRDefault="008A656B" w:rsidP="00851097">
            <w:pPr>
              <w:pStyle w:val="Default"/>
              <w:rPr>
                <w:sz w:val="16"/>
                <w:szCs w:val="16"/>
              </w:rPr>
            </w:pPr>
            <w:r>
              <w:rPr>
                <w:sz w:val="16"/>
              </w:rPr>
              <w:t>Divas nesecīgas  24 stundu atcerēšanās anketas</w:t>
            </w:r>
          </w:p>
        </w:tc>
        <w:tc>
          <w:tcPr>
            <w:tcW w:w="201" w:type="pct"/>
            <w:vAlign w:val="bottom"/>
          </w:tcPr>
          <w:p w14:paraId="202861D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356</w:t>
            </w:r>
          </w:p>
        </w:tc>
        <w:tc>
          <w:tcPr>
            <w:tcW w:w="129" w:type="pct"/>
            <w:vAlign w:val="bottom"/>
          </w:tcPr>
          <w:p w14:paraId="483F23E4" w14:textId="77777777" w:rsidR="008A656B" w:rsidRPr="001D2342" w:rsidRDefault="008A656B" w:rsidP="00851097">
            <w:pPr>
              <w:rPr>
                <w:rFonts w:ascii="Times New Roman" w:hAnsi="Times New Roman" w:cs="Times New Roman"/>
                <w:sz w:val="16"/>
                <w:szCs w:val="16"/>
              </w:rPr>
            </w:pPr>
          </w:p>
        </w:tc>
        <w:tc>
          <w:tcPr>
            <w:tcW w:w="189" w:type="pct"/>
            <w:vAlign w:val="bottom"/>
          </w:tcPr>
          <w:p w14:paraId="3950BC0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19</w:t>
            </w:r>
          </w:p>
        </w:tc>
        <w:tc>
          <w:tcPr>
            <w:tcW w:w="110" w:type="pct"/>
            <w:vAlign w:val="bottom"/>
          </w:tcPr>
          <w:p w14:paraId="694AC025" w14:textId="77777777" w:rsidR="008A656B" w:rsidRPr="001D2342" w:rsidRDefault="008A656B" w:rsidP="00851097">
            <w:pPr>
              <w:rPr>
                <w:rFonts w:ascii="Times New Roman" w:hAnsi="Times New Roman" w:cs="Times New Roman"/>
                <w:sz w:val="16"/>
                <w:szCs w:val="16"/>
              </w:rPr>
            </w:pPr>
          </w:p>
        </w:tc>
        <w:tc>
          <w:tcPr>
            <w:tcW w:w="192" w:type="pct"/>
            <w:vAlign w:val="bottom"/>
          </w:tcPr>
          <w:p w14:paraId="73BA3696"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30</w:t>
            </w:r>
          </w:p>
        </w:tc>
        <w:tc>
          <w:tcPr>
            <w:tcW w:w="678" w:type="pct"/>
            <w:vAlign w:val="bottom"/>
          </w:tcPr>
          <w:p w14:paraId="49CD0EF4" w14:textId="77777777" w:rsidR="008A656B" w:rsidRPr="001D2342" w:rsidRDefault="008A656B" w:rsidP="00851097">
            <w:pPr>
              <w:rPr>
                <w:rFonts w:ascii="Times New Roman" w:hAnsi="Times New Roman" w:cs="Times New Roman"/>
                <w:sz w:val="16"/>
                <w:szCs w:val="16"/>
              </w:rPr>
            </w:pPr>
          </w:p>
        </w:tc>
        <w:tc>
          <w:tcPr>
            <w:tcW w:w="242" w:type="pct"/>
            <w:vAlign w:val="bottom"/>
          </w:tcPr>
          <w:p w14:paraId="5AC38739" w14:textId="77777777" w:rsidR="008A656B" w:rsidRPr="001D2342" w:rsidRDefault="008A656B" w:rsidP="00851097">
            <w:pPr>
              <w:rPr>
                <w:rFonts w:ascii="Times New Roman" w:hAnsi="Times New Roman" w:cs="Times New Roman"/>
                <w:sz w:val="16"/>
                <w:szCs w:val="16"/>
              </w:rPr>
            </w:pPr>
          </w:p>
        </w:tc>
        <w:tc>
          <w:tcPr>
            <w:tcW w:w="259" w:type="pct"/>
            <w:vAlign w:val="bottom"/>
          </w:tcPr>
          <w:p w14:paraId="1A2774B8"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1 080,0</w:t>
            </w:r>
          </w:p>
        </w:tc>
        <w:tc>
          <w:tcPr>
            <w:tcW w:w="199" w:type="pct"/>
            <w:vAlign w:val="bottom"/>
          </w:tcPr>
          <w:p w14:paraId="76B5769B" w14:textId="77777777" w:rsidR="008A656B" w:rsidRPr="001D2342" w:rsidRDefault="008A656B" w:rsidP="00851097">
            <w:pPr>
              <w:rPr>
                <w:rFonts w:ascii="Times New Roman" w:hAnsi="Times New Roman" w:cs="Times New Roman"/>
                <w:sz w:val="16"/>
                <w:szCs w:val="16"/>
              </w:rPr>
            </w:pPr>
          </w:p>
        </w:tc>
        <w:tc>
          <w:tcPr>
            <w:tcW w:w="242" w:type="pct"/>
            <w:vAlign w:val="bottom"/>
          </w:tcPr>
          <w:p w14:paraId="2A940841"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1 777,0</w:t>
            </w:r>
          </w:p>
        </w:tc>
        <w:tc>
          <w:tcPr>
            <w:tcW w:w="243" w:type="pct"/>
            <w:vAlign w:val="bottom"/>
          </w:tcPr>
          <w:p w14:paraId="0C0D677B" w14:textId="77777777" w:rsidR="008A656B" w:rsidRPr="001D2342" w:rsidRDefault="008A656B" w:rsidP="00851097">
            <w:pPr>
              <w:rPr>
                <w:rFonts w:ascii="Times New Roman" w:hAnsi="Times New Roman" w:cs="Times New Roman"/>
                <w:sz w:val="16"/>
                <w:szCs w:val="16"/>
              </w:rPr>
            </w:pPr>
          </w:p>
        </w:tc>
      </w:tr>
      <w:tr w:rsidR="008A656B" w:rsidRPr="001D2342" w14:paraId="261FCCFA" w14:textId="77777777" w:rsidTr="00851097">
        <w:trPr>
          <w:trHeight w:val="260"/>
        </w:trPr>
        <w:tc>
          <w:tcPr>
            <w:tcW w:w="379" w:type="pct"/>
            <w:vAlign w:val="bottom"/>
          </w:tcPr>
          <w:p w14:paraId="470DE5F1" w14:textId="77777777" w:rsidR="008A656B" w:rsidRPr="001D2342" w:rsidRDefault="008A656B" w:rsidP="00851097">
            <w:pPr>
              <w:rPr>
                <w:rFonts w:ascii="Times New Roman" w:hAnsi="Times New Roman" w:cs="Times New Roman"/>
                <w:sz w:val="16"/>
                <w:szCs w:val="16"/>
              </w:rPr>
            </w:pPr>
          </w:p>
        </w:tc>
        <w:tc>
          <w:tcPr>
            <w:tcW w:w="261" w:type="pct"/>
            <w:vAlign w:val="bottom"/>
          </w:tcPr>
          <w:p w14:paraId="7B3B180D" w14:textId="77777777" w:rsidR="008A656B" w:rsidRPr="001D2342" w:rsidRDefault="008A656B" w:rsidP="00851097">
            <w:pPr>
              <w:rPr>
                <w:rFonts w:ascii="Times New Roman" w:hAnsi="Times New Roman" w:cs="Times New Roman"/>
                <w:sz w:val="16"/>
                <w:szCs w:val="16"/>
              </w:rPr>
            </w:pPr>
          </w:p>
        </w:tc>
        <w:tc>
          <w:tcPr>
            <w:tcW w:w="364" w:type="pct"/>
            <w:vAlign w:val="bottom"/>
          </w:tcPr>
          <w:p w14:paraId="2516B232" w14:textId="77777777" w:rsidR="008A656B" w:rsidRPr="001D2342" w:rsidRDefault="008A656B" w:rsidP="00851097">
            <w:pPr>
              <w:rPr>
                <w:rFonts w:ascii="Times New Roman" w:hAnsi="Times New Roman" w:cs="Times New Roman"/>
                <w:sz w:val="16"/>
                <w:szCs w:val="16"/>
              </w:rPr>
            </w:pPr>
          </w:p>
        </w:tc>
        <w:tc>
          <w:tcPr>
            <w:tcW w:w="373" w:type="pct"/>
            <w:vAlign w:val="bottom"/>
          </w:tcPr>
          <w:p w14:paraId="72BEEB39" w14:textId="77777777" w:rsidR="008A656B" w:rsidRPr="001D2342" w:rsidRDefault="008A656B" w:rsidP="00851097">
            <w:pPr>
              <w:rPr>
                <w:rFonts w:ascii="Times New Roman" w:hAnsi="Times New Roman" w:cs="Times New Roman"/>
                <w:sz w:val="16"/>
                <w:szCs w:val="16"/>
              </w:rPr>
            </w:pPr>
          </w:p>
        </w:tc>
        <w:tc>
          <w:tcPr>
            <w:tcW w:w="940" w:type="pct"/>
            <w:vAlign w:val="bottom"/>
          </w:tcPr>
          <w:p w14:paraId="2152D95A" w14:textId="77777777" w:rsidR="008A656B" w:rsidRPr="001D2342" w:rsidRDefault="008A656B" w:rsidP="00851097">
            <w:pPr>
              <w:rPr>
                <w:rFonts w:ascii="Times New Roman" w:hAnsi="Times New Roman" w:cs="Times New Roman"/>
                <w:sz w:val="16"/>
                <w:szCs w:val="16"/>
              </w:rPr>
            </w:pPr>
          </w:p>
        </w:tc>
        <w:tc>
          <w:tcPr>
            <w:tcW w:w="201" w:type="pct"/>
            <w:vAlign w:val="bottom"/>
          </w:tcPr>
          <w:p w14:paraId="02691E0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348</w:t>
            </w:r>
          </w:p>
        </w:tc>
        <w:tc>
          <w:tcPr>
            <w:tcW w:w="129" w:type="pct"/>
            <w:vAlign w:val="bottom"/>
          </w:tcPr>
          <w:p w14:paraId="15B28FB9" w14:textId="77777777" w:rsidR="008A656B" w:rsidRPr="001D2342" w:rsidRDefault="008A656B" w:rsidP="00851097">
            <w:pPr>
              <w:rPr>
                <w:rFonts w:ascii="Times New Roman" w:hAnsi="Times New Roman" w:cs="Times New Roman"/>
                <w:sz w:val="16"/>
                <w:szCs w:val="16"/>
              </w:rPr>
            </w:pPr>
          </w:p>
        </w:tc>
        <w:tc>
          <w:tcPr>
            <w:tcW w:w="189" w:type="pct"/>
            <w:vAlign w:val="bottom"/>
          </w:tcPr>
          <w:p w14:paraId="7E406C1F"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31</w:t>
            </w:r>
          </w:p>
        </w:tc>
        <w:tc>
          <w:tcPr>
            <w:tcW w:w="110" w:type="pct"/>
            <w:vAlign w:val="bottom"/>
          </w:tcPr>
          <w:p w14:paraId="0880CFC9" w14:textId="77777777" w:rsidR="008A656B" w:rsidRPr="001D2342" w:rsidRDefault="008A656B" w:rsidP="00851097">
            <w:pPr>
              <w:rPr>
                <w:rFonts w:ascii="Times New Roman" w:hAnsi="Times New Roman" w:cs="Times New Roman"/>
                <w:sz w:val="16"/>
                <w:szCs w:val="16"/>
              </w:rPr>
            </w:pPr>
          </w:p>
        </w:tc>
        <w:tc>
          <w:tcPr>
            <w:tcW w:w="192" w:type="pct"/>
            <w:vAlign w:val="bottom"/>
          </w:tcPr>
          <w:p w14:paraId="50B0027F"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50</w:t>
            </w:r>
          </w:p>
        </w:tc>
        <w:tc>
          <w:tcPr>
            <w:tcW w:w="678" w:type="pct"/>
            <w:vAlign w:val="bottom"/>
          </w:tcPr>
          <w:p w14:paraId="0B5CAFFC" w14:textId="77777777" w:rsidR="008A656B" w:rsidRPr="001D2342" w:rsidRDefault="008A656B" w:rsidP="00851097">
            <w:pPr>
              <w:rPr>
                <w:rFonts w:ascii="Times New Roman" w:hAnsi="Times New Roman" w:cs="Times New Roman"/>
                <w:sz w:val="16"/>
                <w:szCs w:val="16"/>
              </w:rPr>
            </w:pPr>
          </w:p>
        </w:tc>
        <w:tc>
          <w:tcPr>
            <w:tcW w:w="242" w:type="pct"/>
            <w:vAlign w:val="bottom"/>
          </w:tcPr>
          <w:p w14:paraId="7DD814F5" w14:textId="77777777" w:rsidR="008A656B" w:rsidRPr="001D2342" w:rsidRDefault="008A656B" w:rsidP="00851097">
            <w:pPr>
              <w:rPr>
                <w:rFonts w:ascii="Times New Roman" w:hAnsi="Times New Roman" w:cs="Times New Roman"/>
                <w:sz w:val="16"/>
                <w:szCs w:val="16"/>
              </w:rPr>
            </w:pPr>
          </w:p>
        </w:tc>
        <w:tc>
          <w:tcPr>
            <w:tcW w:w="259" w:type="pct"/>
            <w:vAlign w:val="bottom"/>
          </w:tcPr>
          <w:p w14:paraId="65A906F8"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1 136,0</w:t>
            </w:r>
          </w:p>
        </w:tc>
        <w:tc>
          <w:tcPr>
            <w:tcW w:w="199" w:type="pct"/>
            <w:vAlign w:val="bottom"/>
          </w:tcPr>
          <w:p w14:paraId="207D3DA0" w14:textId="77777777" w:rsidR="008A656B" w:rsidRPr="001D2342" w:rsidRDefault="008A656B" w:rsidP="00851097">
            <w:pPr>
              <w:rPr>
                <w:rFonts w:ascii="Times New Roman" w:hAnsi="Times New Roman" w:cs="Times New Roman"/>
                <w:sz w:val="16"/>
                <w:szCs w:val="16"/>
              </w:rPr>
            </w:pPr>
          </w:p>
        </w:tc>
        <w:tc>
          <w:tcPr>
            <w:tcW w:w="242" w:type="pct"/>
            <w:vAlign w:val="bottom"/>
          </w:tcPr>
          <w:p w14:paraId="7FB1DB51"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1 852,0</w:t>
            </w:r>
          </w:p>
        </w:tc>
        <w:tc>
          <w:tcPr>
            <w:tcW w:w="243" w:type="pct"/>
            <w:vAlign w:val="bottom"/>
          </w:tcPr>
          <w:p w14:paraId="6537BB78" w14:textId="77777777" w:rsidR="008A656B" w:rsidRPr="001D2342" w:rsidRDefault="008A656B" w:rsidP="00851097">
            <w:pPr>
              <w:rPr>
                <w:rFonts w:ascii="Times New Roman" w:hAnsi="Times New Roman" w:cs="Times New Roman"/>
                <w:sz w:val="16"/>
                <w:szCs w:val="16"/>
              </w:rPr>
            </w:pPr>
          </w:p>
        </w:tc>
      </w:tr>
      <w:tr w:rsidR="008A656B" w:rsidRPr="001D2342" w14:paraId="76BE130D" w14:textId="77777777" w:rsidTr="00851097">
        <w:trPr>
          <w:trHeight w:val="260"/>
        </w:trPr>
        <w:tc>
          <w:tcPr>
            <w:tcW w:w="379" w:type="pct"/>
            <w:vAlign w:val="bottom"/>
          </w:tcPr>
          <w:p w14:paraId="2D075941" w14:textId="77777777" w:rsidR="008A656B" w:rsidRPr="001D2342" w:rsidRDefault="008A656B" w:rsidP="00851097">
            <w:pPr>
              <w:rPr>
                <w:rFonts w:ascii="Times New Roman" w:hAnsi="Times New Roman" w:cs="Times New Roman"/>
                <w:sz w:val="16"/>
                <w:szCs w:val="16"/>
              </w:rPr>
            </w:pPr>
          </w:p>
        </w:tc>
        <w:tc>
          <w:tcPr>
            <w:tcW w:w="261" w:type="pct"/>
            <w:vAlign w:val="bottom"/>
          </w:tcPr>
          <w:p w14:paraId="0DF7E291" w14:textId="77777777" w:rsidR="008A656B" w:rsidRPr="001D2342" w:rsidRDefault="008A656B" w:rsidP="00851097">
            <w:pPr>
              <w:rPr>
                <w:rFonts w:ascii="Times New Roman" w:hAnsi="Times New Roman" w:cs="Times New Roman"/>
                <w:sz w:val="16"/>
                <w:szCs w:val="16"/>
              </w:rPr>
            </w:pPr>
          </w:p>
        </w:tc>
        <w:tc>
          <w:tcPr>
            <w:tcW w:w="364" w:type="pct"/>
            <w:vAlign w:val="bottom"/>
          </w:tcPr>
          <w:p w14:paraId="79BB80E1" w14:textId="77777777" w:rsidR="008A656B" w:rsidRPr="001D2342" w:rsidRDefault="008A656B" w:rsidP="00851097">
            <w:pPr>
              <w:rPr>
                <w:rFonts w:ascii="Times New Roman" w:hAnsi="Times New Roman" w:cs="Times New Roman"/>
                <w:sz w:val="16"/>
                <w:szCs w:val="16"/>
              </w:rPr>
            </w:pPr>
          </w:p>
        </w:tc>
        <w:tc>
          <w:tcPr>
            <w:tcW w:w="373" w:type="pct"/>
            <w:vAlign w:val="bottom"/>
          </w:tcPr>
          <w:p w14:paraId="294C3E63" w14:textId="77777777" w:rsidR="008A656B" w:rsidRPr="001D2342" w:rsidRDefault="008A656B" w:rsidP="00851097">
            <w:pPr>
              <w:rPr>
                <w:rFonts w:ascii="Times New Roman" w:hAnsi="Times New Roman" w:cs="Times New Roman"/>
                <w:sz w:val="16"/>
                <w:szCs w:val="16"/>
              </w:rPr>
            </w:pPr>
          </w:p>
        </w:tc>
        <w:tc>
          <w:tcPr>
            <w:tcW w:w="940" w:type="pct"/>
            <w:vAlign w:val="bottom"/>
          </w:tcPr>
          <w:p w14:paraId="6D021F2C" w14:textId="77777777" w:rsidR="008A656B" w:rsidRPr="001D2342" w:rsidRDefault="008A656B" w:rsidP="00851097">
            <w:pPr>
              <w:rPr>
                <w:rFonts w:ascii="Times New Roman" w:hAnsi="Times New Roman" w:cs="Times New Roman"/>
                <w:sz w:val="16"/>
                <w:szCs w:val="16"/>
              </w:rPr>
            </w:pPr>
          </w:p>
        </w:tc>
        <w:tc>
          <w:tcPr>
            <w:tcW w:w="201" w:type="pct"/>
            <w:shd w:val="clear" w:color="auto" w:fill="D9D9D9" w:themeFill="background1" w:themeFillShade="D9"/>
            <w:vAlign w:val="bottom"/>
          </w:tcPr>
          <w:p w14:paraId="0572D891"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351</w:t>
            </w:r>
          </w:p>
        </w:tc>
        <w:tc>
          <w:tcPr>
            <w:tcW w:w="129" w:type="pct"/>
            <w:shd w:val="clear" w:color="auto" w:fill="D9D9D9" w:themeFill="background1" w:themeFillShade="D9"/>
            <w:vAlign w:val="bottom"/>
          </w:tcPr>
          <w:p w14:paraId="21EAF6A3" w14:textId="77777777" w:rsidR="008A656B" w:rsidRPr="001D2342" w:rsidRDefault="008A656B" w:rsidP="00851097">
            <w:pPr>
              <w:rPr>
                <w:rFonts w:ascii="Times New Roman" w:hAnsi="Times New Roman" w:cs="Times New Roman"/>
                <w:sz w:val="16"/>
                <w:szCs w:val="16"/>
              </w:rPr>
            </w:pPr>
          </w:p>
        </w:tc>
        <w:tc>
          <w:tcPr>
            <w:tcW w:w="189" w:type="pct"/>
            <w:shd w:val="clear" w:color="auto" w:fill="D9D9D9" w:themeFill="background1" w:themeFillShade="D9"/>
            <w:vAlign w:val="bottom"/>
          </w:tcPr>
          <w:p w14:paraId="4E049B6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51</w:t>
            </w:r>
          </w:p>
        </w:tc>
        <w:tc>
          <w:tcPr>
            <w:tcW w:w="110" w:type="pct"/>
            <w:shd w:val="clear" w:color="auto" w:fill="D9D9D9" w:themeFill="background1" w:themeFillShade="D9"/>
            <w:vAlign w:val="bottom"/>
          </w:tcPr>
          <w:p w14:paraId="21CA0C71" w14:textId="77777777" w:rsidR="008A656B" w:rsidRPr="001D2342" w:rsidRDefault="008A656B" w:rsidP="00851097">
            <w:pPr>
              <w:rPr>
                <w:rFonts w:ascii="Times New Roman" w:hAnsi="Times New Roman" w:cs="Times New Roman"/>
                <w:sz w:val="16"/>
                <w:szCs w:val="16"/>
              </w:rPr>
            </w:pPr>
          </w:p>
        </w:tc>
        <w:tc>
          <w:tcPr>
            <w:tcW w:w="192" w:type="pct"/>
            <w:shd w:val="clear" w:color="auto" w:fill="D9D9D9" w:themeFill="background1" w:themeFillShade="D9"/>
            <w:vAlign w:val="bottom"/>
          </w:tcPr>
          <w:p w14:paraId="5F4C1EF8"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69</w:t>
            </w:r>
          </w:p>
        </w:tc>
        <w:tc>
          <w:tcPr>
            <w:tcW w:w="678" w:type="pct"/>
            <w:shd w:val="clear" w:color="auto" w:fill="D9D9D9" w:themeFill="background1" w:themeFillShade="D9"/>
            <w:vAlign w:val="bottom"/>
          </w:tcPr>
          <w:p w14:paraId="064CFAB8"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523B2A87" w14:textId="77777777" w:rsidR="008A656B" w:rsidRPr="001D2342" w:rsidRDefault="008A656B" w:rsidP="00851097">
            <w:pPr>
              <w:rPr>
                <w:rFonts w:ascii="Times New Roman" w:hAnsi="Times New Roman" w:cs="Times New Roman"/>
                <w:sz w:val="16"/>
                <w:szCs w:val="16"/>
              </w:rPr>
            </w:pPr>
          </w:p>
        </w:tc>
        <w:tc>
          <w:tcPr>
            <w:tcW w:w="259" w:type="pct"/>
            <w:shd w:val="clear" w:color="auto" w:fill="D9D9D9" w:themeFill="background1" w:themeFillShade="D9"/>
            <w:vAlign w:val="bottom"/>
          </w:tcPr>
          <w:p w14:paraId="42DB5409"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1 099,0</w:t>
            </w:r>
          </w:p>
        </w:tc>
        <w:tc>
          <w:tcPr>
            <w:tcW w:w="199" w:type="pct"/>
            <w:shd w:val="clear" w:color="auto" w:fill="D9D9D9" w:themeFill="background1" w:themeFillShade="D9"/>
            <w:vAlign w:val="bottom"/>
          </w:tcPr>
          <w:p w14:paraId="7333B2AF"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215AE67A"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1 803,0</w:t>
            </w:r>
          </w:p>
        </w:tc>
        <w:tc>
          <w:tcPr>
            <w:tcW w:w="243" w:type="pct"/>
            <w:shd w:val="clear" w:color="auto" w:fill="D9D9D9" w:themeFill="background1" w:themeFillShade="D9"/>
            <w:vAlign w:val="bottom"/>
          </w:tcPr>
          <w:p w14:paraId="37489663" w14:textId="77777777" w:rsidR="008A656B" w:rsidRPr="001D2342" w:rsidRDefault="008A656B" w:rsidP="00851097">
            <w:pPr>
              <w:rPr>
                <w:rFonts w:ascii="Times New Roman" w:hAnsi="Times New Roman" w:cs="Times New Roman"/>
                <w:sz w:val="16"/>
                <w:szCs w:val="16"/>
              </w:rPr>
            </w:pPr>
          </w:p>
        </w:tc>
      </w:tr>
      <w:tr w:rsidR="008A656B" w:rsidRPr="001D2342" w14:paraId="030FAAA6" w14:textId="77777777" w:rsidTr="00851097">
        <w:trPr>
          <w:trHeight w:val="260"/>
        </w:trPr>
        <w:tc>
          <w:tcPr>
            <w:tcW w:w="379" w:type="pct"/>
            <w:vAlign w:val="bottom"/>
          </w:tcPr>
          <w:p w14:paraId="74EDD7AD"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Pārtika</w:t>
            </w:r>
          </w:p>
        </w:tc>
        <w:tc>
          <w:tcPr>
            <w:tcW w:w="261" w:type="pct"/>
            <w:vAlign w:val="bottom"/>
          </w:tcPr>
          <w:p w14:paraId="6377EEB9"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Vīrieši un sievietes</w:t>
            </w:r>
          </w:p>
        </w:tc>
        <w:tc>
          <w:tcPr>
            <w:tcW w:w="364" w:type="pct"/>
            <w:vAlign w:val="bottom"/>
          </w:tcPr>
          <w:p w14:paraId="0B0E182F"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Beļģija</w:t>
            </w:r>
          </w:p>
        </w:tc>
        <w:tc>
          <w:tcPr>
            <w:tcW w:w="373" w:type="pct"/>
            <w:vAlign w:val="bottom"/>
          </w:tcPr>
          <w:p w14:paraId="36C288E9" w14:textId="77777777" w:rsidR="008A656B" w:rsidRPr="001D2342" w:rsidRDefault="008A656B" w:rsidP="00851097">
            <w:pPr>
              <w:pStyle w:val="Default"/>
              <w:rPr>
                <w:sz w:val="16"/>
                <w:szCs w:val="16"/>
              </w:rPr>
            </w:pPr>
            <w:r>
              <w:rPr>
                <w:sz w:val="16"/>
              </w:rPr>
              <w:t xml:space="preserve">(De Vriese et al., 2006) </w:t>
            </w:r>
          </w:p>
        </w:tc>
        <w:tc>
          <w:tcPr>
            <w:tcW w:w="940" w:type="pct"/>
            <w:vAlign w:val="bottom"/>
          </w:tcPr>
          <w:p w14:paraId="600B1135"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Divas 24 stundu atcerēšanās anketas</w:t>
            </w:r>
          </w:p>
        </w:tc>
        <w:tc>
          <w:tcPr>
            <w:tcW w:w="201" w:type="pct"/>
            <w:vAlign w:val="bottom"/>
          </w:tcPr>
          <w:p w14:paraId="23A011C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873</w:t>
            </w:r>
          </w:p>
        </w:tc>
        <w:tc>
          <w:tcPr>
            <w:tcW w:w="129" w:type="pct"/>
            <w:vAlign w:val="bottom"/>
          </w:tcPr>
          <w:p w14:paraId="4ED77608" w14:textId="77777777" w:rsidR="008A656B" w:rsidRPr="001D2342" w:rsidRDefault="008A656B" w:rsidP="00851097">
            <w:pPr>
              <w:rPr>
                <w:rFonts w:ascii="Times New Roman" w:hAnsi="Times New Roman" w:cs="Times New Roman"/>
                <w:sz w:val="16"/>
                <w:szCs w:val="16"/>
              </w:rPr>
            </w:pPr>
          </w:p>
        </w:tc>
        <w:tc>
          <w:tcPr>
            <w:tcW w:w="189" w:type="pct"/>
            <w:vAlign w:val="bottom"/>
          </w:tcPr>
          <w:p w14:paraId="3AD7F037"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19</w:t>
            </w:r>
          </w:p>
        </w:tc>
        <w:tc>
          <w:tcPr>
            <w:tcW w:w="110" w:type="pct"/>
            <w:vAlign w:val="bottom"/>
          </w:tcPr>
          <w:p w14:paraId="0927499F" w14:textId="77777777" w:rsidR="008A656B" w:rsidRPr="001D2342" w:rsidRDefault="008A656B" w:rsidP="00851097">
            <w:pPr>
              <w:rPr>
                <w:rFonts w:ascii="Times New Roman" w:hAnsi="Times New Roman" w:cs="Times New Roman"/>
                <w:sz w:val="16"/>
                <w:szCs w:val="16"/>
              </w:rPr>
            </w:pPr>
          </w:p>
        </w:tc>
        <w:tc>
          <w:tcPr>
            <w:tcW w:w="192" w:type="pct"/>
            <w:vAlign w:val="bottom"/>
          </w:tcPr>
          <w:p w14:paraId="434011D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59</w:t>
            </w:r>
          </w:p>
        </w:tc>
        <w:tc>
          <w:tcPr>
            <w:tcW w:w="678" w:type="pct"/>
            <w:vAlign w:val="bottom"/>
          </w:tcPr>
          <w:p w14:paraId="0BF9E823" w14:textId="77777777" w:rsidR="008A656B" w:rsidRPr="001D2342" w:rsidRDefault="008A656B" w:rsidP="00851097">
            <w:pPr>
              <w:rPr>
                <w:rFonts w:ascii="Times New Roman" w:hAnsi="Times New Roman" w:cs="Times New Roman"/>
                <w:sz w:val="16"/>
                <w:szCs w:val="16"/>
              </w:rPr>
            </w:pPr>
          </w:p>
        </w:tc>
        <w:tc>
          <w:tcPr>
            <w:tcW w:w="242" w:type="pct"/>
            <w:vAlign w:val="bottom"/>
          </w:tcPr>
          <w:p w14:paraId="0D4B3792"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813,3</w:t>
            </w:r>
          </w:p>
        </w:tc>
        <w:tc>
          <w:tcPr>
            <w:tcW w:w="259" w:type="pct"/>
            <w:vAlign w:val="bottom"/>
          </w:tcPr>
          <w:p w14:paraId="199FA000" w14:textId="77777777" w:rsidR="008A656B" w:rsidRPr="001D2342" w:rsidRDefault="008A656B" w:rsidP="00851097">
            <w:pPr>
              <w:rPr>
                <w:rFonts w:ascii="Times New Roman" w:hAnsi="Times New Roman" w:cs="Times New Roman"/>
                <w:sz w:val="16"/>
                <w:szCs w:val="16"/>
              </w:rPr>
            </w:pPr>
          </w:p>
        </w:tc>
        <w:tc>
          <w:tcPr>
            <w:tcW w:w="199" w:type="pct"/>
            <w:vAlign w:val="bottom"/>
          </w:tcPr>
          <w:p w14:paraId="1BC9F02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978,0</w:t>
            </w:r>
          </w:p>
        </w:tc>
        <w:tc>
          <w:tcPr>
            <w:tcW w:w="242" w:type="pct"/>
            <w:vAlign w:val="bottom"/>
          </w:tcPr>
          <w:p w14:paraId="2D0FAF76" w14:textId="77777777" w:rsidR="008A656B" w:rsidRPr="001D2342" w:rsidRDefault="008A656B" w:rsidP="00851097">
            <w:pPr>
              <w:rPr>
                <w:rFonts w:ascii="Times New Roman" w:hAnsi="Times New Roman" w:cs="Times New Roman"/>
                <w:sz w:val="16"/>
                <w:szCs w:val="16"/>
              </w:rPr>
            </w:pPr>
          </w:p>
        </w:tc>
        <w:tc>
          <w:tcPr>
            <w:tcW w:w="243" w:type="pct"/>
            <w:vAlign w:val="bottom"/>
          </w:tcPr>
          <w:p w14:paraId="4DCB15C9" w14:textId="77777777" w:rsidR="008A656B" w:rsidRPr="001D2342" w:rsidRDefault="008A656B" w:rsidP="00851097">
            <w:pPr>
              <w:rPr>
                <w:rFonts w:ascii="Times New Roman" w:hAnsi="Times New Roman" w:cs="Times New Roman"/>
                <w:sz w:val="16"/>
                <w:szCs w:val="16"/>
              </w:rPr>
            </w:pPr>
          </w:p>
        </w:tc>
      </w:tr>
      <w:tr w:rsidR="008A656B" w:rsidRPr="001D2342" w14:paraId="35EAE0A9" w14:textId="77777777" w:rsidTr="00851097">
        <w:trPr>
          <w:trHeight w:val="260"/>
        </w:trPr>
        <w:tc>
          <w:tcPr>
            <w:tcW w:w="379" w:type="pct"/>
            <w:vAlign w:val="bottom"/>
          </w:tcPr>
          <w:p w14:paraId="0B1241A1" w14:textId="77777777" w:rsidR="008A656B" w:rsidRPr="001D2342" w:rsidRDefault="008A656B" w:rsidP="00851097">
            <w:pPr>
              <w:rPr>
                <w:rFonts w:ascii="Times New Roman" w:hAnsi="Times New Roman" w:cs="Times New Roman"/>
                <w:sz w:val="16"/>
                <w:szCs w:val="16"/>
              </w:rPr>
            </w:pPr>
          </w:p>
        </w:tc>
        <w:tc>
          <w:tcPr>
            <w:tcW w:w="261" w:type="pct"/>
            <w:vAlign w:val="bottom"/>
          </w:tcPr>
          <w:p w14:paraId="566C6E1E" w14:textId="77777777" w:rsidR="008A656B" w:rsidRPr="001D2342" w:rsidRDefault="008A656B" w:rsidP="00851097">
            <w:pPr>
              <w:rPr>
                <w:rFonts w:ascii="Times New Roman" w:hAnsi="Times New Roman" w:cs="Times New Roman"/>
                <w:sz w:val="16"/>
                <w:szCs w:val="16"/>
              </w:rPr>
            </w:pPr>
          </w:p>
        </w:tc>
        <w:tc>
          <w:tcPr>
            <w:tcW w:w="364" w:type="pct"/>
            <w:vAlign w:val="bottom"/>
          </w:tcPr>
          <w:p w14:paraId="18C96150" w14:textId="77777777" w:rsidR="008A656B" w:rsidRPr="001D2342" w:rsidRDefault="008A656B" w:rsidP="00851097">
            <w:pPr>
              <w:rPr>
                <w:rFonts w:ascii="Times New Roman" w:hAnsi="Times New Roman" w:cs="Times New Roman"/>
                <w:sz w:val="16"/>
                <w:szCs w:val="16"/>
              </w:rPr>
            </w:pPr>
          </w:p>
        </w:tc>
        <w:tc>
          <w:tcPr>
            <w:tcW w:w="373" w:type="pct"/>
            <w:vAlign w:val="bottom"/>
          </w:tcPr>
          <w:p w14:paraId="00A6FE40" w14:textId="77777777" w:rsidR="008A656B" w:rsidRPr="001D2342" w:rsidRDefault="008A656B" w:rsidP="00851097">
            <w:pPr>
              <w:rPr>
                <w:rFonts w:ascii="Times New Roman" w:hAnsi="Times New Roman" w:cs="Times New Roman"/>
                <w:sz w:val="16"/>
                <w:szCs w:val="16"/>
              </w:rPr>
            </w:pPr>
          </w:p>
        </w:tc>
        <w:tc>
          <w:tcPr>
            <w:tcW w:w="940" w:type="pct"/>
            <w:vAlign w:val="bottom"/>
          </w:tcPr>
          <w:p w14:paraId="21749BF8" w14:textId="77777777" w:rsidR="008A656B" w:rsidRPr="001D2342" w:rsidRDefault="008A656B" w:rsidP="00851097">
            <w:pPr>
              <w:rPr>
                <w:rFonts w:ascii="Times New Roman" w:hAnsi="Times New Roman" w:cs="Times New Roman"/>
                <w:sz w:val="16"/>
                <w:szCs w:val="16"/>
              </w:rPr>
            </w:pPr>
          </w:p>
        </w:tc>
        <w:tc>
          <w:tcPr>
            <w:tcW w:w="201" w:type="pct"/>
            <w:shd w:val="clear" w:color="auto" w:fill="D9D9D9" w:themeFill="background1" w:themeFillShade="D9"/>
            <w:vAlign w:val="bottom"/>
          </w:tcPr>
          <w:p w14:paraId="11902DD9"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822</w:t>
            </w:r>
          </w:p>
        </w:tc>
        <w:tc>
          <w:tcPr>
            <w:tcW w:w="129" w:type="pct"/>
            <w:shd w:val="clear" w:color="auto" w:fill="D9D9D9" w:themeFill="background1" w:themeFillShade="D9"/>
            <w:vAlign w:val="bottom"/>
          </w:tcPr>
          <w:p w14:paraId="633B9803" w14:textId="77777777" w:rsidR="008A656B" w:rsidRPr="001D2342" w:rsidRDefault="008A656B" w:rsidP="00851097">
            <w:pPr>
              <w:rPr>
                <w:rFonts w:ascii="Times New Roman" w:hAnsi="Times New Roman" w:cs="Times New Roman"/>
                <w:sz w:val="16"/>
                <w:szCs w:val="16"/>
              </w:rPr>
            </w:pPr>
          </w:p>
        </w:tc>
        <w:tc>
          <w:tcPr>
            <w:tcW w:w="189" w:type="pct"/>
            <w:shd w:val="clear" w:color="auto" w:fill="D9D9D9" w:themeFill="background1" w:themeFillShade="D9"/>
            <w:vAlign w:val="bottom"/>
          </w:tcPr>
          <w:p w14:paraId="004399C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60</w:t>
            </w:r>
          </w:p>
        </w:tc>
        <w:tc>
          <w:tcPr>
            <w:tcW w:w="110" w:type="pct"/>
            <w:shd w:val="clear" w:color="auto" w:fill="D9D9D9" w:themeFill="background1" w:themeFillShade="D9"/>
            <w:vAlign w:val="bottom"/>
          </w:tcPr>
          <w:p w14:paraId="3C6FFC14" w14:textId="77777777" w:rsidR="008A656B" w:rsidRPr="001D2342" w:rsidRDefault="008A656B" w:rsidP="00851097">
            <w:pPr>
              <w:rPr>
                <w:rFonts w:ascii="Times New Roman" w:hAnsi="Times New Roman" w:cs="Times New Roman"/>
                <w:sz w:val="16"/>
                <w:szCs w:val="16"/>
              </w:rPr>
            </w:pPr>
          </w:p>
        </w:tc>
        <w:tc>
          <w:tcPr>
            <w:tcW w:w="192" w:type="pct"/>
            <w:shd w:val="clear" w:color="auto" w:fill="D9D9D9" w:themeFill="background1" w:themeFillShade="D9"/>
            <w:vAlign w:val="bottom"/>
          </w:tcPr>
          <w:p w14:paraId="2F26645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74</w:t>
            </w:r>
          </w:p>
        </w:tc>
        <w:tc>
          <w:tcPr>
            <w:tcW w:w="678" w:type="pct"/>
            <w:shd w:val="clear" w:color="auto" w:fill="D9D9D9" w:themeFill="background1" w:themeFillShade="D9"/>
            <w:vAlign w:val="bottom"/>
          </w:tcPr>
          <w:p w14:paraId="6EE4DE28"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5D2BA256"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695,4</w:t>
            </w:r>
          </w:p>
        </w:tc>
        <w:tc>
          <w:tcPr>
            <w:tcW w:w="259" w:type="pct"/>
            <w:shd w:val="clear" w:color="auto" w:fill="D9D9D9" w:themeFill="background1" w:themeFillShade="D9"/>
            <w:vAlign w:val="bottom"/>
          </w:tcPr>
          <w:p w14:paraId="6DFF962E" w14:textId="77777777" w:rsidR="008A656B" w:rsidRPr="001D2342" w:rsidRDefault="008A656B" w:rsidP="00851097">
            <w:pPr>
              <w:rPr>
                <w:rFonts w:ascii="Times New Roman" w:hAnsi="Times New Roman" w:cs="Times New Roman"/>
                <w:sz w:val="16"/>
                <w:szCs w:val="16"/>
              </w:rPr>
            </w:pPr>
          </w:p>
        </w:tc>
        <w:tc>
          <w:tcPr>
            <w:tcW w:w="199" w:type="pct"/>
            <w:shd w:val="clear" w:color="auto" w:fill="D9D9D9" w:themeFill="background1" w:themeFillShade="D9"/>
            <w:vAlign w:val="bottom"/>
          </w:tcPr>
          <w:p w14:paraId="013153D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847,0</w:t>
            </w:r>
          </w:p>
        </w:tc>
        <w:tc>
          <w:tcPr>
            <w:tcW w:w="242" w:type="pct"/>
            <w:shd w:val="clear" w:color="auto" w:fill="D9D9D9" w:themeFill="background1" w:themeFillShade="D9"/>
            <w:vAlign w:val="bottom"/>
          </w:tcPr>
          <w:p w14:paraId="5C6AB6D3" w14:textId="77777777" w:rsidR="008A656B" w:rsidRPr="001D2342" w:rsidRDefault="008A656B" w:rsidP="00851097">
            <w:pPr>
              <w:rPr>
                <w:rFonts w:ascii="Times New Roman" w:hAnsi="Times New Roman" w:cs="Times New Roman"/>
                <w:sz w:val="16"/>
                <w:szCs w:val="16"/>
              </w:rPr>
            </w:pPr>
          </w:p>
        </w:tc>
        <w:tc>
          <w:tcPr>
            <w:tcW w:w="243" w:type="pct"/>
            <w:shd w:val="clear" w:color="auto" w:fill="D9D9D9" w:themeFill="background1" w:themeFillShade="D9"/>
            <w:vAlign w:val="bottom"/>
          </w:tcPr>
          <w:p w14:paraId="04F49453" w14:textId="77777777" w:rsidR="008A656B" w:rsidRPr="001D2342" w:rsidRDefault="008A656B" w:rsidP="00851097">
            <w:pPr>
              <w:rPr>
                <w:rFonts w:ascii="Times New Roman" w:hAnsi="Times New Roman" w:cs="Times New Roman"/>
                <w:sz w:val="16"/>
                <w:szCs w:val="16"/>
              </w:rPr>
            </w:pPr>
          </w:p>
        </w:tc>
      </w:tr>
      <w:tr w:rsidR="008A656B" w:rsidRPr="001D2342" w14:paraId="770FF5FA" w14:textId="77777777" w:rsidTr="00851097">
        <w:trPr>
          <w:trHeight w:val="260"/>
        </w:trPr>
        <w:tc>
          <w:tcPr>
            <w:tcW w:w="379" w:type="pct"/>
            <w:vAlign w:val="bottom"/>
          </w:tcPr>
          <w:p w14:paraId="0EB98931" w14:textId="77777777" w:rsidR="008A656B" w:rsidRPr="001D2342" w:rsidRDefault="008A656B" w:rsidP="00851097">
            <w:pPr>
              <w:rPr>
                <w:rFonts w:ascii="Times New Roman" w:hAnsi="Times New Roman" w:cs="Times New Roman"/>
                <w:sz w:val="16"/>
                <w:szCs w:val="16"/>
              </w:rPr>
            </w:pPr>
          </w:p>
        </w:tc>
        <w:tc>
          <w:tcPr>
            <w:tcW w:w="261" w:type="pct"/>
            <w:vAlign w:val="bottom"/>
          </w:tcPr>
          <w:p w14:paraId="7ED0CF73" w14:textId="77777777" w:rsidR="008A656B" w:rsidRPr="001D2342" w:rsidRDefault="008A656B" w:rsidP="00851097">
            <w:pPr>
              <w:rPr>
                <w:rFonts w:ascii="Times New Roman" w:hAnsi="Times New Roman" w:cs="Times New Roman"/>
                <w:sz w:val="16"/>
                <w:szCs w:val="16"/>
              </w:rPr>
            </w:pPr>
          </w:p>
        </w:tc>
        <w:tc>
          <w:tcPr>
            <w:tcW w:w="364" w:type="pct"/>
            <w:vAlign w:val="bottom"/>
          </w:tcPr>
          <w:p w14:paraId="2BB366E4" w14:textId="77777777" w:rsidR="008A656B" w:rsidRPr="001D2342" w:rsidRDefault="008A656B" w:rsidP="00851097">
            <w:pPr>
              <w:rPr>
                <w:rFonts w:ascii="Times New Roman" w:hAnsi="Times New Roman" w:cs="Times New Roman"/>
                <w:sz w:val="16"/>
                <w:szCs w:val="16"/>
              </w:rPr>
            </w:pPr>
          </w:p>
        </w:tc>
        <w:tc>
          <w:tcPr>
            <w:tcW w:w="373" w:type="pct"/>
            <w:vAlign w:val="bottom"/>
          </w:tcPr>
          <w:p w14:paraId="1C7EF2E6" w14:textId="77777777" w:rsidR="008A656B" w:rsidRPr="001D2342" w:rsidRDefault="008A656B" w:rsidP="00851097">
            <w:pPr>
              <w:rPr>
                <w:rFonts w:ascii="Times New Roman" w:hAnsi="Times New Roman" w:cs="Times New Roman"/>
                <w:sz w:val="16"/>
                <w:szCs w:val="16"/>
              </w:rPr>
            </w:pPr>
          </w:p>
        </w:tc>
        <w:tc>
          <w:tcPr>
            <w:tcW w:w="940" w:type="pct"/>
            <w:vAlign w:val="bottom"/>
          </w:tcPr>
          <w:p w14:paraId="4D3932A0" w14:textId="77777777" w:rsidR="008A656B" w:rsidRPr="001D2342" w:rsidRDefault="008A656B" w:rsidP="00851097">
            <w:pPr>
              <w:rPr>
                <w:rFonts w:ascii="Times New Roman" w:hAnsi="Times New Roman" w:cs="Times New Roman"/>
                <w:sz w:val="16"/>
                <w:szCs w:val="16"/>
              </w:rPr>
            </w:pPr>
          </w:p>
        </w:tc>
        <w:tc>
          <w:tcPr>
            <w:tcW w:w="201" w:type="pct"/>
            <w:shd w:val="clear" w:color="auto" w:fill="D9D9D9" w:themeFill="background1" w:themeFillShade="D9"/>
            <w:vAlign w:val="bottom"/>
          </w:tcPr>
          <w:p w14:paraId="2658127F"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744</w:t>
            </w:r>
          </w:p>
        </w:tc>
        <w:tc>
          <w:tcPr>
            <w:tcW w:w="129" w:type="pct"/>
            <w:shd w:val="clear" w:color="auto" w:fill="D9D9D9" w:themeFill="background1" w:themeFillShade="D9"/>
            <w:vAlign w:val="bottom"/>
          </w:tcPr>
          <w:p w14:paraId="1BCA5AF8" w14:textId="77777777" w:rsidR="008A656B" w:rsidRPr="001D2342" w:rsidRDefault="008A656B" w:rsidP="00851097">
            <w:pPr>
              <w:rPr>
                <w:rFonts w:ascii="Times New Roman" w:hAnsi="Times New Roman" w:cs="Times New Roman"/>
                <w:sz w:val="16"/>
                <w:szCs w:val="16"/>
              </w:rPr>
            </w:pPr>
          </w:p>
        </w:tc>
        <w:tc>
          <w:tcPr>
            <w:tcW w:w="189" w:type="pct"/>
            <w:shd w:val="clear" w:color="auto" w:fill="D9D9D9" w:themeFill="background1" w:themeFillShade="D9"/>
            <w:vAlign w:val="bottom"/>
          </w:tcPr>
          <w:p w14:paraId="3D10A4DA"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75</w:t>
            </w:r>
          </w:p>
        </w:tc>
        <w:tc>
          <w:tcPr>
            <w:tcW w:w="110" w:type="pct"/>
            <w:shd w:val="clear" w:color="auto" w:fill="D9D9D9" w:themeFill="background1" w:themeFillShade="D9"/>
            <w:vAlign w:val="bottom"/>
          </w:tcPr>
          <w:p w14:paraId="429100FC" w14:textId="77777777" w:rsidR="008A656B" w:rsidRPr="001D2342" w:rsidRDefault="008A656B" w:rsidP="00851097">
            <w:pPr>
              <w:pStyle w:val="Default"/>
              <w:rPr>
                <w:sz w:val="16"/>
                <w:szCs w:val="16"/>
              </w:rPr>
            </w:pPr>
            <w:r>
              <w:rPr>
                <w:sz w:val="16"/>
              </w:rPr>
              <w:t xml:space="preserve">&gt; </w:t>
            </w:r>
          </w:p>
        </w:tc>
        <w:tc>
          <w:tcPr>
            <w:tcW w:w="192" w:type="pct"/>
            <w:shd w:val="clear" w:color="auto" w:fill="D9D9D9" w:themeFill="background1" w:themeFillShade="D9"/>
            <w:vAlign w:val="bottom"/>
          </w:tcPr>
          <w:p w14:paraId="4FDF8974"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75</w:t>
            </w:r>
          </w:p>
        </w:tc>
        <w:tc>
          <w:tcPr>
            <w:tcW w:w="678" w:type="pct"/>
            <w:shd w:val="clear" w:color="auto" w:fill="D9D9D9" w:themeFill="background1" w:themeFillShade="D9"/>
            <w:vAlign w:val="bottom"/>
          </w:tcPr>
          <w:p w14:paraId="4DA91309"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6A4C2FB0"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623,7</w:t>
            </w:r>
          </w:p>
        </w:tc>
        <w:tc>
          <w:tcPr>
            <w:tcW w:w="259" w:type="pct"/>
            <w:shd w:val="clear" w:color="auto" w:fill="D9D9D9" w:themeFill="background1" w:themeFillShade="D9"/>
            <w:vAlign w:val="bottom"/>
          </w:tcPr>
          <w:p w14:paraId="07CE509A" w14:textId="77777777" w:rsidR="008A656B" w:rsidRPr="001D2342" w:rsidRDefault="008A656B" w:rsidP="00851097">
            <w:pPr>
              <w:rPr>
                <w:rFonts w:ascii="Times New Roman" w:hAnsi="Times New Roman" w:cs="Times New Roman"/>
                <w:sz w:val="16"/>
                <w:szCs w:val="16"/>
              </w:rPr>
            </w:pPr>
          </w:p>
        </w:tc>
        <w:tc>
          <w:tcPr>
            <w:tcW w:w="199" w:type="pct"/>
            <w:shd w:val="clear" w:color="auto" w:fill="D9D9D9" w:themeFill="background1" w:themeFillShade="D9"/>
            <w:vAlign w:val="bottom"/>
          </w:tcPr>
          <w:p w14:paraId="10F6D95F"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755,0</w:t>
            </w:r>
          </w:p>
        </w:tc>
        <w:tc>
          <w:tcPr>
            <w:tcW w:w="242" w:type="pct"/>
            <w:shd w:val="clear" w:color="auto" w:fill="D9D9D9" w:themeFill="background1" w:themeFillShade="D9"/>
            <w:vAlign w:val="bottom"/>
          </w:tcPr>
          <w:p w14:paraId="68FDD88B" w14:textId="77777777" w:rsidR="008A656B" w:rsidRPr="001D2342" w:rsidRDefault="008A656B" w:rsidP="00851097">
            <w:pPr>
              <w:rPr>
                <w:rFonts w:ascii="Times New Roman" w:hAnsi="Times New Roman" w:cs="Times New Roman"/>
                <w:sz w:val="16"/>
                <w:szCs w:val="16"/>
              </w:rPr>
            </w:pPr>
          </w:p>
        </w:tc>
        <w:tc>
          <w:tcPr>
            <w:tcW w:w="243" w:type="pct"/>
            <w:shd w:val="clear" w:color="auto" w:fill="D9D9D9" w:themeFill="background1" w:themeFillShade="D9"/>
            <w:vAlign w:val="bottom"/>
          </w:tcPr>
          <w:p w14:paraId="6D692DD3" w14:textId="77777777" w:rsidR="008A656B" w:rsidRPr="001D2342" w:rsidRDefault="008A656B" w:rsidP="00851097">
            <w:pPr>
              <w:rPr>
                <w:rFonts w:ascii="Times New Roman" w:hAnsi="Times New Roman" w:cs="Times New Roman"/>
                <w:sz w:val="16"/>
                <w:szCs w:val="16"/>
              </w:rPr>
            </w:pPr>
          </w:p>
        </w:tc>
      </w:tr>
      <w:tr w:rsidR="008A656B" w:rsidRPr="001D2342" w14:paraId="1B3541CF" w14:textId="77777777" w:rsidTr="00851097">
        <w:trPr>
          <w:trHeight w:val="260"/>
        </w:trPr>
        <w:tc>
          <w:tcPr>
            <w:tcW w:w="379" w:type="pct"/>
            <w:vAlign w:val="bottom"/>
          </w:tcPr>
          <w:p w14:paraId="3A5C819D" w14:textId="77777777" w:rsidR="008A656B" w:rsidRPr="001D2342" w:rsidRDefault="008A656B" w:rsidP="00851097">
            <w:pPr>
              <w:rPr>
                <w:rFonts w:ascii="Times New Roman" w:hAnsi="Times New Roman" w:cs="Times New Roman"/>
                <w:sz w:val="16"/>
                <w:szCs w:val="16"/>
              </w:rPr>
            </w:pPr>
          </w:p>
        </w:tc>
        <w:tc>
          <w:tcPr>
            <w:tcW w:w="261" w:type="pct"/>
            <w:vAlign w:val="bottom"/>
          </w:tcPr>
          <w:p w14:paraId="09E53F60" w14:textId="77777777" w:rsidR="008A656B" w:rsidRPr="001D2342" w:rsidRDefault="008A656B" w:rsidP="00851097">
            <w:pPr>
              <w:rPr>
                <w:rFonts w:ascii="Times New Roman" w:hAnsi="Times New Roman" w:cs="Times New Roman"/>
                <w:sz w:val="16"/>
                <w:szCs w:val="16"/>
              </w:rPr>
            </w:pPr>
          </w:p>
        </w:tc>
        <w:tc>
          <w:tcPr>
            <w:tcW w:w="364" w:type="pct"/>
            <w:vAlign w:val="bottom"/>
          </w:tcPr>
          <w:p w14:paraId="3ABD0976"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Francija</w:t>
            </w:r>
          </w:p>
        </w:tc>
        <w:tc>
          <w:tcPr>
            <w:tcW w:w="373" w:type="pct"/>
            <w:vAlign w:val="bottom"/>
          </w:tcPr>
          <w:p w14:paraId="0120C791"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(Dufour et al., 2010)</w:t>
            </w:r>
          </w:p>
        </w:tc>
        <w:tc>
          <w:tcPr>
            <w:tcW w:w="940" w:type="pct"/>
            <w:vAlign w:val="bottom"/>
          </w:tcPr>
          <w:p w14:paraId="6194B507"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7 dienu uztura pieraksts</w:t>
            </w:r>
          </w:p>
        </w:tc>
        <w:tc>
          <w:tcPr>
            <w:tcW w:w="201" w:type="pct"/>
            <w:vAlign w:val="bottom"/>
          </w:tcPr>
          <w:p w14:paraId="20F1C5F5"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1 918</w:t>
            </w:r>
          </w:p>
        </w:tc>
        <w:tc>
          <w:tcPr>
            <w:tcW w:w="129" w:type="pct"/>
            <w:vAlign w:val="bottom"/>
          </w:tcPr>
          <w:p w14:paraId="764402F8" w14:textId="77777777" w:rsidR="008A656B" w:rsidRPr="001D2342" w:rsidRDefault="008A656B" w:rsidP="00851097">
            <w:pPr>
              <w:rPr>
                <w:rFonts w:ascii="Times New Roman" w:hAnsi="Times New Roman" w:cs="Times New Roman"/>
                <w:sz w:val="16"/>
                <w:szCs w:val="16"/>
              </w:rPr>
            </w:pPr>
          </w:p>
        </w:tc>
        <w:tc>
          <w:tcPr>
            <w:tcW w:w="189" w:type="pct"/>
            <w:vAlign w:val="bottom"/>
          </w:tcPr>
          <w:p w14:paraId="2A32E26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18</w:t>
            </w:r>
          </w:p>
        </w:tc>
        <w:tc>
          <w:tcPr>
            <w:tcW w:w="110" w:type="pct"/>
            <w:vAlign w:val="bottom"/>
          </w:tcPr>
          <w:p w14:paraId="7D252CA9" w14:textId="77777777" w:rsidR="008A656B" w:rsidRPr="001D2342" w:rsidRDefault="008A656B" w:rsidP="00851097">
            <w:pPr>
              <w:rPr>
                <w:rFonts w:ascii="Times New Roman" w:hAnsi="Times New Roman" w:cs="Times New Roman"/>
                <w:sz w:val="16"/>
                <w:szCs w:val="16"/>
              </w:rPr>
            </w:pPr>
          </w:p>
        </w:tc>
        <w:tc>
          <w:tcPr>
            <w:tcW w:w="192" w:type="pct"/>
            <w:vAlign w:val="bottom"/>
          </w:tcPr>
          <w:p w14:paraId="162F5106"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79</w:t>
            </w:r>
          </w:p>
        </w:tc>
        <w:tc>
          <w:tcPr>
            <w:tcW w:w="678" w:type="pct"/>
            <w:vAlign w:val="bottom"/>
          </w:tcPr>
          <w:p w14:paraId="30440FF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Cilvēki, kas sniedza datus pilnā apjomā. Bez bagātinātas pārtikas</w:t>
            </w:r>
          </w:p>
        </w:tc>
        <w:tc>
          <w:tcPr>
            <w:tcW w:w="242" w:type="pct"/>
            <w:vAlign w:val="bottom"/>
          </w:tcPr>
          <w:p w14:paraId="3E249CA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913,1</w:t>
            </w:r>
          </w:p>
        </w:tc>
        <w:tc>
          <w:tcPr>
            <w:tcW w:w="259" w:type="pct"/>
            <w:vAlign w:val="bottom"/>
          </w:tcPr>
          <w:p w14:paraId="1D9B193A" w14:textId="77777777" w:rsidR="008A656B" w:rsidRPr="001D2342" w:rsidRDefault="008A656B" w:rsidP="00851097">
            <w:pPr>
              <w:rPr>
                <w:rFonts w:ascii="Times New Roman" w:hAnsi="Times New Roman" w:cs="Times New Roman"/>
                <w:sz w:val="16"/>
                <w:szCs w:val="16"/>
              </w:rPr>
            </w:pPr>
          </w:p>
        </w:tc>
        <w:tc>
          <w:tcPr>
            <w:tcW w:w="199" w:type="pct"/>
            <w:vAlign w:val="bottom"/>
          </w:tcPr>
          <w:p w14:paraId="62237606" w14:textId="77777777" w:rsidR="008A656B" w:rsidRPr="001D2342" w:rsidRDefault="008A656B" w:rsidP="00851097">
            <w:pPr>
              <w:rPr>
                <w:rFonts w:ascii="Times New Roman" w:hAnsi="Times New Roman" w:cs="Times New Roman"/>
                <w:sz w:val="16"/>
                <w:szCs w:val="16"/>
              </w:rPr>
            </w:pPr>
          </w:p>
        </w:tc>
        <w:tc>
          <w:tcPr>
            <w:tcW w:w="242" w:type="pct"/>
            <w:vAlign w:val="bottom"/>
          </w:tcPr>
          <w:p w14:paraId="0573A79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1 487,5</w:t>
            </w:r>
          </w:p>
        </w:tc>
        <w:tc>
          <w:tcPr>
            <w:tcW w:w="243" w:type="pct"/>
            <w:vAlign w:val="bottom"/>
          </w:tcPr>
          <w:p w14:paraId="40F1E6EF"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1 652,0</w:t>
            </w:r>
          </w:p>
        </w:tc>
      </w:tr>
      <w:tr w:rsidR="008A656B" w:rsidRPr="001D2342" w14:paraId="02B70613" w14:textId="77777777" w:rsidTr="00851097">
        <w:trPr>
          <w:trHeight w:val="260"/>
        </w:trPr>
        <w:tc>
          <w:tcPr>
            <w:tcW w:w="379" w:type="pct"/>
            <w:vAlign w:val="bottom"/>
          </w:tcPr>
          <w:p w14:paraId="652A53A6" w14:textId="77777777" w:rsidR="008A656B" w:rsidRPr="001D2342" w:rsidRDefault="008A656B" w:rsidP="00851097">
            <w:pPr>
              <w:rPr>
                <w:rFonts w:ascii="Times New Roman" w:hAnsi="Times New Roman" w:cs="Times New Roman"/>
                <w:sz w:val="16"/>
                <w:szCs w:val="16"/>
              </w:rPr>
            </w:pPr>
          </w:p>
        </w:tc>
        <w:tc>
          <w:tcPr>
            <w:tcW w:w="261" w:type="pct"/>
            <w:vAlign w:val="bottom"/>
          </w:tcPr>
          <w:p w14:paraId="23D80303" w14:textId="77777777" w:rsidR="008A656B" w:rsidRPr="001D2342" w:rsidRDefault="008A656B" w:rsidP="00851097">
            <w:pPr>
              <w:rPr>
                <w:rFonts w:ascii="Times New Roman" w:hAnsi="Times New Roman" w:cs="Times New Roman"/>
                <w:sz w:val="16"/>
                <w:szCs w:val="16"/>
              </w:rPr>
            </w:pPr>
          </w:p>
        </w:tc>
        <w:tc>
          <w:tcPr>
            <w:tcW w:w="364" w:type="pct"/>
            <w:vAlign w:val="bottom"/>
          </w:tcPr>
          <w:p w14:paraId="30F85FA9"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Īrija</w:t>
            </w:r>
          </w:p>
        </w:tc>
        <w:tc>
          <w:tcPr>
            <w:tcW w:w="373" w:type="pct"/>
            <w:vAlign w:val="bottom"/>
          </w:tcPr>
          <w:p w14:paraId="437A9A81" w14:textId="77777777" w:rsidR="008A656B" w:rsidRPr="001D2342" w:rsidRDefault="008A656B" w:rsidP="00851097">
            <w:pPr>
              <w:pStyle w:val="Default"/>
              <w:rPr>
                <w:sz w:val="16"/>
                <w:szCs w:val="16"/>
              </w:rPr>
            </w:pPr>
            <w:r>
              <w:rPr>
                <w:sz w:val="16"/>
              </w:rPr>
              <w:t>(IUNA (Irish Universities Nutrition Alliance), 2011)</w:t>
            </w:r>
          </w:p>
        </w:tc>
        <w:tc>
          <w:tcPr>
            <w:tcW w:w="940" w:type="pct"/>
            <w:vAlign w:val="bottom"/>
          </w:tcPr>
          <w:p w14:paraId="518624F9"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4 dienu uztura pieraksts</w:t>
            </w:r>
          </w:p>
        </w:tc>
        <w:tc>
          <w:tcPr>
            <w:tcW w:w="201" w:type="pct"/>
            <w:shd w:val="clear" w:color="auto" w:fill="D9D9D9" w:themeFill="background1" w:themeFillShade="D9"/>
            <w:vAlign w:val="bottom"/>
          </w:tcPr>
          <w:p w14:paraId="224543B1"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226</w:t>
            </w:r>
          </w:p>
        </w:tc>
        <w:tc>
          <w:tcPr>
            <w:tcW w:w="129" w:type="pct"/>
            <w:shd w:val="clear" w:color="auto" w:fill="D9D9D9" w:themeFill="background1" w:themeFillShade="D9"/>
            <w:vAlign w:val="bottom"/>
          </w:tcPr>
          <w:p w14:paraId="5642B1F8" w14:textId="77777777" w:rsidR="008A656B" w:rsidRPr="001D2342" w:rsidRDefault="008A656B" w:rsidP="00851097">
            <w:pPr>
              <w:rPr>
                <w:rFonts w:ascii="Times New Roman" w:hAnsi="Times New Roman" w:cs="Times New Roman"/>
                <w:sz w:val="16"/>
                <w:szCs w:val="16"/>
              </w:rPr>
            </w:pPr>
          </w:p>
        </w:tc>
        <w:tc>
          <w:tcPr>
            <w:tcW w:w="189" w:type="pct"/>
            <w:shd w:val="clear" w:color="auto" w:fill="D9D9D9" w:themeFill="background1" w:themeFillShade="D9"/>
            <w:vAlign w:val="bottom"/>
          </w:tcPr>
          <w:p w14:paraId="57B25AA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65</w:t>
            </w:r>
          </w:p>
        </w:tc>
        <w:tc>
          <w:tcPr>
            <w:tcW w:w="110" w:type="pct"/>
            <w:shd w:val="clear" w:color="auto" w:fill="D9D9D9" w:themeFill="background1" w:themeFillShade="D9"/>
            <w:vAlign w:val="bottom"/>
          </w:tcPr>
          <w:p w14:paraId="704D61AE" w14:textId="77777777" w:rsidR="008A656B" w:rsidRPr="001D2342" w:rsidRDefault="008A656B" w:rsidP="00851097">
            <w:pPr>
              <w:pStyle w:val="Default"/>
              <w:rPr>
                <w:sz w:val="16"/>
                <w:szCs w:val="16"/>
              </w:rPr>
            </w:pPr>
            <w:r>
              <w:rPr>
                <w:sz w:val="16"/>
              </w:rPr>
              <w:t xml:space="preserve">&gt; </w:t>
            </w:r>
          </w:p>
        </w:tc>
        <w:tc>
          <w:tcPr>
            <w:tcW w:w="192" w:type="pct"/>
            <w:shd w:val="clear" w:color="auto" w:fill="D9D9D9" w:themeFill="background1" w:themeFillShade="D9"/>
            <w:vAlign w:val="bottom"/>
          </w:tcPr>
          <w:p w14:paraId="63A9514F"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65</w:t>
            </w:r>
          </w:p>
        </w:tc>
        <w:tc>
          <w:tcPr>
            <w:tcW w:w="678" w:type="pct"/>
            <w:shd w:val="clear" w:color="auto" w:fill="D9D9D9" w:themeFill="background1" w:themeFillShade="D9"/>
            <w:vAlign w:val="bottom"/>
          </w:tcPr>
          <w:p w14:paraId="71A142B3"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5288C8A9"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840,0</w:t>
            </w:r>
          </w:p>
        </w:tc>
        <w:tc>
          <w:tcPr>
            <w:tcW w:w="259" w:type="pct"/>
            <w:shd w:val="clear" w:color="auto" w:fill="D9D9D9" w:themeFill="background1" w:themeFillShade="D9"/>
            <w:vAlign w:val="bottom"/>
          </w:tcPr>
          <w:p w14:paraId="6486CA24" w14:textId="77777777" w:rsidR="008A656B" w:rsidRPr="001D2342" w:rsidRDefault="008A656B" w:rsidP="00851097">
            <w:pPr>
              <w:rPr>
                <w:rFonts w:ascii="Times New Roman" w:hAnsi="Times New Roman" w:cs="Times New Roman"/>
                <w:sz w:val="16"/>
                <w:szCs w:val="16"/>
              </w:rPr>
            </w:pPr>
          </w:p>
        </w:tc>
        <w:tc>
          <w:tcPr>
            <w:tcW w:w="199" w:type="pct"/>
            <w:shd w:val="clear" w:color="auto" w:fill="D9D9D9" w:themeFill="background1" w:themeFillShade="D9"/>
            <w:vAlign w:val="bottom"/>
          </w:tcPr>
          <w:p w14:paraId="2205C39C"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522E0D2A"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1 517,0</w:t>
            </w:r>
          </w:p>
        </w:tc>
        <w:tc>
          <w:tcPr>
            <w:tcW w:w="243" w:type="pct"/>
            <w:shd w:val="clear" w:color="auto" w:fill="D9D9D9" w:themeFill="background1" w:themeFillShade="D9"/>
            <w:vAlign w:val="bottom"/>
          </w:tcPr>
          <w:p w14:paraId="4BBBE7C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1 654,0</w:t>
            </w:r>
          </w:p>
        </w:tc>
      </w:tr>
      <w:tr w:rsidR="008A656B" w:rsidRPr="001D2342" w14:paraId="1662BFCF" w14:textId="77777777" w:rsidTr="00851097">
        <w:trPr>
          <w:trHeight w:val="260"/>
        </w:trPr>
        <w:tc>
          <w:tcPr>
            <w:tcW w:w="379" w:type="pct"/>
            <w:vAlign w:val="bottom"/>
          </w:tcPr>
          <w:p w14:paraId="4270BF66" w14:textId="77777777" w:rsidR="008A656B" w:rsidRPr="001D2342" w:rsidRDefault="008A656B" w:rsidP="00851097">
            <w:pPr>
              <w:rPr>
                <w:rFonts w:ascii="Times New Roman" w:hAnsi="Times New Roman" w:cs="Times New Roman"/>
                <w:sz w:val="16"/>
                <w:szCs w:val="16"/>
              </w:rPr>
            </w:pPr>
          </w:p>
        </w:tc>
        <w:tc>
          <w:tcPr>
            <w:tcW w:w="261" w:type="pct"/>
            <w:vAlign w:val="bottom"/>
          </w:tcPr>
          <w:p w14:paraId="7A6B843F" w14:textId="77777777" w:rsidR="008A656B" w:rsidRPr="001D2342" w:rsidRDefault="008A656B" w:rsidP="00851097">
            <w:pPr>
              <w:rPr>
                <w:rFonts w:ascii="Times New Roman" w:hAnsi="Times New Roman" w:cs="Times New Roman"/>
                <w:sz w:val="16"/>
                <w:szCs w:val="16"/>
              </w:rPr>
            </w:pPr>
          </w:p>
        </w:tc>
        <w:tc>
          <w:tcPr>
            <w:tcW w:w="364" w:type="pct"/>
            <w:vAlign w:val="bottom"/>
          </w:tcPr>
          <w:p w14:paraId="09BD4DB7"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Portugāle</w:t>
            </w:r>
          </w:p>
        </w:tc>
        <w:tc>
          <w:tcPr>
            <w:tcW w:w="373" w:type="pct"/>
            <w:vAlign w:val="bottom"/>
          </w:tcPr>
          <w:p w14:paraId="3E5B1D74" w14:textId="77777777" w:rsidR="008A656B" w:rsidRPr="001D2342" w:rsidRDefault="008A656B" w:rsidP="00851097">
            <w:pPr>
              <w:pStyle w:val="Default"/>
              <w:rPr>
                <w:sz w:val="16"/>
                <w:szCs w:val="16"/>
              </w:rPr>
            </w:pPr>
            <w:r>
              <w:rPr>
                <w:sz w:val="16"/>
              </w:rPr>
              <w:t xml:space="preserve">(Lopes et al., 2006) </w:t>
            </w:r>
          </w:p>
        </w:tc>
        <w:tc>
          <w:tcPr>
            <w:tcW w:w="940" w:type="pct"/>
            <w:vAlign w:val="bottom"/>
          </w:tcPr>
          <w:p w14:paraId="4885B8EA"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Aptauja pārtikas produktu lietošanas biežuma noteikšanai</w:t>
            </w:r>
          </w:p>
        </w:tc>
        <w:tc>
          <w:tcPr>
            <w:tcW w:w="201" w:type="pct"/>
            <w:vAlign w:val="bottom"/>
          </w:tcPr>
          <w:p w14:paraId="4D13D7A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478</w:t>
            </w:r>
          </w:p>
        </w:tc>
        <w:tc>
          <w:tcPr>
            <w:tcW w:w="129" w:type="pct"/>
            <w:vAlign w:val="bottom"/>
          </w:tcPr>
          <w:p w14:paraId="0D45EC8E" w14:textId="77777777" w:rsidR="008A656B" w:rsidRPr="001D2342" w:rsidRDefault="008A656B" w:rsidP="00851097">
            <w:pPr>
              <w:rPr>
                <w:rFonts w:ascii="Times New Roman" w:hAnsi="Times New Roman" w:cs="Times New Roman"/>
                <w:sz w:val="16"/>
                <w:szCs w:val="16"/>
              </w:rPr>
            </w:pPr>
          </w:p>
        </w:tc>
        <w:tc>
          <w:tcPr>
            <w:tcW w:w="189" w:type="pct"/>
            <w:vAlign w:val="bottom"/>
          </w:tcPr>
          <w:p w14:paraId="4E90BBD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18</w:t>
            </w:r>
          </w:p>
        </w:tc>
        <w:tc>
          <w:tcPr>
            <w:tcW w:w="110" w:type="pct"/>
            <w:vAlign w:val="bottom"/>
          </w:tcPr>
          <w:p w14:paraId="2183AA36" w14:textId="77777777" w:rsidR="008A656B" w:rsidRPr="001D2342" w:rsidRDefault="008A656B" w:rsidP="00851097">
            <w:pPr>
              <w:rPr>
                <w:rFonts w:ascii="Times New Roman" w:hAnsi="Times New Roman" w:cs="Times New Roman"/>
                <w:sz w:val="16"/>
                <w:szCs w:val="16"/>
              </w:rPr>
            </w:pPr>
          </w:p>
        </w:tc>
        <w:tc>
          <w:tcPr>
            <w:tcW w:w="192" w:type="pct"/>
            <w:vAlign w:val="bottom"/>
          </w:tcPr>
          <w:p w14:paraId="53259170"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39</w:t>
            </w:r>
          </w:p>
        </w:tc>
        <w:tc>
          <w:tcPr>
            <w:tcW w:w="678" w:type="pct"/>
            <w:vAlign w:val="bottom"/>
          </w:tcPr>
          <w:p w14:paraId="63495BE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Dati savākti Porto</w:t>
            </w:r>
          </w:p>
        </w:tc>
        <w:tc>
          <w:tcPr>
            <w:tcW w:w="242" w:type="pct"/>
            <w:vAlign w:val="bottom"/>
          </w:tcPr>
          <w:p w14:paraId="10570A61"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1 027,3</w:t>
            </w:r>
          </w:p>
        </w:tc>
        <w:tc>
          <w:tcPr>
            <w:tcW w:w="259" w:type="pct"/>
            <w:vAlign w:val="bottom"/>
          </w:tcPr>
          <w:p w14:paraId="7635E8D4" w14:textId="77777777" w:rsidR="008A656B" w:rsidRPr="001D2342" w:rsidRDefault="008A656B" w:rsidP="00851097">
            <w:pPr>
              <w:rPr>
                <w:rFonts w:ascii="Times New Roman" w:hAnsi="Times New Roman" w:cs="Times New Roman"/>
                <w:sz w:val="16"/>
                <w:szCs w:val="16"/>
              </w:rPr>
            </w:pPr>
          </w:p>
        </w:tc>
        <w:tc>
          <w:tcPr>
            <w:tcW w:w="199" w:type="pct"/>
            <w:vAlign w:val="bottom"/>
          </w:tcPr>
          <w:p w14:paraId="0D31F2B2" w14:textId="77777777" w:rsidR="008A656B" w:rsidRPr="001D2342" w:rsidRDefault="008A656B" w:rsidP="00851097">
            <w:pPr>
              <w:rPr>
                <w:rFonts w:ascii="Times New Roman" w:hAnsi="Times New Roman" w:cs="Times New Roman"/>
                <w:sz w:val="16"/>
                <w:szCs w:val="16"/>
              </w:rPr>
            </w:pPr>
          </w:p>
        </w:tc>
        <w:tc>
          <w:tcPr>
            <w:tcW w:w="242" w:type="pct"/>
            <w:vAlign w:val="bottom"/>
          </w:tcPr>
          <w:p w14:paraId="50385CDF"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1 714,3</w:t>
            </w:r>
          </w:p>
        </w:tc>
        <w:tc>
          <w:tcPr>
            <w:tcW w:w="243" w:type="pct"/>
            <w:vAlign w:val="bottom"/>
          </w:tcPr>
          <w:p w14:paraId="1D4FB86C" w14:textId="77777777" w:rsidR="008A656B" w:rsidRPr="001D2342" w:rsidRDefault="008A656B" w:rsidP="00851097">
            <w:pPr>
              <w:rPr>
                <w:rFonts w:ascii="Times New Roman" w:hAnsi="Times New Roman" w:cs="Times New Roman"/>
                <w:sz w:val="16"/>
                <w:szCs w:val="16"/>
              </w:rPr>
            </w:pPr>
          </w:p>
        </w:tc>
      </w:tr>
      <w:tr w:rsidR="008A656B" w:rsidRPr="001D2342" w14:paraId="0A11012B" w14:textId="77777777" w:rsidTr="00851097">
        <w:trPr>
          <w:trHeight w:val="260"/>
        </w:trPr>
        <w:tc>
          <w:tcPr>
            <w:tcW w:w="379" w:type="pct"/>
            <w:vAlign w:val="bottom"/>
          </w:tcPr>
          <w:p w14:paraId="656520FE" w14:textId="77777777" w:rsidR="008A656B" w:rsidRPr="001D2342" w:rsidRDefault="008A656B" w:rsidP="00851097">
            <w:pPr>
              <w:rPr>
                <w:rFonts w:ascii="Times New Roman" w:hAnsi="Times New Roman" w:cs="Times New Roman"/>
                <w:sz w:val="16"/>
                <w:szCs w:val="16"/>
              </w:rPr>
            </w:pPr>
          </w:p>
        </w:tc>
        <w:tc>
          <w:tcPr>
            <w:tcW w:w="261" w:type="pct"/>
            <w:vAlign w:val="bottom"/>
          </w:tcPr>
          <w:p w14:paraId="73AFA456" w14:textId="77777777" w:rsidR="008A656B" w:rsidRPr="001D2342" w:rsidRDefault="008A656B" w:rsidP="00851097">
            <w:pPr>
              <w:rPr>
                <w:rFonts w:ascii="Times New Roman" w:hAnsi="Times New Roman" w:cs="Times New Roman"/>
                <w:sz w:val="16"/>
                <w:szCs w:val="16"/>
              </w:rPr>
            </w:pPr>
          </w:p>
        </w:tc>
        <w:tc>
          <w:tcPr>
            <w:tcW w:w="364" w:type="pct"/>
            <w:vAlign w:val="bottom"/>
          </w:tcPr>
          <w:p w14:paraId="34405EF2" w14:textId="77777777" w:rsidR="008A656B" w:rsidRPr="001D2342" w:rsidRDefault="008A656B" w:rsidP="00851097">
            <w:pPr>
              <w:rPr>
                <w:rFonts w:ascii="Times New Roman" w:hAnsi="Times New Roman" w:cs="Times New Roman"/>
                <w:sz w:val="16"/>
                <w:szCs w:val="16"/>
              </w:rPr>
            </w:pPr>
          </w:p>
        </w:tc>
        <w:tc>
          <w:tcPr>
            <w:tcW w:w="373" w:type="pct"/>
            <w:vAlign w:val="bottom"/>
          </w:tcPr>
          <w:p w14:paraId="24872C61" w14:textId="77777777" w:rsidR="008A656B" w:rsidRPr="001D2342" w:rsidRDefault="008A656B" w:rsidP="00851097">
            <w:pPr>
              <w:rPr>
                <w:rFonts w:ascii="Times New Roman" w:hAnsi="Times New Roman" w:cs="Times New Roman"/>
                <w:sz w:val="16"/>
                <w:szCs w:val="16"/>
              </w:rPr>
            </w:pPr>
          </w:p>
        </w:tc>
        <w:tc>
          <w:tcPr>
            <w:tcW w:w="940" w:type="pct"/>
            <w:vAlign w:val="bottom"/>
          </w:tcPr>
          <w:p w14:paraId="70BE3D22" w14:textId="77777777" w:rsidR="008A656B" w:rsidRPr="001D2342" w:rsidRDefault="008A656B" w:rsidP="00851097">
            <w:pPr>
              <w:rPr>
                <w:rFonts w:ascii="Times New Roman" w:hAnsi="Times New Roman" w:cs="Times New Roman"/>
                <w:sz w:val="16"/>
                <w:szCs w:val="16"/>
              </w:rPr>
            </w:pPr>
          </w:p>
        </w:tc>
        <w:tc>
          <w:tcPr>
            <w:tcW w:w="201" w:type="pct"/>
            <w:vAlign w:val="bottom"/>
          </w:tcPr>
          <w:p w14:paraId="4D3C2E86"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537</w:t>
            </w:r>
          </w:p>
        </w:tc>
        <w:tc>
          <w:tcPr>
            <w:tcW w:w="129" w:type="pct"/>
            <w:vAlign w:val="bottom"/>
          </w:tcPr>
          <w:p w14:paraId="18D1972F" w14:textId="77777777" w:rsidR="008A656B" w:rsidRPr="001D2342" w:rsidRDefault="008A656B" w:rsidP="00851097">
            <w:pPr>
              <w:rPr>
                <w:rFonts w:ascii="Times New Roman" w:hAnsi="Times New Roman" w:cs="Times New Roman"/>
                <w:sz w:val="16"/>
                <w:szCs w:val="16"/>
              </w:rPr>
            </w:pPr>
          </w:p>
        </w:tc>
        <w:tc>
          <w:tcPr>
            <w:tcW w:w="189" w:type="pct"/>
            <w:vAlign w:val="bottom"/>
          </w:tcPr>
          <w:p w14:paraId="3BA1AB02"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40</w:t>
            </w:r>
          </w:p>
        </w:tc>
        <w:tc>
          <w:tcPr>
            <w:tcW w:w="110" w:type="pct"/>
            <w:vAlign w:val="bottom"/>
          </w:tcPr>
          <w:p w14:paraId="442A49C3" w14:textId="77777777" w:rsidR="008A656B" w:rsidRPr="001D2342" w:rsidRDefault="008A656B" w:rsidP="00851097">
            <w:pPr>
              <w:rPr>
                <w:rFonts w:ascii="Times New Roman" w:hAnsi="Times New Roman" w:cs="Times New Roman"/>
                <w:sz w:val="16"/>
                <w:szCs w:val="16"/>
              </w:rPr>
            </w:pPr>
          </w:p>
        </w:tc>
        <w:tc>
          <w:tcPr>
            <w:tcW w:w="192" w:type="pct"/>
            <w:vAlign w:val="bottom"/>
          </w:tcPr>
          <w:p w14:paraId="255C961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49</w:t>
            </w:r>
          </w:p>
        </w:tc>
        <w:tc>
          <w:tcPr>
            <w:tcW w:w="678" w:type="pct"/>
            <w:vAlign w:val="bottom"/>
          </w:tcPr>
          <w:p w14:paraId="6BF76299" w14:textId="77777777" w:rsidR="008A656B" w:rsidRPr="001D2342" w:rsidRDefault="008A656B" w:rsidP="00851097">
            <w:pPr>
              <w:rPr>
                <w:rFonts w:ascii="Times New Roman" w:hAnsi="Times New Roman" w:cs="Times New Roman"/>
                <w:sz w:val="16"/>
                <w:szCs w:val="16"/>
              </w:rPr>
            </w:pPr>
          </w:p>
        </w:tc>
        <w:tc>
          <w:tcPr>
            <w:tcW w:w="242" w:type="pct"/>
            <w:vAlign w:val="bottom"/>
          </w:tcPr>
          <w:p w14:paraId="0C8E6ACA"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915,1</w:t>
            </w:r>
          </w:p>
        </w:tc>
        <w:tc>
          <w:tcPr>
            <w:tcW w:w="259" w:type="pct"/>
            <w:vAlign w:val="bottom"/>
          </w:tcPr>
          <w:p w14:paraId="4EA38DBD" w14:textId="77777777" w:rsidR="008A656B" w:rsidRPr="001D2342" w:rsidRDefault="008A656B" w:rsidP="00851097">
            <w:pPr>
              <w:rPr>
                <w:rFonts w:ascii="Times New Roman" w:hAnsi="Times New Roman" w:cs="Times New Roman"/>
                <w:sz w:val="16"/>
                <w:szCs w:val="16"/>
              </w:rPr>
            </w:pPr>
          </w:p>
        </w:tc>
        <w:tc>
          <w:tcPr>
            <w:tcW w:w="199" w:type="pct"/>
            <w:vAlign w:val="bottom"/>
          </w:tcPr>
          <w:p w14:paraId="73817B00" w14:textId="77777777" w:rsidR="008A656B" w:rsidRPr="001D2342" w:rsidRDefault="008A656B" w:rsidP="00851097">
            <w:pPr>
              <w:rPr>
                <w:rFonts w:ascii="Times New Roman" w:hAnsi="Times New Roman" w:cs="Times New Roman"/>
                <w:sz w:val="16"/>
                <w:szCs w:val="16"/>
              </w:rPr>
            </w:pPr>
          </w:p>
        </w:tc>
        <w:tc>
          <w:tcPr>
            <w:tcW w:w="242" w:type="pct"/>
            <w:vAlign w:val="bottom"/>
          </w:tcPr>
          <w:p w14:paraId="4958AC0E"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1 600,7</w:t>
            </w:r>
          </w:p>
        </w:tc>
        <w:tc>
          <w:tcPr>
            <w:tcW w:w="243" w:type="pct"/>
            <w:vAlign w:val="bottom"/>
          </w:tcPr>
          <w:p w14:paraId="69CD7511" w14:textId="77777777" w:rsidR="008A656B" w:rsidRPr="001D2342" w:rsidRDefault="008A656B" w:rsidP="00851097">
            <w:pPr>
              <w:rPr>
                <w:rFonts w:ascii="Times New Roman" w:hAnsi="Times New Roman" w:cs="Times New Roman"/>
                <w:sz w:val="16"/>
                <w:szCs w:val="16"/>
              </w:rPr>
            </w:pPr>
          </w:p>
        </w:tc>
      </w:tr>
      <w:tr w:rsidR="008A656B" w:rsidRPr="001D2342" w14:paraId="25EA94E4" w14:textId="77777777" w:rsidTr="00851097">
        <w:trPr>
          <w:trHeight w:val="260"/>
        </w:trPr>
        <w:tc>
          <w:tcPr>
            <w:tcW w:w="379" w:type="pct"/>
            <w:vAlign w:val="bottom"/>
          </w:tcPr>
          <w:p w14:paraId="496688FD" w14:textId="77777777" w:rsidR="008A656B" w:rsidRPr="001D2342" w:rsidRDefault="008A656B" w:rsidP="00851097">
            <w:pPr>
              <w:rPr>
                <w:rFonts w:ascii="Times New Roman" w:hAnsi="Times New Roman" w:cs="Times New Roman"/>
                <w:sz w:val="16"/>
                <w:szCs w:val="16"/>
              </w:rPr>
            </w:pPr>
          </w:p>
        </w:tc>
        <w:tc>
          <w:tcPr>
            <w:tcW w:w="261" w:type="pct"/>
            <w:vAlign w:val="bottom"/>
          </w:tcPr>
          <w:p w14:paraId="7DA23EDA" w14:textId="77777777" w:rsidR="008A656B" w:rsidRPr="001D2342" w:rsidRDefault="008A656B" w:rsidP="00851097">
            <w:pPr>
              <w:rPr>
                <w:rFonts w:ascii="Times New Roman" w:hAnsi="Times New Roman" w:cs="Times New Roman"/>
                <w:sz w:val="16"/>
                <w:szCs w:val="16"/>
              </w:rPr>
            </w:pPr>
          </w:p>
        </w:tc>
        <w:tc>
          <w:tcPr>
            <w:tcW w:w="364" w:type="pct"/>
            <w:vAlign w:val="bottom"/>
          </w:tcPr>
          <w:p w14:paraId="54523571" w14:textId="77777777" w:rsidR="008A656B" w:rsidRPr="001D2342" w:rsidRDefault="008A656B" w:rsidP="00851097">
            <w:pPr>
              <w:rPr>
                <w:rFonts w:ascii="Times New Roman" w:hAnsi="Times New Roman" w:cs="Times New Roman"/>
                <w:sz w:val="16"/>
                <w:szCs w:val="16"/>
              </w:rPr>
            </w:pPr>
          </w:p>
        </w:tc>
        <w:tc>
          <w:tcPr>
            <w:tcW w:w="373" w:type="pct"/>
            <w:vAlign w:val="bottom"/>
          </w:tcPr>
          <w:p w14:paraId="70D920D1" w14:textId="77777777" w:rsidR="008A656B" w:rsidRPr="001D2342" w:rsidRDefault="008A656B" w:rsidP="00851097">
            <w:pPr>
              <w:rPr>
                <w:rFonts w:ascii="Times New Roman" w:hAnsi="Times New Roman" w:cs="Times New Roman"/>
                <w:sz w:val="16"/>
                <w:szCs w:val="16"/>
              </w:rPr>
            </w:pPr>
          </w:p>
        </w:tc>
        <w:tc>
          <w:tcPr>
            <w:tcW w:w="940" w:type="pct"/>
            <w:vAlign w:val="bottom"/>
          </w:tcPr>
          <w:p w14:paraId="54CCD9ED" w14:textId="77777777" w:rsidR="008A656B" w:rsidRPr="001D2342" w:rsidRDefault="008A656B" w:rsidP="00851097">
            <w:pPr>
              <w:rPr>
                <w:rFonts w:ascii="Times New Roman" w:hAnsi="Times New Roman" w:cs="Times New Roman"/>
                <w:sz w:val="16"/>
                <w:szCs w:val="16"/>
              </w:rPr>
            </w:pPr>
          </w:p>
        </w:tc>
        <w:tc>
          <w:tcPr>
            <w:tcW w:w="201" w:type="pct"/>
            <w:shd w:val="clear" w:color="auto" w:fill="D9D9D9" w:themeFill="background1" w:themeFillShade="D9"/>
            <w:vAlign w:val="bottom"/>
          </w:tcPr>
          <w:p w14:paraId="51D1376E"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789</w:t>
            </w:r>
          </w:p>
        </w:tc>
        <w:tc>
          <w:tcPr>
            <w:tcW w:w="129" w:type="pct"/>
            <w:shd w:val="clear" w:color="auto" w:fill="D9D9D9" w:themeFill="background1" w:themeFillShade="D9"/>
            <w:vAlign w:val="bottom"/>
          </w:tcPr>
          <w:p w14:paraId="62486B19" w14:textId="77777777" w:rsidR="008A656B" w:rsidRPr="001D2342" w:rsidRDefault="008A656B" w:rsidP="00851097">
            <w:pPr>
              <w:rPr>
                <w:rFonts w:ascii="Times New Roman" w:hAnsi="Times New Roman" w:cs="Times New Roman"/>
                <w:sz w:val="16"/>
                <w:szCs w:val="16"/>
              </w:rPr>
            </w:pPr>
          </w:p>
        </w:tc>
        <w:tc>
          <w:tcPr>
            <w:tcW w:w="189" w:type="pct"/>
            <w:shd w:val="clear" w:color="auto" w:fill="D9D9D9" w:themeFill="background1" w:themeFillShade="D9"/>
            <w:vAlign w:val="bottom"/>
          </w:tcPr>
          <w:p w14:paraId="0F418CC1"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50</w:t>
            </w:r>
          </w:p>
        </w:tc>
        <w:tc>
          <w:tcPr>
            <w:tcW w:w="110" w:type="pct"/>
            <w:shd w:val="clear" w:color="auto" w:fill="D9D9D9" w:themeFill="background1" w:themeFillShade="D9"/>
            <w:vAlign w:val="bottom"/>
          </w:tcPr>
          <w:p w14:paraId="60C18674" w14:textId="77777777" w:rsidR="008A656B" w:rsidRPr="001D2342" w:rsidRDefault="008A656B" w:rsidP="00851097">
            <w:pPr>
              <w:rPr>
                <w:rFonts w:ascii="Times New Roman" w:hAnsi="Times New Roman" w:cs="Times New Roman"/>
                <w:sz w:val="16"/>
                <w:szCs w:val="16"/>
              </w:rPr>
            </w:pPr>
          </w:p>
        </w:tc>
        <w:tc>
          <w:tcPr>
            <w:tcW w:w="192" w:type="pct"/>
            <w:shd w:val="clear" w:color="auto" w:fill="D9D9D9" w:themeFill="background1" w:themeFillShade="D9"/>
            <w:vAlign w:val="bottom"/>
          </w:tcPr>
          <w:p w14:paraId="7B4FEEC6"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64</w:t>
            </w:r>
          </w:p>
        </w:tc>
        <w:tc>
          <w:tcPr>
            <w:tcW w:w="678" w:type="pct"/>
            <w:shd w:val="clear" w:color="auto" w:fill="D9D9D9" w:themeFill="background1" w:themeFillShade="D9"/>
            <w:vAlign w:val="bottom"/>
          </w:tcPr>
          <w:p w14:paraId="44880B94"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32310B1A"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922,6</w:t>
            </w:r>
          </w:p>
        </w:tc>
        <w:tc>
          <w:tcPr>
            <w:tcW w:w="259" w:type="pct"/>
            <w:shd w:val="clear" w:color="auto" w:fill="D9D9D9" w:themeFill="background1" w:themeFillShade="D9"/>
            <w:vAlign w:val="bottom"/>
          </w:tcPr>
          <w:p w14:paraId="1E83B239" w14:textId="77777777" w:rsidR="008A656B" w:rsidRPr="001D2342" w:rsidRDefault="008A656B" w:rsidP="00851097">
            <w:pPr>
              <w:rPr>
                <w:rFonts w:ascii="Times New Roman" w:hAnsi="Times New Roman" w:cs="Times New Roman"/>
                <w:sz w:val="16"/>
                <w:szCs w:val="16"/>
              </w:rPr>
            </w:pPr>
          </w:p>
        </w:tc>
        <w:tc>
          <w:tcPr>
            <w:tcW w:w="199" w:type="pct"/>
            <w:shd w:val="clear" w:color="auto" w:fill="D9D9D9" w:themeFill="background1" w:themeFillShade="D9"/>
            <w:vAlign w:val="bottom"/>
          </w:tcPr>
          <w:p w14:paraId="3D58FD03"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19EF40C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1 629,3</w:t>
            </w:r>
          </w:p>
        </w:tc>
        <w:tc>
          <w:tcPr>
            <w:tcW w:w="243" w:type="pct"/>
            <w:shd w:val="clear" w:color="auto" w:fill="D9D9D9" w:themeFill="background1" w:themeFillShade="D9"/>
            <w:vAlign w:val="bottom"/>
          </w:tcPr>
          <w:p w14:paraId="0A958A62" w14:textId="77777777" w:rsidR="008A656B" w:rsidRPr="001D2342" w:rsidRDefault="008A656B" w:rsidP="00851097">
            <w:pPr>
              <w:rPr>
                <w:rFonts w:ascii="Times New Roman" w:hAnsi="Times New Roman" w:cs="Times New Roman"/>
                <w:sz w:val="16"/>
                <w:szCs w:val="16"/>
              </w:rPr>
            </w:pPr>
          </w:p>
        </w:tc>
      </w:tr>
      <w:tr w:rsidR="008A656B" w:rsidRPr="001D2342" w14:paraId="782015A0" w14:textId="77777777" w:rsidTr="00851097">
        <w:trPr>
          <w:trHeight w:val="260"/>
        </w:trPr>
        <w:tc>
          <w:tcPr>
            <w:tcW w:w="379" w:type="pct"/>
            <w:vAlign w:val="bottom"/>
          </w:tcPr>
          <w:p w14:paraId="335EA6A7" w14:textId="77777777" w:rsidR="008A656B" w:rsidRPr="001D2342" w:rsidRDefault="008A656B" w:rsidP="00851097">
            <w:pPr>
              <w:rPr>
                <w:rFonts w:ascii="Times New Roman" w:hAnsi="Times New Roman" w:cs="Times New Roman"/>
                <w:sz w:val="16"/>
                <w:szCs w:val="16"/>
              </w:rPr>
            </w:pPr>
          </w:p>
        </w:tc>
        <w:tc>
          <w:tcPr>
            <w:tcW w:w="261" w:type="pct"/>
            <w:vAlign w:val="bottom"/>
          </w:tcPr>
          <w:p w14:paraId="512C1482" w14:textId="77777777" w:rsidR="008A656B" w:rsidRPr="001D2342" w:rsidRDefault="008A656B" w:rsidP="00851097">
            <w:pPr>
              <w:rPr>
                <w:rFonts w:ascii="Times New Roman" w:hAnsi="Times New Roman" w:cs="Times New Roman"/>
                <w:sz w:val="16"/>
                <w:szCs w:val="16"/>
              </w:rPr>
            </w:pPr>
          </w:p>
        </w:tc>
        <w:tc>
          <w:tcPr>
            <w:tcW w:w="364" w:type="pct"/>
            <w:vAlign w:val="bottom"/>
          </w:tcPr>
          <w:p w14:paraId="231B8FC7" w14:textId="77777777" w:rsidR="008A656B" w:rsidRPr="001D2342" w:rsidRDefault="008A656B" w:rsidP="00851097">
            <w:pPr>
              <w:rPr>
                <w:rFonts w:ascii="Times New Roman" w:hAnsi="Times New Roman" w:cs="Times New Roman"/>
                <w:b/>
                <w:bCs/>
                <w:sz w:val="16"/>
                <w:szCs w:val="16"/>
              </w:rPr>
            </w:pPr>
          </w:p>
        </w:tc>
        <w:tc>
          <w:tcPr>
            <w:tcW w:w="373" w:type="pct"/>
            <w:vAlign w:val="bottom"/>
          </w:tcPr>
          <w:p w14:paraId="736782E2" w14:textId="77777777" w:rsidR="008A656B" w:rsidRPr="001D2342" w:rsidRDefault="008A656B" w:rsidP="00851097">
            <w:pPr>
              <w:rPr>
                <w:rFonts w:ascii="Times New Roman" w:hAnsi="Times New Roman" w:cs="Times New Roman"/>
                <w:sz w:val="16"/>
                <w:szCs w:val="16"/>
              </w:rPr>
            </w:pPr>
          </w:p>
        </w:tc>
        <w:tc>
          <w:tcPr>
            <w:tcW w:w="940" w:type="pct"/>
            <w:vAlign w:val="bottom"/>
          </w:tcPr>
          <w:p w14:paraId="6514FDC7" w14:textId="77777777" w:rsidR="008A656B" w:rsidRPr="001D2342" w:rsidRDefault="008A656B" w:rsidP="00851097">
            <w:pPr>
              <w:rPr>
                <w:rFonts w:ascii="Times New Roman" w:hAnsi="Times New Roman" w:cs="Times New Roman"/>
                <w:sz w:val="16"/>
                <w:szCs w:val="16"/>
              </w:rPr>
            </w:pPr>
          </w:p>
        </w:tc>
        <w:tc>
          <w:tcPr>
            <w:tcW w:w="201" w:type="pct"/>
            <w:shd w:val="clear" w:color="auto" w:fill="D9D9D9" w:themeFill="background1" w:themeFillShade="D9"/>
            <w:vAlign w:val="bottom"/>
          </w:tcPr>
          <w:p w14:paraId="7158A7D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585</w:t>
            </w:r>
          </w:p>
        </w:tc>
        <w:tc>
          <w:tcPr>
            <w:tcW w:w="129" w:type="pct"/>
            <w:shd w:val="clear" w:color="auto" w:fill="D9D9D9" w:themeFill="background1" w:themeFillShade="D9"/>
            <w:vAlign w:val="bottom"/>
          </w:tcPr>
          <w:p w14:paraId="712CAAB0" w14:textId="77777777" w:rsidR="008A656B" w:rsidRPr="001D2342" w:rsidRDefault="008A656B" w:rsidP="00851097">
            <w:pPr>
              <w:rPr>
                <w:rFonts w:ascii="Times New Roman" w:hAnsi="Times New Roman" w:cs="Times New Roman"/>
                <w:sz w:val="16"/>
                <w:szCs w:val="16"/>
              </w:rPr>
            </w:pPr>
          </w:p>
        </w:tc>
        <w:tc>
          <w:tcPr>
            <w:tcW w:w="189" w:type="pct"/>
            <w:shd w:val="clear" w:color="auto" w:fill="D9D9D9" w:themeFill="background1" w:themeFillShade="D9"/>
            <w:vAlign w:val="bottom"/>
          </w:tcPr>
          <w:p w14:paraId="599D273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65</w:t>
            </w:r>
          </w:p>
        </w:tc>
        <w:tc>
          <w:tcPr>
            <w:tcW w:w="110" w:type="pct"/>
            <w:shd w:val="clear" w:color="auto" w:fill="D9D9D9" w:themeFill="background1" w:themeFillShade="D9"/>
            <w:vAlign w:val="bottom"/>
          </w:tcPr>
          <w:p w14:paraId="7CF70807" w14:textId="77777777" w:rsidR="008A656B" w:rsidRPr="001D2342" w:rsidRDefault="008A656B" w:rsidP="00851097">
            <w:pPr>
              <w:pStyle w:val="Default"/>
              <w:rPr>
                <w:sz w:val="16"/>
                <w:szCs w:val="16"/>
              </w:rPr>
            </w:pPr>
            <w:r>
              <w:rPr>
                <w:sz w:val="16"/>
              </w:rPr>
              <w:t xml:space="preserve">&gt; </w:t>
            </w:r>
          </w:p>
        </w:tc>
        <w:tc>
          <w:tcPr>
            <w:tcW w:w="192" w:type="pct"/>
            <w:shd w:val="clear" w:color="auto" w:fill="D9D9D9" w:themeFill="background1" w:themeFillShade="D9"/>
            <w:vAlign w:val="bottom"/>
          </w:tcPr>
          <w:p w14:paraId="2BFBEF94"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65</w:t>
            </w:r>
          </w:p>
        </w:tc>
        <w:tc>
          <w:tcPr>
            <w:tcW w:w="678" w:type="pct"/>
            <w:shd w:val="clear" w:color="auto" w:fill="D9D9D9" w:themeFill="background1" w:themeFillShade="D9"/>
            <w:vAlign w:val="bottom"/>
          </w:tcPr>
          <w:p w14:paraId="7B22BE21"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7EE4EF1F"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882,8</w:t>
            </w:r>
          </w:p>
        </w:tc>
        <w:tc>
          <w:tcPr>
            <w:tcW w:w="259" w:type="pct"/>
            <w:shd w:val="clear" w:color="auto" w:fill="D9D9D9" w:themeFill="background1" w:themeFillShade="D9"/>
            <w:vAlign w:val="bottom"/>
          </w:tcPr>
          <w:p w14:paraId="2FB67146" w14:textId="77777777" w:rsidR="008A656B" w:rsidRPr="001D2342" w:rsidRDefault="008A656B" w:rsidP="00851097">
            <w:pPr>
              <w:rPr>
                <w:rFonts w:ascii="Times New Roman" w:hAnsi="Times New Roman" w:cs="Times New Roman"/>
                <w:sz w:val="16"/>
                <w:szCs w:val="16"/>
              </w:rPr>
            </w:pPr>
          </w:p>
        </w:tc>
        <w:tc>
          <w:tcPr>
            <w:tcW w:w="199" w:type="pct"/>
            <w:shd w:val="clear" w:color="auto" w:fill="D9D9D9" w:themeFill="background1" w:themeFillShade="D9"/>
            <w:vAlign w:val="bottom"/>
          </w:tcPr>
          <w:p w14:paraId="05244B65"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5C6D27A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1 514,7</w:t>
            </w:r>
          </w:p>
        </w:tc>
        <w:tc>
          <w:tcPr>
            <w:tcW w:w="243" w:type="pct"/>
            <w:shd w:val="clear" w:color="auto" w:fill="D9D9D9" w:themeFill="background1" w:themeFillShade="D9"/>
            <w:vAlign w:val="bottom"/>
          </w:tcPr>
          <w:p w14:paraId="6297E459" w14:textId="77777777" w:rsidR="008A656B" w:rsidRPr="001D2342" w:rsidRDefault="008A656B" w:rsidP="00851097">
            <w:pPr>
              <w:rPr>
                <w:rFonts w:ascii="Times New Roman" w:hAnsi="Times New Roman" w:cs="Times New Roman"/>
                <w:sz w:val="16"/>
                <w:szCs w:val="16"/>
              </w:rPr>
            </w:pPr>
          </w:p>
        </w:tc>
      </w:tr>
      <w:tr w:rsidR="008A656B" w:rsidRPr="001D2342" w14:paraId="1FB48C0D" w14:textId="77777777" w:rsidTr="00851097">
        <w:trPr>
          <w:trHeight w:val="260"/>
        </w:trPr>
        <w:tc>
          <w:tcPr>
            <w:tcW w:w="379" w:type="pct"/>
            <w:vAlign w:val="bottom"/>
          </w:tcPr>
          <w:p w14:paraId="01EA9F87" w14:textId="77777777" w:rsidR="008A656B" w:rsidRPr="001D2342" w:rsidRDefault="008A656B" w:rsidP="00851097">
            <w:pPr>
              <w:rPr>
                <w:rFonts w:ascii="Times New Roman" w:hAnsi="Times New Roman" w:cs="Times New Roman"/>
                <w:sz w:val="16"/>
                <w:szCs w:val="16"/>
              </w:rPr>
            </w:pPr>
          </w:p>
        </w:tc>
        <w:tc>
          <w:tcPr>
            <w:tcW w:w="261" w:type="pct"/>
            <w:vAlign w:val="bottom"/>
          </w:tcPr>
          <w:p w14:paraId="20F6B006" w14:textId="77777777" w:rsidR="008A656B" w:rsidRPr="001D2342" w:rsidRDefault="008A656B" w:rsidP="00851097">
            <w:pPr>
              <w:rPr>
                <w:rFonts w:ascii="Times New Roman" w:hAnsi="Times New Roman" w:cs="Times New Roman"/>
                <w:sz w:val="16"/>
                <w:szCs w:val="16"/>
              </w:rPr>
            </w:pPr>
          </w:p>
        </w:tc>
        <w:tc>
          <w:tcPr>
            <w:tcW w:w="364" w:type="pct"/>
            <w:vAlign w:val="bottom"/>
          </w:tcPr>
          <w:p w14:paraId="32CB8F94"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Apvienotā Karaliste</w:t>
            </w:r>
          </w:p>
        </w:tc>
        <w:tc>
          <w:tcPr>
            <w:tcW w:w="373" w:type="pct"/>
            <w:vAlign w:val="bottom"/>
          </w:tcPr>
          <w:p w14:paraId="464FF07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(Bates et al., 2011)</w:t>
            </w:r>
          </w:p>
        </w:tc>
        <w:tc>
          <w:tcPr>
            <w:tcW w:w="940" w:type="pct"/>
            <w:vAlign w:val="bottom"/>
          </w:tcPr>
          <w:p w14:paraId="03C9CF72"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4 dienu uztura pieraksts</w:t>
            </w:r>
          </w:p>
        </w:tc>
        <w:tc>
          <w:tcPr>
            <w:tcW w:w="201" w:type="pct"/>
            <w:vAlign w:val="bottom"/>
          </w:tcPr>
          <w:p w14:paraId="7027E855"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807</w:t>
            </w:r>
          </w:p>
        </w:tc>
        <w:tc>
          <w:tcPr>
            <w:tcW w:w="129" w:type="pct"/>
            <w:vAlign w:val="bottom"/>
          </w:tcPr>
          <w:p w14:paraId="4608ED41" w14:textId="77777777" w:rsidR="008A656B" w:rsidRPr="001D2342" w:rsidRDefault="008A656B" w:rsidP="00851097">
            <w:pPr>
              <w:rPr>
                <w:rFonts w:ascii="Times New Roman" w:hAnsi="Times New Roman" w:cs="Times New Roman"/>
                <w:sz w:val="16"/>
                <w:szCs w:val="16"/>
              </w:rPr>
            </w:pPr>
          </w:p>
        </w:tc>
        <w:tc>
          <w:tcPr>
            <w:tcW w:w="189" w:type="pct"/>
            <w:vAlign w:val="bottom"/>
          </w:tcPr>
          <w:p w14:paraId="5F82B180"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19</w:t>
            </w:r>
          </w:p>
        </w:tc>
        <w:tc>
          <w:tcPr>
            <w:tcW w:w="110" w:type="pct"/>
            <w:vAlign w:val="bottom"/>
          </w:tcPr>
          <w:p w14:paraId="33E06201" w14:textId="77777777" w:rsidR="008A656B" w:rsidRPr="001D2342" w:rsidRDefault="008A656B" w:rsidP="00851097">
            <w:pPr>
              <w:rPr>
                <w:rFonts w:ascii="Times New Roman" w:hAnsi="Times New Roman" w:cs="Times New Roman"/>
                <w:sz w:val="16"/>
                <w:szCs w:val="16"/>
              </w:rPr>
            </w:pPr>
          </w:p>
        </w:tc>
        <w:tc>
          <w:tcPr>
            <w:tcW w:w="192" w:type="pct"/>
            <w:vAlign w:val="bottom"/>
          </w:tcPr>
          <w:p w14:paraId="421C866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64</w:t>
            </w:r>
          </w:p>
        </w:tc>
        <w:tc>
          <w:tcPr>
            <w:tcW w:w="678" w:type="pct"/>
            <w:vAlign w:val="bottom"/>
          </w:tcPr>
          <w:p w14:paraId="5B5DB0B4" w14:textId="77777777" w:rsidR="008A656B" w:rsidRPr="001D2342" w:rsidRDefault="008A656B" w:rsidP="00851097">
            <w:pPr>
              <w:rPr>
                <w:rFonts w:ascii="Times New Roman" w:hAnsi="Times New Roman" w:cs="Times New Roman"/>
                <w:sz w:val="16"/>
                <w:szCs w:val="16"/>
              </w:rPr>
            </w:pPr>
          </w:p>
        </w:tc>
        <w:tc>
          <w:tcPr>
            <w:tcW w:w="242" w:type="pct"/>
            <w:vAlign w:val="bottom"/>
          </w:tcPr>
          <w:p w14:paraId="3450D091"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830,0</w:t>
            </w:r>
          </w:p>
        </w:tc>
        <w:tc>
          <w:tcPr>
            <w:tcW w:w="259" w:type="pct"/>
            <w:vAlign w:val="bottom"/>
          </w:tcPr>
          <w:p w14:paraId="1B5E2917" w14:textId="77777777" w:rsidR="008A656B" w:rsidRPr="001D2342" w:rsidRDefault="008A656B" w:rsidP="00851097">
            <w:pPr>
              <w:rPr>
                <w:rFonts w:ascii="Times New Roman" w:hAnsi="Times New Roman" w:cs="Times New Roman"/>
                <w:sz w:val="16"/>
                <w:szCs w:val="16"/>
              </w:rPr>
            </w:pPr>
          </w:p>
        </w:tc>
        <w:tc>
          <w:tcPr>
            <w:tcW w:w="199" w:type="pct"/>
            <w:vAlign w:val="bottom"/>
          </w:tcPr>
          <w:p w14:paraId="065B05BD" w14:textId="77777777" w:rsidR="008A656B" w:rsidRPr="001D2342" w:rsidRDefault="008A656B" w:rsidP="00851097">
            <w:pPr>
              <w:rPr>
                <w:rFonts w:ascii="Times New Roman" w:hAnsi="Times New Roman" w:cs="Times New Roman"/>
                <w:sz w:val="16"/>
                <w:szCs w:val="16"/>
              </w:rPr>
            </w:pPr>
          </w:p>
        </w:tc>
        <w:tc>
          <w:tcPr>
            <w:tcW w:w="242" w:type="pct"/>
            <w:vAlign w:val="bottom"/>
          </w:tcPr>
          <w:p w14:paraId="6CF7E7D8" w14:textId="77777777" w:rsidR="008A656B" w:rsidRPr="001D2342" w:rsidRDefault="008A656B" w:rsidP="00851097">
            <w:pPr>
              <w:rPr>
                <w:rFonts w:ascii="Times New Roman" w:hAnsi="Times New Roman" w:cs="Times New Roman"/>
                <w:sz w:val="16"/>
                <w:szCs w:val="16"/>
              </w:rPr>
            </w:pPr>
          </w:p>
        </w:tc>
        <w:tc>
          <w:tcPr>
            <w:tcW w:w="243" w:type="pct"/>
            <w:vAlign w:val="bottom"/>
          </w:tcPr>
          <w:p w14:paraId="7D862E8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1 542,0</w:t>
            </w:r>
          </w:p>
        </w:tc>
      </w:tr>
      <w:tr w:rsidR="008A656B" w:rsidRPr="001D2342" w14:paraId="622B641B" w14:textId="77777777" w:rsidTr="00851097">
        <w:trPr>
          <w:trHeight w:val="260"/>
        </w:trPr>
        <w:tc>
          <w:tcPr>
            <w:tcW w:w="379" w:type="pct"/>
            <w:tcBorders>
              <w:bottom w:val="single" w:sz="4" w:space="0" w:color="auto"/>
            </w:tcBorders>
            <w:vAlign w:val="bottom"/>
          </w:tcPr>
          <w:p w14:paraId="6C6D8472" w14:textId="77777777" w:rsidR="008A656B" w:rsidRPr="001D2342" w:rsidRDefault="008A656B" w:rsidP="00851097">
            <w:pPr>
              <w:rPr>
                <w:rFonts w:ascii="Times New Roman" w:hAnsi="Times New Roman" w:cs="Times New Roman"/>
                <w:sz w:val="16"/>
                <w:szCs w:val="16"/>
              </w:rPr>
            </w:pPr>
          </w:p>
        </w:tc>
        <w:tc>
          <w:tcPr>
            <w:tcW w:w="261" w:type="pct"/>
            <w:tcBorders>
              <w:bottom w:val="single" w:sz="4" w:space="0" w:color="auto"/>
            </w:tcBorders>
            <w:vAlign w:val="bottom"/>
          </w:tcPr>
          <w:p w14:paraId="407EEC52" w14:textId="77777777" w:rsidR="008A656B" w:rsidRPr="001D2342" w:rsidRDefault="008A656B" w:rsidP="00851097">
            <w:pPr>
              <w:rPr>
                <w:rFonts w:ascii="Times New Roman" w:hAnsi="Times New Roman" w:cs="Times New Roman"/>
                <w:sz w:val="16"/>
                <w:szCs w:val="16"/>
              </w:rPr>
            </w:pPr>
          </w:p>
        </w:tc>
        <w:tc>
          <w:tcPr>
            <w:tcW w:w="364" w:type="pct"/>
            <w:tcBorders>
              <w:bottom w:val="single" w:sz="4" w:space="0" w:color="auto"/>
            </w:tcBorders>
            <w:vAlign w:val="bottom"/>
          </w:tcPr>
          <w:p w14:paraId="603CD6A3" w14:textId="77777777" w:rsidR="008A656B" w:rsidRPr="001D2342" w:rsidRDefault="008A656B" w:rsidP="00851097">
            <w:pPr>
              <w:rPr>
                <w:rFonts w:ascii="Times New Roman" w:hAnsi="Times New Roman" w:cs="Times New Roman"/>
                <w:sz w:val="16"/>
                <w:szCs w:val="16"/>
              </w:rPr>
            </w:pPr>
          </w:p>
        </w:tc>
        <w:tc>
          <w:tcPr>
            <w:tcW w:w="373" w:type="pct"/>
            <w:tcBorders>
              <w:bottom w:val="single" w:sz="4" w:space="0" w:color="auto"/>
            </w:tcBorders>
            <w:vAlign w:val="bottom"/>
          </w:tcPr>
          <w:p w14:paraId="190304AF" w14:textId="77777777" w:rsidR="008A656B" w:rsidRPr="001D2342" w:rsidRDefault="008A656B" w:rsidP="00851097">
            <w:pPr>
              <w:pStyle w:val="Default"/>
              <w:rPr>
                <w:sz w:val="16"/>
                <w:szCs w:val="16"/>
              </w:rPr>
            </w:pPr>
          </w:p>
        </w:tc>
        <w:tc>
          <w:tcPr>
            <w:tcW w:w="940" w:type="pct"/>
            <w:tcBorders>
              <w:bottom w:val="single" w:sz="4" w:space="0" w:color="auto"/>
            </w:tcBorders>
            <w:vAlign w:val="bottom"/>
          </w:tcPr>
          <w:p w14:paraId="23D75C68" w14:textId="77777777" w:rsidR="008A656B" w:rsidRPr="001D2342" w:rsidRDefault="008A656B" w:rsidP="00851097">
            <w:pPr>
              <w:pStyle w:val="Default"/>
              <w:rPr>
                <w:sz w:val="16"/>
                <w:szCs w:val="16"/>
              </w:rPr>
            </w:pPr>
          </w:p>
        </w:tc>
        <w:tc>
          <w:tcPr>
            <w:tcW w:w="201" w:type="pct"/>
            <w:tcBorders>
              <w:bottom w:val="single" w:sz="4" w:space="0" w:color="auto"/>
            </w:tcBorders>
            <w:shd w:val="clear" w:color="auto" w:fill="D9D9D9" w:themeFill="background1" w:themeFillShade="D9"/>
            <w:vAlign w:val="bottom"/>
          </w:tcPr>
          <w:p w14:paraId="1800C96A"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224</w:t>
            </w:r>
          </w:p>
        </w:tc>
        <w:tc>
          <w:tcPr>
            <w:tcW w:w="129" w:type="pct"/>
            <w:tcBorders>
              <w:bottom w:val="single" w:sz="4" w:space="0" w:color="auto"/>
            </w:tcBorders>
            <w:shd w:val="clear" w:color="auto" w:fill="D9D9D9" w:themeFill="background1" w:themeFillShade="D9"/>
            <w:vAlign w:val="bottom"/>
          </w:tcPr>
          <w:p w14:paraId="713BB3DB" w14:textId="77777777" w:rsidR="008A656B" w:rsidRPr="001D2342" w:rsidRDefault="008A656B" w:rsidP="00851097">
            <w:pPr>
              <w:rPr>
                <w:rFonts w:ascii="Times New Roman" w:hAnsi="Times New Roman" w:cs="Times New Roman"/>
                <w:sz w:val="16"/>
                <w:szCs w:val="16"/>
              </w:rPr>
            </w:pPr>
          </w:p>
        </w:tc>
        <w:tc>
          <w:tcPr>
            <w:tcW w:w="189" w:type="pct"/>
            <w:tcBorders>
              <w:bottom w:val="single" w:sz="4" w:space="0" w:color="auto"/>
            </w:tcBorders>
            <w:shd w:val="clear" w:color="auto" w:fill="D9D9D9" w:themeFill="background1" w:themeFillShade="D9"/>
            <w:vAlign w:val="bottom"/>
          </w:tcPr>
          <w:p w14:paraId="1A6FDC49"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65</w:t>
            </w:r>
          </w:p>
        </w:tc>
        <w:tc>
          <w:tcPr>
            <w:tcW w:w="110" w:type="pct"/>
            <w:tcBorders>
              <w:bottom w:val="single" w:sz="4" w:space="0" w:color="auto"/>
            </w:tcBorders>
            <w:shd w:val="clear" w:color="auto" w:fill="D9D9D9" w:themeFill="background1" w:themeFillShade="D9"/>
            <w:vAlign w:val="bottom"/>
          </w:tcPr>
          <w:p w14:paraId="50629C95" w14:textId="77777777" w:rsidR="008A656B" w:rsidRPr="001D2342" w:rsidRDefault="008A656B" w:rsidP="00851097">
            <w:pPr>
              <w:pStyle w:val="Default"/>
              <w:rPr>
                <w:sz w:val="16"/>
                <w:szCs w:val="16"/>
              </w:rPr>
            </w:pPr>
            <w:r>
              <w:rPr>
                <w:sz w:val="16"/>
              </w:rPr>
              <w:t xml:space="preserve">&gt; </w:t>
            </w:r>
          </w:p>
        </w:tc>
        <w:tc>
          <w:tcPr>
            <w:tcW w:w="192" w:type="pct"/>
            <w:tcBorders>
              <w:bottom w:val="single" w:sz="4" w:space="0" w:color="auto"/>
            </w:tcBorders>
            <w:shd w:val="clear" w:color="auto" w:fill="D9D9D9" w:themeFill="background1" w:themeFillShade="D9"/>
            <w:vAlign w:val="bottom"/>
          </w:tcPr>
          <w:p w14:paraId="721DE594"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65</w:t>
            </w:r>
          </w:p>
        </w:tc>
        <w:tc>
          <w:tcPr>
            <w:tcW w:w="678" w:type="pct"/>
            <w:tcBorders>
              <w:bottom w:val="single" w:sz="4" w:space="0" w:color="auto"/>
            </w:tcBorders>
            <w:shd w:val="clear" w:color="auto" w:fill="D9D9D9" w:themeFill="background1" w:themeFillShade="D9"/>
            <w:vAlign w:val="bottom"/>
          </w:tcPr>
          <w:p w14:paraId="7FFD5CB7" w14:textId="77777777" w:rsidR="008A656B" w:rsidRPr="001D2342" w:rsidRDefault="008A656B" w:rsidP="00851097">
            <w:pPr>
              <w:rPr>
                <w:rFonts w:ascii="Times New Roman" w:hAnsi="Times New Roman" w:cs="Times New Roman"/>
                <w:sz w:val="16"/>
                <w:szCs w:val="16"/>
              </w:rPr>
            </w:pPr>
          </w:p>
        </w:tc>
        <w:tc>
          <w:tcPr>
            <w:tcW w:w="242" w:type="pct"/>
            <w:tcBorders>
              <w:bottom w:val="single" w:sz="4" w:space="0" w:color="auto"/>
            </w:tcBorders>
            <w:shd w:val="clear" w:color="auto" w:fill="D9D9D9" w:themeFill="background1" w:themeFillShade="D9"/>
            <w:vAlign w:val="bottom"/>
          </w:tcPr>
          <w:p w14:paraId="35DAE5B9"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871,0</w:t>
            </w:r>
          </w:p>
        </w:tc>
        <w:tc>
          <w:tcPr>
            <w:tcW w:w="259" w:type="pct"/>
            <w:tcBorders>
              <w:bottom w:val="single" w:sz="4" w:space="0" w:color="auto"/>
            </w:tcBorders>
            <w:shd w:val="clear" w:color="auto" w:fill="D9D9D9" w:themeFill="background1" w:themeFillShade="D9"/>
            <w:vAlign w:val="bottom"/>
          </w:tcPr>
          <w:p w14:paraId="29ABACD2" w14:textId="77777777" w:rsidR="008A656B" w:rsidRPr="001D2342" w:rsidRDefault="008A656B" w:rsidP="00851097">
            <w:pPr>
              <w:rPr>
                <w:rFonts w:ascii="Times New Roman" w:hAnsi="Times New Roman" w:cs="Times New Roman"/>
                <w:sz w:val="16"/>
                <w:szCs w:val="16"/>
              </w:rPr>
            </w:pPr>
          </w:p>
        </w:tc>
        <w:tc>
          <w:tcPr>
            <w:tcW w:w="199" w:type="pct"/>
            <w:tcBorders>
              <w:bottom w:val="single" w:sz="4" w:space="0" w:color="auto"/>
            </w:tcBorders>
            <w:shd w:val="clear" w:color="auto" w:fill="D9D9D9" w:themeFill="background1" w:themeFillShade="D9"/>
            <w:vAlign w:val="bottom"/>
          </w:tcPr>
          <w:p w14:paraId="3A11BA1F" w14:textId="77777777" w:rsidR="008A656B" w:rsidRPr="001D2342" w:rsidRDefault="008A656B" w:rsidP="00851097">
            <w:pPr>
              <w:rPr>
                <w:rFonts w:ascii="Times New Roman" w:hAnsi="Times New Roman" w:cs="Times New Roman"/>
                <w:sz w:val="16"/>
                <w:szCs w:val="16"/>
              </w:rPr>
            </w:pPr>
          </w:p>
        </w:tc>
        <w:tc>
          <w:tcPr>
            <w:tcW w:w="242" w:type="pct"/>
            <w:tcBorders>
              <w:bottom w:val="single" w:sz="4" w:space="0" w:color="auto"/>
            </w:tcBorders>
            <w:shd w:val="clear" w:color="auto" w:fill="D9D9D9" w:themeFill="background1" w:themeFillShade="D9"/>
            <w:vAlign w:val="bottom"/>
          </w:tcPr>
          <w:p w14:paraId="551E1C30" w14:textId="77777777" w:rsidR="008A656B" w:rsidRPr="001D2342" w:rsidRDefault="008A656B" w:rsidP="00851097">
            <w:pPr>
              <w:rPr>
                <w:rFonts w:ascii="Times New Roman" w:hAnsi="Times New Roman" w:cs="Times New Roman"/>
                <w:sz w:val="16"/>
                <w:szCs w:val="16"/>
              </w:rPr>
            </w:pPr>
          </w:p>
        </w:tc>
        <w:tc>
          <w:tcPr>
            <w:tcW w:w="243" w:type="pct"/>
            <w:tcBorders>
              <w:bottom w:val="single" w:sz="4" w:space="0" w:color="auto"/>
            </w:tcBorders>
            <w:shd w:val="clear" w:color="auto" w:fill="D9D9D9" w:themeFill="background1" w:themeFillShade="D9"/>
            <w:vAlign w:val="bottom"/>
          </w:tcPr>
          <w:p w14:paraId="7F2C50F9"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1 630,0</w:t>
            </w:r>
          </w:p>
        </w:tc>
      </w:tr>
      <w:tr w:rsidR="008A656B" w:rsidRPr="001D2342" w14:paraId="741F7EFB" w14:textId="77777777" w:rsidTr="00851097">
        <w:trPr>
          <w:trHeight w:val="260"/>
        </w:trPr>
        <w:tc>
          <w:tcPr>
            <w:tcW w:w="379" w:type="pct"/>
            <w:tcBorders>
              <w:top w:val="single" w:sz="4" w:space="0" w:color="auto"/>
            </w:tcBorders>
            <w:vAlign w:val="bottom"/>
          </w:tcPr>
          <w:p w14:paraId="35AC3F31"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Bagātinātāji</w:t>
            </w:r>
          </w:p>
        </w:tc>
        <w:tc>
          <w:tcPr>
            <w:tcW w:w="261" w:type="pct"/>
            <w:tcBorders>
              <w:top w:val="single" w:sz="4" w:space="0" w:color="auto"/>
            </w:tcBorders>
            <w:vAlign w:val="bottom"/>
          </w:tcPr>
          <w:p w14:paraId="2C011D68"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Sievietes</w:t>
            </w:r>
          </w:p>
        </w:tc>
        <w:tc>
          <w:tcPr>
            <w:tcW w:w="364" w:type="pct"/>
            <w:tcBorders>
              <w:top w:val="single" w:sz="4" w:space="0" w:color="auto"/>
            </w:tcBorders>
            <w:vAlign w:val="bottom"/>
          </w:tcPr>
          <w:p w14:paraId="41D1FA1E"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Austrija</w:t>
            </w:r>
          </w:p>
        </w:tc>
        <w:tc>
          <w:tcPr>
            <w:tcW w:w="373" w:type="pct"/>
            <w:tcBorders>
              <w:top w:val="single" w:sz="4" w:space="0" w:color="auto"/>
            </w:tcBorders>
            <w:vAlign w:val="bottom"/>
          </w:tcPr>
          <w:p w14:paraId="2F753AD9" w14:textId="77777777" w:rsidR="008A656B" w:rsidRPr="001D2342" w:rsidRDefault="008A656B" w:rsidP="00851097">
            <w:pPr>
              <w:pStyle w:val="Default"/>
              <w:rPr>
                <w:sz w:val="16"/>
                <w:szCs w:val="16"/>
              </w:rPr>
            </w:pPr>
            <w:r>
              <w:rPr>
                <w:sz w:val="16"/>
              </w:rPr>
              <w:t>(Elmadfa et al., 2009)</w:t>
            </w:r>
          </w:p>
        </w:tc>
        <w:tc>
          <w:tcPr>
            <w:tcW w:w="940" w:type="pct"/>
            <w:tcBorders>
              <w:top w:val="single" w:sz="4" w:space="0" w:color="auto"/>
            </w:tcBorders>
            <w:vAlign w:val="bottom"/>
          </w:tcPr>
          <w:p w14:paraId="3F5F6A87" w14:textId="77777777" w:rsidR="008A656B" w:rsidRPr="001D2342" w:rsidRDefault="008A656B" w:rsidP="00851097">
            <w:pPr>
              <w:pStyle w:val="Default"/>
              <w:rPr>
                <w:sz w:val="16"/>
                <w:szCs w:val="16"/>
              </w:rPr>
            </w:pPr>
            <w:r>
              <w:rPr>
                <w:sz w:val="16"/>
              </w:rPr>
              <w:t>Kvantitatīva patēriņa biežuma aptauja</w:t>
            </w:r>
          </w:p>
        </w:tc>
        <w:tc>
          <w:tcPr>
            <w:tcW w:w="201" w:type="pct"/>
            <w:tcBorders>
              <w:top w:val="single" w:sz="4" w:space="0" w:color="auto"/>
            </w:tcBorders>
            <w:vAlign w:val="bottom"/>
          </w:tcPr>
          <w:p w14:paraId="4A8692C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28</w:t>
            </w:r>
          </w:p>
        </w:tc>
        <w:tc>
          <w:tcPr>
            <w:tcW w:w="129" w:type="pct"/>
            <w:tcBorders>
              <w:top w:val="single" w:sz="4" w:space="0" w:color="auto"/>
            </w:tcBorders>
            <w:vAlign w:val="bottom"/>
          </w:tcPr>
          <w:p w14:paraId="27B914E3" w14:textId="77777777" w:rsidR="008A656B" w:rsidRPr="001D2342" w:rsidRDefault="008A656B" w:rsidP="00851097">
            <w:pPr>
              <w:rPr>
                <w:rFonts w:ascii="Times New Roman" w:hAnsi="Times New Roman" w:cs="Times New Roman"/>
                <w:sz w:val="16"/>
                <w:szCs w:val="16"/>
              </w:rPr>
            </w:pPr>
          </w:p>
        </w:tc>
        <w:tc>
          <w:tcPr>
            <w:tcW w:w="189" w:type="pct"/>
            <w:tcBorders>
              <w:top w:val="single" w:sz="4" w:space="0" w:color="auto"/>
            </w:tcBorders>
            <w:vAlign w:val="bottom"/>
          </w:tcPr>
          <w:p w14:paraId="02631E56"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18</w:t>
            </w:r>
          </w:p>
        </w:tc>
        <w:tc>
          <w:tcPr>
            <w:tcW w:w="110" w:type="pct"/>
            <w:tcBorders>
              <w:top w:val="single" w:sz="4" w:space="0" w:color="auto"/>
            </w:tcBorders>
            <w:vAlign w:val="bottom"/>
          </w:tcPr>
          <w:p w14:paraId="2F8F82DD" w14:textId="77777777" w:rsidR="008A656B" w:rsidRPr="001D2342" w:rsidRDefault="008A656B" w:rsidP="00851097">
            <w:pPr>
              <w:rPr>
                <w:rFonts w:ascii="Times New Roman" w:hAnsi="Times New Roman" w:cs="Times New Roman"/>
                <w:sz w:val="16"/>
                <w:szCs w:val="16"/>
              </w:rPr>
            </w:pPr>
          </w:p>
        </w:tc>
        <w:tc>
          <w:tcPr>
            <w:tcW w:w="192" w:type="pct"/>
            <w:tcBorders>
              <w:top w:val="single" w:sz="4" w:space="0" w:color="auto"/>
            </w:tcBorders>
            <w:vAlign w:val="bottom"/>
          </w:tcPr>
          <w:p w14:paraId="2F9C25EA"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65</w:t>
            </w:r>
          </w:p>
        </w:tc>
        <w:tc>
          <w:tcPr>
            <w:tcW w:w="678" w:type="pct"/>
            <w:tcBorders>
              <w:top w:val="single" w:sz="4" w:space="0" w:color="auto"/>
            </w:tcBorders>
            <w:vAlign w:val="bottom"/>
          </w:tcPr>
          <w:p w14:paraId="14675362" w14:textId="77777777" w:rsidR="008A656B" w:rsidRPr="001D2342" w:rsidRDefault="008A656B" w:rsidP="00851097">
            <w:pPr>
              <w:pStyle w:val="Default"/>
              <w:rPr>
                <w:sz w:val="16"/>
                <w:szCs w:val="16"/>
              </w:rPr>
            </w:pPr>
            <w:r>
              <w:rPr>
                <w:sz w:val="16"/>
              </w:rPr>
              <w:t>Uztura bagātinātāju lietošana saskaņā ar novērtējumu, kas veikts starp 282 pieaugušajiem visā Austrijā (77 uztura bagātinātāju lietotāji)</w:t>
            </w:r>
          </w:p>
        </w:tc>
        <w:tc>
          <w:tcPr>
            <w:tcW w:w="242" w:type="pct"/>
            <w:tcBorders>
              <w:top w:val="single" w:sz="4" w:space="0" w:color="auto"/>
            </w:tcBorders>
            <w:vAlign w:val="bottom"/>
          </w:tcPr>
          <w:p w14:paraId="5AF6941E" w14:textId="77777777" w:rsidR="008A656B" w:rsidRPr="001D2342" w:rsidRDefault="008A656B" w:rsidP="00851097">
            <w:pPr>
              <w:rPr>
                <w:rFonts w:ascii="Times New Roman" w:hAnsi="Times New Roman" w:cs="Times New Roman"/>
                <w:sz w:val="16"/>
                <w:szCs w:val="16"/>
              </w:rPr>
            </w:pPr>
          </w:p>
        </w:tc>
        <w:tc>
          <w:tcPr>
            <w:tcW w:w="259" w:type="pct"/>
            <w:tcBorders>
              <w:top w:val="single" w:sz="4" w:space="0" w:color="auto"/>
            </w:tcBorders>
            <w:vAlign w:val="bottom"/>
          </w:tcPr>
          <w:p w14:paraId="409D219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200,0</w:t>
            </w:r>
          </w:p>
        </w:tc>
        <w:tc>
          <w:tcPr>
            <w:tcW w:w="199" w:type="pct"/>
            <w:tcBorders>
              <w:top w:val="single" w:sz="4" w:space="0" w:color="auto"/>
            </w:tcBorders>
            <w:vAlign w:val="bottom"/>
          </w:tcPr>
          <w:p w14:paraId="671F27E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353,0</w:t>
            </w:r>
          </w:p>
        </w:tc>
        <w:tc>
          <w:tcPr>
            <w:tcW w:w="242" w:type="pct"/>
            <w:tcBorders>
              <w:top w:val="single" w:sz="4" w:space="0" w:color="auto"/>
            </w:tcBorders>
            <w:vAlign w:val="bottom"/>
          </w:tcPr>
          <w:p w14:paraId="314B892A" w14:textId="77777777" w:rsidR="008A656B" w:rsidRPr="001D2342" w:rsidRDefault="008A656B" w:rsidP="00851097">
            <w:pPr>
              <w:rPr>
                <w:rFonts w:ascii="Times New Roman" w:hAnsi="Times New Roman" w:cs="Times New Roman"/>
                <w:sz w:val="16"/>
                <w:szCs w:val="16"/>
              </w:rPr>
            </w:pPr>
          </w:p>
        </w:tc>
        <w:tc>
          <w:tcPr>
            <w:tcW w:w="243" w:type="pct"/>
            <w:tcBorders>
              <w:top w:val="single" w:sz="4" w:space="0" w:color="auto"/>
            </w:tcBorders>
            <w:vAlign w:val="bottom"/>
          </w:tcPr>
          <w:p w14:paraId="39D9D079" w14:textId="77777777" w:rsidR="008A656B" w:rsidRPr="001D2342" w:rsidRDefault="008A656B" w:rsidP="00851097">
            <w:pPr>
              <w:rPr>
                <w:rFonts w:ascii="Times New Roman" w:hAnsi="Times New Roman" w:cs="Times New Roman"/>
                <w:sz w:val="16"/>
                <w:szCs w:val="16"/>
              </w:rPr>
            </w:pPr>
          </w:p>
        </w:tc>
      </w:tr>
      <w:tr w:rsidR="008A656B" w:rsidRPr="001D2342" w14:paraId="6E442F7B" w14:textId="77777777" w:rsidTr="00851097">
        <w:trPr>
          <w:trHeight w:val="260"/>
        </w:trPr>
        <w:tc>
          <w:tcPr>
            <w:tcW w:w="379" w:type="pct"/>
            <w:vAlign w:val="bottom"/>
          </w:tcPr>
          <w:p w14:paraId="775758E5" w14:textId="77777777" w:rsidR="008A656B" w:rsidRPr="001D2342" w:rsidRDefault="008A656B" w:rsidP="00851097">
            <w:pPr>
              <w:rPr>
                <w:rFonts w:ascii="Times New Roman" w:hAnsi="Times New Roman" w:cs="Times New Roman"/>
                <w:b/>
                <w:bCs/>
                <w:sz w:val="16"/>
                <w:szCs w:val="16"/>
              </w:rPr>
            </w:pPr>
          </w:p>
        </w:tc>
        <w:tc>
          <w:tcPr>
            <w:tcW w:w="261" w:type="pct"/>
            <w:vAlign w:val="bottom"/>
          </w:tcPr>
          <w:p w14:paraId="6CFA30D1" w14:textId="77777777" w:rsidR="008A656B" w:rsidRPr="001D2342" w:rsidRDefault="008A656B" w:rsidP="00851097">
            <w:pPr>
              <w:rPr>
                <w:rFonts w:ascii="Times New Roman" w:hAnsi="Times New Roman" w:cs="Times New Roman"/>
                <w:b/>
                <w:bCs/>
                <w:sz w:val="16"/>
                <w:szCs w:val="16"/>
              </w:rPr>
            </w:pPr>
          </w:p>
        </w:tc>
        <w:tc>
          <w:tcPr>
            <w:tcW w:w="364" w:type="pct"/>
            <w:vAlign w:val="bottom"/>
          </w:tcPr>
          <w:p w14:paraId="552FA3DB"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Vācija</w:t>
            </w:r>
          </w:p>
        </w:tc>
        <w:tc>
          <w:tcPr>
            <w:tcW w:w="373" w:type="pct"/>
            <w:vAlign w:val="bottom"/>
          </w:tcPr>
          <w:p w14:paraId="1FADF1F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(MRI, 2008)</w:t>
            </w:r>
          </w:p>
        </w:tc>
        <w:tc>
          <w:tcPr>
            <w:tcW w:w="940" w:type="pct"/>
            <w:vAlign w:val="bottom"/>
          </w:tcPr>
          <w:p w14:paraId="6F2919D3" w14:textId="77777777" w:rsidR="008A656B" w:rsidRPr="001D2342" w:rsidRDefault="008A656B" w:rsidP="00851097">
            <w:pPr>
              <w:pStyle w:val="Default"/>
              <w:rPr>
                <w:sz w:val="16"/>
                <w:szCs w:val="16"/>
              </w:rPr>
            </w:pPr>
            <w:r>
              <w:rPr>
                <w:sz w:val="16"/>
              </w:rPr>
              <w:t xml:space="preserve">24 stundu atcerēšanās anketa + uztura vēsture </w:t>
            </w:r>
          </w:p>
        </w:tc>
        <w:tc>
          <w:tcPr>
            <w:tcW w:w="201" w:type="pct"/>
            <w:vAlign w:val="bottom"/>
          </w:tcPr>
          <w:p w14:paraId="16D0A638"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40</w:t>
            </w:r>
          </w:p>
        </w:tc>
        <w:tc>
          <w:tcPr>
            <w:tcW w:w="129" w:type="pct"/>
            <w:vAlign w:val="bottom"/>
          </w:tcPr>
          <w:p w14:paraId="5D8581D7" w14:textId="77777777" w:rsidR="008A656B" w:rsidRPr="001D2342" w:rsidRDefault="008A656B" w:rsidP="00851097">
            <w:pPr>
              <w:rPr>
                <w:rFonts w:ascii="Times New Roman" w:hAnsi="Times New Roman" w:cs="Times New Roman"/>
                <w:sz w:val="16"/>
                <w:szCs w:val="16"/>
              </w:rPr>
            </w:pPr>
          </w:p>
        </w:tc>
        <w:tc>
          <w:tcPr>
            <w:tcW w:w="189" w:type="pct"/>
            <w:vAlign w:val="bottom"/>
          </w:tcPr>
          <w:p w14:paraId="65D30A97"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19</w:t>
            </w:r>
          </w:p>
        </w:tc>
        <w:tc>
          <w:tcPr>
            <w:tcW w:w="110" w:type="pct"/>
            <w:vAlign w:val="bottom"/>
          </w:tcPr>
          <w:p w14:paraId="6C4A3BDD" w14:textId="77777777" w:rsidR="008A656B" w:rsidRPr="001D2342" w:rsidRDefault="008A656B" w:rsidP="00851097">
            <w:pPr>
              <w:rPr>
                <w:rFonts w:ascii="Times New Roman" w:hAnsi="Times New Roman" w:cs="Times New Roman"/>
                <w:sz w:val="16"/>
                <w:szCs w:val="16"/>
              </w:rPr>
            </w:pPr>
          </w:p>
        </w:tc>
        <w:tc>
          <w:tcPr>
            <w:tcW w:w="192" w:type="pct"/>
            <w:vAlign w:val="bottom"/>
          </w:tcPr>
          <w:p w14:paraId="76E77489"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24</w:t>
            </w:r>
          </w:p>
        </w:tc>
        <w:tc>
          <w:tcPr>
            <w:tcW w:w="678" w:type="pct"/>
            <w:vAlign w:val="bottom"/>
          </w:tcPr>
          <w:p w14:paraId="286E914D" w14:textId="77777777" w:rsidR="008A656B" w:rsidRPr="001D2342" w:rsidRDefault="008A656B" w:rsidP="00851097">
            <w:pPr>
              <w:pStyle w:val="Default"/>
              <w:rPr>
                <w:sz w:val="16"/>
                <w:szCs w:val="16"/>
              </w:rPr>
            </w:pPr>
            <w:r>
              <w:rPr>
                <w:sz w:val="16"/>
              </w:rPr>
              <w:t>Kalcija uztura bagātinātāju lietotāji</w:t>
            </w:r>
          </w:p>
        </w:tc>
        <w:tc>
          <w:tcPr>
            <w:tcW w:w="242" w:type="pct"/>
            <w:vAlign w:val="bottom"/>
          </w:tcPr>
          <w:p w14:paraId="34C8EF3F"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288,0</w:t>
            </w:r>
          </w:p>
        </w:tc>
        <w:tc>
          <w:tcPr>
            <w:tcW w:w="259" w:type="pct"/>
            <w:vAlign w:val="bottom"/>
          </w:tcPr>
          <w:p w14:paraId="1B8F072D" w14:textId="77777777" w:rsidR="008A656B" w:rsidRPr="001D2342" w:rsidRDefault="008A656B" w:rsidP="00851097">
            <w:pPr>
              <w:rPr>
                <w:rFonts w:ascii="Times New Roman" w:hAnsi="Times New Roman" w:cs="Times New Roman"/>
                <w:sz w:val="16"/>
                <w:szCs w:val="16"/>
              </w:rPr>
            </w:pPr>
          </w:p>
        </w:tc>
        <w:tc>
          <w:tcPr>
            <w:tcW w:w="199" w:type="pct"/>
            <w:vAlign w:val="bottom"/>
          </w:tcPr>
          <w:p w14:paraId="5913012B" w14:textId="77777777" w:rsidR="008A656B" w:rsidRPr="001D2342" w:rsidRDefault="008A656B" w:rsidP="00851097">
            <w:pPr>
              <w:rPr>
                <w:rFonts w:ascii="Times New Roman" w:hAnsi="Times New Roman" w:cs="Times New Roman"/>
                <w:sz w:val="16"/>
                <w:szCs w:val="16"/>
              </w:rPr>
            </w:pPr>
          </w:p>
        </w:tc>
        <w:tc>
          <w:tcPr>
            <w:tcW w:w="242" w:type="pct"/>
            <w:vAlign w:val="bottom"/>
          </w:tcPr>
          <w:p w14:paraId="4920B4D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500,0</w:t>
            </w:r>
          </w:p>
        </w:tc>
        <w:tc>
          <w:tcPr>
            <w:tcW w:w="243" w:type="pct"/>
            <w:vAlign w:val="bottom"/>
          </w:tcPr>
          <w:p w14:paraId="06C5D334" w14:textId="77777777" w:rsidR="008A656B" w:rsidRPr="001D2342" w:rsidRDefault="008A656B" w:rsidP="00851097">
            <w:pPr>
              <w:rPr>
                <w:rFonts w:ascii="Times New Roman" w:hAnsi="Times New Roman" w:cs="Times New Roman"/>
                <w:sz w:val="16"/>
                <w:szCs w:val="16"/>
              </w:rPr>
            </w:pPr>
          </w:p>
        </w:tc>
      </w:tr>
      <w:tr w:rsidR="008A656B" w:rsidRPr="001D2342" w14:paraId="7E0FFFBE" w14:textId="77777777" w:rsidTr="00851097">
        <w:trPr>
          <w:trHeight w:val="260"/>
        </w:trPr>
        <w:tc>
          <w:tcPr>
            <w:tcW w:w="379" w:type="pct"/>
            <w:vAlign w:val="bottom"/>
          </w:tcPr>
          <w:p w14:paraId="48DE675C" w14:textId="77777777" w:rsidR="008A656B" w:rsidRPr="001D2342" w:rsidRDefault="008A656B" w:rsidP="00851097">
            <w:pPr>
              <w:rPr>
                <w:rFonts w:ascii="Times New Roman" w:hAnsi="Times New Roman" w:cs="Times New Roman"/>
                <w:sz w:val="16"/>
                <w:szCs w:val="16"/>
              </w:rPr>
            </w:pPr>
          </w:p>
        </w:tc>
        <w:tc>
          <w:tcPr>
            <w:tcW w:w="261" w:type="pct"/>
            <w:vAlign w:val="bottom"/>
          </w:tcPr>
          <w:p w14:paraId="173020FF" w14:textId="77777777" w:rsidR="008A656B" w:rsidRPr="001D2342" w:rsidRDefault="008A656B" w:rsidP="00851097">
            <w:pPr>
              <w:rPr>
                <w:rFonts w:ascii="Times New Roman" w:hAnsi="Times New Roman" w:cs="Times New Roman"/>
                <w:sz w:val="16"/>
                <w:szCs w:val="16"/>
              </w:rPr>
            </w:pPr>
          </w:p>
        </w:tc>
        <w:tc>
          <w:tcPr>
            <w:tcW w:w="364" w:type="pct"/>
            <w:vAlign w:val="bottom"/>
          </w:tcPr>
          <w:p w14:paraId="2C6E91AF" w14:textId="77777777" w:rsidR="008A656B" w:rsidRPr="001D2342" w:rsidRDefault="008A656B" w:rsidP="00851097">
            <w:pPr>
              <w:rPr>
                <w:rFonts w:ascii="Times New Roman" w:hAnsi="Times New Roman" w:cs="Times New Roman"/>
                <w:sz w:val="16"/>
                <w:szCs w:val="16"/>
              </w:rPr>
            </w:pPr>
          </w:p>
        </w:tc>
        <w:tc>
          <w:tcPr>
            <w:tcW w:w="373" w:type="pct"/>
            <w:vAlign w:val="bottom"/>
          </w:tcPr>
          <w:p w14:paraId="28D79F26" w14:textId="77777777" w:rsidR="008A656B" w:rsidRPr="001D2342" w:rsidRDefault="008A656B" w:rsidP="00851097">
            <w:pPr>
              <w:rPr>
                <w:rFonts w:ascii="Times New Roman" w:hAnsi="Times New Roman" w:cs="Times New Roman"/>
                <w:sz w:val="16"/>
                <w:szCs w:val="16"/>
              </w:rPr>
            </w:pPr>
          </w:p>
        </w:tc>
        <w:tc>
          <w:tcPr>
            <w:tcW w:w="940" w:type="pct"/>
            <w:vAlign w:val="bottom"/>
          </w:tcPr>
          <w:p w14:paraId="73012D99" w14:textId="77777777" w:rsidR="008A656B" w:rsidRPr="001D2342" w:rsidRDefault="008A656B" w:rsidP="00851097">
            <w:pPr>
              <w:rPr>
                <w:rFonts w:ascii="Times New Roman" w:hAnsi="Times New Roman" w:cs="Times New Roman"/>
                <w:sz w:val="16"/>
                <w:szCs w:val="16"/>
              </w:rPr>
            </w:pPr>
          </w:p>
        </w:tc>
        <w:tc>
          <w:tcPr>
            <w:tcW w:w="201" w:type="pct"/>
            <w:vAlign w:val="bottom"/>
          </w:tcPr>
          <w:p w14:paraId="0F3F3AA6"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84</w:t>
            </w:r>
          </w:p>
        </w:tc>
        <w:tc>
          <w:tcPr>
            <w:tcW w:w="129" w:type="pct"/>
            <w:vAlign w:val="bottom"/>
          </w:tcPr>
          <w:p w14:paraId="07B9B3B9" w14:textId="77777777" w:rsidR="008A656B" w:rsidRPr="001D2342" w:rsidRDefault="008A656B" w:rsidP="00851097">
            <w:pPr>
              <w:rPr>
                <w:rFonts w:ascii="Times New Roman" w:hAnsi="Times New Roman" w:cs="Times New Roman"/>
                <w:sz w:val="16"/>
                <w:szCs w:val="16"/>
              </w:rPr>
            </w:pPr>
          </w:p>
        </w:tc>
        <w:tc>
          <w:tcPr>
            <w:tcW w:w="189" w:type="pct"/>
            <w:vAlign w:val="bottom"/>
          </w:tcPr>
          <w:p w14:paraId="7A306345"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25</w:t>
            </w:r>
          </w:p>
        </w:tc>
        <w:tc>
          <w:tcPr>
            <w:tcW w:w="110" w:type="pct"/>
            <w:vAlign w:val="bottom"/>
          </w:tcPr>
          <w:p w14:paraId="2D5D4E92" w14:textId="77777777" w:rsidR="008A656B" w:rsidRPr="001D2342" w:rsidRDefault="008A656B" w:rsidP="00851097">
            <w:pPr>
              <w:rPr>
                <w:rFonts w:ascii="Times New Roman" w:hAnsi="Times New Roman" w:cs="Times New Roman"/>
                <w:sz w:val="16"/>
                <w:szCs w:val="16"/>
              </w:rPr>
            </w:pPr>
          </w:p>
        </w:tc>
        <w:tc>
          <w:tcPr>
            <w:tcW w:w="192" w:type="pct"/>
            <w:vAlign w:val="bottom"/>
          </w:tcPr>
          <w:p w14:paraId="6F9BFE4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34</w:t>
            </w:r>
          </w:p>
        </w:tc>
        <w:tc>
          <w:tcPr>
            <w:tcW w:w="678" w:type="pct"/>
            <w:vAlign w:val="bottom"/>
          </w:tcPr>
          <w:p w14:paraId="4E77797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Kalcija uztura bagātinātāju lietotāji</w:t>
            </w:r>
          </w:p>
        </w:tc>
        <w:tc>
          <w:tcPr>
            <w:tcW w:w="242" w:type="pct"/>
            <w:vAlign w:val="bottom"/>
          </w:tcPr>
          <w:p w14:paraId="587C55C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198,0</w:t>
            </w:r>
          </w:p>
        </w:tc>
        <w:tc>
          <w:tcPr>
            <w:tcW w:w="259" w:type="pct"/>
            <w:vAlign w:val="bottom"/>
          </w:tcPr>
          <w:p w14:paraId="34F46573" w14:textId="77777777" w:rsidR="008A656B" w:rsidRPr="001D2342" w:rsidRDefault="008A656B" w:rsidP="00851097">
            <w:pPr>
              <w:rPr>
                <w:rFonts w:ascii="Times New Roman" w:hAnsi="Times New Roman" w:cs="Times New Roman"/>
                <w:sz w:val="16"/>
                <w:szCs w:val="16"/>
              </w:rPr>
            </w:pPr>
          </w:p>
        </w:tc>
        <w:tc>
          <w:tcPr>
            <w:tcW w:w="199" w:type="pct"/>
            <w:vAlign w:val="bottom"/>
          </w:tcPr>
          <w:p w14:paraId="1EE4CDA9" w14:textId="77777777" w:rsidR="008A656B" w:rsidRPr="001D2342" w:rsidRDefault="008A656B" w:rsidP="00851097">
            <w:pPr>
              <w:rPr>
                <w:rFonts w:ascii="Times New Roman" w:hAnsi="Times New Roman" w:cs="Times New Roman"/>
                <w:sz w:val="16"/>
                <w:szCs w:val="16"/>
              </w:rPr>
            </w:pPr>
          </w:p>
        </w:tc>
        <w:tc>
          <w:tcPr>
            <w:tcW w:w="242" w:type="pct"/>
            <w:vAlign w:val="bottom"/>
          </w:tcPr>
          <w:p w14:paraId="4AB2A0EA"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500,0</w:t>
            </w:r>
          </w:p>
        </w:tc>
        <w:tc>
          <w:tcPr>
            <w:tcW w:w="243" w:type="pct"/>
            <w:vAlign w:val="bottom"/>
          </w:tcPr>
          <w:p w14:paraId="41D406A7" w14:textId="77777777" w:rsidR="008A656B" w:rsidRPr="001D2342" w:rsidRDefault="008A656B" w:rsidP="00851097">
            <w:pPr>
              <w:rPr>
                <w:rFonts w:ascii="Times New Roman" w:hAnsi="Times New Roman" w:cs="Times New Roman"/>
                <w:sz w:val="16"/>
                <w:szCs w:val="16"/>
              </w:rPr>
            </w:pPr>
          </w:p>
        </w:tc>
      </w:tr>
      <w:tr w:rsidR="008A656B" w:rsidRPr="001D2342" w14:paraId="00006241" w14:textId="77777777" w:rsidTr="00851097">
        <w:trPr>
          <w:trHeight w:val="260"/>
        </w:trPr>
        <w:tc>
          <w:tcPr>
            <w:tcW w:w="379" w:type="pct"/>
            <w:vAlign w:val="bottom"/>
          </w:tcPr>
          <w:p w14:paraId="46D31C60" w14:textId="77777777" w:rsidR="008A656B" w:rsidRPr="001D2342" w:rsidRDefault="008A656B" w:rsidP="00851097">
            <w:pPr>
              <w:rPr>
                <w:rFonts w:ascii="Times New Roman" w:hAnsi="Times New Roman" w:cs="Times New Roman"/>
                <w:sz w:val="16"/>
                <w:szCs w:val="16"/>
              </w:rPr>
            </w:pPr>
          </w:p>
        </w:tc>
        <w:tc>
          <w:tcPr>
            <w:tcW w:w="261" w:type="pct"/>
            <w:vAlign w:val="bottom"/>
          </w:tcPr>
          <w:p w14:paraId="2BF46E8F" w14:textId="77777777" w:rsidR="008A656B" w:rsidRPr="001D2342" w:rsidRDefault="008A656B" w:rsidP="00851097">
            <w:pPr>
              <w:rPr>
                <w:rFonts w:ascii="Times New Roman" w:hAnsi="Times New Roman" w:cs="Times New Roman"/>
                <w:sz w:val="16"/>
                <w:szCs w:val="16"/>
              </w:rPr>
            </w:pPr>
          </w:p>
        </w:tc>
        <w:tc>
          <w:tcPr>
            <w:tcW w:w="364" w:type="pct"/>
            <w:vAlign w:val="bottom"/>
          </w:tcPr>
          <w:p w14:paraId="5B423C10" w14:textId="77777777" w:rsidR="008A656B" w:rsidRPr="001D2342" w:rsidRDefault="008A656B" w:rsidP="00851097">
            <w:pPr>
              <w:rPr>
                <w:rFonts w:ascii="Times New Roman" w:hAnsi="Times New Roman" w:cs="Times New Roman"/>
                <w:sz w:val="16"/>
                <w:szCs w:val="16"/>
              </w:rPr>
            </w:pPr>
          </w:p>
        </w:tc>
        <w:tc>
          <w:tcPr>
            <w:tcW w:w="373" w:type="pct"/>
            <w:vAlign w:val="bottom"/>
          </w:tcPr>
          <w:p w14:paraId="17072308" w14:textId="77777777" w:rsidR="008A656B" w:rsidRPr="001D2342" w:rsidRDefault="008A656B" w:rsidP="00851097">
            <w:pPr>
              <w:rPr>
                <w:rFonts w:ascii="Times New Roman" w:hAnsi="Times New Roman" w:cs="Times New Roman"/>
                <w:sz w:val="16"/>
                <w:szCs w:val="16"/>
              </w:rPr>
            </w:pPr>
          </w:p>
        </w:tc>
        <w:tc>
          <w:tcPr>
            <w:tcW w:w="940" w:type="pct"/>
            <w:vAlign w:val="bottom"/>
          </w:tcPr>
          <w:p w14:paraId="07D7AEFE" w14:textId="77777777" w:rsidR="008A656B" w:rsidRPr="001D2342" w:rsidRDefault="008A656B" w:rsidP="00851097">
            <w:pPr>
              <w:rPr>
                <w:rFonts w:ascii="Times New Roman" w:hAnsi="Times New Roman" w:cs="Times New Roman"/>
                <w:sz w:val="16"/>
                <w:szCs w:val="16"/>
              </w:rPr>
            </w:pPr>
          </w:p>
        </w:tc>
        <w:tc>
          <w:tcPr>
            <w:tcW w:w="201" w:type="pct"/>
            <w:vAlign w:val="bottom"/>
          </w:tcPr>
          <w:p w14:paraId="78610BE1"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285</w:t>
            </w:r>
          </w:p>
        </w:tc>
        <w:tc>
          <w:tcPr>
            <w:tcW w:w="129" w:type="pct"/>
            <w:vAlign w:val="bottom"/>
          </w:tcPr>
          <w:p w14:paraId="3E11AD20" w14:textId="77777777" w:rsidR="008A656B" w:rsidRPr="001D2342" w:rsidRDefault="008A656B" w:rsidP="00851097">
            <w:pPr>
              <w:rPr>
                <w:rFonts w:ascii="Times New Roman" w:hAnsi="Times New Roman" w:cs="Times New Roman"/>
                <w:sz w:val="16"/>
                <w:szCs w:val="16"/>
              </w:rPr>
            </w:pPr>
          </w:p>
        </w:tc>
        <w:tc>
          <w:tcPr>
            <w:tcW w:w="189" w:type="pct"/>
            <w:vAlign w:val="bottom"/>
          </w:tcPr>
          <w:p w14:paraId="472B7E2A"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35</w:t>
            </w:r>
          </w:p>
        </w:tc>
        <w:tc>
          <w:tcPr>
            <w:tcW w:w="110" w:type="pct"/>
            <w:vAlign w:val="bottom"/>
          </w:tcPr>
          <w:p w14:paraId="6A93ED6B" w14:textId="77777777" w:rsidR="008A656B" w:rsidRPr="001D2342" w:rsidRDefault="008A656B" w:rsidP="00851097">
            <w:pPr>
              <w:rPr>
                <w:rFonts w:ascii="Times New Roman" w:hAnsi="Times New Roman" w:cs="Times New Roman"/>
                <w:sz w:val="16"/>
                <w:szCs w:val="16"/>
              </w:rPr>
            </w:pPr>
          </w:p>
        </w:tc>
        <w:tc>
          <w:tcPr>
            <w:tcW w:w="192" w:type="pct"/>
            <w:vAlign w:val="bottom"/>
          </w:tcPr>
          <w:p w14:paraId="48080BBF"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50</w:t>
            </w:r>
          </w:p>
        </w:tc>
        <w:tc>
          <w:tcPr>
            <w:tcW w:w="678" w:type="pct"/>
            <w:vAlign w:val="bottom"/>
          </w:tcPr>
          <w:p w14:paraId="77B76B1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Kalcija uztura bagātinātāju lietotāji</w:t>
            </w:r>
          </w:p>
        </w:tc>
        <w:tc>
          <w:tcPr>
            <w:tcW w:w="242" w:type="pct"/>
            <w:vAlign w:val="bottom"/>
          </w:tcPr>
          <w:p w14:paraId="52951160"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272,0</w:t>
            </w:r>
          </w:p>
        </w:tc>
        <w:tc>
          <w:tcPr>
            <w:tcW w:w="259" w:type="pct"/>
            <w:vAlign w:val="bottom"/>
          </w:tcPr>
          <w:p w14:paraId="3BC8619F" w14:textId="77777777" w:rsidR="008A656B" w:rsidRPr="001D2342" w:rsidRDefault="008A656B" w:rsidP="00851097">
            <w:pPr>
              <w:rPr>
                <w:rFonts w:ascii="Times New Roman" w:hAnsi="Times New Roman" w:cs="Times New Roman"/>
                <w:sz w:val="16"/>
                <w:szCs w:val="16"/>
              </w:rPr>
            </w:pPr>
          </w:p>
        </w:tc>
        <w:tc>
          <w:tcPr>
            <w:tcW w:w="199" w:type="pct"/>
            <w:vAlign w:val="bottom"/>
          </w:tcPr>
          <w:p w14:paraId="1155F11F" w14:textId="77777777" w:rsidR="008A656B" w:rsidRPr="001D2342" w:rsidRDefault="008A656B" w:rsidP="00851097">
            <w:pPr>
              <w:rPr>
                <w:rFonts w:ascii="Times New Roman" w:hAnsi="Times New Roman" w:cs="Times New Roman"/>
                <w:sz w:val="16"/>
                <w:szCs w:val="16"/>
              </w:rPr>
            </w:pPr>
          </w:p>
        </w:tc>
        <w:tc>
          <w:tcPr>
            <w:tcW w:w="242" w:type="pct"/>
            <w:vAlign w:val="bottom"/>
          </w:tcPr>
          <w:p w14:paraId="290FFC5E"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800,0</w:t>
            </w:r>
          </w:p>
        </w:tc>
        <w:tc>
          <w:tcPr>
            <w:tcW w:w="243" w:type="pct"/>
            <w:vAlign w:val="bottom"/>
          </w:tcPr>
          <w:p w14:paraId="65516E46" w14:textId="77777777" w:rsidR="008A656B" w:rsidRPr="001D2342" w:rsidRDefault="008A656B" w:rsidP="00851097">
            <w:pPr>
              <w:rPr>
                <w:rFonts w:ascii="Times New Roman" w:hAnsi="Times New Roman" w:cs="Times New Roman"/>
                <w:sz w:val="16"/>
                <w:szCs w:val="16"/>
              </w:rPr>
            </w:pPr>
          </w:p>
        </w:tc>
      </w:tr>
      <w:tr w:rsidR="008A656B" w:rsidRPr="001D2342" w14:paraId="5ED61731" w14:textId="77777777" w:rsidTr="00851097">
        <w:trPr>
          <w:trHeight w:val="260"/>
        </w:trPr>
        <w:tc>
          <w:tcPr>
            <w:tcW w:w="379" w:type="pct"/>
            <w:vAlign w:val="bottom"/>
          </w:tcPr>
          <w:p w14:paraId="29C5FD87" w14:textId="77777777" w:rsidR="008A656B" w:rsidRPr="001D2342" w:rsidRDefault="008A656B" w:rsidP="00851097">
            <w:pPr>
              <w:rPr>
                <w:rFonts w:ascii="Times New Roman" w:hAnsi="Times New Roman" w:cs="Times New Roman"/>
                <w:sz w:val="16"/>
                <w:szCs w:val="16"/>
              </w:rPr>
            </w:pPr>
          </w:p>
        </w:tc>
        <w:tc>
          <w:tcPr>
            <w:tcW w:w="261" w:type="pct"/>
            <w:vAlign w:val="bottom"/>
          </w:tcPr>
          <w:p w14:paraId="2B9BFA70" w14:textId="77777777" w:rsidR="008A656B" w:rsidRPr="001D2342" w:rsidRDefault="008A656B" w:rsidP="00851097">
            <w:pPr>
              <w:rPr>
                <w:rFonts w:ascii="Times New Roman" w:hAnsi="Times New Roman" w:cs="Times New Roman"/>
                <w:sz w:val="16"/>
                <w:szCs w:val="16"/>
              </w:rPr>
            </w:pPr>
          </w:p>
        </w:tc>
        <w:tc>
          <w:tcPr>
            <w:tcW w:w="364" w:type="pct"/>
            <w:vAlign w:val="bottom"/>
          </w:tcPr>
          <w:p w14:paraId="19E36C83" w14:textId="77777777" w:rsidR="008A656B" w:rsidRPr="001D2342" w:rsidRDefault="008A656B" w:rsidP="00851097">
            <w:pPr>
              <w:rPr>
                <w:rFonts w:ascii="Times New Roman" w:hAnsi="Times New Roman" w:cs="Times New Roman"/>
                <w:sz w:val="16"/>
                <w:szCs w:val="16"/>
              </w:rPr>
            </w:pPr>
          </w:p>
        </w:tc>
        <w:tc>
          <w:tcPr>
            <w:tcW w:w="373" w:type="pct"/>
            <w:vAlign w:val="bottom"/>
          </w:tcPr>
          <w:p w14:paraId="44C69E8D" w14:textId="77777777" w:rsidR="008A656B" w:rsidRPr="001D2342" w:rsidRDefault="008A656B" w:rsidP="00851097">
            <w:pPr>
              <w:rPr>
                <w:rFonts w:ascii="Times New Roman" w:hAnsi="Times New Roman" w:cs="Times New Roman"/>
                <w:sz w:val="16"/>
                <w:szCs w:val="16"/>
              </w:rPr>
            </w:pPr>
          </w:p>
        </w:tc>
        <w:tc>
          <w:tcPr>
            <w:tcW w:w="940" w:type="pct"/>
            <w:vAlign w:val="bottom"/>
          </w:tcPr>
          <w:p w14:paraId="12BD7392" w14:textId="77777777" w:rsidR="008A656B" w:rsidRPr="001D2342" w:rsidRDefault="008A656B" w:rsidP="00851097">
            <w:pPr>
              <w:rPr>
                <w:rFonts w:ascii="Times New Roman" w:hAnsi="Times New Roman" w:cs="Times New Roman"/>
                <w:sz w:val="16"/>
                <w:szCs w:val="16"/>
              </w:rPr>
            </w:pPr>
          </w:p>
        </w:tc>
        <w:tc>
          <w:tcPr>
            <w:tcW w:w="201" w:type="pct"/>
            <w:shd w:val="clear" w:color="auto" w:fill="D9D9D9" w:themeFill="background1" w:themeFillShade="D9"/>
            <w:vAlign w:val="bottom"/>
          </w:tcPr>
          <w:p w14:paraId="0907748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324</w:t>
            </w:r>
          </w:p>
        </w:tc>
        <w:tc>
          <w:tcPr>
            <w:tcW w:w="129" w:type="pct"/>
            <w:shd w:val="clear" w:color="auto" w:fill="D9D9D9" w:themeFill="background1" w:themeFillShade="D9"/>
            <w:vAlign w:val="bottom"/>
          </w:tcPr>
          <w:p w14:paraId="7E0EBD6D" w14:textId="77777777" w:rsidR="008A656B" w:rsidRPr="001D2342" w:rsidRDefault="008A656B" w:rsidP="00851097">
            <w:pPr>
              <w:rPr>
                <w:rFonts w:ascii="Times New Roman" w:hAnsi="Times New Roman" w:cs="Times New Roman"/>
                <w:sz w:val="16"/>
                <w:szCs w:val="16"/>
              </w:rPr>
            </w:pPr>
          </w:p>
        </w:tc>
        <w:tc>
          <w:tcPr>
            <w:tcW w:w="189" w:type="pct"/>
            <w:shd w:val="clear" w:color="auto" w:fill="D9D9D9" w:themeFill="background1" w:themeFillShade="D9"/>
            <w:vAlign w:val="bottom"/>
          </w:tcPr>
          <w:p w14:paraId="16860300"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51</w:t>
            </w:r>
          </w:p>
        </w:tc>
        <w:tc>
          <w:tcPr>
            <w:tcW w:w="110" w:type="pct"/>
            <w:shd w:val="clear" w:color="auto" w:fill="D9D9D9" w:themeFill="background1" w:themeFillShade="D9"/>
            <w:vAlign w:val="bottom"/>
          </w:tcPr>
          <w:p w14:paraId="2E2DC8FB" w14:textId="77777777" w:rsidR="008A656B" w:rsidRPr="001D2342" w:rsidRDefault="008A656B" w:rsidP="00851097">
            <w:pPr>
              <w:rPr>
                <w:rFonts w:ascii="Times New Roman" w:hAnsi="Times New Roman" w:cs="Times New Roman"/>
                <w:sz w:val="16"/>
                <w:szCs w:val="16"/>
              </w:rPr>
            </w:pPr>
          </w:p>
        </w:tc>
        <w:tc>
          <w:tcPr>
            <w:tcW w:w="192" w:type="pct"/>
            <w:shd w:val="clear" w:color="auto" w:fill="D9D9D9" w:themeFill="background1" w:themeFillShade="D9"/>
            <w:vAlign w:val="bottom"/>
          </w:tcPr>
          <w:p w14:paraId="2D83FE95"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64</w:t>
            </w:r>
          </w:p>
        </w:tc>
        <w:tc>
          <w:tcPr>
            <w:tcW w:w="678" w:type="pct"/>
            <w:shd w:val="clear" w:color="auto" w:fill="D9D9D9" w:themeFill="background1" w:themeFillShade="D9"/>
            <w:vAlign w:val="bottom"/>
          </w:tcPr>
          <w:p w14:paraId="3BCA52DA"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Kalcija uztura bagātinātāju lietotāji</w:t>
            </w:r>
          </w:p>
        </w:tc>
        <w:tc>
          <w:tcPr>
            <w:tcW w:w="242" w:type="pct"/>
            <w:shd w:val="clear" w:color="auto" w:fill="D9D9D9" w:themeFill="background1" w:themeFillShade="D9"/>
            <w:vAlign w:val="bottom"/>
          </w:tcPr>
          <w:p w14:paraId="5BD93BE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353,0</w:t>
            </w:r>
          </w:p>
        </w:tc>
        <w:tc>
          <w:tcPr>
            <w:tcW w:w="259" w:type="pct"/>
            <w:shd w:val="clear" w:color="auto" w:fill="D9D9D9" w:themeFill="background1" w:themeFillShade="D9"/>
            <w:vAlign w:val="bottom"/>
          </w:tcPr>
          <w:p w14:paraId="37DCDEEC" w14:textId="77777777" w:rsidR="008A656B" w:rsidRPr="001D2342" w:rsidRDefault="008A656B" w:rsidP="00851097">
            <w:pPr>
              <w:rPr>
                <w:rFonts w:ascii="Times New Roman" w:hAnsi="Times New Roman" w:cs="Times New Roman"/>
                <w:sz w:val="16"/>
                <w:szCs w:val="16"/>
              </w:rPr>
            </w:pPr>
          </w:p>
        </w:tc>
        <w:tc>
          <w:tcPr>
            <w:tcW w:w="199" w:type="pct"/>
            <w:shd w:val="clear" w:color="auto" w:fill="D9D9D9" w:themeFill="background1" w:themeFillShade="D9"/>
            <w:vAlign w:val="bottom"/>
          </w:tcPr>
          <w:p w14:paraId="2F60C5D3"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2E91EB12"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1 000,0</w:t>
            </w:r>
          </w:p>
        </w:tc>
        <w:tc>
          <w:tcPr>
            <w:tcW w:w="243" w:type="pct"/>
            <w:shd w:val="clear" w:color="auto" w:fill="D9D9D9" w:themeFill="background1" w:themeFillShade="D9"/>
            <w:vAlign w:val="bottom"/>
          </w:tcPr>
          <w:p w14:paraId="2EF3ECF4" w14:textId="77777777" w:rsidR="008A656B" w:rsidRPr="001D2342" w:rsidRDefault="008A656B" w:rsidP="00851097">
            <w:pPr>
              <w:rPr>
                <w:rFonts w:ascii="Times New Roman" w:hAnsi="Times New Roman" w:cs="Times New Roman"/>
                <w:sz w:val="16"/>
                <w:szCs w:val="16"/>
              </w:rPr>
            </w:pPr>
          </w:p>
        </w:tc>
      </w:tr>
      <w:tr w:rsidR="008A656B" w:rsidRPr="001D2342" w14:paraId="5E08C46D" w14:textId="77777777" w:rsidTr="00851097">
        <w:trPr>
          <w:trHeight w:val="260"/>
        </w:trPr>
        <w:tc>
          <w:tcPr>
            <w:tcW w:w="379" w:type="pct"/>
            <w:tcBorders>
              <w:bottom w:val="single" w:sz="4" w:space="0" w:color="auto"/>
            </w:tcBorders>
            <w:vAlign w:val="bottom"/>
          </w:tcPr>
          <w:p w14:paraId="5644A8BD" w14:textId="77777777" w:rsidR="008A656B" w:rsidRPr="001D2342" w:rsidRDefault="008A656B" w:rsidP="00851097">
            <w:pPr>
              <w:rPr>
                <w:rFonts w:ascii="Times New Roman" w:hAnsi="Times New Roman" w:cs="Times New Roman"/>
                <w:sz w:val="16"/>
                <w:szCs w:val="16"/>
              </w:rPr>
            </w:pPr>
          </w:p>
        </w:tc>
        <w:tc>
          <w:tcPr>
            <w:tcW w:w="261" w:type="pct"/>
            <w:tcBorders>
              <w:bottom w:val="single" w:sz="4" w:space="0" w:color="auto"/>
            </w:tcBorders>
            <w:vAlign w:val="bottom"/>
          </w:tcPr>
          <w:p w14:paraId="230A30C1" w14:textId="77777777" w:rsidR="008A656B" w:rsidRPr="001D2342" w:rsidRDefault="008A656B" w:rsidP="00851097">
            <w:pPr>
              <w:rPr>
                <w:rFonts w:ascii="Times New Roman" w:hAnsi="Times New Roman" w:cs="Times New Roman"/>
                <w:sz w:val="16"/>
                <w:szCs w:val="16"/>
              </w:rPr>
            </w:pPr>
          </w:p>
        </w:tc>
        <w:tc>
          <w:tcPr>
            <w:tcW w:w="364" w:type="pct"/>
            <w:tcBorders>
              <w:bottom w:val="single" w:sz="4" w:space="0" w:color="auto"/>
            </w:tcBorders>
            <w:vAlign w:val="bottom"/>
          </w:tcPr>
          <w:p w14:paraId="58FD2AA3" w14:textId="77777777" w:rsidR="008A656B" w:rsidRPr="001D2342" w:rsidRDefault="008A656B" w:rsidP="00851097">
            <w:pPr>
              <w:rPr>
                <w:rFonts w:ascii="Times New Roman" w:hAnsi="Times New Roman" w:cs="Times New Roman"/>
                <w:sz w:val="16"/>
                <w:szCs w:val="16"/>
              </w:rPr>
            </w:pPr>
          </w:p>
        </w:tc>
        <w:tc>
          <w:tcPr>
            <w:tcW w:w="373" w:type="pct"/>
            <w:tcBorders>
              <w:bottom w:val="single" w:sz="4" w:space="0" w:color="auto"/>
            </w:tcBorders>
            <w:vAlign w:val="bottom"/>
          </w:tcPr>
          <w:p w14:paraId="035996D8" w14:textId="77777777" w:rsidR="008A656B" w:rsidRPr="001D2342" w:rsidRDefault="008A656B" w:rsidP="00851097">
            <w:pPr>
              <w:rPr>
                <w:rFonts w:ascii="Times New Roman" w:hAnsi="Times New Roman" w:cs="Times New Roman"/>
                <w:sz w:val="16"/>
                <w:szCs w:val="16"/>
              </w:rPr>
            </w:pPr>
          </w:p>
        </w:tc>
        <w:tc>
          <w:tcPr>
            <w:tcW w:w="940" w:type="pct"/>
            <w:tcBorders>
              <w:bottom w:val="single" w:sz="4" w:space="0" w:color="auto"/>
            </w:tcBorders>
            <w:vAlign w:val="bottom"/>
          </w:tcPr>
          <w:p w14:paraId="1EFC97F7" w14:textId="77777777" w:rsidR="008A656B" w:rsidRPr="001D2342" w:rsidRDefault="008A656B" w:rsidP="00851097">
            <w:pPr>
              <w:rPr>
                <w:rFonts w:ascii="Times New Roman" w:hAnsi="Times New Roman" w:cs="Times New Roman"/>
                <w:sz w:val="16"/>
                <w:szCs w:val="16"/>
              </w:rPr>
            </w:pPr>
          </w:p>
        </w:tc>
        <w:tc>
          <w:tcPr>
            <w:tcW w:w="201" w:type="pct"/>
            <w:tcBorders>
              <w:bottom w:val="single" w:sz="4" w:space="0" w:color="auto"/>
            </w:tcBorders>
            <w:shd w:val="clear" w:color="auto" w:fill="D9D9D9" w:themeFill="background1" w:themeFillShade="D9"/>
            <w:vAlign w:val="bottom"/>
          </w:tcPr>
          <w:p w14:paraId="5B5E9ABF"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338</w:t>
            </w:r>
          </w:p>
        </w:tc>
        <w:tc>
          <w:tcPr>
            <w:tcW w:w="129" w:type="pct"/>
            <w:tcBorders>
              <w:bottom w:val="single" w:sz="4" w:space="0" w:color="auto"/>
            </w:tcBorders>
            <w:shd w:val="clear" w:color="auto" w:fill="D9D9D9" w:themeFill="background1" w:themeFillShade="D9"/>
            <w:vAlign w:val="bottom"/>
          </w:tcPr>
          <w:p w14:paraId="57637E2E" w14:textId="77777777" w:rsidR="008A656B" w:rsidRPr="001D2342" w:rsidRDefault="008A656B" w:rsidP="00851097">
            <w:pPr>
              <w:rPr>
                <w:rFonts w:ascii="Times New Roman" w:hAnsi="Times New Roman" w:cs="Times New Roman"/>
                <w:sz w:val="16"/>
                <w:szCs w:val="16"/>
              </w:rPr>
            </w:pPr>
          </w:p>
        </w:tc>
        <w:tc>
          <w:tcPr>
            <w:tcW w:w="189" w:type="pct"/>
            <w:tcBorders>
              <w:bottom w:val="single" w:sz="4" w:space="0" w:color="auto"/>
            </w:tcBorders>
            <w:shd w:val="clear" w:color="auto" w:fill="D9D9D9" w:themeFill="background1" w:themeFillShade="D9"/>
            <w:vAlign w:val="bottom"/>
          </w:tcPr>
          <w:p w14:paraId="1EECA106"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65</w:t>
            </w:r>
          </w:p>
        </w:tc>
        <w:tc>
          <w:tcPr>
            <w:tcW w:w="110" w:type="pct"/>
            <w:tcBorders>
              <w:bottom w:val="single" w:sz="4" w:space="0" w:color="auto"/>
            </w:tcBorders>
            <w:shd w:val="clear" w:color="auto" w:fill="D9D9D9" w:themeFill="background1" w:themeFillShade="D9"/>
            <w:vAlign w:val="bottom"/>
          </w:tcPr>
          <w:p w14:paraId="76EA35BF" w14:textId="77777777" w:rsidR="008A656B" w:rsidRPr="001D2342" w:rsidRDefault="008A656B" w:rsidP="00851097">
            <w:pPr>
              <w:rPr>
                <w:rFonts w:ascii="Times New Roman" w:hAnsi="Times New Roman" w:cs="Times New Roman"/>
                <w:sz w:val="16"/>
                <w:szCs w:val="16"/>
              </w:rPr>
            </w:pPr>
          </w:p>
        </w:tc>
        <w:tc>
          <w:tcPr>
            <w:tcW w:w="192" w:type="pct"/>
            <w:tcBorders>
              <w:bottom w:val="single" w:sz="4" w:space="0" w:color="auto"/>
            </w:tcBorders>
            <w:shd w:val="clear" w:color="auto" w:fill="D9D9D9" w:themeFill="background1" w:themeFillShade="D9"/>
            <w:vAlign w:val="bottom"/>
          </w:tcPr>
          <w:p w14:paraId="121CE709"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80</w:t>
            </w:r>
          </w:p>
        </w:tc>
        <w:tc>
          <w:tcPr>
            <w:tcW w:w="678" w:type="pct"/>
            <w:tcBorders>
              <w:bottom w:val="single" w:sz="4" w:space="0" w:color="auto"/>
            </w:tcBorders>
            <w:shd w:val="clear" w:color="auto" w:fill="D9D9D9" w:themeFill="background1" w:themeFillShade="D9"/>
            <w:vAlign w:val="bottom"/>
          </w:tcPr>
          <w:p w14:paraId="79D8077A"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Kalcija uztura bagātinātāju lietotāji</w:t>
            </w:r>
          </w:p>
        </w:tc>
        <w:tc>
          <w:tcPr>
            <w:tcW w:w="242" w:type="pct"/>
            <w:tcBorders>
              <w:bottom w:val="single" w:sz="4" w:space="0" w:color="auto"/>
            </w:tcBorders>
            <w:shd w:val="clear" w:color="auto" w:fill="D9D9D9" w:themeFill="background1" w:themeFillShade="D9"/>
            <w:vAlign w:val="bottom"/>
          </w:tcPr>
          <w:p w14:paraId="6FA3D0E6"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409,0</w:t>
            </w:r>
          </w:p>
        </w:tc>
        <w:tc>
          <w:tcPr>
            <w:tcW w:w="259" w:type="pct"/>
            <w:tcBorders>
              <w:bottom w:val="single" w:sz="4" w:space="0" w:color="auto"/>
            </w:tcBorders>
            <w:shd w:val="clear" w:color="auto" w:fill="D9D9D9" w:themeFill="background1" w:themeFillShade="D9"/>
            <w:vAlign w:val="bottom"/>
          </w:tcPr>
          <w:p w14:paraId="7A91F1E0" w14:textId="77777777" w:rsidR="008A656B" w:rsidRPr="001D2342" w:rsidRDefault="008A656B" w:rsidP="00851097">
            <w:pPr>
              <w:rPr>
                <w:rFonts w:ascii="Times New Roman" w:hAnsi="Times New Roman" w:cs="Times New Roman"/>
                <w:sz w:val="16"/>
                <w:szCs w:val="16"/>
              </w:rPr>
            </w:pPr>
          </w:p>
        </w:tc>
        <w:tc>
          <w:tcPr>
            <w:tcW w:w="199" w:type="pct"/>
            <w:tcBorders>
              <w:bottom w:val="single" w:sz="4" w:space="0" w:color="auto"/>
            </w:tcBorders>
            <w:shd w:val="clear" w:color="auto" w:fill="D9D9D9" w:themeFill="background1" w:themeFillShade="D9"/>
            <w:vAlign w:val="bottom"/>
          </w:tcPr>
          <w:p w14:paraId="4BF914FC" w14:textId="77777777" w:rsidR="008A656B" w:rsidRPr="001D2342" w:rsidRDefault="008A656B" w:rsidP="00851097">
            <w:pPr>
              <w:rPr>
                <w:rFonts w:ascii="Times New Roman" w:hAnsi="Times New Roman" w:cs="Times New Roman"/>
                <w:sz w:val="16"/>
                <w:szCs w:val="16"/>
              </w:rPr>
            </w:pPr>
          </w:p>
        </w:tc>
        <w:tc>
          <w:tcPr>
            <w:tcW w:w="242" w:type="pct"/>
            <w:tcBorders>
              <w:bottom w:val="single" w:sz="4" w:space="0" w:color="auto"/>
            </w:tcBorders>
            <w:shd w:val="clear" w:color="auto" w:fill="D9D9D9" w:themeFill="background1" w:themeFillShade="D9"/>
            <w:vAlign w:val="bottom"/>
          </w:tcPr>
          <w:p w14:paraId="2DA6F611"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1 200,0</w:t>
            </w:r>
          </w:p>
        </w:tc>
        <w:tc>
          <w:tcPr>
            <w:tcW w:w="243" w:type="pct"/>
            <w:tcBorders>
              <w:bottom w:val="single" w:sz="4" w:space="0" w:color="auto"/>
            </w:tcBorders>
            <w:shd w:val="clear" w:color="auto" w:fill="D9D9D9" w:themeFill="background1" w:themeFillShade="D9"/>
            <w:vAlign w:val="bottom"/>
          </w:tcPr>
          <w:p w14:paraId="793AC0F1" w14:textId="77777777" w:rsidR="008A656B" w:rsidRPr="001D2342" w:rsidRDefault="008A656B" w:rsidP="00851097">
            <w:pPr>
              <w:rPr>
                <w:rFonts w:ascii="Times New Roman" w:hAnsi="Times New Roman" w:cs="Times New Roman"/>
                <w:sz w:val="16"/>
                <w:szCs w:val="16"/>
              </w:rPr>
            </w:pPr>
          </w:p>
        </w:tc>
      </w:tr>
      <w:tr w:rsidR="008A656B" w:rsidRPr="001D2342" w14:paraId="083B0A83" w14:textId="77777777" w:rsidTr="00851097">
        <w:trPr>
          <w:trHeight w:val="260"/>
        </w:trPr>
        <w:tc>
          <w:tcPr>
            <w:tcW w:w="379" w:type="pct"/>
            <w:tcBorders>
              <w:top w:val="single" w:sz="4" w:space="0" w:color="auto"/>
            </w:tcBorders>
            <w:vAlign w:val="bottom"/>
          </w:tcPr>
          <w:p w14:paraId="11647293"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Bagātinātāji</w:t>
            </w:r>
          </w:p>
        </w:tc>
        <w:tc>
          <w:tcPr>
            <w:tcW w:w="261" w:type="pct"/>
            <w:tcBorders>
              <w:top w:val="single" w:sz="4" w:space="0" w:color="auto"/>
            </w:tcBorders>
            <w:vAlign w:val="bottom"/>
          </w:tcPr>
          <w:p w14:paraId="558C373C"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Vīrieši</w:t>
            </w:r>
          </w:p>
        </w:tc>
        <w:tc>
          <w:tcPr>
            <w:tcW w:w="364" w:type="pct"/>
            <w:tcBorders>
              <w:top w:val="single" w:sz="4" w:space="0" w:color="auto"/>
            </w:tcBorders>
            <w:vAlign w:val="bottom"/>
          </w:tcPr>
          <w:p w14:paraId="7F2FDDB9"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Austrija</w:t>
            </w:r>
          </w:p>
        </w:tc>
        <w:tc>
          <w:tcPr>
            <w:tcW w:w="373" w:type="pct"/>
            <w:tcBorders>
              <w:top w:val="single" w:sz="4" w:space="0" w:color="auto"/>
            </w:tcBorders>
            <w:vAlign w:val="bottom"/>
          </w:tcPr>
          <w:p w14:paraId="6A59F5BF" w14:textId="77777777" w:rsidR="008A656B" w:rsidRPr="001D2342" w:rsidRDefault="008A656B" w:rsidP="00851097">
            <w:pPr>
              <w:pStyle w:val="Default"/>
              <w:rPr>
                <w:sz w:val="16"/>
                <w:szCs w:val="16"/>
              </w:rPr>
            </w:pPr>
            <w:r>
              <w:rPr>
                <w:sz w:val="16"/>
              </w:rPr>
              <w:t>(Elmadfa et al., 2009)</w:t>
            </w:r>
          </w:p>
        </w:tc>
        <w:tc>
          <w:tcPr>
            <w:tcW w:w="940" w:type="pct"/>
            <w:tcBorders>
              <w:top w:val="single" w:sz="4" w:space="0" w:color="auto"/>
            </w:tcBorders>
            <w:vAlign w:val="bottom"/>
          </w:tcPr>
          <w:p w14:paraId="18357DD3" w14:textId="77777777" w:rsidR="008A656B" w:rsidRPr="001D2342" w:rsidRDefault="008A656B" w:rsidP="00851097">
            <w:pPr>
              <w:pStyle w:val="Default"/>
              <w:rPr>
                <w:sz w:val="16"/>
                <w:szCs w:val="16"/>
              </w:rPr>
            </w:pPr>
            <w:r>
              <w:rPr>
                <w:sz w:val="16"/>
              </w:rPr>
              <w:t>Kvantitatīva patēriņa biežuma aptauja</w:t>
            </w:r>
          </w:p>
        </w:tc>
        <w:tc>
          <w:tcPr>
            <w:tcW w:w="201" w:type="pct"/>
            <w:tcBorders>
              <w:top w:val="single" w:sz="4" w:space="0" w:color="auto"/>
            </w:tcBorders>
            <w:vAlign w:val="bottom"/>
          </w:tcPr>
          <w:p w14:paraId="5728CE89"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21</w:t>
            </w:r>
          </w:p>
        </w:tc>
        <w:tc>
          <w:tcPr>
            <w:tcW w:w="129" w:type="pct"/>
            <w:tcBorders>
              <w:top w:val="single" w:sz="4" w:space="0" w:color="auto"/>
            </w:tcBorders>
            <w:vAlign w:val="bottom"/>
          </w:tcPr>
          <w:p w14:paraId="5388312A" w14:textId="77777777" w:rsidR="008A656B" w:rsidRPr="001D2342" w:rsidRDefault="008A656B" w:rsidP="00851097">
            <w:pPr>
              <w:rPr>
                <w:rFonts w:ascii="Times New Roman" w:hAnsi="Times New Roman" w:cs="Times New Roman"/>
                <w:sz w:val="16"/>
                <w:szCs w:val="16"/>
              </w:rPr>
            </w:pPr>
          </w:p>
        </w:tc>
        <w:tc>
          <w:tcPr>
            <w:tcW w:w="189" w:type="pct"/>
            <w:tcBorders>
              <w:top w:val="single" w:sz="4" w:space="0" w:color="auto"/>
            </w:tcBorders>
            <w:vAlign w:val="bottom"/>
          </w:tcPr>
          <w:p w14:paraId="2AD2F878"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18</w:t>
            </w:r>
          </w:p>
        </w:tc>
        <w:tc>
          <w:tcPr>
            <w:tcW w:w="110" w:type="pct"/>
            <w:tcBorders>
              <w:top w:val="single" w:sz="4" w:space="0" w:color="auto"/>
            </w:tcBorders>
            <w:vAlign w:val="bottom"/>
          </w:tcPr>
          <w:p w14:paraId="7A92CFC2" w14:textId="77777777" w:rsidR="008A656B" w:rsidRPr="001D2342" w:rsidRDefault="008A656B" w:rsidP="00851097">
            <w:pPr>
              <w:rPr>
                <w:rFonts w:ascii="Times New Roman" w:hAnsi="Times New Roman" w:cs="Times New Roman"/>
                <w:sz w:val="16"/>
                <w:szCs w:val="16"/>
              </w:rPr>
            </w:pPr>
          </w:p>
        </w:tc>
        <w:tc>
          <w:tcPr>
            <w:tcW w:w="192" w:type="pct"/>
            <w:tcBorders>
              <w:top w:val="single" w:sz="4" w:space="0" w:color="auto"/>
            </w:tcBorders>
            <w:vAlign w:val="bottom"/>
          </w:tcPr>
          <w:p w14:paraId="6D394035"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65</w:t>
            </w:r>
          </w:p>
        </w:tc>
        <w:tc>
          <w:tcPr>
            <w:tcW w:w="678" w:type="pct"/>
            <w:tcBorders>
              <w:top w:val="single" w:sz="4" w:space="0" w:color="auto"/>
            </w:tcBorders>
            <w:vAlign w:val="bottom"/>
          </w:tcPr>
          <w:p w14:paraId="48611F79" w14:textId="77777777" w:rsidR="008A656B" w:rsidRPr="001D2342" w:rsidRDefault="008A656B" w:rsidP="00851097">
            <w:pPr>
              <w:pStyle w:val="Default"/>
              <w:rPr>
                <w:sz w:val="16"/>
                <w:szCs w:val="16"/>
              </w:rPr>
            </w:pPr>
            <w:r>
              <w:rPr>
                <w:sz w:val="16"/>
              </w:rPr>
              <w:t>Uztura bagātinātāju lietošana saskaņā ar novērtējumu, kas veikts starp 282 pieaugušajiem visā Austrijā (77 uztura bagātinātāju lietotāji)</w:t>
            </w:r>
          </w:p>
        </w:tc>
        <w:tc>
          <w:tcPr>
            <w:tcW w:w="242" w:type="pct"/>
            <w:tcBorders>
              <w:top w:val="single" w:sz="4" w:space="0" w:color="auto"/>
            </w:tcBorders>
            <w:vAlign w:val="bottom"/>
          </w:tcPr>
          <w:p w14:paraId="5101464A" w14:textId="77777777" w:rsidR="008A656B" w:rsidRPr="001D2342" w:rsidRDefault="008A656B" w:rsidP="00851097">
            <w:pPr>
              <w:rPr>
                <w:rFonts w:ascii="Times New Roman" w:hAnsi="Times New Roman" w:cs="Times New Roman"/>
                <w:sz w:val="16"/>
                <w:szCs w:val="16"/>
              </w:rPr>
            </w:pPr>
          </w:p>
        </w:tc>
        <w:tc>
          <w:tcPr>
            <w:tcW w:w="259" w:type="pct"/>
            <w:tcBorders>
              <w:top w:val="single" w:sz="4" w:space="0" w:color="auto"/>
            </w:tcBorders>
            <w:vAlign w:val="bottom"/>
          </w:tcPr>
          <w:p w14:paraId="38F25CD9"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162,0</w:t>
            </w:r>
          </w:p>
        </w:tc>
        <w:tc>
          <w:tcPr>
            <w:tcW w:w="199" w:type="pct"/>
            <w:tcBorders>
              <w:top w:val="single" w:sz="4" w:space="0" w:color="auto"/>
            </w:tcBorders>
            <w:vAlign w:val="bottom"/>
          </w:tcPr>
          <w:p w14:paraId="44E0D41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341,0</w:t>
            </w:r>
          </w:p>
        </w:tc>
        <w:tc>
          <w:tcPr>
            <w:tcW w:w="242" w:type="pct"/>
            <w:tcBorders>
              <w:top w:val="single" w:sz="4" w:space="0" w:color="auto"/>
            </w:tcBorders>
            <w:vAlign w:val="bottom"/>
          </w:tcPr>
          <w:p w14:paraId="003629DE" w14:textId="77777777" w:rsidR="008A656B" w:rsidRPr="001D2342" w:rsidRDefault="008A656B" w:rsidP="00851097">
            <w:pPr>
              <w:rPr>
                <w:rFonts w:ascii="Times New Roman" w:hAnsi="Times New Roman" w:cs="Times New Roman"/>
                <w:sz w:val="16"/>
                <w:szCs w:val="16"/>
              </w:rPr>
            </w:pPr>
          </w:p>
        </w:tc>
        <w:tc>
          <w:tcPr>
            <w:tcW w:w="243" w:type="pct"/>
            <w:tcBorders>
              <w:top w:val="single" w:sz="4" w:space="0" w:color="auto"/>
            </w:tcBorders>
            <w:vAlign w:val="bottom"/>
          </w:tcPr>
          <w:p w14:paraId="38F0C825" w14:textId="77777777" w:rsidR="008A656B" w:rsidRPr="001D2342" w:rsidRDefault="008A656B" w:rsidP="00851097">
            <w:pPr>
              <w:rPr>
                <w:rFonts w:ascii="Times New Roman" w:hAnsi="Times New Roman" w:cs="Times New Roman"/>
                <w:sz w:val="16"/>
                <w:szCs w:val="16"/>
              </w:rPr>
            </w:pPr>
          </w:p>
        </w:tc>
      </w:tr>
      <w:tr w:rsidR="008A656B" w:rsidRPr="001D2342" w14:paraId="46DB36D2" w14:textId="77777777" w:rsidTr="00851097">
        <w:trPr>
          <w:trHeight w:val="260"/>
        </w:trPr>
        <w:tc>
          <w:tcPr>
            <w:tcW w:w="379" w:type="pct"/>
            <w:vAlign w:val="bottom"/>
          </w:tcPr>
          <w:p w14:paraId="5C0F07FF" w14:textId="77777777" w:rsidR="008A656B" w:rsidRPr="001D2342" w:rsidRDefault="008A656B" w:rsidP="00851097">
            <w:pPr>
              <w:rPr>
                <w:rFonts w:ascii="Times New Roman" w:hAnsi="Times New Roman" w:cs="Times New Roman"/>
                <w:b/>
                <w:bCs/>
                <w:sz w:val="16"/>
                <w:szCs w:val="16"/>
              </w:rPr>
            </w:pPr>
          </w:p>
        </w:tc>
        <w:tc>
          <w:tcPr>
            <w:tcW w:w="261" w:type="pct"/>
            <w:vAlign w:val="bottom"/>
          </w:tcPr>
          <w:p w14:paraId="47B2BB9F" w14:textId="77777777" w:rsidR="008A656B" w:rsidRPr="001D2342" w:rsidRDefault="008A656B" w:rsidP="00851097">
            <w:pPr>
              <w:rPr>
                <w:rFonts w:ascii="Times New Roman" w:hAnsi="Times New Roman" w:cs="Times New Roman"/>
                <w:b/>
                <w:bCs/>
                <w:sz w:val="16"/>
                <w:szCs w:val="16"/>
              </w:rPr>
            </w:pPr>
          </w:p>
        </w:tc>
        <w:tc>
          <w:tcPr>
            <w:tcW w:w="364" w:type="pct"/>
            <w:vAlign w:val="bottom"/>
          </w:tcPr>
          <w:p w14:paraId="2ED49183"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Vācija</w:t>
            </w:r>
          </w:p>
        </w:tc>
        <w:tc>
          <w:tcPr>
            <w:tcW w:w="373" w:type="pct"/>
            <w:vAlign w:val="bottom"/>
          </w:tcPr>
          <w:p w14:paraId="2BDF24C2"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(MRI, 2008)</w:t>
            </w:r>
          </w:p>
        </w:tc>
        <w:tc>
          <w:tcPr>
            <w:tcW w:w="940" w:type="pct"/>
            <w:vAlign w:val="bottom"/>
          </w:tcPr>
          <w:p w14:paraId="2A91FBF9" w14:textId="77777777" w:rsidR="008A656B" w:rsidRPr="001D2342" w:rsidRDefault="008A656B" w:rsidP="00851097">
            <w:pPr>
              <w:pStyle w:val="Default"/>
              <w:rPr>
                <w:sz w:val="16"/>
                <w:szCs w:val="16"/>
              </w:rPr>
            </w:pPr>
            <w:r>
              <w:rPr>
                <w:sz w:val="16"/>
              </w:rPr>
              <w:t>24 stundu atcerēšanās anketa + uztura vēsture</w:t>
            </w:r>
          </w:p>
        </w:tc>
        <w:tc>
          <w:tcPr>
            <w:tcW w:w="201" w:type="pct"/>
            <w:vAlign w:val="bottom"/>
          </w:tcPr>
          <w:p w14:paraId="3D7C3C99"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38</w:t>
            </w:r>
          </w:p>
        </w:tc>
        <w:tc>
          <w:tcPr>
            <w:tcW w:w="129" w:type="pct"/>
            <w:vAlign w:val="bottom"/>
          </w:tcPr>
          <w:p w14:paraId="622D9BD0" w14:textId="77777777" w:rsidR="008A656B" w:rsidRPr="001D2342" w:rsidRDefault="008A656B" w:rsidP="00851097">
            <w:pPr>
              <w:rPr>
                <w:rFonts w:ascii="Times New Roman" w:hAnsi="Times New Roman" w:cs="Times New Roman"/>
                <w:sz w:val="16"/>
                <w:szCs w:val="16"/>
              </w:rPr>
            </w:pPr>
          </w:p>
        </w:tc>
        <w:tc>
          <w:tcPr>
            <w:tcW w:w="189" w:type="pct"/>
            <w:vAlign w:val="bottom"/>
          </w:tcPr>
          <w:p w14:paraId="0ABF596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19</w:t>
            </w:r>
          </w:p>
        </w:tc>
        <w:tc>
          <w:tcPr>
            <w:tcW w:w="110" w:type="pct"/>
            <w:vAlign w:val="bottom"/>
          </w:tcPr>
          <w:p w14:paraId="69D65C6C" w14:textId="77777777" w:rsidR="008A656B" w:rsidRPr="001D2342" w:rsidRDefault="008A656B" w:rsidP="00851097">
            <w:pPr>
              <w:rPr>
                <w:rFonts w:ascii="Times New Roman" w:hAnsi="Times New Roman" w:cs="Times New Roman"/>
                <w:sz w:val="16"/>
                <w:szCs w:val="16"/>
              </w:rPr>
            </w:pPr>
          </w:p>
        </w:tc>
        <w:tc>
          <w:tcPr>
            <w:tcW w:w="192" w:type="pct"/>
            <w:vAlign w:val="bottom"/>
          </w:tcPr>
          <w:p w14:paraId="5FA4936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24</w:t>
            </w:r>
          </w:p>
        </w:tc>
        <w:tc>
          <w:tcPr>
            <w:tcW w:w="678" w:type="pct"/>
            <w:vAlign w:val="bottom"/>
          </w:tcPr>
          <w:p w14:paraId="47B85732" w14:textId="77777777" w:rsidR="008A656B" w:rsidRPr="001D2342" w:rsidRDefault="008A656B" w:rsidP="00851097">
            <w:pPr>
              <w:pStyle w:val="Default"/>
              <w:rPr>
                <w:sz w:val="16"/>
                <w:szCs w:val="16"/>
              </w:rPr>
            </w:pPr>
            <w:r>
              <w:rPr>
                <w:sz w:val="16"/>
              </w:rPr>
              <w:t>Kalcija uztura bagātinātāju lietotāji</w:t>
            </w:r>
          </w:p>
        </w:tc>
        <w:tc>
          <w:tcPr>
            <w:tcW w:w="242" w:type="pct"/>
            <w:vAlign w:val="bottom"/>
          </w:tcPr>
          <w:p w14:paraId="05F60584"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188,0</w:t>
            </w:r>
          </w:p>
        </w:tc>
        <w:tc>
          <w:tcPr>
            <w:tcW w:w="259" w:type="pct"/>
            <w:vAlign w:val="bottom"/>
          </w:tcPr>
          <w:p w14:paraId="4A3E3F17" w14:textId="77777777" w:rsidR="008A656B" w:rsidRPr="001D2342" w:rsidRDefault="008A656B" w:rsidP="00851097">
            <w:pPr>
              <w:rPr>
                <w:rFonts w:ascii="Times New Roman" w:hAnsi="Times New Roman" w:cs="Times New Roman"/>
                <w:sz w:val="16"/>
                <w:szCs w:val="16"/>
              </w:rPr>
            </w:pPr>
          </w:p>
        </w:tc>
        <w:tc>
          <w:tcPr>
            <w:tcW w:w="199" w:type="pct"/>
            <w:vAlign w:val="bottom"/>
          </w:tcPr>
          <w:p w14:paraId="510740A7" w14:textId="77777777" w:rsidR="008A656B" w:rsidRPr="001D2342" w:rsidRDefault="008A656B" w:rsidP="00851097">
            <w:pPr>
              <w:rPr>
                <w:rFonts w:ascii="Times New Roman" w:hAnsi="Times New Roman" w:cs="Times New Roman"/>
                <w:sz w:val="16"/>
                <w:szCs w:val="16"/>
              </w:rPr>
            </w:pPr>
          </w:p>
        </w:tc>
        <w:tc>
          <w:tcPr>
            <w:tcW w:w="242" w:type="pct"/>
            <w:vAlign w:val="bottom"/>
          </w:tcPr>
          <w:p w14:paraId="1E4824B5"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500,0</w:t>
            </w:r>
          </w:p>
        </w:tc>
        <w:tc>
          <w:tcPr>
            <w:tcW w:w="243" w:type="pct"/>
            <w:vAlign w:val="bottom"/>
          </w:tcPr>
          <w:p w14:paraId="50B4E5A8" w14:textId="77777777" w:rsidR="008A656B" w:rsidRPr="001D2342" w:rsidRDefault="008A656B" w:rsidP="00851097">
            <w:pPr>
              <w:rPr>
                <w:rFonts w:ascii="Times New Roman" w:hAnsi="Times New Roman" w:cs="Times New Roman"/>
                <w:sz w:val="16"/>
                <w:szCs w:val="16"/>
              </w:rPr>
            </w:pPr>
          </w:p>
        </w:tc>
      </w:tr>
      <w:tr w:rsidR="008A656B" w:rsidRPr="001D2342" w14:paraId="0E4B7527" w14:textId="77777777" w:rsidTr="00851097">
        <w:trPr>
          <w:trHeight w:val="260"/>
        </w:trPr>
        <w:tc>
          <w:tcPr>
            <w:tcW w:w="379" w:type="pct"/>
            <w:vAlign w:val="bottom"/>
          </w:tcPr>
          <w:p w14:paraId="62D2F97E" w14:textId="77777777" w:rsidR="008A656B" w:rsidRPr="001D2342" w:rsidRDefault="008A656B" w:rsidP="00851097">
            <w:pPr>
              <w:rPr>
                <w:rFonts w:ascii="Times New Roman" w:hAnsi="Times New Roman" w:cs="Times New Roman"/>
                <w:sz w:val="16"/>
                <w:szCs w:val="16"/>
              </w:rPr>
            </w:pPr>
          </w:p>
        </w:tc>
        <w:tc>
          <w:tcPr>
            <w:tcW w:w="261" w:type="pct"/>
            <w:vAlign w:val="bottom"/>
          </w:tcPr>
          <w:p w14:paraId="52BA437E" w14:textId="77777777" w:rsidR="008A656B" w:rsidRPr="001D2342" w:rsidRDefault="008A656B" w:rsidP="00851097">
            <w:pPr>
              <w:rPr>
                <w:rFonts w:ascii="Times New Roman" w:hAnsi="Times New Roman" w:cs="Times New Roman"/>
                <w:sz w:val="16"/>
                <w:szCs w:val="16"/>
              </w:rPr>
            </w:pPr>
          </w:p>
        </w:tc>
        <w:tc>
          <w:tcPr>
            <w:tcW w:w="364" w:type="pct"/>
            <w:vAlign w:val="bottom"/>
          </w:tcPr>
          <w:p w14:paraId="4EBC281E" w14:textId="77777777" w:rsidR="008A656B" w:rsidRPr="001D2342" w:rsidRDefault="008A656B" w:rsidP="00851097">
            <w:pPr>
              <w:rPr>
                <w:rFonts w:ascii="Times New Roman" w:hAnsi="Times New Roman" w:cs="Times New Roman"/>
                <w:sz w:val="16"/>
                <w:szCs w:val="16"/>
              </w:rPr>
            </w:pPr>
          </w:p>
        </w:tc>
        <w:tc>
          <w:tcPr>
            <w:tcW w:w="373" w:type="pct"/>
            <w:vAlign w:val="bottom"/>
          </w:tcPr>
          <w:p w14:paraId="235BDD98" w14:textId="77777777" w:rsidR="008A656B" w:rsidRPr="001D2342" w:rsidRDefault="008A656B" w:rsidP="00851097">
            <w:pPr>
              <w:rPr>
                <w:rFonts w:ascii="Times New Roman" w:hAnsi="Times New Roman" w:cs="Times New Roman"/>
                <w:sz w:val="16"/>
                <w:szCs w:val="16"/>
              </w:rPr>
            </w:pPr>
          </w:p>
        </w:tc>
        <w:tc>
          <w:tcPr>
            <w:tcW w:w="940" w:type="pct"/>
            <w:vAlign w:val="bottom"/>
          </w:tcPr>
          <w:p w14:paraId="1650C9C4" w14:textId="77777777" w:rsidR="008A656B" w:rsidRPr="001D2342" w:rsidRDefault="008A656B" w:rsidP="00851097">
            <w:pPr>
              <w:rPr>
                <w:rFonts w:ascii="Times New Roman" w:hAnsi="Times New Roman" w:cs="Times New Roman"/>
                <w:sz w:val="16"/>
                <w:szCs w:val="16"/>
              </w:rPr>
            </w:pPr>
          </w:p>
        </w:tc>
        <w:tc>
          <w:tcPr>
            <w:tcW w:w="201" w:type="pct"/>
            <w:vAlign w:val="bottom"/>
          </w:tcPr>
          <w:p w14:paraId="34592AD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53</w:t>
            </w:r>
          </w:p>
        </w:tc>
        <w:tc>
          <w:tcPr>
            <w:tcW w:w="129" w:type="pct"/>
            <w:vAlign w:val="bottom"/>
          </w:tcPr>
          <w:p w14:paraId="5BCE1EC6" w14:textId="77777777" w:rsidR="008A656B" w:rsidRPr="001D2342" w:rsidRDefault="008A656B" w:rsidP="00851097">
            <w:pPr>
              <w:rPr>
                <w:rFonts w:ascii="Times New Roman" w:hAnsi="Times New Roman" w:cs="Times New Roman"/>
                <w:sz w:val="16"/>
                <w:szCs w:val="16"/>
              </w:rPr>
            </w:pPr>
          </w:p>
        </w:tc>
        <w:tc>
          <w:tcPr>
            <w:tcW w:w="189" w:type="pct"/>
            <w:vAlign w:val="bottom"/>
          </w:tcPr>
          <w:p w14:paraId="0D7F7E81"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25</w:t>
            </w:r>
          </w:p>
        </w:tc>
        <w:tc>
          <w:tcPr>
            <w:tcW w:w="110" w:type="pct"/>
            <w:vAlign w:val="bottom"/>
          </w:tcPr>
          <w:p w14:paraId="6F24D5E7" w14:textId="77777777" w:rsidR="008A656B" w:rsidRPr="001D2342" w:rsidRDefault="008A656B" w:rsidP="00851097">
            <w:pPr>
              <w:rPr>
                <w:rFonts w:ascii="Times New Roman" w:hAnsi="Times New Roman" w:cs="Times New Roman"/>
                <w:sz w:val="16"/>
                <w:szCs w:val="16"/>
              </w:rPr>
            </w:pPr>
          </w:p>
        </w:tc>
        <w:tc>
          <w:tcPr>
            <w:tcW w:w="192" w:type="pct"/>
            <w:vAlign w:val="bottom"/>
          </w:tcPr>
          <w:p w14:paraId="732F0436"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34</w:t>
            </w:r>
          </w:p>
        </w:tc>
        <w:tc>
          <w:tcPr>
            <w:tcW w:w="678" w:type="pct"/>
            <w:vAlign w:val="bottom"/>
          </w:tcPr>
          <w:p w14:paraId="6DC19136"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Kalcija uztura bagātinātāju lietotāji</w:t>
            </w:r>
          </w:p>
        </w:tc>
        <w:tc>
          <w:tcPr>
            <w:tcW w:w="242" w:type="pct"/>
            <w:vAlign w:val="bottom"/>
          </w:tcPr>
          <w:p w14:paraId="35ECBFBA"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203,0</w:t>
            </w:r>
          </w:p>
        </w:tc>
        <w:tc>
          <w:tcPr>
            <w:tcW w:w="259" w:type="pct"/>
            <w:vAlign w:val="bottom"/>
          </w:tcPr>
          <w:p w14:paraId="568406D4" w14:textId="77777777" w:rsidR="008A656B" w:rsidRPr="001D2342" w:rsidRDefault="008A656B" w:rsidP="00851097">
            <w:pPr>
              <w:rPr>
                <w:rFonts w:ascii="Times New Roman" w:hAnsi="Times New Roman" w:cs="Times New Roman"/>
                <w:sz w:val="16"/>
                <w:szCs w:val="16"/>
              </w:rPr>
            </w:pPr>
          </w:p>
        </w:tc>
        <w:tc>
          <w:tcPr>
            <w:tcW w:w="199" w:type="pct"/>
            <w:vAlign w:val="bottom"/>
          </w:tcPr>
          <w:p w14:paraId="2206DF10" w14:textId="77777777" w:rsidR="008A656B" w:rsidRPr="001D2342" w:rsidRDefault="008A656B" w:rsidP="00851097">
            <w:pPr>
              <w:rPr>
                <w:rFonts w:ascii="Times New Roman" w:hAnsi="Times New Roman" w:cs="Times New Roman"/>
                <w:sz w:val="16"/>
                <w:szCs w:val="16"/>
              </w:rPr>
            </w:pPr>
          </w:p>
        </w:tc>
        <w:tc>
          <w:tcPr>
            <w:tcW w:w="242" w:type="pct"/>
            <w:vAlign w:val="bottom"/>
          </w:tcPr>
          <w:p w14:paraId="7CA83FC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620,0</w:t>
            </w:r>
          </w:p>
        </w:tc>
        <w:tc>
          <w:tcPr>
            <w:tcW w:w="243" w:type="pct"/>
            <w:vAlign w:val="bottom"/>
          </w:tcPr>
          <w:p w14:paraId="5DA49741" w14:textId="77777777" w:rsidR="008A656B" w:rsidRPr="001D2342" w:rsidRDefault="008A656B" w:rsidP="00851097">
            <w:pPr>
              <w:rPr>
                <w:rFonts w:ascii="Times New Roman" w:hAnsi="Times New Roman" w:cs="Times New Roman"/>
                <w:sz w:val="16"/>
                <w:szCs w:val="16"/>
              </w:rPr>
            </w:pPr>
          </w:p>
        </w:tc>
      </w:tr>
      <w:tr w:rsidR="008A656B" w:rsidRPr="001D2342" w14:paraId="7CC952E5" w14:textId="77777777" w:rsidTr="00851097">
        <w:trPr>
          <w:trHeight w:val="260"/>
        </w:trPr>
        <w:tc>
          <w:tcPr>
            <w:tcW w:w="379" w:type="pct"/>
            <w:vAlign w:val="bottom"/>
          </w:tcPr>
          <w:p w14:paraId="7FDA1927" w14:textId="77777777" w:rsidR="008A656B" w:rsidRPr="001D2342" w:rsidRDefault="008A656B" w:rsidP="00851097">
            <w:pPr>
              <w:rPr>
                <w:rFonts w:ascii="Times New Roman" w:hAnsi="Times New Roman" w:cs="Times New Roman"/>
                <w:sz w:val="16"/>
                <w:szCs w:val="16"/>
              </w:rPr>
            </w:pPr>
          </w:p>
        </w:tc>
        <w:tc>
          <w:tcPr>
            <w:tcW w:w="261" w:type="pct"/>
            <w:vAlign w:val="bottom"/>
          </w:tcPr>
          <w:p w14:paraId="6D03F203" w14:textId="77777777" w:rsidR="008A656B" w:rsidRPr="001D2342" w:rsidRDefault="008A656B" w:rsidP="00851097">
            <w:pPr>
              <w:rPr>
                <w:rFonts w:ascii="Times New Roman" w:hAnsi="Times New Roman" w:cs="Times New Roman"/>
                <w:sz w:val="16"/>
                <w:szCs w:val="16"/>
              </w:rPr>
            </w:pPr>
          </w:p>
        </w:tc>
        <w:tc>
          <w:tcPr>
            <w:tcW w:w="364" w:type="pct"/>
            <w:vAlign w:val="bottom"/>
          </w:tcPr>
          <w:p w14:paraId="4B685F3D" w14:textId="77777777" w:rsidR="008A656B" w:rsidRPr="001D2342" w:rsidRDefault="008A656B" w:rsidP="00851097">
            <w:pPr>
              <w:rPr>
                <w:rFonts w:ascii="Times New Roman" w:hAnsi="Times New Roman" w:cs="Times New Roman"/>
                <w:sz w:val="16"/>
                <w:szCs w:val="16"/>
              </w:rPr>
            </w:pPr>
          </w:p>
        </w:tc>
        <w:tc>
          <w:tcPr>
            <w:tcW w:w="373" w:type="pct"/>
            <w:vAlign w:val="bottom"/>
          </w:tcPr>
          <w:p w14:paraId="7E1A94A0" w14:textId="77777777" w:rsidR="008A656B" w:rsidRPr="001D2342" w:rsidRDefault="008A656B" w:rsidP="00851097">
            <w:pPr>
              <w:rPr>
                <w:rFonts w:ascii="Times New Roman" w:hAnsi="Times New Roman" w:cs="Times New Roman"/>
                <w:sz w:val="16"/>
                <w:szCs w:val="16"/>
              </w:rPr>
            </w:pPr>
          </w:p>
        </w:tc>
        <w:tc>
          <w:tcPr>
            <w:tcW w:w="940" w:type="pct"/>
            <w:vAlign w:val="bottom"/>
          </w:tcPr>
          <w:p w14:paraId="5CC4CCC9" w14:textId="77777777" w:rsidR="008A656B" w:rsidRPr="001D2342" w:rsidRDefault="008A656B" w:rsidP="00851097">
            <w:pPr>
              <w:rPr>
                <w:rFonts w:ascii="Times New Roman" w:hAnsi="Times New Roman" w:cs="Times New Roman"/>
                <w:sz w:val="16"/>
                <w:szCs w:val="16"/>
              </w:rPr>
            </w:pPr>
          </w:p>
        </w:tc>
        <w:tc>
          <w:tcPr>
            <w:tcW w:w="201" w:type="pct"/>
            <w:vAlign w:val="bottom"/>
          </w:tcPr>
          <w:p w14:paraId="04F1353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152</w:t>
            </w:r>
          </w:p>
        </w:tc>
        <w:tc>
          <w:tcPr>
            <w:tcW w:w="129" w:type="pct"/>
            <w:vAlign w:val="bottom"/>
          </w:tcPr>
          <w:p w14:paraId="3493D5BA" w14:textId="77777777" w:rsidR="008A656B" w:rsidRPr="001D2342" w:rsidRDefault="008A656B" w:rsidP="00851097">
            <w:pPr>
              <w:rPr>
                <w:rFonts w:ascii="Times New Roman" w:hAnsi="Times New Roman" w:cs="Times New Roman"/>
                <w:sz w:val="16"/>
                <w:szCs w:val="16"/>
              </w:rPr>
            </w:pPr>
          </w:p>
        </w:tc>
        <w:tc>
          <w:tcPr>
            <w:tcW w:w="189" w:type="pct"/>
            <w:vAlign w:val="bottom"/>
          </w:tcPr>
          <w:p w14:paraId="267B0A60"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35</w:t>
            </w:r>
          </w:p>
        </w:tc>
        <w:tc>
          <w:tcPr>
            <w:tcW w:w="110" w:type="pct"/>
            <w:vAlign w:val="bottom"/>
          </w:tcPr>
          <w:p w14:paraId="5949DB7E" w14:textId="77777777" w:rsidR="008A656B" w:rsidRPr="001D2342" w:rsidRDefault="008A656B" w:rsidP="00851097">
            <w:pPr>
              <w:rPr>
                <w:rFonts w:ascii="Times New Roman" w:hAnsi="Times New Roman" w:cs="Times New Roman"/>
                <w:sz w:val="16"/>
                <w:szCs w:val="16"/>
              </w:rPr>
            </w:pPr>
          </w:p>
        </w:tc>
        <w:tc>
          <w:tcPr>
            <w:tcW w:w="192" w:type="pct"/>
            <w:vAlign w:val="bottom"/>
          </w:tcPr>
          <w:p w14:paraId="017649B8"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50</w:t>
            </w:r>
          </w:p>
        </w:tc>
        <w:tc>
          <w:tcPr>
            <w:tcW w:w="678" w:type="pct"/>
            <w:vAlign w:val="bottom"/>
          </w:tcPr>
          <w:p w14:paraId="31F6BC4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Kalcija uztura bagātinātāju lietotāji</w:t>
            </w:r>
          </w:p>
        </w:tc>
        <w:tc>
          <w:tcPr>
            <w:tcW w:w="242" w:type="pct"/>
            <w:vAlign w:val="bottom"/>
          </w:tcPr>
          <w:p w14:paraId="61A11474"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236,0</w:t>
            </w:r>
          </w:p>
        </w:tc>
        <w:tc>
          <w:tcPr>
            <w:tcW w:w="259" w:type="pct"/>
            <w:vAlign w:val="bottom"/>
          </w:tcPr>
          <w:p w14:paraId="7B9AA1BB" w14:textId="77777777" w:rsidR="008A656B" w:rsidRPr="001D2342" w:rsidRDefault="008A656B" w:rsidP="00851097">
            <w:pPr>
              <w:rPr>
                <w:rFonts w:ascii="Times New Roman" w:hAnsi="Times New Roman" w:cs="Times New Roman"/>
                <w:sz w:val="16"/>
                <w:szCs w:val="16"/>
              </w:rPr>
            </w:pPr>
          </w:p>
        </w:tc>
        <w:tc>
          <w:tcPr>
            <w:tcW w:w="199" w:type="pct"/>
            <w:vAlign w:val="bottom"/>
          </w:tcPr>
          <w:p w14:paraId="763B878E" w14:textId="77777777" w:rsidR="008A656B" w:rsidRPr="001D2342" w:rsidRDefault="008A656B" w:rsidP="00851097">
            <w:pPr>
              <w:rPr>
                <w:rFonts w:ascii="Times New Roman" w:hAnsi="Times New Roman" w:cs="Times New Roman"/>
                <w:sz w:val="16"/>
                <w:szCs w:val="16"/>
              </w:rPr>
            </w:pPr>
          </w:p>
        </w:tc>
        <w:tc>
          <w:tcPr>
            <w:tcW w:w="242" w:type="pct"/>
            <w:vAlign w:val="bottom"/>
          </w:tcPr>
          <w:p w14:paraId="64CC3FE8"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600,0</w:t>
            </w:r>
          </w:p>
        </w:tc>
        <w:tc>
          <w:tcPr>
            <w:tcW w:w="243" w:type="pct"/>
            <w:vAlign w:val="bottom"/>
          </w:tcPr>
          <w:p w14:paraId="0ABC81B9" w14:textId="77777777" w:rsidR="008A656B" w:rsidRPr="001D2342" w:rsidRDefault="008A656B" w:rsidP="00851097">
            <w:pPr>
              <w:rPr>
                <w:rFonts w:ascii="Times New Roman" w:hAnsi="Times New Roman" w:cs="Times New Roman"/>
                <w:sz w:val="16"/>
                <w:szCs w:val="16"/>
              </w:rPr>
            </w:pPr>
          </w:p>
        </w:tc>
      </w:tr>
      <w:tr w:rsidR="008A656B" w:rsidRPr="001D2342" w14:paraId="34BDC134" w14:textId="77777777" w:rsidTr="00851097">
        <w:trPr>
          <w:trHeight w:val="260"/>
        </w:trPr>
        <w:tc>
          <w:tcPr>
            <w:tcW w:w="379" w:type="pct"/>
            <w:vAlign w:val="bottom"/>
          </w:tcPr>
          <w:p w14:paraId="527E2057" w14:textId="77777777" w:rsidR="008A656B" w:rsidRPr="001D2342" w:rsidRDefault="008A656B" w:rsidP="00851097">
            <w:pPr>
              <w:rPr>
                <w:rFonts w:ascii="Times New Roman" w:hAnsi="Times New Roman" w:cs="Times New Roman"/>
                <w:sz w:val="16"/>
                <w:szCs w:val="16"/>
              </w:rPr>
            </w:pPr>
          </w:p>
        </w:tc>
        <w:tc>
          <w:tcPr>
            <w:tcW w:w="261" w:type="pct"/>
            <w:vAlign w:val="bottom"/>
          </w:tcPr>
          <w:p w14:paraId="4BAB7AE7" w14:textId="77777777" w:rsidR="008A656B" w:rsidRPr="001D2342" w:rsidRDefault="008A656B" w:rsidP="00851097">
            <w:pPr>
              <w:rPr>
                <w:rFonts w:ascii="Times New Roman" w:hAnsi="Times New Roman" w:cs="Times New Roman"/>
                <w:sz w:val="16"/>
                <w:szCs w:val="16"/>
              </w:rPr>
            </w:pPr>
          </w:p>
        </w:tc>
        <w:tc>
          <w:tcPr>
            <w:tcW w:w="364" w:type="pct"/>
            <w:vAlign w:val="bottom"/>
          </w:tcPr>
          <w:p w14:paraId="0C96CCD5" w14:textId="77777777" w:rsidR="008A656B" w:rsidRPr="001D2342" w:rsidRDefault="008A656B" w:rsidP="00851097">
            <w:pPr>
              <w:rPr>
                <w:rFonts w:ascii="Times New Roman" w:hAnsi="Times New Roman" w:cs="Times New Roman"/>
                <w:sz w:val="16"/>
                <w:szCs w:val="16"/>
              </w:rPr>
            </w:pPr>
          </w:p>
        </w:tc>
        <w:tc>
          <w:tcPr>
            <w:tcW w:w="373" w:type="pct"/>
            <w:vAlign w:val="bottom"/>
          </w:tcPr>
          <w:p w14:paraId="103CC3D9" w14:textId="77777777" w:rsidR="008A656B" w:rsidRPr="001D2342" w:rsidRDefault="008A656B" w:rsidP="00851097">
            <w:pPr>
              <w:rPr>
                <w:rFonts w:ascii="Times New Roman" w:hAnsi="Times New Roman" w:cs="Times New Roman"/>
                <w:sz w:val="16"/>
                <w:szCs w:val="16"/>
              </w:rPr>
            </w:pPr>
          </w:p>
        </w:tc>
        <w:tc>
          <w:tcPr>
            <w:tcW w:w="940" w:type="pct"/>
            <w:vAlign w:val="bottom"/>
          </w:tcPr>
          <w:p w14:paraId="063225B7" w14:textId="77777777" w:rsidR="008A656B" w:rsidRPr="001D2342" w:rsidRDefault="008A656B" w:rsidP="00851097">
            <w:pPr>
              <w:rPr>
                <w:rFonts w:ascii="Times New Roman" w:hAnsi="Times New Roman" w:cs="Times New Roman"/>
                <w:sz w:val="16"/>
                <w:szCs w:val="16"/>
              </w:rPr>
            </w:pPr>
          </w:p>
        </w:tc>
        <w:tc>
          <w:tcPr>
            <w:tcW w:w="201" w:type="pct"/>
            <w:shd w:val="clear" w:color="auto" w:fill="D9D9D9" w:themeFill="background1" w:themeFillShade="D9"/>
            <w:vAlign w:val="bottom"/>
          </w:tcPr>
          <w:p w14:paraId="4CDD94B4"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146</w:t>
            </w:r>
          </w:p>
        </w:tc>
        <w:tc>
          <w:tcPr>
            <w:tcW w:w="129" w:type="pct"/>
            <w:shd w:val="clear" w:color="auto" w:fill="D9D9D9" w:themeFill="background1" w:themeFillShade="D9"/>
            <w:vAlign w:val="bottom"/>
          </w:tcPr>
          <w:p w14:paraId="6B9E9235" w14:textId="77777777" w:rsidR="008A656B" w:rsidRPr="001D2342" w:rsidRDefault="008A656B" w:rsidP="00851097">
            <w:pPr>
              <w:rPr>
                <w:rFonts w:ascii="Times New Roman" w:hAnsi="Times New Roman" w:cs="Times New Roman"/>
                <w:sz w:val="16"/>
                <w:szCs w:val="16"/>
              </w:rPr>
            </w:pPr>
          </w:p>
        </w:tc>
        <w:tc>
          <w:tcPr>
            <w:tcW w:w="189" w:type="pct"/>
            <w:shd w:val="clear" w:color="auto" w:fill="D9D9D9" w:themeFill="background1" w:themeFillShade="D9"/>
            <w:vAlign w:val="bottom"/>
          </w:tcPr>
          <w:p w14:paraId="3D5BECC5"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51</w:t>
            </w:r>
          </w:p>
        </w:tc>
        <w:tc>
          <w:tcPr>
            <w:tcW w:w="110" w:type="pct"/>
            <w:shd w:val="clear" w:color="auto" w:fill="D9D9D9" w:themeFill="background1" w:themeFillShade="D9"/>
            <w:vAlign w:val="bottom"/>
          </w:tcPr>
          <w:p w14:paraId="0A97229A" w14:textId="77777777" w:rsidR="008A656B" w:rsidRPr="001D2342" w:rsidRDefault="008A656B" w:rsidP="00851097">
            <w:pPr>
              <w:rPr>
                <w:rFonts w:ascii="Times New Roman" w:hAnsi="Times New Roman" w:cs="Times New Roman"/>
                <w:sz w:val="16"/>
                <w:szCs w:val="16"/>
              </w:rPr>
            </w:pPr>
          </w:p>
        </w:tc>
        <w:tc>
          <w:tcPr>
            <w:tcW w:w="192" w:type="pct"/>
            <w:shd w:val="clear" w:color="auto" w:fill="D9D9D9" w:themeFill="background1" w:themeFillShade="D9"/>
            <w:vAlign w:val="bottom"/>
          </w:tcPr>
          <w:p w14:paraId="63172A09"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64</w:t>
            </w:r>
          </w:p>
        </w:tc>
        <w:tc>
          <w:tcPr>
            <w:tcW w:w="678" w:type="pct"/>
            <w:shd w:val="clear" w:color="auto" w:fill="D9D9D9" w:themeFill="background1" w:themeFillShade="D9"/>
            <w:vAlign w:val="bottom"/>
          </w:tcPr>
          <w:p w14:paraId="0AB48F0A"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Kalcija uztura bagātinātāju lietotāji</w:t>
            </w:r>
          </w:p>
        </w:tc>
        <w:tc>
          <w:tcPr>
            <w:tcW w:w="242" w:type="pct"/>
            <w:shd w:val="clear" w:color="auto" w:fill="D9D9D9" w:themeFill="background1" w:themeFillShade="D9"/>
            <w:vAlign w:val="bottom"/>
          </w:tcPr>
          <w:p w14:paraId="4BE01819"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245,0</w:t>
            </w:r>
          </w:p>
        </w:tc>
        <w:tc>
          <w:tcPr>
            <w:tcW w:w="259" w:type="pct"/>
            <w:shd w:val="clear" w:color="auto" w:fill="D9D9D9" w:themeFill="background1" w:themeFillShade="D9"/>
            <w:vAlign w:val="bottom"/>
          </w:tcPr>
          <w:p w14:paraId="6F094A06" w14:textId="77777777" w:rsidR="008A656B" w:rsidRPr="001D2342" w:rsidRDefault="008A656B" w:rsidP="00851097">
            <w:pPr>
              <w:rPr>
                <w:rFonts w:ascii="Times New Roman" w:hAnsi="Times New Roman" w:cs="Times New Roman"/>
                <w:sz w:val="16"/>
                <w:szCs w:val="16"/>
              </w:rPr>
            </w:pPr>
          </w:p>
        </w:tc>
        <w:tc>
          <w:tcPr>
            <w:tcW w:w="199" w:type="pct"/>
            <w:shd w:val="clear" w:color="auto" w:fill="D9D9D9" w:themeFill="background1" w:themeFillShade="D9"/>
            <w:vAlign w:val="bottom"/>
          </w:tcPr>
          <w:p w14:paraId="5269CB4E"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3FA94461"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620,0</w:t>
            </w:r>
          </w:p>
        </w:tc>
        <w:tc>
          <w:tcPr>
            <w:tcW w:w="243" w:type="pct"/>
            <w:shd w:val="clear" w:color="auto" w:fill="D9D9D9" w:themeFill="background1" w:themeFillShade="D9"/>
            <w:vAlign w:val="bottom"/>
          </w:tcPr>
          <w:p w14:paraId="5BB11D4C" w14:textId="77777777" w:rsidR="008A656B" w:rsidRPr="001D2342" w:rsidRDefault="008A656B" w:rsidP="00851097">
            <w:pPr>
              <w:rPr>
                <w:rFonts w:ascii="Times New Roman" w:hAnsi="Times New Roman" w:cs="Times New Roman"/>
                <w:sz w:val="16"/>
                <w:szCs w:val="16"/>
              </w:rPr>
            </w:pPr>
          </w:p>
        </w:tc>
      </w:tr>
      <w:tr w:rsidR="008A656B" w:rsidRPr="001D2342" w14:paraId="348E2635" w14:textId="77777777" w:rsidTr="00851097">
        <w:trPr>
          <w:trHeight w:val="260"/>
        </w:trPr>
        <w:tc>
          <w:tcPr>
            <w:tcW w:w="379" w:type="pct"/>
            <w:tcBorders>
              <w:bottom w:val="single" w:sz="4" w:space="0" w:color="auto"/>
            </w:tcBorders>
            <w:vAlign w:val="bottom"/>
          </w:tcPr>
          <w:p w14:paraId="6EA9C480" w14:textId="77777777" w:rsidR="008A656B" w:rsidRPr="001D2342" w:rsidRDefault="008A656B" w:rsidP="00851097">
            <w:pPr>
              <w:rPr>
                <w:rFonts w:ascii="Times New Roman" w:hAnsi="Times New Roman" w:cs="Times New Roman"/>
                <w:sz w:val="16"/>
                <w:szCs w:val="16"/>
              </w:rPr>
            </w:pPr>
          </w:p>
        </w:tc>
        <w:tc>
          <w:tcPr>
            <w:tcW w:w="261" w:type="pct"/>
            <w:tcBorders>
              <w:bottom w:val="single" w:sz="4" w:space="0" w:color="auto"/>
            </w:tcBorders>
            <w:vAlign w:val="bottom"/>
          </w:tcPr>
          <w:p w14:paraId="01E44FD3" w14:textId="77777777" w:rsidR="008A656B" w:rsidRPr="001D2342" w:rsidRDefault="008A656B" w:rsidP="00851097">
            <w:pPr>
              <w:rPr>
                <w:rFonts w:ascii="Times New Roman" w:hAnsi="Times New Roman" w:cs="Times New Roman"/>
                <w:sz w:val="16"/>
                <w:szCs w:val="16"/>
              </w:rPr>
            </w:pPr>
          </w:p>
        </w:tc>
        <w:tc>
          <w:tcPr>
            <w:tcW w:w="364" w:type="pct"/>
            <w:tcBorders>
              <w:bottom w:val="single" w:sz="4" w:space="0" w:color="auto"/>
            </w:tcBorders>
            <w:vAlign w:val="bottom"/>
          </w:tcPr>
          <w:p w14:paraId="2ED705BB" w14:textId="77777777" w:rsidR="008A656B" w:rsidRPr="001D2342" w:rsidRDefault="008A656B" w:rsidP="00851097">
            <w:pPr>
              <w:rPr>
                <w:rFonts w:ascii="Times New Roman" w:hAnsi="Times New Roman" w:cs="Times New Roman"/>
                <w:sz w:val="16"/>
                <w:szCs w:val="16"/>
              </w:rPr>
            </w:pPr>
          </w:p>
        </w:tc>
        <w:tc>
          <w:tcPr>
            <w:tcW w:w="373" w:type="pct"/>
            <w:tcBorders>
              <w:bottom w:val="single" w:sz="4" w:space="0" w:color="auto"/>
            </w:tcBorders>
            <w:vAlign w:val="bottom"/>
          </w:tcPr>
          <w:p w14:paraId="0A0393A2" w14:textId="77777777" w:rsidR="008A656B" w:rsidRPr="001D2342" w:rsidRDefault="008A656B" w:rsidP="00851097">
            <w:pPr>
              <w:rPr>
                <w:rFonts w:ascii="Times New Roman" w:hAnsi="Times New Roman" w:cs="Times New Roman"/>
                <w:sz w:val="16"/>
                <w:szCs w:val="16"/>
              </w:rPr>
            </w:pPr>
          </w:p>
        </w:tc>
        <w:tc>
          <w:tcPr>
            <w:tcW w:w="940" w:type="pct"/>
            <w:tcBorders>
              <w:bottom w:val="single" w:sz="4" w:space="0" w:color="auto"/>
            </w:tcBorders>
            <w:vAlign w:val="bottom"/>
          </w:tcPr>
          <w:p w14:paraId="464356EA" w14:textId="77777777" w:rsidR="008A656B" w:rsidRPr="001D2342" w:rsidRDefault="008A656B" w:rsidP="00851097">
            <w:pPr>
              <w:rPr>
                <w:rFonts w:ascii="Times New Roman" w:hAnsi="Times New Roman" w:cs="Times New Roman"/>
                <w:sz w:val="16"/>
                <w:szCs w:val="16"/>
              </w:rPr>
            </w:pPr>
          </w:p>
        </w:tc>
        <w:tc>
          <w:tcPr>
            <w:tcW w:w="201" w:type="pct"/>
            <w:tcBorders>
              <w:bottom w:val="single" w:sz="4" w:space="0" w:color="auto"/>
            </w:tcBorders>
            <w:shd w:val="clear" w:color="auto" w:fill="D9D9D9" w:themeFill="background1" w:themeFillShade="D9"/>
            <w:vAlign w:val="bottom"/>
          </w:tcPr>
          <w:p w14:paraId="206A172A"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182</w:t>
            </w:r>
          </w:p>
        </w:tc>
        <w:tc>
          <w:tcPr>
            <w:tcW w:w="129" w:type="pct"/>
            <w:tcBorders>
              <w:bottom w:val="single" w:sz="4" w:space="0" w:color="auto"/>
            </w:tcBorders>
            <w:shd w:val="clear" w:color="auto" w:fill="D9D9D9" w:themeFill="background1" w:themeFillShade="D9"/>
            <w:vAlign w:val="bottom"/>
          </w:tcPr>
          <w:p w14:paraId="21077D07" w14:textId="77777777" w:rsidR="008A656B" w:rsidRPr="001D2342" w:rsidRDefault="008A656B" w:rsidP="00851097">
            <w:pPr>
              <w:rPr>
                <w:rFonts w:ascii="Times New Roman" w:hAnsi="Times New Roman" w:cs="Times New Roman"/>
                <w:sz w:val="16"/>
                <w:szCs w:val="16"/>
              </w:rPr>
            </w:pPr>
          </w:p>
        </w:tc>
        <w:tc>
          <w:tcPr>
            <w:tcW w:w="189" w:type="pct"/>
            <w:tcBorders>
              <w:bottom w:val="single" w:sz="4" w:space="0" w:color="auto"/>
            </w:tcBorders>
            <w:shd w:val="clear" w:color="auto" w:fill="D9D9D9" w:themeFill="background1" w:themeFillShade="D9"/>
            <w:vAlign w:val="bottom"/>
          </w:tcPr>
          <w:p w14:paraId="3754360F"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65</w:t>
            </w:r>
          </w:p>
        </w:tc>
        <w:tc>
          <w:tcPr>
            <w:tcW w:w="110" w:type="pct"/>
            <w:tcBorders>
              <w:bottom w:val="single" w:sz="4" w:space="0" w:color="auto"/>
            </w:tcBorders>
            <w:shd w:val="clear" w:color="auto" w:fill="D9D9D9" w:themeFill="background1" w:themeFillShade="D9"/>
            <w:vAlign w:val="bottom"/>
          </w:tcPr>
          <w:p w14:paraId="34AA9FFD" w14:textId="77777777" w:rsidR="008A656B" w:rsidRPr="001D2342" w:rsidRDefault="008A656B" w:rsidP="00851097">
            <w:pPr>
              <w:rPr>
                <w:rFonts w:ascii="Times New Roman" w:hAnsi="Times New Roman" w:cs="Times New Roman"/>
                <w:sz w:val="16"/>
                <w:szCs w:val="16"/>
              </w:rPr>
            </w:pPr>
          </w:p>
        </w:tc>
        <w:tc>
          <w:tcPr>
            <w:tcW w:w="192" w:type="pct"/>
            <w:tcBorders>
              <w:bottom w:val="single" w:sz="4" w:space="0" w:color="auto"/>
            </w:tcBorders>
            <w:shd w:val="clear" w:color="auto" w:fill="D9D9D9" w:themeFill="background1" w:themeFillShade="D9"/>
            <w:vAlign w:val="bottom"/>
          </w:tcPr>
          <w:p w14:paraId="10C86BC7"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80</w:t>
            </w:r>
          </w:p>
        </w:tc>
        <w:tc>
          <w:tcPr>
            <w:tcW w:w="678" w:type="pct"/>
            <w:tcBorders>
              <w:bottom w:val="single" w:sz="4" w:space="0" w:color="auto"/>
            </w:tcBorders>
            <w:shd w:val="clear" w:color="auto" w:fill="D9D9D9" w:themeFill="background1" w:themeFillShade="D9"/>
            <w:vAlign w:val="bottom"/>
          </w:tcPr>
          <w:p w14:paraId="73DB73FA"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Kalcija uztura bagātinātāju lietotāji</w:t>
            </w:r>
          </w:p>
        </w:tc>
        <w:tc>
          <w:tcPr>
            <w:tcW w:w="242" w:type="pct"/>
            <w:tcBorders>
              <w:bottom w:val="single" w:sz="4" w:space="0" w:color="auto"/>
            </w:tcBorders>
            <w:shd w:val="clear" w:color="auto" w:fill="D9D9D9" w:themeFill="background1" w:themeFillShade="D9"/>
            <w:vAlign w:val="bottom"/>
          </w:tcPr>
          <w:p w14:paraId="44FD30F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319,0</w:t>
            </w:r>
          </w:p>
        </w:tc>
        <w:tc>
          <w:tcPr>
            <w:tcW w:w="259" w:type="pct"/>
            <w:tcBorders>
              <w:bottom w:val="single" w:sz="4" w:space="0" w:color="auto"/>
            </w:tcBorders>
            <w:shd w:val="clear" w:color="auto" w:fill="D9D9D9" w:themeFill="background1" w:themeFillShade="D9"/>
            <w:vAlign w:val="bottom"/>
          </w:tcPr>
          <w:p w14:paraId="404D146E" w14:textId="77777777" w:rsidR="008A656B" w:rsidRPr="001D2342" w:rsidRDefault="008A656B" w:rsidP="00851097">
            <w:pPr>
              <w:rPr>
                <w:rFonts w:ascii="Times New Roman" w:hAnsi="Times New Roman" w:cs="Times New Roman"/>
                <w:sz w:val="16"/>
                <w:szCs w:val="16"/>
              </w:rPr>
            </w:pPr>
          </w:p>
        </w:tc>
        <w:tc>
          <w:tcPr>
            <w:tcW w:w="199" w:type="pct"/>
            <w:tcBorders>
              <w:bottom w:val="single" w:sz="4" w:space="0" w:color="auto"/>
            </w:tcBorders>
            <w:shd w:val="clear" w:color="auto" w:fill="D9D9D9" w:themeFill="background1" w:themeFillShade="D9"/>
            <w:vAlign w:val="bottom"/>
          </w:tcPr>
          <w:p w14:paraId="6815947A" w14:textId="77777777" w:rsidR="008A656B" w:rsidRPr="001D2342" w:rsidRDefault="008A656B" w:rsidP="00851097">
            <w:pPr>
              <w:rPr>
                <w:rFonts w:ascii="Times New Roman" w:hAnsi="Times New Roman" w:cs="Times New Roman"/>
                <w:sz w:val="16"/>
                <w:szCs w:val="16"/>
              </w:rPr>
            </w:pPr>
          </w:p>
        </w:tc>
        <w:tc>
          <w:tcPr>
            <w:tcW w:w="242" w:type="pct"/>
            <w:tcBorders>
              <w:bottom w:val="single" w:sz="4" w:space="0" w:color="auto"/>
            </w:tcBorders>
            <w:shd w:val="clear" w:color="auto" w:fill="D9D9D9" w:themeFill="background1" w:themeFillShade="D9"/>
            <w:vAlign w:val="bottom"/>
          </w:tcPr>
          <w:p w14:paraId="1EEE0854"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1 200,0</w:t>
            </w:r>
          </w:p>
        </w:tc>
        <w:tc>
          <w:tcPr>
            <w:tcW w:w="243" w:type="pct"/>
            <w:tcBorders>
              <w:bottom w:val="single" w:sz="4" w:space="0" w:color="auto"/>
            </w:tcBorders>
            <w:shd w:val="clear" w:color="auto" w:fill="D9D9D9" w:themeFill="background1" w:themeFillShade="D9"/>
            <w:vAlign w:val="bottom"/>
          </w:tcPr>
          <w:p w14:paraId="2CC24998" w14:textId="77777777" w:rsidR="008A656B" w:rsidRPr="001D2342" w:rsidRDefault="008A656B" w:rsidP="00851097">
            <w:pPr>
              <w:rPr>
                <w:rFonts w:ascii="Times New Roman" w:hAnsi="Times New Roman" w:cs="Times New Roman"/>
                <w:sz w:val="16"/>
                <w:szCs w:val="16"/>
              </w:rPr>
            </w:pPr>
          </w:p>
        </w:tc>
      </w:tr>
      <w:tr w:rsidR="008A656B" w:rsidRPr="001D2342" w14:paraId="314253E3" w14:textId="77777777" w:rsidTr="00851097">
        <w:trPr>
          <w:trHeight w:val="260"/>
        </w:trPr>
        <w:tc>
          <w:tcPr>
            <w:tcW w:w="379" w:type="pct"/>
            <w:tcBorders>
              <w:top w:val="single" w:sz="4" w:space="0" w:color="auto"/>
            </w:tcBorders>
            <w:vAlign w:val="bottom"/>
          </w:tcPr>
          <w:p w14:paraId="4C5C9EDD" w14:textId="77777777" w:rsidR="008A656B" w:rsidRPr="001D2342" w:rsidRDefault="008A656B" w:rsidP="00801323">
            <w:pPr>
              <w:keepNext/>
              <w:rPr>
                <w:rFonts w:ascii="Times New Roman" w:hAnsi="Times New Roman" w:cs="Times New Roman"/>
                <w:b/>
                <w:bCs/>
                <w:sz w:val="16"/>
                <w:szCs w:val="16"/>
              </w:rPr>
            </w:pPr>
            <w:r>
              <w:rPr>
                <w:rFonts w:ascii="Times New Roman" w:hAnsi="Times New Roman"/>
                <w:b/>
                <w:sz w:val="16"/>
              </w:rPr>
              <w:t>Pārtika un bagātinātāji</w:t>
            </w:r>
          </w:p>
        </w:tc>
        <w:tc>
          <w:tcPr>
            <w:tcW w:w="261" w:type="pct"/>
            <w:tcBorders>
              <w:top w:val="single" w:sz="4" w:space="0" w:color="auto"/>
            </w:tcBorders>
            <w:vAlign w:val="bottom"/>
          </w:tcPr>
          <w:p w14:paraId="1847556F" w14:textId="77777777" w:rsidR="008A656B" w:rsidRPr="001D2342" w:rsidRDefault="008A656B" w:rsidP="00801323">
            <w:pPr>
              <w:keepNext/>
              <w:rPr>
                <w:rFonts w:ascii="Times New Roman" w:hAnsi="Times New Roman" w:cs="Times New Roman"/>
                <w:b/>
                <w:bCs/>
                <w:sz w:val="16"/>
                <w:szCs w:val="16"/>
              </w:rPr>
            </w:pPr>
            <w:r>
              <w:rPr>
                <w:rFonts w:ascii="Times New Roman" w:hAnsi="Times New Roman"/>
                <w:b/>
                <w:sz w:val="16"/>
              </w:rPr>
              <w:t>Sievietes</w:t>
            </w:r>
          </w:p>
        </w:tc>
        <w:tc>
          <w:tcPr>
            <w:tcW w:w="364" w:type="pct"/>
            <w:tcBorders>
              <w:top w:val="single" w:sz="4" w:space="0" w:color="auto"/>
            </w:tcBorders>
            <w:vAlign w:val="bottom"/>
          </w:tcPr>
          <w:p w14:paraId="03A5524D" w14:textId="77777777" w:rsidR="008A656B" w:rsidRPr="001D2342" w:rsidRDefault="008A656B" w:rsidP="00801323">
            <w:pPr>
              <w:keepNext/>
              <w:rPr>
                <w:rFonts w:ascii="Times New Roman" w:hAnsi="Times New Roman" w:cs="Times New Roman"/>
                <w:b/>
                <w:bCs/>
                <w:sz w:val="16"/>
                <w:szCs w:val="16"/>
              </w:rPr>
            </w:pPr>
            <w:r>
              <w:rPr>
                <w:rFonts w:ascii="Times New Roman" w:hAnsi="Times New Roman"/>
                <w:b/>
                <w:sz w:val="16"/>
              </w:rPr>
              <w:t>Dānija</w:t>
            </w:r>
          </w:p>
        </w:tc>
        <w:tc>
          <w:tcPr>
            <w:tcW w:w="373" w:type="pct"/>
            <w:tcBorders>
              <w:top w:val="single" w:sz="4" w:space="0" w:color="auto"/>
            </w:tcBorders>
            <w:vAlign w:val="bottom"/>
          </w:tcPr>
          <w:p w14:paraId="785318AE" w14:textId="77777777" w:rsidR="008A656B" w:rsidRPr="001D2342" w:rsidRDefault="008A656B" w:rsidP="00801323">
            <w:pPr>
              <w:pStyle w:val="Default"/>
              <w:keepNext/>
              <w:rPr>
                <w:sz w:val="16"/>
                <w:szCs w:val="16"/>
              </w:rPr>
            </w:pPr>
            <w:r>
              <w:rPr>
                <w:sz w:val="16"/>
              </w:rPr>
              <w:t>(Tetens et al., 2011)</w:t>
            </w:r>
          </w:p>
        </w:tc>
        <w:tc>
          <w:tcPr>
            <w:tcW w:w="940" w:type="pct"/>
            <w:tcBorders>
              <w:top w:val="single" w:sz="4" w:space="0" w:color="auto"/>
            </w:tcBorders>
            <w:vAlign w:val="bottom"/>
          </w:tcPr>
          <w:p w14:paraId="26E6BAB5" w14:textId="77777777" w:rsidR="008A656B" w:rsidRPr="001D2342" w:rsidRDefault="008A656B" w:rsidP="00801323">
            <w:pPr>
              <w:pStyle w:val="Default"/>
              <w:keepNext/>
              <w:rPr>
                <w:sz w:val="16"/>
                <w:szCs w:val="16"/>
              </w:rPr>
            </w:pPr>
            <w:r>
              <w:rPr>
                <w:sz w:val="16"/>
              </w:rPr>
              <w:t>7 dienu uztura pieraksts un intervija (dati savākti 2000.–2004. gadā)</w:t>
            </w:r>
          </w:p>
        </w:tc>
        <w:tc>
          <w:tcPr>
            <w:tcW w:w="201" w:type="pct"/>
            <w:tcBorders>
              <w:top w:val="single" w:sz="4" w:space="0" w:color="auto"/>
            </w:tcBorders>
            <w:vAlign w:val="bottom"/>
          </w:tcPr>
          <w:p w14:paraId="7C957004" w14:textId="77777777" w:rsidR="008A656B" w:rsidRPr="001D2342" w:rsidRDefault="008A656B" w:rsidP="00801323">
            <w:pPr>
              <w:keepNext/>
              <w:rPr>
                <w:rFonts w:ascii="Times New Roman" w:hAnsi="Times New Roman" w:cs="Times New Roman"/>
                <w:sz w:val="16"/>
                <w:szCs w:val="16"/>
              </w:rPr>
            </w:pPr>
            <w:r>
              <w:rPr>
                <w:rFonts w:ascii="Times New Roman" w:hAnsi="Times New Roman"/>
                <w:sz w:val="16"/>
              </w:rPr>
              <w:t>825</w:t>
            </w:r>
          </w:p>
        </w:tc>
        <w:tc>
          <w:tcPr>
            <w:tcW w:w="129" w:type="pct"/>
            <w:tcBorders>
              <w:top w:val="single" w:sz="4" w:space="0" w:color="auto"/>
            </w:tcBorders>
            <w:vAlign w:val="bottom"/>
          </w:tcPr>
          <w:p w14:paraId="0BF7477C" w14:textId="77777777" w:rsidR="008A656B" w:rsidRPr="001D2342" w:rsidRDefault="008A656B" w:rsidP="00801323">
            <w:pPr>
              <w:keepNext/>
              <w:rPr>
                <w:rFonts w:ascii="Times New Roman" w:hAnsi="Times New Roman" w:cs="Times New Roman"/>
                <w:sz w:val="16"/>
                <w:szCs w:val="16"/>
              </w:rPr>
            </w:pPr>
          </w:p>
        </w:tc>
        <w:tc>
          <w:tcPr>
            <w:tcW w:w="189" w:type="pct"/>
            <w:tcBorders>
              <w:top w:val="single" w:sz="4" w:space="0" w:color="auto"/>
            </w:tcBorders>
            <w:vAlign w:val="bottom"/>
          </w:tcPr>
          <w:p w14:paraId="287E279B" w14:textId="77777777" w:rsidR="008A656B" w:rsidRPr="001D2342" w:rsidRDefault="008A656B" w:rsidP="00801323">
            <w:pPr>
              <w:keepNext/>
              <w:rPr>
                <w:rFonts w:ascii="Times New Roman" w:hAnsi="Times New Roman" w:cs="Times New Roman"/>
                <w:sz w:val="16"/>
                <w:szCs w:val="16"/>
              </w:rPr>
            </w:pPr>
            <w:r>
              <w:rPr>
                <w:rFonts w:ascii="Times New Roman" w:hAnsi="Times New Roman"/>
                <w:sz w:val="16"/>
              </w:rPr>
              <w:t>18</w:t>
            </w:r>
          </w:p>
        </w:tc>
        <w:tc>
          <w:tcPr>
            <w:tcW w:w="110" w:type="pct"/>
            <w:tcBorders>
              <w:top w:val="single" w:sz="4" w:space="0" w:color="auto"/>
            </w:tcBorders>
            <w:vAlign w:val="bottom"/>
          </w:tcPr>
          <w:p w14:paraId="0AC22AB2" w14:textId="77777777" w:rsidR="008A656B" w:rsidRPr="001D2342" w:rsidRDefault="008A656B" w:rsidP="00801323">
            <w:pPr>
              <w:keepNext/>
              <w:rPr>
                <w:rFonts w:ascii="Times New Roman" w:hAnsi="Times New Roman" w:cs="Times New Roman"/>
                <w:sz w:val="16"/>
                <w:szCs w:val="16"/>
              </w:rPr>
            </w:pPr>
          </w:p>
        </w:tc>
        <w:tc>
          <w:tcPr>
            <w:tcW w:w="192" w:type="pct"/>
            <w:tcBorders>
              <w:top w:val="single" w:sz="4" w:space="0" w:color="auto"/>
            </w:tcBorders>
            <w:vAlign w:val="bottom"/>
          </w:tcPr>
          <w:p w14:paraId="55ECA9C8" w14:textId="77777777" w:rsidR="008A656B" w:rsidRPr="001D2342" w:rsidRDefault="008A656B" w:rsidP="00801323">
            <w:pPr>
              <w:keepNext/>
              <w:rPr>
                <w:rFonts w:ascii="Times New Roman" w:hAnsi="Times New Roman" w:cs="Times New Roman"/>
                <w:sz w:val="16"/>
                <w:szCs w:val="16"/>
              </w:rPr>
            </w:pPr>
            <w:r>
              <w:rPr>
                <w:rFonts w:ascii="Times New Roman" w:hAnsi="Times New Roman"/>
                <w:sz w:val="16"/>
              </w:rPr>
              <w:t>49</w:t>
            </w:r>
          </w:p>
        </w:tc>
        <w:tc>
          <w:tcPr>
            <w:tcW w:w="678" w:type="pct"/>
            <w:tcBorders>
              <w:top w:val="single" w:sz="4" w:space="0" w:color="auto"/>
            </w:tcBorders>
            <w:vAlign w:val="bottom"/>
          </w:tcPr>
          <w:p w14:paraId="733A438E" w14:textId="77777777" w:rsidR="008A656B" w:rsidRPr="001D2342" w:rsidRDefault="008A656B" w:rsidP="00801323">
            <w:pPr>
              <w:keepNext/>
              <w:rPr>
                <w:rFonts w:ascii="Times New Roman" w:hAnsi="Times New Roman" w:cs="Times New Roman"/>
                <w:sz w:val="16"/>
                <w:szCs w:val="16"/>
              </w:rPr>
            </w:pPr>
            <w:r>
              <w:rPr>
                <w:rFonts w:ascii="Times New Roman" w:hAnsi="Times New Roman"/>
                <w:sz w:val="16"/>
              </w:rPr>
              <w:t>Uztura bagātinātāju lietotāji</w:t>
            </w:r>
          </w:p>
        </w:tc>
        <w:tc>
          <w:tcPr>
            <w:tcW w:w="242" w:type="pct"/>
            <w:tcBorders>
              <w:top w:val="single" w:sz="4" w:space="0" w:color="auto"/>
            </w:tcBorders>
            <w:vAlign w:val="bottom"/>
          </w:tcPr>
          <w:p w14:paraId="1D3E9FFD" w14:textId="77777777" w:rsidR="008A656B" w:rsidRPr="001D2342" w:rsidRDefault="008A656B" w:rsidP="00801323">
            <w:pPr>
              <w:keepNext/>
              <w:rPr>
                <w:rFonts w:ascii="Times New Roman" w:hAnsi="Times New Roman" w:cs="Times New Roman"/>
                <w:sz w:val="16"/>
                <w:szCs w:val="16"/>
              </w:rPr>
            </w:pPr>
            <w:r>
              <w:rPr>
                <w:rFonts w:ascii="Times New Roman" w:hAnsi="Times New Roman"/>
                <w:sz w:val="16"/>
              </w:rPr>
              <w:t>1 130,0</w:t>
            </w:r>
          </w:p>
        </w:tc>
        <w:tc>
          <w:tcPr>
            <w:tcW w:w="259" w:type="pct"/>
            <w:tcBorders>
              <w:top w:val="single" w:sz="4" w:space="0" w:color="auto"/>
            </w:tcBorders>
            <w:vAlign w:val="bottom"/>
          </w:tcPr>
          <w:p w14:paraId="068C7B10" w14:textId="77777777" w:rsidR="008A656B" w:rsidRPr="001D2342" w:rsidRDefault="008A656B" w:rsidP="00801323">
            <w:pPr>
              <w:keepNext/>
              <w:rPr>
                <w:rFonts w:ascii="Times New Roman" w:hAnsi="Times New Roman" w:cs="Times New Roman"/>
                <w:sz w:val="16"/>
                <w:szCs w:val="16"/>
              </w:rPr>
            </w:pPr>
          </w:p>
        </w:tc>
        <w:tc>
          <w:tcPr>
            <w:tcW w:w="199" w:type="pct"/>
            <w:tcBorders>
              <w:top w:val="single" w:sz="4" w:space="0" w:color="auto"/>
            </w:tcBorders>
            <w:vAlign w:val="bottom"/>
          </w:tcPr>
          <w:p w14:paraId="5659D998" w14:textId="77777777" w:rsidR="008A656B" w:rsidRPr="001D2342" w:rsidRDefault="008A656B" w:rsidP="00801323">
            <w:pPr>
              <w:keepNext/>
              <w:rPr>
                <w:rFonts w:ascii="Times New Roman" w:hAnsi="Times New Roman" w:cs="Times New Roman"/>
                <w:sz w:val="16"/>
                <w:szCs w:val="16"/>
              </w:rPr>
            </w:pPr>
          </w:p>
        </w:tc>
        <w:tc>
          <w:tcPr>
            <w:tcW w:w="242" w:type="pct"/>
            <w:tcBorders>
              <w:top w:val="single" w:sz="4" w:space="0" w:color="auto"/>
            </w:tcBorders>
            <w:vAlign w:val="bottom"/>
          </w:tcPr>
          <w:p w14:paraId="4FFD92AE" w14:textId="77777777" w:rsidR="008A656B" w:rsidRPr="001D2342" w:rsidRDefault="008A656B" w:rsidP="00801323">
            <w:pPr>
              <w:keepNext/>
              <w:rPr>
                <w:rFonts w:ascii="Times New Roman" w:hAnsi="Times New Roman" w:cs="Times New Roman"/>
                <w:sz w:val="16"/>
                <w:szCs w:val="16"/>
              </w:rPr>
            </w:pPr>
            <w:r>
              <w:rPr>
                <w:rFonts w:ascii="Times New Roman" w:hAnsi="Times New Roman"/>
                <w:sz w:val="16"/>
              </w:rPr>
              <w:t>1 881,0</w:t>
            </w:r>
          </w:p>
        </w:tc>
        <w:tc>
          <w:tcPr>
            <w:tcW w:w="243" w:type="pct"/>
            <w:tcBorders>
              <w:top w:val="single" w:sz="4" w:space="0" w:color="auto"/>
            </w:tcBorders>
            <w:vAlign w:val="bottom"/>
          </w:tcPr>
          <w:p w14:paraId="4DF0FDB8" w14:textId="77777777" w:rsidR="008A656B" w:rsidRPr="001D2342" w:rsidRDefault="008A656B" w:rsidP="00801323">
            <w:pPr>
              <w:keepNext/>
              <w:rPr>
                <w:rFonts w:ascii="Times New Roman" w:hAnsi="Times New Roman" w:cs="Times New Roman"/>
                <w:sz w:val="16"/>
                <w:szCs w:val="16"/>
              </w:rPr>
            </w:pPr>
          </w:p>
        </w:tc>
      </w:tr>
      <w:tr w:rsidR="008A656B" w:rsidRPr="001D2342" w14:paraId="4008BD46" w14:textId="77777777" w:rsidTr="00851097">
        <w:trPr>
          <w:trHeight w:val="260"/>
        </w:trPr>
        <w:tc>
          <w:tcPr>
            <w:tcW w:w="379" w:type="pct"/>
            <w:vAlign w:val="bottom"/>
          </w:tcPr>
          <w:p w14:paraId="5898EF59" w14:textId="77777777" w:rsidR="008A656B" w:rsidRPr="001D2342" w:rsidRDefault="008A656B" w:rsidP="00801323">
            <w:pPr>
              <w:keepNext/>
              <w:rPr>
                <w:rFonts w:ascii="Times New Roman" w:hAnsi="Times New Roman" w:cs="Times New Roman"/>
                <w:b/>
                <w:bCs/>
                <w:sz w:val="16"/>
                <w:szCs w:val="16"/>
              </w:rPr>
            </w:pPr>
          </w:p>
        </w:tc>
        <w:tc>
          <w:tcPr>
            <w:tcW w:w="261" w:type="pct"/>
            <w:vAlign w:val="bottom"/>
          </w:tcPr>
          <w:p w14:paraId="7E2318E6" w14:textId="77777777" w:rsidR="008A656B" w:rsidRPr="001D2342" w:rsidRDefault="008A656B" w:rsidP="00801323">
            <w:pPr>
              <w:keepNext/>
              <w:rPr>
                <w:rFonts w:ascii="Times New Roman" w:hAnsi="Times New Roman" w:cs="Times New Roman"/>
                <w:b/>
                <w:bCs/>
                <w:sz w:val="16"/>
                <w:szCs w:val="16"/>
              </w:rPr>
            </w:pPr>
          </w:p>
        </w:tc>
        <w:tc>
          <w:tcPr>
            <w:tcW w:w="364" w:type="pct"/>
            <w:vAlign w:val="bottom"/>
          </w:tcPr>
          <w:p w14:paraId="237F1B27" w14:textId="77777777" w:rsidR="008A656B" w:rsidRPr="001D2342" w:rsidRDefault="008A656B" w:rsidP="00801323">
            <w:pPr>
              <w:keepNext/>
              <w:rPr>
                <w:rFonts w:ascii="Times New Roman" w:hAnsi="Times New Roman" w:cs="Times New Roman"/>
                <w:b/>
                <w:bCs/>
                <w:sz w:val="16"/>
                <w:szCs w:val="16"/>
              </w:rPr>
            </w:pPr>
          </w:p>
        </w:tc>
        <w:tc>
          <w:tcPr>
            <w:tcW w:w="373" w:type="pct"/>
            <w:vAlign w:val="bottom"/>
          </w:tcPr>
          <w:p w14:paraId="5E417AB6" w14:textId="77777777" w:rsidR="008A656B" w:rsidRPr="001D2342" w:rsidRDefault="008A656B" w:rsidP="00801323">
            <w:pPr>
              <w:keepNext/>
              <w:rPr>
                <w:rFonts w:ascii="Times New Roman" w:hAnsi="Times New Roman" w:cs="Times New Roman"/>
                <w:sz w:val="16"/>
                <w:szCs w:val="16"/>
              </w:rPr>
            </w:pPr>
          </w:p>
        </w:tc>
        <w:tc>
          <w:tcPr>
            <w:tcW w:w="940" w:type="pct"/>
            <w:vAlign w:val="bottom"/>
          </w:tcPr>
          <w:p w14:paraId="110D8644" w14:textId="77777777" w:rsidR="008A656B" w:rsidRPr="001D2342" w:rsidRDefault="008A656B" w:rsidP="00801323">
            <w:pPr>
              <w:keepNext/>
              <w:rPr>
                <w:rFonts w:ascii="Times New Roman" w:hAnsi="Times New Roman" w:cs="Times New Roman"/>
                <w:sz w:val="16"/>
                <w:szCs w:val="16"/>
              </w:rPr>
            </w:pPr>
          </w:p>
        </w:tc>
        <w:tc>
          <w:tcPr>
            <w:tcW w:w="201" w:type="pct"/>
            <w:shd w:val="clear" w:color="auto" w:fill="D9D9D9" w:themeFill="background1" w:themeFillShade="D9"/>
            <w:vAlign w:val="bottom"/>
          </w:tcPr>
          <w:p w14:paraId="4EE492A1" w14:textId="77777777" w:rsidR="008A656B" w:rsidRPr="001D2342" w:rsidRDefault="008A656B" w:rsidP="00801323">
            <w:pPr>
              <w:keepNext/>
              <w:rPr>
                <w:rFonts w:ascii="Times New Roman" w:hAnsi="Times New Roman" w:cs="Times New Roman"/>
                <w:sz w:val="16"/>
                <w:szCs w:val="16"/>
              </w:rPr>
            </w:pPr>
            <w:r>
              <w:rPr>
                <w:rFonts w:ascii="Times New Roman" w:hAnsi="Times New Roman"/>
                <w:sz w:val="16"/>
              </w:rPr>
              <w:t>599</w:t>
            </w:r>
          </w:p>
        </w:tc>
        <w:tc>
          <w:tcPr>
            <w:tcW w:w="129" w:type="pct"/>
            <w:shd w:val="clear" w:color="auto" w:fill="D9D9D9" w:themeFill="background1" w:themeFillShade="D9"/>
            <w:vAlign w:val="bottom"/>
          </w:tcPr>
          <w:p w14:paraId="31D9FF9C" w14:textId="77777777" w:rsidR="008A656B" w:rsidRPr="001D2342" w:rsidRDefault="008A656B" w:rsidP="00801323">
            <w:pPr>
              <w:keepNext/>
              <w:rPr>
                <w:rFonts w:ascii="Times New Roman" w:hAnsi="Times New Roman" w:cs="Times New Roman"/>
                <w:sz w:val="16"/>
                <w:szCs w:val="16"/>
              </w:rPr>
            </w:pPr>
          </w:p>
        </w:tc>
        <w:tc>
          <w:tcPr>
            <w:tcW w:w="189" w:type="pct"/>
            <w:shd w:val="clear" w:color="auto" w:fill="D9D9D9" w:themeFill="background1" w:themeFillShade="D9"/>
            <w:vAlign w:val="bottom"/>
          </w:tcPr>
          <w:p w14:paraId="132FC457" w14:textId="77777777" w:rsidR="008A656B" w:rsidRPr="001D2342" w:rsidRDefault="008A656B" w:rsidP="00801323">
            <w:pPr>
              <w:keepNext/>
              <w:rPr>
                <w:rFonts w:ascii="Times New Roman" w:hAnsi="Times New Roman" w:cs="Times New Roman"/>
                <w:sz w:val="16"/>
                <w:szCs w:val="16"/>
              </w:rPr>
            </w:pPr>
            <w:r>
              <w:rPr>
                <w:rFonts w:ascii="Times New Roman" w:hAnsi="Times New Roman"/>
                <w:sz w:val="16"/>
              </w:rPr>
              <w:t>50</w:t>
            </w:r>
          </w:p>
        </w:tc>
        <w:tc>
          <w:tcPr>
            <w:tcW w:w="110" w:type="pct"/>
            <w:shd w:val="clear" w:color="auto" w:fill="D9D9D9" w:themeFill="background1" w:themeFillShade="D9"/>
            <w:vAlign w:val="bottom"/>
          </w:tcPr>
          <w:p w14:paraId="2A8BE7B8" w14:textId="77777777" w:rsidR="008A656B" w:rsidRPr="001D2342" w:rsidRDefault="008A656B" w:rsidP="00801323">
            <w:pPr>
              <w:keepNext/>
              <w:rPr>
                <w:rFonts w:ascii="Times New Roman" w:hAnsi="Times New Roman" w:cs="Times New Roman"/>
                <w:sz w:val="16"/>
                <w:szCs w:val="16"/>
              </w:rPr>
            </w:pPr>
          </w:p>
        </w:tc>
        <w:tc>
          <w:tcPr>
            <w:tcW w:w="192" w:type="pct"/>
            <w:shd w:val="clear" w:color="auto" w:fill="D9D9D9" w:themeFill="background1" w:themeFillShade="D9"/>
            <w:vAlign w:val="bottom"/>
          </w:tcPr>
          <w:p w14:paraId="54453477" w14:textId="77777777" w:rsidR="008A656B" w:rsidRPr="001D2342" w:rsidRDefault="008A656B" w:rsidP="00801323">
            <w:pPr>
              <w:keepNext/>
              <w:rPr>
                <w:rFonts w:ascii="Times New Roman" w:hAnsi="Times New Roman" w:cs="Times New Roman"/>
                <w:sz w:val="16"/>
                <w:szCs w:val="16"/>
              </w:rPr>
            </w:pPr>
            <w:r>
              <w:rPr>
                <w:rFonts w:ascii="Times New Roman" w:hAnsi="Times New Roman"/>
                <w:sz w:val="16"/>
              </w:rPr>
              <w:t>75</w:t>
            </w:r>
          </w:p>
        </w:tc>
        <w:tc>
          <w:tcPr>
            <w:tcW w:w="678" w:type="pct"/>
            <w:shd w:val="clear" w:color="auto" w:fill="D9D9D9" w:themeFill="background1" w:themeFillShade="D9"/>
            <w:vAlign w:val="bottom"/>
          </w:tcPr>
          <w:p w14:paraId="7DFAA307" w14:textId="77777777" w:rsidR="008A656B" w:rsidRPr="001D2342" w:rsidRDefault="008A656B" w:rsidP="00801323">
            <w:pPr>
              <w:keepNext/>
              <w:rPr>
                <w:rFonts w:ascii="Times New Roman" w:hAnsi="Times New Roman" w:cs="Times New Roman"/>
                <w:sz w:val="16"/>
                <w:szCs w:val="16"/>
              </w:rPr>
            </w:pPr>
            <w:r>
              <w:rPr>
                <w:rFonts w:ascii="Times New Roman" w:hAnsi="Times New Roman"/>
                <w:sz w:val="16"/>
              </w:rPr>
              <w:t>Uztura bagātinātāju lietotāji</w:t>
            </w:r>
          </w:p>
        </w:tc>
        <w:tc>
          <w:tcPr>
            <w:tcW w:w="242" w:type="pct"/>
            <w:shd w:val="clear" w:color="auto" w:fill="D9D9D9" w:themeFill="background1" w:themeFillShade="D9"/>
            <w:vAlign w:val="bottom"/>
          </w:tcPr>
          <w:p w14:paraId="134D2FAB" w14:textId="77777777" w:rsidR="008A656B" w:rsidRPr="001D2342" w:rsidRDefault="008A656B" w:rsidP="00801323">
            <w:pPr>
              <w:keepNext/>
              <w:rPr>
                <w:rFonts w:ascii="Times New Roman" w:hAnsi="Times New Roman" w:cs="Times New Roman"/>
                <w:sz w:val="16"/>
                <w:szCs w:val="16"/>
              </w:rPr>
            </w:pPr>
            <w:r>
              <w:rPr>
                <w:rFonts w:ascii="Times New Roman" w:hAnsi="Times New Roman"/>
                <w:sz w:val="16"/>
              </w:rPr>
              <w:t>1 018,0</w:t>
            </w:r>
          </w:p>
        </w:tc>
        <w:tc>
          <w:tcPr>
            <w:tcW w:w="259" w:type="pct"/>
            <w:shd w:val="clear" w:color="auto" w:fill="D9D9D9" w:themeFill="background1" w:themeFillShade="D9"/>
            <w:vAlign w:val="bottom"/>
          </w:tcPr>
          <w:p w14:paraId="132A6ACC" w14:textId="77777777" w:rsidR="008A656B" w:rsidRPr="001D2342" w:rsidRDefault="008A656B" w:rsidP="00801323">
            <w:pPr>
              <w:keepNext/>
              <w:rPr>
                <w:rFonts w:ascii="Times New Roman" w:hAnsi="Times New Roman" w:cs="Times New Roman"/>
                <w:sz w:val="16"/>
                <w:szCs w:val="16"/>
              </w:rPr>
            </w:pPr>
          </w:p>
        </w:tc>
        <w:tc>
          <w:tcPr>
            <w:tcW w:w="199" w:type="pct"/>
            <w:shd w:val="clear" w:color="auto" w:fill="D9D9D9" w:themeFill="background1" w:themeFillShade="D9"/>
            <w:vAlign w:val="bottom"/>
          </w:tcPr>
          <w:p w14:paraId="5D4FC603" w14:textId="77777777" w:rsidR="008A656B" w:rsidRPr="001D2342" w:rsidRDefault="008A656B" w:rsidP="00801323">
            <w:pPr>
              <w:keepNext/>
              <w:rPr>
                <w:rFonts w:ascii="Times New Roman" w:hAnsi="Times New Roman" w:cs="Times New Roman"/>
                <w:sz w:val="16"/>
                <w:szCs w:val="16"/>
              </w:rPr>
            </w:pPr>
          </w:p>
        </w:tc>
        <w:tc>
          <w:tcPr>
            <w:tcW w:w="242" w:type="pct"/>
            <w:shd w:val="clear" w:color="auto" w:fill="D9D9D9" w:themeFill="background1" w:themeFillShade="D9"/>
            <w:vAlign w:val="bottom"/>
          </w:tcPr>
          <w:p w14:paraId="586C39E1" w14:textId="77777777" w:rsidR="008A656B" w:rsidRPr="001D2342" w:rsidRDefault="008A656B" w:rsidP="00801323">
            <w:pPr>
              <w:keepNext/>
              <w:rPr>
                <w:rFonts w:ascii="Times New Roman" w:hAnsi="Times New Roman" w:cs="Times New Roman"/>
                <w:sz w:val="16"/>
                <w:szCs w:val="16"/>
              </w:rPr>
            </w:pPr>
            <w:r>
              <w:rPr>
                <w:rFonts w:ascii="Times New Roman" w:hAnsi="Times New Roman"/>
                <w:sz w:val="16"/>
              </w:rPr>
              <w:t>1 889,0</w:t>
            </w:r>
          </w:p>
        </w:tc>
        <w:tc>
          <w:tcPr>
            <w:tcW w:w="243" w:type="pct"/>
            <w:shd w:val="clear" w:color="auto" w:fill="D9D9D9" w:themeFill="background1" w:themeFillShade="D9"/>
            <w:vAlign w:val="bottom"/>
          </w:tcPr>
          <w:p w14:paraId="4AF54FF1" w14:textId="77777777" w:rsidR="008A656B" w:rsidRPr="001D2342" w:rsidRDefault="008A656B" w:rsidP="00801323">
            <w:pPr>
              <w:keepNext/>
              <w:rPr>
                <w:rFonts w:ascii="Times New Roman" w:hAnsi="Times New Roman" w:cs="Times New Roman"/>
                <w:sz w:val="16"/>
                <w:szCs w:val="16"/>
              </w:rPr>
            </w:pPr>
          </w:p>
        </w:tc>
      </w:tr>
      <w:tr w:rsidR="008A656B" w:rsidRPr="001D2342" w14:paraId="7A025327" w14:textId="77777777" w:rsidTr="00851097">
        <w:trPr>
          <w:trHeight w:val="260"/>
        </w:trPr>
        <w:tc>
          <w:tcPr>
            <w:tcW w:w="379" w:type="pct"/>
            <w:vAlign w:val="bottom"/>
          </w:tcPr>
          <w:p w14:paraId="2A51EF69" w14:textId="77777777" w:rsidR="008A656B" w:rsidRPr="001D2342" w:rsidRDefault="008A656B" w:rsidP="00851097">
            <w:pPr>
              <w:rPr>
                <w:rFonts w:ascii="Times New Roman" w:hAnsi="Times New Roman" w:cs="Times New Roman"/>
                <w:b/>
                <w:bCs/>
                <w:sz w:val="16"/>
                <w:szCs w:val="16"/>
              </w:rPr>
            </w:pPr>
          </w:p>
        </w:tc>
        <w:tc>
          <w:tcPr>
            <w:tcW w:w="261" w:type="pct"/>
            <w:vAlign w:val="bottom"/>
          </w:tcPr>
          <w:p w14:paraId="245A65D7" w14:textId="77777777" w:rsidR="008A656B" w:rsidRPr="001D2342" w:rsidRDefault="008A656B" w:rsidP="00851097">
            <w:pPr>
              <w:rPr>
                <w:rFonts w:ascii="Times New Roman" w:hAnsi="Times New Roman" w:cs="Times New Roman"/>
                <w:b/>
                <w:bCs/>
                <w:sz w:val="16"/>
                <w:szCs w:val="16"/>
              </w:rPr>
            </w:pPr>
          </w:p>
        </w:tc>
        <w:tc>
          <w:tcPr>
            <w:tcW w:w="364" w:type="pct"/>
            <w:vAlign w:val="bottom"/>
          </w:tcPr>
          <w:p w14:paraId="3B01A2A7"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Somija</w:t>
            </w:r>
          </w:p>
        </w:tc>
        <w:tc>
          <w:tcPr>
            <w:tcW w:w="373" w:type="pct"/>
            <w:vAlign w:val="bottom"/>
          </w:tcPr>
          <w:p w14:paraId="48C9A75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(Paturi et al., 2008)</w:t>
            </w:r>
          </w:p>
        </w:tc>
        <w:tc>
          <w:tcPr>
            <w:tcW w:w="940" w:type="pct"/>
            <w:vAlign w:val="bottom"/>
          </w:tcPr>
          <w:p w14:paraId="7B250001" w14:textId="77777777" w:rsidR="008A656B" w:rsidRPr="001D2342" w:rsidRDefault="008A656B" w:rsidP="00851097">
            <w:pPr>
              <w:pStyle w:val="Default"/>
              <w:rPr>
                <w:sz w:val="16"/>
                <w:szCs w:val="16"/>
              </w:rPr>
            </w:pPr>
            <w:r>
              <w:rPr>
                <w:sz w:val="16"/>
              </w:rPr>
              <w:t>48 stundu atcerēšanās anketa un divi 3 dienu uztura pieraksti par parastajām devām pēdējā gada laikā (novērtējums par tiem, kas sniedz nepilnīgu informāciju)</w:t>
            </w:r>
          </w:p>
        </w:tc>
        <w:tc>
          <w:tcPr>
            <w:tcW w:w="201" w:type="pct"/>
            <w:vAlign w:val="bottom"/>
          </w:tcPr>
          <w:p w14:paraId="557E12EF"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641</w:t>
            </w:r>
          </w:p>
        </w:tc>
        <w:tc>
          <w:tcPr>
            <w:tcW w:w="129" w:type="pct"/>
            <w:vAlign w:val="bottom"/>
          </w:tcPr>
          <w:p w14:paraId="60A93C4E" w14:textId="77777777" w:rsidR="008A656B" w:rsidRPr="001D2342" w:rsidRDefault="008A656B" w:rsidP="00851097">
            <w:pPr>
              <w:rPr>
                <w:rFonts w:ascii="Times New Roman" w:hAnsi="Times New Roman" w:cs="Times New Roman"/>
                <w:sz w:val="16"/>
                <w:szCs w:val="16"/>
              </w:rPr>
            </w:pPr>
          </w:p>
        </w:tc>
        <w:tc>
          <w:tcPr>
            <w:tcW w:w="189" w:type="pct"/>
            <w:vAlign w:val="bottom"/>
          </w:tcPr>
          <w:p w14:paraId="577B623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25</w:t>
            </w:r>
          </w:p>
        </w:tc>
        <w:tc>
          <w:tcPr>
            <w:tcW w:w="110" w:type="pct"/>
            <w:vAlign w:val="bottom"/>
          </w:tcPr>
          <w:p w14:paraId="33749933" w14:textId="77777777" w:rsidR="008A656B" w:rsidRPr="001D2342" w:rsidRDefault="008A656B" w:rsidP="00851097">
            <w:pPr>
              <w:rPr>
                <w:rFonts w:ascii="Times New Roman" w:hAnsi="Times New Roman" w:cs="Times New Roman"/>
                <w:sz w:val="16"/>
                <w:szCs w:val="16"/>
              </w:rPr>
            </w:pPr>
          </w:p>
        </w:tc>
        <w:tc>
          <w:tcPr>
            <w:tcW w:w="192" w:type="pct"/>
            <w:vAlign w:val="bottom"/>
          </w:tcPr>
          <w:p w14:paraId="1B26079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74</w:t>
            </w:r>
          </w:p>
        </w:tc>
        <w:tc>
          <w:tcPr>
            <w:tcW w:w="678" w:type="pct"/>
            <w:vAlign w:val="bottom"/>
          </w:tcPr>
          <w:p w14:paraId="1CFE8320"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Parastās devas. Izņemot tos, kuri nav snieguši datus pilnā apjomā</w:t>
            </w:r>
          </w:p>
        </w:tc>
        <w:tc>
          <w:tcPr>
            <w:tcW w:w="242" w:type="pct"/>
            <w:vAlign w:val="bottom"/>
          </w:tcPr>
          <w:p w14:paraId="6AF936D8"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1 190,0</w:t>
            </w:r>
          </w:p>
        </w:tc>
        <w:tc>
          <w:tcPr>
            <w:tcW w:w="259" w:type="pct"/>
            <w:vAlign w:val="bottom"/>
          </w:tcPr>
          <w:p w14:paraId="75B9DC99" w14:textId="77777777" w:rsidR="008A656B" w:rsidRPr="001D2342" w:rsidRDefault="008A656B" w:rsidP="00851097">
            <w:pPr>
              <w:rPr>
                <w:rFonts w:ascii="Times New Roman" w:hAnsi="Times New Roman" w:cs="Times New Roman"/>
                <w:sz w:val="16"/>
                <w:szCs w:val="16"/>
              </w:rPr>
            </w:pPr>
          </w:p>
        </w:tc>
        <w:tc>
          <w:tcPr>
            <w:tcW w:w="199" w:type="pct"/>
            <w:vAlign w:val="bottom"/>
          </w:tcPr>
          <w:p w14:paraId="7650DB94" w14:textId="77777777" w:rsidR="008A656B" w:rsidRPr="001D2342" w:rsidRDefault="008A656B" w:rsidP="00851097">
            <w:pPr>
              <w:rPr>
                <w:rFonts w:ascii="Times New Roman" w:hAnsi="Times New Roman" w:cs="Times New Roman"/>
                <w:sz w:val="16"/>
                <w:szCs w:val="16"/>
              </w:rPr>
            </w:pPr>
          </w:p>
        </w:tc>
        <w:tc>
          <w:tcPr>
            <w:tcW w:w="242" w:type="pct"/>
            <w:vAlign w:val="bottom"/>
          </w:tcPr>
          <w:p w14:paraId="1704C2AA"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1 830,0</w:t>
            </w:r>
          </w:p>
        </w:tc>
        <w:tc>
          <w:tcPr>
            <w:tcW w:w="243" w:type="pct"/>
            <w:vAlign w:val="bottom"/>
          </w:tcPr>
          <w:p w14:paraId="2CACBE03" w14:textId="77777777" w:rsidR="008A656B" w:rsidRPr="001D2342" w:rsidRDefault="008A656B" w:rsidP="00851097">
            <w:pPr>
              <w:rPr>
                <w:rFonts w:ascii="Times New Roman" w:hAnsi="Times New Roman" w:cs="Times New Roman"/>
                <w:sz w:val="16"/>
                <w:szCs w:val="16"/>
              </w:rPr>
            </w:pPr>
          </w:p>
        </w:tc>
      </w:tr>
      <w:tr w:rsidR="008A656B" w:rsidRPr="001D2342" w14:paraId="08741235" w14:textId="77777777" w:rsidTr="00851097">
        <w:trPr>
          <w:trHeight w:val="260"/>
        </w:trPr>
        <w:tc>
          <w:tcPr>
            <w:tcW w:w="379" w:type="pct"/>
            <w:vAlign w:val="bottom"/>
          </w:tcPr>
          <w:p w14:paraId="463CE5BF" w14:textId="77777777" w:rsidR="008A656B" w:rsidRPr="001D2342" w:rsidRDefault="008A656B" w:rsidP="00851097">
            <w:pPr>
              <w:rPr>
                <w:rFonts w:ascii="Times New Roman" w:hAnsi="Times New Roman" w:cs="Times New Roman"/>
                <w:b/>
                <w:bCs/>
                <w:sz w:val="16"/>
                <w:szCs w:val="16"/>
              </w:rPr>
            </w:pPr>
          </w:p>
        </w:tc>
        <w:tc>
          <w:tcPr>
            <w:tcW w:w="261" w:type="pct"/>
            <w:vAlign w:val="bottom"/>
          </w:tcPr>
          <w:p w14:paraId="29469D7D" w14:textId="77777777" w:rsidR="008A656B" w:rsidRPr="001D2342" w:rsidRDefault="008A656B" w:rsidP="00851097">
            <w:pPr>
              <w:rPr>
                <w:rFonts w:ascii="Times New Roman" w:hAnsi="Times New Roman" w:cs="Times New Roman"/>
                <w:b/>
                <w:bCs/>
                <w:sz w:val="16"/>
                <w:szCs w:val="16"/>
              </w:rPr>
            </w:pPr>
          </w:p>
        </w:tc>
        <w:tc>
          <w:tcPr>
            <w:tcW w:w="364" w:type="pct"/>
            <w:vAlign w:val="bottom"/>
          </w:tcPr>
          <w:p w14:paraId="15149ABB"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Īrija</w:t>
            </w:r>
          </w:p>
        </w:tc>
        <w:tc>
          <w:tcPr>
            <w:tcW w:w="373" w:type="pct"/>
            <w:vAlign w:val="bottom"/>
          </w:tcPr>
          <w:p w14:paraId="5280B500" w14:textId="77777777" w:rsidR="008A656B" w:rsidRPr="001D2342" w:rsidRDefault="008A656B" w:rsidP="00851097">
            <w:pPr>
              <w:pStyle w:val="Default"/>
              <w:rPr>
                <w:sz w:val="16"/>
                <w:szCs w:val="16"/>
              </w:rPr>
            </w:pPr>
            <w:r>
              <w:rPr>
                <w:sz w:val="16"/>
              </w:rPr>
              <w:t>(IUNA (Irish Universities Nutrition Alliance), 2011)</w:t>
            </w:r>
          </w:p>
        </w:tc>
        <w:tc>
          <w:tcPr>
            <w:tcW w:w="940" w:type="pct"/>
            <w:vAlign w:val="bottom"/>
          </w:tcPr>
          <w:p w14:paraId="2EAC9C44" w14:textId="77777777" w:rsidR="008A656B" w:rsidRPr="001D2342" w:rsidRDefault="008A656B" w:rsidP="00851097">
            <w:pPr>
              <w:pStyle w:val="Default"/>
              <w:rPr>
                <w:sz w:val="16"/>
                <w:szCs w:val="16"/>
              </w:rPr>
            </w:pPr>
            <w:r>
              <w:rPr>
                <w:sz w:val="16"/>
              </w:rPr>
              <w:t>4 dienu uztura pieraksts</w:t>
            </w:r>
          </w:p>
          <w:p w14:paraId="2EF39952" w14:textId="77777777" w:rsidR="008A656B" w:rsidRPr="001D2342" w:rsidRDefault="008A656B" w:rsidP="00851097">
            <w:pPr>
              <w:rPr>
                <w:rFonts w:ascii="Times New Roman" w:hAnsi="Times New Roman" w:cs="Times New Roman"/>
                <w:sz w:val="16"/>
                <w:szCs w:val="16"/>
              </w:rPr>
            </w:pPr>
          </w:p>
        </w:tc>
        <w:tc>
          <w:tcPr>
            <w:tcW w:w="201" w:type="pct"/>
            <w:vAlign w:val="bottom"/>
          </w:tcPr>
          <w:p w14:paraId="524DB69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255</w:t>
            </w:r>
          </w:p>
        </w:tc>
        <w:tc>
          <w:tcPr>
            <w:tcW w:w="129" w:type="pct"/>
            <w:vAlign w:val="bottom"/>
          </w:tcPr>
          <w:p w14:paraId="0A632DA8" w14:textId="77777777" w:rsidR="008A656B" w:rsidRPr="001D2342" w:rsidRDefault="008A656B" w:rsidP="00851097">
            <w:pPr>
              <w:rPr>
                <w:rFonts w:ascii="Times New Roman" w:hAnsi="Times New Roman" w:cs="Times New Roman"/>
                <w:sz w:val="16"/>
                <w:szCs w:val="16"/>
              </w:rPr>
            </w:pPr>
          </w:p>
        </w:tc>
        <w:tc>
          <w:tcPr>
            <w:tcW w:w="189" w:type="pct"/>
            <w:vAlign w:val="bottom"/>
          </w:tcPr>
          <w:p w14:paraId="19DB353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18</w:t>
            </w:r>
          </w:p>
        </w:tc>
        <w:tc>
          <w:tcPr>
            <w:tcW w:w="110" w:type="pct"/>
            <w:vAlign w:val="bottom"/>
          </w:tcPr>
          <w:p w14:paraId="09962946" w14:textId="77777777" w:rsidR="008A656B" w:rsidRPr="001D2342" w:rsidRDefault="008A656B" w:rsidP="00851097">
            <w:pPr>
              <w:rPr>
                <w:rFonts w:ascii="Times New Roman" w:hAnsi="Times New Roman" w:cs="Times New Roman"/>
                <w:sz w:val="16"/>
                <w:szCs w:val="16"/>
              </w:rPr>
            </w:pPr>
          </w:p>
        </w:tc>
        <w:tc>
          <w:tcPr>
            <w:tcW w:w="192" w:type="pct"/>
            <w:vAlign w:val="bottom"/>
          </w:tcPr>
          <w:p w14:paraId="60BA1A2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35</w:t>
            </w:r>
          </w:p>
        </w:tc>
        <w:tc>
          <w:tcPr>
            <w:tcW w:w="678" w:type="pct"/>
            <w:vAlign w:val="bottom"/>
          </w:tcPr>
          <w:p w14:paraId="5E8B0F94" w14:textId="77777777" w:rsidR="008A656B" w:rsidRPr="001D2342" w:rsidRDefault="008A656B" w:rsidP="00851097">
            <w:pPr>
              <w:rPr>
                <w:rFonts w:ascii="Times New Roman" w:hAnsi="Times New Roman" w:cs="Times New Roman"/>
                <w:sz w:val="16"/>
                <w:szCs w:val="16"/>
              </w:rPr>
            </w:pPr>
          </w:p>
        </w:tc>
        <w:tc>
          <w:tcPr>
            <w:tcW w:w="242" w:type="pct"/>
            <w:vAlign w:val="bottom"/>
          </w:tcPr>
          <w:p w14:paraId="17E19BC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794,0</w:t>
            </w:r>
          </w:p>
        </w:tc>
        <w:tc>
          <w:tcPr>
            <w:tcW w:w="259" w:type="pct"/>
            <w:vAlign w:val="bottom"/>
          </w:tcPr>
          <w:p w14:paraId="4522C4B0" w14:textId="77777777" w:rsidR="008A656B" w:rsidRPr="001D2342" w:rsidRDefault="008A656B" w:rsidP="00851097">
            <w:pPr>
              <w:rPr>
                <w:rFonts w:ascii="Times New Roman" w:hAnsi="Times New Roman" w:cs="Times New Roman"/>
                <w:sz w:val="16"/>
                <w:szCs w:val="16"/>
              </w:rPr>
            </w:pPr>
          </w:p>
        </w:tc>
        <w:tc>
          <w:tcPr>
            <w:tcW w:w="199" w:type="pct"/>
            <w:vAlign w:val="bottom"/>
          </w:tcPr>
          <w:p w14:paraId="61E07D23" w14:textId="77777777" w:rsidR="008A656B" w:rsidRPr="001D2342" w:rsidRDefault="008A656B" w:rsidP="00851097">
            <w:pPr>
              <w:rPr>
                <w:rFonts w:ascii="Times New Roman" w:hAnsi="Times New Roman" w:cs="Times New Roman"/>
                <w:sz w:val="16"/>
                <w:szCs w:val="16"/>
              </w:rPr>
            </w:pPr>
          </w:p>
        </w:tc>
        <w:tc>
          <w:tcPr>
            <w:tcW w:w="242" w:type="pct"/>
            <w:vAlign w:val="bottom"/>
          </w:tcPr>
          <w:p w14:paraId="7C2D827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1 394,0</w:t>
            </w:r>
          </w:p>
        </w:tc>
        <w:tc>
          <w:tcPr>
            <w:tcW w:w="243" w:type="pct"/>
            <w:vAlign w:val="bottom"/>
          </w:tcPr>
          <w:p w14:paraId="78F274B4"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1 655,0</w:t>
            </w:r>
          </w:p>
        </w:tc>
      </w:tr>
      <w:tr w:rsidR="008A656B" w:rsidRPr="001D2342" w14:paraId="02CA572C" w14:textId="77777777" w:rsidTr="00851097">
        <w:trPr>
          <w:trHeight w:val="260"/>
        </w:trPr>
        <w:tc>
          <w:tcPr>
            <w:tcW w:w="379" w:type="pct"/>
            <w:vAlign w:val="bottom"/>
          </w:tcPr>
          <w:p w14:paraId="67EB359F" w14:textId="77777777" w:rsidR="008A656B" w:rsidRPr="001D2342" w:rsidRDefault="008A656B" w:rsidP="00851097">
            <w:pPr>
              <w:rPr>
                <w:rFonts w:ascii="Times New Roman" w:hAnsi="Times New Roman" w:cs="Times New Roman"/>
                <w:b/>
                <w:bCs/>
                <w:sz w:val="16"/>
                <w:szCs w:val="16"/>
              </w:rPr>
            </w:pPr>
          </w:p>
        </w:tc>
        <w:tc>
          <w:tcPr>
            <w:tcW w:w="261" w:type="pct"/>
            <w:vAlign w:val="bottom"/>
          </w:tcPr>
          <w:p w14:paraId="457501B5" w14:textId="77777777" w:rsidR="008A656B" w:rsidRPr="001D2342" w:rsidRDefault="008A656B" w:rsidP="00851097">
            <w:pPr>
              <w:rPr>
                <w:rFonts w:ascii="Times New Roman" w:hAnsi="Times New Roman" w:cs="Times New Roman"/>
                <w:b/>
                <w:bCs/>
                <w:sz w:val="16"/>
                <w:szCs w:val="16"/>
              </w:rPr>
            </w:pPr>
          </w:p>
        </w:tc>
        <w:tc>
          <w:tcPr>
            <w:tcW w:w="364" w:type="pct"/>
            <w:vAlign w:val="bottom"/>
          </w:tcPr>
          <w:p w14:paraId="34CF5AA4" w14:textId="77777777" w:rsidR="008A656B" w:rsidRPr="001D2342" w:rsidRDefault="008A656B" w:rsidP="00851097">
            <w:pPr>
              <w:rPr>
                <w:rFonts w:ascii="Times New Roman" w:hAnsi="Times New Roman" w:cs="Times New Roman"/>
                <w:b/>
                <w:bCs/>
                <w:sz w:val="16"/>
                <w:szCs w:val="16"/>
              </w:rPr>
            </w:pPr>
          </w:p>
        </w:tc>
        <w:tc>
          <w:tcPr>
            <w:tcW w:w="373" w:type="pct"/>
            <w:vAlign w:val="bottom"/>
          </w:tcPr>
          <w:p w14:paraId="11D50FE9" w14:textId="77777777" w:rsidR="008A656B" w:rsidRPr="001D2342" w:rsidRDefault="008A656B" w:rsidP="00851097">
            <w:pPr>
              <w:rPr>
                <w:rFonts w:ascii="Times New Roman" w:hAnsi="Times New Roman" w:cs="Times New Roman"/>
                <w:sz w:val="16"/>
                <w:szCs w:val="16"/>
              </w:rPr>
            </w:pPr>
          </w:p>
        </w:tc>
        <w:tc>
          <w:tcPr>
            <w:tcW w:w="940" w:type="pct"/>
            <w:vAlign w:val="bottom"/>
          </w:tcPr>
          <w:p w14:paraId="35D01850" w14:textId="77777777" w:rsidR="008A656B" w:rsidRPr="001D2342" w:rsidRDefault="008A656B" w:rsidP="00851097">
            <w:pPr>
              <w:rPr>
                <w:rFonts w:ascii="Times New Roman" w:hAnsi="Times New Roman" w:cs="Times New Roman"/>
                <w:sz w:val="16"/>
                <w:szCs w:val="16"/>
              </w:rPr>
            </w:pPr>
          </w:p>
        </w:tc>
        <w:tc>
          <w:tcPr>
            <w:tcW w:w="201" w:type="pct"/>
            <w:vAlign w:val="bottom"/>
          </w:tcPr>
          <w:p w14:paraId="0B419786"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232</w:t>
            </w:r>
          </w:p>
        </w:tc>
        <w:tc>
          <w:tcPr>
            <w:tcW w:w="129" w:type="pct"/>
            <w:vAlign w:val="bottom"/>
          </w:tcPr>
          <w:p w14:paraId="6E5E96B7" w14:textId="77777777" w:rsidR="008A656B" w:rsidRPr="001D2342" w:rsidRDefault="008A656B" w:rsidP="00851097">
            <w:pPr>
              <w:rPr>
                <w:rFonts w:ascii="Times New Roman" w:hAnsi="Times New Roman" w:cs="Times New Roman"/>
                <w:sz w:val="16"/>
                <w:szCs w:val="16"/>
              </w:rPr>
            </w:pPr>
          </w:p>
        </w:tc>
        <w:tc>
          <w:tcPr>
            <w:tcW w:w="189" w:type="pct"/>
            <w:vAlign w:val="bottom"/>
          </w:tcPr>
          <w:p w14:paraId="3DC8DCA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36</w:t>
            </w:r>
          </w:p>
        </w:tc>
        <w:tc>
          <w:tcPr>
            <w:tcW w:w="110" w:type="pct"/>
            <w:vAlign w:val="bottom"/>
          </w:tcPr>
          <w:p w14:paraId="5DC6856E" w14:textId="77777777" w:rsidR="008A656B" w:rsidRPr="001D2342" w:rsidRDefault="008A656B" w:rsidP="00851097">
            <w:pPr>
              <w:rPr>
                <w:rFonts w:ascii="Times New Roman" w:hAnsi="Times New Roman" w:cs="Times New Roman"/>
                <w:sz w:val="16"/>
                <w:szCs w:val="16"/>
              </w:rPr>
            </w:pPr>
          </w:p>
        </w:tc>
        <w:tc>
          <w:tcPr>
            <w:tcW w:w="192" w:type="pct"/>
            <w:vAlign w:val="bottom"/>
          </w:tcPr>
          <w:p w14:paraId="23F9A9B9"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50</w:t>
            </w:r>
          </w:p>
        </w:tc>
        <w:tc>
          <w:tcPr>
            <w:tcW w:w="678" w:type="pct"/>
            <w:vAlign w:val="bottom"/>
          </w:tcPr>
          <w:p w14:paraId="3BF0F31A" w14:textId="77777777" w:rsidR="008A656B" w:rsidRPr="001D2342" w:rsidRDefault="008A656B" w:rsidP="00851097">
            <w:pPr>
              <w:rPr>
                <w:rFonts w:ascii="Times New Roman" w:hAnsi="Times New Roman" w:cs="Times New Roman"/>
                <w:sz w:val="16"/>
                <w:szCs w:val="16"/>
              </w:rPr>
            </w:pPr>
          </w:p>
        </w:tc>
        <w:tc>
          <w:tcPr>
            <w:tcW w:w="242" w:type="pct"/>
            <w:vAlign w:val="bottom"/>
          </w:tcPr>
          <w:p w14:paraId="25AAFE92"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824,0</w:t>
            </w:r>
          </w:p>
        </w:tc>
        <w:tc>
          <w:tcPr>
            <w:tcW w:w="259" w:type="pct"/>
            <w:vAlign w:val="bottom"/>
          </w:tcPr>
          <w:p w14:paraId="2BF4DD83" w14:textId="77777777" w:rsidR="008A656B" w:rsidRPr="001D2342" w:rsidRDefault="008A656B" w:rsidP="00851097">
            <w:pPr>
              <w:rPr>
                <w:rFonts w:ascii="Times New Roman" w:hAnsi="Times New Roman" w:cs="Times New Roman"/>
                <w:sz w:val="16"/>
                <w:szCs w:val="16"/>
              </w:rPr>
            </w:pPr>
          </w:p>
        </w:tc>
        <w:tc>
          <w:tcPr>
            <w:tcW w:w="199" w:type="pct"/>
            <w:vAlign w:val="bottom"/>
          </w:tcPr>
          <w:p w14:paraId="6BE2C673" w14:textId="77777777" w:rsidR="008A656B" w:rsidRPr="001D2342" w:rsidRDefault="008A656B" w:rsidP="00851097">
            <w:pPr>
              <w:rPr>
                <w:rFonts w:ascii="Times New Roman" w:hAnsi="Times New Roman" w:cs="Times New Roman"/>
                <w:sz w:val="16"/>
                <w:szCs w:val="16"/>
              </w:rPr>
            </w:pPr>
          </w:p>
        </w:tc>
        <w:tc>
          <w:tcPr>
            <w:tcW w:w="242" w:type="pct"/>
            <w:vAlign w:val="bottom"/>
          </w:tcPr>
          <w:p w14:paraId="75E41E2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1 394,0</w:t>
            </w:r>
          </w:p>
        </w:tc>
        <w:tc>
          <w:tcPr>
            <w:tcW w:w="243" w:type="pct"/>
            <w:vAlign w:val="bottom"/>
          </w:tcPr>
          <w:p w14:paraId="4B65285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1 702,0</w:t>
            </w:r>
          </w:p>
        </w:tc>
      </w:tr>
      <w:tr w:rsidR="008A656B" w:rsidRPr="001D2342" w14:paraId="564CC313" w14:textId="77777777" w:rsidTr="00851097">
        <w:trPr>
          <w:trHeight w:val="260"/>
        </w:trPr>
        <w:tc>
          <w:tcPr>
            <w:tcW w:w="379" w:type="pct"/>
            <w:vAlign w:val="bottom"/>
          </w:tcPr>
          <w:p w14:paraId="277EEF3B" w14:textId="77777777" w:rsidR="008A656B" w:rsidRPr="001D2342" w:rsidRDefault="008A656B" w:rsidP="00851097">
            <w:pPr>
              <w:rPr>
                <w:rFonts w:ascii="Times New Roman" w:hAnsi="Times New Roman" w:cs="Times New Roman"/>
                <w:b/>
                <w:bCs/>
                <w:sz w:val="16"/>
                <w:szCs w:val="16"/>
              </w:rPr>
            </w:pPr>
          </w:p>
        </w:tc>
        <w:tc>
          <w:tcPr>
            <w:tcW w:w="261" w:type="pct"/>
            <w:vAlign w:val="bottom"/>
          </w:tcPr>
          <w:p w14:paraId="4BAC5F69" w14:textId="77777777" w:rsidR="008A656B" w:rsidRPr="001D2342" w:rsidRDefault="008A656B" w:rsidP="00851097">
            <w:pPr>
              <w:rPr>
                <w:rFonts w:ascii="Times New Roman" w:hAnsi="Times New Roman" w:cs="Times New Roman"/>
                <w:b/>
                <w:bCs/>
                <w:sz w:val="16"/>
                <w:szCs w:val="16"/>
              </w:rPr>
            </w:pPr>
          </w:p>
        </w:tc>
        <w:tc>
          <w:tcPr>
            <w:tcW w:w="364" w:type="pct"/>
            <w:vAlign w:val="bottom"/>
          </w:tcPr>
          <w:p w14:paraId="2ED519BC" w14:textId="77777777" w:rsidR="008A656B" w:rsidRPr="001D2342" w:rsidRDefault="008A656B" w:rsidP="00851097">
            <w:pPr>
              <w:rPr>
                <w:rFonts w:ascii="Times New Roman" w:hAnsi="Times New Roman" w:cs="Times New Roman"/>
                <w:b/>
                <w:bCs/>
                <w:sz w:val="16"/>
                <w:szCs w:val="16"/>
              </w:rPr>
            </w:pPr>
          </w:p>
        </w:tc>
        <w:tc>
          <w:tcPr>
            <w:tcW w:w="373" w:type="pct"/>
            <w:vAlign w:val="bottom"/>
          </w:tcPr>
          <w:p w14:paraId="40490BED" w14:textId="77777777" w:rsidR="008A656B" w:rsidRPr="001D2342" w:rsidRDefault="008A656B" w:rsidP="00851097">
            <w:pPr>
              <w:rPr>
                <w:rFonts w:ascii="Times New Roman" w:hAnsi="Times New Roman" w:cs="Times New Roman"/>
                <w:sz w:val="16"/>
                <w:szCs w:val="16"/>
              </w:rPr>
            </w:pPr>
          </w:p>
        </w:tc>
        <w:tc>
          <w:tcPr>
            <w:tcW w:w="940" w:type="pct"/>
            <w:vAlign w:val="bottom"/>
          </w:tcPr>
          <w:p w14:paraId="4D5B59A4" w14:textId="77777777" w:rsidR="008A656B" w:rsidRPr="001D2342" w:rsidRDefault="008A656B" w:rsidP="00851097">
            <w:pPr>
              <w:rPr>
                <w:rFonts w:ascii="Times New Roman" w:hAnsi="Times New Roman" w:cs="Times New Roman"/>
                <w:sz w:val="16"/>
                <w:szCs w:val="16"/>
              </w:rPr>
            </w:pPr>
          </w:p>
        </w:tc>
        <w:tc>
          <w:tcPr>
            <w:tcW w:w="201" w:type="pct"/>
            <w:shd w:val="clear" w:color="auto" w:fill="D9D9D9" w:themeFill="background1" w:themeFillShade="D9"/>
            <w:vAlign w:val="bottom"/>
          </w:tcPr>
          <w:p w14:paraId="448ABA8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153</w:t>
            </w:r>
          </w:p>
        </w:tc>
        <w:tc>
          <w:tcPr>
            <w:tcW w:w="129" w:type="pct"/>
            <w:shd w:val="clear" w:color="auto" w:fill="D9D9D9" w:themeFill="background1" w:themeFillShade="D9"/>
            <w:vAlign w:val="bottom"/>
          </w:tcPr>
          <w:p w14:paraId="19238220" w14:textId="77777777" w:rsidR="008A656B" w:rsidRPr="001D2342" w:rsidRDefault="008A656B" w:rsidP="00851097">
            <w:pPr>
              <w:rPr>
                <w:rFonts w:ascii="Times New Roman" w:hAnsi="Times New Roman" w:cs="Times New Roman"/>
                <w:sz w:val="16"/>
                <w:szCs w:val="16"/>
              </w:rPr>
            </w:pPr>
          </w:p>
        </w:tc>
        <w:tc>
          <w:tcPr>
            <w:tcW w:w="189" w:type="pct"/>
            <w:shd w:val="clear" w:color="auto" w:fill="D9D9D9" w:themeFill="background1" w:themeFillShade="D9"/>
            <w:vAlign w:val="bottom"/>
          </w:tcPr>
          <w:p w14:paraId="0243C35F"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51</w:t>
            </w:r>
          </w:p>
        </w:tc>
        <w:tc>
          <w:tcPr>
            <w:tcW w:w="110" w:type="pct"/>
            <w:shd w:val="clear" w:color="auto" w:fill="D9D9D9" w:themeFill="background1" w:themeFillShade="D9"/>
            <w:vAlign w:val="bottom"/>
          </w:tcPr>
          <w:p w14:paraId="7CAABA65" w14:textId="77777777" w:rsidR="008A656B" w:rsidRPr="001D2342" w:rsidRDefault="008A656B" w:rsidP="00851097">
            <w:pPr>
              <w:rPr>
                <w:rFonts w:ascii="Times New Roman" w:hAnsi="Times New Roman" w:cs="Times New Roman"/>
                <w:sz w:val="16"/>
                <w:szCs w:val="16"/>
              </w:rPr>
            </w:pPr>
          </w:p>
        </w:tc>
        <w:tc>
          <w:tcPr>
            <w:tcW w:w="192" w:type="pct"/>
            <w:shd w:val="clear" w:color="auto" w:fill="D9D9D9" w:themeFill="background1" w:themeFillShade="D9"/>
            <w:vAlign w:val="bottom"/>
          </w:tcPr>
          <w:p w14:paraId="3CBDBF50"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64</w:t>
            </w:r>
          </w:p>
        </w:tc>
        <w:tc>
          <w:tcPr>
            <w:tcW w:w="678" w:type="pct"/>
            <w:shd w:val="clear" w:color="auto" w:fill="D9D9D9" w:themeFill="background1" w:themeFillShade="D9"/>
            <w:vAlign w:val="bottom"/>
          </w:tcPr>
          <w:p w14:paraId="56612BF7"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68E07CA4"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874,0</w:t>
            </w:r>
          </w:p>
        </w:tc>
        <w:tc>
          <w:tcPr>
            <w:tcW w:w="259" w:type="pct"/>
            <w:shd w:val="clear" w:color="auto" w:fill="D9D9D9" w:themeFill="background1" w:themeFillShade="D9"/>
            <w:vAlign w:val="bottom"/>
          </w:tcPr>
          <w:p w14:paraId="071A9E96" w14:textId="77777777" w:rsidR="008A656B" w:rsidRPr="001D2342" w:rsidRDefault="008A656B" w:rsidP="00851097">
            <w:pPr>
              <w:rPr>
                <w:rFonts w:ascii="Times New Roman" w:hAnsi="Times New Roman" w:cs="Times New Roman"/>
                <w:sz w:val="16"/>
                <w:szCs w:val="16"/>
              </w:rPr>
            </w:pPr>
          </w:p>
        </w:tc>
        <w:tc>
          <w:tcPr>
            <w:tcW w:w="199" w:type="pct"/>
            <w:shd w:val="clear" w:color="auto" w:fill="D9D9D9" w:themeFill="background1" w:themeFillShade="D9"/>
            <w:vAlign w:val="bottom"/>
          </w:tcPr>
          <w:p w14:paraId="23428F66"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4B840AA7"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1 630,0</w:t>
            </w:r>
          </w:p>
        </w:tc>
        <w:tc>
          <w:tcPr>
            <w:tcW w:w="243" w:type="pct"/>
            <w:shd w:val="clear" w:color="auto" w:fill="D9D9D9" w:themeFill="background1" w:themeFillShade="D9"/>
            <w:vAlign w:val="bottom"/>
          </w:tcPr>
          <w:p w14:paraId="23999744"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1 842,0</w:t>
            </w:r>
          </w:p>
        </w:tc>
      </w:tr>
      <w:tr w:rsidR="008A656B" w:rsidRPr="001D2342" w14:paraId="4186E61C" w14:textId="77777777" w:rsidTr="00851097">
        <w:trPr>
          <w:trHeight w:val="260"/>
        </w:trPr>
        <w:tc>
          <w:tcPr>
            <w:tcW w:w="379" w:type="pct"/>
            <w:vAlign w:val="bottom"/>
          </w:tcPr>
          <w:p w14:paraId="59E492A8" w14:textId="77777777" w:rsidR="008A656B" w:rsidRPr="001D2342" w:rsidRDefault="008A656B" w:rsidP="00851097">
            <w:pPr>
              <w:rPr>
                <w:rFonts w:ascii="Times New Roman" w:hAnsi="Times New Roman" w:cs="Times New Roman"/>
                <w:b/>
                <w:bCs/>
                <w:sz w:val="16"/>
                <w:szCs w:val="16"/>
              </w:rPr>
            </w:pPr>
          </w:p>
        </w:tc>
        <w:tc>
          <w:tcPr>
            <w:tcW w:w="261" w:type="pct"/>
            <w:vAlign w:val="bottom"/>
          </w:tcPr>
          <w:p w14:paraId="30DB204F" w14:textId="77777777" w:rsidR="008A656B" w:rsidRPr="001D2342" w:rsidRDefault="008A656B" w:rsidP="00851097">
            <w:pPr>
              <w:rPr>
                <w:rFonts w:ascii="Times New Roman" w:hAnsi="Times New Roman" w:cs="Times New Roman"/>
                <w:b/>
                <w:bCs/>
                <w:sz w:val="16"/>
                <w:szCs w:val="16"/>
              </w:rPr>
            </w:pPr>
          </w:p>
        </w:tc>
        <w:tc>
          <w:tcPr>
            <w:tcW w:w="364" w:type="pct"/>
            <w:vAlign w:val="bottom"/>
          </w:tcPr>
          <w:p w14:paraId="6173320A"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Polija</w:t>
            </w:r>
          </w:p>
        </w:tc>
        <w:tc>
          <w:tcPr>
            <w:tcW w:w="373" w:type="pct"/>
            <w:vAlign w:val="bottom"/>
          </w:tcPr>
          <w:p w14:paraId="1B53A471" w14:textId="77777777" w:rsidR="008A656B" w:rsidRPr="001D2342" w:rsidRDefault="008A656B" w:rsidP="00851097">
            <w:pPr>
              <w:pStyle w:val="Default"/>
              <w:rPr>
                <w:sz w:val="16"/>
                <w:szCs w:val="16"/>
              </w:rPr>
            </w:pPr>
            <w:r>
              <w:rPr>
                <w:sz w:val="16"/>
              </w:rPr>
              <w:t xml:space="preserve">(Flynn et al., </w:t>
            </w:r>
            <w:r>
              <w:rPr>
                <w:sz w:val="16"/>
              </w:rPr>
              <w:lastRenderedPageBreak/>
              <w:t>2009)</w:t>
            </w:r>
          </w:p>
        </w:tc>
        <w:tc>
          <w:tcPr>
            <w:tcW w:w="940" w:type="pct"/>
            <w:vAlign w:val="bottom"/>
          </w:tcPr>
          <w:p w14:paraId="72D851B9"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lastRenderedPageBreak/>
              <w:t>24 stundu atcerēšanās anketa</w:t>
            </w:r>
          </w:p>
        </w:tc>
        <w:tc>
          <w:tcPr>
            <w:tcW w:w="201" w:type="pct"/>
            <w:vAlign w:val="bottom"/>
          </w:tcPr>
          <w:p w14:paraId="6FC41BC4"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1 656</w:t>
            </w:r>
          </w:p>
        </w:tc>
        <w:tc>
          <w:tcPr>
            <w:tcW w:w="129" w:type="pct"/>
            <w:vAlign w:val="bottom"/>
          </w:tcPr>
          <w:p w14:paraId="516A2E41" w14:textId="77777777" w:rsidR="008A656B" w:rsidRPr="001D2342" w:rsidRDefault="008A656B" w:rsidP="00851097">
            <w:pPr>
              <w:rPr>
                <w:rFonts w:ascii="Times New Roman" w:hAnsi="Times New Roman" w:cs="Times New Roman"/>
                <w:sz w:val="16"/>
                <w:szCs w:val="16"/>
              </w:rPr>
            </w:pPr>
          </w:p>
        </w:tc>
        <w:tc>
          <w:tcPr>
            <w:tcW w:w="189" w:type="pct"/>
            <w:vAlign w:val="bottom"/>
          </w:tcPr>
          <w:p w14:paraId="717D5DC9"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18</w:t>
            </w:r>
          </w:p>
        </w:tc>
        <w:tc>
          <w:tcPr>
            <w:tcW w:w="110" w:type="pct"/>
            <w:vAlign w:val="bottom"/>
          </w:tcPr>
          <w:p w14:paraId="7183D09E" w14:textId="77777777" w:rsidR="008A656B" w:rsidRPr="001D2342" w:rsidRDefault="008A656B" w:rsidP="00851097">
            <w:pPr>
              <w:rPr>
                <w:rFonts w:ascii="Times New Roman" w:hAnsi="Times New Roman" w:cs="Times New Roman"/>
                <w:sz w:val="16"/>
                <w:szCs w:val="16"/>
              </w:rPr>
            </w:pPr>
          </w:p>
        </w:tc>
        <w:tc>
          <w:tcPr>
            <w:tcW w:w="192" w:type="pct"/>
            <w:vAlign w:val="bottom"/>
          </w:tcPr>
          <w:p w14:paraId="68E72D1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96</w:t>
            </w:r>
          </w:p>
        </w:tc>
        <w:tc>
          <w:tcPr>
            <w:tcW w:w="678" w:type="pct"/>
            <w:vAlign w:val="bottom"/>
          </w:tcPr>
          <w:p w14:paraId="07BAAB26" w14:textId="77777777" w:rsidR="008A656B" w:rsidRPr="001D2342" w:rsidRDefault="008A656B" w:rsidP="00851097">
            <w:pPr>
              <w:rPr>
                <w:rFonts w:ascii="Times New Roman" w:hAnsi="Times New Roman" w:cs="Times New Roman"/>
                <w:sz w:val="16"/>
                <w:szCs w:val="16"/>
              </w:rPr>
            </w:pPr>
          </w:p>
        </w:tc>
        <w:tc>
          <w:tcPr>
            <w:tcW w:w="242" w:type="pct"/>
            <w:vAlign w:val="bottom"/>
          </w:tcPr>
          <w:p w14:paraId="1F447CB7"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523,0</w:t>
            </w:r>
          </w:p>
        </w:tc>
        <w:tc>
          <w:tcPr>
            <w:tcW w:w="259" w:type="pct"/>
            <w:vAlign w:val="bottom"/>
          </w:tcPr>
          <w:p w14:paraId="21713CE4" w14:textId="77777777" w:rsidR="008A656B" w:rsidRPr="001D2342" w:rsidRDefault="008A656B" w:rsidP="00851097">
            <w:pPr>
              <w:rPr>
                <w:rFonts w:ascii="Times New Roman" w:hAnsi="Times New Roman" w:cs="Times New Roman"/>
                <w:sz w:val="16"/>
                <w:szCs w:val="16"/>
              </w:rPr>
            </w:pPr>
          </w:p>
        </w:tc>
        <w:tc>
          <w:tcPr>
            <w:tcW w:w="199" w:type="pct"/>
            <w:vAlign w:val="bottom"/>
          </w:tcPr>
          <w:p w14:paraId="1039CA74" w14:textId="77777777" w:rsidR="008A656B" w:rsidRPr="001D2342" w:rsidRDefault="008A656B" w:rsidP="00851097">
            <w:pPr>
              <w:rPr>
                <w:rFonts w:ascii="Times New Roman" w:hAnsi="Times New Roman" w:cs="Times New Roman"/>
                <w:sz w:val="16"/>
                <w:szCs w:val="16"/>
              </w:rPr>
            </w:pPr>
          </w:p>
        </w:tc>
        <w:tc>
          <w:tcPr>
            <w:tcW w:w="242" w:type="pct"/>
            <w:vAlign w:val="bottom"/>
          </w:tcPr>
          <w:p w14:paraId="14186C88"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1 121,0</w:t>
            </w:r>
          </w:p>
        </w:tc>
        <w:tc>
          <w:tcPr>
            <w:tcW w:w="243" w:type="pct"/>
            <w:vAlign w:val="bottom"/>
          </w:tcPr>
          <w:p w14:paraId="08084D37" w14:textId="77777777" w:rsidR="008A656B" w:rsidRPr="001D2342" w:rsidRDefault="008A656B" w:rsidP="00851097">
            <w:pPr>
              <w:rPr>
                <w:rFonts w:ascii="Times New Roman" w:hAnsi="Times New Roman" w:cs="Times New Roman"/>
                <w:sz w:val="16"/>
                <w:szCs w:val="16"/>
              </w:rPr>
            </w:pPr>
          </w:p>
        </w:tc>
      </w:tr>
      <w:tr w:rsidR="008A656B" w:rsidRPr="001D2342" w14:paraId="072172FD" w14:textId="77777777" w:rsidTr="00851097">
        <w:trPr>
          <w:trHeight w:val="260"/>
        </w:trPr>
        <w:tc>
          <w:tcPr>
            <w:tcW w:w="379" w:type="pct"/>
            <w:vAlign w:val="bottom"/>
          </w:tcPr>
          <w:p w14:paraId="6F36A3AD" w14:textId="77777777" w:rsidR="008A656B" w:rsidRPr="001D2342" w:rsidRDefault="008A656B" w:rsidP="00851097">
            <w:pPr>
              <w:rPr>
                <w:rFonts w:ascii="Times New Roman" w:hAnsi="Times New Roman" w:cs="Times New Roman"/>
                <w:b/>
                <w:bCs/>
                <w:sz w:val="16"/>
                <w:szCs w:val="16"/>
              </w:rPr>
            </w:pPr>
          </w:p>
        </w:tc>
        <w:tc>
          <w:tcPr>
            <w:tcW w:w="261" w:type="pct"/>
            <w:vAlign w:val="bottom"/>
          </w:tcPr>
          <w:p w14:paraId="1E320615" w14:textId="77777777" w:rsidR="008A656B" w:rsidRPr="001D2342" w:rsidRDefault="008A656B" w:rsidP="00851097">
            <w:pPr>
              <w:rPr>
                <w:rFonts w:ascii="Times New Roman" w:hAnsi="Times New Roman" w:cs="Times New Roman"/>
                <w:b/>
                <w:bCs/>
                <w:sz w:val="16"/>
                <w:szCs w:val="16"/>
              </w:rPr>
            </w:pPr>
          </w:p>
        </w:tc>
        <w:tc>
          <w:tcPr>
            <w:tcW w:w="364" w:type="pct"/>
            <w:vAlign w:val="bottom"/>
          </w:tcPr>
          <w:p w14:paraId="00200C34"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Spānija</w:t>
            </w:r>
          </w:p>
        </w:tc>
        <w:tc>
          <w:tcPr>
            <w:tcW w:w="373" w:type="pct"/>
            <w:vAlign w:val="bottom"/>
          </w:tcPr>
          <w:p w14:paraId="6880DFAF" w14:textId="77777777" w:rsidR="008A656B" w:rsidRPr="001D2342" w:rsidRDefault="008A656B" w:rsidP="00851097">
            <w:pPr>
              <w:pStyle w:val="Default"/>
              <w:rPr>
                <w:sz w:val="16"/>
                <w:szCs w:val="16"/>
              </w:rPr>
            </w:pPr>
            <w:r>
              <w:rPr>
                <w:sz w:val="16"/>
              </w:rPr>
              <w:t>(Flynn et al., 2009)</w:t>
            </w:r>
          </w:p>
        </w:tc>
        <w:tc>
          <w:tcPr>
            <w:tcW w:w="940" w:type="pct"/>
            <w:vAlign w:val="bottom"/>
          </w:tcPr>
          <w:p w14:paraId="331230A4" w14:textId="77777777" w:rsidR="008A656B" w:rsidRPr="001D2342" w:rsidRDefault="008A656B" w:rsidP="00851097">
            <w:pPr>
              <w:pStyle w:val="Default"/>
              <w:rPr>
                <w:sz w:val="16"/>
                <w:szCs w:val="16"/>
              </w:rPr>
            </w:pPr>
            <w:r>
              <w:rPr>
                <w:sz w:val="16"/>
              </w:rPr>
              <w:t>Divas nesecīgas 24 stundu atcerēšanās anketas (vienu aizpilda visi, otru – 62 % no izlases)</w:t>
            </w:r>
          </w:p>
        </w:tc>
        <w:tc>
          <w:tcPr>
            <w:tcW w:w="201" w:type="pct"/>
            <w:vAlign w:val="bottom"/>
          </w:tcPr>
          <w:p w14:paraId="5BE0D34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895</w:t>
            </w:r>
          </w:p>
        </w:tc>
        <w:tc>
          <w:tcPr>
            <w:tcW w:w="129" w:type="pct"/>
            <w:vAlign w:val="bottom"/>
          </w:tcPr>
          <w:p w14:paraId="5B171500" w14:textId="77777777" w:rsidR="008A656B" w:rsidRPr="001D2342" w:rsidRDefault="008A656B" w:rsidP="00851097">
            <w:pPr>
              <w:rPr>
                <w:rFonts w:ascii="Times New Roman" w:hAnsi="Times New Roman" w:cs="Times New Roman"/>
                <w:sz w:val="16"/>
                <w:szCs w:val="16"/>
              </w:rPr>
            </w:pPr>
          </w:p>
        </w:tc>
        <w:tc>
          <w:tcPr>
            <w:tcW w:w="189" w:type="pct"/>
            <w:vAlign w:val="bottom"/>
          </w:tcPr>
          <w:p w14:paraId="1F8D8DA6"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18</w:t>
            </w:r>
          </w:p>
        </w:tc>
        <w:tc>
          <w:tcPr>
            <w:tcW w:w="110" w:type="pct"/>
            <w:vAlign w:val="bottom"/>
          </w:tcPr>
          <w:p w14:paraId="147FDB52" w14:textId="77777777" w:rsidR="008A656B" w:rsidRPr="001D2342" w:rsidRDefault="008A656B" w:rsidP="00851097">
            <w:pPr>
              <w:rPr>
                <w:rFonts w:ascii="Times New Roman" w:hAnsi="Times New Roman" w:cs="Times New Roman"/>
                <w:sz w:val="16"/>
                <w:szCs w:val="16"/>
              </w:rPr>
            </w:pPr>
          </w:p>
        </w:tc>
        <w:tc>
          <w:tcPr>
            <w:tcW w:w="192" w:type="pct"/>
            <w:vAlign w:val="bottom"/>
          </w:tcPr>
          <w:p w14:paraId="080D8D3E"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64</w:t>
            </w:r>
          </w:p>
        </w:tc>
        <w:tc>
          <w:tcPr>
            <w:tcW w:w="678" w:type="pct"/>
            <w:vAlign w:val="bottom"/>
          </w:tcPr>
          <w:p w14:paraId="0AF03CB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Ieskaitot bagātinātu pārtiku. Dati savākti Katalonijā</w:t>
            </w:r>
          </w:p>
        </w:tc>
        <w:tc>
          <w:tcPr>
            <w:tcW w:w="242" w:type="pct"/>
            <w:vAlign w:val="bottom"/>
          </w:tcPr>
          <w:p w14:paraId="3D5542D8"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779,0</w:t>
            </w:r>
          </w:p>
        </w:tc>
        <w:tc>
          <w:tcPr>
            <w:tcW w:w="259" w:type="pct"/>
            <w:vAlign w:val="bottom"/>
          </w:tcPr>
          <w:p w14:paraId="0AF22B91" w14:textId="77777777" w:rsidR="008A656B" w:rsidRPr="001D2342" w:rsidRDefault="008A656B" w:rsidP="00851097">
            <w:pPr>
              <w:rPr>
                <w:rFonts w:ascii="Times New Roman" w:hAnsi="Times New Roman" w:cs="Times New Roman"/>
                <w:sz w:val="16"/>
                <w:szCs w:val="16"/>
              </w:rPr>
            </w:pPr>
          </w:p>
        </w:tc>
        <w:tc>
          <w:tcPr>
            <w:tcW w:w="199" w:type="pct"/>
            <w:vAlign w:val="bottom"/>
          </w:tcPr>
          <w:p w14:paraId="077E1E04" w14:textId="77777777" w:rsidR="008A656B" w:rsidRPr="001D2342" w:rsidRDefault="008A656B" w:rsidP="00851097">
            <w:pPr>
              <w:rPr>
                <w:rFonts w:ascii="Times New Roman" w:hAnsi="Times New Roman" w:cs="Times New Roman"/>
                <w:sz w:val="16"/>
                <w:szCs w:val="16"/>
              </w:rPr>
            </w:pPr>
          </w:p>
        </w:tc>
        <w:tc>
          <w:tcPr>
            <w:tcW w:w="242" w:type="pct"/>
            <w:vAlign w:val="bottom"/>
          </w:tcPr>
          <w:p w14:paraId="0C5225BF"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1 069,0</w:t>
            </w:r>
          </w:p>
        </w:tc>
        <w:tc>
          <w:tcPr>
            <w:tcW w:w="243" w:type="pct"/>
            <w:vAlign w:val="bottom"/>
          </w:tcPr>
          <w:p w14:paraId="467EBCE5" w14:textId="77777777" w:rsidR="008A656B" w:rsidRPr="001D2342" w:rsidRDefault="008A656B" w:rsidP="00851097">
            <w:pPr>
              <w:rPr>
                <w:rFonts w:ascii="Times New Roman" w:hAnsi="Times New Roman" w:cs="Times New Roman"/>
                <w:sz w:val="16"/>
                <w:szCs w:val="16"/>
              </w:rPr>
            </w:pPr>
          </w:p>
        </w:tc>
      </w:tr>
      <w:tr w:rsidR="008A656B" w:rsidRPr="001D2342" w14:paraId="5132391B" w14:textId="77777777" w:rsidTr="00851097">
        <w:trPr>
          <w:trHeight w:val="260"/>
        </w:trPr>
        <w:tc>
          <w:tcPr>
            <w:tcW w:w="379" w:type="pct"/>
            <w:vAlign w:val="bottom"/>
          </w:tcPr>
          <w:p w14:paraId="29450690" w14:textId="77777777" w:rsidR="008A656B" w:rsidRPr="001D2342" w:rsidRDefault="008A656B" w:rsidP="00851097">
            <w:pPr>
              <w:rPr>
                <w:rFonts w:ascii="Times New Roman" w:hAnsi="Times New Roman" w:cs="Times New Roman"/>
                <w:b/>
                <w:bCs/>
                <w:sz w:val="16"/>
                <w:szCs w:val="16"/>
              </w:rPr>
            </w:pPr>
          </w:p>
        </w:tc>
        <w:tc>
          <w:tcPr>
            <w:tcW w:w="261" w:type="pct"/>
            <w:vAlign w:val="bottom"/>
          </w:tcPr>
          <w:p w14:paraId="5819940F" w14:textId="77777777" w:rsidR="008A656B" w:rsidRPr="001D2342" w:rsidRDefault="008A656B" w:rsidP="00851097">
            <w:pPr>
              <w:rPr>
                <w:rFonts w:ascii="Times New Roman" w:hAnsi="Times New Roman" w:cs="Times New Roman"/>
                <w:b/>
                <w:bCs/>
                <w:sz w:val="16"/>
                <w:szCs w:val="16"/>
              </w:rPr>
            </w:pPr>
          </w:p>
        </w:tc>
        <w:tc>
          <w:tcPr>
            <w:tcW w:w="364" w:type="pct"/>
            <w:vAlign w:val="bottom"/>
          </w:tcPr>
          <w:p w14:paraId="6851E3CE"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Nīderlande</w:t>
            </w:r>
          </w:p>
        </w:tc>
        <w:tc>
          <w:tcPr>
            <w:tcW w:w="373" w:type="pct"/>
            <w:vAlign w:val="bottom"/>
          </w:tcPr>
          <w:p w14:paraId="289D464E" w14:textId="77777777" w:rsidR="008A656B" w:rsidRPr="001D2342" w:rsidRDefault="008A656B" w:rsidP="00851097">
            <w:pPr>
              <w:pStyle w:val="Default"/>
              <w:rPr>
                <w:sz w:val="16"/>
                <w:szCs w:val="16"/>
              </w:rPr>
            </w:pPr>
            <w:r>
              <w:rPr>
                <w:sz w:val="16"/>
              </w:rPr>
              <w:t>(van Rossum et al., 2011)</w:t>
            </w:r>
          </w:p>
        </w:tc>
        <w:tc>
          <w:tcPr>
            <w:tcW w:w="940" w:type="pct"/>
            <w:vAlign w:val="bottom"/>
          </w:tcPr>
          <w:p w14:paraId="349EEA77" w14:textId="77777777" w:rsidR="008A656B" w:rsidRPr="001D2342" w:rsidRDefault="008A656B" w:rsidP="00851097">
            <w:pPr>
              <w:pStyle w:val="Default"/>
              <w:rPr>
                <w:sz w:val="16"/>
                <w:szCs w:val="16"/>
              </w:rPr>
            </w:pPr>
            <w:r>
              <w:rPr>
                <w:sz w:val="16"/>
              </w:rPr>
              <w:t>Divas nesecīgas  24 stundu atcerēšanās anketas</w:t>
            </w:r>
          </w:p>
        </w:tc>
        <w:tc>
          <w:tcPr>
            <w:tcW w:w="201" w:type="pct"/>
            <w:vAlign w:val="bottom"/>
          </w:tcPr>
          <w:p w14:paraId="4F959FAF"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347</w:t>
            </w:r>
          </w:p>
        </w:tc>
        <w:tc>
          <w:tcPr>
            <w:tcW w:w="129" w:type="pct"/>
            <w:vAlign w:val="bottom"/>
          </w:tcPr>
          <w:p w14:paraId="3A1BEF37" w14:textId="77777777" w:rsidR="008A656B" w:rsidRPr="001D2342" w:rsidRDefault="008A656B" w:rsidP="00851097">
            <w:pPr>
              <w:rPr>
                <w:rFonts w:ascii="Times New Roman" w:hAnsi="Times New Roman" w:cs="Times New Roman"/>
                <w:sz w:val="16"/>
                <w:szCs w:val="16"/>
              </w:rPr>
            </w:pPr>
          </w:p>
        </w:tc>
        <w:tc>
          <w:tcPr>
            <w:tcW w:w="189" w:type="pct"/>
            <w:vAlign w:val="bottom"/>
          </w:tcPr>
          <w:p w14:paraId="5CB4E75F"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19</w:t>
            </w:r>
          </w:p>
        </w:tc>
        <w:tc>
          <w:tcPr>
            <w:tcW w:w="110" w:type="pct"/>
            <w:vAlign w:val="bottom"/>
          </w:tcPr>
          <w:p w14:paraId="231D11E9" w14:textId="77777777" w:rsidR="008A656B" w:rsidRPr="001D2342" w:rsidRDefault="008A656B" w:rsidP="00851097">
            <w:pPr>
              <w:rPr>
                <w:rFonts w:ascii="Times New Roman" w:hAnsi="Times New Roman" w:cs="Times New Roman"/>
                <w:sz w:val="16"/>
                <w:szCs w:val="16"/>
              </w:rPr>
            </w:pPr>
          </w:p>
        </w:tc>
        <w:tc>
          <w:tcPr>
            <w:tcW w:w="192" w:type="pct"/>
            <w:vAlign w:val="bottom"/>
          </w:tcPr>
          <w:p w14:paraId="2D44EECA"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30</w:t>
            </w:r>
          </w:p>
        </w:tc>
        <w:tc>
          <w:tcPr>
            <w:tcW w:w="678" w:type="pct"/>
            <w:vAlign w:val="bottom"/>
          </w:tcPr>
          <w:p w14:paraId="48897860" w14:textId="77777777" w:rsidR="008A656B" w:rsidRPr="001D2342" w:rsidRDefault="008A656B" w:rsidP="00851097">
            <w:pPr>
              <w:rPr>
                <w:rFonts w:ascii="Times New Roman" w:hAnsi="Times New Roman" w:cs="Times New Roman"/>
                <w:sz w:val="16"/>
                <w:szCs w:val="16"/>
              </w:rPr>
            </w:pPr>
          </w:p>
        </w:tc>
        <w:tc>
          <w:tcPr>
            <w:tcW w:w="242" w:type="pct"/>
            <w:vAlign w:val="bottom"/>
          </w:tcPr>
          <w:p w14:paraId="5CDBCF2B" w14:textId="77777777" w:rsidR="008A656B" w:rsidRPr="001D2342" w:rsidRDefault="008A656B" w:rsidP="00851097">
            <w:pPr>
              <w:rPr>
                <w:rFonts w:ascii="Times New Roman" w:hAnsi="Times New Roman" w:cs="Times New Roman"/>
                <w:sz w:val="16"/>
                <w:szCs w:val="16"/>
              </w:rPr>
            </w:pPr>
          </w:p>
        </w:tc>
        <w:tc>
          <w:tcPr>
            <w:tcW w:w="259" w:type="pct"/>
            <w:vAlign w:val="bottom"/>
          </w:tcPr>
          <w:p w14:paraId="77A78BB8"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918,0</w:t>
            </w:r>
          </w:p>
        </w:tc>
        <w:tc>
          <w:tcPr>
            <w:tcW w:w="199" w:type="pct"/>
            <w:vAlign w:val="bottom"/>
          </w:tcPr>
          <w:p w14:paraId="71A80FA5" w14:textId="77777777" w:rsidR="008A656B" w:rsidRPr="001D2342" w:rsidRDefault="008A656B" w:rsidP="00851097">
            <w:pPr>
              <w:rPr>
                <w:rFonts w:ascii="Times New Roman" w:hAnsi="Times New Roman" w:cs="Times New Roman"/>
                <w:sz w:val="16"/>
                <w:szCs w:val="16"/>
              </w:rPr>
            </w:pPr>
          </w:p>
        </w:tc>
        <w:tc>
          <w:tcPr>
            <w:tcW w:w="242" w:type="pct"/>
            <w:vAlign w:val="bottom"/>
          </w:tcPr>
          <w:p w14:paraId="576D2C3E"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1 501,0</w:t>
            </w:r>
          </w:p>
        </w:tc>
        <w:tc>
          <w:tcPr>
            <w:tcW w:w="243" w:type="pct"/>
            <w:vAlign w:val="bottom"/>
          </w:tcPr>
          <w:p w14:paraId="124737BE" w14:textId="77777777" w:rsidR="008A656B" w:rsidRPr="001D2342" w:rsidRDefault="008A656B" w:rsidP="00851097">
            <w:pPr>
              <w:rPr>
                <w:rFonts w:ascii="Times New Roman" w:hAnsi="Times New Roman" w:cs="Times New Roman"/>
                <w:sz w:val="16"/>
                <w:szCs w:val="16"/>
              </w:rPr>
            </w:pPr>
          </w:p>
        </w:tc>
      </w:tr>
      <w:tr w:rsidR="008A656B" w:rsidRPr="001D2342" w14:paraId="7654237A" w14:textId="77777777" w:rsidTr="00851097">
        <w:trPr>
          <w:trHeight w:val="260"/>
        </w:trPr>
        <w:tc>
          <w:tcPr>
            <w:tcW w:w="379" w:type="pct"/>
            <w:vAlign w:val="bottom"/>
          </w:tcPr>
          <w:p w14:paraId="0EC5ACC9" w14:textId="77777777" w:rsidR="008A656B" w:rsidRPr="001D2342" w:rsidRDefault="008A656B" w:rsidP="00851097">
            <w:pPr>
              <w:rPr>
                <w:rFonts w:ascii="Times New Roman" w:hAnsi="Times New Roman" w:cs="Times New Roman"/>
                <w:sz w:val="16"/>
                <w:szCs w:val="16"/>
              </w:rPr>
            </w:pPr>
          </w:p>
        </w:tc>
        <w:tc>
          <w:tcPr>
            <w:tcW w:w="261" w:type="pct"/>
            <w:vAlign w:val="bottom"/>
          </w:tcPr>
          <w:p w14:paraId="508244AE" w14:textId="77777777" w:rsidR="008A656B" w:rsidRPr="001D2342" w:rsidRDefault="008A656B" w:rsidP="00851097">
            <w:pPr>
              <w:rPr>
                <w:rFonts w:ascii="Times New Roman" w:hAnsi="Times New Roman" w:cs="Times New Roman"/>
                <w:sz w:val="16"/>
                <w:szCs w:val="16"/>
              </w:rPr>
            </w:pPr>
          </w:p>
        </w:tc>
        <w:tc>
          <w:tcPr>
            <w:tcW w:w="364" w:type="pct"/>
            <w:vAlign w:val="bottom"/>
          </w:tcPr>
          <w:p w14:paraId="3091A0C0" w14:textId="77777777" w:rsidR="008A656B" w:rsidRPr="001D2342" w:rsidRDefault="008A656B" w:rsidP="00851097">
            <w:pPr>
              <w:rPr>
                <w:rFonts w:ascii="Times New Roman" w:hAnsi="Times New Roman" w:cs="Times New Roman"/>
                <w:sz w:val="16"/>
                <w:szCs w:val="16"/>
              </w:rPr>
            </w:pPr>
          </w:p>
        </w:tc>
        <w:tc>
          <w:tcPr>
            <w:tcW w:w="373" w:type="pct"/>
            <w:vAlign w:val="bottom"/>
          </w:tcPr>
          <w:p w14:paraId="5DD0C1E9" w14:textId="77777777" w:rsidR="008A656B" w:rsidRPr="001D2342" w:rsidRDefault="008A656B" w:rsidP="00851097">
            <w:pPr>
              <w:rPr>
                <w:rFonts w:ascii="Times New Roman" w:hAnsi="Times New Roman" w:cs="Times New Roman"/>
                <w:sz w:val="16"/>
                <w:szCs w:val="16"/>
              </w:rPr>
            </w:pPr>
          </w:p>
        </w:tc>
        <w:tc>
          <w:tcPr>
            <w:tcW w:w="940" w:type="pct"/>
            <w:vAlign w:val="bottom"/>
          </w:tcPr>
          <w:p w14:paraId="2CABF185" w14:textId="77777777" w:rsidR="008A656B" w:rsidRPr="001D2342" w:rsidRDefault="008A656B" w:rsidP="00851097">
            <w:pPr>
              <w:rPr>
                <w:rFonts w:ascii="Times New Roman" w:hAnsi="Times New Roman" w:cs="Times New Roman"/>
                <w:sz w:val="16"/>
                <w:szCs w:val="16"/>
              </w:rPr>
            </w:pPr>
          </w:p>
        </w:tc>
        <w:tc>
          <w:tcPr>
            <w:tcW w:w="201" w:type="pct"/>
            <w:vAlign w:val="bottom"/>
          </w:tcPr>
          <w:p w14:paraId="5B5D480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351</w:t>
            </w:r>
          </w:p>
        </w:tc>
        <w:tc>
          <w:tcPr>
            <w:tcW w:w="129" w:type="pct"/>
            <w:vAlign w:val="bottom"/>
          </w:tcPr>
          <w:p w14:paraId="24A1A7D6" w14:textId="77777777" w:rsidR="008A656B" w:rsidRPr="001D2342" w:rsidRDefault="008A656B" w:rsidP="00851097">
            <w:pPr>
              <w:rPr>
                <w:rFonts w:ascii="Times New Roman" w:hAnsi="Times New Roman" w:cs="Times New Roman"/>
                <w:sz w:val="16"/>
                <w:szCs w:val="16"/>
              </w:rPr>
            </w:pPr>
          </w:p>
        </w:tc>
        <w:tc>
          <w:tcPr>
            <w:tcW w:w="189" w:type="pct"/>
            <w:vAlign w:val="bottom"/>
          </w:tcPr>
          <w:p w14:paraId="68B08E69"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31</w:t>
            </w:r>
          </w:p>
        </w:tc>
        <w:tc>
          <w:tcPr>
            <w:tcW w:w="110" w:type="pct"/>
            <w:vAlign w:val="bottom"/>
          </w:tcPr>
          <w:p w14:paraId="585451E5" w14:textId="77777777" w:rsidR="008A656B" w:rsidRPr="001D2342" w:rsidRDefault="008A656B" w:rsidP="00851097">
            <w:pPr>
              <w:rPr>
                <w:rFonts w:ascii="Times New Roman" w:hAnsi="Times New Roman" w:cs="Times New Roman"/>
                <w:sz w:val="16"/>
                <w:szCs w:val="16"/>
              </w:rPr>
            </w:pPr>
          </w:p>
        </w:tc>
        <w:tc>
          <w:tcPr>
            <w:tcW w:w="192" w:type="pct"/>
            <w:vAlign w:val="bottom"/>
          </w:tcPr>
          <w:p w14:paraId="35D6B2C8"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50</w:t>
            </w:r>
          </w:p>
        </w:tc>
        <w:tc>
          <w:tcPr>
            <w:tcW w:w="678" w:type="pct"/>
            <w:vAlign w:val="bottom"/>
          </w:tcPr>
          <w:p w14:paraId="08956E6A" w14:textId="77777777" w:rsidR="008A656B" w:rsidRPr="001D2342" w:rsidRDefault="008A656B" w:rsidP="00851097">
            <w:pPr>
              <w:rPr>
                <w:rFonts w:ascii="Times New Roman" w:hAnsi="Times New Roman" w:cs="Times New Roman"/>
                <w:sz w:val="16"/>
                <w:szCs w:val="16"/>
              </w:rPr>
            </w:pPr>
          </w:p>
        </w:tc>
        <w:tc>
          <w:tcPr>
            <w:tcW w:w="242" w:type="pct"/>
            <w:vAlign w:val="bottom"/>
          </w:tcPr>
          <w:p w14:paraId="67B97E1F" w14:textId="77777777" w:rsidR="008A656B" w:rsidRPr="001D2342" w:rsidRDefault="008A656B" w:rsidP="00851097">
            <w:pPr>
              <w:rPr>
                <w:rFonts w:ascii="Times New Roman" w:hAnsi="Times New Roman" w:cs="Times New Roman"/>
                <w:sz w:val="16"/>
                <w:szCs w:val="16"/>
              </w:rPr>
            </w:pPr>
          </w:p>
        </w:tc>
        <w:tc>
          <w:tcPr>
            <w:tcW w:w="259" w:type="pct"/>
            <w:vAlign w:val="bottom"/>
          </w:tcPr>
          <w:p w14:paraId="52284C25"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983,0</w:t>
            </w:r>
          </w:p>
        </w:tc>
        <w:tc>
          <w:tcPr>
            <w:tcW w:w="199" w:type="pct"/>
            <w:vAlign w:val="bottom"/>
          </w:tcPr>
          <w:p w14:paraId="6EFDFBF5" w14:textId="77777777" w:rsidR="008A656B" w:rsidRPr="001D2342" w:rsidRDefault="008A656B" w:rsidP="00851097">
            <w:pPr>
              <w:rPr>
                <w:rFonts w:ascii="Times New Roman" w:hAnsi="Times New Roman" w:cs="Times New Roman"/>
                <w:sz w:val="16"/>
                <w:szCs w:val="16"/>
              </w:rPr>
            </w:pPr>
          </w:p>
        </w:tc>
        <w:tc>
          <w:tcPr>
            <w:tcW w:w="242" w:type="pct"/>
            <w:vAlign w:val="bottom"/>
          </w:tcPr>
          <w:p w14:paraId="20B7E20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1 602,0</w:t>
            </w:r>
          </w:p>
        </w:tc>
        <w:tc>
          <w:tcPr>
            <w:tcW w:w="243" w:type="pct"/>
            <w:vAlign w:val="bottom"/>
          </w:tcPr>
          <w:p w14:paraId="4966583E" w14:textId="77777777" w:rsidR="008A656B" w:rsidRPr="001D2342" w:rsidRDefault="008A656B" w:rsidP="00851097">
            <w:pPr>
              <w:rPr>
                <w:rFonts w:ascii="Times New Roman" w:hAnsi="Times New Roman" w:cs="Times New Roman"/>
                <w:sz w:val="16"/>
                <w:szCs w:val="16"/>
              </w:rPr>
            </w:pPr>
          </w:p>
        </w:tc>
      </w:tr>
      <w:tr w:rsidR="008A656B" w:rsidRPr="001D2342" w14:paraId="4C19F82C" w14:textId="77777777" w:rsidTr="00851097">
        <w:trPr>
          <w:trHeight w:val="260"/>
        </w:trPr>
        <w:tc>
          <w:tcPr>
            <w:tcW w:w="379" w:type="pct"/>
            <w:tcBorders>
              <w:bottom w:val="single" w:sz="4" w:space="0" w:color="auto"/>
            </w:tcBorders>
            <w:vAlign w:val="bottom"/>
          </w:tcPr>
          <w:p w14:paraId="14E2012D" w14:textId="77777777" w:rsidR="008A656B" w:rsidRPr="001D2342" w:rsidRDefault="008A656B" w:rsidP="00851097">
            <w:pPr>
              <w:rPr>
                <w:rFonts w:ascii="Times New Roman" w:hAnsi="Times New Roman" w:cs="Times New Roman"/>
                <w:sz w:val="16"/>
                <w:szCs w:val="16"/>
              </w:rPr>
            </w:pPr>
          </w:p>
        </w:tc>
        <w:tc>
          <w:tcPr>
            <w:tcW w:w="261" w:type="pct"/>
            <w:tcBorders>
              <w:bottom w:val="single" w:sz="4" w:space="0" w:color="auto"/>
            </w:tcBorders>
            <w:vAlign w:val="bottom"/>
          </w:tcPr>
          <w:p w14:paraId="3D53C695" w14:textId="77777777" w:rsidR="008A656B" w:rsidRPr="001D2342" w:rsidRDefault="008A656B" w:rsidP="00851097">
            <w:pPr>
              <w:rPr>
                <w:rFonts w:ascii="Times New Roman" w:hAnsi="Times New Roman" w:cs="Times New Roman"/>
                <w:sz w:val="16"/>
                <w:szCs w:val="16"/>
              </w:rPr>
            </w:pPr>
          </w:p>
        </w:tc>
        <w:tc>
          <w:tcPr>
            <w:tcW w:w="364" w:type="pct"/>
            <w:tcBorders>
              <w:bottom w:val="single" w:sz="4" w:space="0" w:color="auto"/>
            </w:tcBorders>
            <w:vAlign w:val="bottom"/>
          </w:tcPr>
          <w:p w14:paraId="51F6148D" w14:textId="77777777" w:rsidR="008A656B" w:rsidRPr="001D2342" w:rsidRDefault="008A656B" w:rsidP="00851097">
            <w:pPr>
              <w:rPr>
                <w:rFonts w:ascii="Times New Roman" w:hAnsi="Times New Roman" w:cs="Times New Roman"/>
                <w:sz w:val="16"/>
                <w:szCs w:val="16"/>
              </w:rPr>
            </w:pPr>
          </w:p>
        </w:tc>
        <w:tc>
          <w:tcPr>
            <w:tcW w:w="373" w:type="pct"/>
            <w:tcBorders>
              <w:bottom w:val="single" w:sz="4" w:space="0" w:color="auto"/>
            </w:tcBorders>
            <w:vAlign w:val="bottom"/>
          </w:tcPr>
          <w:p w14:paraId="687F3791" w14:textId="77777777" w:rsidR="008A656B" w:rsidRPr="001D2342" w:rsidRDefault="008A656B" w:rsidP="00851097">
            <w:pPr>
              <w:rPr>
                <w:rFonts w:ascii="Times New Roman" w:hAnsi="Times New Roman" w:cs="Times New Roman"/>
                <w:sz w:val="16"/>
                <w:szCs w:val="16"/>
              </w:rPr>
            </w:pPr>
          </w:p>
        </w:tc>
        <w:tc>
          <w:tcPr>
            <w:tcW w:w="940" w:type="pct"/>
            <w:tcBorders>
              <w:bottom w:val="single" w:sz="4" w:space="0" w:color="auto"/>
            </w:tcBorders>
            <w:vAlign w:val="bottom"/>
          </w:tcPr>
          <w:p w14:paraId="7383A76A" w14:textId="77777777" w:rsidR="008A656B" w:rsidRPr="001D2342" w:rsidRDefault="008A656B" w:rsidP="00851097">
            <w:pPr>
              <w:rPr>
                <w:rFonts w:ascii="Times New Roman" w:hAnsi="Times New Roman" w:cs="Times New Roman"/>
                <w:sz w:val="16"/>
                <w:szCs w:val="16"/>
              </w:rPr>
            </w:pPr>
          </w:p>
        </w:tc>
        <w:tc>
          <w:tcPr>
            <w:tcW w:w="201" w:type="pct"/>
            <w:tcBorders>
              <w:bottom w:val="single" w:sz="4" w:space="0" w:color="auto"/>
            </w:tcBorders>
            <w:shd w:val="clear" w:color="auto" w:fill="D9D9D9" w:themeFill="background1" w:themeFillShade="D9"/>
            <w:vAlign w:val="bottom"/>
          </w:tcPr>
          <w:p w14:paraId="1CBA835F"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353</w:t>
            </w:r>
          </w:p>
        </w:tc>
        <w:tc>
          <w:tcPr>
            <w:tcW w:w="129" w:type="pct"/>
            <w:tcBorders>
              <w:bottom w:val="single" w:sz="4" w:space="0" w:color="auto"/>
            </w:tcBorders>
            <w:shd w:val="clear" w:color="auto" w:fill="D9D9D9" w:themeFill="background1" w:themeFillShade="D9"/>
            <w:vAlign w:val="bottom"/>
          </w:tcPr>
          <w:p w14:paraId="3A4EA2B6" w14:textId="77777777" w:rsidR="008A656B" w:rsidRPr="001D2342" w:rsidRDefault="008A656B" w:rsidP="00851097">
            <w:pPr>
              <w:rPr>
                <w:rFonts w:ascii="Times New Roman" w:hAnsi="Times New Roman" w:cs="Times New Roman"/>
                <w:sz w:val="16"/>
                <w:szCs w:val="16"/>
              </w:rPr>
            </w:pPr>
          </w:p>
        </w:tc>
        <w:tc>
          <w:tcPr>
            <w:tcW w:w="189" w:type="pct"/>
            <w:tcBorders>
              <w:bottom w:val="single" w:sz="4" w:space="0" w:color="auto"/>
            </w:tcBorders>
            <w:shd w:val="clear" w:color="auto" w:fill="D9D9D9" w:themeFill="background1" w:themeFillShade="D9"/>
            <w:vAlign w:val="bottom"/>
          </w:tcPr>
          <w:p w14:paraId="75C4F9BA"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51</w:t>
            </w:r>
          </w:p>
        </w:tc>
        <w:tc>
          <w:tcPr>
            <w:tcW w:w="110" w:type="pct"/>
            <w:tcBorders>
              <w:bottom w:val="single" w:sz="4" w:space="0" w:color="auto"/>
            </w:tcBorders>
            <w:shd w:val="clear" w:color="auto" w:fill="D9D9D9" w:themeFill="background1" w:themeFillShade="D9"/>
            <w:vAlign w:val="bottom"/>
          </w:tcPr>
          <w:p w14:paraId="20AD5E11" w14:textId="77777777" w:rsidR="008A656B" w:rsidRPr="001D2342" w:rsidRDefault="008A656B" w:rsidP="00851097">
            <w:pPr>
              <w:rPr>
                <w:rFonts w:ascii="Times New Roman" w:hAnsi="Times New Roman" w:cs="Times New Roman"/>
                <w:sz w:val="16"/>
                <w:szCs w:val="16"/>
              </w:rPr>
            </w:pPr>
          </w:p>
        </w:tc>
        <w:tc>
          <w:tcPr>
            <w:tcW w:w="192" w:type="pct"/>
            <w:tcBorders>
              <w:bottom w:val="single" w:sz="4" w:space="0" w:color="auto"/>
            </w:tcBorders>
            <w:shd w:val="clear" w:color="auto" w:fill="D9D9D9" w:themeFill="background1" w:themeFillShade="D9"/>
            <w:vAlign w:val="bottom"/>
          </w:tcPr>
          <w:p w14:paraId="35FE71A4"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69</w:t>
            </w:r>
          </w:p>
        </w:tc>
        <w:tc>
          <w:tcPr>
            <w:tcW w:w="678" w:type="pct"/>
            <w:tcBorders>
              <w:bottom w:val="single" w:sz="4" w:space="0" w:color="auto"/>
            </w:tcBorders>
            <w:shd w:val="clear" w:color="auto" w:fill="D9D9D9" w:themeFill="background1" w:themeFillShade="D9"/>
            <w:vAlign w:val="bottom"/>
          </w:tcPr>
          <w:p w14:paraId="7D5A74A5" w14:textId="77777777" w:rsidR="008A656B" w:rsidRPr="001D2342" w:rsidRDefault="008A656B" w:rsidP="00851097">
            <w:pPr>
              <w:rPr>
                <w:rFonts w:ascii="Times New Roman" w:hAnsi="Times New Roman" w:cs="Times New Roman"/>
                <w:sz w:val="16"/>
                <w:szCs w:val="16"/>
              </w:rPr>
            </w:pPr>
          </w:p>
        </w:tc>
        <w:tc>
          <w:tcPr>
            <w:tcW w:w="242" w:type="pct"/>
            <w:tcBorders>
              <w:bottom w:val="single" w:sz="4" w:space="0" w:color="auto"/>
            </w:tcBorders>
            <w:shd w:val="clear" w:color="auto" w:fill="D9D9D9" w:themeFill="background1" w:themeFillShade="D9"/>
            <w:vAlign w:val="bottom"/>
          </w:tcPr>
          <w:p w14:paraId="1239D681" w14:textId="77777777" w:rsidR="008A656B" w:rsidRPr="001D2342" w:rsidRDefault="008A656B" w:rsidP="00851097">
            <w:pPr>
              <w:rPr>
                <w:rFonts w:ascii="Times New Roman" w:hAnsi="Times New Roman" w:cs="Times New Roman"/>
                <w:sz w:val="16"/>
                <w:szCs w:val="16"/>
              </w:rPr>
            </w:pPr>
          </w:p>
        </w:tc>
        <w:tc>
          <w:tcPr>
            <w:tcW w:w="259" w:type="pct"/>
            <w:tcBorders>
              <w:bottom w:val="single" w:sz="4" w:space="0" w:color="auto"/>
            </w:tcBorders>
            <w:shd w:val="clear" w:color="auto" w:fill="D9D9D9" w:themeFill="background1" w:themeFillShade="D9"/>
            <w:vAlign w:val="bottom"/>
          </w:tcPr>
          <w:p w14:paraId="4FE6D061"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1 026,0</w:t>
            </w:r>
          </w:p>
        </w:tc>
        <w:tc>
          <w:tcPr>
            <w:tcW w:w="199" w:type="pct"/>
            <w:tcBorders>
              <w:bottom w:val="single" w:sz="4" w:space="0" w:color="auto"/>
            </w:tcBorders>
            <w:shd w:val="clear" w:color="auto" w:fill="D9D9D9" w:themeFill="background1" w:themeFillShade="D9"/>
            <w:vAlign w:val="bottom"/>
          </w:tcPr>
          <w:p w14:paraId="64D4F7F2" w14:textId="77777777" w:rsidR="008A656B" w:rsidRPr="001D2342" w:rsidRDefault="008A656B" w:rsidP="00851097">
            <w:pPr>
              <w:rPr>
                <w:rFonts w:ascii="Times New Roman" w:hAnsi="Times New Roman" w:cs="Times New Roman"/>
                <w:sz w:val="16"/>
                <w:szCs w:val="16"/>
              </w:rPr>
            </w:pPr>
          </w:p>
        </w:tc>
        <w:tc>
          <w:tcPr>
            <w:tcW w:w="242" w:type="pct"/>
            <w:tcBorders>
              <w:bottom w:val="single" w:sz="4" w:space="0" w:color="auto"/>
            </w:tcBorders>
            <w:shd w:val="clear" w:color="auto" w:fill="D9D9D9" w:themeFill="background1" w:themeFillShade="D9"/>
            <w:vAlign w:val="bottom"/>
          </w:tcPr>
          <w:p w14:paraId="5938EF88"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1 686,0</w:t>
            </w:r>
          </w:p>
        </w:tc>
        <w:tc>
          <w:tcPr>
            <w:tcW w:w="243" w:type="pct"/>
            <w:tcBorders>
              <w:bottom w:val="single" w:sz="4" w:space="0" w:color="auto"/>
            </w:tcBorders>
            <w:shd w:val="clear" w:color="auto" w:fill="D9D9D9" w:themeFill="background1" w:themeFillShade="D9"/>
            <w:vAlign w:val="bottom"/>
          </w:tcPr>
          <w:p w14:paraId="784A0E78" w14:textId="77777777" w:rsidR="008A656B" w:rsidRPr="001D2342" w:rsidRDefault="008A656B" w:rsidP="00851097">
            <w:pPr>
              <w:rPr>
                <w:rFonts w:ascii="Times New Roman" w:hAnsi="Times New Roman" w:cs="Times New Roman"/>
                <w:sz w:val="16"/>
                <w:szCs w:val="16"/>
              </w:rPr>
            </w:pPr>
          </w:p>
        </w:tc>
      </w:tr>
      <w:tr w:rsidR="008A656B" w:rsidRPr="001D2342" w14:paraId="5E0968F9" w14:textId="77777777" w:rsidTr="00851097">
        <w:trPr>
          <w:trHeight w:val="260"/>
        </w:trPr>
        <w:tc>
          <w:tcPr>
            <w:tcW w:w="379" w:type="pct"/>
            <w:tcBorders>
              <w:top w:val="single" w:sz="4" w:space="0" w:color="auto"/>
            </w:tcBorders>
            <w:vAlign w:val="bottom"/>
          </w:tcPr>
          <w:p w14:paraId="1B527D17"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Pārtika un bagātinātāji</w:t>
            </w:r>
          </w:p>
        </w:tc>
        <w:tc>
          <w:tcPr>
            <w:tcW w:w="261" w:type="pct"/>
            <w:tcBorders>
              <w:top w:val="single" w:sz="4" w:space="0" w:color="auto"/>
            </w:tcBorders>
            <w:vAlign w:val="bottom"/>
          </w:tcPr>
          <w:p w14:paraId="46958B4F"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Vīrieši</w:t>
            </w:r>
          </w:p>
        </w:tc>
        <w:tc>
          <w:tcPr>
            <w:tcW w:w="364" w:type="pct"/>
            <w:tcBorders>
              <w:top w:val="single" w:sz="4" w:space="0" w:color="auto"/>
            </w:tcBorders>
            <w:vAlign w:val="bottom"/>
          </w:tcPr>
          <w:p w14:paraId="720E3920"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Dānija</w:t>
            </w:r>
          </w:p>
        </w:tc>
        <w:tc>
          <w:tcPr>
            <w:tcW w:w="373" w:type="pct"/>
            <w:tcBorders>
              <w:top w:val="single" w:sz="4" w:space="0" w:color="auto"/>
            </w:tcBorders>
            <w:vAlign w:val="bottom"/>
          </w:tcPr>
          <w:p w14:paraId="26B28241" w14:textId="77777777" w:rsidR="008A656B" w:rsidRPr="001D2342" w:rsidRDefault="008A656B" w:rsidP="00851097">
            <w:pPr>
              <w:pStyle w:val="Default"/>
              <w:rPr>
                <w:sz w:val="16"/>
                <w:szCs w:val="16"/>
              </w:rPr>
            </w:pPr>
            <w:r>
              <w:rPr>
                <w:sz w:val="16"/>
              </w:rPr>
              <w:t>(Tetens et al., 2011)</w:t>
            </w:r>
          </w:p>
        </w:tc>
        <w:tc>
          <w:tcPr>
            <w:tcW w:w="940" w:type="pct"/>
            <w:tcBorders>
              <w:top w:val="single" w:sz="4" w:space="0" w:color="auto"/>
            </w:tcBorders>
            <w:vAlign w:val="bottom"/>
          </w:tcPr>
          <w:p w14:paraId="293BB462" w14:textId="77777777" w:rsidR="008A656B" w:rsidRPr="001D2342" w:rsidRDefault="008A656B" w:rsidP="00851097">
            <w:pPr>
              <w:pStyle w:val="Default"/>
              <w:rPr>
                <w:sz w:val="16"/>
                <w:szCs w:val="16"/>
              </w:rPr>
            </w:pPr>
            <w:r>
              <w:rPr>
                <w:sz w:val="16"/>
              </w:rPr>
              <w:t>7 dienu uztura pieraksts un intervija</w:t>
            </w:r>
          </w:p>
        </w:tc>
        <w:tc>
          <w:tcPr>
            <w:tcW w:w="201" w:type="pct"/>
            <w:tcBorders>
              <w:top w:val="single" w:sz="4" w:space="0" w:color="auto"/>
            </w:tcBorders>
            <w:vAlign w:val="bottom"/>
          </w:tcPr>
          <w:p w14:paraId="7283D2F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587</w:t>
            </w:r>
          </w:p>
        </w:tc>
        <w:tc>
          <w:tcPr>
            <w:tcW w:w="129" w:type="pct"/>
            <w:tcBorders>
              <w:top w:val="single" w:sz="4" w:space="0" w:color="auto"/>
            </w:tcBorders>
            <w:vAlign w:val="bottom"/>
          </w:tcPr>
          <w:p w14:paraId="46422760" w14:textId="77777777" w:rsidR="008A656B" w:rsidRPr="001D2342" w:rsidRDefault="008A656B" w:rsidP="00851097">
            <w:pPr>
              <w:rPr>
                <w:rFonts w:ascii="Times New Roman" w:hAnsi="Times New Roman" w:cs="Times New Roman"/>
                <w:sz w:val="16"/>
                <w:szCs w:val="16"/>
              </w:rPr>
            </w:pPr>
          </w:p>
        </w:tc>
        <w:tc>
          <w:tcPr>
            <w:tcW w:w="189" w:type="pct"/>
            <w:tcBorders>
              <w:top w:val="single" w:sz="4" w:space="0" w:color="auto"/>
            </w:tcBorders>
            <w:vAlign w:val="bottom"/>
          </w:tcPr>
          <w:p w14:paraId="72ED6444"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18</w:t>
            </w:r>
          </w:p>
        </w:tc>
        <w:tc>
          <w:tcPr>
            <w:tcW w:w="110" w:type="pct"/>
            <w:tcBorders>
              <w:top w:val="single" w:sz="4" w:space="0" w:color="auto"/>
            </w:tcBorders>
            <w:vAlign w:val="bottom"/>
          </w:tcPr>
          <w:p w14:paraId="182C6F1B" w14:textId="77777777" w:rsidR="008A656B" w:rsidRPr="001D2342" w:rsidRDefault="008A656B" w:rsidP="00851097">
            <w:pPr>
              <w:rPr>
                <w:rFonts w:ascii="Times New Roman" w:hAnsi="Times New Roman" w:cs="Times New Roman"/>
                <w:sz w:val="16"/>
                <w:szCs w:val="16"/>
              </w:rPr>
            </w:pPr>
          </w:p>
        </w:tc>
        <w:tc>
          <w:tcPr>
            <w:tcW w:w="192" w:type="pct"/>
            <w:tcBorders>
              <w:top w:val="single" w:sz="4" w:space="0" w:color="auto"/>
            </w:tcBorders>
            <w:vAlign w:val="bottom"/>
          </w:tcPr>
          <w:p w14:paraId="7BAF0F95"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49</w:t>
            </w:r>
          </w:p>
        </w:tc>
        <w:tc>
          <w:tcPr>
            <w:tcW w:w="678" w:type="pct"/>
            <w:tcBorders>
              <w:top w:val="single" w:sz="4" w:space="0" w:color="auto"/>
            </w:tcBorders>
            <w:vAlign w:val="bottom"/>
          </w:tcPr>
          <w:p w14:paraId="05F5D0DA"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Uztura bagātinātāju lietotāji</w:t>
            </w:r>
          </w:p>
        </w:tc>
        <w:tc>
          <w:tcPr>
            <w:tcW w:w="242" w:type="pct"/>
            <w:tcBorders>
              <w:top w:val="single" w:sz="4" w:space="0" w:color="auto"/>
            </w:tcBorders>
            <w:vAlign w:val="bottom"/>
          </w:tcPr>
          <w:p w14:paraId="4259E947"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1 228,0</w:t>
            </w:r>
          </w:p>
        </w:tc>
        <w:tc>
          <w:tcPr>
            <w:tcW w:w="259" w:type="pct"/>
            <w:tcBorders>
              <w:top w:val="single" w:sz="4" w:space="0" w:color="auto"/>
            </w:tcBorders>
            <w:vAlign w:val="bottom"/>
          </w:tcPr>
          <w:p w14:paraId="0E571779" w14:textId="77777777" w:rsidR="008A656B" w:rsidRPr="001D2342" w:rsidRDefault="008A656B" w:rsidP="00851097">
            <w:pPr>
              <w:rPr>
                <w:rFonts w:ascii="Times New Roman" w:hAnsi="Times New Roman" w:cs="Times New Roman"/>
                <w:sz w:val="16"/>
                <w:szCs w:val="16"/>
              </w:rPr>
            </w:pPr>
          </w:p>
        </w:tc>
        <w:tc>
          <w:tcPr>
            <w:tcW w:w="199" w:type="pct"/>
            <w:tcBorders>
              <w:top w:val="single" w:sz="4" w:space="0" w:color="auto"/>
            </w:tcBorders>
            <w:vAlign w:val="bottom"/>
          </w:tcPr>
          <w:p w14:paraId="3E2C25CB" w14:textId="77777777" w:rsidR="008A656B" w:rsidRPr="001D2342" w:rsidRDefault="008A656B" w:rsidP="00851097">
            <w:pPr>
              <w:rPr>
                <w:rFonts w:ascii="Times New Roman" w:hAnsi="Times New Roman" w:cs="Times New Roman"/>
                <w:sz w:val="16"/>
                <w:szCs w:val="16"/>
              </w:rPr>
            </w:pPr>
          </w:p>
        </w:tc>
        <w:tc>
          <w:tcPr>
            <w:tcW w:w="242" w:type="pct"/>
            <w:tcBorders>
              <w:top w:val="single" w:sz="4" w:space="0" w:color="auto"/>
            </w:tcBorders>
            <w:vAlign w:val="bottom"/>
          </w:tcPr>
          <w:p w14:paraId="3EB2B65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2 029,0</w:t>
            </w:r>
          </w:p>
        </w:tc>
        <w:tc>
          <w:tcPr>
            <w:tcW w:w="243" w:type="pct"/>
            <w:tcBorders>
              <w:top w:val="single" w:sz="4" w:space="0" w:color="auto"/>
            </w:tcBorders>
            <w:vAlign w:val="bottom"/>
          </w:tcPr>
          <w:p w14:paraId="690ACA8D" w14:textId="77777777" w:rsidR="008A656B" w:rsidRPr="001D2342" w:rsidRDefault="008A656B" w:rsidP="00851097">
            <w:pPr>
              <w:rPr>
                <w:rFonts w:ascii="Times New Roman" w:hAnsi="Times New Roman" w:cs="Times New Roman"/>
                <w:sz w:val="16"/>
                <w:szCs w:val="16"/>
              </w:rPr>
            </w:pPr>
          </w:p>
        </w:tc>
      </w:tr>
      <w:tr w:rsidR="008A656B" w:rsidRPr="001D2342" w14:paraId="7112B0C0" w14:textId="77777777" w:rsidTr="00851097">
        <w:trPr>
          <w:trHeight w:val="260"/>
        </w:trPr>
        <w:tc>
          <w:tcPr>
            <w:tcW w:w="379" w:type="pct"/>
            <w:vAlign w:val="bottom"/>
          </w:tcPr>
          <w:p w14:paraId="2A0D0BEC" w14:textId="77777777" w:rsidR="008A656B" w:rsidRPr="001D2342" w:rsidRDefault="008A656B" w:rsidP="00851097">
            <w:pPr>
              <w:rPr>
                <w:rFonts w:ascii="Times New Roman" w:hAnsi="Times New Roman" w:cs="Times New Roman"/>
                <w:b/>
                <w:bCs/>
                <w:sz w:val="16"/>
                <w:szCs w:val="16"/>
              </w:rPr>
            </w:pPr>
          </w:p>
        </w:tc>
        <w:tc>
          <w:tcPr>
            <w:tcW w:w="261" w:type="pct"/>
            <w:vAlign w:val="bottom"/>
          </w:tcPr>
          <w:p w14:paraId="518F330D" w14:textId="77777777" w:rsidR="008A656B" w:rsidRPr="001D2342" w:rsidRDefault="008A656B" w:rsidP="00851097">
            <w:pPr>
              <w:rPr>
                <w:rFonts w:ascii="Times New Roman" w:hAnsi="Times New Roman" w:cs="Times New Roman"/>
                <w:b/>
                <w:bCs/>
                <w:sz w:val="16"/>
                <w:szCs w:val="16"/>
              </w:rPr>
            </w:pPr>
          </w:p>
        </w:tc>
        <w:tc>
          <w:tcPr>
            <w:tcW w:w="364" w:type="pct"/>
            <w:vAlign w:val="bottom"/>
          </w:tcPr>
          <w:p w14:paraId="7DA65D26" w14:textId="77777777" w:rsidR="008A656B" w:rsidRPr="001D2342" w:rsidRDefault="008A656B" w:rsidP="00851097">
            <w:pPr>
              <w:rPr>
                <w:rFonts w:ascii="Times New Roman" w:hAnsi="Times New Roman" w:cs="Times New Roman"/>
                <w:b/>
                <w:bCs/>
                <w:sz w:val="16"/>
                <w:szCs w:val="16"/>
              </w:rPr>
            </w:pPr>
          </w:p>
        </w:tc>
        <w:tc>
          <w:tcPr>
            <w:tcW w:w="373" w:type="pct"/>
            <w:vAlign w:val="bottom"/>
          </w:tcPr>
          <w:p w14:paraId="72507C6E" w14:textId="77777777" w:rsidR="008A656B" w:rsidRPr="001D2342" w:rsidRDefault="008A656B" w:rsidP="00851097">
            <w:pPr>
              <w:rPr>
                <w:rFonts w:ascii="Times New Roman" w:hAnsi="Times New Roman" w:cs="Times New Roman"/>
                <w:sz w:val="16"/>
                <w:szCs w:val="16"/>
              </w:rPr>
            </w:pPr>
          </w:p>
        </w:tc>
        <w:tc>
          <w:tcPr>
            <w:tcW w:w="940" w:type="pct"/>
            <w:vAlign w:val="bottom"/>
          </w:tcPr>
          <w:p w14:paraId="14C26B18" w14:textId="77777777" w:rsidR="008A656B" w:rsidRPr="001D2342" w:rsidRDefault="008A656B" w:rsidP="00851097">
            <w:pPr>
              <w:rPr>
                <w:rFonts w:ascii="Times New Roman" w:hAnsi="Times New Roman" w:cs="Times New Roman"/>
                <w:sz w:val="16"/>
                <w:szCs w:val="16"/>
              </w:rPr>
            </w:pPr>
          </w:p>
        </w:tc>
        <w:tc>
          <w:tcPr>
            <w:tcW w:w="201" w:type="pct"/>
            <w:shd w:val="clear" w:color="auto" w:fill="D9D9D9" w:themeFill="background1" w:themeFillShade="D9"/>
            <w:vAlign w:val="bottom"/>
          </w:tcPr>
          <w:p w14:paraId="01933730"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491</w:t>
            </w:r>
          </w:p>
        </w:tc>
        <w:tc>
          <w:tcPr>
            <w:tcW w:w="129" w:type="pct"/>
            <w:shd w:val="clear" w:color="auto" w:fill="D9D9D9" w:themeFill="background1" w:themeFillShade="D9"/>
            <w:vAlign w:val="bottom"/>
          </w:tcPr>
          <w:p w14:paraId="07B8DA26" w14:textId="77777777" w:rsidR="008A656B" w:rsidRPr="001D2342" w:rsidRDefault="008A656B" w:rsidP="00851097">
            <w:pPr>
              <w:rPr>
                <w:rFonts w:ascii="Times New Roman" w:hAnsi="Times New Roman" w:cs="Times New Roman"/>
                <w:sz w:val="16"/>
                <w:szCs w:val="16"/>
              </w:rPr>
            </w:pPr>
          </w:p>
        </w:tc>
        <w:tc>
          <w:tcPr>
            <w:tcW w:w="189" w:type="pct"/>
            <w:shd w:val="clear" w:color="auto" w:fill="D9D9D9" w:themeFill="background1" w:themeFillShade="D9"/>
            <w:vAlign w:val="bottom"/>
          </w:tcPr>
          <w:p w14:paraId="59958FA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50</w:t>
            </w:r>
          </w:p>
        </w:tc>
        <w:tc>
          <w:tcPr>
            <w:tcW w:w="110" w:type="pct"/>
            <w:shd w:val="clear" w:color="auto" w:fill="D9D9D9" w:themeFill="background1" w:themeFillShade="D9"/>
            <w:vAlign w:val="bottom"/>
          </w:tcPr>
          <w:p w14:paraId="59B44F85" w14:textId="77777777" w:rsidR="008A656B" w:rsidRPr="001D2342" w:rsidRDefault="008A656B" w:rsidP="00851097">
            <w:pPr>
              <w:rPr>
                <w:rFonts w:ascii="Times New Roman" w:hAnsi="Times New Roman" w:cs="Times New Roman"/>
                <w:sz w:val="16"/>
                <w:szCs w:val="16"/>
              </w:rPr>
            </w:pPr>
          </w:p>
        </w:tc>
        <w:tc>
          <w:tcPr>
            <w:tcW w:w="192" w:type="pct"/>
            <w:shd w:val="clear" w:color="auto" w:fill="D9D9D9" w:themeFill="background1" w:themeFillShade="D9"/>
            <w:vAlign w:val="bottom"/>
          </w:tcPr>
          <w:p w14:paraId="755B87AA"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75</w:t>
            </w:r>
          </w:p>
        </w:tc>
        <w:tc>
          <w:tcPr>
            <w:tcW w:w="678" w:type="pct"/>
            <w:shd w:val="clear" w:color="auto" w:fill="D9D9D9" w:themeFill="background1" w:themeFillShade="D9"/>
            <w:vAlign w:val="bottom"/>
          </w:tcPr>
          <w:p w14:paraId="5370899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Uztura bagātinātāju lietotāji</w:t>
            </w:r>
          </w:p>
        </w:tc>
        <w:tc>
          <w:tcPr>
            <w:tcW w:w="242" w:type="pct"/>
            <w:shd w:val="clear" w:color="auto" w:fill="D9D9D9" w:themeFill="background1" w:themeFillShade="D9"/>
            <w:vAlign w:val="bottom"/>
          </w:tcPr>
          <w:p w14:paraId="1F5BDB19"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970,0</w:t>
            </w:r>
          </w:p>
        </w:tc>
        <w:tc>
          <w:tcPr>
            <w:tcW w:w="259" w:type="pct"/>
            <w:shd w:val="clear" w:color="auto" w:fill="D9D9D9" w:themeFill="background1" w:themeFillShade="D9"/>
            <w:vAlign w:val="bottom"/>
          </w:tcPr>
          <w:p w14:paraId="21F1151E" w14:textId="77777777" w:rsidR="008A656B" w:rsidRPr="001D2342" w:rsidRDefault="008A656B" w:rsidP="00851097">
            <w:pPr>
              <w:rPr>
                <w:rFonts w:ascii="Times New Roman" w:hAnsi="Times New Roman" w:cs="Times New Roman"/>
                <w:sz w:val="16"/>
                <w:szCs w:val="16"/>
              </w:rPr>
            </w:pPr>
          </w:p>
        </w:tc>
        <w:tc>
          <w:tcPr>
            <w:tcW w:w="199" w:type="pct"/>
            <w:shd w:val="clear" w:color="auto" w:fill="D9D9D9" w:themeFill="background1" w:themeFillShade="D9"/>
            <w:vAlign w:val="bottom"/>
          </w:tcPr>
          <w:p w14:paraId="38C3DADE"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4CB04E9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1 785,0</w:t>
            </w:r>
          </w:p>
        </w:tc>
        <w:tc>
          <w:tcPr>
            <w:tcW w:w="243" w:type="pct"/>
            <w:shd w:val="clear" w:color="auto" w:fill="D9D9D9" w:themeFill="background1" w:themeFillShade="D9"/>
            <w:vAlign w:val="bottom"/>
          </w:tcPr>
          <w:p w14:paraId="22C4C051" w14:textId="77777777" w:rsidR="008A656B" w:rsidRPr="001D2342" w:rsidRDefault="008A656B" w:rsidP="00851097">
            <w:pPr>
              <w:rPr>
                <w:rFonts w:ascii="Times New Roman" w:hAnsi="Times New Roman" w:cs="Times New Roman"/>
                <w:sz w:val="16"/>
                <w:szCs w:val="16"/>
              </w:rPr>
            </w:pPr>
          </w:p>
        </w:tc>
      </w:tr>
      <w:tr w:rsidR="008A656B" w:rsidRPr="001D2342" w14:paraId="01CAE83A" w14:textId="77777777" w:rsidTr="00851097">
        <w:trPr>
          <w:trHeight w:val="260"/>
        </w:trPr>
        <w:tc>
          <w:tcPr>
            <w:tcW w:w="379" w:type="pct"/>
            <w:vAlign w:val="bottom"/>
          </w:tcPr>
          <w:p w14:paraId="7513A0F8" w14:textId="77777777" w:rsidR="008A656B" w:rsidRPr="001D2342" w:rsidRDefault="008A656B" w:rsidP="00851097">
            <w:pPr>
              <w:rPr>
                <w:rFonts w:ascii="Times New Roman" w:hAnsi="Times New Roman" w:cs="Times New Roman"/>
                <w:b/>
                <w:bCs/>
                <w:sz w:val="16"/>
                <w:szCs w:val="16"/>
              </w:rPr>
            </w:pPr>
          </w:p>
        </w:tc>
        <w:tc>
          <w:tcPr>
            <w:tcW w:w="261" w:type="pct"/>
            <w:vAlign w:val="bottom"/>
          </w:tcPr>
          <w:p w14:paraId="0D13479A" w14:textId="77777777" w:rsidR="008A656B" w:rsidRPr="001D2342" w:rsidRDefault="008A656B" w:rsidP="00851097">
            <w:pPr>
              <w:rPr>
                <w:rFonts w:ascii="Times New Roman" w:hAnsi="Times New Roman" w:cs="Times New Roman"/>
                <w:b/>
                <w:bCs/>
                <w:sz w:val="16"/>
                <w:szCs w:val="16"/>
              </w:rPr>
            </w:pPr>
          </w:p>
        </w:tc>
        <w:tc>
          <w:tcPr>
            <w:tcW w:w="364" w:type="pct"/>
            <w:vAlign w:val="bottom"/>
          </w:tcPr>
          <w:p w14:paraId="37AE9C03"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Somija</w:t>
            </w:r>
          </w:p>
        </w:tc>
        <w:tc>
          <w:tcPr>
            <w:tcW w:w="373" w:type="pct"/>
            <w:vAlign w:val="bottom"/>
          </w:tcPr>
          <w:p w14:paraId="40A3FA5A" w14:textId="77777777" w:rsidR="008A656B" w:rsidRPr="001D2342" w:rsidRDefault="008A656B" w:rsidP="00851097">
            <w:pPr>
              <w:pStyle w:val="Default"/>
              <w:rPr>
                <w:sz w:val="16"/>
                <w:szCs w:val="16"/>
              </w:rPr>
            </w:pPr>
            <w:r>
              <w:rPr>
                <w:sz w:val="16"/>
              </w:rPr>
              <w:t>(Paturi et al., 2008)</w:t>
            </w:r>
          </w:p>
        </w:tc>
        <w:tc>
          <w:tcPr>
            <w:tcW w:w="940" w:type="pct"/>
            <w:vAlign w:val="bottom"/>
          </w:tcPr>
          <w:p w14:paraId="6DC831AC" w14:textId="77777777" w:rsidR="008A656B" w:rsidRPr="001D2342" w:rsidRDefault="008A656B" w:rsidP="00851097">
            <w:pPr>
              <w:pStyle w:val="Default"/>
              <w:rPr>
                <w:sz w:val="16"/>
                <w:szCs w:val="16"/>
              </w:rPr>
            </w:pPr>
            <w:r>
              <w:rPr>
                <w:sz w:val="16"/>
              </w:rPr>
              <w:t>48 stundu atcerēšanās anketa un divi 3 dienu uztura pieraksti par parastajām devām pēdējā gada laikā (novērtējums par tiem, kas sniedz nepilnīgu informāciju)</w:t>
            </w:r>
          </w:p>
        </w:tc>
        <w:tc>
          <w:tcPr>
            <w:tcW w:w="201" w:type="pct"/>
            <w:vAlign w:val="bottom"/>
          </w:tcPr>
          <w:p w14:paraId="342691AA"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637</w:t>
            </w:r>
          </w:p>
        </w:tc>
        <w:tc>
          <w:tcPr>
            <w:tcW w:w="129" w:type="pct"/>
            <w:vAlign w:val="bottom"/>
          </w:tcPr>
          <w:p w14:paraId="46AEFC1A" w14:textId="77777777" w:rsidR="008A656B" w:rsidRPr="001D2342" w:rsidRDefault="008A656B" w:rsidP="00851097">
            <w:pPr>
              <w:rPr>
                <w:rFonts w:ascii="Times New Roman" w:hAnsi="Times New Roman" w:cs="Times New Roman"/>
                <w:sz w:val="16"/>
                <w:szCs w:val="16"/>
              </w:rPr>
            </w:pPr>
          </w:p>
        </w:tc>
        <w:tc>
          <w:tcPr>
            <w:tcW w:w="189" w:type="pct"/>
            <w:vAlign w:val="bottom"/>
          </w:tcPr>
          <w:p w14:paraId="420A470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25</w:t>
            </w:r>
          </w:p>
        </w:tc>
        <w:tc>
          <w:tcPr>
            <w:tcW w:w="110" w:type="pct"/>
            <w:vAlign w:val="bottom"/>
          </w:tcPr>
          <w:p w14:paraId="1F532891" w14:textId="77777777" w:rsidR="008A656B" w:rsidRPr="001D2342" w:rsidRDefault="008A656B" w:rsidP="00851097">
            <w:pPr>
              <w:rPr>
                <w:rFonts w:ascii="Times New Roman" w:hAnsi="Times New Roman" w:cs="Times New Roman"/>
                <w:sz w:val="16"/>
                <w:szCs w:val="16"/>
              </w:rPr>
            </w:pPr>
          </w:p>
        </w:tc>
        <w:tc>
          <w:tcPr>
            <w:tcW w:w="192" w:type="pct"/>
            <w:vAlign w:val="bottom"/>
          </w:tcPr>
          <w:p w14:paraId="5447FA6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74</w:t>
            </w:r>
          </w:p>
        </w:tc>
        <w:tc>
          <w:tcPr>
            <w:tcW w:w="678" w:type="pct"/>
            <w:vAlign w:val="bottom"/>
          </w:tcPr>
          <w:p w14:paraId="685EE077"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Parastās devas. Izņemot tos, kuri nav snieguši datus pilnā apjomā</w:t>
            </w:r>
          </w:p>
        </w:tc>
        <w:tc>
          <w:tcPr>
            <w:tcW w:w="242" w:type="pct"/>
            <w:vAlign w:val="bottom"/>
          </w:tcPr>
          <w:p w14:paraId="1AD63044"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1 300,0</w:t>
            </w:r>
          </w:p>
        </w:tc>
        <w:tc>
          <w:tcPr>
            <w:tcW w:w="259" w:type="pct"/>
            <w:vAlign w:val="bottom"/>
          </w:tcPr>
          <w:p w14:paraId="26065DEC" w14:textId="77777777" w:rsidR="008A656B" w:rsidRPr="001D2342" w:rsidRDefault="008A656B" w:rsidP="00851097">
            <w:pPr>
              <w:rPr>
                <w:rFonts w:ascii="Times New Roman" w:hAnsi="Times New Roman" w:cs="Times New Roman"/>
                <w:sz w:val="16"/>
                <w:szCs w:val="16"/>
              </w:rPr>
            </w:pPr>
          </w:p>
        </w:tc>
        <w:tc>
          <w:tcPr>
            <w:tcW w:w="199" w:type="pct"/>
            <w:vAlign w:val="bottom"/>
          </w:tcPr>
          <w:p w14:paraId="5D4DE992" w14:textId="77777777" w:rsidR="008A656B" w:rsidRPr="001D2342" w:rsidRDefault="008A656B" w:rsidP="00851097">
            <w:pPr>
              <w:rPr>
                <w:rFonts w:ascii="Times New Roman" w:hAnsi="Times New Roman" w:cs="Times New Roman"/>
                <w:sz w:val="16"/>
                <w:szCs w:val="16"/>
              </w:rPr>
            </w:pPr>
          </w:p>
        </w:tc>
        <w:tc>
          <w:tcPr>
            <w:tcW w:w="242" w:type="pct"/>
            <w:vAlign w:val="bottom"/>
          </w:tcPr>
          <w:p w14:paraId="110660C8"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2 100,0</w:t>
            </w:r>
          </w:p>
        </w:tc>
        <w:tc>
          <w:tcPr>
            <w:tcW w:w="243" w:type="pct"/>
            <w:vAlign w:val="bottom"/>
          </w:tcPr>
          <w:p w14:paraId="3CBB8ADC" w14:textId="77777777" w:rsidR="008A656B" w:rsidRPr="001D2342" w:rsidRDefault="008A656B" w:rsidP="00851097">
            <w:pPr>
              <w:rPr>
                <w:rFonts w:ascii="Times New Roman" w:hAnsi="Times New Roman" w:cs="Times New Roman"/>
                <w:sz w:val="16"/>
                <w:szCs w:val="16"/>
              </w:rPr>
            </w:pPr>
          </w:p>
        </w:tc>
      </w:tr>
      <w:tr w:rsidR="008A656B" w:rsidRPr="001D2342" w14:paraId="0D98BB52" w14:textId="77777777" w:rsidTr="00851097">
        <w:trPr>
          <w:trHeight w:val="260"/>
        </w:trPr>
        <w:tc>
          <w:tcPr>
            <w:tcW w:w="379" w:type="pct"/>
            <w:vAlign w:val="bottom"/>
          </w:tcPr>
          <w:p w14:paraId="603BA56D" w14:textId="77777777" w:rsidR="008A656B" w:rsidRPr="001D2342" w:rsidRDefault="008A656B" w:rsidP="00851097">
            <w:pPr>
              <w:rPr>
                <w:rFonts w:ascii="Times New Roman" w:hAnsi="Times New Roman" w:cs="Times New Roman"/>
                <w:b/>
                <w:bCs/>
                <w:sz w:val="16"/>
                <w:szCs w:val="16"/>
              </w:rPr>
            </w:pPr>
          </w:p>
        </w:tc>
        <w:tc>
          <w:tcPr>
            <w:tcW w:w="261" w:type="pct"/>
            <w:vAlign w:val="bottom"/>
          </w:tcPr>
          <w:p w14:paraId="6B4634D1" w14:textId="77777777" w:rsidR="008A656B" w:rsidRPr="001D2342" w:rsidRDefault="008A656B" w:rsidP="00851097">
            <w:pPr>
              <w:rPr>
                <w:rFonts w:ascii="Times New Roman" w:hAnsi="Times New Roman" w:cs="Times New Roman"/>
                <w:b/>
                <w:bCs/>
                <w:sz w:val="16"/>
                <w:szCs w:val="16"/>
              </w:rPr>
            </w:pPr>
          </w:p>
        </w:tc>
        <w:tc>
          <w:tcPr>
            <w:tcW w:w="364" w:type="pct"/>
            <w:vAlign w:val="bottom"/>
          </w:tcPr>
          <w:p w14:paraId="7F652E2F"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Īrija</w:t>
            </w:r>
          </w:p>
        </w:tc>
        <w:tc>
          <w:tcPr>
            <w:tcW w:w="373" w:type="pct"/>
            <w:vAlign w:val="bottom"/>
          </w:tcPr>
          <w:p w14:paraId="67A9AF71" w14:textId="77777777" w:rsidR="008A656B" w:rsidRPr="001D2342" w:rsidRDefault="008A656B" w:rsidP="00851097">
            <w:pPr>
              <w:pStyle w:val="Default"/>
              <w:rPr>
                <w:sz w:val="16"/>
                <w:szCs w:val="16"/>
              </w:rPr>
            </w:pPr>
            <w:r>
              <w:rPr>
                <w:sz w:val="16"/>
              </w:rPr>
              <w:t>(IUNA (Irish Universities Nutrition Alliance), 2011)</w:t>
            </w:r>
          </w:p>
        </w:tc>
        <w:tc>
          <w:tcPr>
            <w:tcW w:w="940" w:type="pct"/>
            <w:vAlign w:val="bottom"/>
          </w:tcPr>
          <w:p w14:paraId="73BC7151" w14:textId="77777777" w:rsidR="008A656B" w:rsidRPr="001D2342" w:rsidRDefault="008A656B" w:rsidP="00851097">
            <w:pPr>
              <w:pStyle w:val="Default"/>
              <w:rPr>
                <w:sz w:val="16"/>
                <w:szCs w:val="16"/>
              </w:rPr>
            </w:pPr>
            <w:r>
              <w:rPr>
                <w:sz w:val="16"/>
              </w:rPr>
              <w:t>4 dienu uztura pieraksts</w:t>
            </w:r>
          </w:p>
        </w:tc>
        <w:tc>
          <w:tcPr>
            <w:tcW w:w="201" w:type="pct"/>
            <w:vAlign w:val="bottom"/>
          </w:tcPr>
          <w:p w14:paraId="1F542684"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276</w:t>
            </w:r>
          </w:p>
        </w:tc>
        <w:tc>
          <w:tcPr>
            <w:tcW w:w="129" w:type="pct"/>
            <w:vAlign w:val="bottom"/>
          </w:tcPr>
          <w:p w14:paraId="7A56539E" w14:textId="77777777" w:rsidR="008A656B" w:rsidRPr="001D2342" w:rsidRDefault="008A656B" w:rsidP="00851097">
            <w:pPr>
              <w:rPr>
                <w:rFonts w:ascii="Times New Roman" w:hAnsi="Times New Roman" w:cs="Times New Roman"/>
                <w:sz w:val="16"/>
                <w:szCs w:val="16"/>
              </w:rPr>
            </w:pPr>
          </w:p>
        </w:tc>
        <w:tc>
          <w:tcPr>
            <w:tcW w:w="189" w:type="pct"/>
            <w:vAlign w:val="bottom"/>
          </w:tcPr>
          <w:p w14:paraId="5CD2C10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18</w:t>
            </w:r>
          </w:p>
        </w:tc>
        <w:tc>
          <w:tcPr>
            <w:tcW w:w="110" w:type="pct"/>
            <w:vAlign w:val="bottom"/>
          </w:tcPr>
          <w:p w14:paraId="1C44AB86" w14:textId="77777777" w:rsidR="008A656B" w:rsidRPr="001D2342" w:rsidRDefault="008A656B" w:rsidP="00851097">
            <w:pPr>
              <w:rPr>
                <w:rFonts w:ascii="Times New Roman" w:hAnsi="Times New Roman" w:cs="Times New Roman"/>
                <w:sz w:val="16"/>
                <w:szCs w:val="16"/>
              </w:rPr>
            </w:pPr>
          </w:p>
        </w:tc>
        <w:tc>
          <w:tcPr>
            <w:tcW w:w="192" w:type="pct"/>
            <w:vAlign w:val="bottom"/>
          </w:tcPr>
          <w:p w14:paraId="1174F612"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35</w:t>
            </w:r>
          </w:p>
        </w:tc>
        <w:tc>
          <w:tcPr>
            <w:tcW w:w="678" w:type="pct"/>
            <w:vAlign w:val="bottom"/>
          </w:tcPr>
          <w:p w14:paraId="4F10C177" w14:textId="77777777" w:rsidR="008A656B" w:rsidRPr="001D2342" w:rsidRDefault="008A656B" w:rsidP="00851097">
            <w:pPr>
              <w:rPr>
                <w:rFonts w:ascii="Times New Roman" w:hAnsi="Times New Roman" w:cs="Times New Roman"/>
                <w:sz w:val="16"/>
                <w:szCs w:val="16"/>
              </w:rPr>
            </w:pPr>
          </w:p>
        </w:tc>
        <w:tc>
          <w:tcPr>
            <w:tcW w:w="242" w:type="pct"/>
            <w:vAlign w:val="bottom"/>
          </w:tcPr>
          <w:p w14:paraId="50DAE385"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1 122,0</w:t>
            </w:r>
          </w:p>
        </w:tc>
        <w:tc>
          <w:tcPr>
            <w:tcW w:w="259" w:type="pct"/>
            <w:vAlign w:val="bottom"/>
          </w:tcPr>
          <w:p w14:paraId="785757BB" w14:textId="77777777" w:rsidR="008A656B" w:rsidRPr="001D2342" w:rsidRDefault="008A656B" w:rsidP="00851097">
            <w:pPr>
              <w:rPr>
                <w:rFonts w:ascii="Times New Roman" w:hAnsi="Times New Roman" w:cs="Times New Roman"/>
                <w:sz w:val="16"/>
                <w:szCs w:val="16"/>
              </w:rPr>
            </w:pPr>
          </w:p>
        </w:tc>
        <w:tc>
          <w:tcPr>
            <w:tcW w:w="199" w:type="pct"/>
            <w:vAlign w:val="bottom"/>
          </w:tcPr>
          <w:p w14:paraId="49CD88C9" w14:textId="77777777" w:rsidR="008A656B" w:rsidRPr="001D2342" w:rsidRDefault="008A656B" w:rsidP="00851097">
            <w:pPr>
              <w:rPr>
                <w:rFonts w:ascii="Times New Roman" w:hAnsi="Times New Roman" w:cs="Times New Roman"/>
                <w:sz w:val="16"/>
                <w:szCs w:val="16"/>
              </w:rPr>
            </w:pPr>
          </w:p>
        </w:tc>
        <w:tc>
          <w:tcPr>
            <w:tcW w:w="242" w:type="pct"/>
            <w:vAlign w:val="bottom"/>
          </w:tcPr>
          <w:p w14:paraId="6D055791"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1 877,0</w:t>
            </w:r>
          </w:p>
        </w:tc>
        <w:tc>
          <w:tcPr>
            <w:tcW w:w="243" w:type="pct"/>
            <w:vAlign w:val="bottom"/>
          </w:tcPr>
          <w:p w14:paraId="00FD39A2"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2 091,0</w:t>
            </w:r>
          </w:p>
        </w:tc>
      </w:tr>
      <w:tr w:rsidR="008A656B" w:rsidRPr="001D2342" w14:paraId="5AC5D56A" w14:textId="77777777" w:rsidTr="00851097">
        <w:trPr>
          <w:trHeight w:val="260"/>
        </w:trPr>
        <w:tc>
          <w:tcPr>
            <w:tcW w:w="379" w:type="pct"/>
            <w:vAlign w:val="bottom"/>
          </w:tcPr>
          <w:p w14:paraId="3756E67F" w14:textId="77777777" w:rsidR="008A656B" w:rsidRPr="001D2342" w:rsidRDefault="008A656B" w:rsidP="00851097">
            <w:pPr>
              <w:rPr>
                <w:rFonts w:ascii="Times New Roman" w:hAnsi="Times New Roman" w:cs="Times New Roman"/>
                <w:b/>
                <w:bCs/>
                <w:sz w:val="16"/>
                <w:szCs w:val="16"/>
              </w:rPr>
            </w:pPr>
          </w:p>
        </w:tc>
        <w:tc>
          <w:tcPr>
            <w:tcW w:w="261" w:type="pct"/>
            <w:vAlign w:val="bottom"/>
          </w:tcPr>
          <w:p w14:paraId="1BD573D6" w14:textId="77777777" w:rsidR="008A656B" w:rsidRPr="001D2342" w:rsidRDefault="008A656B" w:rsidP="00851097">
            <w:pPr>
              <w:rPr>
                <w:rFonts w:ascii="Times New Roman" w:hAnsi="Times New Roman" w:cs="Times New Roman"/>
                <w:b/>
                <w:bCs/>
                <w:sz w:val="16"/>
                <w:szCs w:val="16"/>
              </w:rPr>
            </w:pPr>
          </w:p>
        </w:tc>
        <w:tc>
          <w:tcPr>
            <w:tcW w:w="364" w:type="pct"/>
            <w:vAlign w:val="bottom"/>
          </w:tcPr>
          <w:p w14:paraId="66C9A4DE" w14:textId="77777777" w:rsidR="008A656B" w:rsidRPr="001D2342" w:rsidRDefault="008A656B" w:rsidP="00851097">
            <w:pPr>
              <w:rPr>
                <w:rFonts w:ascii="Times New Roman" w:hAnsi="Times New Roman" w:cs="Times New Roman"/>
                <w:b/>
                <w:bCs/>
                <w:sz w:val="16"/>
                <w:szCs w:val="16"/>
              </w:rPr>
            </w:pPr>
          </w:p>
        </w:tc>
        <w:tc>
          <w:tcPr>
            <w:tcW w:w="373" w:type="pct"/>
            <w:vAlign w:val="bottom"/>
          </w:tcPr>
          <w:p w14:paraId="60C6C777" w14:textId="77777777" w:rsidR="008A656B" w:rsidRPr="001D2342" w:rsidRDefault="008A656B" w:rsidP="00851097">
            <w:pPr>
              <w:rPr>
                <w:rFonts w:ascii="Times New Roman" w:hAnsi="Times New Roman" w:cs="Times New Roman"/>
                <w:sz w:val="16"/>
                <w:szCs w:val="16"/>
              </w:rPr>
            </w:pPr>
          </w:p>
        </w:tc>
        <w:tc>
          <w:tcPr>
            <w:tcW w:w="940" w:type="pct"/>
            <w:vAlign w:val="bottom"/>
          </w:tcPr>
          <w:p w14:paraId="44DF12DF" w14:textId="77777777" w:rsidR="008A656B" w:rsidRPr="001D2342" w:rsidRDefault="008A656B" w:rsidP="00851097">
            <w:pPr>
              <w:rPr>
                <w:rFonts w:ascii="Times New Roman" w:hAnsi="Times New Roman" w:cs="Times New Roman"/>
                <w:sz w:val="16"/>
                <w:szCs w:val="16"/>
              </w:rPr>
            </w:pPr>
          </w:p>
        </w:tc>
        <w:tc>
          <w:tcPr>
            <w:tcW w:w="201" w:type="pct"/>
            <w:vAlign w:val="bottom"/>
          </w:tcPr>
          <w:p w14:paraId="3CE3CB68"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205</w:t>
            </w:r>
          </w:p>
        </w:tc>
        <w:tc>
          <w:tcPr>
            <w:tcW w:w="129" w:type="pct"/>
            <w:vAlign w:val="bottom"/>
          </w:tcPr>
          <w:p w14:paraId="09FF18D2" w14:textId="77777777" w:rsidR="008A656B" w:rsidRPr="001D2342" w:rsidRDefault="008A656B" w:rsidP="00851097">
            <w:pPr>
              <w:rPr>
                <w:rFonts w:ascii="Times New Roman" w:hAnsi="Times New Roman" w:cs="Times New Roman"/>
                <w:sz w:val="16"/>
                <w:szCs w:val="16"/>
              </w:rPr>
            </w:pPr>
          </w:p>
        </w:tc>
        <w:tc>
          <w:tcPr>
            <w:tcW w:w="189" w:type="pct"/>
            <w:vAlign w:val="bottom"/>
          </w:tcPr>
          <w:p w14:paraId="1A67E112"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36</w:t>
            </w:r>
          </w:p>
        </w:tc>
        <w:tc>
          <w:tcPr>
            <w:tcW w:w="110" w:type="pct"/>
            <w:vAlign w:val="bottom"/>
          </w:tcPr>
          <w:p w14:paraId="1E322C88" w14:textId="77777777" w:rsidR="008A656B" w:rsidRPr="001D2342" w:rsidRDefault="008A656B" w:rsidP="00851097">
            <w:pPr>
              <w:rPr>
                <w:rFonts w:ascii="Times New Roman" w:hAnsi="Times New Roman" w:cs="Times New Roman"/>
                <w:sz w:val="16"/>
                <w:szCs w:val="16"/>
              </w:rPr>
            </w:pPr>
          </w:p>
        </w:tc>
        <w:tc>
          <w:tcPr>
            <w:tcW w:w="192" w:type="pct"/>
            <w:vAlign w:val="bottom"/>
          </w:tcPr>
          <w:p w14:paraId="05E331B4"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50</w:t>
            </w:r>
          </w:p>
        </w:tc>
        <w:tc>
          <w:tcPr>
            <w:tcW w:w="678" w:type="pct"/>
            <w:vAlign w:val="bottom"/>
          </w:tcPr>
          <w:p w14:paraId="77F68720" w14:textId="77777777" w:rsidR="008A656B" w:rsidRPr="001D2342" w:rsidRDefault="008A656B" w:rsidP="00851097">
            <w:pPr>
              <w:rPr>
                <w:rFonts w:ascii="Times New Roman" w:hAnsi="Times New Roman" w:cs="Times New Roman"/>
                <w:sz w:val="16"/>
                <w:szCs w:val="16"/>
              </w:rPr>
            </w:pPr>
          </w:p>
        </w:tc>
        <w:tc>
          <w:tcPr>
            <w:tcW w:w="242" w:type="pct"/>
            <w:vAlign w:val="bottom"/>
          </w:tcPr>
          <w:p w14:paraId="47AAD46E"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1 036,0</w:t>
            </w:r>
          </w:p>
        </w:tc>
        <w:tc>
          <w:tcPr>
            <w:tcW w:w="259" w:type="pct"/>
            <w:vAlign w:val="bottom"/>
          </w:tcPr>
          <w:p w14:paraId="7FA458E6" w14:textId="77777777" w:rsidR="008A656B" w:rsidRPr="001D2342" w:rsidRDefault="008A656B" w:rsidP="00851097">
            <w:pPr>
              <w:rPr>
                <w:rFonts w:ascii="Times New Roman" w:hAnsi="Times New Roman" w:cs="Times New Roman"/>
                <w:sz w:val="16"/>
                <w:szCs w:val="16"/>
              </w:rPr>
            </w:pPr>
          </w:p>
        </w:tc>
        <w:tc>
          <w:tcPr>
            <w:tcW w:w="199" w:type="pct"/>
            <w:vAlign w:val="bottom"/>
          </w:tcPr>
          <w:p w14:paraId="5EF360B2" w14:textId="77777777" w:rsidR="008A656B" w:rsidRPr="001D2342" w:rsidRDefault="008A656B" w:rsidP="00851097">
            <w:pPr>
              <w:rPr>
                <w:rFonts w:ascii="Times New Roman" w:hAnsi="Times New Roman" w:cs="Times New Roman"/>
                <w:sz w:val="16"/>
                <w:szCs w:val="16"/>
              </w:rPr>
            </w:pPr>
          </w:p>
        </w:tc>
        <w:tc>
          <w:tcPr>
            <w:tcW w:w="242" w:type="pct"/>
            <w:vAlign w:val="bottom"/>
          </w:tcPr>
          <w:p w14:paraId="39D1714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1 836,0</w:t>
            </w:r>
          </w:p>
        </w:tc>
        <w:tc>
          <w:tcPr>
            <w:tcW w:w="243" w:type="pct"/>
            <w:vAlign w:val="bottom"/>
          </w:tcPr>
          <w:p w14:paraId="32F421EA"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2 103,0</w:t>
            </w:r>
          </w:p>
        </w:tc>
      </w:tr>
      <w:tr w:rsidR="008A656B" w:rsidRPr="001D2342" w14:paraId="2EB0B5E6" w14:textId="77777777" w:rsidTr="00851097">
        <w:trPr>
          <w:trHeight w:val="260"/>
        </w:trPr>
        <w:tc>
          <w:tcPr>
            <w:tcW w:w="379" w:type="pct"/>
            <w:vAlign w:val="bottom"/>
          </w:tcPr>
          <w:p w14:paraId="72992151" w14:textId="77777777" w:rsidR="008A656B" w:rsidRPr="001D2342" w:rsidRDefault="008A656B" w:rsidP="00851097">
            <w:pPr>
              <w:rPr>
                <w:rFonts w:ascii="Times New Roman" w:hAnsi="Times New Roman" w:cs="Times New Roman"/>
                <w:b/>
                <w:bCs/>
                <w:sz w:val="16"/>
                <w:szCs w:val="16"/>
              </w:rPr>
            </w:pPr>
          </w:p>
        </w:tc>
        <w:tc>
          <w:tcPr>
            <w:tcW w:w="261" w:type="pct"/>
            <w:vAlign w:val="bottom"/>
          </w:tcPr>
          <w:p w14:paraId="77A00A26" w14:textId="77777777" w:rsidR="008A656B" w:rsidRPr="001D2342" w:rsidRDefault="008A656B" w:rsidP="00851097">
            <w:pPr>
              <w:rPr>
                <w:rFonts w:ascii="Times New Roman" w:hAnsi="Times New Roman" w:cs="Times New Roman"/>
                <w:b/>
                <w:bCs/>
                <w:sz w:val="16"/>
                <w:szCs w:val="16"/>
              </w:rPr>
            </w:pPr>
          </w:p>
        </w:tc>
        <w:tc>
          <w:tcPr>
            <w:tcW w:w="364" w:type="pct"/>
            <w:vAlign w:val="bottom"/>
          </w:tcPr>
          <w:p w14:paraId="51B23908" w14:textId="77777777" w:rsidR="008A656B" w:rsidRPr="001D2342" w:rsidRDefault="008A656B" w:rsidP="00851097">
            <w:pPr>
              <w:rPr>
                <w:rFonts w:ascii="Times New Roman" w:hAnsi="Times New Roman" w:cs="Times New Roman"/>
                <w:b/>
                <w:bCs/>
                <w:sz w:val="16"/>
                <w:szCs w:val="16"/>
              </w:rPr>
            </w:pPr>
          </w:p>
        </w:tc>
        <w:tc>
          <w:tcPr>
            <w:tcW w:w="373" w:type="pct"/>
            <w:vAlign w:val="bottom"/>
          </w:tcPr>
          <w:p w14:paraId="3D42D108" w14:textId="77777777" w:rsidR="008A656B" w:rsidRPr="001D2342" w:rsidRDefault="008A656B" w:rsidP="00851097">
            <w:pPr>
              <w:rPr>
                <w:rFonts w:ascii="Times New Roman" w:hAnsi="Times New Roman" w:cs="Times New Roman"/>
                <w:sz w:val="16"/>
                <w:szCs w:val="16"/>
              </w:rPr>
            </w:pPr>
          </w:p>
        </w:tc>
        <w:tc>
          <w:tcPr>
            <w:tcW w:w="940" w:type="pct"/>
            <w:vAlign w:val="bottom"/>
          </w:tcPr>
          <w:p w14:paraId="4759F3AD" w14:textId="77777777" w:rsidR="008A656B" w:rsidRPr="001D2342" w:rsidRDefault="008A656B" w:rsidP="00851097">
            <w:pPr>
              <w:rPr>
                <w:rFonts w:ascii="Times New Roman" w:hAnsi="Times New Roman" w:cs="Times New Roman"/>
                <w:sz w:val="16"/>
                <w:szCs w:val="16"/>
              </w:rPr>
            </w:pPr>
          </w:p>
        </w:tc>
        <w:tc>
          <w:tcPr>
            <w:tcW w:w="201" w:type="pct"/>
            <w:shd w:val="clear" w:color="auto" w:fill="D9D9D9" w:themeFill="background1" w:themeFillShade="D9"/>
            <w:vAlign w:val="bottom"/>
          </w:tcPr>
          <w:p w14:paraId="60E61088"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153</w:t>
            </w:r>
          </w:p>
        </w:tc>
        <w:tc>
          <w:tcPr>
            <w:tcW w:w="129" w:type="pct"/>
            <w:shd w:val="clear" w:color="auto" w:fill="D9D9D9" w:themeFill="background1" w:themeFillShade="D9"/>
            <w:vAlign w:val="bottom"/>
          </w:tcPr>
          <w:p w14:paraId="751525B1" w14:textId="77777777" w:rsidR="008A656B" w:rsidRPr="001D2342" w:rsidRDefault="008A656B" w:rsidP="00851097">
            <w:pPr>
              <w:rPr>
                <w:rFonts w:ascii="Times New Roman" w:hAnsi="Times New Roman" w:cs="Times New Roman"/>
                <w:sz w:val="16"/>
                <w:szCs w:val="16"/>
              </w:rPr>
            </w:pPr>
          </w:p>
        </w:tc>
        <w:tc>
          <w:tcPr>
            <w:tcW w:w="189" w:type="pct"/>
            <w:shd w:val="clear" w:color="auto" w:fill="D9D9D9" w:themeFill="background1" w:themeFillShade="D9"/>
            <w:vAlign w:val="bottom"/>
          </w:tcPr>
          <w:p w14:paraId="4753F3E8"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51</w:t>
            </w:r>
          </w:p>
        </w:tc>
        <w:tc>
          <w:tcPr>
            <w:tcW w:w="110" w:type="pct"/>
            <w:shd w:val="clear" w:color="auto" w:fill="D9D9D9" w:themeFill="background1" w:themeFillShade="D9"/>
            <w:vAlign w:val="bottom"/>
          </w:tcPr>
          <w:p w14:paraId="7AC0E7D0" w14:textId="77777777" w:rsidR="008A656B" w:rsidRPr="001D2342" w:rsidRDefault="008A656B" w:rsidP="00851097">
            <w:pPr>
              <w:rPr>
                <w:rFonts w:ascii="Times New Roman" w:hAnsi="Times New Roman" w:cs="Times New Roman"/>
                <w:sz w:val="16"/>
                <w:szCs w:val="16"/>
              </w:rPr>
            </w:pPr>
          </w:p>
        </w:tc>
        <w:tc>
          <w:tcPr>
            <w:tcW w:w="192" w:type="pct"/>
            <w:shd w:val="clear" w:color="auto" w:fill="D9D9D9" w:themeFill="background1" w:themeFillShade="D9"/>
            <w:vAlign w:val="bottom"/>
          </w:tcPr>
          <w:p w14:paraId="558A2347"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64</w:t>
            </w:r>
          </w:p>
        </w:tc>
        <w:tc>
          <w:tcPr>
            <w:tcW w:w="678" w:type="pct"/>
            <w:shd w:val="clear" w:color="auto" w:fill="D9D9D9" w:themeFill="background1" w:themeFillShade="D9"/>
            <w:vAlign w:val="bottom"/>
          </w:tcPr>
          <w:p w14:paraId="2F78396E" w14:textId="77777777" w:rsidR="008A656B" w:rsidRPr="001D2342" w:rsidRDefault="008A656B" w:rsidP="00851097">
            <w:pPr>
              <w:pStyle w:val="Default"/>
              <w:rPr>
                <w:sz w:val="16"/>
                <w:szCs w:val="16"/>
              </w:rPr>
            </w:pPr>
          </w:p>
        </w:tc>
        <w:tc>
          <w:tcPr>
            <w:tcW w:w="242" w:type="pct"/>
            <w:shd w:val="clear" w:color="auto" w:fill="D9D9D9" w:themeFill="background1" w:themeFillShade="D9"/>
            <w:vAlign w:val="bottom"/>
          </w:tcPr>
          <w:p w14:paraId="323FF43F"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981,0</w:t>
            </w:r>
          </w:p>
        </w:tc>
        <w:tc>
          <w:tcPr>
            <w:tcW w:w="259" w:type="pct"/>
            <w:shd w:val="clear" w:color="auto" w:fill="D9D9D9" w:themeFill="background1" w:themeFillShade="D9"/>
            <w:vAlign w:val="bottom"/>
          </w:tcPr>
          <w:p w14:paraId="5A89F312" w14:textId="77777777" w:rsidR="008A656B" w:rsidRPr="001D2342" w:rsidRDefault="008A656B" w:rsidP="00851097">
            <w:pPr>
              <w:rPr>
                <w:rFonts w:ascii="Times New Roman" w:hAnsi="Times New Roman" w:cs="Times New Roman"/>
                <w:sz w:val="16"/>
                <w:szCs w:val="16"/>
              </w:rPr>
            </w:pPr>
          </w:p>
        </w:tc>
        <w:tc>
          <w:tcPr>
            <w:tcW w:w="199" w:type="pct"/>
            <w:shd w:val="clear" w:color="auto" w:fill="D9D9D9" w:themeFill="background1" w:themeFillShade="D9"/>
            <w:vAlign w:val="bottom"/>
          </w:tcPr>
          <w:p w14:paraId="793EDFBD" w14:textId="77777777" w:rsidR="008A656B" w:rsidRPr="001D2342" w:rsidRDefault="008A656B" w:rsidP="00851097">
            <w:pPr>
              <w:rPr>
                <w:rFonts w:ascii="Times New Roman" w:hAnsi="Times New Roman" w:cs="Times New Roman"/>
                <w:sz w:val="16"/>
                <w:szCs w:val="16"/>
              </w:rPr>
            </w:pPr>
          </w:p>
        </w:tc>
        <w:tc>
          <w:tcPr>
            <w:tcW w:w="242" w:type="pct"/>
            <w:shd w:val="clear" w:color="auto" w:fill="D9D9D9" w:themeFill="background1" w:themeFillShade="D9"/>
            <w:vAlign w:val="bottom"/>
          </w:tcPr>
          <w:p w14:paraId="7C1A4C91"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1 600,0</w:t>
            </w:r>
          </w:p>
        </w:tc>
        <w:tc>
          <w:tcPr>
            <w:tcW w:w="243" w:type="pct"/>
            <w:shd w:val="clear" w:color="auto" w:fill="D9D9D9" w:themeFill="background1" w:themeFillShade="D9"/>
            <w:vAlign w:val="bottom"/>
          </w:tcPr>
          <w:p w14:paraId="17F86112"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1 830,0</w:t>
            </w:r>
          </w:p>
        </w:tc>
      </w:tr>
      <w:tr w:rsidR="008A656B" w:rsidRPr="001D2342" w14:paraId="534CB3E5" w14:textId="77777777" w:rsidTr="00851097">
        <w:trPr>
          <w:trHeight w:val="260"/>
        </w:trPr>
        <w:tc>
          <w:tcPr>
            <w:tcW w:w="379" w:type="pct"/>
            <w:vAlign w:val="bottom"/>
          </w:tcPr>
          <w:p w14:paraId="4C3F0189" w14:textId="77777777" w:rsidR="008A656B" w:rsidRPr="001D2342" w:rsidRDefault="008A656B" w:rsidP="00851097">
            <w:pPr>
              <w:rPr>
                <w:rFonts w:ascii="Times New Roman" w:hAnsi="Times New Roman" w:cs="Times New Roman"/>
                <w:b/>
                <w:bCs/>
                <w:sz w:val="16"/>
                <w:szCs w:val="16"/>
              </w:rPr>
            </w:pPr>
          </w:p>
        </w:tc>
        <w:tc>
          <w:tcPr>
            <w:tcW w:w="261" w:type="pct"/>
            <w:vAlign w:val="bottom"/>
          </w:tcPr>
          <w:p w14:paraId="282ABB77" w14:textId="77777777" w:rsidR="008A656B" w:rsidRPr="001D2342" w:rsidRDefault="008A656B" w:rsidP="00851097">
            <w:pPr>
              <w:rPr>
                <w:rFonts w:ascii="Times New Roman" w:hAnsi="Times New Roman" w:cs="Times New Roman"/>
                <w:b/>
                <w:bCs/>
                <w:sz w:val="16"/>
                <w:szCs w:val="16"/>
              </w:rPr>
            </w:pPr>
          </w:p>
        </w:tc>
        <w:tc>
          <w:tcPr>
            <w:tcW w:w="364" w:type="pct"/>
            <w:vAlign w:val="bottom"/>
          </w:tcPr>
          <w:p w14:paraId="0A667DC7"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Polija</w:t>
            </w:r>
          </w:p>
        </w:tc>
        <w:tc>
          <w:tcPr>
            <w:tcW w:w="373" w:type="pct"/>
            <w:vAlign w:val="bottom"/>
          </w:tcPr>
          <w:p w14:paraId="18F401F4" w14:textId="77777777" w:rsidR="008A656B" w:rsidRPr="001D2342" w:rsidRDefault="008A656B" w:rsidP="00851097">
            <w:pPr>
              <w:pStyle w:val="Default"/>
              <w:rPr>
                <w:sz w:val="16"/>
                <w:szCs w:val="16"/>
              </w:rPr>
            </w:pPr>
            <w:r>
              <w:rPr>
                <w:sz w:val="16"/>
              </w:rPr>
              <w:t>(Flynn et al., 2009)</w:t>
            </w:r>
          </w:p>
        </w:tc>
        <w:tc>
          <w:tcPr>
            <w:tcW w:w="940" w:type="pct"/>
            <w:vAlign w:val="bottom"/>
          </w:tcPr>
          <w:p w14:paraId="63FBAC21"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24 stundu atcerēšanās anketa</w:t>
            </w:r>
          </w:p>
        </w:tc>
        <w:tc>
          <w:tcPr>
            <w:tcW w:w="201" w:type="pct"/>
            <w:vAlign w:val="bottom"/>
          </w:tcPr>
          <w:p w14:paraId="49075A8F"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1 324</w:t>
            </w:r>
          </w:p>
        </w:tc>
        <w:tc>
          <w:tcPr>
            <w:tcW w:w="129" w:type="pct"/>
            <w:vAlign w:val="bottom"/>
          </w:tcPr>
          <w:p w14:paraId="3A2A015B" w14:textId="77777777" w:rsidR="008A656B" w:rsidRPr="001D2342" w:rsidRDefault="008A656B" w:rsidP="00851097">
            <w:pPr>
              <w:rPr>
                <w:rFonts w:ascii="Times New Roman" w:hAnsi="Times New Roman" w:cs="Times New Roman"/>
                <w:sz w:val="16"/>
                <w:szCs w:val="16"/>
              </w:rPr>
            </w:pPr>
          </w:p>
        </w:tc>
        <w:tc>
          <w:tcPr>
            <w:tcW w:w="189" w:type="pct"/>
            <w:vAlign w:val="bottom"/>
          </w:tcPr>
          <w:p w14:paraId="7882DEF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18</w:t>
            </w:r>
          </w:p>
        </w:tc>
        <w:tc>
          <w:tcPr>
            <w:tcW w:w="110" w:type="pct"/>
            <w:vAlign w:val="bottom"/>
          </w:tcPr>
          <w:p w14:paraId="4FB1956F" w14:textId="77777777" w:rsidR="008A656B" w:rsidRPr="001D2342" w:rsidRDefault="008A656B" w:rsidP="00851097">
            <w:pPr>
              <w:rPr>
                <w:rFonts w:ascii="Times New Roman" w:hAnsi="Times New Roman" w:cs="Times New Roman"/>
                <w:sz w:val="16"/>
                <w:szCs w:val="16"/>
              </w:rPr>
            </w:pPr>
          </w:p>
        </w:tc>
        <w:tc>
          <w:tcPr>
            <w:tcW w:w="192" w:type="pct"/>
            <w:vAlign w:val="bottom"/>
          </w:tcPr>
          <w:p w14:paraId="6ABE912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96</w:t>
            </w:r>
          </w:p>
        </w:tc>
        <w:tc>
          <w:tcPr>
            <w:tcW w:w="678" w:type="pct"/>
            <w:vAlign w:val="bottom"/>
          </w:tcPr>
          <w:p w14:paraId="2BD43AA0" w14:textId="77777777" w:rsidR="008A656B" w:rsidRPr="001D2342" w:rsidRDefault="008A656B" w:rsidP="00851097">
            <w:pPr>
              <w:rPr>
                <w:rFonts w:ascii="Times New Roman" w:hAnsi="Times New Roman" w:cs="Times New Roman"/>
                <w:sz w:val="16"/>
                <w:szCs w:val="16"/>
              </w:rPr>
            </w:pPr>
          </w:p>
        </w:tc>
        <w:tc>
          <w:tcPr>
            <w:tcW w:w="242" w:type="pct"/>
            <w:vAlign w:val="bottom"/>
          </w:tcPr>
          <w:p w14:paraId="07D9C659"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662,0</w:t>
            </w:r>
          </w:p>
        </w:tc>
        <w:tc>
          <w:tcPr>
            <w:tcW w:w="259" w:type="pct"/>
            <w:vAlign w:val="bottom"/>
          </w:tcPr>
          <w:p w14:paraId="489AFCFA" w14:textId="77777777" w:rsidR="008A656B" w:rsidRPr="001D2342" w:rsidRDefault="008A656B" w:rsidP="00851097">
            <w:pPr>
              <w:rPr>
                <w:rFonts w:ascii="Times New Roman" w:hAnsi="Times New Roman" w:cs="Times New Roman"/>
                <w:sz w:val="16"/>
                <w:szCs w:val="16"/>
              </w:rPr>
            </w:pPr>
          </w:p>
        </w:tc>
        <w:tc>
          <w:tcPr>
            <w:tcW w:w="199" w:type="pct"/>
            <w:vAlign w:val="bottom"/>
          </w:tcPr>
          <w:p w14:paraId="7CE7E8F2" w14:textId="77777777" w:rsidR="008A656B" w:rsidRPr="001D2342" w:rsidRDefault="008A656B" w:rsidP="00851097">
            <w:pPr>
              <w:rPr>
                <w:rFonts w:ascii="Times New Roman" w:hAnsi="Times New Roman" w:cs="Times New Roman"/>
                <w:sz w:val="16"/>
                <w:szCs w:val="16"/>
              </w:rPr>
            </w:pPr>
          </w:p>
        </w:tc>
        <w:tc>
          <w:tcPr>
            <w:tcW w:w="242" w:type="pct"/>
            <w:vAlign w:val="bottom"/>
          </w:tcPr>
          <w:p w14:paraId="67E07BD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1 428,0</w:t>
            </w:r>
          </w:p>
        </w:tc>
        <w:tc>
          <w:tcPr>
            <w:tcW w:w="243" w:type="pct"/>
            <w:vAlign w:val="bottom"/>
          </w:tcPr>
          <w:p w14:paraId="29FC68C9" w14:textId="77777777" w:rsidR="008A656B" w:rsidRPr="001D2342" w:rsidRDefault="008A656B" w:rsidP="00851097">
            <w:pPr>
              <w:rPr>
                <w:rFonts w:ascii="Times New Roman" w:hAnsi="Times New Roman" w:cs="Times New Roman"/>
                <w:sz w:val="16"/>
                <w:szCs w:val="16"/>
              </w:rPr>
            </w:pPr>
          </w:p>
        </w:tc>
      </w:tr>
      <w:tr w:rsidR="008A656B" w:rsidRPr="001D2342" w14:paraId="57E6421D" w14:textId="77777777" w:rsidTr="00851097">
        <w:trPr>
          <w:trHeight w:val="260"/>
        </w:trPr>
        <w:tc>
          <w:tcPr>
            <w:tcW w:w="379" w:type="pct"/>
            <w:vAlign w:val="bottom"/>
          </w:tcPr>
          <w:p w14:paraId="409E3FF8" w14:textId="77777777" w:rsidR="008A656B" w:rsidRPr="001D2342" w:rsidRDefault="008A656B" w:rsidP="00851097">
            <w:pPr>
              <w:rPr>
                <w:rFonts w:ascii="Times New Roman" w:hAnsi="Times New Roman" w:cs="Times New Roman"/>
                <w:b/>
                <w:bCs/>
                <w:sz w:val="16"/>
                <w:szCs w:val="16"/>
              </w:rPr>
            </w:pPr>
          </w:p>
        </w:tc>
        <w:tc>
          <w:tcPr>
            <w:tcW w:w="261" w:type="pct"/>
            <w:vAlign w:val="bottom"/>
          </w:tcPr>
          <w:p w14:paraId="1208D687" w14:textId="77777777" w:rsidR="008A656B" w:rsidRPr="001D2342" w:rsidRDefault="008A656B" w:rsidP="00851097">
            <w:pPr>
              <w:rPr>
                <w:rFonts w:ascii="Times New Roman" w:hAnsi="Times New Roman" w:cs="Times New Roman"/>
                <w:b/>
                <w:bCs/>
                <w:sz w:val="16"/>
                <w:szCs w:val="16"/>
              </w:rPr>
            </w:pPr>
          </w:p>
        </w:tc>
        <w:tc>
          <w:tcPr>
            <w:tcW w:w="364" w:type="pct"/>
            <w:vAlign w:val="bottom"/>
          </w:tcPr>
          <w:p w14:paraId="781AACD1"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Spānija</w:t>
            </w:r>
          </w:p>
        </w:tc>
        <w:tc>
          <w:tcPr>
            <w:tcW w:w="373" w:type="pct"/>
            <w:vAlign w:val="bottom"/>
          </w:tcPr>
          <w:p w14:paraId="3264BB79" w14:textId="77777777" w:rsidR="008A656B" w:rsidRPr="001D2342" w:rsidRDefault="008A656B" w:rsidP="00851097">
            <w:pPr>
              <w:pStyle w:val="Default"/>
              <w:rPr>
                <w:sz w:val="16"/>
                <w:szCs w:val="16"/>
              </w:rPr>
            </w:pPr>
            <w:r>
              <w:rPr>
                <w:sz w:val="16"/>
              </w:rPr>
              <w:t>(Flynn et al., 2009)</w:t>
            </w:r>
          </w:p>
        </w:tc>
        <w:tc>
          <w:tcPr>
            <w:tcW w:w="940" w:type="pct"/>
            <w:vAlign w:val="bottom"/>
          </w:tcPr>
          <w:p w14:paraId="5D78DA03" w14:textId="77777777" w:rsidR="008A656B" w:rsidRPr="001D2342" w:rsidRDefault="008A656B" w:rsidP="00851097">
            <w:pPr>
              <w:pStyle w:val="Default"/>
              <w:rPr>
                <w:sz w:val="16"/>
                <w:szCs w:val="16"/>
              </w:rPr>
            </w:pPr>
            <w:r>
              <w:rPr>
                <w:sz w:val="16"/>
              </w:rPr>
              <w:t>Divas nesecīgas 24 stundu atcerēšanās anketas (vienu aizpilda visi, otru – 62 % no izlases)</w:t>
            </w:r>
          </w:p>
        </w:tc>
        <w:tc>
          <w:tcPr>
            <w:tcW w:w="201" w:type="pct"/>
            <w:vAlign w:val="bottom"/>
          </w:tcPr>
          <w:p w14:paraId="005082C1"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718</w:t>
            </w:r>
          </w:p>
        </w:tc>
        <w:tc>
          <w:tcPr>
            <w:tcW w:w="129" w:type="pct"/>
            <w:vAlign w:val="bottom"/>
          </w:tcPr>
          <w:p w14:paraId="2BB4DB8A" w14:textId="77777777" w:rsidR="008A656B" w:rsidRPr="001D2342" w:rsidRDefault="008A656B" w:rsidP="00851097">
            <w:pPr>
              <w:rPr>
                <w:rFonts w:ascii="Times New Roman" w:hAnsi="Times New Roman" w:cs="Times New Roman"/>
                <w:sz w:val="16"/>
                <w:szCs w:val="16"/>
              </w:rPr>
            </w:pPr>
          </w:p>
        </w:tc>
        <w:tc>
          <w:tcPr>
            <w:tcW w:w="189" w:type="pct"/>
            <w:vAlign w:val="bottom"/>
          </w:tcPr>
          <w:p w14:paraId="5457042A"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18</w:t>
            </w:r>
          </w:p>
        </w:tc>
        <w:tc>
          <w:tcPr>
            <w:tcW w:w="110" w:type="pct"/>
            <w:vAlign w:val="bottom"/>
          </w:tcPr>
          <w:p w14:paraId="2947AEFA" w14:textId="77777777" w:rsidR="008A656B" w:rsidRPr="001D2342" w:rsidRDefault="008A656B" w:rsidP="00851097">
            <w:pPr>
              <w:rPr>
                <w:rFonts w:ascii="Times New Roman" w:hAnsi="Times New Roman" w:cs="Times New Roman"/>
                <w:sz w:val="16"/>
                <w:szCs w:val="16"/>
              </w:rPr>
            </w:pPr>
          </w:p>
        </w:tc>
        <w:tc>
          <w:tcPr>
            <w:tcW w:w="192" w:type="pct"/>
            <w:vAlign w:val="bottom"/>
          </w:tcPr>
          <w:p w14:paraId="3E107FFE"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64</w:t>
            </w:r>
          </w:p>
        </w:tc>
        <w:tc>
          <w:tcPr>
            <w:tcW w:w="678" w:type="pct"/>
            <w:vAlign w:val="bottom"/>
          </w:tcPr>
          <w:p w14:paraId="1A0AFE94" w14:textId="77777777" w:rsidR="008A656B" w:rsidRPr="001D2342" w:rsidRDefault="008A656B" w:rsidP="00851097">
            <w:pPr>
              <w:pStyle w:val="Default"/>
              <w:rPr>
                <w:sz w:val="16"/>
                <w:szCs w:val="16"/>
              </w:rPr>
            </w:pPr>
            <w:r>
              <w:rPr>
                <w:sz w:val="16"/>
              </w:rPr>
              <w:t xml:space="preserve">Ieskaitot bagātinātu pārtiku. Dati savākti Katalonijā </w:t>
            </w:r>
          </w:p>
        </w:tc>
        <w:tc>
          <w:tcPr>
            <w:tcW w:w="242" w:type="pct"/>
            <w:vAlign w:val="bottom"/>
          </w:tcPr>
          <w:p w14:paraId="32D53C4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831,0</w:t>
            </w:r>
          </w:p>
        </w:tc>
        <w:tc>
          <w:tcPr>
            <w:tcW w:w="259" w:type="pct"/>
            <w:vAlign w:val="bottom"/>
          </w:tcPr>
          <w:p w14:paraId="397702DB" w14:textId="77777777" w:rsidR="008A656B" w:rsidRPr="001D2342" w:rsidRDefault="008A656B" w:rsidP="00851097">
            <w:pPr>
              <w:rPr>
                <w:rFonts w:ascii="Times New Roman" w:hAnsi="Times New Roman" w:cs="Times New Roman"/>
                <w:sz w:val="16"/>
                <w:szCs w:val="16"/>
              </w:rPr>
            </w:pPr>
          </w:p>
        </w:tc>
        <w:tc>
          <w:tcPr>
            <w:tcW w:w="199" w:type="pct"/>
            <w:vAlign w:val="bottom"/>
          </w:tcPr>
          <w:p w14:paraId="25B55DD5" w14:textId="77777777" w:rsidR="008A656B" w:rsidRPr="001D2342" w:rsidRDefault="008A656B" w:rsidP="00851097">
            <w:pPr>
              <w:rPr>
                <w:rFonts w:ascii="Times New Roman" w:hAnsi="Times New Roman" w:cs="Times New Roman"/>
                <w:sz w:val="16"/>
                <w:szCs w:val="16"/>
              </w:rPr>
            </w:pPr>
          </w:p>
        </w:tc>
        <w:tc>
          <w:tcPr>
            <w:tcW w:w="242" w:type="pct"/>
            <w:vAlign w:val="bottom"/>
          </w:tcPr>
          <w:p w14:paraId="39DD78CA"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1 217,0</w:t>
            </w:r>
          </w:p>
        </w:tc>
        <w:tc>
          <w:tcPr>
            <w:tcW w:w="243" w:type="pct"/>
            <w:vAlign w:val="bottom"/>
          </w:tcPr>
          <w:p w14:paraId="006FB102" w14:textId="77777777" w:rsidR="008A656B" w:rsidRPr="001D2342" w:rsidRDefault="008A656B" w:rsidP="00851097">
            <w:pPr>
              <w:rPr>
                <w:rFonts w:ascii="Times New Roman" w:hAnsi="Times New Roman" w:cs="Times New Roman"/>
                <w:sz w:val="16"/>
                <w:szCs w:val="16"/>
              </w:rPr>
            </w:pPr>
          </w:p>
        </w:tc>
      </w:tr>
      <w:tr w:rsidR="008A656B" w:rsidRPr="001D2342" w14:paraId="117884D3" w14:textId="77777777" w:rsidTr="00851097">
        <w:trPr>
          <w:trHeight w:val="260"/>
        </w:trPr>
        <w:tc>
          <w:tcPr>
            <w:tcW w:w="379" w:type="pct"/>
            <w:vAlign w:val="bottom"/>
          </w:tcPr>
          <w:p w14:paraId="378328B4" w14:textId="77777777" w:rsidR="008A656B" w:rsidRPr="001D2342" w:rsidRDefault="008A656B" w:rsidP="00851097">
            <w:pPr>
              <w:rPr>
                <w:rFonts w:ascii="Times New Roman" w:hAnsi="Times New Roman" w:cs="Times New Roman"/>
                <w:b/>
                <w:bCs/>
                <w:sz w:val="16"/>
                <w:szCs w:val="16"/>
              </w:rPr>
            </w:pPr>
          </w:p>
        </w:tc>
        <w:tc>
          <w:tcPr>
            <w:tcW w:w="261" w:type="pct"/>
            <w:vAlign w:val="bottom"/>
          </w:tcPr>
          <w:p w14:paraId="3DBD6259" w14:textId="77777777" w:rsidR="008A656B" w:rsidRPr="001D2342" w:rsidRDefault="008A656B" w:rsidP="00851097">
            <w:pPr>
              <w:rPr>
                <w:rFonts w:ascii="Times New Roman" w:hAnsi="Times New Roman" w:cs="Times New Roman"/>
                <w:b/>
                <w:bCs/>
                <w:sz w:val="16"/>
                <w:szCs w:val="16"/>
              </w:rPr>
            </w:pPr>
          </w:p>
        </w:tc>
        <w:tc>
          <w:tcPr>
            <w:tcW w:w="364" w:type="pct"/>
            <w:vAlign w:val="bottom"/>
          </w:tcPr>
          <w:p w14:paraId="2572CBD2"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Nīderlande</w:t>
            </w:r>
          </w:p>
        </w:tc>
        <w:tc>
          <w:tcPr>
            <w:tcW w:w="373" w:type="pct"/>
            <w:vAlign w:val="bottom"/>
          </w:tcPr>
          <w:p w14:paraId="400208D0" w14:textId="77777777" w:rsidR="008A656B" w:rsidRPr="001D2342" w:rsidRDefault="008A656B" w:rsidP="00851097">
            <w:pPr>
              <w:pStyle w:val="Default"/>
              <w:rPr>
                <w:sz w:val="16"/>
                <w:szCs w:val="16"/>
              </w:rPr>
            </w:pPr>
            <w:r>
              <w:rPr>
                <w:sz w:val="16"/>
              </w:rPr>
              <w:t>(van Rossum et al., 2011)</w:t>
            </w:r>
          </w:p>
        </w:tc>
        <w:tc>
          <w:tcPr>
            <w:tcW w:w="940" w:type="pct"/>
            <w:vAlign w:val="bottom"/>
          </w:tcPr>
          <w:p w14:paraId="2918DF04" w14:textId="77777777" w:rsidR="008A656B" w:rsidRPr="001D2342" w:rsidRDefault="008A656B" w:rsidP="00851097">
            <w:pPr>
              <w:pStyle w:val="Default"/>
              <w:rPr>
                <w:sz w:val="16"/>
                <w:szCs w:val="16"/>
              </w:rPr>
            </w:pPr>
            <w:r>
              <w:rPr>
                <w:sz w:val="16"/>
              </w:rPr>
              <w:t>Divas nesecīgas  24 stundu atcerēšanās anketas</w:t>
            </w:r>
          </w:p>
        </w:tc>
        <w:tc>
          <w:tcPr>
            <w:tcW w:w="201" w:type="pct"/>
            <w:vAlign w:val="bottom"/>
          </w:tcPr>
          <w:p w14:paraId="3A3072E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356</w:t>
            </w:r>
          </w:p>
        </w:tc>
        <w:tc>
          <w:tcPr>
            <w:tcW w:w="129" w:type="pct"/>
            <w:vAlign w:val="bottom"/>
          </w:tcPr>
          <w:p w14:paraId="6FB592BC" w14:textId="77777777" w:rsidR="008A656B" w:rsidRPr="001D2342" w:rsidRDefault="008A656B" w:rsidP="00851097">
            <w:pPr>
              <w:rPr>
                <w:rFonts w:ascii="Times New Roman" w:hAnsi="Times New Roman" w:cs="Times New Roman"/>
                <w:sz w:val="16"/>
                <w:szCs w:val="16"/>
              </w:rPr>
            </w:pPr>
          </w:p>
        </w:tc>
        <w:tc>
          <w:tcPr>
            <w:tcW w:w="189" w:type="pct"/>
            <w:vAlign w:val="bottom"/>
          </w:tcPr>
          <w:p w14:paraId="23CB2FAF"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19</w:t>
            </w:r>
          </w:p>
        </w:tc>
        <w:tc>
          <w:tcPr>
            <w:tcW w:w="110" w:type="pct"/>
            <w:vAlign w:val="bottom"/>
          </w:tcPr>
          <w:p w14:paraId="44F109F1" w14:textId="77777777" w:rsidR="008A656B" w:rsidRPr="001D2342" w:rsidRDefault="008A656B" w:rsidP="00851097">
            <w:pPr>
              <w:rPr>
                <w:rFonts w:ascii="Times New Roman" w:hAnsi="Times New Roman" w:cs="Times New Roman"/>
                <w:sz w:val="16"/>
                <w:szCs w:val="16"/>
              </w:rPr>
            </w:pPr>
          </w:p>
        </w:tc>
        <w:tc>
          <w:tcPr>
            <w:tcW w:w="192" w:type="pct"/>
            <w:vAlign w:val="bottom"/>
          </w:tcPr>
          <w:p w14:paraId="6E173352"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30</w:t>
            </w:r>
          </w:p>
        </w:tc>
        <w:tc>
          <w:tcPr>
            <w:tcW w:w="678" w:type="pct"/>
            <w:vAlign w:val="bottom"/>
          </w:tcPr>
          <w:p w14:paraId="0B18C9A7" w14:textId="77777777" w:rsidR="008A656B" w:rsidRPr="001D2342" w:rsidRDefault="008A656B" w:rsidP="00851097">
            <w:pPr>
              <w:rPr>
                <w:rFonts w:ascii="Times New Roman" w:hAnsi="Times New Roman" w:cs="Times New Roman"/>
                <w:sz w:val="16"/>
                <w:szCs w:val="16"/>
              </w:rPr>
            </w:pPr>
          </w:p>
        </w:tc>
        <w:tc>
          <w:tcPr>
            <w:tcW w:w="242" w:type="pct"/>
            <w:vAlign w:val="bottom"/>
          </w:tcPr>
          <w:p w14:paraId="50FCBEB2" w14:textId="77777777" w:rsidR="008A656B" w:rsidRPr="001D2342" w:rsidRDefault="008A656B" w:rsidP="00851097">
            <w:pPr>
              <w:rPr>
                <w:rFonts w:ascii="Times New Roman" w:hAnsi="Times New Roman" w:cs="Times New Roman"/>
                <w:sz w:val="16"/>
                <w:szCs w:val="16"/>
              </w:rPr>
            </w:pPr>
          </w:p>
        </w:tc>
        <w:tc>
          <w:tcPr>
            <w:tcW w:w="259" w:type="pct"/>
            <w:vAlign w:val="bottom"/>
          </w:tcPr>
          <w:p w14:paraId="0B2C80E5"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1 091,0</w:t>
            </w:r>
          </w:p>
        </w:tc>
        <w:tc>
          <w:tcPr>
            <w:tcW w:w="199" w:type="pct"/>
            <w:vAlign w:val="bottom"/>
          </w:tcPr>
          <w:p w14:paraId="45597695" w14:textId="77777777" w:rsidR="008A656B" w:rsidRPr="001D2342" w:rsidRDefault="008A656B" w:rsidP="00851097">
            <w:pPr>
              <w:rPr>
                <w:rFonts w:ascii="Times New Roman" w:hAnsi="Times New Roman" w:cs="Times New Roman"/>
                <w:sz w:val="16"/>
                <w:szCs w:val="16"/>
              </w:rPr>
            </w:pPr>
          </w:p>
        </w:tc>
        <w:tc>
          <w:tcPr>
            <w:tcW w:w="242" w:type="pct"/>
            <w:vAlign w:val="bottom"/>
          </w:tcPr>
          <w:p w14:paraId="1426FE1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1 791,0</w:t>
            </w:r>
          </w:p>
        </w:tc>
        <w:tc>
          <w:tcPr>
            <w:tcW w:w="243" w:type="pct"/>
            <w:vAlign w:val="bottom"/>
          </w:tcPr>
          <w:p w14:paraId="36EF32B1" w14:textId="77777777" w:rsidR="008A656B" w:rsidRPr="001D2342" w:rsidRDefault="008A656B" w:rsidP="00851097">
            <w:pPr>
              <w:rPr>
                <w:rFonts w:ascii="Times New Roman" w:hAnsi="Times New Roman" w:cs="Times New Roman"/>
                <w:sz w:val="16"/>
                <w:szCs w:val="16"/>
              </w:rPr>
            </w:pPr>
          </w:p>
        </w:tc>
      </w:tr>
      <w:tr w:rsidR="008A656B" w:rsidRPr="001D2342" w14:paraId="345855CA" w14:textId="77777777" w:rsidTr="00851097">
        <w:trPr>
          <w:trHeight w:val="260"/>
        </w:trPr>
        <w:tc>
          <w:tcPr>
            <w:tcW w:w="379" w:type="pct"/>
            <w:vAlign w:val="bottom"/>
          </w:tcPr>
          <w:p w14:paraId="578C41EE" w14:textId="77777777" w:rsidR="008A656B" w:rsidRPr="001D2342" w:rsidRDefault="008A656B" w:rsidP="00851097">
            <w:pPr>
              <w:rPr>
                <w:rFonts w:ascii="Times New Roman" w:hAnsi="Times New Roman" w:cs="Times New Roman"/>
                <w:sz w:val="16"/>
                <w:szCs w:val="16"/>
              </w:rPr>
            </w:pPr>
          </w:p>
        </w:tc>
        <w:tc>
          <w:tcPr>
            <w:tcW w:w="261" w:type="pct"/>
            <w:vAlign w:val="bottom"/>
          </w:tcPr>
          <w:p w14:paraId="3ACA38E7" w14:textId="77777777" w:rsidR="008A656B" w:rsidRPr="001D2342" w:rsidRDefault="008A656B" w:rsidP="00851097">
            <w:pPr>
              <w:rPr>
                <w:rFonts w:ascii="Times New Roman" w:hAnsi="Times New Roman" w:cs="Times New Roman"/>
                <w:sz w:val="16"/>
                <w:szCs w:val="16"/>
              </w:rPr>
            </w:pPr>
          </w:p>
        </w:tc>
        <w:tc>
          <w:tcPr>
            <w:tcW w:w="364" w:type="pct"/>
            <w:vAlign w:val="bottom"/>
          </w:tcPr>
          <w:p w14:paraId="7AF5CFE7" w14:textId="77777777" w:rsidR="008A656B" w:rsidRPr="001D2342" w:rsidRDefault="008A656B" w:rsidP="00851097">
            <w:pPr>
              <w:rPr>
                <w:rFonts w:ascii="Times New Roman" w:hAnsi="Times New Roman" w:cs="Times New Roman"/>
                <w:sz w:val="16"/>
                <w:szCs w:val="16"/>
              </w:rPr>
            </w:pPr>
          </w:p>
        </w:tc>
        <w:tc>
          <w:tcPr>
            <w:tcW w:w="373" w:type="pct"/>
            <w:vAlign w:val="bottom"/>
          </w:tcPr>
          <w:p w14:paraId="4335D6E4" w14:textId="77777777" w:rsidR="008A656B" w:rsidRPr="001D2342" w:rsidRDefault="008A656B" w:rsidP="00851097">
            <w:pPr>
              <w:rPr>
                <w:rFonts w:ascii="Times New Roman" w:hAnsi="Times New Roman" w:cs="Times New Roman"/>
                <w:sz w:val="16"/>
                <w:szCs w:val="16"/>
              </w:rPr>
            </w:pPr>
          </w:p>
        </w:tc>
        <w:tc>
          <w:tcPr>
            <w:tcW w:w="940" w:type="pct"/>
            <w:vAlign w:val="bottom"/>
          </w:tcPr>
          <w:p w14:paraId="0381B9FB" w14:textId="77777777" w:rsidR="008A656B" w:rsidRPr="001D2342" w:rsidRDefault="008A656B" w:rsidP="00851097">
            <w:pPr>
              <w:rPr>
                <w:rFonts w:ascii="Times New Roman" w:hAnsi="Times New Roman" w:cs="Times New Roman"/>
                <w:sz w:val="16"/>
                <w:szCs w:val="16"/>
              </w:rPr>
            </w:pPr>
          </w:p>
        </w:tc>
        <w:tc>
          <w:tcPr>
            <w:tcW w:w="201" w:type="pct"/>
            <w:vAlign w:val="bottom"/>
          </w:tcPr>
          <w:p w14:paraId="22C87AC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348</w:t>
            </w:r>
          </w:p>
        </w:tc>
        <w:tc>
          <w:tcPr>
            <w:tcW w:w="129" w:type="pct"/>
            <w:vAlign w:val="bottom"/>
          </w:tcPr>
          <w:p w14:paraId="001BA8D3" w14:textId="77777777" w:rsidR="008A656B" w:rsidRPr="001D2342" w:rsidRDefault="008A656B" w:rsidP="00851097">
            <w:pPr>
              <w:rPr>
                <w:rFonts w:ascii="Times New Roman" w:hAnsi="Times New Roman" w:cs="Times New Roman"/>
                <w:sz w:val="16"/>
                <w:szCs w:val="16"/>
              </w:rPr>
            </w:pPr>
          </w:p>
        </w:tc>
        <w:tc>
          <w:tcPr>
            <w:tcW w:w="189" w:type="pct"/>
            <w:vAlign w:val="bottom"/>
          </w:tcPr>
          <w:p w14:paraId="4028496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31</w:t>
            </w:r>
          </w:p>
        </w:tc>
        <w:tc>
          <w:tcPr>
            <w:tcW w:w="110" w:type="pct"/>
            <w:vAlign w:val="bottom"/>
          </w:tcPr>
          <w:p w14:paraId="64957280" w14:textId="77777777" w:rsidR="008A656B" w:rsidRPr="001D2342" w:rsidRDefault="008A656B" w:rsidP="00851097">
            <w:pPr>
              <w:rPr>
                <w:rFonts w:ascii="Times New Roman" w:hAnsi="Times New Roman" w:cs="Times New Roman"/>
                <w:sz w:val="16"/>
                <w:szCs w:val="16"/>
              </w:rPr>
            </w:pPr>
          </w:p>
        </w:tc>
        <w:tc>
          <w:tcPr>
            <w:tcW w:w="192" w:type="pct"/>
            <w:vAlign w:val="bottom"/>
          </w:tcPr>
          <w:p w14:paraId="54567E8D"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50</w:t>
            </w:r>
          </w:p>
        </w:tc>
        <w:tc>
          <w:tcPr>
            <w:tcW w:w="678" w:type="pct"/>
            <w:vAlign w:val="bottom"/>
          </w:tcPr>
          <w:p w14:paraId="1541D033" w14:textId="77777777" w:rsidR="008A656B" w:rsidRPr="001D2342" w:rsidRDefault="008A656B" w:rsidP="00851097">
            <w:pPr>
              <w:rPr>
                <w:rFonts w:ascii="Times New Roman" w:hAnsi="Times New Roman" w:cs="Times New Roman"/>
                <w:sz w:val="16"/>
                <w:szCs w:val="16"/>
              </w:rPr>
            </w:pPr>
          </w:p>
        </w:tc>
        <w:tc>
          <w:tcPr>
            <w:tcW w:w="242" w:type="pct"/>
            <w:vAlign w:val="bottom"/>
          </w:tcPr>
          <w:p w14:paraId="18DCFA5D" w14:textId="77777777" w:rsidR="008A656B" w:rsidRPr="001D2342" w:rsidRDefault="008A656B" w:rsidP="00851097">
            <w:pPr>
              <w:rPr>
                <w:rFonts w:ascii="Times New Roman" w:hAnsi="Times New Roman" w:cs="Times New Roman"/>
                <w:sz w:val="16"/>
                <w:szCs w:val="16"/>
              </w:rPr>
            </w:pPr>
          </w:p>
        </w:tc>
        <w:tc>
          <w:tcPr>
            <w:tcW w:w="259" w:type="pct"/>
            <w:vAlign w:val="bottom"/>
          </w:tcPr>
          <w:p w14:paraId="707D8059"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1 154,0</w:t>
            </w:r>
          </w:p>
        </w:tc>
        <w:tc>
          <w:tcPr>
            <w:tcW w:w="199" w:type="pct"/>
            <w:vAlign w:val="bottom"/>
          </w:tcPr>
          <w:p w14:paraId="19B1C9E0" w14:textId="77777777" w:rsidR="008A656B" w:rsidRPr="001D2342" w:rsidRDefault="008A656B" w:rsidP="00851097">
            <w:pPr>
              <w:rPr>
                <w:rFonts w:ascii="Times New Roman" w:hAnsi="Times New Roman" w:cs="Times New Roman"/>
                <w:sz w:val="16"/>
                <w:szCs w:val="16"/>
              </w:rPr>
            </w:pPr>
          </w:p>
        </w:tc>
        <w:tc>
          <w:tcPr>
            <w:tcW w:w="242" w:type="pct"/>
            <w:vAlign w:val="bottom"/>
          </w:tcPr>
          <w:p w14:paraId="549A4D72"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1 869,0</w:t>
            </w:r>
          </w:p>
        </w:tc>
        <w:tc>
          <w:tcPr>
            <w:tcW w:w="243" w:type="pct"/>
            <w:vAlign w:val="bottom"/>
          </w:tcPr>
          <w:p w14:paraId="3E99FBA9" w14:textId="77777777" w:rsidR="008A656B" w:rsidRPr="001D2342" w:rsidRDefault="008A656B" w:rsidP="00851097">
            <w:pPr>
              <w:rPr>
                <w:rFonts w:ascii="Times New Roman" w:hAnsi="Times New Roman" w:cs="Times New Roman"/>
                <w:sz w:val="16"/>
                <w:szCs w:val="16"/>
              </w:rPr>
            </w:pPr>
          </w:p>
        </w:tc>
      </w:tr>
      <w:tr w:rsidR="008A656B" w:rsidRPr="001D2342" w14:paraId="7D73EC2B" w14:textId="77777777" w:rsidTr="00851097">
        <w:trPr>
          <w:trHeight w:val="260"/>
        </w:trPr>
        <w:tc>
          <w:tcPr>
            <w:tcW w:w="379" w:type="pct"/>
            <w:tcBorders>
              <w:bottom w:val="single" w:sz="4" w:space="0" w:color="auto"/>
            </w:tcBorders>
            <w:vAlign w:val="bottom"/>
          </w:tcPr>
          <w:p w14:paraId="3BE00697" w14:textId="77777777" w:rsidR="008A656B" w:rsidRPr="001D2342" w:rsidRDefault="008A656B" w:rsidP="00851097">
            <w:pPr>
              <w:rPr>
                <w:rFonts w:ascii="Times New Roman" w:hAnsi="Times New Roman" w:cs="Times New Roman"/>
                <w:sz w:val="16"/>
                <w:szCs w:val="16"/>
              </w:rPr>
            </w:pPr>
          </w:p>
        </w:tc>
        <w:tc>
          <w:tcPr>
            <w:tcW w:w="261" w:type="pct"/>
            <w:tcBorders>
              <w:bottom w:val="single" w:sz="4" w:space="0" w:color="auto"/>
            </w:tcBorders>
            <w:vAlign w:val="bottom"/>
          </w:tcPr>
          <w:p w14:paraId="1C69B163" w14:textId="77777777" w:rsidR="008A656B" w:rsidRPr="001D2342" w:rsidRDefault="008A656B" w:rsidP="00851097">
            <w:pPr>
              <w:rPr>
                <w:rFonts w:ascii="Times New Roman" w:hAnsi="Times New Roman" w:cs="Times New Roman"/>
                <w:sz w:val="16"/>
                <w:szCs w:val="16"/>
              </w:rPr>
            </w:pPr>
          </w:p>
        </w:tc>
        <w:tc>
          <w:tcPr>
            <w:tcW w:w="364" w:type="pct"/>
            <w:tcBorders>
              <w:bottom w:val="single" w:sz="4" w:space="0" w:color="auto"/>
            </w:tcBorders>
            <w:vAlign w:val="bottom"/>
          </w:tcPr>
          <w:p w14:paraId="1DC6F756" w14:textId="77777777" w:rsidR="008A656B" w:rsidRPr="001D2342" w:rsidRDefault="008A656B" w:rsidP="00851097">
            <w:pPr>
              <w:rPr>
                <w:rFonts w:ascii="Times New Roman" w:hAnsi="Times New Roman" w:cs="Times New Roman"/>
                <w:sz w:val="16"/>
                <w:szCs w:val="16"/>
              </w:rPr>
            </w:pPr>
          </w:p>
        </w:tc>
        <w:tc>
          <w:tcPr>
            <w:tcW w:w="373" w:type="pct"/>
            <w:tcBorders>
              <w:bottom w:val="single" w:sz="4" w:space="0" w:color="auto"/>
            </w:tcBorders>
            <w:vAlign w:val="bottom"/>
          </w:tcPr>
          <w:p w14:paraId="750B65F2" w14:textId="77777777" w:rsidR="008A656B" w:rsidRPr="001D2342" w:rsidRDefault="008A656B" w:rsidP="00851097">
            <w:pPr>
              <w:rPr>
                <w:rFonts w:ascii="Times New Roman" w:hAnsi="Times New Roman" w:cs="Times New Roman"/>
                <w:sz w:val="16"/>
                <w:szCs w:val="16"/>
              </w:rPr>
            </w:pPr>
          </w:p>
        </w:tc>
        <w:tc>
          <w:tcPr>
            <w:tcW w:w="940" w:type="pct"/>
            <w:tcBorders>
              <w:bottom w:val="single" w:sz="4" w:space="0" w:color="auto"/>
            </w:tcBorders>
            <w:vAlign w:val="bottom"/>
          </w:tcPr>
          <w:p w14:paraId="5152EE99" w14:textId="77777777" w:rsidR="008A656B" w:rsidRPr="001D2342" w:rsidRDefault="008A656B" w:rsidP="00851097">
            <w:pPr>
              <w:rPr>
                <w:rFonts w:ascii="Times New Roman" w:hAnsi="Times New Roman" w:cs="Times New Roman"/>
                <w:sz w:val="16"/>
                <w:szCs w:val="16"/>
              </w:rPr>
            </w:pPr>
          </w:p>
        </w:tc>
        <w:tc>
          <w:tcPr>
            <w:tcW w:w="201" w:type="pct"/>
            <w:tcBorders>
              <w:bottom w:val="single" w:sz="4" w:space="0" w:color="auto"/>
            </w:tcBorders>
            <w:shd w:val="clear" w:color="auto" w:fill="D9D9D9" w:themeFill="background1" w:themeFillShade="D9"/>
            <w:vAlign w:val="bottom"/>
          </w:tcPr>
          <w:p w14:paraId="75983CD2"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351</w:t>
            </w:r>
          </w:p>
        </w:tc>
        <w:tc>
          <w:tcPr>
            <w:tcW w:w="129" w:type="pct"/>
            <w:tcBorders>
              <w:bottom w:val="single" w:sz="4" w:space="0" w:color="auto"/>
            </w:tcBorders>
            <w:shd w:val="clear" w:color="auto" w:fill="D9D9D9" w:themeFill="background1" w:themeFillShade="D9"/>
            <w:vAlign w:val="bottom"/>
          </w:tcPr>
          <w:p w14:paraId="6C622AF0" w14:textId="77777777" w:rsidR="008A656B" w:rsidRPr="001D2342" w:rsidRDefault="008A656B" w:rsidP="00851097">
            <w:pPr>
              <w:rPr>
                <w:rFonts w:ascii="Times New Roman" w:hAnsi="Times New Roman" w:cs="Times New Roman"/>
                <w:sz w:val="16"/>
                <w:szCs w:val="16"/>
              </w:rPr>
            </w:pPr>
          </w:p>
        </w:tc>
        <w:tc>
          <w:tcPr>
            <w:tcW w:w="189" w:type="pct"/>
            <w:tcBorders>
              <w:bottom w:val="single" w:sz="4" w:space="0" w:color="auto"/>
            </w:tcBorders>
            <w:shd w:val="clear" w:color="auto" w:fill="D9D9D9" w:themeFill="background1" w:themeFillShade="D9"/>
            <w:vAlign w:val="bottom"/>
          </w:tcPr>
          <w:p w14:paraId="0D1633B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51</w:t>
            </w:r>
          </w:p>
        </w:tc>
        <w:tc>
          <w:tcPr>
            <w:tcW w:w="110" w:type="pct"/>
            <w:tcBorders>
              <w:bottom w:val="single" w:sz="4" w:space="0" w:color="auto"/>
            </w:tcBorders>
            <w:shd w:val="clear" w:color="auto" w:fill="D9D9D9" w:themeFill="background1" w:themeFillShade="D9"/>
            <w:vAlign w:val="bottom"/>
          </w:tcPr>
          <w:p w14:paraId="27CA0CE8" w14:textId="77777777" w:rsidR="008A656B" w:rsidRPr="001D2342" w:rsidRDefault="008A656B" w:rsidP="00851097">
            <w:pPr>
              <w:rPr>
                <w:rFonts w:ascii="Times New Roman" w:hAnsi="Times New Roman" w:cs="Times New Roman"/>
                <w:sz w:val="16"/>
                <w:szCs w:val="16"/>
              </w:rPr>
            </w:pPr>
          </w:p>
        </w:tc>
        <w:tc>
          <w:tcPr>
            <w:tcW w:w="192" w:type="pct"/>
            <w:tcBorders>
              <w:bottom w:val="single" w:sz="4" w:space="0" w:color="auto"/>
            </w:tcBorders>
            <w:shd w:val="clear" w:color="auto" w:fill="D9D9D9" w:themeFill="background1" w:themeFillShade="D9"/>
            <w:vAlign w:val="bottom"/>
          </w:tcPr>
          <w:p w14:paraId="0D5DE093"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69</w:t>
            </w:r>
          </w:p>
        </w:tc>
        <w:tc>
          <w:tcPr>
            <w:tcW w:w="678" w:type="pct"/>
            <w:tcBorders>
              <w:bottom w:val="single" w:sz="4" w:space="0" w:color="auto"/>
            </w:tcBorders>
            <w:shd w:val="clear" w:color="auto" w:fill="D9D9D9" w:themeFill="background1" w:themeFillShade="D9"/>
            <w:vAlign w:val="bottom"/>
          </w:tcPr>
          <w:p w14:paraId="657D1508" w14:textId="77777777" w:rsidR="008A656B" w:rsidRPr="001D2342" w:rsidRDefault="008A656B" w:rsidP="00851097">
            <w:pPr>
              <w:rPr>
                <w:rFonts w:ascii="Times New Roman" w:hAnsi="Times New Roman" w:cs="Times New Roman"/>
                <w:sz w:val="16"/>
                <w:szCs w:val="16"/>
              </w:rPr>
            </w:pPr>
          </w:p>
        </w:tc>
        <w:tc>
          <w:tcPr>
            <w:tcW w:w="242" w:type="pct"/>
            <w:tcBorders>
              <w:bottom w:val="single" w:sz="4" w:space="0" w:color="auto"/>
            </w:tcBorders>
            <w:shd w:val="clear" w:color="auto" w:fill="D9D9D9" w:themeFill="background1" w:themeFillShade="D9"/>
            <w:vAlign w:val="bottom"/>
          </w:tcPr>
          <w:p w14:paraId="0A9CC580" w14:textId="77777777" w:rsidR="008A656B" w:rsidRPr="001D2342" w:rsidRDefault="008A656B" w:rsidP="00851097">
            <w:pPr>
              <w:rPr>
                <w:rFonts w:ascii="Times New Roman" w:hAnsi="Times New Roman" w:cs="Times New Roman"/>
                <w:sz w:val="16"/>
                <w:szCs w:val="16"/>
              </w:rPr>
            </w:pPr>
          </w:p>
        </w:tc>
        <w:tc>
          <w:tcPr>
            <w:tcW w:w="259" w:type="pct"/>
            <w:tcBorders>
              <w:bottom w:val="single" w:sz="4" w:space="0" w:color="auto"/>
            </w:tcBorders>
            <w:shd w:val="clear" w:color="auto" w:fill="D9D9D9" w:themeFill="background1" w:themeFillShade="D9"/>
            <w:vAlign w:val="bottom"/>
          </w:tcPr>
          <w:p w14:paraId="3B518110"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1 109.</w:t>
            </w:r>
          </w:p>
        </w:tc>
        <w:tc>
          <w:tcPr>
            <w:tcW w:w="199" w:type="pct"/>
            <w:tcBorders>
              <w:bottom w:val="single" w:sz="4" w:space="0" w:color="auto"/>
            </w:tcBorders>
            <w:shd w:val="clear" w:color="auto" w:fill="D9D9D9" w:themeFill="background1" w:themeFillShade="D9"/>
            <w:vAlign w:val="bottom"/>
          </w:tcPr>
          <w:p w14:paraId="40D11A2E" w14:textId="77777777" w:rsidR="008A656B" w:rsidRPr="001D2342" w:rsidRDefault="008A656B" w:rsidP="00851097">
            <w:pPr>
              <w:rPr>
                <w:rFonts w:ascii="Times New Roman" w:hAnsi="Times New Roman" w:cs="Times New Roman"/>
                <w:sz w:val="16"/>
                <w:szCs w:val="16"/>
              </w:rPr>
            </w:pPr>
          </w:p>
        </w:tc>
        <w:tc>
          <w:tcPr>
            <w:tcW w:w="242" w:type="pct"/>
            <w:tcBorders>
              <w:bottom w:val="single" w:sz="4" w:space="0" w:color="auto"/>
            </w:tcBorders>
            <w:shd w:val="clear" w:color="auto" w:fill="D9D9D9" w:themeFill="background1" w:themeFillShade="D9"/>
            <w:vAlign w:val="bottom"/>
          </w:tcPr>
          <w:p w14:paraId="30E6289C"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1 818,0</w:t>
            </w:r>
          </w:p>
        </w:tc>
        <w:tc>
          <w:tcPr>
            <w:tcW w:w="243" w:type="pct"/>
            <w:tcBorders>
              <w:bottom w:val="single" w:sz="4" w:space="0" w:color="auto"/>
            </w:tcBorders>
            <w:shd w:val="clear" w:color="auto" w:fill="D9D9D9" w:themeFill="background1" w:themeFillShade="D9"/>
            <w:vAlign w:val="bottom"/>
          </w:tcPr>
          <w:p w14:paraId="08B0B09B" w14:textId="77777777" w:rsidR="008A656B" w:rsidRPr="001D2342" w:rsidRDefault="008A656B" w:rsidP="00851097">
            <w:pPr>
              <w:rPr>
                <w:rFonts w:ascii="Times New Roman" w:hAnsi="Times New Roman" w:cs="Times New Roman"/>
                <w:sz w:val="16"/>
                <w:szCs w:val="16"/>
              </w:rPr>
            </w:pPr>
          </w:p>
        </w:tc>
      </w:tr>
      <w:tr w:rsidR="008A656B" w:rsidRPr="001D2342" w14:paraId="78DDE5C1" w14:textId="77777777" w:rsidTr="00851097">
        <w:trPr>
          <w:trHeight w:val="260"/>
        </w:trPr>
        <w:tc>
          <w:tcPr>
            <w:tcW w:w="379" w:type="pct"/>
            <w:tcBorders>
              <w:top w:val="single" w:sz="4" w:space="0" w:color="auto"/>
            </w:tcBorders>
            <w:vAlign w:val="bottom"/>
          </w:tcPr>
          <w:p w14:paraId="633820DC"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Pārtika un bagātinātāji</w:t>
            </w:r>
          </w:p>
        </w:tc>
        <w:tc>
          <w:tcPr>
            <w:tcW w:w="261" w:type="pct"/>
            <w:tcBorders>
              <w:top w:val="single" w:sz="4" w:space="0" w:color="auto"/>
            </w:tcBorders>
            <w:vAlign w:val="bottom"/>
          </w:tcPr>
          <w:p w14:paraId="7B517FD8"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Vīrieši un sievietes</w:t>
            </w:r>
          </w:p>
        </w:tc>
        <w:tc>
          <w:tcPr>
            <w:tcW w:w="364" w:type="pct"/>
            <w:tcBorders>
              <w:top w:val="single" w:sz="4" w:space="0" w:color="auto"/>
            </w:tcBorders>
            <w:vAlign w:val="bottom"/>
          </w:tcPr>
          <w:p w14:paraId="00A27F34"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Īrija</w:t>
            </w:r>
          </w:p>
        </w:tc>
        <w:tc>
          <w:tcPr>
            <w:tcW w:w="373" w:type="pct"/>
            <w:tcBorders>
              <w:top w:val="single" w:sz="4" w:space="0" w:color="auto"/>
            </w:tcBorders>
            <w:vAlign w:val="bottom"/>
          </w:tcPr>
          <w:p w14:paraId="74F69992" w14:textId="77777777" w:rsidR="008A656B" w:rsidRPr="001D2342" w:rsidRDefault="008A656B" w:rsidP="00851097">
            <w:pPr>
              <w:pStyle w:val="Default"/>
              <w:rPr>
                <w:sz w:val="16"/>
                <w:szCs w:val="16"/>
              </w:rPr>
            </w:pPr>
            <w:r>
              <w:rPr>
                <w:sz w:val="16"/>
              </w:rPr>
              <w:t>(IUNA (Irish Universities Nutrition Alliance), 2011)</w:t>
            </w:r>
          </w:p>
        </w:tc>
        <w:tc>
          <w:tcPr>
            <w:tcW w:w="940" w:type="pct"/>
            <w:tcBorders>
              <w:top w:val="single" w:sz="4" w:space="0" w:color="auto"/>
            </w:tcBorders>
            <w:vAlign w:val="bottom"/>
          </w:tcPr>
          <w:p w14:paraId="336E7246"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4 dienu uztura pieraksts</w:t>
            </w:r>
          </w:p>
        </w:tc>
        <w:tc>
          <w:tcPr>
            <w:tcW w:w="201" w:type="pct"/>
            <w:tcBorders>
              <w:top w:val="single" w:sz="4" w:space="0" w:color="auto"/>
            </w:tcBorders>
            <w:shd w:val="clear" w:color="auto" w:fill="D9D9D9" w:themeFill="background1" w:themeFillShade="D9"/>
            <w:vAlign w:val="bottom"/>
          </w:tcPr>
          <w:p w14:paraId="2F22AC97"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226</w:t>
            </w:r>
          </w:p>
        </w:tc>
        <w:tc>
          <w:tcPr>
            <w:tcW w:w="129" w:type="pct"/>
            <w:tcBorders>
              <w:top w:val="single" w:sz="4" w:space="0" w:color="auto"/>
            </w:tcBorders>
            <w:shd w:val="clear" w:color="auto" w:fill="D9D9D9" w:themeFill="background1" w:themeFillShade="D9"/>
            <w:vAlign w:val="bottom"/>
          </w:tcPr>
          <w:p w14:paraId="6043E96E" w14:textId="77777777" w:rsidR="008A656B" w:rsidRPr="001D2342" w:rsidRDefault="008A656B" w:rsidP="00851097">
            <w:pPr>
              <w:rPr>
                <w:rFonts w:ascii="Times New Roman" w:hAnsi="Times New Roman" w:cs="Times New Roman"/>
                <w:sz w:val="16"/>
                <w:szCs w:val="16"/>
              </w:rPr>
            </w:pPr>
          </w:p>
        </w:tc>
        <w:tc>
          <w:tcPr>
            <w:tcW w:w="189" w:type="pct"/>
            <w:tcBorders>
              <w:top w:val="single" w:sz="4" w:space="0" w:color="auto"/>
            </w:tcBorders>
            <w:shd w:val="clear" w:color="auto" w:fill="D9D9D9" w:themeFill="background1" w:themeFillShade="D9"/>
            <w:vAlign w:val="bottom"/>
          </w:tcPr>
          <w:p w14:paraId="285F133A"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65</w:t>
            </w:r>
          </w:p>
        </w:tc>
        <w:tc>
          <w:tcPr>
            <w:tcW w:w="110" w:type="pct"/>
            <w:tcBorders>
              <w:top w:val="single" w:sz="4" w:space="0" w:color="auto"/>
            </w:tcBorders>
            <w:shd w:val="clear" w:color="auto" w:fill="D9D9D9" w:themeFill="background1" w:themeFillShade="D9"/>
            <w:vAlign w:val="bottom"/>
          </w:tcPr>
          <w:p w14:paraId="627171FC" w14:textId="77777777" w:rsidR="008A656B" w:rsidRPr="001D2342" w:rsidRDefault="008A656B" w:rsidP="00851097">
            <w:pPr>
              <w:pStyle w:val="Default"/>
              <w:rPr>
                <w:sz w:val="16"/>
                <w:szCs w:val="16"/>
              </w:rPr>
            </w:pPr>
            <w:r>
              <w:rPr>
                <w:sz w:val="16"/>
              </w:rPr>
              <w:t xml:space="preserve">&gt; </w:t>
            </w:r>
          </w:p>
        </w:tc>
        <w:tc>
          <w:tcPr>
            <w:tcW w:w="192" w:type="pct"/>
            <w:tcBorders>
              <w:top w:val="single" w:sz="4" w:space="0" w:color="auto"/>
            </w:tcBorders>
            <w:shd w:val="clear" w:color="auto" w:fill="D9D9D9" w:themeFill="background1" w:themeFillShade="D9"/>
            <w:vAlign w:val="bottom"/>
          </w:tcPr>
          <w:p w14:paraId="352EA930"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65</w:t>
            </w:r>
          </w:p>
        </w:tc>
        <w:tc>
          <w:tcPr>
            <w:tcW w:w="678" w:type="pct"/>
            <w:tcBorders>
              <w:top w:val="single" w:sz="4" w:space="0" w:color="auto"/>
            </w:tcBorders>
            <w:shd w:val="clear" w:color="auto" w:fill="D9D9D9" w:themeFill="background1" w:themeFillShade="D9"/>
            <w:vAlign w:val="bottom"/>
          </w:tcPr>
          <w:p w14:paraId="5A1D6BB4" w14:textId="77777777" w:rsidR="008A656B" w:rsidRPr="001D2342" w:rsidRDefault="008A656B" w:rsidP="00851097">
            <w:pPr>
              <w:rPr>
                <w:rFonts w:ascii="Times New Roman" w:hAnsi="Times New Roman" w:cs="Times New Roman"/>
                <w:sz w:val="16"/>
                <w:szCs w:val="16"/>
              </w:rPr>
            </w:pPr>
          </w:p>
        </w:tc>
        <w:tc>
          <w:tcPr>
            <w:tcW w:w="242" w:type="pct"/>
            <w:tcBorders>
              <w:top w:val="single" w:sz="4" w:space="0" w:color="auto"/>
            </w:tcBorders>
            <w:shd w:val="clear" w:color="auto" w:fill="D9D9D9" w:themeFill="background1" w:themeFillShade="D9"/>
            <w:vAlign w:val="bottom"/>
          </w:tcPr>
          <w:p w14:paraId="35B9CD5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954,0</w:t>
            </w:r>
          </w:p>
        </w:tc>
        <w:tc>
          <w:tcPr>
            <w:tcW w:w="259" w:type="pct"/>
            <w:tcBorders>
              <w:top w:val="single" w:sz="4" w:space="0" w:color="auto"/>
            </w:tcBorders>
            <w:shd w:val="clear" w:color="auto" w:fill="D9D9D9" w:themeFill="background1" w:themeFillShade="D9"/>
            <w:vAlign w:val="bottom"/>
          </w:tcPr>
          <w:p w14:paraId="3407E44A" w14:textId="77777777" w:rsidR="008A656B" w:rsidRPr="001D2342" w:rsidRDefault="008A656B" w:rsidP="00851097">
            <w:pPr>
              <w:rPr>
                <w:rFonts w:ascii="Times New Roman" w:hAnsi="Times New Roman" w:cs="Times New Roman"/>
                <w:sz w:val="16"/>
                <w:szCs w:val="16"/>
              </w:rPr>
            </w:pPr>
          </w:p>
        </w:tc>
        <w:tc>
          <w:tcPr>
            <w:tcW w:w="199" w:type="pct"/>
            <w:tcBorders>
              <w:top w:val="single" w:sz="4" w:space="0" w:color="auto"/>
            </w:tcBorders>
            <w:shd w:val="clear" w:color="auto" w:fill="D9D9D9" w:themeFill="background1" w:themeFillShade="D9"/>
            <w:vAlign w:val="bottom"/>
          </w:tcPr>
          <w:p w14:paraId="2DCDC89F" w14:textId="77777777" w:rsidR="008A656B" w:rsidRPr="001D2342" w:rsidRDefault="008A656B" w:rsidP="00851097">
            <w:pPr>
              <w:rPr>
                <w:rFonts w:ascii="Times New Roman" w:hAnsi="Times New Roman" w:cs="Times New Roman"/>
                <w:sz w:val="16"/>
                <w:szCs w:val="16"/>
              </w:rPr>
            </w:pPr>
          </w:p>
        </w:tc>
        <w:tc>
          <w:tcPr>
            <w:tcW w:w="242" w:type="pct"/>
            <w:tcBorders>
              <w:top w:val="single" w:sz="4" w:space="0" w:color="auto"/>
            </w:tcBorders>
            <w:shd w:val="clear" w:color="auto" w:fill="D9D9D9" w:themeFill="background1" w:themeFillShade="D9"/>
            <w:vAlign w:val="bottom"/>
          </w:tcPr>
          <w:p w14:paraId="4A963827"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2 106</w:t>
            </w:r>
          </w:p>
        </w:tc>
        <w:tc>
          <w:tcPr>
            <w:tcW w:w="243" w:type="pct"/>
            <w:tcBorders>
              <w:top w:val="single" w:sz="4" w:space="0" w:color="auto"/>
            </w:tcBorders>
            <w:shd w:val="clear" w:color="auto" w:fill="D9D9D9" w:themeFill="background1" w:themeFillShade="D9"/>
            <w:vAlign w:val="bottom"/>
          </w:tcPr>
          <w:p w14:paraId="7FF51970"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2 337,0</w:t>
            </w:r>
          </w:p>
        </w:tc>
      </w:tr>
      <w:tr w:rsidR="008A656B" w:rsidRPr="001D2342" w14:paraId="48C69843" w14:textId="77777777" w:rsidTr="00851097">
        <w:trPr>
          <w:trHeight w:val="260"/>
        </w:trPr>
        <w:tc>
          <w:tcPr>
            <w:tcW w:w="379" w:type="pct"/>
            <w:vAlign w:val="bottom"/>
          </w:tcPr>
          <w:p w14:paraId="73C417EB" w14:textId="77777777" w:rsidR="008A656B" w:rsidRPr="001D2342" w:rsidRDefault="008A656B" w:rsidP="00851097">
            <w:pPr>
              <w:rPr>
                <w:rFonts w:ascii="Times New Roman" w:hAnsi="Times New Roman" w:cs="Times New Roman"/>
                <w:b/>
                <w:bCs/>
                <w:sz w:val="16"/>
                <w:szCs w:val="16"/>
              </w:rPr>
            </w:pPr>
          </w:p>
        </w:tc>
        <w:tc>
          <w:tcPr>
            <w:tcW w:w="261" w:type="pct"/>
            <w:vAlign w:val="bottom"/>
          </w:tcPr>
          <w:p w14:paraId="44D6877C" w14:textId="77777777" w:rsidR="008A656B" w:rsidRPr="001D2342" w:rsidRDefault="008A656B" w:rsidP="00851097">
            <w:pPr>
              <w:rPr>
                <w:rFonts w:ascii="Times New Roman" w:hAnsi="Times New Roman" w:cs="Times New Roman"/>
                <w:b/>
                <w:bCs/>
                <w:sz w:val="16"/>
                <w:szCs w:val="16"/>
              </w:rPr>
            </w:pPr>
          </w:p>
        </w:tc>
        <w:tc>
          <w:tcPr>
            <w:tcW w:w="364" w:type="pct"/>
            <w:vAlign w:val="bottom"/>
          </w:tcPr>
          <w:p w14:paraId="75187649" w14:textId="77777777" w:rsidR="008A656B" w:rsidRPr="001D2342" w:rsidRDefault="008A656B" w:rsidP="00851097">
            <w:pPr>
              <w:rPr>
                <w:rFonts w:ascii="Times New Roman" w:hAnsi="Times New Roman" w:cs="Times New Roman"/>
                <w:b/>
                <w:bCs/>
                <w:sz w:val="16"/>
                <w:szCs w:val="16"/>
              </w:rPr>
            </w:pPr>
            <w:r>
              <w:rPr>
                <w:rFonts w:ascii="Times New Roman" w:hAnsi="Times New Roman"/>
                <w:b/>
                <w:sz w:val="16"/>
              </w:rPr>
              <w:t>Apvienotā Karaliste</w:t>
            </w:r>
          </w:p>
        </w:tc>
        <w:tc>
          <w:tcPr>
            <w:tcW w:w="373" w:type="pct"/>
            <w:vAlign w:val="bottom"/>
          </w:tcPr>
          <w:p w14:paraId="467ED158" w14:textId="77777777" w:rsidR="008A656B" w:rsidRPr="001D2342" w:rsidRDefault="008A656B" w:rsidP="00851097">
            <w:pPr>
              <w:pStyle w:val="Default"/>
              <w:rPr>
                <w:sz w:val="16"/>
                <w:szCs w:val="16"/>
              </w:rPr>
            </w:pPr>
            <w:r>
              <w:rPr>
                <w:sz w:val="16"/>
              </w:rPr>
              <w:t>(Bates et al., 2011)</w:t>
            </w:r>
          </w:p>
        </w:tc>
        <w:tc>
          <w:tcPr>
            <w:tcW w:w="940" w:type="pct"/>
            <w:vAlign w:val="bottom"/>
          </w:tcPr>
          <w:p w14:paraId="0A31FC82"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4 dienu uztura pieraksts</w:t>
            </w:r>
          </w:p>
        </w:tc>
        <w:tc>
          <w:tcPr>
            <w:tcW w:w="201" w:type="pct"/>
            <w:vAlign w:val="bottom"/>
          </w:tcPr>
          <w:p w14:paraId="3AB0AB0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807</w:t>
            </w:r>
          </w:p>
        </w:tc>
        <w:tc>
          <w:tcPr>
            <w:tcW w:w="129" w:type="pct"/>
            <w:vAlign w:val="bottom"/>
          </w:tcPr>
          <w:p w14:paraId="269E9818" w14:textId="77777777" w:rsidR="008A656B" w:rsidRPr="001D2342" w:rsidRDefault="008A656B" w:rsidP="00851097">
            <w:pPr>
              <w:rPr>
                <w:rFonts w:ascii="Times New Roman" w:hAnsi="Times New Roman" w:cs="Times New Roman"/>
                <w:sz w:val="16"/>
                <w:szCs w:val="16"/>
              </w:rPr>
            </w:pPr>
          </w:p>
        </w:tc>
        <w:tc>
          <w:tcPr>
            <w:tcW w:w="189" w:type="pct"/>
            <w:vAlign w:val="bottom"/>
          </w:tcPr>
          <w:p w14:paraId="2D3D950E"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19</w:t>
            </w:r>
          </w:p>
        </w:tc>
        <w:tc>
          <w:tcPr>
            <w:tcW w:w="110" w:type="pct"/>
            <w:vAlign w:val="bottom"/>
          </w:tcPr>
          <w:p w14:paraId="2E8C06BD" w14:textId="77777777" w:rsidR="008A656B" w:rsidRPr="001D2342" w:rsidRDefault="008A656B" w:rsidP="00851097">
            <w:pPr>
              <w:rPr>
                <w:rFonts w:ascii="Times New Roman" w:hAnsi="Times New Roman" w:cs="Times New Roman"/>
                <w:sz w:val="16"/>
                <w:szCs w:val="16"/>
              </w:rPr>
            </w:pPr>
          </w:p>
        </w:tc>
        <w:tc>
          <w:tcPr>
            <w:tcW w:w="192" w:type="pct"/>
            <w:vAlign w:val="bottom"/>
          </w:tcPr>
          <w:p w14:paraId="4CEB5388"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64</w:t>
            </w:r>
          </w:p>
        </w:tc>
        <w:tc>
          <w:tcPr>
            <w:tcW w:w="678" w:type="pct"/>
            <w:vAlign w:val="bottom"/>
          </w:tcPr>
          <w:p w14:paraId="7AF05E32" w14:textId="77777777" w:rsidR="008A656B" w:rsidRPr="001D2342" w:rsidRDefault="008A656B" w:rsidP="00851097">
            <w:pPr>
              <w:rPr>
                <w:rFonts w:ascii="Times New Roman" w:hAnsi="Times New Roman" w:cs="Times New Roman"/>
                <w:sz w:val="16"/>
                <w:szCs w:val="16"/>
              </w:rPr>
            </w:pPr>
          </w:p>
        </w:tc>
        <w:tc>
          <w:tcPr>
            <w:tcW w:w="242" w:type="pct"/>
            <w:vAlign w:val="bottom"/>
          </w:tcPr>
          <w:p w14:paraId="725AA38A"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850,0</w:t>
            </w:r>
          </w:p>
        </w:tc>
        <w:tc>
          <w:tcPr>
            <w:tcW w:w="259" w:type="pct"/>
            <w:vAlign w:val="bottom"/>
          </w:tcPr>
          <w:p w14:paraId="1A40DD3F" w14:textId="77777777" w:rsidR="008A656B" w:rsidRPr="001D2342" w:rsidRDefault="008A656B" w:rsidP="00851097">
            <w:pPr>
              <w:rPr>
                <w:rFonts w:ascii="Times New Roman" w:hAnsi="Times New Roman" w:cs="Times New Roman"/>
                <w:sz w:val="16"/>
                <w:szCs w:val="16"/>
              </w:rPr>
            </w:pPr>
          </w:p>
        </w:tc>
        <w:tc>
          <w:tcPr>
            <w:tcW w:w="199" w:type="pct"/>
            <w:vAlign w:val="bottom"/>
          </w:tcPr>
          <w:p w14:paraId="457473F5" w14:textId="77777777" w:rsidR="008A656B" w:rsidRPr="001D2342" w:rsidRDefault="008A656B" w:rsidP="00851097">
            <w:pPr>
              <w:rPr>
                <w:rFonts w:ascii="Times New Roman" w:hAnsi="Times New Roman" w:cs="Times New Roman"/>
                <w:sz w:val="16"/>
                <w:szCs w:val="16"/>
              </w:rPr>
            </w:pPr>
          </w:p>
        </w:tc>
        <w:tc>
          <w:tcPr>
            <w:tcW w:w="242" w:type="pct"/>
            <w:vAlign w:val="bottom"/>
          </w:tcPr>
          <w:p w14:paraId="1F914F14" w14:textId="77777777" w:rsidR="008A656B" w:rsidRPr="001D2342" w:rsidRDefault="008A656B" w:rsidP="00851097">
            <w:pPr>
              <w:rPr>
                <w:rFonts w:ascii="Times New Roman" w:hAnsi="Times New Roman" w:cs="Times New Roman"/>
                <w:sz w:val="16"/>
                <w:szCs w:val="16"/>
              </w:rPr>
            </w:pPr>
          </w:p>
        </w:tc>
        <w:tc>
          <w:tcPr>
            <w:tcW w:w="243" w:type="pct"/>
            <w:vAlign w:val="bottom"/>
          </w:tcPr>
          <w:p w14:paraId="24937A46"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1 663,0</w:t>
            </w:r>
          </w:p>
        </w:tc>
      </w:tr>
      <w:tr w:rsidR="008A656B" w:rsidRPr="001D2342" w14:paraId="193DD541" w14:textId="77777777" w:rsidTr="00851097">
        <w:trPr>
          <w:trHeight w:val="260"/>
        </w:trPr>
        <w:tc>
          <w:tcPr>
            <w:tcW w:w="379" w:type="pct"/>
            <w:vAlign w:val="bottom"/>
          </w:tcPr>
          <w:p w14:paraId="05CC0B19" w14:textId="77777777" w:rsidR="008A656B" w:rsidRPr="001D2342" w:rsidRDefault="008A656B" w:rsidP="00851097">
            <w:pPr>
              <w:rPr>
                <w:rFonts w:ascii="Times New Roman" w:hAnsi="Times New Roman" w:cs="Times New Roman"/>
                <w:sz w:val="16"/>
                <w:szCs w:val="16"/>
              </w:rPr>
            </w:pPr>
          </w:p>
        </w:tc>
        <w:tc>
          <w:tcPr>
            <w:tcW w:w="261" w:type="pct"/>
            <w:vAlign w:val="bottom"/>
          </w:tcPr>
          <w:p w14:paraId="7FD27FDE" w14:textId="77777777" w:rsidR="008A656B" w:rsidRPr="001D2342" w:rsidRDefault="008A656B" w:rsidP="00851097">
            <w:pPr>
              <w:rPr>
                <w:rFonts w:ascii="Times New Roman" w:hAnsi="Times New Roman" w:cs="Times New Roman"/>
                <w:sz w:val="16"/>
                <w:szCs w:val="16"/>
              </w:rPr>
            </w:pPr>
          </w:p>
        </w:tc>
        <w:tc>
          <w:tcPr>
            <w:tcW w:w="364" w:type="pct"/>
            <w:vAlign w:val="bottom"/>
          </w:tcPr>
          <w:p w14:paraId="498053EB" w14:textId="77777777" w:rsidR="008A656B" w:rsidRPr="001D2342" w:rsidRDefault="008A656B" w:rsidP="00851097">
            <w:pPr>
              <w:rPr>
                <w:rFonts w:ascii="Times New Roman" w:hAnsi="Times New Roman" w:cs="Times New Roman"/>
                <w:sz w:val="16"/>
                <w:szCs w:val="16"/>
              </w:rPr>
            </w:pPr>
          </w:p>
        </w:tc>
        <w:tc>
          <w:tcPr>
            <w:tcW w:w="373" w:type="pct"/>
            <w:vAlign w:val="bottom"/>
          </w:tcPr>
          <w:p w14:paraId="5B204A57" w14:textId="77777777" w:rsidR="008A656B" w:rsidRPr="001D2342" w:rsidRDefault="008A656B" w:rsidP="00851097">
            <w:pPr>
              <w:rPr>
                <w:rFonts w:ascii="Times New Roman" w:hAnsi="Times New Roman" w:cs="Times New Roman"/>
                <w:sz w:val="16"/>
                <w:szCs w:val="16"/>
              </w:rPr>
            </w:pPr>
          </w:p>
        </w:tc>
        <w:tc>
          <w:tcPr>
            <w:tcW w:w="940" w:type="pct"/>
            <w:vAlign w:val="bottom"/>
          </w:tcPr>
          <w:p w14:paraId="00D0E1FF" w14:textId="77777777" w:rsidR="008A656B" w:rsidRPr="001D2342" w:rsidRDefault="008A656B" w:rsidP="00851097">
            <w:pPr>
              <w:rPr>
                <w:rFonts w:ascii="Times New Roman" w:hAnsi="Times New Roman" w:cs="Times New Roman"/>
                <w:sz w:val="16"/>
                <w:szCs w:val="16"/>
              </w:rPr>
            </w:pPr>
          </w:p>
        </w:tc>
        <w:tc>
          <w:tcPr>
            <w:tcW w:w="201" w:type="pct"/>
            <w:vAlign w:val="bottom"/>
          </w:tcPr>
          <w:p w14:paraId="687AA6D0"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224</w:t>
            </w:r>
          </w:p>
        </w:tc>
        <w:tc>
          <w:tcPr>
            <w:tcW w:w="129" w:type="pct"/>
            <w:vAlign w:val="bottom"/>
          </w:tcPr>
          <w:p w14:paraId="445E55BA" w14:textId="77777777" w:rsidR="008A656B" w:rsidRPr="001D2342" w:rsidRDefault="008A656B" w:rsidP="00851097">
            <w:pPr>
              <w:rPr>
                <w:rFonts w:ascii="Times New Roman" w:hAnsi="Times New Roman" w:cs="Times New Roman"/>
                <w:sz w:val="16"/>
                <w:szCs w:val="16"/>
              </w:rPr>
            </w:pPr>
          </w:p>
        </w:tc>
        <w:tc>
          <w:tcPr>
            <w:tcW w:w="189" w:type="pct"/>
            <w:vAlign w:val="bottom"/>
          </w:tcPr>
          <w:p w14:paraId="720B8F8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65</w:t>
            </w:r>
          </w:p>
        </w:tc>
        <w:tc>
          <w:tcPr>
            <w:tcW w:w="110" w:type="pct"/>
            <w:vAlign w:val="bottom"/>
          </w:tcPr>
          <w:p w14:paraId="408EB292" w14:textId="77777777" w:rsidR="008A656B" w:rsidRPr="001D2342" w:rsidRDefault="008A656B" w:rsidP="00851097">
            <w:pPr>
              <w:pStyle w:val="Default"/>
              <w:rPr>
                <w:sz w:val="16"/>
                <w:szCs w:val="16"/>
              </w:rPr>
            </w:pPr>
            <w:r>
              <w:rPr>
                <w:sz w:val="16"/>
              </w:rPr>
              <w:t xml:space="preserve">&gt; </w:t>
            </w:r>
          </w:p>
        </w:tc>
        <w:tc>
          <w:tcPr>
            <w:tcW w:w="192" w:type="pct"/>
            <w:vAlign w:val="bottom"/>
          </w:tcPr>
          <w:p w14:paraId="3D65543F"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65</w:t>
            </w:r>
          </w:p>
        </w:tc>
        <w:tc>
          <w:tcPr>
            <w:tcW w:w="678" w:type="pct"/>
            <w:vAlign w:val="bottom"/>
          </w:tcPr>
          <w:p w14:paraId="735DBA1E" w14:textId="77777777" w:rsidR="008A656B" w:rsidRPr="001D2342" w:rsidRDefault="008A656B" w:rsidP="00851097">
            <w:pPr>
              <w:rPr>
                <w:rFonts w:ascii="Times New Roman" w:hAnsi="Times New Roman" w:cs="Times New Roman"/>
                <w:sz w:val="16"/>
                <w:szCs w:val="16"/>
              </w:rPr>
            </w:pPr>
          </w:p>
        </w:tc>
        <w:tc>
          <w:tcPr>
            <w:tcW w:w="242" w:type="pct"/>
            <w:vAlign w:val="bottom"/>
          </w:tcPr>
          <w:p w14:paraId="6DBA0ACE"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902,0</w:t>
            </w:r>
          </w:p>
        </w:tc>
        <w:tc>
          <w:tcPr>
            <w:tcW w:w="259" w:type="pct"/>
            <w:vAlign w:val="bottom"/>
          </w:tcPr>
          <w:p w14:paraId="153D6F0F" w14:textId="77777777" w:rsidR="008A656B" w:rsidRPr="001D2342" w:rsidRDefault="008A656B" w:rsidP="00851097">
            <w:pPr>
              <w:rPr>
                <w:rFonts w:ascii="Times New Roman" w:hAnsi="Times New Roman" w:cs="Times New Roman"/>
                <w:sz w:val="16"/>
                <w:szCs w:val="16"/>
              </w:rPr>
            </w:pPr>
          </w:p>
        </w:tc>
        <w:tc>
          <w:tcPr>
            <w:tcW w:w="199" w:type="pct"/>
            <w:vAlign w:val="bottom"/>
          </w:tcPr>
          <w:p w14:paraId="70DA4D6A" w14:textId="77777777" w:rsidR="008A656B" w:rsidRPr="001D2342" w:rsidRDefault="008A656B" w:rsidP="00851097">
            <w:pPr>
              <w:rPr>
                <w:rFonts w:ascii="Times New Roman" w:hAnsi="Times New Roman" w:cs="Times New Roman"/>
                <w:sz w:val="16"/>
                <w:szCs w:val="16"/>
              </w:rPr>
            </w:pPr>
          </w:p>
        </w:tc>
        <w:tc>
          <w:tcPr>
            <w:tcW w:w="242" w:type="pct"/>
            <w:vAlign w:val="bottom"/>
          </w:tcPr>
          <w:p w14:paraId="01D8D9D7" w14:textId="77777777" w:rsidR="008A656B" w:rsidRPr="001D2342" w:rsidRDefault="008A656B" w:rsidP="00851097">
            <w:pPr>
              <w:rPr>
                <w:rFonts w:ascii="Times New Roman" w:hAnsi="Times New Roman" w:cs="Times New Roman"/>
                <w:sz w:val="16"/>
                <w:szCs w:val="16"/>
              </w:rPr>
            </w:pPr>
          </w:p>
        </w:tc>
        <w:tc>
          <w:tcPr>
            <w:tcW w:w="243" w:type="pct"/>
            <w:vAlign w:val="bottom"/>
          </w:tcPr>
          <w:p w14:paraId="7729CA2B" w14:textId="77777777" w:rsidR="008A656B" w:rsidRPr="001D2342" w:rsidRDefault="008A656B" w:rsidP="00851097">
            <w:pPr>
              <w:rPr>
                <w:rFonts w:ascii="Times New Roman" w:hAnsi="Times New Roman" w:cs="Times New Roman"/>
                <w:sz w:val="16"/>
                <w:szCs w:val="16"/>
              </w:rPr>
            </w:pPr>
            <w:r>
              <w:rPr>
                <w:rFonts w:ascii="Times New Roman" w:hAnsi="Times New Roman"/>
                <w:sz w:val="16"/>
              </w:rPr>
              <w:t>1 677,0</w:t>
            </w:r>
          </w:p>
        </w:tc>
      </w:tr>
    </w:tbl>
    <w:p w14:paraId="7E8F3422" w14:textId="331D57D1" w:rsidR="00562491" w:rsidRDefault="00562491" w:rsidP="00E03EDE">
      <w:pPr>
        <w:jc w:val="both"/>
        <w:rPr>
          <w:rFonts w:ascii="Times New Roman" w:eastAsia="Times New Roman" w:hAnsi="Times New Roman" w:cs="Times New Roman"/>
          <w:bCs/>
          <w:noProof/>
          <w:color w:val="000000" w:themeColor="text1"/>
          <w:sz w:val="24"/>
          <w:szCs w:val="20"/>
        </w:rPr>
      </w:pPr>
    </w:p>
    <w:p w14:paraId="07BEA8CC" w14:textId="742ACBF1" w:rsidR="008A656B" w:rsidRDefault="008A656B">
      <w:pPr>
        <w:rPr>
          <w:rFonts w:ascii="Times New Roman" w:eastAsia="Times New Roman" w:hAnsi="Times New Roman" w:cs="Times New Roman"/>
          <w:bCs/>
          <w:noProof/>
          <w:color w:val="000000" w:themeColor="text1"/>
          <w:sz w:val="24"/>
          <w:szCs w:val="20"/>
        </w:rPr>
      </w:pPr>
      <w:r>
        <w:br w:type="page"/>
      </w:r>
    </w:p>
    <w:p w14:paraId="3DA89D6C" w14:textId="77777777" w:rsidR="008A656B" w:rsidRPr="00D91B35" w:rsidRDefault="008A656B" w:rsidP="00E03EDE">
      <w:pPr>
        <w:jc w:val="both"/>
        <w:rPr>
          <w:rFonts w:ascii="Times New Roman" w:eastAsia="Times New Roman" w:hAnsi="Times New Roman" w:cs="Times New Roman"/>
          <w:bCs/>
          <w:noProof/>
          <w:color w:val="000000" w:themeColor="text1"/>
          <w:sz w:val="24"/>
          <w:szCs w:val="20"/>
        </w:rPr>
      </w:pPr>
    </w:p>
    <w:p w14:paraId="76CFE363" w14:textId="77777777" w:rsidR="00EF063D" w:rsidRPr="00993AF1" w:rsidRDefault="0061660E" w:rsidP="00993AF1">
      <w:pPr>
        <w:pStyle w:val="Virsraksts1"/>
        <w:tabs>
          <w:tab w:val="left" w:pos="726"/>
        </w:tabs>
        <w:ind w:left="0" w:firstLine="0"/>
        <w:jc w:val="both"/>
        <w:rPr>
          <w:color w:val="000000" w:themeColor="text1"/>
          <w:sz w:val="24"/>
        </w:rPr>
      </w:pPr>
      <w:bookmarkStart w:id="237" w:name="_Toc73454073"/>
      <w:r>
        <w:rPr>
          <w:color w:val="000000" w:themeColor="text1"/>
          <w:sz w:val="24"/>
        </w:rPr>
        <w:t>B. BĒRNU UZŅEMTĀS KALCIJA DEVAS EIROPAS VALSTĪS</w:t>
      </w:r>
      <w:bookmarkStart w:id="238" w:name="_bookmark184"/>
      <w:bookmarkEnd w:id="238"/>
      <w:bookmarkEnd w:id="237"/>
    </w:p>
    <w:p w14:paraId="34239AA2" w14:textId="77777777" w:rsidR="00C53BB1" w:rsidRPr="00D91B35" w:rsidRDefault="00C53BB1" w:rsidP="0061660E">
      <w:pPr>
        <w:tabs>
          <w:tab w:val="left" w:pos="517"/>
        </w:tabs>
        <w:jc w:val="both"/>
        <w:rPr>
          <w:rFonts w:ascii="Times New Roman" w:eastAsia="Times New Roman" w:hAnsi="Times New Roman" w:cs="Times New Roman"/>
          <w:b/>
          <w:noProof/>
          <w:color w:val="000000" w:themeColor="text1"/>
          <w:sz w:val="24"/>
          <w:szCs w:val="18"/>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041"/>
        <w:gridCol w:w="705"/>
        <w:gridCol w:w="996"/>
        <w:gridCol w:w="999"/>
        <w:gridCol w:w="2348"/>
        <w:gridCol w:w="554"/>
        <w:gridCol w:w="332"/>
        <w:gridCol w:w="563"/>
        <w:gridCol w:w="284"/>
        <w:gridCol w:w="563"/>
        <w:gridCol w:w="1702"/>
        <w:gridCol w:w="655"/>
        <w:gridCol w:w="695"/>
        <w:gridCol w:w="656"/>
        <w:gridCol w:w="656"/>
        <w:gridCol w:w="656"/>
        <w:gridCol w:w="656"/>
      </w:tblGrid>
      <w:tr w:rsidR="00387006" w:rsidRPr="00D91B35" w14:paraId="08C6D801" w14:textId="77777777" w:rsidTr="0066450C">
        <w:trPr>
          <w:trHeight w:val="408"/>
          <w:tblHeader/>
        </w:trPr>
        <w:tc>
          <w:tcPr>
            <w:tcW w:w="374" w:type="pct"/>
            <w:tcBorders>
              <w:top w:val="single" w:sz="4" w:space="0" w:color="auto"/>
              <w:bottom w:val="single" w:sz="4" w:space="0" w:color="auto"/>
            </w:tcBorders>
          </w:tcPr>
          <w:p w14:paraId="54EFF817" w14:textId="77777777" w:rsidR="00C53BB1" w:rsidRPr="00D91B35" w:rsidRDefault="00C53BB1" w:rsidP="00387006">
            <w:pPr>
              <w:rPr>
                <w:rFonts w:ascii="Times New Roman" w:hAnsi="Times New Roman" w:cs="Times New Roman"/>
                <w:b/>
                <w:bCs/>
                <w:sz w:val="16"/>
                <w:szCs w:val="16"/>
              </w:rPr>
            </w:pPr>
            <w:bookmarkStart w:id="239" w:name="_Hlk53750586"/>
            <w:r>
              <w:rPr>
                <w:rFonts w:ascii="Times New Roman" w:hAnsi="Times New Roman"/>
                <w:b/>
                <w:sz w:val="16"/>
              </w:rPr>
              <w:t>Uzturvielu avots</w:t>
            </w:r>
          </w:p>
        </w:tc>
        <w:tc>
          <w:tcPr>
            <w:tcW w:w="231" w:type="pct"/>
            <w:tcBorders>
              <w:top w:val="single" w:sz="4" w:space="0" w:color="auto"/>
              <w:bottom w:val="single" w:sz="4" w:space="0" w:color="auto"/>
            </w:tcBorders>
          </w:tcPr>
          <w:p w14:paraId="150D6FE3" w14:textId="77777777" w:rsidR="00C53BB1" w:rsidRPr="00D91B35" w:rsidRDefault="00C53BB1" w:rsidP="00387006">
            <w:pPr>
              <w:rPr>
                <w:rFonts w:ascii="Times New Roman" w:hAnsi="Times New Roman" w:cs="Times New Roman"/>
                <w:b/>
                <w:bCs/>
                <w:sz w:val="16"/>
                <w:szCs w:val="16"/>
              </w:rPr>
            </w:pPr>
            <w:r>
              <w:rPr>
                <w:rFonts w:ascii="Times New Roman" w:hAnsi="Times New Roman"/>
                <w:b/>
                <w:sz w:val="16"/>
              </w:rPr>
              <w:t>Dzimums</w:t>
            </w:r>
          </w:p>
        </w:tc>
        <w:tc>
          <w:tcPr>
            <w:tcW w:w="358" w:type="pct"/>
            <w:tcBorders>
              <w:top w:val="single" w:sz="4" w:space="0" w:color="auto"/>
              <w:bottom w:val="single" w:sz="4" w:space="0" w:color="auto"/>
            </w:tcBorders>
          </w:tcPr>
          <w:p w14:paraId="3F8A0FA9" w14:textId="77777777" w:rsidR="00C53BB1" w:rsidRPr="00D91B35" w:rsidRDefault="00C53BB1" w:rsidP="00387006">
            <w:pPr>
              <w:rPr>
                <w:rFonts w:ascii="Times New Roman" w:hAnsi="Times New Roman" w:cs="Times New Roman"/>
                <w:b/>
                <w:bCs/>
                <w:sz w:val="16"/>
                <w:szCs w:val="16"/>
              </w:rPr>
            </w:pPr>
            <w:r>
              <w:rPr>
                <w:rFonts w:ascii="Times New Roman" w:hAnsi="Times New Roman"/>
                <w:b/>
                <w:sz w:val="16"/>
              </w:rPr>
              <w:t>Valsts</w:t>
            </w:r>
          </w:p>
        </w:tc>
        <w:tc>
          <w:tcPr>
            <w:tcW w:w="359" w:type="pct"/>
            <w:tcBorders>
              <w:top w:val="single" w:sz="4" w:space="0" w:color="auto"/>
              <w:bottom w:val="single" w:sz="4" w:space="0" w:color="auto"/>
            </w:tcBorders>
          </w:tcPr>
          <w:p w14:paraId="2E87A914" w14:textId="77777777" w:rsidR="00C53BB1" w:rsidRPr="00D91B35" w:rsidRDefault="00C53BB1" w:rsidP="00387006">
            <w:pPr>
              <w:rPr>
                <w:rFonts w:ascii="Times New Roman" w:hAnsi="Times New Roman" w:cs="Times New Roman"/>
                <w:b/>
                <w:bCs/>
                <w:sz w:val="16"/>
                <w:szCs w:val="16"/>
              </w:rPr>
            </w:pPr>
            <w:r>
              <w:rPr>
                <w:rFonts w:ascii="Times New Roman" w:hAnsi="Times New Roman"/>
                <w:b/>
                <w:sz w:val="16"/>
              </w:rPr>
              <w:t>Atsauces</w:t>
            </w:r>
          </w:p>
        </w:tc>
        <w:tc>
          <w:tcPr>
            <w:tcW w:w="839" w:type="pct"/>
            <w:tcBorders>
              <w:top w:val="single" w:sz="4" w:space="0" w:color="auto"/>
              <w:bottom w:val="single" w:sz="4" w:space="0" w:color="auto"/>
            </w:tcBorders>
          </w:tcPr>
          <w:p w14:paraId="256E2036" w14:textId="77777777" w:rsidR="00C53BB1" w:rsidRPr="00D91B35" w:rsidRDefault="00C53BB1" w:rsidP="00387006">
            <w:pPr>
              <w:rPr>
                <w:rFonts w:ascii="Times New Roman" w:hAnsi="Times New Roman" w:cs="Times New Roman"/>
                <w:b/>
                <w:bCs/>
                <w:sz w:val="16"/>
                <w:szCs w:val="16"/>
              </w:rPr>
            </w:pPr>
            <w:r>
              <w:rPr>
                <w:rFonts w:ascii="Times New Roman" w:hAnsi="Times New Roman"/>
                <w:b/>
                <w:sz w:val="16"/>
              </w:rPr>
              <w:t>Uztura novērtēšanas metode</w:t>
            </w:r>
          </w:p>
        </w:tc>
        <w:tc>
          <w:tcPr>
            <w:tcW w:w="196" w:type="pct"/>
            <w:tcBorders>
              <w:top w:val="single" w:sz="4" w:space="0" w:color="auto"/>
              <w:bottom w:val="single" w:sz="4" w:space="0" w:color="auto"/>
            </w:tcBorders>
          </w:tcPr>
          <w:p w14:paraId="0CD67716" w14:textId="77777777" w:rsidR="00C53BB1" w:rsidRPr="00D91B35" w:rsidRDefault="00C53BB1" w:rsidP="00387006">
            <w:pPr>
              <w:rPr>
                <w:rFonts w:ascii="Times New Roman" w:hAnsi="Times New Roman" w:cs="Times New Roman"/>
                <w:b/>
                <w:bCs/>
                <w:sz w:val="16"/>
                <w:szCs w:val="16"/>
              </w:rPr>
            </w:pPr>
            <w:r>
              <w:rPr>
                <w:rFonts w:ascii="Times New Roman" w:hAnsi="Times New Roman"/>
                <w:b/>
                <w:sz w:val="16"/>
              </w:rPr>
              <w:t>n (skaits)</w:t>
            </w:r>
          </w:p>
        </w:tc>
        <w:tc>
          <w:tcPr>
            <w:tcW w:w="122" w:type="pct"/>
            <w:tcBorders>
              <w:top w:val="single" w:sz="4" w:space="0" w:color="auto"/>
              <w:bottom w:val="single" w:sz="4" w:space="0" w:color="auto"/>
            </w:tcBorders>
          </w:tcPr>
          <w:p w14:paraId="1AA334B3" w14:textId="77777777" w:rsidR="00C53BB1" w:rsidRPr="00D91B35" w:rsidRDefault="00C53BB1" w:rsidP="00387006">
            <w:pPr>
              <w:rPr>
                <w:rFonts w:ascii="Times New Roman" w:hAnsi="Times New Roman" w:cs="Times New Roman"/>
                <w:b/>
                <w:bCs/>
                <w:sz w:val="16"/>
                <w:szCs w:val="16"/>
              </w:rPr>
            </w:pPr>
          </w:p>
        </w:tc>
        <w:tc>
          <w:tcPr>
            <w:tcW w:w="183" w:type="pct"/>
            <w:tcBorders>
              <w:top w:val="single" w:sz="4" w:space="0" w:color="auto"/>
              <w:bottom w:val="single" w:sz="4" w:space="0" w:color="auto"/>
            </w:tcBorders>
          </w:tcPr>
          <w:p w14:paraId="0229893A" w14:textId="77777777" w:rsidR="00C53BB1" w:rsidRPr="00D91B35" w:rsidRDefault="00C53BB1" w:rsidP="00387006">
            <w:pPr>
              <w:rPr>
                <w:rFonts w:ascii="Times New Roman" w:hAnsi="Times New Roman" w:cs="Times New Roman"/>
                <w:b/>
                <w:bCs/>
                <w:sz w:val="16"/>
                <w:szCs w:val="16"/>
              </w:rPr>
            </w:pPr>
            <w:r>
              <w:rPr>
                <w:rFonts w:ascii="Times New Roman" w:hAnsi="Times New Roman"/>
                <w:b/>
                <w:sz w:val="16"/>
              </w:rPr>
              <w:t>Min. vecums</w:t>
            </w:r>
          </w:p>
        </w:tc>
        <w:tc>
          <w:tcPr>
            <w:tcW w:w="105" w:type="pct"/>
            <w:tcBorders>
              <w:top w:val="single" w:sz="4" w:space="0" w:color="auto"/>
              <w:bottom w:val="single" w:sz="4" w:space="0" w:color="auto"/>
            </w:tcBorders>
          </w:tcPr>
          <w:p w14:paraId="0E823384" w14:textId="77777777" w:rsidR="00C53BB1" w:rsidRPr="00D91B35" w:rsidRDefault="00C53BB1" w:rsidP="00387006">
            <w:pPr>
              <w:rPr>
                <w:rFonts w:ascii="Times New Roman" w:hAnsi="Times New Roman" w:cs="Times New Roman"/>
                <w:b/>
                <w:bCs/>
                <w:sz w:val="16"/>
                <w:szCs w:val="16"/>
              </w:rPr>
            </w:pPr>
          </w:p>
        </w:tc>
        <w:tc>
          <w:tcPr>
            <w:tcW w:w="186" w:type="pct"/>
            <w:tcBorders>
              <w:top w:val="single" w:sz="4" w:space="0" w:color="auto"/>
              <w:bottom w:val="single" w:sz="4" w:space="0" w:color="auto"/>
            </w:tcBorders>
          </w:tcPr>
          <w:p w14:paraId="33FF0056" w14:textId="77777777" w:rsidR="00C53BB1" w:rsidRPr="00D91B35" w:rsidRDefault="00C53BB1" w:rsidP="00387006">
            <w:pPr>
              <w:rPr>
                <w:rFonts w:ascii="Times New Roman" w:hAnsi="Times New Roman" w:cs="Times New Roman"/>
                <w:b/>
                <w:bCs/>
                <w:sz w:val="16"/>
                <w:szCs w:val="16"/>
              </w:rPr>
            </w:pPr>
            <w:r>
              <w:rPr>
                <w:rFonts w:ascii="Times New Roman" w:hAnsi="Times New Roman"/>
                <w:b/>
                <w:color w:val="000000" w:themeColor="text1"/>
                <w:sz w:val="16"/>
              </w:rPr>
              <w:t>Maks. vecums</w:t>
            </w:r>
          </w:p>
        </w:tc>
        <w:tc>
          <w:tcPr>
            <w:tcW w:w="609" w:type="pct"/>
            <w:tcBorders>
              <w:top w:val="single" w:sz="4" w:space="0" w:color="auto"/>
              <w:bottom w:val="single" w:sz="4" w:space="0" w:color="auto"/>
            </w:tcBorders>
          </w:tcPr>
          <w:p w14:paraId="58BCA241" w14:textId="77777777" w:rsidR="00C53BB1" w:rsidRPr="00D91B35" w:rsidRDefault="00C53BB1" w:rsidP="00387006">
            <w:pPr>
              <w:rPr>
                <w:rFonts w:ascii="Times New Roman" w:hAnsi="Times New Roman" w:cs="Times New Roman"/>
                <w:b/>
                <w:bCs/>
                <w:sz w:val="16"/>
                <w:szCs w:val="16"/>
              </w:rPr>
            </w:pPr>
            <w:r>
              <w:rPr>
                <w:rFonts w:ascii="Times New Roman" w:hAnsi="Times New Roman"/>
                <w:b/>
                <w:color w:val="000000" w:themeColor="text1"/>
                <w:sz w:val="16"/>
              </w:rPr>
              <w:t>Iedzīvotāji/Bagātināta pārtika iekļauta vai neiekļauta</w:t>
            </w:r>
          </w:p>
        </w:tc>
        <w:tc>
          <w:tcPr>
            <w:tcW w:w="237" w:type="pct"/>
            <w:tcBorders>
              <w:top w:val="single" w:sz="4" w:space="0" w:color="auto"/>
              <w:bottom w:val="single" w:sz="4" w:space="0" w:color="auto"/>
            </w:tcBorders>
          </w:tcPr>
          <w:p w14:paraId="57A98E99" w14:textId="32A2D064" w:rsidR="00C53BB1" w:rsidRPr="00D91B35" w:rsidRDefault="00C53BB1" w:rsidP="00387006">
            <w:pPr>
              <w:rPr>
                <w:rFonts w:ascii="Times New Roman" w:hAnsi="Times New Roman" w:cs="Times New Roman"/>
                <w:b/>
                <w:bCs/>
                <w:sz w:val="16"/>
                <w:szCs w:val="16"/>
              </w:rPr>
            </w:pPr>
            <w:r>
              <w:rPr>
                <w:rFonts w:ascii="Times New Roman" w:hAnsi="Times New Roman"/>
                <w:b/>
                <w:sz w:val="16"/>
              </w:rPr>
              <w:t>Vidējais rādītājs</w:t>
            </w:r>
          </w:p>
        </w:tc>
        <w:tc>
          <w:tcPr>
            <w:tcW w:w="251" w:type="pct"/>
            <w:tcBorders>
              <w:top w:val="single" w:sz="4" w:space="0" w:color="auto"/>
              <w:bottom w:val="single" w:sz="4" w:space="0" w:color="auto"/>
            </w:tcBorders>
          </w:tcPr>
          <w:p w14:paraId="1ED06E82" w14:textId="0DCE1F90" w:rsidR="00C53BB1" w:rsidRPr="00D91B35" w:rsidRDefault="00C53BB1" w:rsidP="00387006">
            <w:pPr>
              <w:rPr>
                <w:rFonts w:ascii="Times New Roman" w:hAnsi="Times New Roman" w:cs="Times New Roman"/>
                <w:b/>
                <w:bCs/>
                <w:sz w:val="16"/>
                <w:szCs w:val="16"/>
              </w:rPr>
            </w:pPr>
            <w:r>
              <w:rPr>
                <w:rFonts w:ascii="Times New Roman" w:hAnsi="Times New Roman"/>
                <w:b/>
                <w:sz w:val="16"/>
              </w:rPr>
              <w:t>Mediāna</w:t>
            </w:r>
          </w:p>
        </w:tc>
        <w:tc>
          <w:tcPr>
            <w:tcW w:w="237" w:type="pct"/>
            <w:tcBorders>
              <w:top w:val="single" w:sz="4" w:space="0" w:color="auto"/>
              <w:bottom w:val="single" w:sz="4" w:space="0" w:color="auto"/>
            </w:tcBorders>
          </w:tcPr>
          <w:p w14:paraId="3D2C2C6C" w14:textId="77777777" w:rsidR="00C53BB1" w:rsidRPr="00D91B35" w:rsidRDefault="00C53BB1" w:rsidP="00387006">
            <w:pPr>
              <w:rPr>
                <w:rFonts w:ascii="Times New Roman" w:hAnsi="Times New Roman" w:cs="Times New Roman"/>
                <w:b/>
                <w:bCs/>
                <w:sz w:val="16"/>
                <w:szCs w:val="16"/>
              </w:rPr>
            </w:pPr>
            <w:r>
              <w:rPr>
                <w:rFonts w:ascii="Times New Roman" w:hAnsi="Times New Roman"/>
                <w:b/>
                <w:sz w:val="16"/>
              </w:rPr>
              <w:t>P75</w:t>
            </w:r>
          </w:p>
        </w:tc>
        <w:tc>
          <w:tcPr>
            <w:tcW w:w="237" w:type="pct"/>
            <w:tcBorders>
              <w:top w:val="single" w:sz="4" w:space="0" w:color="auto"/>
              <w:bottom w:val="single" w:sz="4" w:space="0" w:color="auto"/>
            </w:tcBorders>
          </w:tcPr>
          <w:p w14:paraId="4B3DA77B" w14:textId="2437638B" w:rsidR="00C53BB1" w:rsidRPr="00D91B35" w:rsidRDefault="00C53BB1" w:rsidP="00387006">
            <w:pPr>
              <w:rPr>
                <w:rFonts w:ascii="Times New Roman" w:hAnsi="Times New Roman" w:cs="Times New Roman"/>
                <w:b/>
                <w:bCs/>
                <w:sz w:val="16"/>
                <w:szCs w:val="16"/>
              </w:rPr>
            </w:pPr>
            <w:r>
              <w:rPr>
                <w:rFonts w:ascii="Times New Roman" w:hAnsi="Times New Roman"/>
                <w:b/>
                <w:sz w:val="16"/>
              </w:rPr>
              <w:t>P90</w:t>
            </w:r>
          </w:p>
        </w:tc>
        <w:tc>
          <w:tcPr>
            <w:tcW w:w="237" w:type="pct"/>
            <w:tcBorders>
              <w:top w:val="single" w:sz="4" w:space="0" w:color="auto"/>
              <w:bottom w:val="single" w:sz="4" w:space="0" w:color="auto"/>
            </w:tcBorders>
          </w:tcPr>
          <w:p w14:paraId="62B0F1BD" w14:textId="24C240D3" w:rsidR="00C53BB1" w:rsidRPr="00D91B35" w:rsidRDefault="00C53BB1" w:rsidP="00387006">
            <w:pPr>
              <w:rPr>
                <w:rFonts w:ascii="Times New Roman" w:hAnsi="Times New Roman" w:cs="Times New Roman"/>
                <w:b/>
                <w:bCs/>
                <w:sz w:val="16"/>
                <w:szCs w:val="16"/>
              </w:rPr>
            </w:pPr>
            <w:r>
              <w:rPr>
                <w:rFonts w:ascii="Times New Roman" w:hAnsi="Times New Roman"/>
                <w:b/>
                <w:sz w:val="16"/>
              </w:rPr>
              <w:t>P95</w:t>
            </w:r>
          </w:p>
        </w:tc>
        <w:tc>
          <w:tcPr>
            <w:tcW w:w="237" w:type="pct"/>
            <w:tcBorders>
              <w:top w:val="single" w:sz="4" w:space="0" w:color="auto"/>
              <w:bottom w:val="single" w:sz="4" w:space="0" w:color="auto"/>
            </w:tcBorders>
          </w:tcPr>
          <w:p w14:paraId="3936DCF1" w14:textId="77777777" w:rsidR="00C53BB1" w:rsidRPr="00D91B35" w:rsidRDefault="00C53BB1" w:rsidP="00387006">
            <w:pPr>
              <w:rPr>
                <w:rFonts w:ascii="Times New Roman" w:hAnsi="Times New Roman" w:cs="Times New Roman"/>
                <w:b/>
                <w:bCs/>
                <w:sz w:val="16"/>
                <w:szCs w:val="16"/>
              </w:rPr>
            </w:pPr>
            <w:r>
              <w:rPr>
                <w:rFonts w:ascii="Times New Roman" w:hAnsi="Times New Roman"/>
                <w:b/>
                <w:sz w:val="16"/>
              </w:rPr>
              <w:t>P97.5</w:t>
            </w:r>
          </w:p>
        </w:tc>
      </w:tr>
      <w:tr w:rsidR="00387006" w:rsidRPr="00D91B35" w14:paraId="7BF3484B" w14:textId="77777777" w:rsidTr="008A656B">
        <w:tc>
          <w:tcPr>
            <w:tcW w:w="374" w:type="pct"/>
            <w:tcBorders>
              <w:top w:val="single" w:sz="4" w:space="0" w:color="auto"/>
            </w:tcBorders>
          </w:tcPr>
          <w:p w14:paraId="4F5958A8" w14:textId="77777777" w:rsidR="00C53BB1" w:rsidRPr="00D91B35" w:rsidRDefault="00C53BB1" w:rsidP="00387006">
            <w:pPr>
              <w:rPr>
                <w:rFonts w:ascii="Times New Roman" w:hAnsi="Times New Roman" w:cs="Times New Roman"/>
                <w:b/>
                <w:bCs/>
                <w:sz w:val="16"/>
                <w:szCs w:val="16"/>
              </w:rPr>
            </w:pPr>
          </w:p>
          <w:p w14:paraId="31AB0B03" w14:textId="340BDA94" w:rsidR="00C53BB1" w:rsidRPr="00D91B35" w:rsidRDefault="00C53BB1" w:rsidP="00387006">
            <w:pPr>
              <w:rPr>
                <w:rFonts w:ascii="Times New Roman" w:hAnsi="Times New Roman" w:cs="Times New Roman"/>
                <w:b/>
                <w:bCs/>
                <w:sz w:val="16"/>
                <w:szCs w:val="16"/>
              </w:rPr>
            </w:pPr>
            <w:r>
              <w:rPr>
                <w:rFonts w:ascii="Times New Roman" w:hAnsi="Times New Roman"/>
                <w:b/>
                <w:sz w:val="16"/>
              </w:rPr>
              <w:t>Pārtika</w:t>
            </w:r>
          </w:p>
        </w:tc>
        <w:tc>
          <w:tcPr>
            <w:tcW w:w="231" w:type="pct"/>
            <w:tcBorders>
              <w:top w:val="single" w:sz="4" w:space="0" w:color="auto"/>
            </w:tcBorders>
          </w:tcPr>
          <w:p w14:paraId="09D22DBD" w14:textId="129ACBD9" w:rsidR="00C53BB1" w:rsidRPr="00D91B35" w:rsidRDefault="00C53BB1" w:rsidP="00387006">
            <w:pPr>
              <w:rPr>
                <w:rFonts w:ascii="Times New Roman" w:hAnsi="Times New Roman" w:cs="Times New Roman"/>
                <w:b/>
                <w:bCs/>
                <w:sz w:val="16"/>
                <w:szCs w:val="16"/>
              </w:rPr>
            </w:pPr>
            <w:r>
              <w:rPr>
                <w:rFonts w:ascii="Times New Roman" w:hAnsi="Times New Roman"/>
                <w:b/>
                <w:sz w:val="16"/>
              </w:rPr>
              <w:t>Zēni un meitenes</w:t>
            </w:r>
          </w:p>
        </w:tc>
        <w:tc>
          <w:tcPr>
            <w:tcW w:w="358" w:type="pct"/>
            <w:tcBorders>
              <w:top w:val="single" w:sz="4" w:space="0" w:color="auto"/>
            </w:tcBorders>
          </w:tcPr>
          <w:p w14:paraId="5F314F40" w14:textId="5D4DB97B" w:rsidR="00C53BB1" w:rsidRPr="00D91B35" w:rsidRDefault="00C53BB1" w:rsidP="00387006">
            <w:pPr>
              <w:rPr>
                <w:rFonts w:ascii="Times New Roman" w:hAnsi="Times New Roman" w:cs="Times New Roman"/>
                <w:b/>
                <w:bCs/>
                <w:sz w:val="16"/>
                <w:szCs w:val="16"/>
              </w:rPr>
            </w:pPr>
            <w:r>
              <w:rPr>
                <w:rFonts w:ascii="Times New Roman" w:hAnsi="Times New Roman"/>
                <w:b/>
                <w:sz w:val="16"/>
              </w:rPr>
              <w:t>Nīderlande</w:t>
            </w:r>
          </w:p>
        </w:tc>
        <w:tc>
          <w:tcPr>
            <w:tcW w:w="359" w:type="pct"/>
            <w:tcBorders>
              <w:top w:val="single" w:sz="4" w:space="0" w:color="auto"/>
            </w:tcBorders>
            <w:vAlign w:val="center"/>
          </w:tcPr>
          <w:p w14:paraId="01BA2ECF" w14:textId="3A84BE0C" w:rsidR="00C53BB1" w:rsidRPr="00D91B35" w:rsidRDefault="00C53BB1" w:rsidP="00C53BB1">
            <w:pPr>
              <w:pStyle w:val="Default"/>
              <w:rPr>
                <w:sz w:val="16"/>
                <w:szCs w:val="16"/>
              </w:rPr>
            </w:pPr>
            <w:r>
              <w:rPr>
                <w:sz w:val="16"/>
              </w:rPr>
              <w:t>(de Boer et al., 2006)</w:t>
            </w:r>
          </w:p>
        </w:tc>
        <w:tc>
          <w:tcPr>
            <w:tcW w:w="839" w:type="pct"/>
            <w:tcBorders>
              <w:top w:val="single" w:sz="4" w:space="0" w:color="auto"/>
            </w:tcBorders>
          </w:tcPr>
          <w:p w14:paraId="4E9E6850" w14:textId="557F7CBE" w:rsidR="00C53BB1" w:rsidRPr="00D91B35" w:rsidRDefault="00C53BB1" w:rsidP="00387006">
            <w:pPr>
              <w:pStyle w:val="Default"/>
              <w:rPr>
                <w:sz w:val="16"/>
                <w:szCs w:val="16"/>
              </w:rPr>
            </w:pPr>
            <w:r>
              <w:rPr>
                <w:sz w:val="16"/>
              </w:rPr>
              <w:t>2 dienu uztura pieraksts (par divām savstarpēji nesaistītām dienām)</w:t>
            </w:r>
          </w:p>
          <w:p w14:paraId="5EA26588" w14:textId="117B9F64" w:rsidR="00C53BB1" w:rsidRPr="00D91B35" w:rsidRDefault="00C53BB1" w:rsidP="00C53BB1">
            <w:pPr>
              <w:jc w:val="center"/>
              <w:rPr>
                <w:rFonts w:ascii="Times New Roman" w:hAnsi="Times New Roman" w:cs="Times New Roman"/>
                <w:sz w:val="16"/>
                <w:szCs w:val="16"/>
              </w:rPr>
            </w:pPr>
          </w:p>
        </w:tc>
        <w:tc>
          <w:tcPr>
            <w:tcW w:w="196" w:type="pct"/>
            <w:tcBorders>
              <w:top w:val="single" w:sz="4" w:space="0" w:color="auto"/>
            </w:tcBorders>
          </w:tcPr>
          <w:p w14:paraId="171E044D" w14:textId="62794DFE" w:rsidR="00C53BB1" w:rsidRPr="00D91B35" w:rsidRDefault="00C53BB1" w:rsidP="00387006">
            <w:pPr>
              <w:rPr>
                <w:rFonts w:ascii="Times New Roman" w:hAnsi="Times New Roman" w:cs="Times New Roman"/>
                <w:sz w:val="16"/>
                <w:szCs w:val="16"/>
              </w:rPr>
            </w:pPr>
            <w:r>
              <w:rPr>
                <w:rFonts w:ascii="Times New Roman" w:hAnsi="Times New Roman"/>
                <w:sz w:val="16"/>
              </w:rPr>
              <w:t>33</w:t>
            </w:r>
          </w:p>
        </w:tc>
        <w:tc>
          <w:tcPr>
            <w:tcW w:w="122" w:type="pct"/>
            <w:tcBorders>
              <w:top w:val="single" w:sz="4" w:space="0" w:color="auto"/>
            </w:tcBorders>
            <w:vAlign w:val="center"/>
          </w:tcPr>
          <w:p w14:paraId="7597CC0C" w14:textId="77777777" w:rsidR="00C53BB1" w:rsidRPr="00D91B35" w:rsidRDefault="00C53BB1" w:rsidP="00387006">
            <w:pPr>
              <w:rPr>
                <w:rFonts w:ascii="Times New Roman" w:hAnsi="Times New Roman" w:cs="Times New Roman"/>
                <w:sz w:val="16"/>
                <w:szCs w:val="16"/>
              </w:rPr>
            </w:pPr>
          </w:p>
        </w:tc>
        <w:tc>
          <w:tcPr>
            <w:tcW w:w="183" w:type="pct"/>
            <w:tcBorders>
              <w:top w:val="single" w:sz="4" w:space="0" w:color="auto"/>
            </w:tcBorders>
          </w:tcPr>
          <w:p w14:paraId="5B7BCC8A" w14:textId="0F432710" w:rsidR="00C53BB1" w:rsidRPr="00D91B35" w:rsidRDefault="00C53BB1" w:rsidP="00387006">
            <w:pPr>
              <w:rPr>
                <w:rFonts w:ascii="Times New Roman" w:hAnsi="Times New Roman" w:cs="Times New Roman"/>
                <w:sz w:val="16"/>
                <w:szCs w:val="16"/>
              </w:rPr>
            </w:pPr>
            <w:r>
              <w:rPr>
                <w:rFonts w:ascii="Times New Roman" w:hAnsi="Times New Roman"/>
                <w:sz w:val="16"/>
              </w:rPr>
              <w:t>0,75</w:t>
            </w:r>
          </w:p>
        </w:tc>
        <w:tc>
          <w:tcPr>
            <w:tcW w:w="105" w:type="pct"/>
            <w:tcBorders>
              <w:top w:val="single" w:sz="4" w:space="0" w:color="auto"/>
            </w:tcBorders>
            <w:vAlign w:val="center"/>
          </w:tcPr>
          <w:p w14:paraId="37629E6E" w14:textId="77777777" w:rsidR="00C53BB1" w:rsidRPr="00D91B35" w:rsidRDefault="00C53BB1" w:rsidP="00387006">
            <w:pPr>
              <w:pStyle w:val="TableParagraph"/>
              <w:rPr>
                <w:rFonts w:ascii="Times New Roman" w:eastAsia="Times New Roman" w:hAnsi="Times New Roman" w:cs="Times New Roman"/>
                <w:bCs/>
                <w:noProof/>
                <w:color w:val="000000" w:themeColor="text1"/>
                <w:sz w:val="16"/>
                <w:szCs w:val="16"/>
              </w:rPr>
            </w:pPr>
          </w:p>
          <w:p w14:paraId="5D64A2B3" w14:textId="77777777" w:rsidR="00C53BB1" w:rsidRPr="00D91B35" w:rsidRDefault="00C53BB1" w:rsidP="00387006">
            <w:pPr>
              <w:rPr>
                <w:rFonts w:ascii="Times New Roman" w:hAnsi="Times New Roman" w:cs="Times New Roman"/>
                <w:sz w:val="16"/>
                <w:szCs w:val="16"/>
              </w:rPr>
            </w:pPr>
          </w:p>
        </w:tc>
        <w:tc>
          <w:tcPr>
            <w:tcW w:w="186" w:type="pct"/>
            <w:tcBorders>
              <w:top w:val="single" w:sz="4" w:space="0" w:color="auto"/>
            </w:tcBorders>
          </w:tcPr>
          <w:p w14:paraId="78C28477" w14:textId="546A2C97" w:rsidR="00C53BB1" w:rsidRPr="00D91B35" w:rsidRDefault="00C53BB1" w:rsidP="00387006">
            <w:pPr>
              <w:rPr>
                <w:rFonts w:ascii="Times New Roman" w:hAnsi="Times New Roman" w:cs="Times New Roman"/>
                <w:sz w:val="16"/>
                <w:szCs w:val="16"/>
              </w:rPr>
            </w:pPr>
            <w:r>
              <w:rPr>
                <w:rFonts w:ascii="Times New Roman" w:hAnsi="Times New Roman"/>
                <w:sz w:val="16"/>
              </w:rPr>
              <w:t>0,75</w:t>
            </w:r>
          </w:p>
        </w:tc>
        <w:tc>
          <w:tcPr>
            <w:tcW w:w="609" w:type="pct"/>
            <w:tcBorders>
              <w:top w:val="single" w:sz="4" w:space="0" w:color="auto"/>
            </w:tcBorders>
          </w:tcPr>
          <w:p w14:paraId="5960C875" w14:textId="3CF216CA" w:rsidR="00C53BB1" w:rsidRPr="00D91B35" w:rsidRDefault="00C53BB1" w:rsidP="00387006">
            <w:pPr>
              <w:pStyle w:val="Default"/>
              <w:rPr>
                <w:sz w:val="16"/>
                <w:szCs w:val="16"/>
              </w:rPr>
            </w:pPr>
            <w:r>
              <w:rPr>
                <w:sz w:val="16"/>
              </w:rPr>
              <w:t>Ieskaitot bagātinātu pārtiku</w:t>
            </w:r>
          </w:p>
        </w:tc>
        <w:tc>
          <w:tcPr>
            <w:tcW w:w="237" w:type="pct"/>
            <w:tcBorders>
              <w:top w:val="single" w:sz="4" w:space="0" w:color="auto"/>
            </w:tcBorders>
          </w:tcPr>
          <w:p w14:paraId="70F71AD3" w14:textId="7037F408" w:rsidR="00C53BB1" w:rsidRPr="00D91B35" w:rsidRDefault="00C53BB1" w:rsidP="00387006">
            <w:pPr>
              <w:rPr>
                <w:rFonts w:ascii="Times New Roman" w:hAnsi="Times New Roman" w:cs="Times New Roman"/>
                <w:sz w:val="16"/>
                <w:szCs w:val="16"/>
              </w:rPr>
            </w:pPr>
            <w:r>
              <w:rPr>
                <w:rFonts w:ascii="Times New Roman" w:hAnsi="Times New Roman"/>
                <w:sz w:val="16"/>
              </w:rPr>
              <w:t>730,0</w:t>
            </w:r>
          </w:p>
        </w:tc>
        <w:tc>
          <w:tcPr>
            <w:tcW w:w="251" w:type="pct"/>
            <w:tcBorders>
              <w:top w:val="single" w:sz="4" w:space="0" w:color="auto"/>
            </w:tcBorders>
          </w:tcPr>
          <w:p w14:paraId="52CD0730" w14:textId="77777777" w:rsidR="00C53BB1" w:rsidRPr="00D91B35" w:rsidRDefault="00C53BB1" w:rsidP="00387006">
            <w:pPr>
              <w:rPr>
                <w:rFonts w:ascii="Times New Roman" w:hAnsi="Times New Roman" w:cs="Times New Roman"/>
                <w:sz w:val="16"/>
                <w:szCs w:val="16"/>
              </w:rPr>
            </w:pPr>
          </w:p>
        </w:tc>
        <w:tc>
          <w:tcPr>
            <w:tcW w:w="237" w:type="pct"/>
            <w:tcBorders>
              <w:top w:val="single" w:sz="4" w:space="0" w:color="auto"/>
            </w:tcBorders>
          </w:tcPr>
          <w:p w14:paraId="1E99A411" w14:textId="645A0052" w:rsidR="00C53BB1" w:rsidRPr="00D91B35" w:rsidRDefault="00C53BB1" w:rsidP="00387006">
            <w:pPr>
              <w:rPr>
                <w:rFonts w:ascii="Times New Roman" w:hAnsi="Times New Roman" w:cs="Times New Roman"/>
                <w:sz w:val="16"/>
                <w:szCs w:val="16"/>
              </w:rPr>
            </w:pPr>
            <w:r>
              <w:rPr>
                <w:rFonts w:ascii="Times New Roman" w:hAnsi="Times New Roman"/>
                <w:sz w:val="16"/>
              </w:rPr>
              <w:t>812,0</w:t>
            </w:r>
          </w:p>
        </w:tc>
        <w:tc>
          <w:tcPr>
            <w:tcW w:w="237" w:type="pct"/>
            <w:tcBorders>
              <w:top w:val="single" w:sz="4" w:space="0" w:color="auto"/>
            </w:tcBorders>
          </w:tcPr>
          <w:p w14:paraId="4E11889F" w14:textId="6C141890" w:rsidR="00C53BB1" w:rsidRPr="00D91B35" w:rsidRDefault="00C53BB1" w:rsidP="00387006">
            <w:pPr>
              <w:rPr>
                <w:rFonts w:ascii="Times New Roman" w:hAnsi="Times New Roman" w:cs="Times New Roman"/>
                <w:sz w:val="16"/>
                <w:szCs w:val="16"/>
              </w:rPr>
            </w:pPr>
            <w:r>
              <w:rPr>
                <w:rFonts w:ascii="Times New Roman" w:hAnsi="Times New Roman"/>
                <w:sz w:val="16"/>
              </w:rPr>
              <w:t>915,0</w:t>
            </w:r>
          </w:p>
        </w:tc>
        <w:tc>
          <w:tcPr>
            <w:tcW w:w="237" w:type="pct"/>
            <w:tcBorders>
              <w:top w:val="single" w:sz="4" w:space="0" w:color="auto"/>
            </w:tcBorders>
          </w:tcPr>
          <w:p w14:paraId="0737DBAC" w14:textId="174F08CE" w:rsidR="00C53BB1" w:rsidRPr="00D91B35" w:rsidRDefault="00C53BB1" w:rsidP="00387006">
            <w:pPr>
              <w:rPr>
                <w:rFonts w:ascii="Times New Roman" w:hAnsi="Times New Roman" w:cs="Times New Roman"/>
                <w:sz w:val="16"/>
                <w:szCs w:val="16"/>
              </w:rPr>
            </w:pPr>
          </w:p>
        </w:tc>
        <w:tc>
          <w:tcPr>
            <w:tcW w:w="237" w:type="pct"/>
            <w:tcBorders>
              <w:top w:val="single" w:sz="4" w:space="0" w:color="auto"/>
            </w:tcBorders>
          </w:tcPr>
          <w:p w14:paraId="04F31182" w14:textId="77777777" w:rsidR="00C53BB1" w:rsidRPr="00D91B35" w:rsidRDefault="00C53BB1" w:rsidP="00387006">
            <w:pPr>
              <w:rPr>
                <w:rFonts w:ascii="Times New Roman" w:hAnsi="Times New Roman" w:cs="Times New Roman"/>
                <w:sz w:val="16"/>
                <w:szCs w:val="16"/>
              </w:rPr>
            </w:pPr>
          </w:p>
        </w:tc>
      </w:tr>
      <w:tr w:rsidR="00387006" w:rsidRPr="00D91B35" w14:paraId="183B37DF" w14:textId="77777777" w:rsidTr="008A656B">
        <w:tc>
          <w:tcPr>
            <w:tcW w:w="374" w:type="pct"/>
            <w:tcBorders>
              <w:bottom w:val="single" w:sz="4" w:space="0" w:color="auto"/>
            </w:tcBorders>
          </w:tcPr>
          <w:p w14:paraId="3F295B8F" w14:textId="77777777" w:rsidR="00C53BB1" w:rsidRPr="00D91B35" w:rsidRDefault="00C53BB1" w:rsidP="00387006">
            <w:pPr>
              <w:rPr>
                <w:rFonts w:ascii="Times New Roman" w:hAnsi="Times New Roman" w:cs="Times New Roman"/>
                <w:sz w:val="16"/>
                <w:szCs w:val="16"/>
              </w:rPr>
            </w:pPr>
          </w:p>
        </w:tc>
        <w:tc>
          <w:tcPr>
            <w:tcW w:w="231" w:type="pct"/>
            <w:tcBorders>
              <w:bottom w:val="single" w:sz="4" w:space="0" w:color="auto"/>
            </w:tcBorders>
          </w:tcPr>
          <w:p w14:paraId="30AA4F99" w14:textId="77777777" w:rsidR="00C53BB1" w:rsidRPr="00D91B35" w:rsidRDefault="00C53BB1" w:rsidP="00387006">
            <w:pPr>
              <w:rPr>
                <w:rFonts w:ascii="Times New Roman" w:hAnsi="Times New Roman" w:cs="Times New Roman"/>
                <w:sz w:val="16"/>
                <w:szCs w:val="16"/>
              </w:rPr>
            </w:pPr>
          </w:p>
        </w:tc>
        <w:tc>
          <w:tcPr>
            <w:tcW w:w="358" w:type="pct"/>
            <w:tcBorders>
              <w:bottom w:val="single" w:sz="4" w:space="0" w:color="auto"/>
            </w:tcBorders>
          </w:tcPr>
          <w:p w14:paraId="10BC6179" w14:textId="77777777" w:rsidR="00C53BB1" w:rsidRPr="00D91B35" w:rsidRDefault="00C53BB1" w:rsidP="00387006">
            <w:pPr>
              <w:rPr>
                <w:rFonts w:ascii="Times New Roman" w:hAnsi="Times New Roman" w:cs="Times New Roman"/>
                <w:sz w:val="16"/>
                <w:szCs w:val="16"/>
              </w:rPr>
            </w:pPr>
          </w:p>
        </w:tc>
        <w:tc>
          <w:tcPr>
            <w:tcW w:w="359" w:type="pct"/>
            <w:tcBorders>
              <w:bottom w:val="single" w:sz="4" w:space="0" w:color="auto"/>
            </w:tcBorders>
          </w:tcPr>
          <w:p w14:paraId="25F41DF9" w14:textId="77777777" w:rsidR="00C53BB1" w:rsidRPr="00D91B35" w:rsidRDefault="00C53BB1" w:rsidP="00387006">
            <w:pPr>
              <w:rPr>
                <w:rFonts w:ascii="Times New Roman" w:hAnsi="Times New Roman" w:cs="Times New Roman"/>
                <w:sz w:val="16"/>
                <w:szCs w:val="16"/>
              </w:rPr>
            </w:pPr>
          </w:p>
        </w:tc>
        <w:tc>
          <w:tcPr>
            <w:tcW w:w="839" w:type="pct"/>
            <w:tcBorders>
              <w:bottom w:val="single" w:sz="4" w:space="0" w:color="auto"/>
            </w:tcBorders>
          </w:tcPr>
          <w:p w14:paraId="212EAA15" w14:textId="77777777" w:rsidR="00C53BB1" w:rsidRPr="00D91B35" w:rsidRDefault="00C53BB1" w:rsidP="00387006">
            <w:pPr>
              <w:rPr>
                <w:rFonts w:ascii="Times New Roman" w:hAnsi="Times New Roman" w:cs="Times New Roman"/>
                <w:sz w:val="16"/>
                <w:szCs w:val="16"/>
              </w:rPr>
            </w:pPr>
          </w:p>
        </w:tc>
        <w:tc>
          <w:tcPr>
            <w:tcW w:w="196" w:type="pct"/>
            <w:tcBorders>
              <w:bottom w:val="single" w:sz="4" w:space="0" w:color="auto"/>
            </w:tcBorders>
          </w:tcPr>
          <w:p w14:paraId="163FAC31" w14:textId="7DC1A124" w:rsidR="00C53BB1" w:rsidRPr="00D91B35" w:rsidRDefault="00C53BB1" w:rsidP="00387006">
            <w:pPr>
              <w:rPr>
                <w:rFonts w:ascii="Times New Roman" w:hAnsi="Times New Roman" w:cs="Times New Roman"/>
                <w:sz w:val="16"/>
                <w:szCs w:val="16"/>
              </w:rPr>
            </w:pPr>
            <w:r>
              <w:rPr>
                <w:rFonts w:ascii="Times New Roman" w:hAnsi="Times New Roman"/>
                <w:sz w:val="16"/>
              </w:rPr>
              <w:t>306</w:t>
            </w:r>
          </w:p>
        </w:tc>
        <w:tc>
          <w:tcPr>
            <w:tcW w:w="122" w:type="pct"/>
            <w:tcBorders>
              <w:bottom w:val="single" w:sz="4" w:space="0" w:color="auto"/>
            </w:tcBorders>
          </w:tcPr>
          <w:p w14:paraId="23BD8EFF" w14:textId="77777777" w:rsidR="00C53BB1" w:rsidRPr="00D91B35" w:rsidRDefault="00C53BB1" w:rsidP="00387006">
            <w:pPr>
              <w:rPr>
                <w:rFonts w:ascii="Times New Roman" w:hAnsi="Times New Roman" w:cs="Times New Roman"/>
                <w:sz w:val="16"/>
                <w:szCs w:val="16"/>
              </w:rPr>
            </w:pPr>
          </w:p>
        </w:tc>
        <w:tc>
          <w:tcPr>
            <w:tcW w:w="183" w:type="pct"/>
            <w:tcBorders>
              <w:bottom w:val="single" w:sz="4" w:space="0" w:color="auto"/>
            </w:tcBorders>
          </w:tcPr>
          <w:p w14:paraId="3A239325" w14:textId="645BBD6E" w:rsidR="00C53BB1" w:rsidRPr="00D91B35" w:rsidRDefault="00C53BB1" w:rsidP="00387006">
            <w:pPr>
              <w:rPr>
                <w:rFonts w:ascii="Times New Roman" w:hAnsi="Times New Roman" w:cs="Times New Roman"/>
                <w:sz w:val="16"/>
                <w:szCs w:val="16"/>
              </w:rPr>
            </w:pPr>
            <w:r>
              <w:rPr>
                <w:rFonts w:ascii="Times New Roman" w:hAnsi="Times New Roman"/>
                <w:sz w:val="16"/>
              </w:rPr>
              <w:t>1</w:t>
            </w:r>
          </w:p>
        </w:tc>
        <w:tc>
          <w:tcPr>
            <w:tcW w:w="105" w:type="pct"/>
            <w:tcBorders>
              <w:bottom w:val="single" w:sz="4" w:space="0" w:color="auto"/>
            </w:tcBorders>
          </w:tcPr>
          <w:p w14:paraId="01D0C95D" w14:textId="77777777" w:rsidR="00C53BB1" w:rsidRPr="00D91B35" w:rsidRDefault="00C53BB1" w:rsidP="00387006">
            <w:pPr>
              <w:rPr>
                <w:rFonts w:ascii="Times New Roman" w:hAnsi="Times New Roman" w:cs="Times New Roman"/>
                <w:sz w:val="16"/>
                <w:szCs w:val="16"/>
              </w:rPr>
            </w:pPr>
          </w:p>
        </w:tc>
        <w:tc>
          <w:tcPr>
            <w:tcW w:w="186" w:type="pct"/>
            <w:tcBorders>
              <w:bottom w:val="single" w:sz="4" w:space="0" w:color="auto"/>
            </w:tcBorders>
          </w:tcPr>
          <w:p w14:paraId="41C99CDF" w14:textId="28DAC812" w:rsidR="00C53BB1" w:rsidRPr="00D91B35" w:rsidRDefault="00C53BB1" w:rsidP="00387006">
            <w:pPr>
              <w:rPr>
                <w:rFonts w:ascii="Times New Roman" w:hAnsi="Times New Roman" w:cs="Times New Roman"/>
                <w:sz w:val="16"/>
                <w:szCs w:val="16"/>
              </w:rPr>
            </w:pPr>
            <w:r>
              <w:rPr>
                <w:rFonts w:ascii="Times New Roman" w:hAnsi="Times New Roman"/>
                <w:sz w:val="16"/>
              </w:rPr>
              <w:t>1</w:t>
            </w:r>
          </w:p>
        </w:tc>
        <w:tc>
          <w:tcPr>
            <w:tcW w:w="609" w:type="pct"/>
            <w:tcBorders>
              <w:bottom w:val="single" w:sz="4" w:space="0" w:color="auto"/>
            </w:tcBorders>
          </w:tcPr>
          <w:p w14:paraId="6E93F7AB" w14:textId="5044D994" w:rsidR="00C53BB1" w:rsidRPr="00D91B35" w:rsidRDefault="00C53BB1" w:rsidP="00387006">
            <w:pPr>
              <w:pStyle w:val="Default"/>
              <w:rPr>
                <w:sz w:val="16"/>
                <w:szCs w:val="16"/>
              </w:rPr>
            </w:pPr>
            <w:r>
              <w:rPr>
                <w:sz w:val="16"/>
              </w:rPr>
              <w:t>Ieskaitot bagātinātu pārtiku</w:t>
            </w:r>
          </w:p>
        </w:tc>
        <w:tc>
          <w:tcPr>
            <w:tcW w:w="237" w:type="pct"/>
            <w:tcBorders>
              <w:bottom w:val="single" w:sz="4" w:space="0" w:color="auto"/>
            </w:tcBorders>
          </w:tcPr>
          <w:p w14:paraId="3D91581A" w14:textId="7A20644F" w:rsidR="00C53BB1" w:rsidRPr="00D91B35" w:rsidRDefault="00C53BB1" w:rsidP="00387006">
            <w:pPr>
              <w:rPr>
                <w:rFonts w:ascii="Times New Roman" w:hAnsi="Times New Roman" w:cs="Times New Roman"/>
                <w:sz w:val="16"/>
                <w:szCs w:val="16"/>
              </w:rPr>
            </w:pPr>
            <w:r>
              <w:rPr>
                <w:rFonts w:ascii="Times New Roman" w:hAnsi="Times New Roman"/>
                <w:sz w:val="16"/>
              </w:rPr>
              <w:t>824,0</w:t>
            </w:r>
          </w:p>
        </w:tc>
        <w:tc>
          <w:tcPr>
            <w:tcW w:w="251" w:type="pct"/>
            <w:tcBorders>
              <w:bottom w:val="single" w:sz="4" w:space="0" w:color="auto"/>
            </w:tcBorders>
          </w:tcPr>
          <w:p w14:paraId="0BEDB664" w14:textId="77777777" w:rsidR="00C53BB1" w:rsidRPr="00D91B35" w:rsidRDefault="00C53BB1" w:rsidP="00387006">
            <w:pPr>
              <w:rPr>
                <w:rFonts w:ascii="Times New Roman" w:hAnsi="Times New Roman" w:cs="Times New Roman"/>
                <w:sz w:val="16"/>
                <w:szCs w:val="16"/>
              </w:rPr>
            </w:pPr>
          </w:p>
        </w:tc>
        <w:tc>
          <w:tcPr>
            <w:tcW w:w="237" w:type="pct"/>
            <w:tcBorders>
              <w:bottom w:val="single" w:sz="4" w:space="0" w:color="auto"/>
            </w:tcBorders>
          </w:tcPr>
          <w:p w14:paraId="397ABEBE" w14:textId="08E0FC75" w:rsidR="00C53BB1" w:rsidRPr="00D91B35" w:rsidRDefault="00C53BB1" w:rsidP="00387006">
            <w:pPr>
              <w:rPr>
                <w:rFonts w:ascii="Times New Roman" w:hAnsi="Times New Roman" w:cs="Times New Roman"/>
                <w:sz w:val="16"/>
                <w:szCs w:val="16"/>
              </w:rPr>
            </w:pPr>
            <w:r>
              <w:rPr>
                <w:rFonts w:ascii="Times New Roman" w:hAnsi="Times New Roman"/>
                <w:sz w:val="16"/>
              </w:rPr>
              <w:t>938,0</w:t>
            </w:r>
          </w:p>
        </w:tc>
        <w:tc>
          <w:tcPr>
            <w:tcW w:w="237" w:type="pct"/>
            <w:tcBorders>
              <w:bottom w:val="single" w:sz="4" w:space="0" w:color="auto"/>
            </w:tcBorders>
          </w:tcPr>
          <w:p w14:paraId="2113A6CE" w14:textId="25420EE5" w:rsidR="00C53BB1" w:rsidRPr="00D91B35" w:rsidRDefault="00C53BB1" w:rsidP="00387006">
            <w:pPr>
              <w:rPr>
                <w:rFonts w:ascii="Times New Roman" w:hAnsi="Times New Roman" w:cs="Times New Roman"/>
                <w:sz w:val="16"/>
                <w:szCs w:val="16"/>
              </w:rPr>
            </w:pPr>
            <w:r>
              <w:rPr>
                <w:rFonts w:ascii="Times New Roman" w:hAnsi="Times New Roman"/>
                <w:sz w:val="16"/>
              </w:rPr>
              <w:t>1 085,0</w:t>
            </w:r>
          </w:p>
        </w:tc>
        <w:tc>
          <w:tcPr>
            <w:tcW w:w="237" w:type="pct"/>
            <w:tcBorders>
              <w:bottom w:val="single" w:sz="4" w:space="0" w:color="auto"/>
            </w:tcBorders>
          </w:tcPr>
          <w:p w14:paraId="34F46381" w14:textId="11B32809" w:rsidR="00C53BB1" w:rsidRPr="00D91B35" w:rsidRDefault="00C53BB1" w:rsidP="00387006">
            <w:pPr>
              <w:rPr>
                <w:rFonts w:ascii="Times New Roman" w:hAnsi="Times New Roman" w:cs="Times New Roman"/>
                <w:sz w:val="16"/>
                <w:szCs w:val="16"/>
              </w:rPr>
            </w:pPr>
          </w:p>
        </w:tc>
        <w:tc>
          <w:tcPr>
            <w:tcW w:w="237" w:type="pct"/>
            <w:tcBorders>
              <w:bottom w:val="single" w:sz="4" w:space="0" w:color="auto"/>
            </w:tcBorders>
          </w:tcPr>
          <w:p w14:paraId="1E9A1598" w14:textId="77777777" w:rsidR="00C53BB1" w:rsidRPr="00D91B35" w:rsidRDefault="00C53BB1" w:rsidP="00387006">
            <w:pPr>
              <w:rPr>
                <w:rFonts w:ascii="Times New Roman" w:hAnsi="Times New Roman" w:cs="Times New Roman"/>
                <w:sz w:val="16"/>
                <w:szCs w:val="16"/>
              </w:rPr>
            </w:pPr>
          </w:p>
        </w:tc>
      </w:tr>
      <w:tr w:rsidR="00387006" w:rsidRPr="00D91B35" w14:paraId="75DFDBAC" w14:textId="77777777" w:rsidTr="008A656B">
        <w:tc>
          <w:tcPr>
            <w:tcW w:w="374" w:type="pct"/>
            <w:tcBorders>
              <w:top w:val="single" w:sz="4" w:space="0" w:color="auto"/>
            </w:tcBorders>
          </w:tcPr>
          <w:p w14:paraId="32DB1CB6" w14:textId="5C4DC723" w:rsidR="00C53BB1" w:rsidRPr="00D91B35" w:rsidRDefault="00C53BB1" w:rsidP="00387006">
            <w:pPr>
              <w:rPr>
                <w:rFonts w:ascii="Times New Roman" w:hAnsi="Times New Roman" w:cs="Times New Roman"/>
                <w:b/>
                <w:bCs/>
                <w:sz w:val="16"/>
                <w:szCs w:val="16"/>
              </w:rPr>
            </w:pPr>
            <w:r>
              <w:rPr>
                <w:rFonts w:ascii="Times New Roman" w:hAnsi="Times New Roman"/>
                <w:b/>
                <w:sz w:val="16"/>
              </w:rPr>
              <w:t>Pārtika un bagātinātāji</w:t>
            </w:r>
          </w:p>
        </w:tc>
        <w:tc>
          <w:tcPr>
            <w:tcW w:w="231" w:type="pct"/>
            <w:tcBorders>
              <w:top w:val="single" w:sz="4" w:space="0" w:color="auto"/>
            </w:tcBorders>
          </w:tcPr>
          <w:p w14:paraId="1AE93C86" w14:textId="3D7CC49D" w:rsidR="00C53BB1" w:rsidRPr="00D91B35" w:rsidRDefault="00C53BB1" w:rsidP="00387006">
            <w:pPr>
              <w:rPr>
                <w:rFonts w:ascii="Times New Roman" w:hAnsi="Times New Roman" w:cs="Times New Roman"/>
                <w:b/>
                <w:bCs/>
                <w:sz w:val="16"/>
                <w:szCs w:val="16"/>
              </w:rPr>
            </w:pPr>
            <w:r>
              <w:rPr>
                <w:rFonts w:ascii="Times New Roman" w:hAnsi="Times New Roman"/>
                <w:b/>
                <w:sz w:val="16"/>
              </w:rPr>
              <w:t>Meitenes</w:t>
            </w:r>
          </w:p>
        </w:tc>
        <w:tc>
          <w:tcPr>
            <w:tcW w:w="358" w:type="pct"/>
            <w:tcBorders>
              <w:top w:val="single" w:sz="4" w:space="0" w:color="auto"/>
            </w:tcBorders>
          </w:tcPr>
          <w:p w14:paraId="00C3A252" w14:textId="39C84282" w:rsidR="00C53BB1" w:rsidRPr="00D91B35" w:rsidRDefault="00C53BB1" w:rsidP="00387006">
            <w:pPr>
              <w:rPr>
                <w:rFonts w:ascii="Times New Roman" w:hAnsi="Times New Roman" w:cs="Times New Roman"/>
                <w:b/>
                <w:bCs/>
                <w:sz w:val="16"/>
                <w:szCs w:val="16"/>
              </w:rPr>
            </w:pPr>
            <w:r>
              <w:rPr>
                <w:rFonts w:ascii="Times New Roman" w:hAnsi="Times New Roman"/>
                <w:b/>
                <w:sz w:val="16"/>
              </w:rPr>
              <w:t>Somija</w:t>
            </w:r>
          </w:p>
        </w:tc>
        <w:tc>
          <w:tcPr>
            <w:tcW w:w="359" w:type="pct"/>
            <w:tcBorders>
              <w:top w:val="single" w:sz="4" w:space="0" w:color="auto"/>
            </w:tcBorders>
          </w:tcPr>
          <w:p w14:paraId="17DBD601" w14:textId="77777777" w:rsidR="00BE71C6" w:rsidRDefault="00C53BB1" w:rsidP="00C53BB1">
            <w:pPr>
              <w:pStyle w:val="Default"/>
              <w:rPr>
                <w:sz w:val="16"/>
                <w:szCs w:val="16"/>
              </w:rPr>
            </w:pPr>
            <w:r>
              <w:rPr>
                <w:sz w:val="16"/>
              </w:rPr>
              <w:t>(Kyttälä et al., 2008; 2010)</w:t>
            </w:r>
          </w:p>
          <w:p w14:paraId="6C36DBC2" w14:textId="5705E2D4" w:rsidR="00C53BB1" w:rsidRPr="00D91B35" w:rsidRDefault="00C53BB1" w:rsidP="00387006">
            <w:pPr>
              <w:rPr>
                <w:rFonts w:ascii="Times New Roman" w:hAnsi="Times New Roman" w:cs="Times New Roman"/>
                <w:sz w:val="16"/>
                <w:szCs w:val="16"/>
              </w:rPr>
            </w:pPr>
          </w:p>
        </w:tc>
        <w:tc>
          <w:tcPr>
            <w:tcW w:w="839" w:type="pct"/>
            <w:tcBorders>
              <w:top w:val="single" w:sz="4" w:space="0" w:color="auto"/>
            </w:tcBorders>
          </w:tcPr>
          <w:p w14:paraId="0F99959F" w14:textId="503B05DB" w:rsidR="00C53BB1" w:rsidRPr="00D91B35" w:rsidRDefault="00C53BB1" w:rsidP="00387006">
            <w:pPr>
              <w:rPr>
                <w:rFonts w:ascii="Times New Roman" w:hAnsi="Times New Roman" w:cs="Times New Roman"/>
                <w:sz w:val="16"/>
                <w:szCs w:val="16"/>
              </w:rPr>
            </w:pPr>
            <w:r>
              <w:rPr>
                <w:rFonts w:ascii="Times New Roman" w:hAnsi="Times New Roman"/>
                <w:sz w:val="16"/>
              </w:rPr>
              <w:t>3 dienu uztura pieraksts</w:t>
            </w:r>
          </w:p>
        </w:tc>
        <w:tc>
          <w:tcPr>
            <w:tcW w:w="196" w:type="pct"/>
            <w:tcBorders>
              <w:top w:val="single" w:sz="4" w:space="0" w:color="auto"/>
            </w:tcBorders>
          </w:tcPr>
          <w:p w14:paraId="120DA23F" w14:textId="02098D7B" w:rsidR="00C53BB1" w:rsidRPr="00D91B35" w:rsidRDefault="00C53BB1" w:rsidP="00387006">
            <w:pPr>
              <w:rPr>
                <w:rFonts w:ascii="Times New Roman" w:hAnsi="Times New Roman" w:cs="Times New Roman"/>
                <w:sz w:val="16"/>
                <w:szCs w:val="16"/>
              </w:rPr>
            </w:pPr>
            <w:r>
              <w:rPr>
                <w:rFonts w:ascii="Times New Roman" w:hAnsi="Times New Roman"/>
                <w:sz w:val="16"/>
              </w:rPr>
              <w:t>198</w:t>
            </w:r>
          </w:p>
        </w:tc>
        <w:tc>
          <w:tcPr>
            <w:tcW w:w="122" w:type="pct"/>
            <w:tcBorders>
              <w:top w:val="single" w:sz="4" w:space="0" w:color="auto"/>
            </w:tcBorders>
          </w:tcPr>
          <w:p w14:paraId="3016082E" w14:textId="77777777" w:rsidR="00C53BB1" w:rsidRPr="00D91B35" w:rsidRDefault="00C53BB1" w:rsidP="00387006">
            <w:pPr>
              <w:rPr>
                <w:rFonts w:ascii="Times New Roman" w:hAnsi="Times New Roman" w:cs="Times New Roman"/>
                <w:sz w:val="16"/>
                <w:szCs w:val="16"/>
              </w:rPr>
            </w:pPr>
          </w:p>
        </w:tc>
        <w:tc>
          <w:tcPr>
            <w:tcW w:w="183" w:type="pct"/>
            <w:tcBorders>
              <w:top w:val="single" w:sz="4" w:space="0" w:color="auto"/>
            </w:tcBorders>
          </w:tcPr>
          <w:p w14:paraId="58449684" w14:textId="1F42F6E9" w:rsidR="00C53BB1" w:rsidRPr="00D91B35" w:rsidRDefault="00C53BB1" w:rsidP="00387006">
            <w:pPr>
              <w:rPr>
                <w:rFonts w:ascii="Times New Roman" w:hAnsi="Times New Roman" w:cs="Times New Roman"/>
                <w:sz w:val="16"/>
                <w:szCs w:val="16"/>
              </w:rPr>
            </w:pPr>
            <w:r>
              <w:rPr>
                <w:rFonts w:ascii="Times New Roman" w:hAnsi="Times New Roman"/>
                <w:sz w:val="16"/>
              </w:rPr>
              <w:t>1</w:t>
            </w:r>
          </w:p>
        </w:tc>
        <w:tc>
          <w:tcPr>
            <w:tcW w:w="105" w:type="pct"/>
            <w:tcBorders>
              <w:top w:val="single" w:sz="4" w:space="0" w:color="auto"/>
            </w:tcBorders>
          </w:tcPr>
          <w:p w14:paraId="5A4F1C92" w14:textId="77777777" w:rsidR="00C53BB1" w:rsidRPr="00D91B35" w:rsidRDefault="00C53BB1" w:rsidP="00387006">
            <w:pPr>
              <w:rPr>
                <w:rFonts w:ascii="Times New Roman" w:hAnsi="Times New Roman" w:cs="Times New Roman"/>
                <w:sz w:val="16"/>
                <w:szCs w:val="16"/>
              </w:rPr>
            </w:pPr>
          </w:p>
        </w:tc>
        <w:tc>
          <w:tcPr>
            <w:tcW w:w="186" w:type="pct"/>
            <w:tcBorders>
              <w:top w:val="single" w:sz="4" w:space="0" w:color="auto"/>
            </w:tcBorders>
          </w:tcPr>
          <w:p w14:paraId="2807E5FB" w14:textId="143F0933" w:rsidR="00C53BB1" w:rsidRPr="00D91B35" w:rsidRDefault="00C53BB1" w:rsidP="00387006">
            <w:pPr>
              <w:rPr>
                <w:rFonts w:ascii="Times New Roman" w:hAnsi="Times New Roman" w:cs="Times New Roman"/>
                <w:sz w:val="16"/>
                <w:szCs w:val="16"/>
              </w:rPr>
            </w:pPr>
            <w:r>
              <w:rPr>
                <w:rFonts w:ascii="Times New Roman" w:hAnsi="Times New Roman"/>
                <w:sz w:val="16"/>
              </w:rPr>
              <w:t>1</w:t>
            </w:r>
          </w:p>
        </w:tc>
        <w:tc>
          <w:tcPr>
            <w:tcW w:w="609" w:type="pct"/>
            <w:tcBorders>
              <w:top w:val="single" w:sz="4" w:space="0" w:color="auto"/>
            </w:tcBorders>
          </w:tcPr>
          <w:p w14:paraId="520E98F6" w14:textId="6448D90D" w:rsidR="00C53BB1" w:rsidRPr="00D91B35" w:rsidRDefault="00C53BB1" w:rsidP="00C53BB1">
            <w:pPr>
              <w:pStyle w:val="Default"/>
              <w:rPr>
                <w:sz w:val="16"/>
                <w:szCs w:val="16"/>
              </w:rPr>
            </w:pPr>
            <w:r>
              <w:rPr>
                <w:sz w:val="16"/>
              </w:rPr>
              <w:t>Mākslīgi baroti zīdaiņi, kuriem ģenētiski ir 1. tipa diabēta risks</w:t>
            </w:r>
          </w:p>
        </w:tc>
        <w:tc>
          <w:tcPr>
            <w:tcW w:w="237" w:type="pct"/>
            <w:tcBorders>
              <w:top w:val="single" w:sz="4" w:space="0" w:color="auto"/>
            </w:tcBorders>
          </w:tcPr>
          <w:p w14:paraId="150EF9D9" w14:textId="0AB846F0" w:rsidR="00C53BB1" w:rsidRPr="00D91B35" w:rsidRDefault="00C53BB1" w:rsidP="00387006">
            <w:pPr>
              <w:rPr>
                <w:rFonts w:ascii="Times New Roman" w:hAnsi="Times New Roman" w:cs="Times New Roman"/>
                <w:sz w:val="16"/>
                <w:szCs w:val="16"/>
              </w:rPr>
            </w:pPr>
            <w:r>
              <w:rPr>
                <w:rFonts w:ascii="Times New Roman" w:hAnsi="Times New Roman"/>
                <w:sz w:val="16"/>
              </w:rPr>
              <w:t>696,0</w:t>
            </w:r>
          </w:p>
        </w:tc>
        <w:tc>
          <w:tcPr>
            <w:tcW w:w="251" w:type="pct"/>
            <w:tcBorders>
              <w:top w:val="single" w:sz="4" w:space="0" w:color="auto"/>
            </w:tcBorders>
          </w:tcPr>
          <w:p w14:paraId="7A93C38F" w14:textId="25D7BAAF" w:rsidR="00C53BB1" w:rsidRPr="00D91B35" w:rsidRDefault="00C53BB1" w:rsidP="00387006">
            <w:pPr>
              <w:rPr>
                <w:rFonts w:ascii="Times New Roman" w:hAnsi="Times New Roman" w:cs="Times New Roman"/>
                <w:sz w:val="16"/>
                <w:szCs w:val="16"/>
              </w:rPr>
            </w:pPr>
          </w:p>
        </w:tc>
        <w:tc>
          <w:tcPr>
            <w:tcW w:w="237" w:type="pct"/>
            <w:tcBorders>
              <w:top w:val="single" w:sz="4" w:space="0" w:color="auto"/>
            </w:tcBorders>
          </w:tcPr>
          <w:p w14:paraId="11C23AF7" w14:textId="75D904E4" w:rsidR="00C53BB1" w:rsidRPr="00D91B35" w:rsidRDefault="00C53BB1" w:rsidP="00387006">
            <w:pPr>
              <w:rPr>
                <w:rFonts w:ascii="Times New Roman" w:hAnsi="Times New Roman" w:cs="Times New Roman"/>
                <w:sz w:val="16"/>
                <w:szCs w:val="16"/>
              </w:rPr>
            </w:pPr>
            <w:r>
              <w:rPr>
                <w:rFonts w:ascii="Times New Roman" w:hAnsi="Times New Roman"/>
                <w:sz w:val="16"/>
              </w:rPr>
              <w:t>885,0</w:t>
            </w:r>
          </w:p>
        </w:tc>
        <w:tc>
          <w:tcPr>
            <w:tcW w:w="237" w:type="pct"/>
            <w:tcBorders>
              <w:top w:val="single" w:sz="4" w:space="0" w:color="auto"/>
            </w:tcBorders>
          </w:tcPr>
          <w:p w14:paraId="48D0097D" w14:textId="77777777" w:rsidR="00C53BB1" w:rsidRPr="00D91B35" w:rsidRDefault="00C53BB1" w:rsidP="00387006">
            <w:pPr>
              <w:rPr>
                <w:rFonts w:ascii="Times New Roman" w:hAnsi="Times New Roman" w:cs="Times New Roman"/>
                <w:sz w:val="16"/>
                <w:szCs w:val="16"/>
              </w:rPr>
            </w:pPr>
          </w:p>
        </w:tc>
        <w:tc>
          <w:tcPr>
            <w:tcW w:w="237" w:type="pct"/>
            <w:tcBorders>
              <w:top w:val="single" w:sz="4" w:space="0" w:color="auto"/>
            </w:tcBorders>
          </w:tcPr>
          <w:p w14:paraId="635CCC80" w14:textId="09F2F5E5" w:rsidR="00C53BB1" w:rsidRPr="00D91B35" w:rsidRDefault="00C53BB1" w:rsidP="00387006">
            <w:pPr>
              <w:rPr>
                <w:rFonts w:ascii="Times New Roman" w:hAnsi="Times New Roman" w:cs="Times New Roman"/>
                <w:sz w:val="16"/>
                <w:szCs w:val="16"/>
              </w:rPr>
            </w:pPr>
          </w:p>
        </w:tc>
        <w:tc>
          <w:tcPr>
            <w:tcW w:w="237" w:type="pct"/>
            <w:tcBorders>
              <w:top w:val="single" w:sz="4" w:space="0" w:color="auto"/>
            </w:tcBorders>
          </w:tcPr>
          <w:p w14:paraId="7A1E423B" w14:textId="77777777" w:rsidR="00C53BB1" w:rsidRPr="00D91B35" w:rsidRDefault="00C53BB1" w:rsidP="00387006">
            <w:pPr>
              <w:rPr>
                <w:rFonts w:ascii="Times New Roman" w:hAnsi="Times New Roman" w:cs="Times New Roman"/>
                <w:sz w:val="16"/>
                <w:szCs w:val="16"/>
              </w:rPr>
            </w:pPr>
          </w:p>
        </w:tc>
      </w:tr>
      <w:tr w:rsidR="00387006" w:rsidRPr="00D91B35" w14:paraId="28BDFBAB" w14:textId="77777777" w:rsidTr="008A656B">
        <w:tc>
          <w:tcPr>
            <w:tcW w:w="374" w:type="pct"/>
            <w:tcBorders>
              <w:bottom w:val="single" w:sz="4" w:space="0" w:color="auto"/>
            </w:tcBorders>
          </w:tcPr>
          <w:p w14:paraId="27FB5AA2" w14:textId="77777777" w:rsidR="00C53BB1" w:rsidRPr="00D91B35" w:rsidRDefault="00C53BB1" w:rsidP="00387006">
            <w:pPr>
              <w:rPr>
                <w:rFonts w:ascii="Times New Roman" w:hAnsi="Times New Roman" w:cs="Times New Roman"/>
                <w:sz w:val="16"/>
                <w:szCs w:val="16"/>
              </w:rPr>
            </w:pPr>
          </w:p>
        </w:tc>
        <w:tc>
          <w:tcPr>
            <w:tcW w:w="231" w:type="pct"/>
            <w:tcBorders>
              <w:bottom w:val="single" w:sz="4" w:space="0" w:color="auto"/>
            </w:tcBorders>
          </w:tcPr>
          <w:p w14:paraId="70D0CA25" w14:textId="77777777" w:rsidR="00C53BB1" w:rsidRPr="00D91B35" w:rsidRDefault="00C53BB1" w:rsidP="00387006">
            <w:pPr>
              <w:rPr>
                <w:rFonts w:ascii="Times New Roman" w:hAnsi="Times New Roman" w:cs="Times New Roman"/>
                <w:sz w:val="16"/>
                <w:szCs w:val="16"/>
              </w:rPr>
            </w:pPr>
          </w:p>
        </w:tc>
        <w:tc>
          <w:tcPr>
            <w:tcW w:w="358" w:type="pct"/>
            <w:tcBorders>
              <w:bottom w:val="single" w:sz="4" w:space="0" w:color="auto"/>
            </w:tcBorders>
          </w:tcPr>
          <w:p w14:paraId="14E7F0B8" w14:textId="77777777" w:rsidR="00C53BB1" w:rsidRPr="00D91B35" w:rsidRDefault="00C53BB1" w:rsidP="00387006">
            <w:pPr>
              <w:rPr>
                <w:rFonts w:ascii="Times New Roman" w:hAnsi="Times New Roman" w:cs="Times New Roman"/>
                <w:b/>
                <w:bCs/>
                <w:sz w:val="16"/>
                <w:szCs w:val="16"/>
              </w:rPr>
            </w:pPr>
          </w:p>
        </w:tc>
        <w:tc>
          <w:tcPr>
            <w:tcW w:w="359" w:type="pct"/>
            <w:tcBorders>
              <w:bottom w:val="single" w:sz="4" w:space="0" w:color="auto"/>
            </w:tcBorders>
          </w:tcPr>
          <w:p w14:paraId="0C36474B" w14:textId="77777777" w:rsidR="00BE71C6" w:rsidRDefault="00C53BB1" w:rsidP="00C53BB1">
            <w:pPr>
              <w:pStyle w:val="Default"/>
              <w:rPr>
                <w:sz w:val="16"/>
                <w:szCs w:val="16"/>
              </w:rPr>
            </w:pPr>
            <w:r>
              <w:rPr>
                <w:sz w:val="16"/>
              </w:rPr>
              <w:t>(Kyttälä et al., 2008; 2010)</w:t>
            </w:r>
          </w:p>
          <w:p w14:paraId="210A7F50" w14:textId="67ADA8EC" w:rsidR="00C53BB1" w:rsidRPr="00D91B35" w:rsidRDefault="00C53BB1" w:rsidP="00387006">
            <w:pPr>
              <w:rPr>
                <w:rFonts w:ascii="Times New Roman" w:hAnsi="Times New Roman" w:cs="Times New Roman"/>
                <w:sz w:val="16"/>
                <w:szCs w:val="16"/>
              </w:rPr>
            </w:pPr>
          </w:p>
        </w:tc>
        <w:tc>
          <w:tcPr>
            <w:tcW w:w="839" w:type="pct"/>
            <w:tcBorders>
              <w:bottom w:val="single" w:sz="4" w:space="0" w:color="auto"/>
            </w:tcBorders>
          </w:tcPr>
          <w:p w14:paraId="2AC2E9F2" w14:textId="504D49C5" w:rsidR="00C53BB1" w:rsidRPr="00D91B35" w:rsidRDefault="00C53BB1" w:rsidP="00387006">
            <w:pPr>
              <w:pStyle w:val="Default"/>
              <w:rPr>
                <w:sz w:val="16"/>
                <w:szCs w:val="16"/>
              </w:rPr>
            </w:pPr>
            <w:r>
              <w:rPr>
                <w:sz w:val="16"/>
              </w:rPr>
              <w:t>7 dienu uztura pieraksts</w:t>
            </w:r>
          </w:p>
        </w:tc>
        <w:tc>
          <w:tcPr>
            <w:tcW w:w="196" w:type="pct"/>
            <w:tcBorders>
              <w:bottom w:val="single" w:sz="4" w:space="0" w:color="auto"/>
            </w:tcBorders>
          </w:tcPr>
          <w:p w14:paraId="1295A024" w14:textId="1C485DCB" w:rsidR="00C53BB1" w:rsidRPr="00D91B35" w:rsidRDefault="00C53BB1" w:rsidP="00387006">
            <w:pPr>
              <w:rPr>
                <w:rFonts w:ascii="Times New Roman" w:hAnsi="Times New Roman" w:cs="Times New Roman"/>
                <w:sz w:val="16"/>
                <w:szCs w:val="16"/>
              </w:rPr>
            </w:pPr>
            <w:r>
              <w:rPr>
                <w:rFonts w:ascii="Times New Roman" w:hAnsi="Times New Roman"/>
                <w:sz w:val="16"/>
              </w:rPr>
              <w:t>257</w:t>
            </w:r>
          </w:p>
        </w:tc>
        <w:tc>
          <w:tcPr>
            <w:tcW w:w="122" w:type="pct"/>
            <w:tcBorders>
              <w:bottom w:val="single" w:sz="4" w:space="0" w:color="auto"/>
            </w:tcBorders>
          </w:tcPr>
          <w:p w14:paraId="112D3389" w14:textId="77777777" w:rsidR="00C53BB1" w:rsidRPr="00D91B35" w:rsidRDefault="00C53BB1" w:rsidP="00387006">
            <w:pPr>
              <w:rPr>
                <w:rFonts w:ascii="Times New Roman" w:hAnsi="Times New Roman" w:cs="Times New Roman"/>
                <w:sz w:val="16"/>
                <w:szCs w:val="16"/>
              </w:rPr>
            </w:pPr>
          </w:p>
        </w:tc>
        <w:tc>
          <w:tcPr>
            <w:tcW w:w="183" w:type="pct"/>
            <w:tcBorders>
              <w:bottom w:val="single" w:sz="4" w:space="0" w:color="auto"/>
            </w:tcBorders>
          </w:tcPr>
          <w:p w14:paraId="0E1ED9ED" w14:textId="67070B07" w:rsidR="00C53BB1" w:rsidRPr="00D91B35" w:rsidRDefault="00C53BB1" w:rsidP="00387006">
            <w:pPr>
              <w:rPr>
                <w:rFonts w:ascii="Times New Roman" w:hAnsi="Times New Roman" w:cs="Times New Roman"/>
                <w:sz w:val="16"/>
                <w:szCs w:val="16"/>
              </w:rPr>
            </w:pPr>
            <w:r>
              <w:rPr>
                <w:rFonts w:ascii="Times New Roman" w:hAnsi="Times New Roman"/>
                <w:sz w:val="16"/>
              </w:rPr>
              <w:t>1</w:t>
            </w:r>
          </w:p>
        </w:tc>
        <w:tc>
          <w:tcPr>
            <w:tcW w:w="105" w:type="pct"/>
            <w:tcBorders>
              <w:bottom w:val="single" w:sz="4" w:space="0" w:color="auto"/>
            </w:tcBorders>
          </w:tcPr>
          <w:p w14:paraId="509B13B1" w14:textId="77777777" w:rsidR="00C53BB1" w:rsidRPr="00D91B35" w:rsidRDefault="00C53BB1" w:rsidP="00387006">
            <w:pPr>
              <w:rPr>
                <w:rFonts w:ascii="Times New Roman" w:hAnsi="Times New Roman" w:cs="Times New Roman"/>
                <w:sz w:val="16"/>
                <w:szCs w:val="16"/>
              </w:rPr>
            </w:pPr>
          </w:p>
        </w:tc>
        <w:tc>
          <w:tcPr>
            <w:tcW w:w="186" w:type="pct"/>
            <w:tcBorders>
              <w:bottom w:val="single" w:sz="4" w:space="0" w:color="auto"/>
            </w:tcBorders>
          </w:tcPr>
          <w:p w14:paraId="684F48C9" w14:textId="5150B474" w:rsidR="00C53BB1" w:rsidRPr="00D91B35" w:rsidRDefault="00C53BB1" w:rsidP="00387006">
            <w:pPr>
              <w:rPr>
                <w:rFonts w:ascii="Times New Roman" w:hAnsi="Times New Roman" w:cs="Times New Roman"/>
                <w:sz w:val="16"/>
                <w:szCs w:val="16"/>
              </w:rPr>
            </w:pPr>
            <w:r>
              <w:rPr>
                <w:rFonts w:ascii="Times New Roman" w:hAnsi="Times New Roman"/>
                <w:sz w:val="16"/>
              </w:rPr>
              <w:t>1</w:t>
            </w:r>
          </w:p>
        </w:tc>
        <w:tc>
          <w:tcPr>
            <w:tcW w:w="609" w:type="pct"/>
            <w:tcBorders>
              <w:bottom w:val="single" w:sz="4" w:space="0" w:color="auto"/>
            </w:tcBorders>
          </w:tcPr>
          <w:p w14:paraId="44A83EE8" w14:textId="692D8D7A" w:rsidR="00C53BB1" w:rsidRPr="00D91B35" w:rsidRDefault="00C53BB1" w:rsidP="00C53BB1">
            <w:pPr>
              <w:pStyle w:val="Default"/>
              <w:rPr>
                <w:sz w:val="16"/>
                <w:szCs w:val="16"/>
              </w:rPr>
            </w:pPr>
            <w:r>
              <w:rPr>
                <w:sz w:val="16"/>
              </w:rPr>
              <w:t>Mākslīgi baroti zīdaiņi, kuriem ģenētiski ir 1. tipa diabēta risks</w:t>
            </w:r>
          </w:p>
        </w:tc>
        <w:tc>
          <w:tcPr>
            <w:tcW w:w="237" w:type="pct"/>
            <w:tcBorders>
              <w:bottom w:val="single" w:sz="4" w:space="0" w:color="auto"/>
            </w:tcBorders>
          </w:tcPr>
          <w:p w14:paraId="058215BD" w14:textId="44327DDF" w:rsidR="00C53BB1" w:rsidRPr="00D91B35" w:rsidRDefault="00C53BB1" w:rsidP="00387006">
            <w:pPr>
              <w:rPr>
                <w:rFonts w:ascii="Times New Roman" w:hAnsi="Times New Roman" w:cs="Times New Roman"/>
                <w:sz w:val="16"/>
                <w:szCs w:val="16"/>
              </w:rPr>
            </w:pPr>
            <w:r>
              <w:rPr>
                <w:rFonts w:ascii="Times New Roman" w:hAnsi="Times New Roman"/>
                <w:sz w:val="16"/>
              </w:rPr>
              <w:t>670,0</w:t>
            </w:r>
          </w:p>
        </w:tc>
        <w:tc>
          <w:tcPr>
            <w:tcW w:w="251" w:type="pct"/>
            <w:tcBorders>
              <w:bottom w:val="single" w:sz="4" w:space="0" w:color="auto"/>
            </w:tcBorders>
          </w:tcPr>
          <w:p w14:paraId="6A88A3C3" w14:textId="77777777" w:rsidR="00C53BB1" w:rsidRPr="00D91B35" w:rsidRDefault="00C53BB1" w:rsidP="00387006">
            <w:pPr>
              <w:rPr>
                <w:rFonts w:ascii="Times New Roman" w:hAnsi="Times New Roman" w:cs="Times New Roman"/>
                <w:sz w:val="16"/>
                <w:szCs w:val="16"/>
              </w:rPr>
            </w:pPr>
          </w:p>
        </w:tc>
        <w:tc>
          <w:tcPr>
            <w:tcW w:w="237" w:type="pct"/>
            <w:tcBorders>
              <w:bottom w:val="single" w:sz="4" w:space="0" w:color="auto"/>
            </w:tcBorders>
          </w:tcPr>
          <w:p w14:paraId="16FF6136" w14:textId="2DFC87CB" w:rsidR="00C53BB1" w:rsidRPr="00D91B35" w:rsidRDefault="00C53BB1" w:rsidP="00387006">
            <w:pPr>
              <w:rPr>
                <w:rFonts w:ascii="Times New Roman" w:hAnsi="Times New Roman" w:cs="Times New Roman"/>
                <w:sz w:val="16"/>
                <w:szCs w:val="16"/>
              </w:rPr>
            </w:pPr>
            <w:r>
              <w:rPr>
                <w:rFonts w:ascii="Times New Roman" w:hAnsi="Times New Roman"/>
                <w:sz w:val="16"/>
              </w:rPr>
              <w:t>886,0</w:t>
            </w:r>
          </w:p>
        </w:tc>
        <w:tc>
          <w:tcPr>
            <w:tcW w:w="237" w:type="pct"/>
            <w:tcBorders>
              <w:bottom w:val="single" w:sz="4" w:space="0" w:color="auto"/>
            </w:tcBorders>
          </w:tcPr>
          <w:p w14:paraId="1EF45790" w14:textId="77777777" w:rsidR="00C53BB1" w:rsidRPr="00D91B35" w:rsidRDefault="00C53BB1" w:rsidP="00387006">
            <w:pPr>
              <w:rPr>
                <w:rFonts w:ascii="Times New Roman" w:hAnsi="Times New Roman" w:cs="Times New Roman"/>
                <w:sz w:val="16"/>
                <w:szCs w:val="16"/>
              </w:rPr>
            </w:pPr>
          </w:p>
        </w:tc>
        <w:tc>
          <w:tcPr>
            <w:tcW w:w="237" w:type="pct"/>
            <w:tcBorders>
              <w:bottom w:val="single" w:sz="4" w:space="0" w:color="auto"/>
            </w:tcBorders>
          </w:tcPr>
          <w:p w14:paraId="5E410146" w14:textId="7008DC32" w:rsidR="00C53BB1" w:rsidRPr="00D91B35" w:rsidRDefault="00C53BB1" w:rsidP="00387006">
            <w:pPr>
              <w:rPr>
                <w:rFonts w:ascii="Times New Roman" w:hAnsi="Times New Roman" w:cs="Times New Roman"/>
                <w:sz w:val="16"/>
                <w:szCs w:val="16"/>
              </w:rPr>
            </w:pPr>
          </w:p>
        </w:tc>
        <w:tc>
          <w:tcPr>
            <w:tcW w:w="237" w:type="pct"/>
            <w:tcBorders>
              <w:bottom w:val="single" w:sz="4" w:space="0" w:color="auto"/>
            </w:tcBorders>
          </w:tcPr>
          <w:p w14:paraId="7EDABE28" w14:textId="77777777" w:rsidR="00C53BB1" w:rsidRPr="00D91B35" w:rsidRDefault="00C53BB1" w:rsidP="00387006">
            <w:pPr>
              <w:rPr>
                <w:rFonts w:ascii="Times New Roman" w:hAnsi="Times New Roman" w:cs="Times New Roman"/>
                <w:sz w:val="16"/>
                <w:szCs w:val="16"/>
              </w:rPr>
            </w:pPr>
          </w:p>
        </w:tc>
      </w:tr>
      <w:tr w:rsidR="002A5407" w:rsidRPr="00D91B35" w14:paraId="7381787F" w14:textId="77777777" w:rsidTr="008A656B">
        <w:tc>
          <w:tcPr>
            <w:tcW w:w="374" w:type="pct"/>
            <w:tcBorders>
              <w:top w:val="single" w:sz="4" w:space="0" w:color="auto"/>
            </w:tcBorders>
            <w:shd w:val="clear" w:color="auto" w:fill="D9D9D9" w:themeFill="background1" w:themeFillShade="D9"/>
          </w:tcPr>
          <w:p w14:paraId="1B6CA1C5" w14:textId="4A4E69CA" w:rsidR="00C53BB1" w:rsidRPr="00D91B35" w:rsidRDefault="00C53BB1" w:rsidP="00387006">
            <w:pPr>
              <w:rPr>
                <w:rFonts w:ascii="Times New Roman" w:hAnsi="Times New Roman" w:cs="Times New Roman"/>
                <w:b/>
                <w:bCs/>
                <w:sz w:val="16"/>
                <w:szCs w:val="16"/>
              </w:rPr>
            </w:pPr>
            <w:r>
              <w:rPr>
                <w:rFonts w:ascii="Times New Roman" w:hAnsi="Times New Roman"/>
                <w:b/>
                <w:sz w:val="16"/>
              </w:rPr>
              <w:t>Pārtika</w:t>
            </w:r>
          </w:p>
        </w:tc>
        <w:tc>
          <w:tcPr>
            <w:tcW w:w="231" w:type="pct"/>
            <w:tcBorders>
              <w:top w:val="single" w:sz="4" w:space="0" w:color="auto"/>
            </w:tcBorders>
            <w:shd w:val="clear" w:color="auto" w:fill="D9D9D9" w:themeFill="background1" w:themeFillShade="D9"/>
          </w:tcPr>
          <w:p w14:paraId="3186C375" w14:textId="479BFC33" w:rsidR="00C53BB1" w:rsidRPr="00D91B35" w:rsidRDefault="00C53BB1" w:rsidP="00387006">
            <w:pPr>
              <w:rPr>
                <w:rFonts w:ascii="Times New Roman" w:hAnsi="Times New Roman" w:cs="Times New Roman"/>
                <w:b/>
                <w:bCs/>
                <w:sz w:val="16"/>
                <w:szCs w:val="16"/>
              </w:rPr>
            </w:pPr>
            <w:r>
              <w:rPr>
                <w:rFonts w:ascii="Times New Roman" w:hAnsi="Times New Roman"/>
                <w:b/>
                <w:sz w:val="16"/>
              </w:rPr>
              <w:t>Meitenes</w:t>
            </w:r>
          </w:p>
        </w:tc>
        <w:tc>
          <w:tcPr>
            <w:tcW w:w="358" w:type="pct"/>
            <w:tcBorders>
              <w:top w:val="single" w:sz="4" w:space="0" w:color="auto"/>
            </w:tcBorders>
            <w:shd w:val="clear" w:color="auto" w:fill="D9D9D9" w:themeFill="background1" w:themeFillShade="D9"/>
          </w:tcPr>
          <w:p w14:paraId="1A051E85" w14:textId="5BC7FD01" w:rsidR="00C53BB1" w:rsidRPr="00D91B35" w:rsidRDefault="00C53BB1" w:rsidP="00387006">
            <w:pPr>
              <w:rPr>
                <w:rFonts w:ascii="Times New Roman" w:hAnsi="Times New Roman" w:cs="Times New Roman"/>
                <w:b/>
                <w:bCs/>
                <w:sz w:val="16"/>
                <w:szCs w:val="16"/>
              </w:rPr>
            </w:pPr>
            <w:r>
              <w:rPr>
                <w:rFonts w:ascii="Times New Roman" w:hAnsi="Times New Roman"/>
                <w:b/>
                <w:sz w:val="16"/>
              </w:rPr>
              <w:t>Dānija</w:t>
            </w:r>
          </w:p>
        </w:tc>
        <w:tc>
          <w:tcPr>
            <w:tcW w:w="359" w:type="pct"/>
            <w:tcBorders>
              <w:top w:val="single" w:sz="4" w:space="0" w:color="auto"/>
            </w:tcBorders>
            <w:shd w:val="clear" w:color="auto" w:fill="D9D9D9" w:themeFill="background1" w:themeFillShade="D9"/>
          </w:tcPr>
          <w:p w14:paraId="1959CEC2" w14:textId="77777777" w:rsidR="00BE71C6" w:rsidRDefault="00BE71C6" w:rsidP="00387006">
            <w:pPr>
              <w:rPr>
                <w:rFonts w:ascii="Times New Roman" w:hAnsi="Times New Roman" w:cs="Times New Roman"/>
                <w:sz w:val="16"/>
                <w:szCs w:val="16"/>
              </w:rPr>
            </w:pPr>
          </w:p>
          <w:p w14:paraId="6974761C" w14:textId="57DA215C" w:rsidR="00C53BB1" w:rsidRPr="00D91B35" w:rsidRDefault="00FC493B" w:rsidP="00FC493B">
            <w:pPr>
              <w:pStyle w:val="Default"/>
              <w:rPr>
                <w:sz w:val="16"/>
                <w:szCs w:val="16"/>
              </w:rPr>
            </w:pPr>
            <w:r>
              <w:rPr>
                <w:sz w:val="16"/>
              </w:rPr>
              <w:t>(Andersen et al., 1996)</w:t>
            </w:r>
          </w:p>
        </w:tc>
        <w:tc>
          <w:tcPr>
            <w:tcW w:w="839" w:type="pct"/>
            <w:tcBorders>
              <w:top w:val="single" w:sz="4" w:space="0" w:color="auto"/>
            </w:tcBorders>
            <w:shd w:val="clear" w:color="auto" w:fill="D9D9D9" w:themeFill="background1" w:themeFillShade="D9"/>
          </w:tcPr>
          <w:p w14:paraId="33E3F1BB" w14:textId="06999FD5" w:rsidR="00C53BB1" w:rsidRPr="00D91B35" w:rsidRDefault="00FC493B" w:rsidP="00387006">
            <w:pPr>
              <w:pStyle w:val="Default"/>
              <w:rPr>
                <w:sz w:val="16"/>
                <w:szCs w:val="16"/>
              </w:rPr>
            </w:pPr>
            <w:r>
              <w:rPr>
                <w:sz w:val="16"/>
              </w:rPr>
              <w:t>7 dienu uztura pieraksts</w:t>
            </w:r>
          </w:p>
        </w:tc>
        <w:tc>
          <w:tcPr>
            <w:tcW w:w="196" w:type="pct"/>
            <w:tcBorders>
              <w:top w:val="single" w:sz="4" w:space="0" w:color="auto"/>
            </w:tcBorders>
            <w:shd w:val="clear" w:color="auto" w:fill="D9D9D9" w:themeFill="background1" w:themeFillShade="D9"/>
          </w:tcPr>
          <w:p w14:paraId="4ABD5971" w14:textId="61C3B843" w:rsidR="00C53BB1" w:rsidRPr="00D91B35" w:rsidRDefault="00FC493B" w:rsidP="00387006">
            <w:pPr>
              <w:rPr>
                <w:rFonts w:ascii="Times New Roman" w:hAnsi="Times New Roman" w:cs="Times New Roman"/>
                <w:sz w:val="16"/>
                <w:szCs w:val="16"/>
              </w:rPr>
            </w:pPr>
            <w:r>
              <w:rPr>
                <w:rFonts w:ascii="Times New Roman" w:hAnsi="Times New Roman"/>
                <w:sz w:val="16"/>
              </w:rPr>
              <w:t>149</w:t>
            </w:r>
          </w:p>
        </w:tc>
        <w:tc>
          <w:tcPr>
            <w:tcW w:w="122" w:type="pct"/>
            <w:tcBorders>
              <w:top w:val="single" w:sz="4" w:space="0" w:color="auto"/>
            </w:tcBorders>
            <w:shd w:val="clear" w:color="auto" w:fill="D9D9D9" w:themeFill="background1" w:themeFillShade="D9"/>
          </w:tcPr>
          <w:p w14:paraId="5D1D1AF7" w14:textId="77777777" w:rsidR="00C53BB1" w:rsidRPr="00D91B35" w:rsidRDefault="00C53BB1" w:rsidP="00387006">
            <w:pPr>
              <w:rPr>
                <w:rFonts w:ascii="Times New Roman" w:hAnsi="Times New Roman" w:cs="Times New Roman"/>
                <w:sz w:val="16"/>
                <w:szCs w:val="16"/>
              </w:rPr>
            </w:pPr>
          </w:p>
        </w:tc>
        <w:tc>
          <w:tcPr>
            <w:tcW w:w="183" w:type="pct"/>
            <w:tcBorders>
              <w:top w:val="single" w:sz="4" w:space="0" w:color="auto"/>
            </w:tcBorders>
            <w:shd w:val="clear" w:color="auto" w:fill="D9D9D9" w:themeFill="background1" w:themeFillShade="D9"/>
          </w:tcPr>
          <w:p w14:paraId="40A06A8B" w14:textId="40834DCF" w:rsidR="00C53BB1" w:rsidRPr="00D91B35" w:rsidRDefault="00FC493B" w:rsidP="00387006">
            <w:pPr>
              <w:rPr>
                <w:rFonts w:ascii="Times New Roman" w:hAnsi="Times New Roman" w:cs="Times New Roman"/>
                <w:sz w:val="16"/>
                <w:szCs w:val="16"/>
              </w:rPr>
            </w:pPr>
            <w:r>
              <w:rPr>
                <w:rFonts w:ascii="Times New Roman" w:hAnsi="Times New Roman"/>
                <w:sz w:val="16"/>
              </w:rPr>
              <w:t>1</w:t>
            </w:r>
          </w:p>
        </w:tc>
        <w:tc>
          <w:tcPr>
            <w:tcW w:w="105" w:type="pct"/>
            <w:tcBorders>
              <w:top w:val="single" w:sz="4" w:space="0" w:color="auto"/>
            </w:tcBorders>
            <w:shd w:val="clear" w:color="auto" w:fill="D9D9D9" w:themeFill="background1" w:themeFillShade="D9"/>
          </w:tcPr>
          <w:p w14:paraId="65243727" w14:textId="77777777" w:rsidR="00C53BB1" w:rsidRPr="00D91B35" w:rsidRDefault="00C53BB1" w:rsidP="00387006">
            <w:pPr>
              <w:rPr>
                <w:rFonts w:ascii="Times New Roman" w:hAnsi="Times New Roman" w:cs="Times New Roman"/>
                <w:sz w:val="16"/>
                <w:szCs w:val="16"/>
              </w:rPr>
            </w:pPr>
          </w:p>
        </w:tc>
        <w:tc>
          <w:tcPr>
            <w:tcW w:w="186" w:type="pct"/>
            <w:tcBorders>
              <w:top w:val="single" w:sz="4" w:space="0" w:color="auto"/>
            </w:tcBorders>
            <w:shd w:val="clear" w:color="auto" w:fill="D9D9D9" w:themeFill="background1" w:themeFillShade="D9"/>
          </w:tcPr>
          <w:p w14:paraId="3964B925" w14:textId="05236B1D" w:rsidR="00C53BB1" w:rsidRPr="00D91B35" w:rsidRDefault="00FC493B" w:rsidP="00387006">
            <w:pPr>
              <w:rPr>
                <w:rFonts w:ascii="Times New Roman" w:hAnsi="Times New Roman" w:cs="Times New Roman"/>
                <w:sz w:val="16"/>
                <w:szCs w:val="16"/>
              </w:rPr>
            </w:pPr>
            <w:r>
              <w:rPr>
                <w:rFonts w:ascii="Times New Roman" w:hAnsi="Times New Roman"/>
                <w:sz w:val="16"/>
              </w:rPr>
              <w:t>3</w:t>
            </w:r>
          </w:p>
        </w:tc>
        <w:tc>
          <w:tcPr>
            <w:tcW w:w="609" w:type="pct"/>
            <w:tcBorders>
              <w:top w:val="single" w:sz="4" w:space="0" w:color="auto"/>
            </w:tcBorders>
            <w:shd w:val="clear" w:color="auto" w:fill="D9D9D9" w:themeFill="background1" w:themeFillShade="D9"/>
          </w:tcPr>
          <w:p w14:paraId="681FA272" w14:textId="77777777" w:rsidR="00C53BB1" w:rsidRPr="00D91B35" w:rsidRDefault="00C53BB1" w:rsidP="00387006">
            <w:pPr>
              <w:rPr>
                <w:rFonts w:ascii="Times New Roman" w:hAnsi="Times New Roman" w:cs="Times New Roman"/>
                <w:sz w:val="16"/>
                <w:szCs w:val="16"/>
              </w:rPr>
            </w:pPr>
          </w:p>
        </w:tc>
        <w:tc>
          <w:tcPr>
            <w:tcW w:w="237" w:type="pct"/>
            <w:tcBorders>
              <w:top w:val="single" w:sz="4" w:space="0" w:color="auto"/>
            </w:tcBorders>
            <w:shd w:val="clear" w:color="auto" w:fill="D9D9D9" w:themeFill="background1" w:themeFillShade="D9"/>
          </w:tcPr>
          <w:p w14:paraId="20A7DFBC" w14:textId="0F89544E" w:rsidR="00C53BB1" w:rsidRPr="00D91B35" w:rsidRDefault="00FC493B" w:rsidP="00387006">
            <w:pPr>
              <w:rPr>
                <w:rFonts w:ascii="Times New Roman" w:hAnsi="Times New Roman" w:cs="Times New Roman"/>
                <w:sz w:val="16"/>
                <w:szCs w:val="16"/>
              </w:rPr>
            </w:pPr>
            <w:r>
              <w:rPr>
                <w:rFonts w:ascii="Times New Roman" w:hAnsi="Times New Roman"/>
                <w:sz w:val="16"/>
              </w:rPr>
              <w:t>996,0</w:t>
            </w:r>
          </w:p>
        </w:tc>
        <w:tc>
          <w:tcPr>
            <w:tcW w:w="251" w:type="pct"/>
            <w:tcBorders>
              <w:top w:val="single" w:sz="4" w:space="0" w:color="auto"/>
            </w:tcBorders>
            <w:shd w:val="clear" w:color="auto" w:fill="D9D9D9" w:themeFill="background1" w:themeFillShade="D9"/>
          </w:tcPr>
          <w:p w14:paraId="633EED7C" w14:textId="77777777" w:rsidR="00C53BB1" w:rsidRPr="00D91B35" w:rsidRDefault="00C53BB1" w:rsidP="00387006">
            <w:pPr>
              <w:rPr>
                <w:rFonts w:ascii="Times New Roman" w:hAnsi="Times New Roman" w:cs="Times New Roman"/>
                <w:sz w:val="16"/>
                <w:szCs w:val="16"/>
              </w:rPr>
            </w:pPr>
          </w:p>
        </w:tc>
        <w:tc>
          <w:tcPr>
            <w:tcW w:w="237" w:type="pct"/>
            <w:tcBorders>
              <w:top w:val="single" w:sz="4" w:space="0" w:color="auto"/>
            </w:tcBorders>
            <w:shd w:val="clear" w:color="auto" w:fill="D9D9D9" w:themeFill="background1" w:themeFillShade="D9"/>
          </w:tcPr>
          <w:p w14:paraId="0029A51D" w14:textId="77777777" w:rsidR="00C53BB1" w:rsidRPr="00D91B35" w:rsidRDefault="00C53BB1" w:rsidP="00387006">
            <w:pPr>
              <w:rPr>
                <w:rFonts w:ascii="Times New Roman" w:hAnsi="Times New Roman" w:cs="Times New Roman"/>
                <w:sz w:val="16"/>
                <w:szCs w:val="16"/>
              </w:rPr>
            </w:pPr>
          </w:p>
        </w:tc>
        <w:tc>
          <w:tcPr>
            <w:tcW w:w="237" w:type="pct"/>
            <w:tcBorders>
              <w:top w:val="single" w:sz="4" w:space="0" w:color="auto"/>
            </w:tcBorders>
            <w:shd w:val="clear" w:color="auto" w:fill="D9D9D9" w:themeFill="background1" w:themeFillShade="D9"/>
          </w:tcPr>
          <w:p w14:paraId="295BA420" w14:textId="77777777" w:rsidR="00C53BB1" w:rsidRPr="00D91B35" w:rsidRDefault="00C53BB1" w:rsidP="00387006">
            <w:pPr>
              <w:rPr>
                <w:rFonts w:ascii="Times New Roman" w:hAnsi="Times New Roman" w:cs="Times New Roman"/>
                <w:sz w:val="16"/>
                <w:szCs w:val="16"/>
              </w:rPr>
            </w:pPr>
          </w:p>
        </w:tc>
        <w:tc>
          <w:tcPr>
            <w:tcW w:w="237" w:type="pct"/>
            <w:tcBorders>
              <w:top w:val="single" w:sz="4" w:space="0" w:color="auto"/>
            </w:tcBorders>
            <w:shd w:val="clear" w:color="auto" w:fill="D9D9D9" w:themeFill="background1" w:themeFillShade="D9"/>
          </w:tcPr>
          <w:p w14:paraId="58AFEEB3" w14:textId="38CA0AB7" w:rsidR="00C53BB1" w:rsidRPr="00D91B35" w:rsidRDefault="00FC493B" w:rsidP="00387006">
            <w:pPr>
              <w:rPr>
                <w:rFonts w:ascii="Times New Roman" w:hAnsi="Times New Roman" w:cs="Times New Roman"/>
                <w:sz w:val="16"/>
                <w:szCs w:val="16"/>
              </w:rPr>
            </w:pPr>
            <w:r>
              <w:rPr>
                <w:rFonts w:ascii="Times New Roman" w:hAnsi="Times New Roman"/>
                <w:sz w:val="16"/>
              </w:rPr>
              <w:t>1 325,0</w:t>
            </w:r>
          </w:p>
        </w:tc>
        <w:tc>
          <w:tcPr>
            <w:tcW w:w="237" w:type="pct"/>
            <w:tcBorders>
              <w:top w:val="single" w:sz="4" w:space="0" w:color="auto"/>
            </w:tcBorders>
            <w:shd w:val="clear" w:color="auto" w:fill="D9D9D9" w:themeFill="background1" w:themeFillShade="D9"/>
          </w:tcPr>
          <w:p w14:paraId="70652676" w14:textId="77777777" w:rsidR="00C53BB1" w:rsidRPr="00D91B35" w:rsidRDefault="00C53BB1" w:rsidP="00387006">
            <w:pPr>
              <w:rPr>
                <w:rFonts w:ascii="Times New Roman" w:hAnsi="Times New Roman" w:cs="Times New Roman"/>
                <w:sz w:val="16"/>
                <w:szCs w:val="16"/>
              </w:rPr>
            </w:pPr>
          </w:p>
        </w:tc>
      </w:tr>
      <w:tr w:rsidR="002A5407" w:rsidRPr="00D91B35" w14:paraId="77925885" w14:textId="77777777" w:rsidTr="008A656B">
        <w:tc>
          <w:tcPr>
            <w:tcW w:w="374" w:type="pct"/>
            <w:tcBorders>
              <w:bottom w:val="single" w:sz="4" w:space="0" w:color="auto"/>
            </w:tcBorders>
            <w:shd w:val="clear" w:color="auto" w:fill="D9D9D9" w:themeFill="background1" w:themeFillShade="D9"/>
          </w:tcPr>
          <w:p w14:paraId="48F89540" w14:textId="77777777" w:rsidR="00C53BB1" w:rsidRPr="00D91B35" w:rsidRDefault="00C53BB1" w:rsidP="00387006">
            <w:pPr>
              <w:rPr>
                <w:rFonts w:ascii="Times New Roman" w:hAnsi="Times New Roman" w:cs="Times New Roman"/>
                <w:b/>
                <w:bCs/>
                <w:sz w:val="16"/>
                <w:szCs w:val="16"/>
              </w:rPr>
            </w:pPr>
          </w:p>
        </w:tc>
        <w:tc>
          <w:tcPr>
            <w:tcW w:w="231" w:type="pct"/>
            <w:tcBorders>
              <w:bottom w:val="single" w:sz="4" w:space="0" w:color="auto"/>
            </w:tcBorders>
            <w:shd w:val="clear" w:color="auto" w:fill="D9D9D9" w:themeFill="background1" w:themeFillShade="D9"/>
          </w:tcPr>
          <w:p w14:paraId="03828E7F" w14:textId="77777777" w:rsidR="00C53BB1" w:rsidRPr="00D91B35" w:rsidRDefault="00C53BB1" w:rsidP="00387006">
            <w:pPr>
              <w:rPr>
                <w:rFonts w:ascii="Times New Roman" w:hAnsi="Times New Roman" w:cs="Times New Roman"/>
                <w:b/>
                <w:bCs/>
                <w:sz w:val="16"/>
                <w:szCs w:val="16"/>
              </w:rPr>
            </w:pPr>
          </w:p>
        </w:tc>
        <w:tc>
          <w:tcPr>
            <w:tcW w:w="358" w:type="pct"/>
            <w:tcBorders>
              <w:bottom w:val="single" w:sz="4" w:space="0" w:color="auto"/>
            </w:tcBorders>
            <w:shd w:val="clear" w:color="auto" w:fill="D9D9D9" w:themeFill="background1" w:themeFillShade="D9"/>
          </w:tcPr>
          <w:p w14:paraId="42A1543C" w14:textId="0B028122" w:rsidR="00C53BB1" w:rsidRPr="00D91B35" w:rsidRDefault="00C53BB1" w:rsidP="00387006">
            <w:pPr>
              <w:rPr>
                <w:rFonts w:ascii="Times New Roman" w:hAnsi="Times New Roman" w:cs="Times New Roman"/>
                <w:b/>
                <w:bCs/>
                <w:sz w:val="16"/>
                <w:szCs w:val="16"/>
              </w:rPr>
            </w:pPr>
            <w:r>
              <w:rPr>
                <w:rFonts w:ascii="Times New Roman" w:hAnsi="Times New Roman"/>
                <w:b/>
                <w:sz w:val="16"/>
              </w:rPr>
              <w:t>Nīderlande</w:t>
            </w:r>
          </w:p>
        </w:tc>
        <w:tc>
          <w:tcPr>
            <w:tcW w:w="359" w:type="pct"/>
            <w:tcBorders>
              <w:bottom w:val="single" w:sz="4" w:space="0" w:color="auto"/>
            </w:tcBorders>
            <w:shd w:val="clear" w:color="auto" w:fill="D9D9D9" w:themeFill="background1" w:themeFillShade="D9"/>
          </w:tcPr>
          <w:p w14:paraId="4229612E" w14:textId="6F3F3C24" w:rsidR="00C53BB1" w:rsidRPr="00D91B35" w:rsidRDefault="00FC493B" w:rsidP="00FC493B">
            <w:pPr>
              <w:pStyle w:val="Default"/>
              <w:rPr>
                <w:sz w:val="16"/>
                <w:szCs w:val="16"/>
              </w:rPr>
            </w:pPr>
            <w:r>
              <w:rPr>
                <w:sz w:val="16"/>
              </w:rPr>
              <w:t>(Ocke et al., 2008)</w:t>
            </w:r>
          </w:p>
        </w:tc>
        <w:tc>
          <w:tcPr>
            <w:tcW w:w="839" w:type="pct"/>
            <w:tcBorders>
              <w:bottom w:val="single" w:sz="4" w:space="0" w:color="auto"/>
            </w:tcBorders>
            <w:shd w:val="clear" w:color="auto" w:fill="D9D9D9" w:themeFill="background1" w:themeFillShade="D9"/>
          </w:tcPr>
          <w:p w14:paraId="48820451" w14:textId="48CF1B8F" w:rsidR="00C53BB1" w:rsidRPr="00D91B35" w:rsidRDefault="00FC493B" w:rsidP="00FC493B">
            <w:pPr>
              <w:pStyle w:val="Default"/>
              <w:rPr>
                <w:sz w:val="16"/>
                <w:szCs w:val="16"/>
              </w:rPr>
            </w:pPr>
            <w:r>
              <w:rPr>
                <w:sz w:val="16"/>
              </w:rPr>
              <w:t>2 dienu uztura pieraksts (par divām savstarpēji nesaistītām dienām)</w:t>
            </w:r>
          </w:p>
        </w:tc>
        <w:tc>
          <w:tcPr>
            <w:tcW w:w="196" w:type="pct"/>
            <w:tcBorders>
              <w:bottom w:val="single" w:sz="4" w:space="0" w:color="auto"/>
            </w:tcBorders>
            <w:shd w:val="clear" w:color="auto" w:fill="D9D9D9" w:themeFill="background1" w:themeFillShade="D9"/>
          </w:tcPr>
          <w:p w14:paraId="3EEC72C4" w14:textId="31C8BD2A" w:rsidR="00C53BB1" w:rsidRPr="00D91B35" w:rsidRDefault="00FC493B" w:rsidP="00387006">
            <w:pPr>
              <w:rPr>
                <w:rFonts w:ascii="Times New Roman" w:hAnsi="Times New Roman" w:cs="Times New Roman"/>
                <w:sz w:val="16"/>
                <w:szCs w:val="16"/>
              </w:rPr>
            </w:pPr>
            <w:r>
              <w:rPr>
                <w:rFonts w:ascii="Times New Roman" w:hAnsi="Times New Roman"/>
                <w:sz w:val="16"/>
              </w:rPr>
              <w:t>313</w:t>
            </w:r>
          </w:p>
        </w:tc>
        <w:tc>
          <w:tcPr>
            <w:tcW w:w="122" w:type="pct"/>
            <w:tcBorders>
              <w:bottom w:val="single" w:sz="4" w:space="0" w:color="auto"/>
            </w:tcBorders>
            <w:shd w:val="clear" w:color="auto" w:fill="D9D9D9" w:themeFill="background1" w:themeFillShade="D9"/>
          </w:tcPr>
          <w:p w14:paraId="0FFB8CCB" w14:textId="77777777" w:rsidR="00C53BB1" w:rsidRPr="00D91B35" w:rsidRDefault="00C53BB1" w:rsidP="00387006">
            <w:pPr>
              <w:rPr>
                <w:rFonts w:ascii="Times New Roman" w:hAnsi="Times New Roman" w:cs="Times New Roman"/>
                <w:sz w:val="16"/>
                <w:szCs w:val="16"/>
              </w:rPr>
            </w:pPr>
          </w:p>
        </w:tc>
        <w:tc>
          <w:tcPr>
            <w:tcW w:w="183" w:type="pct"/>
            <w:tcBorders>
              <w:bottom w:val="single" w:sz="4" w:space="0" w:color="auto"/>
            </w:tcBorders>
            <w:shd w:val="clear" w:color="auto" w:fill="D9D9D9" w:themeFill="background1" w:themeFillShade="D9"/>
          </w:tcPr>
          <w:p w14:paraId="4054F514" w14:textId="7CF35805" w:rsidR="00C53BB1" w:rsidRPr="00D91B35" w:rsidRDefault="00FC493B" w:rsidP="00387006">
            <w:pPr>
              <w:rPr>
                <w:rFonts w:ascii="Times New Roman" w:hAnsi="Times New Roman" w:cs="Times New Roman"/>
                <w:sz w:val="16"/>
                <w:szCs w:val="16"/>
              </w:rPr>
            </w:pPr>
            <w:r>
              <w:rPr>
                <w:rFonts w:ascii="Times New Roman" w:hAnsi="Times New Roman"/>
                <w:sz w:val="16"/>
              </w:rPr>
              <w:t>2</w:t>
            </w:r>
          </w:p>
        </w:tc>
        <w:tc>
          <w:tcPr>
            <w:tcW w:w="105" w:type="pct"/>
            <w:tcBorders>
              <w:bottom w:val="single" w:sz="4" w:space="0" w:color="auto"/>
            </w:tcBorders>
            <w:shd w:val="clear" w:color="auto" w:fill="D9D9D9" w:themeFill="background1" w:themeFillShade="D9"/>
          </w:tcPr>
          <w:p w14:paraId="164AD5FD" w14:textId="77777777" w:rsidR="00C53BB1" w:rsidRPr="00D91B35" w:rsidRDefault="00C53BB1" w:rsidP="00387006">
            <w:pPr>
              <w:rPr>
                <w:rFonts w:ascii="Times New Roman" w:hAnsi="Times New Roman" w:cs="Times New Roman"/>
                <w:sz w:val="16"/>
                <w:szCs w:val="16"/>
              </w:rPr>
            </w:pPr>
          </w:p>
        </w:tc>
        <w:tc>
          <w:tcPr>
            <w:tcW w:w="186" w:type="pct"/>
            <w:tcBorders>
              <w:bottom w:val="single" w:sz="4" w:space="0" w:color="auto"/>
            </w:tcBorders>
            <w:shd w:val="clear" w:color="auto" w:fill="D9D9D9" w:themeFill="background1" w:themeFillShade="D9"/>
          </w:tcPr>
          <w:p w14:paraId="4FFFF698" w14:textId="3AD0F1C1" w:rsidR="00C53BB1" w:rsidRPr="00D91B35" w:rsidRDefault="00FC493B" w:rsidP="00387006">
            <w:pPr>
              <w:rPr>
                <w:rFonts w:ascii="Times New Roman" w:hAnsi="Times New Roman" w:cs="Times New Roman"/>
                <w:sz w:val="16"/>
                <w:szCs w:val="16"/>
              </w:rPr>
            </w:pPr>
            <w:r>
              <w:rPr>
                <w:rFonts w:ascii="Times New Roman" w:hAnsi="Times New Roman"/>
                <w:sz w:val="16"/>
              </w:rPr>
              <w:t>3</w:t>
            </w:r>
          </w:p>
        </w:tc>
        <w:tc>
          <w:tcPr>
            <w:tcW w:w="609" w:type="pct"/>
            <w:tcBorders>
              <w:bottom w:val="single" w:sz="4" w:space="0" w:color="auto"/>
            </w:tcBorders>
            <w:shd w:val="clear" w:color="auto" w:fill="D9D9D9" w:themeFill="background1" w:themeFillShade="D9"/>
          </w:tcPr>
          <w:p w14:paraId="29A3FB17" w14:textId="77777777" w:rsidR="00C53BB1" w:rsidRPr="00D91B35" w:rsidRDefault="00C53BB1" w:rsidP="00387006">
            <w:pPr>
              <w:rPr>
                <w:rFonts w:ascii="Times New Roman" w:hAnsi="Times New Roman" w:cs="Times New Roman"/>
                <w:sz w:val="16"/>
                <w:szCs w:val="16"/>
              </w:rPr>
            </w:pPr>
          </w:p>
        </w:tc>
        <w:tc>
          <w:tcPr>
            <w:tcW w:w="237" w:type="pct"/>
            <w:tcBorders>
              <w:bottom w:val="single" w:sz="4" w:space="0" w:color="auto"/>
            </w:tcBorders>
            <w:shd w:val="clear" w:color="auto" w:fill="D9D9D9" w:themeFill="background1" w:themeFillShade="D9"/>
          </w:tcPr>
          <w:p w14:paraId="12E45AFA" w14:textId="3A2B89C8" w:rsidR="00C53BB1" w:rsidRPr="00D91B35" w:rsidRDefault="00FC493B" w:rsidP="00387006">
            <w:pPr>
              <w:rPr>
                <w:rFonts w:ascii="Times New Roman" w:hAnsi="Times New Roman" w:cs="Times New Roman"/>
                <w:sz w:val="16"/>
                <w:szCs w:val="16"/>
              </w:rPr>
            </w:pPr>
            <w:r>
              <w:rPr>
                <w:rFonts w:ascii="Times New Roman" w:hAnsi="Times New Roman"/>
                <w:sz w:val="16"/>
              </w:rPr>
              <w:t>734,0</w:t>
            </w:r>
          </w:p>
        </w:tc>
        <w:tc>
          <w:tcPr>
            <w:tcW w:w="251" w:type="pct"/>
            <w:tcBorders>
              <w:bottom w:val="single" w:sz="4" w:space="0" w:color="auto"/>
            </w:tcBorders>
            <w:shd w:val="clear" w:color="auto" w:fill="D9D9D9" w:themeFill="background1" w:themeFillShade="D9"/>
          </w:tcPr>
          <w:p w14:paraId="5D82F672" w14:textId="77777777" w:rsidR="00C53BB1" w:rsidRPr="00D91B35" w:rsidRDefault="00C53BB1" w:rsidP="00387006">
            <w:pPr>
              <w:rPr>
                <w:rFonts w:ascii="Times New Roman" w:hAnsi="Times New Roman" w:cs="Times New Roman"/>
                <w:sz w:val="16"/>
                <w:szCs w:val="16"/>
              </w:rPr>
            </w:pPr>
          </w:p>
        </w:tc>
        <w:tc>
          <w:tcPr>
            <w:tcW w:w="237" w:type="pct"/>
            <w:tcBorders>
              <w:bottom w:val="single" w:sz="4" w:space="0" w:color="auto"/>
            </w:tcBorders>
            <w:shd w:val="clear" w:color="auto" w:fill="D9D9D9" w:themeFill="background1" w:themeFillShade="D9"/>
          </w:tcPr>
          <w:p w14:paraId="04355427" w14:textId="77777777" w:rsidR="00C53BB1" w:rsidRPr="00D91B35" w:rsidRDefault="00C53BB1" w:rsidP="00387006">
            <w:pPr>
              <w:rPr>
                <w:rFonts w:ascii="Times New Roman" w:hAnsi="Times New Roman" w:cs="Times New Roman"/>
                <w:sz w:val="16"/>
                <w:szCs w:val="16"/>
              </w:rPr>
            </w:pPr>
          </w:p>
        </w:tc>
        <w:tc>
          <w:tcPr>
            <w:tcW w:w="237" w:type="pct"/>
            <w:tcBorders>
              <w:bottom w:val="single" w:sz="4" w:space="0" w:color="auto"/>
            </w:tcBorders>
            <w:shd w:val="clear" w:color="auto" w:fill="D9D9D9" w:themeFill="background1" w:themeFillShade="D9"/>
          </w:tcPr>
          <w:p w14:paraId="07B7CDD3" w14:textId="77777777" w:rsidR="00C53BB1" w:rsidRPr="00D91B35" w:rsidRDefault="00C53BB1" w:rsidP="00387006">
            <w:pPr>
              <w:rPr>
                <w:rFonts w:ascii="Times New Roman" w:hAnsi="Times New Roman" w:cs="Times New Roman"/>
                <w:sz w:val="16"/>
                <w:szCs w:val="16"/>
              </w:rPr>
            </w:pPr>
          </w:p>
        </w:tc>
        <w:tc>
          <w:tcPr>
            <w:tcW w:w="237" w:type="pct"/>
            <w:tcBorders>
              <w:bottom w:val="single" w:sz="4" w:space="0" w:color="auto"/>
            </w:tcBorders>
            <w:shd w:val="clear" w:color="auto" w:fill="D9D9D9" w:themeFill="background1" w:themeFillShade="D9"/>
          </w:tcPr>
          <w:p w14:paraId="0CE9FC64" w14:textId="5A4630B5" w:rsidR="00C53BB1" w:rsidRPr="00D91B35" w:rsidRDefault="00FC493B" w:rsidP="00387006">
            <w:pPr>
              <w:rPr>
                <w:rFonts w:ascii="Times New Roman" w:hAnsi="Times New Roman" w:cs="Times New Roman"/>
                <w:sz w:val="16"/>
                <w:szCs w:val="16"/>
              </w:rPr>
            </w:pPr>
            <w:r>
              <w:rPr>
                <w:rFonts w:ascii="Times New Roman" w:hAnsi="Times New Roman"/>
                <w:sz w:val="16"/>
              </w:rPr>
              <w:t>1 089,0</w:t>
            </w:r>
          </w:p>
        </w:tc>
        <w:tc>
          <w:tcPr>
            <w:tcW w:w="237" w:type="pct"/>
            <w:tcBorders>
              <w:bottom w:val="single" w:sz="4" w:space="0" w:color="auto"/>
            </w:tcBorders>
            <w:shd w:val="clear" w:color="auto" w:fill="D9D9D9" w:themeFill="background1" w:themeFillShade="D9"/>
          </w:tcPr>
          <w:p w14:paraId="07843FDB" w14:textId="77777777" w:rsidR="00C53BB1" w:rsidRPr="00D91B35" w:rsidRDefault="00C53BB1" w:rsidP="00387006">
            <w:pPr>
              <w:rPr>
                <w:rFonts w:ascii="Times New Roman" w:hAnsi="Times New Roman" w:cs="Times New Roman"/>
                <w:sz w:val="16"/>
                <w:szCs w:val="16"/>
              </w:rPr>
            </w:pPr>
          </w:p>
        </w:tc>
      </w:tr>
      <w:tr w:rsidR="002A5407" w:rsidRPr="00D91B35" w14:paraId="3A6F1556" w14:textId="77777777" w:rsidTr="008A656B">
        <w:tc>
          <w:tcPr>
            <w:tcW w:w="374" w:type="pct"/>
            <w:tcBorders>
              <w:top w:val="single" w:sz="4" w:space="0" w:color="auto"/>
            </w:tcBorders>
            <w:shd w:val="clear" w:color="auto" w:fill="D9D9D9" w:themeFill="background1" w:themeFillShade="D9"/>
          </w:tcPr>
          <w:p w14:paraId="445AEDB6" w14:textId="14623954" w:rsidR="00C53BB1" w:rsidRPr="00D91B35" w:rsidRDefault="00C53BB1" w:rsidP="00387006">
            <w:pPr>
              <w:rPr>
                <w:rFonts w:ascii="Times New Roman" w:hAnsi="Times New Roman" w:cs="Times New Roman"/>
                <w:b/>
                <w:bCs/>
                <w:sz w:val="16"/>
                <w:szCs w:val="16"/>
              </w:rPr>
            </w:pPr>
            <w:r>
              <w:rPr>
                <w:rFonts w:ascii="Times New Roman" w:hAnsi="Times New Roman"/>
                <w:b/>
                <w:sz w:val="16"/>
              </w:rPr>
              <w:t>Pārtika</w:t>
            </w:r>
          </w:p>
        </w:tc>
        <w:tc>
          <w:tcPr>
            <w:tcW w:w="231" w:type="pct"/>
            <w:tcBorders>
              <w:top w:val="single" w:sz="4" w:space="0" w:color="auto"/>
            </w:tcBorders>
            <w:shd w:val="clear" w:color="auto" w:fill="D9D9D9" w:themeFill="background1" w:themeFillShade="D9"/>
          </w:tcPr>
          <w:p w14:paraId="6F5E41A5" w14:textId="530DF574" w:rsidR="00C53BB1" w:rsidRPr="00D91B35" w:rsidRDefault="00C53BB1" w:rsidP="00387006">
            <w:pPr>
              <w:rPr>
                <w:rFonts w:ascii="Times New Roman" w:hAnsi="Times New Roman" w:cs="Times New Roman"/>
                <w:b/>
                <w:bCs/>
                <w:sz w:val="16"/>
                <w:szCs w:val="16"/>
              </w:rPr>
            </w:pPr>
            <w:r>
              <w:rPr>
                <w:rFonts w:ascii="Times New Roman" w:hAnsi="Times New Roman"/>
                <w:b/>
                <w:sz w:val="16"/>
              </w:rPr>
              <w:t>Zēni</w:t>
            </w:r>
          </w:p>
        </w:tc>
        <w:tc>
          <w:tcPr>
            <w:tcW w:w="358" w:type="pct"/>
            <w:tcBorders>
              <w:top w:val="single" w:sz="4" w:space="0" w:color="auto"/>
            </w:tcBorders>
            <w:shd w:val="clear" w:color="auto" w:fill="D9D9D9" w:themeFill="background1" w:themeFillShade="D9"/>
          </w:tcPr>
          <w:p w14:paraId="0E0951AD" w14:textId="417A643E" w:rsidR="00C53BB1" w:rsidRPr="00D91B35" w:rsidRDefault="00C53BB1" w:rsidP="00387006">
            <w:pPr>
              <w:rPr>
                <w:rFonts w:ascii="Times New Roman" w:hAnsi="Times New Roman" w:cs="Times New Roman"/>
                <w:b/>
                <w:bCs/>
                <w:sz w:val="16"/>
                <w:szCs w:val="16"/>
              </w:rPr>
            </w:pPr>
            <w:r>
              <w:rPr>
                <w:rFonts w:ascii="Times New Roman" w:hAnsi="Times New Roman"/>
                <w:b/>
                <w:sz w:val="16"/>
              </w:rPr>
              <w:t>Dānija</w:t>
            </w:r>
          </w:p>
        </w:tc>
        <w:tc>
          <w:tcPr>
            <w:tcW w:w="359" w:type="pct"/>
            <w:tcBorders>
              <w:top w:val="single" w:sz="4" w:space="0" w:color="auto"/>
            </w:tcBorders>
            <w:shd w:val="clear" w:color="auto" w:fill="D9D9D9" w:themeFill="background1" w:themeFillShade="D9"/>
          </w:tcPr>
          <w:p w14:paraId="168F21B5" w14:textId="225B1B2A" w:rsidR="00C53BB1" w:rsidRPr="00D91B35" w:rsidRDefault="00FC493B" w:rsidP="00FC493B">
            <w:pPr>
              <w:pStyle w:val="Default"/>
              <w:rPr>
                <w:sz w:val="16"/>
                <w:szCs w:val="16"/>
              </w:rPr>
            </w:pPr>
            <w:r>
              <w:rPr>
                <w:sz w:val="16"/>
              </w:rPr>
              <w:t>(Andersen et al., 1996)</w:t>
            </w:r>
          </w:p>
        </w:tc>
        <w:tc>
          <w:tcPr>
            <w:tcW w:w="839" w:type="pct"/>
            <w:tcBorders>
              <w:top w:val="single" w:sz="4" w:space="0" w:color="auto"/>
            </w:tcBorders>
            <w:shd w:val="clear" w:color="auto" w:fill="D9D9D9" w:themeFill="background1" w:themeFillShade="D9"/>
          </w:tcPr>
          <w:p w14:paraId="0C0CD7A7" w14:textId="378F47EE" w:rsidR="00C53BB1" w:rsidRPr="00D91B35" w:rsidRDefault="00FC493B" w:rsidP="00387006">
            <w:pPr>
              <w:rPr>
                <w:rFonts w:ascii="Times New Roman" w:hAnsi="Times New Roman" w:cs="Times New Roman"/>
                <w:sz w:val="16"/>
                <w:szCs w:val="16"/>
              </w:rPr>
            </w:pPr>
            <w:r>
              <w:rPr>
                <w:rFonts w:ascii="Times New Roman" w:hAnsi="Times New Roman"/>
                <w:sz w:val="16"/>
              </w:rPr>
              <w:t>7 dienu uztura pieraksts</w:t>
            </w:r>
          </w:p>
        </w:tc>
        <w:tc>
          <w:tcPr>
            <w:tcW w:w="196" w:type="pct"/>
            <w:tcBorders>
              <w:top w:val="single" w:sz="4" w:space="0" w:color="auto"/>
            </w:tcBorders>
            <w:shd w:val="clear" w:color="auto" w:fill="D9D9D9" w:themeFill="background1" w:themeFillShade="D9"/>
          </w:tcPr>
          <w:p w14:paraId="63B9CC4D" w14:textId="15FB1978" w:rsidR="00C53BB1" w:rsidRPr="00D91B35" w:rsidRDefault="00FC493B" w:rsidP="00387006">
            <w:pPr>
              <w:rPr>
                <w:rFonts w:ascii="Times New Roman" w:hAnsi="Times New Roman" w:cs="Times New Roman"/>
                <w:sz w:val="16"/>
                <w:szCs w:val="16"/>
              </w:rPr>
            </w:pPr>
            <w:r>
              <w:rPr>
                <w:rFonts w:ascii="Times New Roman" w:hAnsi="Times New Roman"/>
                <w:sz w:val="16"/>
              </w:rPr>
              <w:t>129</w:t>
            </w:r>
          </w:p>
        </w:tc>
        <w:tc>
          <w:tcPr>
            <w:tcW w:w="122" w:type="pct"/>
            <w:tcBorders>
              <w:top w:val="single" w:sz="4" w:space="0" w:color="auto"/>
            </w:tcBorders>
            <w:shd w:val="clear" w:color="auto" w:fill="D9D9D9" w:themeFill="background1" w:themeFillShade="D9"/>
          </w:tcPr>
          <w:p w14:paraId="69DF8D5F" w14:textId="77777777" w:rsidR="00C53BB1" w:rsidRPr="00D91B35" w:rsidRDefault="00C53BB1" w:rsidP="00387006">
            <w:pPr>
              <w:rPr>
                <w:rFonts w:ascii="Times New Roman" w:hAnsi="Times New Roman" w:cs="Times New Roman"/>
                <w:sz w:val="16"/>
                <w:szCs w:val="16"/>
              </w:rPr>
            </w:pPr>
          </w:p>
        </w:tc>
        <w:tc>
          <w:tcPr>
            <w:tcW w:w="183" w:type="pct"/>
            <w:tcBorders>
              <w:top w:val="single" w:sz="4" w:space="0" w:color="auto"/>
            </w:tcBorders>
            <w:shd w:val="clear" w:color="auto" w:fill="D9D9D9" w:themeFill="background1" w:themeFillShade="D9"/>
          </w:tcPr>
          <w:p w14:paraId="403F68D4" w14:textId="1E84BC84" w:rsidR="00C53BB1" w:rsidRPr="00D91B35" w:rsidRDefault="00FC493B" w:rsidP="00387006">
            <w:pPr>
              <w:rPr>
                <w:rFonts w:ascii="Times New Roman" w:hAnsi="Times New Roman" w:cs="Times New Roman"/>
                <w:sz w:val="16"/>
                <w:szCs w:val="16"/>
              </w:rPr>
            </w:pPr>
            <w:r>
              <w:rPr>
                <w:rFonts w:ascii="Times New Roman" w:hAnsi="Times New Roman"/>
                <w:sz w:val="16"/>
              </w:rPr>
              <w:t>1</w:t>
            </w:r>
          </w:p>
        </w:tc>
        <w:tc>
          <w:tcPr>
            <w:tcW w:w="105" w:type="pct"/>
            <w:tcBorders>
              <w:top w:val="single" w:sz="4" w:space="0" w:color="auto"/>
            </w:tcBorders>
            <w:shd w:val="clear" w:color="auto" w:fill="D9D9D9" w:themeFill="background1" w:themeFillShade="D9"/>
          </w:tcPr>
          <w:p w14:paraId="5BA55565" w14:textId="77777777" w:rsidR="00C53BB1" w:rsidRPr="00D91B35" w:rsidRDefault="00C53BB1" w:rsidP="00387006">
            <w:pPr>
              <w:rPr>
                <w:rFonts w:ascii="Times New Roman" w:hAnsi="Times New Roman" w:cs="Times New Roman"/>
                <w:sz w:val="16"/>
                <w:szCs w:val="16"/>
              </w:rPr>
            </w:pPr>
          </w:p>
        </w:tc>
        <w:tc>
          <w:tcPr>
            <w:tcW w:w="186" w:type="pct"/>
            <w:tcBorders>
              <w:top w:val="single" w:sz="4" w:space="0" w:color="auto"/>
            </w:tcBorders>
            <w:shd w:val="clear" w:color="auto" w:fill="D9D9D9" w:themeFill="background1" w:themeFillShade="D9"/>
          </w:tcPr>
          <w:p w14:paraId="70C9EF5C" w14:textId="7CD7581E" w:rsidR="00C53BB1" w:rsidRPr="00D91B35" w:rsidRDefault="00FC493B" w:rsidP="00387006">
            <w:pPr>
              <w:rPr>
                <w:rFonts w:ascii="Times New Roman" w:hAnsi="Times New Roman" w:cs="Times New Roman"/>
                <w:sz w:val="16"/>
                <w:szCs w:val="16"/>
              </w:rPr>
            </w:pPr>
            <w:r>
              <w:rPr>
                <w:rFonts w:ascii="Times New Roman" w:hAnsi="Times New Roman"/>
                <w:sz w:val="16"/>
              </w:rPr>
              <w:t>3</w:t>
            </w:r>
          </w:p>
        </w:tc>
        <w:tc>
          <w:tcPr>
            <w:tcW w:w="609" w:type="pct"/>
            <w:tcBorders>
              <w:top w:val="single" w:sz="4" w:space="0" w:color="auto"/>
            </w:tcBorders>
            <w:shd w:val="clear" w:color="auto" w:fill="D9D9D9" w:themeFill="background1" w:themeFillShade="D9"/>
          </w:tcPr>
          <w:p w14:paraId="0DF09D4D" w14:textId="77777777" w:rsidR="00C53BB1" w:rsidRPr="00D91B35" w:rsidRDefault="00C53BB1" w:rsidP="00387006">
            <w:pPr>
              <w:rPr>
                <w:rFonts w:ascii="Times New Roman" w:hAnsi="Times New Roman" w:cs="Times New Roman"/>
                <w:sz w:val="16"/>
                <w:szCs w:val="16"/>
              </w:rPr>
            </w:pPr>
          </w:p>
        </w:tc>
        <w:tc>
          <w:tcPr>
            <w:tcW w:w="237" w:type="pct"/>
            <w:tcBorders>
              <w:top w:val="single" w:sz="4" w:space="0" w:color="auto"/>
            </w:tcBorders>
            <w:shd w:val="clear" w:color="auto" w:fill="D9D9D9" w:themeFill="background1" w:themeFillShade="D9"/>
          </w:tcPr>
          <w:p w14:paraId="62CF56A2" w14:textId="4B900E28" w:rsidR="00C53BB1" w:rsidRPr="00D91B35" w:rsidRDefault="00FC493B" w:rsidP="00387006">
            <w:pPr>
              <w:rPr>
                <w:rFonts w:ascii="Times New Roman" w:hAnsi="Times New Roman" w:cs="Times New Roman"/>
                <w:sz w:val="16"/>
                <w:szCs w:val="16"/>
              </w:rPr>
            </w:pPr>
            <w:r>
              <w:rPr>
                <w:rFonts w:ascii="Times New Roman" w:hAnsi="Times New Roman"/>
                <w:sz w:val="16"/>
              </w:rPr>
              <w:t>910,0</w:t>
            </w:r>
          </w:p>
        </w:tc>
        <w:tc>
          <w:tcPr>
            <w:tcW w:w="251" w:type="pct"/>
            <w:tcBorders>
              <w:top w:val="single" w:sz="4" w:space="0" w:color="auto"/>
            </w:tcBorders>
            <w:shd w:val="clear" w:color="auto" w:fill="D9D9D9" w:themeFill="background1" w:themeFillShade="D9"/>
          </w:tcPr>
          <w:p w14:paraId="473B5F84" w14:textId="77777777" w:rsidR="00C53BB1" w:rsidRPr="00D91B35" w:rsidRDefault="00C53BB1" w:rsidP="00387006">
            <w:pPr>
              <w:rPr>
                <w:rFonts w:ascii="Times New Roman" w:hAnsi="Times New Roman" w:cs="Times New Roman"/>
                <w:sz w:val="16"/>
                <w:szCs w:val="16"/>
              </w:rPr>
            </w:pPr>
          </w:p>
        </w:tc>
        <w:tc>
          <w:tcPr>
            <w:tcW w:w="237" w:type="pct"/>
            <w:tcBorders>
              <w:top w:val="single" w:sz="4" w:space="0" w:color="auto"/>
            </w:tcBorders>
            <w:shd w:val="clear" w:color="auto" w:fill="D9D9D9" w:themeFill="background1" w:themeFillShade="D9"/>
          </w:tcPr>
          <w:p w14:paraId="4BCC1C8D" w14:textId="77777777" w:rsidR="00C53BB1" w:rsidRPr="00D91B35" w:rsidRDefault="00C53BB1" w:rsidP="00387006">
            <w:pPr>
              <w:rPr>
                <w:rFonts w:ascii="Times New Roman" w:hAnsi="Times New Roman" w:cs="Times New Roman"/>
                <w:sz w:val="16"/>
                <w:szCs w:val="16"/>
              </w:rPr>
            </w:pPr>
          </w:p>
        </w:tc>
        <w:tc>
          <w:tcPr>
            <w:tcW w:w="237" w:type="pct"/>
            <w:tcBorders>
              <w:top w:val="single" w:sz="4" w:space="0" w:color="auto"/>
            </w:tcBorders>
            <w:shd w:val="clear" w:color="auto" w:fill="D9D9D9" w:themeFill="background1" w:themeFillShade="D9"/>
          </w:tcPr>
          <w:p w14:paraId="459B64A8" w14:textId="77777777" w:rsidR="00C53BB1" w:rsidRPr="00D91B35" w:rsidRDefault="00C53BB1" w:rsidP="00387006">
            <w:pPr>
              <w:rPr>
                <w:rFonts w:ascii="Times New Roman" w:hAnsi="Times New Roman" w:cs="Times New Roman"/>
                <w:sz w:val="16"/>
                <w:szCs w:val="16"/>
              </w:rPr>
            </w:pPr>
          </w:p>
        </w:tc>
        <w:tc>
          <w:tcPr>
            <w:tcW w:w="237" w:type="pct"/>
            <w:tcBorders>
              <w:top w:val="single" w:sz="4" w:space="0" w:color="auto"/>
            </w:tcBorders>
            <w:shd w:val="clear" w:color="auto" w:fill="D9D9D9" w:themeFill="background1" w:themeFillShade="D9"/>
          </w:tcPr>
          <w:p w14:paraId="70701FA4" w14:textId="293C70A0" w:rsidR="00C53BB1" w:rsidRPr="00D91B35" w:rsidRDefault="00FC493B" w:rsidP="00387006">
            <w:pPr>
              <w:rPr>
                <w:rFonts w:ascii="Times New Roman" w:hAnsi="Times New Roman" w:cs="Times New Roman"/>
                <w:sz w:val="16"/>
                <w:szCs w:val="16"/>
              </w:rPr>
            </w:pPr>
            <w:r>
              <w:rPr>
                <w:rFonts w:ascii="Times New Roman" w:hAnsi="Times New Roman"/>
                <w:sz w:val="16"/>
              </w:rPr>
              <w:t>1 359,0</w:t>
            </w:r>
          </w:p>
        </w:tc>
        <w:tc>
          <w:tcPr>
            <w:tcW w:w="237" w:type="pct"/>
            <w:tcBorders>
              <w:top w:val="single" w:sz="4" w:space="0" w:color="auto"/>
            </w:tcBorders>
            <w:shd w:val="clear" w:color="auto" w:fill="D9D9D9" w:themeFill="background1" w:themeFillShade="D9"/>
          </w:tcPr>
          <w:p w14:paraId="187ACF4A" w14:textId="77777777" w:rsidR="00C53BB1" w:rsidRPr="00D91B35" w:rsidRDefault="00C53BB1" w:rsidP="00387006">
            <w:pPr>
              <w:rPr>
                <w:rFonts w:ascii="Times New Roman" w:hAnsi="Times New Roman" w:cs="Times New Roman"/>
                <w:sz w:val="16"/>
                <w:szCs w:val="16"/>
              </w:rPr>
            </w:pPr>
          </w:p>
        </w:tc>
      </w:tr>
      <w:tr w:rsidR="002A5407" w:rsidRPr="00D91B35" w14:paraId="0951A628" w14:textId="77777777" w:rsidTr="008A656B">
        <w:tc>
          <w:tcPr>
            <w:tcW w:w="374" w:type="pct"/>
            <w:tcBorders>
              <w:bottom w:val="single" w:sz="4" w:space="0" w:color="auto"/>
            </w:tcBorders>
            <w:shd w:val="clear" w:color="auto" w:fill="D9D9D9" w:themeFill="background1" w:themeFillShade="D9"/>
          </w:tcPr>
          <w:p w14:paraId="52925AB5" w14:textId="77777777" w:rsidR="00C53BB1" w:rsidRPr="00D91B35" w:rsidRDefault="00C53BB1" w:rsidP="00387006">
            <w:pPr>
              <w:rPr>
                <w:rFonts w:ascii="Times New Roman" w:hAnsi="Times New Roman" w:cs="Times New Roman"/>
                <w:b/>
                <w:bCs/>
                <w:sz w:val="16"/>
                <w:szCs w:val="16"/>
              </w:rPr>
            </w:pPr>
          </w:p>
        </w:tc>
        <w:tc>
          <w:tcPr>
            <w:tcW w:w="231" w:type="pct"/>
            <w:tcBorders>
              <w:bottom w:val="single" w:sz="4" w:space="0" w:color="auto"/>
            </w:tcBorders>
            <w:shd w:val="clear" w:color="auto" w:fill="D9D9D9" w:themeFill="background1" w:themeFillShade="D9"/>
          </w:tcPr>
          <w:p w14:paraId="53AEC31F" w14:textId="77777777" w:rsidR="00C53BB1" w:rsidRPr="00D91B35" w:rsidRDefault="00C53BB1" w:rsidP="00387006">
            <w:pPr>
              <w:rPr>
                <w:rFonts w:ascii="Times New Roman" w:hAnsi="Times New Roman" w:cs="Times New Roman"/>
                <w:b/>
                <w:bCs/>
                <w:sz w:val="16"/>
                <w:szCs w:val="16"/>
              </w:rPr>
            </w:pPr>
          </w:p>
        </w:tc>
        <w:tc>
          <w:tcPr>
            <w:tcW w:w="358" w:type="pct"/>
            <w:tcBorders>
              <w:bottom w:val="single" w:sz="4" w:space="0" w:color="auto"/>
            </w:tcBorders>
            <w:shd w:val="clear" w:color="auto" w:fill="D9D9D9" w:themeFill="background1" w:themeFillShade="D9"/>
          </w:tcPr>
          <w:p w14:paraId="72804F48" w14:textId="5CE4E1C3" w:rsidR="00C53BB1" w:rsidRPr="00D91B35" w:rsidRDefault="00C53BB1" w:rsidP="00387006">
            <w:pPr>
              <w:rPr>
                <w:rFonts w:ascii="Times New Roman" w:hAnsi="Times New Roman" w:cs="Times New Roman"/>
                <w:b/>
                <w:bCs/>
                <w:sz w:val="16"/>
                <w:szCs w:val="16"/>
              </w:rPr>
            </w:pPr>
            <w:r>
              <w:rPr>
                <w:rFonts w:ascii="Times New Roman" w:hAnsi="Times New Roman"/>
                <w:b/>
                <w:sz w:val="16"/>
              </w:rPr>
              <w:t>Nīderlande</w:t>
            </w:r>
          </w:p>
        </w:tc>
        <w:tc>
          <w:tcPr>
            <w:tcW w:w="359" w:type="pct"/>
            <w:tcBorders>
              <w:bottom w:val="single" w:sz="4" w:space="0" w:color="auto"/>
            </w:tcBorders>
            <w:shd w:val="clear" w:color="auto" w:fill="D9D9D9" w:themeFill="background1" w:themeFillShade="D9"/>
          </w:tcPr>
          <w:p w14:paraId="3F6E60E3" w14:textId="05F30D7E" w:rsidR="00C53BB1" w:rsidRPr="00D91B35" w:rsidRDefault="00FC493B" w:rsidP="00FC493B">
            <w:pPr>
              <w:pStyle w:val="Default"/>
              <w:rPr>
                <w:sz w:val="16"/>
                <w:szCs w:val="16"/>
              </w:rPr>
            </w:pPr>
            <w:r>
              <w:rPr>
                <w:sz w:val="16"/>
              </w:rPr>
              <w:t>(Ocke et al., 2008)</w:t>
            </w:r>
          </w:p>
        </w:tc>
        <w:tc>
          <w:tcPr>
            <w:tcW w:w="839" w:type="pct"/>
            <w:tcBorders>
              <w:bottom w:val="single" w:sz="4" w:space="0" w:color="auto"/>
            </w:tcBorders>
            <w:shd w:val="clear" w:color="auto" w:fill="D9D9D9" w:themeFill="background1" w:themeFillShade="D9"/>
          </w:tcPr>
          <w:p w14:paraId="0887B551" w14:textId="7BE74F15" w:rsidR="00C53BB1" w:rsidRPr="00D91B35" w:rsidRDefault="00FC493B" w:rsidP="00FC493B">
            <w:pPr>
              <w:pStyle w:val="Default"/>
              <w:rPr>
                <w:sz w:val="16"/>
                <w:szCs w:val="16"/>
              </w:rPr>
            </w:pPr>
            <w:r>
              <w:rPr>
                <w:sz w:val="16"/>
              </w:rPr>
              <w:t>2 dienu uztura pieraksts (par divām savstarpēji nesaistītām dienām)</w:t>
            </w:r>
          </w:p>
        </w:tc>
        <w:tc>
          <w:tcPr>
            <w:tcW w:w="196" w:type="pct"/>
            <w:tcBorders>
              <w:bottom w:val="single" w:sz="4" w:space="0" w:color="auto"/>
            </w:tcBorders>
            <w:shd w:val="clear" w:color="auto" w:fill="D9D9D9" w:themeFill="background1" w:themeFillShade="D9"/>
          </w:tcPr>
          <w:p w14:paraId="59439787" w14:textId="5259223D" w:rsidR="00C53BB1" w:rsidRPr="00D91B35" w:rsidRDefault="00FC493B" w:rsidP="00387006">
            <w:pPr>
              <w:rPr>
                <w:rFonts w:ascii="Times New Roman" w:hAnsi="Times New Roman" w:cs="Times New Roman"/>
                <w:sz w:val="16"/>
                <w:szCs w:val="16"/>
              </w:rPr>
            </w:pPr>
            <w:r>
              <w:rPr>
                <w:rFonts w:ascii="Times New Roman" w:hAnsi="Times New Roman"/>
                <w:sz w:val="16"/>
              </w:rPr>
              <w:t>327</w:t>
            </w:r>
          </w:p>
        </w:tc>
        <w:tc>
          <w:tcPr>
            <w:tcW w:w="122" w:type="pct"/>
            <w:tcBorders>
              <w:bottom w:val="single" w:sz="4" w:space="0" w:color="auto"/>
            </w:tcBorders>
            <w:shd w:val="clear" w:color="auto" w:fill="D9D9D9" w:themeFill="background1" w:themeFillShade="D9"/>
          </w:tcPr>
          <w:p w14:paraId="1118EB3D" w14:textId="77777777" w:rsidR="00C53BB1" w:rsidRPr="00D91B35" w:rsidRDefault="00C53BB1" w:rsidP="00387006">
            <w:pPr>
              <w:rPr>
                <w:rFonts w:ascii="Times New Roman" w:hAnsi="Times New Roman" w:cs="Times New Roman"/>
                <w:sz w:val="16"/>
                <w:szCs w:val="16"/>
              </w:rPr>
            </w:pPr>
          </w:p>
        </w:tc>
        <w:tc>
          <w:tcPr>
            <w:tcW w:w="183" w:type="pct"/>
            <w:tcBorders>
              <w:bottom w:val="single" w:sz="4" w:space="0" w:color="auto"/>
            </w:tcBorders>
            <w:shd w:val="clear" w:color="auto" w:fill="D9D9D9" w:themeFill="background1" w:themeFillShade="D9"/>
          </w:tcPr>
          <w:p w14:paraId="04054ACC" w14:textId="6540E1CD" w:rsidR="00C53BB1" w:rsidRPr="00D91B35" w:rsidRDefault="00FC493B" w:rsidP="00387006">
            <w:pPr>
              <w:rPr>
                <w:rFonts w:ascii="Times New Roman" w:hAnsi="Times New Roman" w:cs="Times New Roman"/>
                <w:sz w:val="16"/>
                <w:szCs w:val="16"/>
              </w:rPr>
            </w:pPr>
            <w:r>
              <w:rPr>
                <w:rFonts w:ascii="Times New Roman" w:hAnsi="Times New Roman"/>
                <w:sz w:val="16"/>
              </w:rPr>
              <w:t>2</w:t>
            </w:r>
          </w:p>
        </w:tc>
        <w:tc>
          <w:tcPr>
            <w:tcW w:w="105" w:type="pct"/>
            <w:tcBorders>
              <w:bottom w:val="single" w:sz="4" w:space="0" w:color="auto"/>
            </w:tcBorders>
            <w:shd w:val="clear" w:color="auto" w:fill="D9D9D9" w:themeFill="background1" w:themeFillShade="D9"/>
          </w:tcPr>
          <w:p w14:paraId="5A131A19" w14:textId="77777777" w:rsidR="00C53BB1" w:rsidRPr="00D91B35" w:rsidRDefault="00C53BB1" w:rsidP="00387006">
            <w:pPr>
              <w:rPr>
                <w:rFonts w:ascii="Times New Roman" w:hAnsi="Times New Roman" w:cs="Times New Roman"/>
                <w:sz w:val="16"/>
                <w:szCs w:val="16"/>
              </w:rPr>
            </w:pPr>
          </w:p>
        </w:tc>
        <w:tc>
          <w:tcPr>
            <w:tcW w:w="186" w:type="pct"/>
            <w:tcBorders>
              <w:bottom w:val="single" w:sz="4" w:space="0" w:color="auto"/>
            </w:tcBorders>
            <w:shd w:val="clear" w:color="auto" w:fill="D9D9D9" w:themeFill="background1" w:themeFillShade="D9"/>
          </w:tcPr>
          <w:p w14:paraId="29DD0E72" w14:textId="6C5C8363" w:rsidR="00C53BB1" w:rsidRPr="00D91B35" w:rsidRDefault="00FC493B" w:rsidP="00387006">
            <w:pPr>
              <w:rPr>
                <w:rFonts w:ascii="Times New Roman" w:hAnsi="Times New Roman" w:cs="Times New Roman"/>
                <w:sz w:val="16"/>
                <w:szCs w:val="16"/>
              </w:rPr>
            </w:pPr>
            <w:r>
              <w:rPr>
                <w:rFonts w:ascii="Times New Roman" w:hAnsi="Times New Roman"/>
                <w:sz w:val="16"/>
              </w:rPr>
              <w:t>3</w:t>
            </w:r>
          </w:p>
        </w:tc>
        <w:tc>
          <w:tcPr>
            <w:tcW w:w="609" w:type="pct"/>
            <w:tcBorders>
              <w:bottom w:val="single" w:sz="4" w:space="0" w:color="auto"/>
            </w:tcBorders>
            <w:shd w:val="clear" w:color="auto" w:fill="D9D9D9" w:themeFill="background1" w:themeFillShade="D9"/>
          </w:tcPr>
          <w:p w14:paraId="207FEB55" w14:textId="77777777" w:rsidR="00C53BB1" w:rsidRPr="00D91B35" w:rsidRDefault="00C53BB1" w:rsidP="00387006">
            <w:pPr>
              <w:rPr>
                <w:rFonts w:ascii="Times New Roman" w:hAnsi="Times New Roman" w:cs="Times New Roman"/>
                <w:sz w:val="16"/>
                <w:szCs w:val="16"/>
              </w:rPr>
            </w:pPr>
          </w:p>
        </w:tc>
        <w:tc>
          <w:tcPr>
            <w:tcW w:w="237" w:type="pct"/>
            <w:tcBorders>
              <w:bottom w:val="single" w:sz="4" w:space="0" w:color="auto"/>
            </w:tcBorders>
            <w:shd w:val="clear" w:color="auto" w:fill="D9D9D9" w:themeFill="background1" w:themeFillShade="D9"/>
          </w:tcPr>
          <w:p w14:paraId="6673CD08" w14:textId="1726BDF4" w:rsidR="00C53BB1" w:rsidRPr="00D91B35" w:rsidRDefault="00FC493B" w:rsidP="00387006">
            <w:pPr>
              <w:rPr>
                <w:rFonts w:ascii="Times New Roman" w:hAnsi="Times New Roman" w:cs="Times New Roman"/>
                <w:sz w:val="16"/>
                <w:szCs w:val="16"/>
              </w:rPr>
            </w:pPr>
            <w:r>
              <w:rPr>
                <w:rFonts w:ascii="Times New Roman" w:hAnsi="Times New Roman"/>
                <w:sz w:val="16"/>
              </w:rPr>
              <w:t>788,0</w:t>
            </w:r>
          </w:p>
        </w:tc>
        <w:tc>
          <w:tcPr>
            <w:tcW w:w="251" w:type="pct"/>
            <w:tcBorders>
              <w:bottom w:val="single" w:sz="4" w:space="0" w:color="auto"/>
            </w:tcBorders>
            <w:shd w:val="clear" w:color="auto" w:fill="D9D9D9" w:themeFill="background1" w:themeFillShade="D9"/>
          </w:tcPr>
          <w:p w14:paraId="038D8BBE" w14:textId="77777777" w:rsidR="00C53BB1" w:rsidRPr="00D91B35" w:rsidRDefault="00C53BB1" w:rsidP="00387006">
            <w:pPr>
              <w:rPr>
                <w:rFonts w:ascii="Times New Roman" w:hAnsi="Times New Roman" w:cs="Times New Roman"/>
                <w:sz w:val="16"/>
                <w:szCs w:val="16"/>
              </w:rPr>
            </w:pPr>
          </w:p>
        </w:tc>
        <w:tc>
          <w:tcPr>
            <w:tcW w:w="237" w:type="pct"/>
            <w:tcBorders>
              <w:bottom w:val="single" w:sz="4" w:space="0" w:color="auto"/>
            </w:tcBorders>
            <w:shd w:val="clear" w:color="auto" w:fill="D9D9D9" w:themeFill="background1" w:themeFillShade="D9"/>
          </w:tcPr>
          <w:p w14:paraId="6836B7B6" w14:textId="77777777" w:rsidR="00C53BB1" w:rsidRPr="00D91B35" w:rsidRDefault="00C53BB1" w:rsidP="00387006">
            <w:pPr>
              <w:rPr>
                <w:rFonts w:ascii="Times New Roman" w:hAnsi="Times New Roman" w:cs="Times New Roman"/>
                <w:sz w:val="16"/>
                <w:szCs w:val="16"/>
              </w:rPr>
            </w:pPr>
          </w:p>
        </w:tc>
        <w:tc>
          <w:tcPr>
            <w:tcW w:w="237" w:type="pct"/>
            <w:tcBorders>
              <w:bottom w:val="single" w:sz="4" w:space="0" w:color="auto"/>
            </w:tcBorders>
            <w:shd w:val="clear" w:color="auto" w:fill="D9D9D9" w:themeFill="background1" w:themeFillShade="D9"/>
          </w:tcPr>
          <w:p w14:paraId="1919AA4A" w14:textId="77777777" w:rsidR="00C53BB1" w:rsidRPr="00D91B35" w:rsidRDefault="00C53BB1" w:rsidP="00387006">
            <w:pPr>
              <w:rPr>
                <w:rFonts w:ascii="Times New Roman" w:hAnsi="Times New Roman" w:cs="Times New Roman"/>
                <w:sz w:val="16"/>
                <w:szCs w:val="16"/>
              </w:rPr>
            </w:pPr>
          </w:p>
        </w:tc>
        <w:tc>
          <w:tcPr>
            <w:tcW w:w="237" w:type="pct"/>
            <w:tcBorders>
              <w:bottom w:val="single" w:sz="4" w:space="0" w:color="auto"/>
            </w:tcBorders>
            <w:shd w:val="clear" w:color="auto" w:fill="D9D9D9" w:themeFill="background1" w:themeFillShade="D9"/>
          </w:tcPr>
          <w:p w14:paraId="1632AA18" w14:textId="70B3DDAE" w:rsidR="00C53BB1" w:rsidRPr="00D91B35" w:rsidRDefault="00FC493B" w:rsidP="00387006">
            <w:pPr>
              <w:rPr>
                <w:rFonts w:ascii="Times New Roman" w:hAnsi="Times New Roman" w:cs="Times New Roman"/>
                <w:sz w:val="16"/>
                <w:szCs w:val="16"/>
              </w:rPr>
            </w:pPr>
            <w:r>
              <w:rPr>
                <w:rFonts w:ascii="Times New Roman" w:hAnsi="Times New Roman"/>
                <w:sz w:val="16"/>
              </w:rPr>
              <w:t>1 180,0</w:t>
            </w:r>
          </w:p>
        </w:tc>
        <w:tc>
          <w:tcPr>
            <w:tcW w:w="237" w:type="pct"/>
            <w:tcBorders>
              <w:bottom w:val="single" w:sz="4" w:space="0" w:color="auto"/>
            </w:tcBorders>
            <w:shd w:val="clear" w:color="auto" w:fill="D9D9D9" w:themeFill="background1" w:themeFillShade="D9"/>
          </w:tcPr>
          <w:p w14:paraId="30B4208E" w14:textId="77777777" w:rsidR="00C53BB1" w:rsidRPr="00D91B35" w:rsidRDefault="00C53BB1" w:rsidP="00387006">
            <w:pPr>
              <w:rPr>
                <w:rFonts w:ascii="Times New Roman" w:hAnsi="Times New Roman" w:cs="Times New Roman"/>
                <w:sz w:val="16"/>
                <w:szCs w:val="16"/>
              </w:rPr>
            </w:pPr>
          </w:p>
        </w:tc>
      </w:tr>
      <w:tr w:rsidR="00077C40" w:rsidRPr="00D91B35" w14:paraId="497516AD" w14:textId="77777777" w:rsidTr="008A656B">
        <w:tc>
          <w:tcPr>
            <w:tcW w:w="374" w:type="pct"/>
            <w:tcBorders>
              <w:top w:val="single" w:sz="4" w:space="0" w:color="auto"/>
            </w:tcBorders>
            <w:shd w:val="clear" w:color="auto" w:fill="D9D9D9" w:themeFill="background1" w:themeFillShade="D9"/>
          </w:tcPr>
          <w:p w14:paraId="1C5FF359" w14:textId="3929C558" w:rsidR="00C53BB1" w:rsidRPr="00D91B35" w:rsidRDefault="00C53BB1" w:rsidP="00387006">
            <w:pPr>
              <w:rPr>
                <w:rFonts w:ascii="Times New Roman" w:hAnsi="Times New Roman" w:cs="Times New Roman"/>
                <w:b/>
                <w:bCs/>
                <w:sz w:val="16"/>
                <w:szCs w:val="16"/>
              </w:rPr>
            </w:pPr>
            <w:r>
              <w:rPr>
                <w:rFonts w:ascii="Times New Roman" w:hAnsi="Times New Roman"/>
                <w:b/>
                <w:sz w:val="16"/>
              </w:rPr>
              <w:t>Pārtika</w:t>
            </w:r>
          </w:p>
        </w:tc>
        <w:tc>
          <w:tcPr>
            <w:tcW w:w="231" w:type="pct"/>
            <w:tcBorders>
              <w:top w:val="single" w:sz="4" w:space="0" w:color="auto"/>
            </w:tcBorders>
            <w:shd w:val="clear" w:color="auto" w:fill="D9D9D9" w:themeFill="background1" w:themeFillShade="D9"/>
          </w:tcPr>
          <w:p w14:paraId="28075442" w14:textId="55457FCD" w:rsidR="00C53BB1" w:rsidRPr="00D91B35" w:rsidRDefault="00C53BB1" w:rsidP="00387006">
            <w:pPr>
              <w:rPr>
                <w:rFonts w:ascii="Times New Roman" w:hAnsi="Times New Roman" w:cs="Times New Roman"/>
                <w:b/>
                <w:bCs/>
                <w:sz w:val="16"/>
                <w:szCs w:val="16"/>
              </w:rPr>
            </w:pPr>
            <w:r>
              <w:rPr>
                <w:rFonts w:ascii="Times New Roman" w:hAnsi="Times New Roman"/>
                <w:b/>
                <w:sz w:val="16"/>
              </w:rPr>
              <w:t>Zēni un meitenes</w:t>
            </w:r>
          </w:p>
        </w:tc>
        <w:tc>
          <w:tcPr>
            <w:tcW w:w="358" w:type="pct"/>
            <w:tcBorders>
              <w:top w:val="single" w:sz="4" w:space="0" w:color="auto"/>
            </w:tcBorders>
            <w:shd w:val="clear" w:color="auto" w:fill="D9D9D9" w:themeFill="background1" w:themeFillShade="D9"/>
          </w:tcPr>
          <w:p w14:paraId="3C3820EC" w14:textId="272F6D4B" w:rsidR="00C53BB1" w:rsidRPr="00D91B35" w:rsidRDefault="00C53BB1" w:rsidP="00387006">
            <w:pPr>
              <w:rPr>
                <w:rFonts w:ascii="Times New Roman" w:hAnsi="Times New Roman" w:cs="Times New Roman"/>
                <w:b/>
                <w:bCs/>
                <w:sz w:val="16"/>
                <w:szCs w:val="16"/>
              </w:rPr>
            </w:pPr>
            <w:r>
              <w:rPr>
                <w:rFonts w:ascii="Times New Roman" w:hAnsi="Times New Roman"/>
                <w:b/>
                <w:sz w:val="16"/>
              </w:rPr>
              <w:t>Grieķija</w:t>
            </w:r>
          </w:p>
        </w:tc>
        <w:tc>
          <w:tcPr>
            <w:tcW w:w="359" w:type="pct"/>
            <w:tcBorders>
              <w:top w:val="single" w:sz="4" w:space="0" w:color="auto"/>
            </w:tcBorders>
            <w:shd w:val="clear" w:color="auto" w:fill="D9D9D9" w:themeFill="background1" w:themeFillShade="D9"/>
          </w:tcPr>
          <w:p w14:paraId="5053D95F" w14:textId="106FAF18" w:rsidR="00C53BB1" w:rsidRPr="00D91B35" w:rsidRDefault="00077C40" w:rsidP="00387006">
            <w:pPr>
              <w:rPr>
                <w:rFonts w:ascii="Times New Roman" w:hAnsi="Times New Roman" w:cs="Times New Roman"/>
                <w:sz w:val="16"/>
                <w:szCs w:val="16"/>
              </w:rPr>
            </w:pPr>
            <w:r>
              <w:rPr>
                <w:rFonts w:ascii="Times New Roman" w:hAnsi="Times New Roman"/>
                <w:sz w:val="16"/>
              </w:rPr>
              <w:t>(Manios et al., 2008)</w:t>
            </w:r>
          </w:p>
        </w:tc>
        <w:tc>
          <w:tcPr>
            <w:tcW w:w="839" w:type="pct"/>
            <w:tcBorders>
              <w:top w:val="single" w:sz="4" w:space="0" w:color="auto"/>
            </w:tcBorders>
            <w:shd w:val="clear" w:color="auto" w:fill="D9D9D9" w:themeFill="background1" w:themeFillShade="D9"/>
          </w:tcPr>
          <w:p w14:paraId="3BC6F0F9" w14:textId="0C4B7A4E" w:rsidR="00C53BB1" w:rsidRPr="00D91B35" w:rsidRDefault="00077C40" w:rsidP="00077C40">
            <w:pPr>
              <w:pStyle w:val="Default"/>
              <w:rPr>
                <w:sz w:val="16"/>
                <w:szCs w:val="16"/>
              </w:rPr>
            </w:pPr>
            <w:r>
              <w:rPr>
                <w:sz w:val="16"/>
              </w:rPr>
              <w:t>3 dienu uztura pieraksts (svērto pārtikas produktu atskaites un 24 stundu atcerēšanās anketa vai uztura dienasgrāmatas)</w:t>
            </w:r>
          </w:p>
        </w:tc>
        <w:tc>
          <w:tcPr>
            <w:tcW w:w="196" w:type="pct"/>
            <w:tcBorders>
              <w:top w:val="single" w:sz="4" w:space="0" w:color="auto"/>
            </w:tcBorders>
            <w:shd w:val="clear" w:color="auto" w:fill="D9D9D9" w:themeFill="background1" w:themeFillShade="D9"/>
          </w:tcPr>
          <w:p w14:paraId="5A1743AB" w14:textId="3CC3B7D0" w:rsidR="00C53BB1" w:rsidRPr="00D91B35" w:rsidRDefault="002A5407" w:rsidP="00387006">
            <w:pPr>
              <w:rPr>
                <w:rFonts w:ascii="Times New Roman" w:hAnsi="Times New Roman" w:cs="Times New Roman"/>
                <w:sz w:val="16"/>
                <w:szCs w:val="16"/>
              </w:rPr>
            </w:pPr>
            <w:r>
              <w:rPr>
                <w:rFonts w:ascii="Times New Roman" w:hAnsi="Times New Roman"/>
                <w:sz w:val="16"/>
              </w:rPr>
              <w:t>2 317</w:t>
            </w:r>
          </w:p>
        </w:tc>
        <w:tc>
          <w:tcPr>
            <w:tcW w:w="122" w:type="pct"/>
            <w:tcBorders>
              <w:top w:val="single" w:sz="4" w:space="0" w:color="auto"/>
            </w:tcBorders>
            <w:shd w:val="clear" w:color="auto" w:fill="D9D9D9" w:themeFill="background1" w:themeFillShade="D9"/>
          </w:tcPr>
          <w:p w14:paraId="498BCE56" w14:textId="77777777" w:rsidR="00C53BB1" w:rsidRPr="00D91B35" w:rsidRDefault="00C53BB1" w:rsidP="00387006">
            <w:pPr>
              <w:rPr>
                <w:rFonts w:ascii="Times New Roman" w:hAnsi="Times New Roman" w:cs="Times New Roman"/>
                <w:sz w:val="16"/>
                <w:szCs w:val="16"/>
              </w:rPr>
            </w:pPr>
          </w:p>
        </w:tc>
        <w:tc>
          <w:tcPr>
            <w:tcW w:w="183" w:type="pct"/>
            <w:tcBorders>
              <w:top w:val="single" w:sz="4" w:space="0" w:color="auto"/>
            </w:tcBorders>
            <w:shd w:val="clear" w:color="auto" w:fill="D9D9D9" w:themeFill="background1" w:themeFillShade="D9"/>
          </w:tcPr>
          <w:p w14:paraId="1377A392" w14:textId="4A3831E8" w:rsidR="00C53BB1" w:rsidRPr="00D91B35" w:rsidRDefault="002A5407" w:rsidP="00387006">
            <w:pPr>
              <w:rPr>
                <w:rFonts w:ascii="Times New Roman" w:hAnsi="Times New Roman" w:cs="Times New Roman"/>
                <w:sz w:val="16"/>
                <w:szCs w:val="16"/>
              </w:rPr>
            </w:pPr>
            <w:r>
              <w:rPr>
                <w:rFonts w:ascii="Times New Roman" w:hAnsi="Times New Roman"/>
                <w:sz w:val="16"/>
              </w:rPr>
              <w:t>1</w:t>
            </w:r>
          </w:p>
        </w:tc>
        <w:tc>
          <w:tcPr>
            <w:tcW w:w="105" w:type="pct"/>
            <w:tcBorders>
              <w:top w:val="single" w:sz="4" w:space="0" w:color="auto"/>
            </w:tcBorders>
            <w:shd w:val="clear" w:color="auto" w:fill="D9D9D9" w:themeFill="background1" w:themeFillShade="D9"/>
          </w:tcPr>
          <w:p w14:paraId="6FCAC1D9" w14:textId="77777777" w:rsidR="00C53BB1" w:rsidRPr="00D91B35" w:rsidRDefault="00C53BB1" w:rsidP="00387006">
            <w:pPr>
              <w:rPr>
                <w:rFonts w:ascii="Times New Roman" w:hAnsi="Times New Roman" w:cs="Times New Roman"/>
                <w:sz w:val="16"/>
                <w:szCs w:val="16"/>
              </w:rPr>
            </w:pPr>
          </w:p>
        </w:tc>
        <w:tc>
          <w:tcPr>
            <w:tcW w:w="186" w:type="pct"/>
            <w:tcBorders>
              <w:top w:val="single" w:sz="4" w:space="0" w:color="auto"/>
            </w:tcBorders>
            <w:shd w:val="clear" w:color="auto" w:fill="D9D9D9" w:themeFill="background1" w:themeFillShade="D9"/>
          </w:tcPr>
          <w:p w14:paraId="507B894F" w14:textId="704A1300" w:rsidR="00C53BB1" w:rsidRPr="00D91B35" w:rsidRDefault="002A5407" w:rsidP="00387006">
            <w:pPr>
              <w:rPr>
                <w:rFonts w:ascii="Times New Roman" w:hAnsi="Times New Roman" w:cs="Times New Roman"/>
                <w:sz w:val="16"/>
                <w:szCs w:val="16"/>
              </w:rPr>
            </w:pPr>
            <w:r>
              <w:rPr>
                <w:rFonts w:ascii="Times New Roman" w:hAnsi="Times New Roman"/>
                <w:sz w:val="16"/>
              </w:rPr>
              <w:t>5</w:t>
            </w:r>
          </w:p>
        </w:tc>
        <w:tc>
          <w:tcPr>
            <w:tcW w:w="609" w:type="pct"/>
            <w:tcBorders>
              <w:top w:val="single" w:sz="4" w:space="0" w:color="auto"/>
            </w:tcBorders>
            <w:shd w:val="clear" w:color="auto" w:fill="D9D9D9" w:themeFill="background1" w:themeFillShade="D9"/>
          </w:tcPr>
          <w:p w14:paraId="2E4F6FB2" w14:textId="03DA7826" w:rsidR="00C53BB1" w:rsidRPr="00D91B35" w:rsidRDefault="002A5407" w:rsidP="002A5407">
            <w:pPr>
              <w:pStyle w:val="Default"/>
              <w:rPr>
                <w:sz w:val="16"/>
                <w:szCs w:val="16"/>
              </w:rPr>
            </w:pPr>
            <w:r>
              <w:rPr>
                <w:sz w:val="16"/>
              </w:rPr>
              <w:t>Cilvēki, kas sniedza datus pilnā apjomā. Varētu būt iekļauti neminēti uztura bagātinātāji</w:t>
            </w:r>
          </w:p>
        </w:tc>
        <w:tc>
          <w:tcPr>
            <w:tcW w:w="237" w:type="pct"/>
            <w:tcBorders>
              <w:top w:val="single" w:sz="4" w:space="0" w:color="auto"/>
            </w:tcBorders>
            <w:shd w:val="clear" w:color="auto" w:fill="D9D9D9" w:themeFill="background1" w:themeFillShade="D9"/>
          </w:tcPr>
          <w:p w14:paraId="387CCAE5" w14:textId="32206FD4" w:rsidR="00C53BB1" w:rsidRPr="00D91B35" w:rsidRDefault="002A5407" w:rsidP="00387006">
            <w:pPr>
              <w:rPr>
                <w:rFonts w:ascii="Times New Roman" w:hAnsi="Times New Roman" w:cs="Times New Roman"/>
                <w:sz w:val="16"/>
                <w:szCs w:val="16"/>
              </w:rPr>
            </w:pPr>
            <w:r>
              <w:rPr>
                <w:rFonts w:ascii="Times New Roman" w:hAnsi="Times New Roman"/>
                <w:sz w:val="16"/>
              </w:rPr>
              <w:t>1 024,0</w:t>
            </w:r>
          </w:p>
        </w:tc>
        <w:tc>
          <w:tcPr>
            <w:tcW w:w="251" w:type="pct"/>
            <w:tcBorders>
              <w:top w:val="single" w:sz="4" w:space="0" w:color="auto"/>
            </w:tcBorders>
            <w:shd w:val="clear" w:color="auto" w:fill="D9D9D9" w:themeFill="background1" w:themeFillShade="D9"/>
          </w:tcPr>
          <w:p w14:paraId="268074C1" w14:textId="77777777" w:rsidR="00C53BB1" w:rsidRPr="00D91B35" w:rsidRDefault="00C53BB1" w:rsidP="00387006">
            <w:pPr>
              <w:rPr>
                <w:rFonts w:ascii="Times New Roman" w:hAnsi="Times New Roman" w:cs="Times New Roman"/>
                <w:sz w:val="16"/>
                <w:szCs w:val="16"/>
              </w:rPr>
            </w:pPr>
          </w:p>
        </w:tc>
        <w:tc>
          <w:tcPr>
            <w:tcW w:w="237" w:type="pct"/>
            <w:tcBorders>
              <w:top w:val="single" w:sz="4" w:space="0" w:color="auto"/>
            </w:tcBorders>
            <w:shd w:val="clear" w:color="auto" w:fill="D9D9D9" w:themeFill="background1" w:themeFillShade="D9"/>
          </w:tcPr>
          <w:p w14:paraId="290BE77B" w14:textId="77777777" w:rsidR="00C53BB1" w:rsidRPr="00D91B35" w:rsidRDefault="00C53BB1" w:rsidP="00387006">
            <w:pPr>
              <w:rPr>
                <w:rFonts w:ascii="Times New Roman" w:hAnsi="Times New Roman" w:cs="Times New Roman"/>
                <w:sz w:val="16"/>
                <w:szCs w:val="16"/>
              </w:rPr>
            </w:pPr>
          </w:p>
        </w:tc>
        <w:tc>
          <w:tcPr>
            <w:tcW w:w="237" w:type="pct"/>
            <w:tcBorders>
              <w:top w:val="single" w:sz="4" w:space="0" w:color="auto"/>
            </w:tcBorders>
            <w:shd w:val="clear" w:color="auto" w:fill="D9D9D9" w:themeFill="background1" w:themeFillShade="D9"/>
          </w:tcPr>
          <w:p w14:paraId="7A51E0D9" w14:textId="7BE16047" w:rsidR="00C53BB1" w:rsidRPr="00D91B35" w:rsidRDefault="002A5407" w:rsidP="00387006">
            <w:pPr>
              <w:rPr>
                <w:rFonts w:ascii="Times New Roman" w:hAnsi="Times New Roman" w:cs="Times New Roman"/>
                <w:sz w:val="16"/>
                <w:szCs w:val="16"/>
              </w:rPr>
            </w:pPr>
            <w:r>
              <w:rPr>
                <w:rFonts w:ascii="Times New Roman" w:hAnsi="Times New Roman"/>
                <w:sz w:val="16"/>
              </w:rPr>
              <w:t>1 392,0</w:t>
            </w:r>
          </w:p>
        </w:tc>
        <w:tc>
          <w:tcPr>
            <w:tcW w:w="237" w:type="pct"/>
            <w:tcBorders>
              <w:top w:val="single" w:sz="4" w:space="0" w:color="auto"/>
            </w:tcBorders>
            <w:shd w:val="clear" w:color="auto" w:fill="D9D9D9" w:themeFill="background1" w:themeFillShade="D9"/>
          </w:tcPr>
          <w:p w14:paraId="48BC2B94" w14:textId="08A69940" w:rsidR="00C53BB1" w:rsidRPr="00D91B35" w:rsidRDefault="00C53BB1" w:rsidP="00387006">
            <w:pPr>
              <w:rPr>
                <w:rFonts w:ascii="Times New Roman" w:hAnsi="Times New Roman" w:cs="Times New Roman"/>
                <w:sz w:val="16"/>
                <w:szCs w:val="16"/>
              </w:rPr>
            </w:pPr>
          </w:p>
        </w:tc>
        <w:tc>
          <w:tcPr>
            <w:tcW w:w="237" w:type="pct"/>
            <w:tcBorders>
              <w:top w:val="single" w:sz="4" w:space="0" w:color="auto"/>
            </w:tcBorders>
            <w:shd w:val="clear" w:color="auto" w:fill="D9D9D9" w:themeFill="background1" w:themeFillShade="D9"/>
          </w:tcPr>
          <w:p w14:paraId="75E0BB0F" w14:textId="77777777" w:rsidR="00C53BB1" w:rsidRPr="00D91B35" w:rsidRDefault="00C53BB1" w:rsidP="00387006">
            <w:pPr>
              <w:rPr>
                <w:rFonts w:ascii="Times New Roman" w:hAnsi="Times New Roman" w:cs="Times New Roman"/>
                <w:sz w:val="16"/>
                <w:szCs w:val="16"/>
              </w:rPr>
            </w:pPr>
          </w:p>
        </w:tc>
      </w:tr>
      <w:tr w:rsidR="00077C40" w:rsidRPr="00D91B35" w14:paraId="3AE6DB50" w14:textId="77777777" w:rsidTr="008A656B">
        <w:tc>
          <w:tcPr>
            <w:tcW w:w="374" w:type="pct"/>
            <w:shd w:val="clear" w:color="auto" w:fill="D9D9D9" w:themeFill="background1" w:themeFillShade="D9"/>
          </w:tcPr>
          <w:p w14:paraId="2BF3B7CD" w14:textId="77777777" w:rsidR="00C53BB1" w:rsidRPr="00D91B35" w:rsidRDefault="00C53BB1" w:rsidP="00387006">
            <w:pPr>
              <w:rPr>
                <w:rFonts w:ascii="Times New Roman" w:hAnsi="Times New Roman" w:cs="Times New Roman"/>
                <w:b/>
                <w:bCs/>
                <w:sz w:val="16"/>
                <w:szCs w:val="16"/>
              </w:rPr>
            </w:pPr>
          </w:p>
        </w:tc>
        <w:tc>
          <w:tcPr>
            <w:tcW w:w="231" w:type="pct"/>
            <w:shd w:val="clear" w:color="auto" w:fill="D9D9D9" w:themeFill="background1" w:themeFillShade="D9"/>
          </w:tcPr>
          <w:p w14:paraId="3FDEFBDB" w14:textId="77777777" w:rsidR="00C53BB1" w:rsidRPr="00D91B35" w:rsidRDefault="00C53BB1" w:rsidP="00387006">
            <w:pPr>
              <w:rPr>
                <w:rFonts w:ascii="Times New Roman" w:hAnsi="Times New Roman" w:cs="Times New Roman"/>
                <w:b/>
                <w:bCs/>
                <w:sz w:val="16"/>
                <w:szCs w:val="16"/>
              </w:rPr>
            </w:pPr>
          </w:p>
        </w:tc>
        <w:tc>
          <w:tcPr>
            <w:tcW w:w="358" w:type="pct"/>
            <w:shd w:val="clear" w:color="auto" w:fill="D9D9D9" w:themeFill="background1" w:themeFillShade="D9"/>
          </w:tcPr>
          <w:p w14:paraId="6870C5DD" w14:textId="6F20AFD9" w:rsidR="00C53BB1" w:rsidRPr="00D91B35" w:rsidRDefault="00C53BB1" w:rsidP="00387006">
            <w:pPr>
              <w:rPr>
                <w:rFonts w:ascii="Times New Roman" w:hAnsi="Times New Roman" w:cs="Times New Roman"/>
                <w:b/>
                <w:bCs/>
                <w:sz w:val="16"/>
                <w:szCs w:val="16"/>
              </w:rPr>
            </w:pPr>
            <w:r>
              <w:rPr>
                <w:rFonts w:ascii="Times New Roman" w:hAnsi="Times New Roman"/>
                <w:b/>
                <w:sz w:val="16"/>
              </w:rPr>
              <w:t>Itālija</w:t>
            </w:r>
          </w:p>
        </w:tc>
        <w:tc>
          <w:tcPr>
            <w:tcW w:w="359" w:type="pct"/>
            <w:shd w:val="clear" w:color="auto" w:fill="D9D9D9" w:themeFill="background1" w:themeFillShade="D9"/>
          </w:tcPr>
          <w:p w14:paraId="4963B029" w14:textId="77FB1361" w:rsidR="00C53BB1" w:rsidRPr="00D91B35" w:rsidRDefault="00077C40" w:rsidP="00387006">
            <w:pPr>
              <w:rPr>
                <w:rFonts w:ascii="Times New Roman" w:hAnsi="Times New Roman" w:cs="Times New Roman"/>
                <w:sz w:val="16"/>
                <w:szCs w:val="16"/>
              </w:rPr>
            </w:pPr>
            <w:r>
              <w:rPr>
                <w:rFonts w:ascii="Times New Roman" w:hAnsi="Times New Roman"/>
                <w:sz w:val="16"/>
              </w:rPr>
              <w:t>(Sette et al., 2006)</w:t>
            </w:r>
          </w:p>
        </w:tc>
        <w:tc>
          <w:tcPr>
            <w:tcW w:w="839" w:type="pct"/>
            <w:shd w:val="clear" w:color="auto" w:fill="D9D9D9" w:themeFill="background1" w:themeFillShade="D9"/>
          </w:tcPr>
          <w:p w14:paraId="1069FEEC" w14:textId="09DC75CA" w:rsidR="00C53BB1" w:rsidRPr="00D91B35" w:rsidRDefault="00077C40" w:rsidP="00077C40">
            <w:pPr>
              <w:pStyle w:val="Default"/>
              <w:rPr>
                <w:sz w:val="16"/>
                <w:szCs w:val="16"/>
              </w:rPr>
            </w:pPr>
            <w:r>
              <w:rPr>
                <w:sz w:val="16"/>
              </w:rPr>
              <w:t>Secīgi 3 dienu uztura pieraksti</w:t>
            </w:r>
          </w:p>
        </w:tc>
        <w:tc>
          <w:tcPr>
            <w:tcW w:w="196" w:type="pct"/>
            <w:shd w:val="clear" w:color="auto" w:fill="D9D9D9" w:themeFill="background1" w:themeFillShade="D9"/>
          </w:tcPr>
          <w:p w14:paraId="4D655809" w14:textId="45542149" w:rsidR="00C53BB1" w:rsidRPr="00D91B35" w:rsidRDefault="002A5407" w:rsidP="00387006">
            <w:pPr>
              <w:rPr>
                <w:rFonts w:ascii="Times New Roman" w:hAnsi="Times New Roman" w:cs="Times New Roman"/>
                <w:sz w:val="16"/>
                <w:szCs w:val="16"/>
              </w:rPr>
            </w:pPr>
            <w:r>
              <w:rPr>
                <w:rFonts w:ascii="Times New Roman" w:hAnsi="Times New Roman"/>
                <w:sz w:val="16"/>
              </w:rPr>
              <w:t>52</w:t>
            </w:r>
          </w:p>
        </w:tc>
        <w:tc>
          <w:tcPr>
            <w:tcW w:w="122" w:type="pct"/>
            <w:shd w:val="clear" w:color="auto" w:fill="D9D9D9" w:themeFill="background1" w:themeFillShade="D9"/>
          </w:tcPr>
          <w:p w14:paraId="43EF22DE" w14:textId="77777777" w:rsidR="00C53BB1" w:rsidRPr="00D91B35" w:rsidRDefault="00C53BB1" w:rsidP="00387006">
            <w:pPr>
              <w:rPr>
                <w:rFonts w:ascii="Times New Roman" w:hAnsi="Times New Roman" w:cs="Times New Roman"/>
                <w:sz w:val="16"/>
                <w:szCs w:val="16"/>
              </w:rPr>
            </w:pPr>
          </w:p>
        </w:tc>
        <w:tc>
          <w:tcPr>
            <w:tcW w:w="183" w:type="pct"/>
            <w:shd w:val="clear" w:color="auto" w:fill="D9D9D9" w:themeFill="background1" w:themeFillShade="D9"/>
          </w:tcPr>
          <w:p w14:paraId="48197112" w14:textId="324AF092" w:rsidR="00C53BB1" w:rsidRPr="00D91B35" w:rsidRDefault="002A5407" w:rsidP="00387006">
            <w:pPr>
              <w:rPr>
                <w:rFonts w:ascii="Times New Roman" w:hAnsi="Times New Roman" w:cs="Times New Roman"/>
                <w:sz w:val="16"/>
                <w:szCs w:val="16"/>
              </w:rPr>
            </w:pPr>
            <w:r>
              <w:rPr>
                <w:rFonts w:ascii="Times New Roman" w:hAnsi="Times New Roman"/>
                <w:sz w:val="16"/>
              </w:rPr>
              <w:t>0</w:t>
            </w:r>
          </w:p>
        </w:tc>
        <w:tc>
          <w:tcPr>
            <w:tcW w:w="105" w:type="pct"/>
            <w:shd w:val="clear" w:color="auto" w:fill="D9D9D9" w:themeFill="background1" w:themeFillShade="D9"/>
          </w:tcPr>
          <w:p w14:paraId="131391E3" w14:textId="1616463A" w:rsidR="00C53BB1" w:rsidRPr="00D91B35" w:rsidRDefault="002A5407" w:rsidP="002A5407">
            <w:pPr>
              <w:pStyle w:val="Default"/>
              <w:rPr>
                <w:sz w:val="16"/>
                <w:szCs w:val="16"/>
              </w:rPr>
            </w:pPr>
            <w:r>
              <w:rPr>
                <w:sz w:val="16"/>
              </w:rPr>
              <w:t>&lt;</w:t>
            </w:r>
          </w:p>
        </w:tc>
        <w:tc>
          <w:tcPr>
            <w:tcW w:w="186" w:type="pct"/>
            <w:shd w:val="clear" w:color="auto" w:fill="D9D9D9" w:themeFill="background1" w:themeFillShade="D9"/>
          </w:tcPr>
          <w:p w14:paraId="70D07CD7" w14:textId="64C7D930" w:rsidR="00C53BB1" w:rsidRPr="00D91B35" w:rsidRDefault="002A5407" w:rsidP="00387006">
            <w:pPr>
              <w:rPr>
                <w:rFonts w:ascii="Times New Roman" w:hAnsi="Times New Roman" w:cs="Times New Roman"/>
                <w:sz w:val="16"/>
                <w:szCs w:val="16"/>
              </w:rPr>
            </w:pPr>
            <w:r>
              <w:rPr>
                <w:rFonts w:ascii="Times New Roman" w:hAnsi="Times New Roman"/>
                <w:sz w:val="16"/>
              </w:rPr>
              <w:t>3</w:t>
            </w:r>
          </w:p>
        </w:tc>
        <w:tc>
          <w:tcPr>
            <w:tcW w:w="609" w:type="pct"/>
            <w:shd w:val="clear" w:color="auto" w:fill="D9D9D9" w:themeFill="background1" w:themeFillShade="D9"/>
          </w:tcPr>
          <w:p w14:paraId="095239F9" w14:textId="46DF7178" w:rsidR="00C53BB1" w:rsidRPr="00D91B35" w:rsidRDefault="002A5407" w:rsidP="002A5407">
            <w:pPr>
              <w:pStyle w:val="Default"/>
              <w:rPr>
                <w:sz w:val="16"/>
                <w:szCs w:val="16"/>
              </w:rPr>
            </w:pPr>
            <w:r>
              <w:rPr>
                <w:sz w:val="16"/>
              </w:rPr>
              <w:t>Ieskaitot bagātinātu pārtiku</w:t>
            </w:r>
          </w:p>
        </w:tc>
        <w:tc>
          <w:tcPr>
            <w:tcW w:w="237" w:type="pct"/>
            <w:shd w:val="clear" w:color="auto" w:fill="D9D9D9" w:themeFill="background1" w:themeFillShade="D9"/>
          </w:tcPr>
          <w:p w14:paraId="3286AE4B" w14:textId="04176D0A" w:rsidR="00C53BB1" w:rsidRPr="00D91B35" w:rsidRDefault="002A5407" w:rsidP="00387006">
            <w:pPr>
              <w:rPr>
                <w:rFonts w:ascii="Times New Roman" w:hAnsi="Times New Roman" w:cs="Times New Roman"/>
                <w:sz w:val="16"/>
                <w:szCs w:val="16"/>
              </w:rPr>
            </w:pPr>
            <w:r>
              <w:rPr>
                <w:rFonts w:ascii="Times New Roman" w:hAnsi="Times New Roman"/>
                <w:sz w:val="16"/>
              </w:rPr>
              <w:t>664,0</w:t>
            </w:r>
          </w:p>
        </w:tc>
        <w:tc>
          <w:tcPr>
            <w:tcW w:w="251" w:type="pct"/>
            <w:shd w:val="clear" w:color="auto" w:fill="D9D9D9" w:themeFill="background1" w:themeFillShade="D9"/>
          </w:tcPr>
          <w:p w14:paraId="73D94CDC" w14:textId="77777777" w:rsidR="00C53BB1" w:rsidRPr="00D91B35" w:rsidRDefault="00C53BB1" w:rsidP="00387006">
            <w:pPr>
              <w:rPr>
                <w:rFonts w:ascii="Times New Roman" w:hAnsi="Times New Roman" w:cs="Times New Roman"/>
                <w:sz w:val="16"/>
                <w:szCs w:val="16"/>
              </w:rPr>
            </w:pPr>
          </w:p>
        </w:tc>
        <w:tc>
          <w:tcPr>
            <w:tcW w:w="237" w:type="pct"/>
            <w:shd w:val="clear" w:color="auto" w:fill="D9D9D9" w:themeFill="background1" w:themeFillShade="D9"/>
          </w:tcPr>
          <w:p w14:paraId="7266770D" w14:textId="77777777" w:rsidR="00C53BB1" w:rsidRPr="00D91B35" w:rsidRDefault="00C53BB1" w:rsidP="00387006">
            <w:pPr>
              <w:rPr>
                <w:rFonts w:ascii="Times New Roman" w:hAnsi="Times New Roman" w:cs="Times New Roman"/>
                <w:sz w:val="16"/>
                <w:szCs w:val="16"/>
              </w:rPr>
            </w:pPr>
          </w:p>
        </w:tc>
        <w:tc>
          <w:tcPr>
            <w:tcW w:w="237" w:type="pct"/>
            <w:shd w:val="clear" w:color="auto" w:fill="D9D9D9" w:themeFill="background1" w:themeFillShade="D9"/>
          </w:tcPr>
          <w:p w14:paraId="562FBC59" w14:textId="77777777" w:rsidR="00C53BB1" w:rsidRPr="00D91B35" w:rsidRDefault="00C53BB1" w:rsidP="00387006">
            <w:pPr>
              <w:rPr>
                <w:rFonts w:ascii="Times New Roman" w:hAnsi="Times New Roman" w:cs="Times New Roman"/>
                <w:sz w:val="16"/>
                <w:szCs w:val="16"/>
              </w:rPr>
            </w:pPr>
          </w:p>
        </w:tc>
        <w:tc>
          <w:tcPr>
            <w:tcW w:w="237" w:type="pct"/>
            <w:shd w:val="clear" w:color="auto" w:fill="D9D9D9" w:themeFill="background1" w:themeFillShade="D9"/>
          </w:tcPr>
          <w:p w14:paraId="5FF2138C" w14:textId="3105D4DD" w:rsidR="00C53BB1" w:rsidRPr="00D91B35" w:rsidRDefault="002A5407" w:rsidP="00387006">
            <w:pPr>
              <w:rPr>
                <w:rFonts w:ascii="Times New Roman" w:hAnsi="Times New Roman" w:cs="Times New Roman"/>
                <w:sz w:val="16"/>
                <w:szCs w:val="16"/>
              </w:rPr>
            </w:pPr>
            <w:r>
              <w:rPr>
                <w:rFonts w:ascii="Times New Roman" w:hAnsi="Times New Roman"/>
                <w:sz w:val="16"/>
              </w:rPr>
              <w:t>1 070,0</w:t>
            </w:r>
          </w:p>
        </w:tc>
        <w:tc>
          <w:tcPr>
            <w:tcW w:w="237" w:type="pct"/>
            <w:shd w:val="clear" w:color="auto" w:fill="D9D9D9" w:themeFill="background1" w:themeFillShade="D9"/>
          </w:tcPr>
          <w:p w14:paraId="64E4DC5D" w14:textId="77777777" w:rsidR="00C53BB1" w:rsidRPr="00D91B35" w:rsidRDefault="00C53BB1" w:rsidP="00387006">
            <w:pPr>
              <w:rPr>
                <w:rFonts w:ascii="Times New Roman" w:hAnsi="Times New Roman" w:cs="Times New Roman"/>
                <w:sz w:val="16"/>
                <w:szCs w:val="16"/>
              </w:rPr>
            </w:pPr>
          </w:p>
        </w:tc>
      </w:tr>
      <w:tr w:rsidR="00077C40" w:rsidRPr="00D91B35" w14:paraId="6607F3CE" w14:textId="77777777" w:rsidTr="008A656B">
        <w:tc>
          <w:tcPr>
            <w:tcW w:w="374" w:type="pct"/>
            <w:shd w:val="clear" w:color="auto" w:fill="D9D9D9" w:themeFill="background1" w:themeFillShade="D9"/>
          </w:tcPr>
          <w:p w14:paraId="45786BBF" w14:textId="77777777" w:rsidR="00C53BB1" w:rsidRPr="00D91B35" w:rsidRDefault="00C53BB1" w:rsidP="00387006">
            <w:pPr>
              <w:rPr>
                <w:rFonts w:ascii="Times New Roman" w:hAnsi="Times New Roman" w:cs="Times New Roman"/>
                <w:sz w:val="16"/>
                <w:szCs w:val="16"/>
              </w:rPr>
            </w:pPr>
          </w:p>
        </w:tc>
        <w:tc>
          <w:tcPr>
            <w:tcW w:w="231" w:type="pct"/>
            <w:shd w:val="clear" w:color="auto" w:fill="D9D9D9" w:themeFill="background1" w:themeFillShade="D9"/>
          </w:tcPr>
          <w:p w14:paraId="37CA5681" w14:textId="77777777" w:rsidR="00C53BB1" w:rsidRPr="00D91B35" w:rsidRDefault="00C53BB1" w:rsidP="00387006">
            <w:pPr>
              <w:rPr>
                <w:rFonts w:ascii="Times New Roman" w:hAnsi="Times New Roman" w:cs="Times New Roman"/>
                <w:sz w:val="16"/>
                <w:szCs w:val="16"/>
              </w:rPr>
            </w:pPr>
          </w:p>
        </w:tc>
        <w:tc>
          <w:tcPr>
            <w:tcW w:w="358" w:type="pct"/>
            <w:shd w:val="clear" w:color="auto" w:fill="D9D9D9" w:themeFill="background1" w:themeFillShade="D9"/>
          </w:tcPr>
          <w:p w14:paraId="68655DB7" w14:textId="7AD980F4" w:rsidR="00C53BB1" w:rsidRPr="00D91B35" w:rsidRDefault="00077C40" w:rsidP="00387006">
            <w:pPr>
              <w:rPr>
                <w:rFonts w:ascii="Times New Roman" w:hAnsi="Times New Roman" w:cs="Times New Roman"/>
                <w:b/>
                <w:bCs/>
                <w:sz w:val="16"/>
                <w:szCs w:val="16"/>
              </w:rPr>
            </w:pPr>
            <w:r>
              <w:rPr>
                <w:rFonts w:ascii="Times New Roman" w:hAnsi="Times New Roman"/>
                <w:b/>
                <w:sz w:val="16"/>
              </w:rPr>
              <w:t>Nīderlande</w:t>
            </w:r>
          </w:p>
        </w:tc>
        <w:tc>
          <w:tcPr>
            <w:tcW w:w="359" w:type="pct"/>
            <w:shd w:val="clear" w:color="auto" w:fill="D9D9D9" w:themeFill="background1" w:themeFillShade="D9"/>
          </w:tcPr>
          <w:p w14:paraId="13C920EE" w14:textId="6DEF7092" w:rsidR="00C53BB1" w:rsidRPr="00D91B35" w:rsidRDefault="00077C40" w:rsidP="00387006">
            <w:pPr>
              <w:pStyle w:val="Default"/>
              <w:rPr>
                <w:sz w:val="16"/>
                <w:szCs w:val="16"/>
              </w:rPr>
            </w:pPr>
            <w:r>
              <w:rPr>
                <w:sz w:val="16"/>
              </w:rPr>
              <w:t>(de Boer et al., 2006)</w:t>
            </w:r>
          </w:p>
        </w:tc>
        <w:tc>
          <w:tcPr>
            <w:tcW w:w="839" w:type="pct"/>
            <w:shd w:val="clear" w:color="auto" w:fill="D9D9D9" w:themeFill="background1" w:themeFillShade="D9"/>
          </w:tcPr>
          <w:p w14:paraId="26011012" w14:textId="252948F5" w:rsidR="00C53BB1" w:rsidRPr="00D91B35" w:rsidRDefault="00077C40" w:rsidP="00387006">
            <w:pPr>
              <w:pStyle w:val="Default"/>
              <w:rPr>
                <w:sz w:val="16"/>
                <w:szCs w:val="16"/>
              </w:rPr>
            </w:pPr>
            <w:r>
              <w:rPr>
                <w:sz w:val="16"/>
              </w:rPr>
              <w:t>2 dienu uztura pieraksts (par divām savstarpēji nesaistītām dienām)</w:t>
            </w:r>
          </w:p>
        </w:tc>
        <w:tc>
          <w:tcPr>
            <w:tcW w:w="196" w:type="pct"/>
            <w:shd w:val="clear" w:color="auto" w:fill="D9D9D9" w:themeFill="background1" w:themeFillShade="D9"/>
          </w:tcPr>
          <w:p w14:paraId="11D25291" w14:textId="772DCC5F" w:rsidR="00C53BB1" w:rsidRPr="00D91B35" w:rsidRDefault="002A5407" w:rsidP="00387006">
            <w:pPr>
              <w:rPr>
                <w:rFonts w:ascii="Times New Roman" w:hAnsi="Times New Roman" w:cs="Times New Roman"/>
                <w:sz w:val="16"/>
                <w:szCs w:val="16"/>
              </w:rPr>
            </w:pPr>
            <w:r>
              <w:rPr>
                <w:rFonts w:ascii="Times New Roman" w:hAnsi="Times New Roman"/>
                <w:sz w:val="16"/>
              </w:rPr>
              <w:t>302</w:t>
            </w:r>
          </w:p>
        </w:tc>
        <w:tc>
          <w:tcPr>
            <w:tcW w:w="122" w:type="pct"/>
            <w:shd w:val="clear" w:color="auto" w:fill="D9D9D9" w:themeFill="background1" w:themeFillShade="D9"/>
          </w:tcPr>
          <w:p w14:paraId="4CB637DA" w14:textId="77777777" w:rsidR="00C53BB1" w:rsidRPr="00D91B35" w:rsidRDefault="00C53BB1" w:rsidP="00387006">
            <w:pPr>
              <w:rPr>
                <w:rFonts w:ascii="Times New Roman" w:hAnsi="Times New Roman" w:cs="Times New Roman"/>
                <w:sz w:val="16"/>
                <w:szCs w:val="16"/>
              </w:rPr>
            </w:pPr>
          </w:p>
        </w:tc>
        <w:tc>
          <w:tcPr>
            <w:tcW w:w="183" w:type="pct"/>
            <w:shd w:val="clear" w:color="auto" w:fill="D9D9D9" w:themeFill="background1" w:themeFillShade="D9"/>
          </w:tcPr>
          <w:p w14:paraId="0589825C" w14:textId="62EF9AD2" w:rsidR="00C53BB1" w:rsidRPr="00D91B35" w:rsidRDefault="002A5407" w:rsidP="00387006">
            <w:pPr>
              <w:rPr>
                <w:rFonts w:ascii="Times New Roman" w:hAnsi="Times New Roman" w:cs="Times New Roman"/>
                <w:sz w:val="16"/>
                <w:szCs w:val="16"/>
              </w:rPr>
            </w:pPr>
            <w:r>
              <w:rPr>
                <w:rFonts w:ascii="Times New Roman" w:hAnsi="Times New Roman"/>
                <w:sz w:val="16"/>
              </w:rPr>
              <w:t>1,5</w:t>
            </w:r>
          </w:p>
        </w:tc>
        <w:tc>
          <w:tcPr>
            <w:tcW w:w="105" w:type="pct"/>
            <w:shd w:val="clear" w:color="auto" w:fill="D9D9D9" w:themeFill="background1" w:themeFillShade="D9"/>
          </w:tcPr>
          <w:p w14:paraId="075AC6F0" w14:textId="77777777" w:rsidR="00C53BB1" w:rsidRPr="00D91B35" w:rsidRDefault="00C53BB1" w:rsidP="00387006">
            <w:pPr>
              <w:rPr>
                <w:rFonts w:ascii="Times New Roman" w:hAnsi="Times New Roman" w:cs="Times New Roman"/>
                <w:sz w:val="16"/>
                <w:szCs w:val="16"/>
              </w:rPr>
            </w:pPr>
          </w:p>
        </w:tc>
        <w:tc>
          <w:tcPr>
            <w:tcW w:w="186" w:type="pct"/>
            <w:shd w:val="clear" w:color="auto" w:fill="D9D9D9" w:themeFill="background1" w:themeFillShade="D9"/>
          </w:tcPr>
          <w:p w14:paraId="408E8B8D" w14:textId="11D2C9B4" w:rsidR="00C53BB1" w:rsidRPr="00D91B35" w:rsidRDefault="002A5407" w:rsidP="00387006">
            <w:pPr>
              <w:rPr>
                <w:rFonts w:ascii="Times New Roman" w:hAnsi="Times New Roman" w:cs="Times New Roman"/>
                <w:sz w:val="16"/>
                <w:szCs w:val="16"/>
              </w:rPr>
            </w:pPr>
            <w:r>
              <w:rPr>
                <w:rFonts w:ascii="Times New Roman" w:hAnsi="Times New Roman"/>
                <w:sz w:val="16"/>
              </w:rPr>
              <w:t>1,5</w:t>
            </w:r>
          </w:p>
        </w:tc>
        <w:tc>
          <w:tcPr>
            <w:tcW w:w="609" w:type="pct"/>
            <w:shd w:val="clear" w:color="auto" w:fill="D9D9D9" w:themeFill="background1" w:themeFillShade="D9"/>
            <w:vAlign w:val="center"/>
          </w:tcPr>
          <w:p w14:paraId="378C7A10" w14:textId="158AE181" w:rsidR="00C53BB1" w:rsidRPr="00D91B35" w:rsidRDefault="002A5407" w:rsidP="002A5407">
            <w:pPr>
              <w:pStyle w:val="Default"/>
              <w:rPr>
                <w:sz w:val="16"/>
                <w:szCs w:val="16"/>
              </w:rPr>
            </w:pPr>
            <w:r>
              <w:rPr>
                <w:sz w:val="16"/>
              </w:rPr>
              <w:t>Ieskaitot bagātinātu pārtiku</w:t>
            </w:r>
          </w:p>
        </w:tc>
        <w:tc>
          <w:tcPr>
            <w:tcW w:w="237" w:type="pct"/>
            <w:shd w:val="clear" w:color="auto" w:fill="D9D9D9" w:themeFill="background1" w:themeFillShade="D9"/>
          </w:tcPr>
          <w:p w14:paraId="2333897D" w14:textId="60F0D119" w:rsidR="00C53BB1" w:rsidRPr="00D91B35" w:rsidRDefault="002A5407" w:rsidP="00387006">
            <w:pPr>
              <w:rPr>
                <w:rFonts w:ascii="Times New Roman" w:hAnsi="Times New Roman" w:cs="Times New Roman"/>
                <w:sz w:val="16"/>
                <w:szCs w:val="16"/>
              </w:rPr>
            </w:pPr>
            <w:r>
              <w:rPr>
                <w:rFonts w:ascii="Times New Roman" w:hAnsi="Times New Roman"/>
                <w:sz w:val="16"/>
              </w:rPr>
              <w:t>866,0</w:t>
            </w:r>
          </w:p>
        </w:tc>
        <w:tc>
          <w:tcPr>
            <w:tcW w:w="251" w:type="pct"/>
            <w:shd w:val="clear" w:color="auto" w:fill="D9D9D9" w:themeFill="background1" w:themeFillShade="D9"/>
          </w:tcPr>
          <w:p w14:paraId="0B2E3371" w14:textId="77777777" w:rsidR="00C53BB1" w:rsidRPr="00D91B35" w:rsidRDefault="00C53BB1" w:rsidP="00387006">
            <w:pPr>
              <w:rPr>
                <w:rFonts w:ascii="Times New Roman" w:hAnsi="Times New Roman" w:cs="Times New Roman"/>
                <w:sz w:val="16"/>
                <w:szCs w:val="16"/>
              </w:rPr>
            </w:pPr>
          </w:p>
        </w:tc>
        <w:tc>
          <w:tcPr>
            <w:tcW w:w="237" w:type="pct"/>
            <w:shd w:val="clear" w:color="auto" w:fill="D9D9D9" w:themeFill="background1" w:themeFillShade="D9"/>
          </w:tcPr>
          <w:p w14:paraId="06781DEB" w14:textId="77777777" w:rsidR="00C53BB1" w:rsidRPr="00D91B35" w:rsidRDefault="00C53BB1" w:rsidP="00387006">
            <w:pPr>
              <w:rPr>
                <w:rFonts w:ascii="Times New Roman" w:hAnsi="Times New Roman" w:cs="Times New Roman"/>
                <w:sz w:val="16"/>
                <w:szCs w:val="16"/>
              </w:rPr>
            </w:pPr>
          </w:p>
        </w:tc>
        <w:tc>
          <w:tcPr>
            <w:tcW w:w="237" w:type="pct"/>
            <w:shd w:val="clear" w:color="auto" w:fill="D9D9D9" w:themeFill="background1" w:themeFillShade="D9"/>
          </w:tcPr>
          <w:p w14:paraId="0422D3FB" w14:textId="3E5E685A" w:rsidR="00C53BB1" w:rsidRPr="00D91B35" w:rsidRDefault="002A5407" w:rsidP="00387006">
            <w:pPr>
              <w:rPr>
                <w:rFonts w:ascii="Times New Roman" w:hAnsi="Times New Roman" w:cs="Times New Roman"/>
                <w:sz w:val="16"/>
                <w:szCs w:val="16"/>
              </w:rPr>
            </w:pPr>
            <w:r>
              <w:rPr>
                <w:rFonts w:ascii="Times New Roman" w:hAnsi="Times New Roman"/>
                <w:sz w:val="16"/>
              </w:rPr>
              <w:t>1 082,0</w:t>
            </w:r>
          </w:p>
        </w:tc>
        <w:tc>
          <w:tcPr>
            <w:tcW w:w="237" w:type="pct"/>
            <w:shd w:val="clear" w:color="auto" w:fill="D9D9D9" w:themeFill="background1" w:themeFillShade="D9"/>
          </w:tcPr>
          <w:p w14:paraId="492065C3" w14:textId="00597D26" w:rsidR="00C53BB1" w:rsidRPr="00D91B35" w:rsidRDefault="00C53BB1" w:rsidP="00387006">
            <w:pPr>
              <w:rPr>
                <w:rFonts w:ascii="Times New Roman" w:hAnsi="Times New Roman" w:cs="Times New Roman"/>
                <w:sz w:val="16"/>
                <w:szCs w:val="16"/>
              </w:rPr>
            </w:pPr>
          </w:p>
        </w:tc>
        <w:tc>
          <w:tcPr>
            <w:tcW w:w="237" w:type="pct"/>
            <w:shd w:val="clear" w:color="auto" w:fill="D9D9D9" w:themeFill="background1" w:themeFillShade="D9"/>
          </w:tcPr>
          <w:p w14:paraId="7AECB5D0" w14:textId="77777777" w:rsidR="00C53BB1" w:rsidRPr="00D91B35" w:rsidRDefault="00C53BB1" w:rsidP="00387006">
            <w:pPr>
              <w:rPr>
                <w:rFonts w:ascii="Times New Roman" w:hAnsi="Times New Roman" w:cs="Times New Roman"/>
                <w:sz w:val="16"/>
                <w:szCs w:val="16"/>
              </w:rPr>
            </w:pPr>
          </w:p>
        </w:tc>
      </w:tr>
      <w:tr w:rsidR="00077C40" w:rsidRPr="00D91B35" w14:paraId="47540A25" w14:textId="77777777" w:rsidTr="008A656B">
        <w:tc>
          <w:tcPr>
            <w:tcW w:w="374" w:type="pct"/>
            <w:tcBorders>
              <w:bottom w:val="single" w:sz="4" w:space="0" w:color="auto"/>
            </w:tcBorders>
            <w:shd w:val="clear" w:color="auto" w:fill="D9D9D9" w:themeFill="background1" w:themeFillShade="D9"/>
          </w:tcPr>
          <w:p w14:paraId="5A2120CB" w14:textId="77777777" w:rsidR="00C53BB1" w:rsidRPr="00D91B35" w:rsidRDefault="00C53BB1" w:rsidP="00387006">
            <w:pPr>
              <w:rPr>
                <w:rFonts w:ascii="Times New Roman" w:hAnsi="Times New Roman" w:cs="Times New Roman"/>
                <w:sz w:val="16"/>
                <w:szCs w:val="16"/>
              </w:rPr>
            </w:pPr>
          </w:p>
        </w:tc>
        <w:tc>
          <w:tcPr>
            <w:tcW w:w="231" w:type="pct"/>
            <w:tcBorders>
              <w:bottom w:val="single" w:sz="4" w:space="0" w:color="auto"/>
            </w:tcBorders>
            <w:shd w:val="clear" w:color="auto" w:fill="D9D9D9" w:themeFill="background1" w:themeFillShade="D9"/>
          </w:tcPr>
          <w:p w14:paraId="43F3E85C" w14:textId="77777777" w:rsidR="00C53BB1" w:rsidRPr="00D91B35" w:rsidRDefault="00C53BB1" w:rsidP="00387006">
            <w:pPr>
              <w:rPr>
                <w:rFonts w:ascii="Times New Roman" w:hAnsi="Times New Roman" w:cs="Times New Roman"/>
                <w:sz w:val="16"/>
                <w:szCs w:val="16"/>
              </w:rPr>
            </w:pPr>
          </w:p>
        </w:tc>
        <w:tc>
          <w:tcPr>
            <w:tcW w:w="358" w:type="pct"/>
            <w:tcBorders>
              <w:bottom w:val="single" w:sz="4" w:space="0" w:color="auto"/>
            </w:tcBorders>
            <w:shd w:val="clear" w:color="auto" w:fill="D9D9D9" w:themeFill="background1" w:themeFillShade="D9"/>
          </w:tcPr>
          <w:p w14:paraId="7F25D860" w14:textId="5A6F7853" w:rsidR="00C53BB1" w:rsidRPr="00D91B35" w:rsidRDefault="00077C40" w:rsidP="00387006">
            <w:pPr>
              <w:rPr>
                <w:rFonts w:ascii="Times New Roman" w:hAnsi="Times New Roman" w:cs="Times New Roman"/>
                <w:b/>
                <w:bCs/>
                <w:sz w:val="16"/>
                <w:szCs w:val="16"/>
              </w:rPr>
            </w:pPr>
            <w:r>
              <w:rPr>
                <w:rFonts w:ascii="Times New Roman" w:hAnsi="Times New Roman"/>
                <w:b/>
                <w:sz w:val="16"/>
              </w:rPr>
              <w:t>Apvienotā Karaliste</w:t>
            </w:r>
          </w:p>
        </w:tc>
        <w:tc>
          <w:tcPr>
            <w:tcW w:w="359" w:type="pct"/>
            <w:tcBorders>
              <w:bottom w:val="single" w:sz="4" w:space="0" w:color="auto"/>
            </w:tcBorders>
            <w:shd w:val="clear" w:color="auto" w:fill="D9D9D9" w:themeFill="background1" w:themeFillShade="D9"/>
          </w:tcPr>
          <w:p w14:paraId="69EADB99" w14:textId="732586FE" w:rsidR="00C53BB1" w:rsidRPr="00D91B35" w:rsidRDefault="00077C40" w:rsidP="00077C40">
            <w:pPr>
              <w:pStyle w:val="Default"/>
              <w:rPr>
                <w:sz w:val="16"/>
                <w:szCs w:val="16"/>
              </w:rPr>
            </w:pPr>
            <w:r>
              <w:rPr>
                <w:sz w:val="16"/>
              </w:rPr>
              <w:t>(Bates et al., 2011)</w:t>
            </w:r>
          </w:p>
        </w:tc>
        <w:tc>
          <w:tcPr>
            <w:tcW w:w="839" w:type="pct"/>
            <w:tcBorders>
              <w:bottom w:val="single" w:sz="4" w:space="0" w:color="auto"/>
            </w:tcBorders>
            <w:shd w:val="clear" w:color="auto" w:fill="D9D9D9" w:themeFill="background1" w:themeFillShade="D9"/>
          </w:tcPr>
          <w:p w14:paraId="71F77F2E" w14:textId="40D00D5C" w:rsidR="00C53BB1" w:rsidRPr="00D91B35" w:rsidRDefault="00077C40" w:rsidP="00387006">
            <w:pPr>
              <w:rPr>
                <w:rFonts w:ascii="Times New Roman" w:hAnsi="Times New Roman" w:cs="Times New Roman"/>
                <w:sz w:val="16"/>
                <w:szCs w:val="16"/>
              </w:rPr>
            </w:pPr>
            <w:r>
              <w:rPr>
                <w:rFonts w:ascii="Times New Roman" w:hAnsi="Times New Roman"/>
                <w:sz w:val="16"/>
              </w:rPr>
              <w:t>4 dienu uztura dienasgrāmata</w:t>
            </w:r>
          </w:p>
        </w:tc>
        <w:tc>
          <w:tcPr>
            <w:tcW w:w="196" w:type="pct"/>
            <w:tcBorders>
              <w:bottom w:val="single" w:sz="4" w:space="0" w:color="auto"/>
            </w:tcBorders>
            <w:shd w:val="clear" w:color="auto" w:fill="D9D9D9" w:themeFill="background1" w:themeFillShade="D9"/>
          </w:tcPr>
          <w:p w14:paraId="3ED6F88E" w14:textId="54CF2D16" w:rsidR="00C53BB1" w:rsidRPr="00D91B35" w:rsidRDefault="002A5407" w:rsidP="00387006">
            <w:pPr>
              <w:rPr>
                <w:rFonts w:ascii="Times New Roman" w:hAnsi="Times New Roman" w:cs="Times New Roman"/>
                <w:sz w:val="16"/>
                <w:szCs w:val="16"/>
              </w:rPr>
            </w:pPr>
            <w:r>
              <w:rPr>
                <w:rFonts w:ascii="Times New Roman" w:hAnsi="Times New Roman"/>
                <w:sz w:val="16"/>
              </w:rPr>
              <w:t>219</w:t>
            </w:r>
          </w:p>
        </w:tc>
        <w:tc>
          <w:tcPr>
            <w:tcW w:w="122" w:type="pct"/>
            <w:tcBorders>
              <w:bottom w:val="single" w:sz="4" w:space="0" w:color="auto"/>
            </w:tcBorders>
            <w:shd w:val="clear" w:color="auto" w:fill="D9D9D9" w:themeFill="background1" w:themeFillShade="D9"/>
          </w:tcPr>
          <w:p w14:paraId="580A2857" w14:textId="77777777" w:rsidR="00C53BB1" w:rsidRPr="00D91B35" w:rsidRDefault="00C53BB1" w:rsidP="00387006">
            <w:pPr>
              <w:rPr>
                <w:rFonts w:ascii="Times New Roman" w:hAnsi="Times New Roman" w:cs="Times New Roman"/>
                <w:sz w:val="16"/>
                <w:szCs w:val="16"/>
              </w:rPr>
            </w:pPr>
          </w:p>
        </w:tc>
        <w:tc>
          <w:tcPr>
            <w:tcW w:w="183" w:type="pct"/>
            <w:tcBorders>
              <w:bottom w:val="single" w:sz="4" w:space="0" w:color="auto"/>
            </w:tcBorders>
            <w:shd w:val="clear" w:color="auto" w:fill="D9D9D9" w:themeFill="background1" w:themeFillShade="D9"/>
          </w:tcPr>
          <w:p w14:paraId="18BA79C2" w14:textId="3CBE8F44" w:rsidR="00C53BB1" w:rsidRPr="00D91B35" w:rsidRDefault="002A5407" w:rsidP="00387006">
            <w:pPr>
              <w:rPr>
                <w:rFonts w:ascii="Times New Roman" w:hAnsi="Times New Roman" w:cs="Times New Roman"/>
                <w:sz w:val="16"/>
                <w:szCs w:val="16"/>
              </w:rPr>
            </w:pPr>
            <w:r>
              <w:rPr>
                <w:rFonts w:ascii="Times New Roman" w:hAnsi="Times New Roman"/>
                <w:sz w:val="16"/>
              </w:rPr>
              <w:t>1,5</w:t>
            </w:r>
          </w:p>
        </w:tc>
        <w:tc>
          <w:tcPr>
            <w:tcW w:w="105" w:type="pct"/>
            <w:tcBorders>
              <w:bottom w:val="single" w:sz="4" w:space="0" w:color="auto"/>
            </w:tcBorders>
            <w:shd w:val="clear" w:color="auto" w:fill="D9D9D9" w:themeFill="background1" w:themeFillShade="D9"/>
          </w:tcPr>
          <w:p w14:paraId="44DDCD62" w14:textId="77777777" w:rsidR="00C53BB1" w:rsidRPr="00D91B35" w:rsidRDefault="00C53BB1" w:rsidP="00387006">
            <w:pPr>
              <w:rPr>
                <w:rFonts w:ascii="Times New Roman" w:hAnsi="Times New Roman" w:cs="Times New Roman"/>
                <w:sz w:val="16"/>
                <w:szCs w:val="16"/>
              </w:rPr>
            </w:pPr>
          </w:p>
        </w:tc>
        <w:tc>
          <w:tcPr>
            <w:tcW w:w="186" w:type="pct"/>
            <w:tcBorders>
              <w:bottom w:val="single" w:sz="4" w:space="0" w:color="auto"/>
            </w:tcBorders>
            <w:shd w:val="clear" w:color="auto" w:fill="D9D9D9" w:themeFill="background1" w:themeFillShade="D9"/>
          </w:tcPr>
          <w:p w14:paraId="0C1D1480" w14:textId="5E90AA26" w:rsidR="00C53BB1" w:rsidRPr="00D91B35" w:rsidRDefault="002A5407" w:rsidP="00387006">
            <w:pPr>
              <w:rPr>
                <w:rFonts w:ascii="Times New Roman" w:hAnsi="Times New Roman" w:cs="Times New Roman"/>
                <w:sz w:val="16"/>
                <w:szCs w:val="16"/>
              </w:rPr>
            </w:pPr>
            <w:r>
              <w:rPr>
                <w:rFonts w:ascii="Times New Roman" w:hAnsi="Times New Roman"/>
                <w:sz w:val="16"/>
              </w:rPr>
              <w:t>3</w:t>
            </w:r>
          </w:p>
        </w:tc>
        <w:tc>
          <w:tcPr>
            <w:tcW w:w="609" w:type="pct"/>
            <w:tcBorders>
              <w:bottom w:val="single" w:sz="4" w:space="0" w:color="auto"/>
            </w:tcBorders>
            <w:shd w:val="clear" w:color="auto" w:fill="D9D9D9" w:themeFill="background1" w:themeFillShade="D9"/>
            <w:vAlign w:val="center"/>
          </w:tcPr>
          <w:p w14:paraId="52A83B8E" w14:textId="77777777" w:rsidR="00C53BB1" w:rsidRPr="00D91B35" w:rsidRDefault="00C53BB1" w:rsidP="00387006">
            <w:pPr>
              <w:rPr>
                <w:rFonts w:ascii="Times New Roman" w:hAnsi="Times New Roman" w:cs="Times New Roman"/>
                <w:sz w:val="16"/>
                <w:szCs w:val="16"/>
              </w:rPr>
            </w:pPr>
          </w:p>
        </w:tc>
        <w:tc>
          <w:tcPr>
            <w:tcW w:w="237" w:type="pct"/>
            <w:tcBorders>
              <w:bottom w:val="single" w:sz="4" w:space="0" w:color="auto"/>
            </w:tcBorders>
            <w:shd w:val="clear" w:color="auto" w:fill="D9D9D9" w:themeFill="background1" w:themeFillShade="D9"/>
          </w:tcPr>
          <w:p w14:paraId="1B019440" w14:textId="416CCF43" w:rsidR="00C53BB1" w:rsidRPr="00D91B35" w:rsidRDefault="002A5407" w:rsidP="00387006">
            <w:pPr>
              <w:rPr>
                <w:rFonts w:ascii="Times New Roman" w:hAnsi="Times New Roman" w:cs="Times New Roman"/>
                <w:sz w:val="16"/>
                <w:szCs w:val="16"/>
              </w:rPr>
            </w:pPr>
            <w:r>
              <w:rPr>
                <w:rFonts w:ascii="Times New Roman" w:hAnsi="Times New Roman"/>
                <w:sz w:val="16"/>
              </w:rPr>
              <w:t>773,0</w:t>
            </w:r>
          </w:p>
        </w:tc>
        <w:tc>
          <w:tcPr>
            <w:tcW w:w="251" w:type="pct"/>
            <w:tcBorders>
              <w:bottom w:val="single" w:sz="4" w:space="0" w:color="auto"/>
            </w:tcBorders>
            <w:shd w:val="clear" w:color="auto" w:fill="D9D9D9" w:themeFill="background1" w:themeFillShade="D9"/>
          </w:tcPr>
          <w:p w14:paraId="26A110AD" w14:textId="77777777" w:rsidR="00C53BB1" w:rsidRPr="00D91B35" w:rsidRDefault="00C53BB1" w:rsidP="00387006">
            <w:pPr>
              <w:rPr>
                <w:rFonts w:ascii="Times New Roman" w:hAnsi="Times New Roman" w:cs="Times New Roman"/>
                <w:sz w:val="16"/>
                <w:szCs w:val="16"/>
              </w:rPr>
            </w:pPr>
          </w:p>
        </w:tc>
        <w:tc>
          <w:tcPr>
            <w:tcW w:w="237" w:type="pct"/>
            <w:tcBorders>
              <w:bottom w:val="single" w:sz="4" w:space="0" w:color="auto"/>
            </w:tcBorders>
            <w:shd w:val="clear" w:color="auto" w:fill="D9D9D9" w:themeFill="background1" w:themeFillShade="D9"/>
          </w:tcPr>
          <w:p w14:paraId="0C0983E2" w14:textId="77777777" w:rsidR="00C53BB1" w:rsidRPr="00D91B35" w:rsidRDefault="00C53BB1" w:rsidP="00387006">
            <w:pPr>
              <w:rPr>
                <w:rFonts w:ascii="Times New Roman" w:hAnsi="Times New Roman" w:cs="Times New Roman"/>
                <w:sz w:val="16"/>
                <w:szCs w:val="16"/>
              </w:rPr>
            </w:pPr>
          </w:p>
        </w:tc>
        <w:tc>
          <w:tcPr>
            <w:tcW w:w="237" w:type="pct"/>
            <w:tcBorders>
              <w:bottom w:val="single" w:sz="4" w:space="0" w:color="auto"/>
            </w:tcBorders>
            <w:shd w:val="clear" w:color="auto" w:fill="D9D9D9" w:themeFill="background1" w:themeFillShade="D9"/>
          </w:tcPr>
          <w:p w14:paraId="54132977" w14:textId="77777777" w:rsidR="00C53BB1" w:rsidRPr="00D91B35" w:rsidRDefault="00C53BB1" w:rsidP="00387006">
            <w:pPr>
              <w:rPr>
                <w:rFonts w:ascii="Times New Roman" w:hAnsi="Times New Roman" w:cs="Times New Roman"/>
                <w:sz w:val="16"/>
                <w:szCs w:val="16"/>
              </w:rPr>
            </w:pPr>
          </w:p>
        </w:tc>
        <w:tc>
          <w:tcPr>
            <w:tcW w:w="237" w:type="pct"/>
            <w:tcBorders>
              <w:bottom w:val="single" w:sz="4" w:space="0" w:color="auto"/>
            </w:tcBorders>
            <w:shd w:val="clear" w:color="auto" w:fill="D9D9D9" w:themeFill="background1" w:themeFillShade="D9"/>
          </w:tcPr>
          <w:p w14:paraId="64153011" w14:textId="472AE800" w:rsidR="00C53BB1" w:rsidRPr="00D91B35" w:rsidRDefault="00C53BB1" w:rsidP="00387006">
            <w:pPr>
              <w:rPr>
                <w:rFonts w:ascii="Times New Roman" w:hAnsi="Times New Roman" w:cs="Times New Roman"/>
                <w:sz w:val="16"/>
                <w:szCs w:val="16"/>
              </w:rPr>
            </w:pPr>
          </w:p>
        </w:tc>
        <w:tc>
          <w:tcPr>
            <w:tcW w:w="237" w:type="pct"/>
            <w:tcBorders>
              <w:bottom w:val="single" w:sz="4" w:space="0" w:color="auto"/>
            </w:tcBorders>
            <w:shd w:val="clear" w:color="auto" w:fill="D9D9D9" w:themeFill="background1" w:themeFillShade="D9"/>
          </w:tcPr>
          <w:p w14:paraId="1BE1FA82" w14:textId="4746676D" w:rsidR="00C53BB1" w:rsidRPr="00D91B35" w:rsidRDefault="002A5407" w:rsidP="00387006">
            <w:pPr>
              <w:rPr>
                <w:rFonts w:ascii="Times New Roman" w:hAnsi="Times New Roman" w:cs="Times New Roman"/>
                <w:sz w:val="16"/>
                <w:szCs w:val="16"/>
              </w:rPr>
            </w:pPr>
            <w:r>
              <w:rPr>
                <w:rFonts w:ascii="Times New Roman" w:hAnsi="Times New Roman"/>
                <w:sz w:val="16"/>
              </w:rPr>
              <w:t>1 365,0</w:t>
            </w:r>
          </w:p>
        </w:tc>
      </w:tr>
      <w:tr w:rsidR="00387006" w:rsidRPr="00D91B35" w14:paraId="01007DFD" w14:textId="77777777" w:rsidTr="008A656B">
        <w:tc>
          <w:tcPr>
            <w:tcW w:w="374" w:type="pct"/>
            <w:tcBorders>
              <w:top w:val="single" w:sz="4" w:space="0" w:color="auto"/>
            </w:tcBorders>
          </w:tcPr>
          <w:p w14:paraId="7E15FAC4" w14:textId="29BF4769" w:rsidR="00C53BB1" w:rsidRPr="00D91B35" w:rsidRDefault="00077C40" w:rsidP="00387006">
            <w:pPr>
              <w:rPr>
                <w:rFonts w:ascii="Times New Roman" w:hAnsi="Times New Roman" w:cs="Times New Roman"/>
                <w:b/>
                <w:bCs/>
                <w:sz w:val="16"/>
                <w:szCs w:val="16"/>
              </w:rPr>
            </w:pPr>
            <w:r>
              <w:rPr>
                <w:rFonts w:ascii="Times New Roman" w:hAnsi="Times New Roman"/>
                <w:b/>
                <w:sz w:val="16"/>
              </w:rPr>
              <w:t>Pārtika un bagātinātāji</w:t>
            </w:r>
          </w:p>
        </w:tc>
        <w:tc>
          <w:tcPr>
            <w:tcW w:w="231" w:type="pct"/>
            <w:tcBorders>
              <w:top w:val="single" w:sz="4" w:space="0" w:color="auto"/>
            </w:tcBorders>
          </w:tcPr>
          <w:p w14:paraId="2C421C6D" w14:textId="57A47203" w:rsidR="00C53BB1" w:rsidRPr="00D91B35" w:rsidRDefault="00077C40" w:rsidP="00387006">
            <w:pPr>
              <w:rPr>
                <w:rFonts w:ascii="Times New Roman" w:hAnsi="Times New Roman" w:cs="Times New Roman"/>
                <w:b/>
                <w:bCs/>
                <w:sz w:val="16"/>
                <w:szCs w:val="16"/>
              </w:rPr>
            </w:pPr>
            <w:r>
              <w:rPr>
                <w:rFonts w:ascii="Times New Roman" w:hAnsi="Times New Roman"/>
                <w:b/>
                <w:sz w:val="16"/>
              </w:rPr>
              <w:t>Meitenes</w:t>
            </w:r>
          </w:p>
        </w:tc>
        <w:tc>
          <w:tcPr>
            <w:tcW w:w="358" w:type="pct"/>
            <w:tcBorders>
              <w:top w:val="single" w:sz="4" w:space="0" w:color="auto"/>
            </w:tcBorders>
          </w:tcPr>
          <w:p w14:paraId="7F4958BC" w14:textId="0C289EAB" w:rsidR="00C53BB1" w:rsidRPr="00D91B35" w:rsidRDefault="00077C40" w:rsidP="00387006">
            <w:pPr>
              <w:rPr>
                <w:rFonts w:ascii="Times New Roman" w:hAnsi="Times New Roman" w:cs="Times New Roman"/>
                <w:b/>
                <w:bCs/>
                <w:sz w:val="16"/>
                <w:szCs w:val="16"/>
              </w:rPr>
            </w:pPr>
            <w:r>
              <w:rPr>
                <w:rFonts w:ascii="Times New Roman" w:hAnsi="Times New Roman"/>
                <w:b/>
                <w:sz w:val="16"/>
              </w:rPr>
              <w:t>Somija</w:t>
            </w:r>
          </w:p>
        </w:tc>
        <w:tc>
          <w:tcPr>
            <w:tcW w:w="359" w:type="pct"/>
            <w:tcBorders>
              <w:top w:val="single" w:sz="4" w:space="0" w:color="auto"/>
            </w:tcBorders>
          </w:tcPr>
          <w:p w14:paraId="3BDE2E04" w14:textId="20E0C4B2" w:rsidR="00C53BB1" w:rsidRPr="00D91B35" w:rsidRDefault="00077C40" w:rsidP="00077C40">
            <w:pPr>
              <w:pStyle w:val="Default"/>
              <w:rPr>
                <w:sz w:val="16"/>
                <w:szCs w:val="16"/>
              </w:rPr>
            </w:pPr>
            <w:r>
              <w:rPr>
                <w:sz w:val="16"/>
              </w:rPr>
              <w:t>(Kyttälä et al., 2008; 2010)</w:t>
            </w:r>
          </w:p>
        </w:tc>
        <w:tc>
          <w:tcPr>
            <w:tcW w:w="839" w:type="pct"/>
            <w:tcBorders>
              <w:top w:val="single" w:sz="4" w:space="0" w:color="auto"/>
            </w:tcBorders>
          </w:tcPr>
          <w:p w14:paraId="559823E5" w14:textId="4E167BFA" w:rsidR="00C53BB1" w:rsidRPr="00D91B35" w:rsidRDefault="00077C40" w:rsidP="00387006">
            <w:pPr>
              <w:rPr>
                <w:rFonts w:ascii="Times New Roman" w:hAnsi="Times New Roman" w:cs="Times New Roman"/>
                <w:sz w:val="16"/>
                <w:szCs w:val="16"/>
              </w:rPr>
            </w:pPr>
            <w:r>
              <w:rPr>
                <w:rFonts w:ascii="Times New Roman" w:hAnsi="Times New Roman"/>
                <w:sz w:val="16"/>
              </w:rPr>
              <w:t>3 dienu uztura pieraksts</w:t>
            </w:r>
          </w:p>
        </w:tc>
        <w:tc>
          <w:tcPr>
            <w:tcW w:w="196" w:type="pct"/>
            <w:tcBorders>
              <w:top w:val="single" w:sz="4" w:space="0" w:color="auto"/>
            </w:tcBorders>
            <w:shd w:val="clear" w:color="auto" w:fill="FFFFFF" w:themeFill="background1"/>
          </w:tcPr>
          <w:p w14:paraId="48A5FD3B" w14:textId="74907A5D" w:rsidR="00C53BB1" w:rsidRPr="00D91B35" w:rsidRDefault="002A5407" w:rsidP="00387006">
            <w:pPr>
              <w:rPr>
                <w:rFonts w:ascii="Times New Roman" w:hAnsi="Times New Roman" w:cs="Times New Roman"/>
                <w:sz w:val="16"/>
                <w:szCs w:val="16"/>
              </w:rPr>
            </w:pPr>
            <w:r>
              <w:rPr>
                <w:rFonts w:ascii="Times New Roman" w:hAnsi="Times New Roman"/>
                <w:sz w:val="16"/>
              </w:rPr>
              <w:t>118</w:t>
            </w:r>
          </w:p>
        </w:tc>
        <w:tc>
          <w:tcPr>
            <w:tcW w:w="122" w:type="pct"/>
            <w:tcBorders>
              <w:top w:val="single" w:sz="4" w:space="0" w:color="auto"/>
            </w:tcBorders>
            <w:shd w:val="clear" w:color="auto" w:fill="FFFFFF" w:themeFill="background1"/>
          </w:tcPr>
          <w:p w14:paraId="22F08FA3" w14:textId="77777777" w:rsidR="00C53BB1" w:rsidRPr="00D91B35" w:rsidRDefault="00C53BB1" w:rsidP="00387006">
            <w:pPr>
              <w:rPr>
                <w:rFonts w:ascii="Times New Roman" w:hAnsi="Times New Roman" w:cs="Times New Roman"/>
                <w:sz w:val="16"/>
                <w:szCs w:val="16"/>
              </w:rPr>
            </w:pPr>
          </w:p>
        </w:tc>
        <w:tc>
          <w:tcPr>
            <w:tcW w:w="183" w:type="pct"/>
            <w:tcBorders>
              <w:top w:val="single" w:sz="4" w:space="0" w:color="auto"/>
            </w:tcBorders>
            <w:shd w:val="clear" w:color="auto" w:fill="FFFFFF" w:themeFill="background1"/>
          </w:tcPr>
          <w:p w14:paraId="01C31378" w14:textId="758AFBF7" w:rsidR="00C53BB1" w:rsidRPr="00D91B35" w:rsidRDefault="002A5407" w:rsidP="00387006">
            <w:pPr>
              <w:rPr>
                <w:rFonts w:ascii="Times New Roman" w:hAnsi="Times New Roman" w:cs="Times New Roman"/>
                <w:sz w:val="16"/>
                <w:szCs w:val="16"/>
              </w:rPr>
            </w:pPr>
            <w:r>
              <w:rPr>
                <w:rFonts w:ascii="Times New Roman" w:hAnsi="Times New Roman"/>
                <w:sz w:val="16"/>
              </w:rPr>
              <w:t>2</w:t>
            </w:r>
          </w:p>
        </w:tc>
        <w:tc>
          <w:tcPr>
            <w:tcW w:w="105" w:type="pct"/>
            <w:tcBorders>
              <w:top w:val="single" w:sz="4" w:space="0" w:color="auto"/>
            </w:tcBorders>
            <w:shd w:val="clear" w:color="auto" w:fill="FFFFFF" w:themeFill="background1"/>
          </w:tcPr>
          <w:p w14:paraId="33CE9F5D" w14:textId="77777777" w:rsidR="00C53BB1" w:rsidRPr="00D91B35" w:rsidRDefault="00C53BB1" w:rsidP="00387006">
            <w:pPr>
              <w:rPr>
                <w:rFonts w:ascii="Times New Roman" w:hAnsi="Times New Roman" w:cs="Times New Roman"/>
                <w:sz w:val="16"/>
                <w:szCs w:val="16"/>
              </w:rPr>
            </w:pPr>
          </w:p>
        </w:tc>
        <w:tc>
          <w:tcPr>
            <w:tcW w:w="186" w:type="pct"/>
            <w:tcBorders>
              <w:top w:val="single" w:sz="4" w:space="0" w:color="auto"/>
            </w:tcBorders>
            <w:shd w:val="clear" w:color="auto" w:fill="FFFFFF" w:themeFill="background1"/>
          </w:tcPr>
          <w:p w14:paraId="18C4722E" w14:textId="6EDC67A4" w:rsidR="00C53BB1" w:rsidRPr="00D91B35" w:rsidRDefault="002A5407" w:rsidP="00387006">
            <w:pPr>
              <w:rPr>
                <w:rFonts w:ascii="Times New Roman" w:hAnsi="Times New Roman" w:cs="Times New Roman"/>
                <w:sz w:val="16"/>
                <w:szCs w:val="16"/>
              </w:rPr>
            </w:pPr>
            <w:r>
              <w:rPr>
                <w:rFonts w:ascii="Times New Roman" w:hAnsi="Times New Roman"/>
                <w:sz w:val="16"/>
              </w:rPr>
              <w:t>2</w:t>
            </w:r>
          </w:p>
        </w:tc>
        <w:tc>
          <w:tcPr>
            <w:tcW w:w="609" w:type="pct"/>
            <w:tcBorders>
              <w:top w:val="single" w:sz="4" w:space="0" w:color="auto"/>
            </w:tcBorders>
            <w:shd w:val="clear" w:color="auto" w:fill="FFFFFF" w:themeFill="background1"/>
          </w:tcPr>
          <w:p w14:paraId="435D0C74" w14:textId="45162CF3" w:rsidR="00C53BB1" w:rsidRPr="00D91B35" w:rsidRDefault="002A5407" w:rsidP="002A5407">
            <w:pPr>
              <w:pStyle w:val="Default"/>
              <w:rPr>
                <w:sz w:val="16"/>
                <w:szCs w:val="16"/>
              </w:rPr>
            </w:pPr>
            <w:r>
              <w:rPr>
                <w:sz w:val="16"/>
              </w:rPr>
              <w:t>Bērni, kuriem ģenētiski ir 1. tipa diabēta risks</w:t>
            </w:r>
          </w:p>
        </w:tc>
        <w:tc>
          <w:tcPr>
            <w:tcW w:w="237" w:type="pct"/>
            <w:tcBorders>
              <w:top w:val="single" w:sz="4" w:space="0" w:color="auto"/>
            </w:tcBorders>
            <w:shd w:val="clear" w:color="auto" w:fill="FFFFFF" w:themeFill="background1"/>
          </w:tcPr>
          <w:p w14:paraId="63B38B64" w14:textId="7D754642" w:rsidR="00C53BB1" w:rsidRPr="00D91B35" w:rsidRDefault="002A5407" w:rsidP="00387006">
            <w:pPr>
              <w:rPr>
                <w:rFonts w:ascii="Times New Roman" w:hAnsi="Times New Roman" w:cs="Times New Roman"/>
                <w:sz w:val="16"/>
                <w:szCs w:val="16"/>
              </w:rPr>
            </w:pPr>
            <w:r>
              <w:rPr>
                <w:rFonts w:ascii="Times New Roman" w:hAnsi="Times New Roman"/>
                <w:sz w:val="16"/>
              </w:rPr>
              <w:t>870,0</w:t>
            </w:r>
          </w:p>
        </w:tc>
        <w:tc>
          <w:tcPr>
            <w:tcW w:w="251" w:type="pct"/>
            <w:tcBorders>
              <w:top w:val="single" w:sz="4" w:space="0" w:color="auto"/>
            </w:tcBorders>
            <w:shd w:val="clear" w:color="auto" w:fill="FFFFFF" w:themeFill="background1"/>
          </w:tcPr>
          <w:p w14:paraId="79F75F94" w14:textId="77777777" w:rsidR="00C53BB1" w:rsidRPr="00D91B35" w:rsidRDefault="00C53BB1" w:rsidP="00387006">
            <w:pPr>
              <w:rPr>
                <w:rFonts w:ascii="Times New Roman" w:hAnsi="Times New Roman" w:cs="Times New Roman"/>
                <w:sz w:val="16"/>
                <w:szCs w:val="16"/>
              </w:rPr>
            </w:pPr>
          </w:p>
        </w:tc>
        <w:tc>
          <w:tcPr>
            <w:tcW w:w="237" w:type="pct"/>
            <w:tcBorders>
              <w:top w:val="single" w:sz="4" w:space="0" w:color="auto"/>
            </w:tcBorders>
            <w:shd w:val="clear" w:color="auto" w:fill="FFFFFF" w:themeFill="background1"/>
          </w:tcPr>
          <w:p w14:paraId="221AB252" w14:textId="72FA97BD" w:rsidR="00C53BB1" w:rsidRPr="00D91B35" w:rsidRDefault="002A5407" w:rsidP="00387006">
            <w:pPr>
              <w:rPr>
                <w:rFonts w:ascii="Times New Roman" w:hAnsi="Times New Roman" w:cs="Times New Roman"/>
                <w:sz w:val="16"/>
                <w:szCs w:val="16"/>
              </w:rPr>
            </w:pPr>
            <w:r>
              <w:rPr>
                <w:rFonts w:ascii="Times New Roman" w:hAnsi="Times New Roman"/>
                <w:sz w:val="16"/>
              </w:rPr>
              <w:t>1 019,0</w:t>
            </w:r>
          </w:p>
        </w:tc>
        <w:tc>
          <w:tcPr>
            <w:tcW w:w="237" w:type="pct"/>
            <w:tcBorders>
              <w:top w:val="single" w:sz="4" w:space="0" w:color="auto"/>
            </w:tcBorders>
            <w:shd w:val="clear" w:color="auto" w:fill="FFFFFF" w:themeFill="background1"/>
          </w:tcPr>
          <w:p w14:paraId="46A1189E" w14:textId="641C3CA4" w:rsidR="00C53BB1" w:rsidRPr="00D91B35" w:rsidRDefault="00C53BB1" w:rsidP="00387006">
            <w:pPr>
              <w:rPr>
                <w:rFonts w:ascii="Times New Roman" w:hAnsi="Times New Roman" w:cs="Times New Roman"/>
                <w:sz w:val="16"/>
                <w:szCs w:val="16"/>
              </w:rPr>
            </w:pPr>
          </w:p>
        </w:tc>
        <w:tc>
          <w:tcPr>
            <w:tcW w:w="237" w:type="pct"/>
            <w:tcBorders>
              <w:top w:val="single" w:sz="4" w:space="0" w:color="auto"/>
            </w:tcBorders>
            <w:shd w:val="clear" w:color="auto" w:fill="FFFFFF" w:themeFill="background1"/>
          </w:tcPr>
          <w:p w14:paraId="7537A982" w14:textId="7E2AAFA4" w:rsidR="00C53BB1" w:rsidRPr="00D91B35" w:rsidRDefault="00C53BB1" w:rsidP="00387006">
            <w:pPr>
              <w:rPr>
                <w:rFonts w:ascii="Times New Roman" w:hAnsi="Times New Roman" w:cs="Times New Roman"/>
                <w:sz w:val="16"/>
                <w:szCs w:val="16"/>
              </w:rPr>
            </w:pPr>
          </w:p>
        </w:tc>
        <w:tc>
          <w:tcPr>
            <w:tcW w:w="237" w:type="pct"/>
            <w:tcBorders>
              <w:top w:val="single" w:sz="4" w:space="0" w:color="auto"/>
            </w:tcBorders>
            <w:shd w:val="clear" w:color="auto" w:fill="FFFFFF" w:themeFill="background1"/>
          </w:tcPr>
          <w:p w14:paraId="736EE97E" w14:textId="77777777" w:rsidR="00C53BB1" w:rsidRPr="00D91B35" w:rsidRDefault="00C53BB1" w:rsidP="00387006">
            <w:pPr>
              <w:rPr>
                <w:rFonts w:ascii="Times New Roman" w:hAnsi="Times New Roman" w:cs="Times New Roman"/>
                <w:sz w:val="16"/>
                <w:szCs w:val="16"/>
              </w:rPr>
            </w:pPr>
          </w:p>
        </w:tc>
      </w:tr>
      <w:tr w:rsidR="00387006" w:rsidRPr="00D91B35" w14:paraId="24C24521" w14:textId="77777777" w:rsidTr="008A656B">
        <w:tc>
          <w:tcPr>
            <w:tcW w:w="374" w:type="pct"/>
          </w:tcPr>
          <w:p w14:paraId="0AEE0617" w14:textId="77777777" w:rsidR="00C53BB1" w:rsidRPr="00D91B35" w:rsidRDefault="00C53BB1" w:rsidP="00387006">
            <w:pPr>
              <w:rPr>
                <w:rFonts w:ascii="Times New Roman" w:hAnsi="Times New Roman" w:cs="Times New Roman"/>
                <w:b/>
                <w:bCs/>
                <w:sz w:val="16"/>
                <w:szCs w:val="16"/>
              </w:rPr>
            </w:pPr>
          </w:p>
        </w:tc>
        <w:tc>
          <w:tcPr>
            <w:tcW w:w="231" w:type="pct"/>
          </w:tcPr>
          <w:p w14:paraId="686C5627" w14:textId="77777777" w:rsidR="00C53BB1" w:rsidRPr="00D91B35" w:rsidRDefault="00C53BB1" w:rsidP="00387006">
            <w:pPr>
              <w:rPr>
                <w:rFonts w:ascii="Times New Roman" w:hAnsi="Times New Roman" w:cs="Times New Roman"/>
                <w:b/>
                <w:bCs/>
                <w:sz w:val="16"/>
                <w:szCs w:val="16"/>
              </w:rPr>
            </w:pPr>
          </w:p>
        </w:tc>
        <w:tc>
          <w:tcPr>
            <w:tcW w:w="358" w:type="pct"/>
          </w:tcPr>
          <w:p w14:paraId="1F320B8C" w14:textId="77777777" w:rsidR="00C53BB1" w:rsidRPr="00D91B35" w:rsidRDefault="00C53BB1" w:rsidP="00387006">
            <w:pPr>
              <w:rPr>
                <w:rFonts w:ascii="Times New Roman" w:hAnsi="Times New Roman" w:cs="Times New Roman"/>
                <w:b/>
                <w:bCs/>
                <w:sz w:val="16"/>
                <w:szCs w:val="16"/>
              </w:rPr>
            </w:pPr>
          </w:p>
        </w:tc>
        <w:tc>
          <w:tcPr>
            <w:tcW w:w="359" w:type="pct"/>
          </w:tcPr>
          <w:p w14:paraId="5DF1AEE8" w14:textId="77777777" w:rsidR="00C53BB1" w:rsidRPr="00D91B35" w:rsidRDefault="00C53BB1" w:rsidP="00387006">
            <w:pPr>
              <w:rPr>
                <w:rFonts w:ascii="Times New Roman" w:hAnsi="Times New Roman" w:cs="Times New Roman"/>
                <w:sz w:val="16"/>
                <w:szCs w:val="16"/>
              </w:rPr>
            </w:pPr>
          </w:p>
        </w:tc>
        <w:tc>
          <w:tcPr>
            <w:tcW w:w="839" w:type="pct"/>
          </w:tcPr>
          <w:p w14:paraId="1BCFEB33" w14:textId="77777777" w:rsidR="00C53BB1" w:rsidRPr="00D91B35" w:rsidRDefault="00C53BB1" w:rsidP="00387006">
            <w:pPr>
              <w:pStyle w:val="Default"/>
              <w:rPr>
                <w:sz w:val="16"/>
                <w:szCs w:val="16"/>
              </w:rPr>
            </w:pPr>
          </w:p>
        </w:tc>
        <w:tc>
          <w:tcPr>
            <w:tcW w:w="196" w:type="pct"/>
            <w:shd w:val="clear" w:color="auto" w:fill="FFFFFF" w:themeFill="background1"/>
          </w:tcPr>
          <w:p w14:paraId="127ED31B" w14:textId="1EE6FE7A" w:rsidR="00C53BB1" w:rsidRPr="00D91B35" w:rsidRDefault="002A5407" w:rsidP="00387006">
            <w:pPr>
              <w:rPr>
                <w:rFonts w:ascii="Times New Roman" w:hAnsi="Times New Roman" w:cs="Times New Roman"/>
                <w:sz w:val="16"/>
                <w:szCs w:val="16"/>
              </w:rPr>
            </w:pPr>
            <w:r>
              <w:rPr>
                <w:rFonts w:ascii="Times New Roman" w:hAnsi="Times New Roman"/>
                <w:sz w:val="16"/>
              </w:rPr>
              <w:t>235</w:t>
            </w:r>
          </w:p>
        </w:tc>
        <w:tc>
          <w:tcPr>
            <w:tcW w:w="122" w:type="pct"/>
            <w:shd w:val="clear" w:color="auto" w:fill="FFFFFF" w:themeFill="background1"/>
          </w:tcPr>
          <w:p w14:paraId="2675628A" w14:textId="77777777" w:rsidR="00C53BB1" w:rsidRPr="00D91B35" w:rsidRDefault="00C53BB1" w:rsidP="00387006">
            <w:pPr>
              <w:rPr>
                <w:rFonts w:ascii="Times New Roman" w:hAnsi="Times New Roman" w:cs="Times New Roman"/>
                <w:sz w:val="16"/>
                <w:szCs w:val="16"/>
              </w:rPr>
            </w:pPr>
          </w:p>
        </w:tc>
        <w:tc>
          <w:tcPr>
            <w:tcW w:w="183" w:type="pct"/>
            <w:shd w:val="clear" w:color="auto" w:fill="FFFFFF" w:themeFill="background1"/>
          </w:tcPr>
          <w:p w14:paraId="005216A9" w14:textId="6FF131E2" w:rsidR="00C53BB1" w:rsidRPr="00D91B35" w:rsidRDefault="002A5407" w:rsidP="00387006">
            <w:pPr>
              <w:rPr>
                <w:rFonts w:ascii="Times New Roman" w:hAnsi="Times New Roman" w:cs="Times New Roman"/>
                <w:sz w:val="16"/>
                <w:szCs w:val="16"/>
              </w:rPr>
            </w:pPr>
            <w:r>
              <w:rPr>
                <w:rFonts w:ascii="Times New Roman" w:hAnsi="Times New Roman"/>
                <w:sz w:val="16"/>
              </w:rPr>
              <w:t>3</w:t>
            </w:r>
          </w:p>
        </w:tc>
        <w:tc>
          <w:tcPr>
            <w:tcW w:w="105" w:type="pct"/>
            <w:shd w:val="clear" w:color="auto" w:fill="FFFFFF" w:themeFill="background1"/>
          </w:tcPr>
          <w:p w14:paraId="683C12A8" w14:textId="77777777" w:rsidR="00C53BB1" w:rsidRPr="00D91B35" w:rsidRDefault="00C53BB1" w:rsidP="00387006">
            <w:pPr>
              <w:rPr>
                <w:rFonts w:ascii="Times New Roman" w:hAnsi="Times New Roman" w:cs="Times New Roman"/>
                <w:sz w:val="16"/>
                <w:szCs w:val="16"/>
              </w:rPr>
            </w:pPr>
          </w:p>
        </w:tc>
        <w:tc>
          <w:tcPr>
            <w:tcW w:w="186" w:type="pct"/>
            <w:shd w:val="clear" w:color="auto" w:fill="FFFFFF" w:themeFill="background1"/>
          </w:tcPr>
          <w:p w14:paraId="63A498E3" w14:textId="1880F7BD" w:rsidR="00C53BB1" w:rsidRPr="00D91B35" w:rsidRDefault="002A5407" w:rsidP="00387006">
            <w:pPr>
              <w:rPr>
                <w:rFonts w:ascii="Times New Roman" w:hAnsi="Times New Roman" w:cs="Times New Roman"/>
                <w:sz w:val="16"/>
                <w:szCs w:val="16"/>
              </w:rPr>
            </w:pPr>
            <w:r>
              <w:rPr>
                <w:rFonts w:ascii="Times New Roman" w:hAnsi="Times New Roman"/>
                <w:sz w:val="16"/>
              </w:rPr>
              <w:t>3</w:t>
            </w:r>
          </w:p>
        </w:tc>
        <w:tc>
          <w:tcPr>
            <w:tcW w:w="609" w:type="pct"/>
            <w:shd w:val="clear" w:color="auto" w:fill="FFFFFF" w:themeFill="background1"/>
          </w:tcPr>
          <w:p w14:paraId="3C8A2D3C" w14:textId="77777777" w:rsidR="00C53BB1" w:rsidRPr="00D91B35" w:rsidRDefault="00C53BB1" w:rsidP="00387006">
            <w:pPr>
              <w:rPr>
                <w:rFonts w:ascii="Times New Roman" w:hAnsi="Times New Roman" w:cs="Times New Roman"/>
                <w:sz w:val="16"/>
                <w:szCs w:val="16"/>
              </w:rPr>
            </w:pPr>
          </w:p>
        </w:tc>
        <w:tc>
          <w:tcPr>
            <w:tcW w:w="237" w:type="pct"/>
            <w:shd w:val="clear" w:color="auto" w:fill="FFFFFF" w:themeFill="background1"/>
          </w:tcPr>
          <w:p w14:paraId="1BF61870" w14:textId="268E9103" w:rsidR="00C53BB1" w:rsidRPr="00D91B35" w:rsidRDefault="002A5407" w:rsidP="00387006">
            <w:pPr>
              <w:rPr>
                <w:rFonts w:ascii="Times New Roman" w:hAnsi="Times New Roman" w:cs="Times New Roman"/>
                <w:sz w:val="16"/>
                <w:szCs w:val="16"/>
              </w:rPr>
            </w:pPr>
            <w:r>
              <w:rPr>
                <w:rFonts w:ascii="Times New Roman" w:hAnsi="Times New Roman"/>
                <w:sz w:val="16"/>
              </w:rPr>
              <w:t>881,0</w:t>
            </w:r>
          </w:p>
        </w:tc>
        <w:tc>
          <w:tcPr>
            <w:tcW w:w="251" w:type="pct"/>
            <w:shd w:val="clear" w:color="auto" w:fill="FFFFFF" w:themeFill="background1"/>
          </w:tcPr>
          <w:p w14:paraId="4B1438A9" w14:textId="77777777" w:rsidR="00C53BB1" w:rsidRPr="00D91B35" w:rsidRDefault="00C53BB1" w:rsidP="00387006">
            <w:pPr>
              <w:rPr>
                <w:rFonts w:ascii="Times New Roman" w:hAnsi="Times New Roman" w:cs="Times New Roman"/>
                <w:sz w:val="16"/>
                <w:szCs w:val="16"/>
              </w:rPr>
            </w:pPr>
          </w:p>
        </w:tc>
        <w:tc>
          <w:tcPr>
            <w:tcW w:w="237" w:type="pct"/>
            <w:shd w:val="clear" w:color="auto" w:fill="FFFFFF" w:themeFill="background1"/>
          </w:tcPr>
          <w:p w14:paraId="61CE792B" w14:textId="6DDFD2B6" w:rsidR="00C53BB1" w:rsidRPr="00D91B35" w:rsidRDefault="002A5407" w:rsidP="00387006">
            <w:pPr>
              <w:rPr>
                <w:rFonts w:ascii="Times New Roman" w:hAnsi="Times New Roman" w:cs="Times New Roman"/>
                <w:sz w:val="16"/>
                <w:szCs w:val="16"/>
              </w:rPr>
            </w:pPr>
            <w:r>
              <w:rPr>
                <w:rFonts w:ascii="Times New Roman" w:hAnsi="Times New Roman"/>
                <w:sz w:val="16"/>
              </w:rPr>
              <w:t>1 062,0</w:t>
            </w:r>
          </w:p>
        </w:tc>
        <w:tc>
          <w:tcPr>
            <w:tcW w:w="237" w:type="pct"/>
            <w:shd w:val="clear" w:color="auto" w:fill="FFFFFF" w:themeFill="background1"/>
          </w:tcPr>
          <w:p w14:paraId="313F3A50" w14:textId="77777777" w:rsidR="00C53BB1" w:rsidRPr="00D91B35" w:rsidRDefault="00C53BB1" w:rsidP="00387006">
            <w:pPr>
              <w:rPr>
                <w:rFonts w:ascii="Times New Roman" w:hAnsi="Times New Roman" w:cs="Times New Roman"/>
                <w:sz w:val="16"/>
                <w:szCs w:val="16"/>
              </w:rPr>
            </w:pPr>
          </w:p>
        </w:tc>
        <w:tc>
          <w:tcPr>
            <w:tcW w:w="237" w:type="pct"/>
            <w:shd w:val="clear" w:color="auto" w:fill="FFFFFF" w:themeFill="background1"/>
          </w:tcPr>
          <w:p w14:paraId="490B554A" w14:textId="2D3A50EC" w:rsidR="00C53BB1" w:rsidRPr="00D91B35" w:rsidRDefault="00C53BB1" w:rsidP="00387006">
            <w:pPr>
              <w:rPr>
                <w:rFonts w:ascii="Times New Roman" w:hAnsi="Times New Roman" w:cs="Times New Roman"/>
                <w:sz w:val="16"/>
                <w:szCs w:val="16"/>
              </w:rPr>
            </w:pPr>
          </w:p>
        </w:tc>
        <w:tc>
          <w:tcPr>
            <w:tcW w:w="237" w:type="pct"/>
            <w:shd w:val="clear" w:color="auto" w:fill="FFFFFF" w:themeFill="background1"/>
          </w:tcPr>
          <w:p w14:paraId="52D3DC96" w14:textId="77777777" w:rsidR="00C53BB1" w:rsidRPr="00D91B35" w:rsidRDefault="00C53BB1" w:rsidP="00387006">
            <w:pPr>
              <w:rPr>
                <w:rFonts w:ascii="Times New Roman" w:hAnsi="Times New Roman" w:cs="Times New Roman"/>
                <w:sz w:val="16"/>
                <w:szCs w:val="16"/>
              </w:rPr>
            </w:pPr>
          </w:p>
        </w:tc>
      </w:tr>
      <w:tr w:rsidR="00387006" w:rsidRPr="00D91B35" w14:paraId="2C745075" w14:textId="77777777" w:rsidTr="008A656B">
        <w:tc>
          <w:tcPr>
            <w:tcW w:w="374" w:type="pct"/>
            <w:tcBorders>
              <w:bottom w:val="single" w:sz="4" w:space="0" w:color="auto"/>
            </w:tcBorders>
          </w:tcPr>
          <w:p w14:paraId="4BE2C646" w14:textId="77777777" w:rsidR="00C53BB1" w:rsidRPr="00D91B35" w:rsidRDefault="00C53BB1" w:rsidP="00387006">
            <w:pPr>
              <w:rPr>
                <w:rFonts w:ascii="Times New Roman" w:hAnsi="Times New Roman" w:cs="Times New Roman"/>
                <w:b/>
                <w:bCs/>
                <w:sz w:val="16"/>
                <w:szCs w:val="16"/>
              </w:rPr>
            </w:pPr>
          </w:p>
        </w:tc>
        <w:tc>
          <w:tcPr>
            <w:tcW w:w="231" w:type="pct"/>
            <w:tcBorders>
              <w:bottom w:val="single" w:sz="4" w:space="0" w:color="auto"/>
            </w:tcBorders>
          </w:tcPr>
          <w:p w14:paraId="55DD499D" w14:textId="77777777" w:rsidR="00C53BB1" w:rsidRPr="00D91B35" w:rsidRDefault="00C53BB1" w:rsidP="00387006">
            <w:pPr>
              <w:rPr>
                <w:rFonts w:ascii="Times New Roman" w:hAnsi="Times New Roman" w:cs="Times New Roman"/>
                <w:b/>
                <w:bCs/>
                <w:sz w:val="16"/>
                <w:szCs w:val="16"/>
              </w:rPr>
            </w:pPr>
          </w:p>
        </w:tc>
        <w:tc>
          <w:tcPr>
            <w:tcW w:w="358" w:type="pct"/>
            <w:tcBorders>
              <w:bottom w:val="single" w:sz="4" w:space="0" w:color="auto"/>
            </w:tcBorders>
          </w:tcPr>
          <w:p w14:paraId="255DF23D" w14:textId="52617E7E" w:rsidR="00C53BB1" w:rsidRPr="00D91B35" w:rsidRDefault="00077C40" w:rsidP="00387006">
            <w:pPr>
              <w:rPr>
                <w:rFonts w:ascii="Times New Roman" w:hAnsi="Times New Roman" w:cs="Times New Roman"/>
                <w:b/>
                <w:bCs/>
                <w:sz w:val="16"/>
                <w:szCs w:val="16"/>
              </w:rPr>
            </w:pPr>
            <w:r>
              <w:rPr>
                <w:rFonts w:ascii="Times New Roman" w:hAnsi="Times New Roman"/>
                <w:b/>
                <w:sz w:val="16"/>
              </w:rPr>
              <w:t>Nīderlande</w:t>
            </w:r>
          </w:p>
        </w:tc>
        <w:tc>
          <w:tcPr>
            <w:tcW w:w="359" w:type="pct"/>
            <w:tcBorders>
              <w:bottom w:val="single" w:sz="4" w:space="0" w:color="auto"/>
            </w:tcBorders>
          </w:tcPr>
          <w:p w14:paraId="2022DEB6" w14:textId="392668CC" w:rsidR="00C53BB1" w:rsidRPr="00D91B35" w:rsidRDefault="00077C40" w:rsidP="00077C40">
            <w:pPr>
              <w:pStyle w:val="Default"/>
              <w:rPr>
                <w:sz w:val="16"/>
                <w:szCs w:val="16"/>
              </w:rPr>
            </w:pPr>
            <w:r>
              <w:rPr>
                <w:sz w:val="16"/>
              </w:rPr>
              <w:t>(Ocke et al., 2008)</w:t>
            </w:r>
          </w:p>
        </w:tc>
        <w:tc>
          <w:tcPr>
            <w:tcW w:w="839" w:type="pct"/>
            <w:tcBorders>
              <w:bottom w:val="single" w:sz="4" w:space="0" w:color="auto"/>
            </w:tcBorders>
          </w:tcPr>
          <w:p w14:paraId="74C6A9B5" w14:textId="6A411E32" w:rsidR="00C53BB1" w:rsidRPr="00D91B35" w:rsidRDefault="00077C40" w:rsidP="00077C40">
            <w:pPr>
              <w:pStyle w:val="Default"/>
              <w:rPr>
                <w:sz w:val="16"/>
                <w:szCs w:val="16"/>
              </w:rPr>
            </w:pPr>
            <w:r>
              <w:rPr>
                <w:sz w:val="16"/>
              </w:rPr>
              <w:t>2 dienu uztura pieraksts (par divām savstarpēji nesaistītām dienām)</w:t>
            </w:r>
          </w:p>
        </w:tc>
        <w:tc>
          <w:tcPr>
            <w:tcW w:w="196" w:type="pct"/>
            <w:tcBorders>
              <w:bottom w:val="single" w:sz="4" w:space="0" w:color="auto"/>
            </w:tcBorders>
            <w:shd w:val="clear" w:color="auto" w:fill="FFFFFF" w:themeFill="background1"/>
          </w:tcPr>
          <w:p w14:paraId="04696A70" w14:textId="0C1B2A7D" w:rsidR="00C53BB1" w:rsidRPr="00D91B35" w:rsidRDefault="002A5407" w:rsidP="00387006">
            <w:pPr>
              <w:rPr>
                <w:rFonts w:ascii="Times New Roman" w:hAnsi="Times New Roman" w:cs="Times New Roman"/>
                <w:sz w:val="16"/>
                <w:szCs w:val="16"/>
              </w:rPr>
            </w:pPr>
            <w:r>
              <w:rPr>
                <w:rFonts w:ascii="Times New Roman" w:hAnsi="Times New Roman"/>
                <w:sz w:val="16"/>
              </w:rPr>
              <w:t>313</w:t>
            </w:r>
          </w:p>
        </w:tc>
        <w:tc>
          <w:tcPr>
            <w:tcW w:w="122" w:type="pct"/>
            <w:tcBorders>
              <w:bottom w:val="single" w:sz="4" w:space="0" w:color="auto"/>
            </w:tcBorders>
            <w:shd w:val="clear" w:color="auto" w:fill="FFFFFF" w:themeFill="background1"/>
          </w:tcPr>
          <w:p w14:paraId="5B24EA88" w14:textId="77777777" w:rsidR="00C53BB1" w:rsidRPr="00D91B35" w:rsidRDefault="00C53BB1" w:rsidP="00387006">
            <w:pPr>
              <w:rPr>
                <w:rFonts w:ascii="Times New Roman" w:hAnsi="Times New Roman" w:cs="Times New Roman"/>
                <w:sz w:val="16"/>
                <w:szCs w:val="16"/>
              </w:rPr>
            </w:pPr>
          </w:p>
        </w:tc>
        <w:tc>
          <w:tcPr>
            <w:tcW w:w="183" w:type="pct"/>
            <w:tcBorders>
              <w:bottom w:val="single" w:sz="4" w:space="0" w:color="auto"/>
            </w:tcBorders>
            <w:shd w:val="clear" w:color="auto" w:fill="FFFFFF" w:themeFill="background1"/>
          </w:tcPr>
          <w:p w14:paraId="324644D0" w14:textId="13138E62" w:rsidR="00C53BB1" w:rsidRPr="00D91B35" w:rsidRDefault="002A5407" w:rsidP="00387006">
            <w:pPr>
              <w:rPr>
                <w:rFonts w:ascii="Times New Roman" w:hAnsi="Times New Roman" w:cs="Times New Roman"/>
                <w:sz w:val="16"/>
                <w:szCs w:val="16"/>
              </w:rPr>
            </w:pPr>
            <w:r>
              <w:rPr>
                <w:rFonts w:ascii="Times New Roman" w:hAnsi="Times New Roman"/>
                <w:sz w:val="16"/>
              </w:rPr>
              <w:t>2</w:t>
            </w:r>
          </w:p>
        </w:tc>
        <w:tc>
          <w:tcPr>
            <w:tcW w:w="105" w:type="pct"/>
            <w:tcBorders>
              <w:bottom w:val="single" w:sz="4" w:space="0" w:color="auto"/>
            </w:tcBorders>
            <w:shd w:val="clear" w:color="auto" w:fill="FFFFFF" w:themeFill="background1"/>
          </w:tcPr>
          <w:p w14:paraId="4CCABE7F" w14:textId="77777777" w:rsidR="00C53BB1" w:rsidRPr="00D91B35" w:rsidRDefault="00C53BB1" w:rsidP="00387006">
            <w:pPr>
              <w:rPr>
                <w:rFonts w:ascii="Times New Roman" w:hAnsi="Times New Roman" w:cs="Times New Roman"/>
                <w:sz w:val="16"/>
                <w:szCs w:val="16"/>
              </w:rPr>
            </w:pPr>
          </w:p>
        </w:tc>
        <w:tc>
          <w:tcPr>
            <w:tcW w:w="186" w:type="pct"/>
            <w:tcBorders>
              <w:bottom w:val="single" w:sz="4" w:space="0" w:color="auto"/>
            </w:tcBorders>
            <w:shd w:val="clear" w:color="auto" w:fill="FFFFFF" w:themeFill="background1"/>
          </w:tcPr>
          <w:p w14:paraId="18FAED4C" w14:textId="26ACDC90" w:rsidR="00C53BB1" w:rsidRPr="00D91B35" w:rsidRDefault="002A5407" w:rsidP="00387006">
            <w:pPr>
              <w:rPr>
                <w:rFonts w:ascii="Times New Roman" w:hAnsi="Times New Roman" w:cs="Times New Roman"/>
                <w:sz w:val="16"/>
                <w:szCs w:val="16"/>
              </w:rPr>
            </w:pPr>
            <w:r>
              <w:rPr>
                <w:rFonts w:ascii="Times New Roman" w:hAnsi="Times New Roman"/>
                <w:sz w:val="16"/>
              </w:rPr>
              <w:t>3</w:t>
            </w:r>
          </w:p>
        </w:tc>
        <w:tc>
          <w:tcPr>
            <w:tcW w:w="609" w:type="pct"/>
            <w:tcBorders>
              <w:bottom w:val="single" w:sz="4" w:space="0" w:color="auto"/>
            </w:tcBorders>
            <w:shd w:val="clear" w:color="auto" w:fill="FFFFFF" w:themeFill="background1"/>
          </w:tcPr>
          <w:p w14:paraId="6D6E4A4F" w14:textId="77777777" w:rsidR="00C53BB1" w:rsidRPr="00D91B35" w:rsidRDefault="00C53BB1" w:rsidP="00387006">
            <w:pPr>
              <w:rPr>
                <w:rFonts w:ascii="Times New Roman" w:hAnsi="Times New Roman" w:cs="Times New Roman"/>
                <w:sz w:val="16"/>
                <w:szCs w:val="16"/>
              </w:rPr>
            </w:pPr>
          </w:p>
        </w:tc>
        <w:tc>
          <w:tcPr>
            <w:tcW w:w="237" w:type="pct"/>
            <w:tcBorders>
              <w:bottom w:val="single" w:sz="4" w:space="0" w:color="auto"/>
            </w:tcBorders>
            <w:shd w:val="clear" w:color="auto" w:fill="FFFFFF" w:themeFill="background1"/>
          </w:tcPr>
          <w:p w14:paraId="3B25A067" w14:textId="1DD41670" w:rsidR="00C53BB1" w:rsidRPr="00D91B35" w:rsidRDefault="002A5407" w:rsidP="00387006">
            <w:pPr>
              <w:rPr>
                <w:rFonts w:ascii="Times New Roman" w:hAnsi="Times New Roman" w:cs="Times New Roman"/>
                <w:sz w:val="16"/>
                <w:szCs w:val="16"/>
              </w:rPr>
            </w:pPr>
            <w:r>
              <w:rPr>
                <w:rFonts w:ascii="Times New Roman" w:hAnsi="Times New Roman"/>
                <w:sz w:val="16"/>
              </w:rPr>
              <w:t>740,0</w:t>
            </w:r>
          </w:p>
        </w:tc>
        <w:tc>
          <w:tcPr>
            <w:tcW w:w="251" w:type="pct"/>
            <w:tcBorders>
              <w:bottom w:val="single" w:sz="4" w:space="0" w:color="auto"/>
            </w:tcBorders>
            <w:shd w:val="clear" w:color="auto" w:fill="FFFFFF" w:themeFill="background1"/>
          </w:tcPr>
          <w:p w14:paraId="2D8751E1" w14:textId="77777777" w:rsidR="00C53BB1" w:rsidRPr="00D91B35" w:rsidRDefault="00C53BB1" w:rsidP="00387006">
            <w:pPr>
              <w:rPr>
                <w:rFonts w:ascii="Times New Roman" w:hAnsi="Times New Roman" w:cs="Times New Roman"/>
                <w:sz w:val="16"/>
                <w:szCs w:val="16"/>
              </w:rPr>
            </w:pPr>
          </w:p>
        </w:tc>
        <w:tc>
          <w:tcPr>
            <w:tcW w:w="237" w:type="pct"/>
            <w:tcBorders>
              <w:bottom w:val="single" w:sz="4" w:space="0" w:color="auto"/>
            </w:tcBorders>
            <w:shd w:val="clear" w:color="auto" w:fill="FFFFFF" w:themeFill="background1"/>
          </w:tcPr>
          <w:p w14:paraId="3B5D0300" w14:textId="77777777" w:rsidR="00C53BB1" w:rsidRPr="00D91B35" w:rsidRDefault="00C53BB1" w:rsidP="00387006">
            <w:pPr>
              <w:rPr>
                <w:rFonts w:ascii="Times New Roman" w:hAnsi="Times New Roman" w:cs="Times New Roman"/>
                <w:sz w:val="16"/>
                <w:szCs w:val="16"/>
              </w:rPr>
            </w:pPr>
          </w:p>
        </w:tc>
        <w:tc>
          <w:tcPr>
            <w:tcW w:w="237" w:type="pct"/>
            <w:tcBorders>
              <w:bottom w:val="single" w:sz="4" w:space="0" w:color="auto"/>
            </w:tcBorders>
            <w:shd w:val="clear" w:color="auto" w:fill="FFFFFF" w:themeFill="background1"/>
          </w:tcPr>
          <w:p w14:paraId="3F590FA5" w14:textId="77777777" w:rsidR="00C53BB1" w:rsidRPr="00D91B35" w:rsidRDefault="00C53BB1" w:rsidP="00387006">
            <w:pPr>
              <w:rPr>
                <w:rFonts w:ascii="Times New Roman" w:hAnsi="Times New Roman" w:cs="Times New Roman"/>
                <w:sz w:val="16"/>
                <w:szCs w:val="16"/>
              </w:rPr>
            </w:pPr>
          </w:p>
        </w:tc>
        <w:tc>
          <w:tcPr>
            <w:tcW w:w="237" w:type="pct"/>
            <w:tcBorders>
              <w:bottom w:val="single" w:sz="4" w:space="0" w:color="auto"/>
            </w:tcBorders>
            <w:shd w:val="clear" w:color="auto" w:fill="FFFFFF" w:themeFill="background1"/>
          </w:tcPr>
          <w:p w14:paraId="7A48DDCE" w14:textId="37060711" w:rsidR="00C53BB1" w:rsidRPr="00D91B35" w:rsidRDefault="002A5407" w:rsidP="00387006">
            <w:pPr>
              <w:rPr>
                <w:rFonts w:ascii="Times New Roman" w:hAnsi="Times New Roman" w:cs="Times New Roman"/>
                <w:sz w:val="16"/>
                <w:szCs w:val="16"/>
              </w:rPr>
            </w:pPr>
            <w:r>
              <w:rPr>
                <w:rFonts w:ascii="Times New Roman" w:hAnsi="Times New Roman"/>
                <w:sz w:val="16"/>
              </w:rPr>
              <w:t>1 099,0</w:t>
            </w:r>
          </w:p>
        </w:tc>
        <w:tc>
          <w:tcPr>
            <w:tcW w:w="237" w:type="pct"/>
            <w:tcBorders>
              <w:bottom w:val="single" w:sz="4" w:space="0" w:color="auto"/>
            </w:tcBorders>
            <w:shd w:val="clear" w:color="auto" w:fill="FFFFFF" w:themeFill="background1"/>
          </w:tcPr>
          <w:p w14:paraId="58721AA0" w14:textId="77777777" w:rsidR="00C53BB1" w:rsidRPr="00D91B35" w:rsidRDefault="00C53BB1" w:rsidP="00387006">
            <w:pPr>
              <w:rPr>
                <w:rFonts w:ascii="Times New Roman" w:hAnsi="Times New Roman" w:cs="Times New Roman"/>
                <w:sz w:val="16"/>
                <w:szCs w:val="16"/>
              </w:rPr>
            </w:pPr>
          </w:p>
        </w:tc>
      </w:tr>
      <w:tr w:rsidR="00077C40" w:rsidRPr="00D91B35" w14:paraId="530944A8" w14:textId="77777777" w:rsidTr="008A656B">
        <w:tc>
          <w:tcPr>
            <w:tcW w:w="374" w:type="pct"/>
            <w:tcBorders>
              <w:top w:val="single" w:sz="4" w:space="0" w:color="auto"/>
            </w:tcBorders>
            <w:shd w:val="clear" w:color="auto" w:fill="D9D9D9" w:themeFill="background1" w:themeFillShade="D9"/>
          </w:tcPr>
          <w:p w14:paraId="053F544D" w14:textId="7A95E1FC" w:rsidR="00C53BB1" w:rsidRPr="00D91B35" w:rsidRDefault="00077C40" w:rsidP="00387006">
            <w:pPr>
              <w:rPr>
                <w:rFonts w:ascii="Times New Roman" w:hAnsi="Times New Roman" w:cs="Times New Roman"/>
                <w:b/>
                <w:bCs/>
                <w:sz w:val="16"/>
                <w:szCs w:val="16"/>
              </w:rPr>
            </w:pPr>
            <w:r>
              <w:rPr>
                <w:rFonts w:ascii="Times New Roman" w:hAnsi="Times New Roman"/>
                <w:b/>
                <w:sz w:val="16"/>
              </w:rPr>
              <w:lastRenderedPageBreak/>
              <w:t>Pārtika un bagātinātāji</w:t>
            </w:r>
          </w:p>
        </w:tc>
        <w:tc>
          <w:tcPr>
            <w:tcW w:w="231" w:type="pct"/>
            <w:tcBorders>
              <w:top w:val="single" w:sz="4" w:space="0" w:color="auto"/>
            </w:tcBorders>
            <w:shd w:val="clear" w:color="auto" w:fill="D9D9D9" w:themeFill="background1" w:themeFillShade="D9"/>
          </w:tcPr>
          <w:p w14:paraId="6991BF80" w14:textId="4424CEAB" w:rsidR="00C53BB1" w:rsidRPr="00D91B35" w:rsidRDefault="00077C40" w:rsidP="00387006">
            <w:pPr>
              <w:rPr>
                <w:rFonts w:ascii="Times New Roman" w:hAnsi="Times New Roman" w:cs="Times New Roman"/>
                <w:b/>
                <w:bCs/>
                <w:sz w:val="16"/>
                <w:szCs w:val="16"/>
              </w:rPr>
            </w:pPr>
            <w:r>
              <w:rPr>
                <w:rFonts w:ascii="Times New Roman" w:hAnsi="Times New Roman"/>
                <w:b/>
                <w:sz w:val="16"/>
              </w:rPr>
              <w:t>Zēni</w:t>
            </w:r>
          </w:p>
        </w:tc>
        <w:tc>
          <w:tcPr>
            <w:tcW w:w="358" w:type="pct"/>
            <w:tcBorders>
              <w:top w:val="single" w:sz="4" w:space="0" w:color="auto"/>
            </w:tcBorders>
            <w:shd w:val="clear" w:color="auto" w:fill="D9D9D9" w:themeFill="background1" w:themeFillShade="D9"/>
          </w:tcPr>
          <w:p w14:paraId="176C6DD1" w14:textId="23B5EAA1" w:rsidR="00C53BB1" w:rsidRPr="00D91B35" w:rsidRDefault="00077C40" w:rsidP="00387006">
            <w:pPr>
              <w:rPr>
                <w:rFonts w:ascii="Times New Roman" w:hAnsi="Times New Roman" w:cs="Times New Roman"/>
                <w:b/>
                <w:bCs/>
                <w:sz w:val="16"/>
                <w:szCs w:val="16"/>
              </w:rPr>
            </w:pPr>
            <w:r>
              <w:rPr>
                <w:rFonts w:ascii="Times New Roman" w:hAnsi="Times New Roman"/>
                <w:b/>
                <w:sz w:val="16"/>
              </w:rPr>
              <w:t>Somija</w:t>
            </w:r>
          </w:p>
        </w:tc>
        <w:tc>
          <w:tcPr>
            <w:tcW w:w="359" w:type="pct"/>
            <w:tcBorders>
              <w:top w:val="single" w:sz="4" w:space="0" w:color="auto"/>
            </w:tcBorders>
            <w:shd w:val="clear" w:color="auto" w:fill="D9D9D9" w:themeFill="background1" w:themeFillShade="D9"/>
          </w:tcPr>
          <w:p w14:paraId="35BD9603" w14:textId="246FF5D0" w:rsidR="00C53BB1" w:rsidRPr="00D91B35" w:rsidRDefault="00077C40" w:rsidP="00077C40">
            <w:pPr>
              <w:pStyle w:val="Default"/>
              <w:rPr>
                <w:sz w:val="16"/>
                <w:szCs w:val="16"/>
              </w:rPr>
            </w:pPr>
            <w:r>
              <w:rPr>
                <w:sz w:val="16"/>
              </w:rPr>
              <w:t>(Kyttälä et al., 2008; 2010)</w:t>
            </w:r>
          </w:p>
        </w:tc>
        <w:tc>
          <w:tcPr>
            <w:tcW w:w="839" w:type="pct"/>
            <w:tcBorders>
              <w:top w:val="single" w:sz="4" w:space="0" w:color="auto"/>
            </w:tcBorders>
            <w:shd w:val="clear" w:color="auto" w:fill="D9D9D9" w:themeFill="background1" w:themeFillShade="D9"/>
          </w:tcPr>
          <w:p w14:paraId="4530B593" w14:textId="042DEA96" w:rsidR="00C53BB1" w:rsidRPr="00D91B35" w:rsidRDefault="00077C40" w:rsidP="00387006">
            <w:pPr>
              <w:rPr>
                <w:rFonts w:ascii="Times New Roman" w:hAnsi="Times New Roman" w:cs="Times New Roman"/>
                <w:sz w:val="16"/>
                <w:szCs w:val="16"/>
              </w:rPr>
            </w:pPr>
            <w:r>
              <w:rPr>
                <w:rFonts w:ascii="Times New Roman" w:hAnsi="Times New Roman"/>
                <w:sz w:val="16"/>
              </w:rPr>
              <w:t>3 dienu uztura pieraksts</w:t>
            </w:r>
          </w:p>
        </w:tc>
        <w:tc>
          <w:tcPr>
            <w:tcW w:w="196" w:type="pct"/>
            <w:tcBorders>
              <w:top w:val="single" w:sz="4" w:space="0" w:color="auto"/>
            </w:tcBorders>
            <w:shd w:val="clear" w:color="auto" w:fill="D9D9D9" w:themeFill="background1" w:themeFillShade="D9"/>
          </w:tcPr>
          <w:p w14:paraId="78B2A2FD" w14:textId="31F2A33D" w:rsidR="00C53BB1" w:rsidRPr="00D91B35" w:rsidRDefault="002A5407" w:rsidP="00387006">
            <w:pPr>
              <w:rPr>
                <w:rFonts w:ascii="Times New Roman" w:hAnsi="Times New Roman" w:cs="Times New Roman"/>
                <w:sz w:val="16"/>
                <w:szCs w:val="16"/>
              </w:rPr>
            </w:pPr>
            <w:r>
              <w:rPr>
                <w:rFonts w:ascii="Times New Roman" w:hAnsi="Times New Roman"/>
                <w:sz w:val="16"/>
              </w:rPr>
              <w:t>112</w:t>
            </w:r>
          </w:p>
        </w:tc>
        <w:tc>
          <w:tcPr>
            <w:tcW w:w="122" w:type="pct"/>
            <w:tcBorders>
              <w:top w:val="single" w:sz="4" w:space="0" w:color="auto"/>
            </w:tcBorders>
            <w:shd w:val="clear" w:color="auto" w:fill="D9D9D9" w:themeFill="background1" w:themeFillShade="D9"/>
          </w:tcPr>
          <w:p w14:paraId="7823B4E6" w14:textId="77777777" w:rsidR="00C53BB1" w:rsidRPr="00D91B35" w:rsidRDefault="00C53BB1" w:rsidP="00387006">
            <w:pPr>
              <w:rPr>
                <w:rFonts w:ascii="Times New Roman" w:hAnsi="Times New Roman" w:cs="Times New Roman"/>
                <w:sz w:val="16"/>
                <w:szCs w:val="16"/>
              </w:rPr>
            </w:pPr>
          </w:p>
        </w:tc>
        <w:tc>
          <w:tcPr>
            <w:tcW w:w="183" w:type="pct"/>
            <w:tcBorders>
              <w:top w:val="single" w:sz="4" w:space="0" w:color="auto"/>
            </w:tcBorders>
            <w:shd w:val="clear" w:color="auto" w:fill="D9D9D9" w:themeFill="background1" w:themeFillShade="D9"/>
          </w:tcPr>
          <w:p w14:paraId="0CDFD877" w14:textId="50963E0D" w:rsidR="00C53BB1" w:rsidRPr="00D91B35" w:rsidRDefault="002A5407" w:rsidP="00387006">
            <w:pPr>
              <w:rPr>
                <w:rFonts w:ascii="Times New Roman" w:hAnsi="Times New Roman" w:cs="Times New Roman"/>
                <w:sz w:val="16"/>
                <w:szCs w:val="16"/>
              </w:rPr>
            </w:pPr>
            <w:r>
              <w:rPr>
                <w:rFonts w:ascii="Times New Roman" w:hAnsi="Times New Roman"/>
                <w:sz w:val="16"/>
              </w:rPr>
              <w:t>2</w:t>
            </w:r>
          </w:p>
        </w:tc>
        <w:tc>
          <w:tcPr>
            <w:tcW w:w="105" w:type="pct"/>
            <w:tcBorders>
              <w:top w:val="single" w:sz="4" w:space="0" w:color="auto"/>
            </w:tcBorders>
            <w:shd w:val="clear" w:color="auto" w:fill="D9D9D9" w:themeFill="background1" w:themeFillShade="D9"/>
          </w:tcPr>
          <w:p w14:paraId="027FF8EB" w14:textId="77777777" w:rsidR="00C53BB1" w:rsidRPr="00D91B35" w:rsidRDefault="00C53BB1" w:rsidP="00387006">
            <w:pPr>
              <w:rPr>
                <w:rFonts w:ascii="Times New Roman" w:hAnsi="Times New Roman" w:cs="Times New Roman"/>
                <w:sz w:val="16"/>
                <w:szCs w:val="16"/>
              </w:rPr>
            </w:pPr>
          </w:p>
        </w:tc>
        <w:tc>
          <w:tcPr>
            <w:tcW w:w="186" w:type="pct"/>
            <w:tcBorders>
              <w:top w:val="single" w:sz="4" w:space="0" w:color="auto"/>
            </w:tcBorders>
            <w:shd w:val="clear" w:color="auto" w:fill="D9D9D9" w:themeFill="background1" w:themeFillShade="D9"/>
          </w:tcPr>
          <w:p w14:paraId="027CFEE1" w14:textId="6DC37011" w:rsidR="00C53BB1" w:rsidRPr="00D91B35" w:rsidRDefault="002A5407" w:rsidP="00387006">
            <w:pPr>
              <w:rPr>
                <w:rFonts w:ascii="Times New Roman" w:hAnsi="Times New Roman" w:cs="Times New Roman"/>
                <w:sz w:val="16"/>
                <w:szCs w:val="16"/>
              </w:rPr>
            </w:pPr>
            <w:r>
              <w:rPr>
                <w:rFonts w:ascii="Times New Roman" w:hAnsi="Times New Roman"/>
                <w:sz w:val="16"/>
              </w:rPr>
              <w:t>2</w:t>
            </w:r>
          </w:p>
        </w:tc>
        <w:tc>
          <w:tcPr>
            <w:tcW w:w="609" w:type="pct"/>
            <w:tcBorders>
              <w:top w:val="single" w:sz="4" w:space="0" w:color="auto"/>
            </w:tcBorders>
            <w:shd w:val="clear" w:color="auto" w:fill="D9D9D9" w:themeFill="background1" w:themeFillShade="D9"/>
          </w:tcPr>
          <w:p w14:paraId="104AB75D" w14:textId="7D5577A9" w:rsidR="00C53BB1" w:rsidRPr="00D91B35" w:rsidRDefault="002A5407" w:rsidP="002A5407">
            <w:pPr>
              <w:pStyle w:val="Default"/>
              <w:rPr>
                <w:sz w:val="16"/>
                <w:szCs w:val="16"/>
              </w:rPr>
            </w:pPr>
            <w:r>
              <w:rPr>
                <w:sz w:val="16"/>
              </w:rPr>
              <w:t>Berni, kuriem ģenētiski ir 1. tipa diabēta risks</w:t>
            </w:r>
          </w:p>
        </w:tc>
        <w:tc>
          <w:tcPr>
            <w:tcW w:w="237" w:type="pct"/>
            <w:tcBorders>
              <w:top w:val="single" w:sz="4" w:space="0" w:color="auto"/>
            </w:tcBorders>
            <w:shd w:val="clear" w:color="auto" w:fill="D9D9D9" w:themeFill="background1" w:themeFillShade="D9"/>
          </w:tcPr>
          <w:p w14:paraId="1D69290C" w14:textId="67E144F8" w:rsidR="00C53BB1" w:rsidRPr="00D91B35" w:rsidRDefault="002A5407" w:rsidP="00387006">
            <w:pPr>
              <w:rPr>
                <w:rFonts w:ascii="Times New Roman" w:hAnsi="Times New Roman" w:cs="Times New Roman"/>
                <w:sz w:val="16"/>
                <w:szCs w:val="16"/>
              </w:rPr>
            </w:pPr>
            <w:r>
              <w:rPr>
                <w:rFonts w:ascii="Times New Roman" w:hAnsi="Times New Roman"/>
                <w:sz w:val="16"/>
              </w:rPr>
              <w:t>844,0</w:t>
            </w:r>
          </w:p>
        </w:tc>
        <w:tc>
          <w:tcPr>
            <w:tcW w:w="251" w:type="pct"/>
            <w:tcBorders>
              <w:top w:val="single" w:sz="4" w:space="0" w:color="auto"/>
            </w:tcBorders>
            <w:shd w:val="clear" w:color="auto" w:fill="D9D9D9" w:themeFill="background1" w:themeFillShade="D9"/>
          </w:tcPr>
          <w:p w14:paraId="66588166" w14:textId="77777777" w:rsidR="00C53BB1" w:rsidRPr="00D91B35" w:rsidRDefault="00C53BB1" w:rsidP="00387006">
            <w:pPr>
              <w:rPr>
                <w:rFonts w:ascii="Times New Roman" w:hAnsi="Times New Roman" w:cs="Times New Roman"/>
                <w:sz w:val="16"/>
                <w:szCs w:val="16"/>
              </w:rPr>
            </w:pPr>
          </w:p>
        </w:tc>
        <w:tc>
          <w:tcPr>
            <w:tcW w:w="237" w:type="pct"/>
            <w:tcBorders>
              <w:top w:val="single" w:sz="4" w:space="0" w:color="auto"/>
            </w:tcBorders>
            <w:shd w:val="clear" w:color="auto" w:fill="D9D9D9" w:themeFill="background1" w:themeFillShade="D9"/>
          </w:tcPr>
          <w:p w14:paraId="6C691E16" w14:textId="35FEBCA1" w:rsidR="00C53BB1" w:rsidRPr="00D91B35" w:rsidRDefault="002A5407" w:rsidP="00387006">
            <w:pPr>
              <w:rPr>
                <w:rFonts w:ascii="Times New Roman" w:hAnsi="Times New Roman" w:cs="Times New Roman"/>
                <w:sz w:val="16"/>
                <w:szCs w:val="16"/>
              </w:rPr>
            </w:pPr>
            <w:r>
              <w:rPr>
                <w:rFonts w:ascii="Times New Roman" w:hAnsi="Times New Roman"/>
                <w:sz w:val="16"/>
              </w:rPr>
              <w:t>1 037,0</w:t>
            </w:r>
          </w:p>
        </w:tc>
        <w:tc>
          <w:tcPr>
            <w:tcW w:w="237" w:type="pct"/>
            <w:tcBorders>
              <w:top w:val="single" w:sz="4" w:space="0" w:color="auto"/>
            </w:tcBorders>
            <w:shd w:val="clear" w:color="auto" w:fill="D9D9D9" w:themeFill="background1" w:themeFillShade="D9"/>
          </w:tcPr>
          <w:p w14:paraId="3974FA66" w14:textId="77777777" w:rsidR="00C53BB1" w:rsidRPr="00D91B35" w:rsidRDefault="00C53BB1" w:rsidP="00387006">
            <w:pPr>
              <w:rPr>
                <w:rFonts w:ascii="Times New Roman" w:hAnsi="Times New Roman" w:cs="Times New Roman"/>
                <w:sz w:val="16"/>
                <w:szCs w:val="16"/>
              </w:rPr>
            </w:pPr>
          </w:p>
        </w:tc>
        <w:tc>
          <w:tcPr>
            <w:tcW w:w="237" w:type="pct"/>
            <w:tcBorders>
              <w:top w:val="single" w:sz="4" w:space="0" w:color="auto"/>
            </w:tcBorders>
            <w:shd w:val="clear" w:color="auto" w:fill="D9D9D9" w:themeFill="background1" w:themeFillShade="D9"/>
          </w:tcPr>
          <w:p w14:paraId="17B431BF" w14:textId="56BA0595" w:rsidR="00C53BB1" w:rsidRPr="00D91B35" w:rsidRDefault="00C53BB1" w:rsidP="00387006">
            <w:pPr>
              <w:rPr>
                <w:rFonts w:ascii="Times New Roman" w:hAnsi="Times New Roman" w:cs="Times New Roman"/>
                <w:sz w:val="16"/>
                <w:szCs w:val="16"/>
              </w:rPr>
            </w:pPr>
          </w:p>
        </w:tc>
        <w:tc>
          <w:tcPr>
            <w:tcW w:w="237" w:type="pct"/>
            <w:tcBorders>
              <w:top w:val="single" w:sz="4" w:space="0" w:color="auto"/>
            </w:tcBorders>
            <w:shd w:val="clear" w:color="auto" w:fill="D9D9D9" w:themeFill="background1" w:themeFillShade="D9"/>
          </w:tcPr>
          <w:p w14:paraId="76E53AAF" w14:textId="77777777" w:rsidR="00C53BB1" w:rsidRPr="00D91B35" w:rsidRDefault="00C53BB1" w:rsidP="00387006">
            <w:pPr>
              <w:rPr>
                <w:rFonts w:ascii="Times New Roman" w:hAnsi="Times New Roman" w:cs="Times New Roman"/>
                <w:sz w:val="16"/>
                <w:szCs w:val="16"/>
              </w:rPr>
            </w:pPr>
          </w:p>
        </w:tc>
      </w:tr>
      <w:tr w:rsidR="00077C40" w:rsidRPr="00D91B35" w14:paraId="4E26CE88" w14:textId="77777777" w:rsidTr="008A656B">
        <w:tc>
          <w:tcPr>
            <w:tcW w:w="374" w:type="pct"/>
            <w:shd w:val="clear" w:color="auto" w:fill="D9D9D9" w:themeFill="background1" w:themeFillShade="D9"/>
          </w:tcPr>
          <w:p w14:paraId="259BCF41" w14:textId="77777777" w:rsidR="00C53BB1" w:rsidRPr="00D91B35" w:rsidRDefault="00C53BB1" w:rsidP="00387006">
            <w:pPr>
              <w:rPr>
                <w:rFonts w:ascii="Times New Roman" w:hAnsi="Times New Roman" w:cs="Times New Roman"/>
                <w:sz w:val="16"/>
                <w:szCs w:val="16"/>
              </w:rPr>
            </w:pPr>
          </w:p>
        </w:tc>
        <w:tc>
          <w:tcPr>
            <w:tcW w:w="231" w:type="pct"/>
            <w:shd w:val="clear" w:color="auto" w:fill="D9D9D9" w:themeFill="background1" w:themeFillShade="D9"/>
          </w:tcPr>
          <w:p w14:paraId="656AAB81" w14:textId="77777777" w:rsidR="00C53BB1" w:rsidRPr="00D91B35" w:rsidRDefault="00C53BB1" w:rsidP="00387006">
            <w:pPr>
              <w:rPr>
                <w:rFonts w:ascii="Times New Roman" w:hAnsi="Times New Roman" w:cs="Times New Roman"/>
                <w:sz w:val="16"/>
                <w:szCs w:val="16"/>
              </w:rPr>
            </w:pPr>
          </w:p>
        </w:tc>
        <w:tc>
          <w:tcPr>
            <w:tcW w:w="358" w:type="pct"/>
            <w:shd w:val="clear" w:color="auto" w:fill="D9D9D9" w:themeFill="background1" w:themeFillShade="D9"/>
          </w:tcPr>
          <w:p w14:paraId="48426B39" w14:textId="77777777" w:rsidR="00C53BB1" w:rsidRPr="00D91B35" w:rsidRDefault="00C53BB1" w:rsidP="00387006">
            <w:pPr>
              <w:rPr>
                <w:rFonts w:ascii="Times New Roman" w:hAnsi="Times New Roman" w:cs="Times New Roman"/>
                <w:b/>
                <w:bCs/>
                <w:sz w:val="16"/>
                <w:szCs w:val="16"/>
              </w:rPr>
            </w:pPr>
          </w:p>
        </w:tc>
        <w:tc>
          <w:tcPr>
            <w:tcW w:w="359" w:type="pct"/>
            <w:shd w:val="clear" w:color="auto" w:fill="D9D9D9" w:themeFill="background1" w:themeFillShade="D9"/>
          </w:tcPr>
          <w:p w14:paraId="3718511C" w14:textId="77777777" w:rsidR="00C53BB1" w:rsidRPr="00D91B35" w:rsidRDefault="00C53BB1" w:rsidP="00387006">
            <w:pPr>
              <w:rPr>
                <w:rFonts w:ascii="Times New Roman" w:hAnsi="Times New Roman" w:cs="Times New Roman"/>
                <w:sz w:val="16"/>
                <w:szCs w:val="16"/>
              </w:rPr>
            </w:pPr>
          </w:p>
        </w:tc>
        <w:tc>
          <w:tcPr>
            <w:tcW w:w="839" w:type="pct"/>
            <w:shd w:val="clear" w:color="auto" w:fill="D9D9D9" w:themeFill="background1" w:themeFillShade="D9"/>
          </w:tcPr>
          <w:p w14:paraId="3AEC6C20" w14:textId="77777777" w:rsidR="00C53BB1" w:rsidRPr="00D91B35" w:rsidRDefault="00C53BB1" w:rsidP="00387006">
            <w:pPr>
              <w:rPr>
                <w:rFonts w:ascii="Times New Roman" w:hAnsi="Times New Roman" w:cs="Times New Roman"/>
                <w:sz w:val="16"/>
                <w:szCs w:val="16"/>
              </w:rPr>
            </w:pPr>
          </w:p>
        </w:tc>
        <w:tc>
          <w:tcPr>
            <w:tcW w:w="196" w:type="pct"/>
            <w:shd w:val="clear" w:color="auto" w:fill="D9D9D9" w:themeFill="background1" w:themeFillShade="D9"/>
          </w:tcPr>
          <w:p w14:paraId="1AFCD002" w14:textId="5A8EB5BB" w:rsidR="00C53BB1" w:rsidRPr="00D91B35" w:rsidRDefault="002A5407" w:rsidP="00387006">
            <w:pPr>
              <w:rPr>
                <w:rFonts w:ascii="Times New Roman" w:hAnsi="Times New Roman" w:cs="Times New Roman"/>
                <w:sz w:val="16"/>
                <w:szCs w:val="16"/>
              </w:rPr>
            </w:pPr>
            <w:r>
              <w:rPr>
                <w:rFonts w:ascii="Times New Roman" w:hAnsi="Times New Roman"/>
                <w:sz w:val="16"/>
              </w:rPr>
              <w:t>236</w:t>
            </w:r>
          </w:p>
        </w:tc>
        <w:tc>
          <w:tcPr>
            <w:tcW w:w="122" w:type="pct"/>
            <w:shd w:val="clear" w:color="auto" w:fill="D9D9D9" w:themeFill="background1" w:themeFillShade="D9"/>
          </w:tcPr>
          <w:p w14:paraId="6FC4A208" w14:textId="77777777" w:rsidR="00C53BB1" w:rsidRPr="00D91B35" w:rsidRDefault="00C53BB1" w:rsidP="00387006">
            <w:pPr>
              <w:rPr>
                <w:rFonts w:ascii="Times New Roman" w:hAnsi="Times New Roman" w:cs="Times New Roman"/>
                <w:sz w:val="16"/>
                <w:szCs w:val="16"/>
              </w:rPr>
            </w:pPr>
          </w:p>
        </w:tc>
        <w:tc>
          <w:tcPr>
            <w:tcW w:w="183" w:type="pct"/>
            <w:shd w:val="clear" w:color="auto" w:fill="D9D9D9" w:themeFill="background1" w:themeFillShade="D9"/>
          </w:tcPr>
          <w:p w14:paraId="65890DC8" w14:textId="2ED76C57" w:rsidR="00C53BB1" w:rsidRPr="00D91B35" w:rsidRDefault="002A5407" w:rsidP="00387006">
            <w:pPr>
              <w:rPr>
                <w:rFonts w:ascii="Times New Roman" w:hAnsi="Times New Roman" w:cs="Times New Roman"/>
                <w:sz w:val="16"/>
                <w:szCs w:val="16"/>
              </w:rPr>
            </w:pPr>
            <w:r>
              <w:rPr>
                <w:rFonts w:ascii="Times New Roman" w:hAnsi="Times New Roman"/>
                <w:sz w:val="16"/>
              </w:rPr>
              <w:t>3</w:t>
            </w:r>
          </w:p>
        </w:tc>
        <w:tc>
          <w:tcPr>
            <w:tcW w:w="105" w:type="pct"/>
            <w:shd w:val="clear" w:color="auto" w:fill="D9D9D9" w:themeFill="background1" w:themeFillShade="D9"/>
          </w:tcPr>
          <w:p w14:paraId="55E29BAE" w14:textId="77777777" w:rsidR="00C53BB1" w:rsidRPr="00D91B35" w:rsidRDefault="00C53BB1" w:rsidP="00387006">
            <w:pPr>
              <w:rPr>
                <w:rFonts w:ascii="Times New Roman" w:hAnsi="Times New Roman" w:cs="Times New Roman"/>
                <w:sz w:val="16"/>
                <w:szCs w:val="16"/>
              </w:rPr>
            </w:pPr>
          </w:p>
        </w:tc>
        <w:tc>
          <w:tcPr>
            <w:tcW w:w="186" w:type="pct"/>
            <w:shd w:val="clear" w:color="auto" w:fill="D9D9D9" w:themeFill="background1" w:themeFillShade="D9"/>
          </w:tcPr>
          <w:p w14:paraId="717B3CDF" w14:textId="7DAF2BE4" w:rsidR="00C53BB1" w:rsidRPr="00D91B35" w:rsidRDefault="002A5407" w:rsidP="00387006">
            <w:pPr>
              <w:rPr>
                <w:rFonts w:ascii="Times New Roman" w:hAnsi="Times New Roman" w:cs="Times New Roman"/>
                <w:sz w:val="16"/>
                <w:szCs w:val="16"/>
              </w:rPr>
            </w:pPr>
            <w:r>
              <w:rPr>
                <w:rFonts w:ascii="Times New Roman" w:hAnsi="Times New Roman"/>
                <w:sz w:val="16"/>
              </w:rPr>
              <w:t>3</w:t>
            </w:r>
          </w:p>
        </w:tc>
        <w:tc>
          <w:tcPr>
            <w:tcW w:w="609" w:type="pct"/>
            <w:shd w:val="clear" w:color="auto" w:fill="D9D9D9" w:themeFill="background1" w:themeFillShade="D9"/>
          </w:tcPr>
          <w:p w14:paraId="1FDB2EF9" w14:textId="77777777" w:rsidR="00C53BB1" w:rsidRPr="00D91B35" w:rsidRDefault="00C53BB1" w:rsidP="00387006">
            <w:pPr>
              <w:rPr>
                <w:rFonts w:ascii="Times New Roman" w:hAnsi="Times New Roman" w:cs="Times New Roman"/>
                <w:sz w:val="16"/>
                <w:szCs w:val="16"/>
              </w:rPr>
            </w:pPr>
          </w:p>
        </w:tc>
        <w:tc>
          <w:tcPr>
            <w:tcW w:w="237" w:type="pct"/>
            <w:shd w:val="clear" w:color="auto" w:fill="D9D9D9" w:themeFill="background1" w:themeFillShade="D9"/>
          </w:tcPr>
          <w:p w14:paraId="36A5D8F4" w14:textId="05BA6829" w:rsidR="00C53BB1" w:rsidRPr="00D91B35" w:rsidRDefault="002A5407" w:rsidP="00387006">
            <w:pPr>
              <w:rPr>
                <w:rFonts w:ascii="Times New Roman" w:hAnsi="Times New Roman" w:cs="Times New Roman"/>
                <w:sz w:val="16"/>
                <w:szCs w:val="16"/>
              </w:rPr>
            </w:pPr>
            <w:r>
              <w:rPr>
                <w:rFonts w:ascii="Times New Roman" w:hAnsi="Times New Roman"/>
                <w:sz w:val="16"/>
              </w:rPr>
              <w:t>925,0</w:t>
            </w:r>
          </w:p>
        </w:tc>
        <w:tc>
          <w:tcPr>
            <w:tcW w:w="251" w:type="pct"/>
            <w:shd w:val="clear" w:color="auto" w:fill="D9D9D9" w:themeFill="background1" w:themeFillShade="D9"/>
          </w:tcPr>
          <w:p w14:paraId="1380E1F5" w14:textId="77777777" w:rsidR="00C53BB1" w:rsidRPr="00D91B35" w:rsidRDefault="00C53BB1" w:rsidP="00387006">
            <w:pPr>
              <w:rPr>
                <w:rFonts w:ascii="Times New Roman" w:hAnsi="Times New Roman" w:cs="Times New Roman"/>
                <w:sz w:val="16"/>
                <w:szCs w:val="16"/>
              </w:rPr>
            </w:pPr>
          </w:p>
        </w:tc>
        <w:tc>
          <w:tcPr>
            <w:tcW w:w="237" w:type="pct"/>
            <w:shd w:val="clear" w:color="auto" w:fill="D9D9D9" w:themeFill="background1" w:themeFillShade="D9"/>
          </w:tcPr>
          <w:p w14:paraId="52693B43" w14:textId="31BFF3E3" w:rsidR="00C53BB1" w:rsidRPr="00D91B35" w:rsidRDefault="002A5407" w:rsidP="00387006">
            <w:pPr>
              <w:rPr>
                <w:rFonts w:ascii="Times New Roman" w:hAnsi="Times New Roman" w:cs="Times New Roman"/>
                <w:sz w:val="16"/>
                <w:szCs w:val="16"/>
              </w:rPr>
            </w:pPr>
            <w:r>
              <w:rPr>
                <w:rFonts w:ascii="Times New Roman" w:hAnsi="Times New Roman"/>
                <w:sz w:val="16"/>
              </w:rPr>
              <w:t>1 109,0</w:t>
            </w:r>
          </w:p>
        </w:tc>
        <w:tc>
          <w:tcPr>
            <w:tcW w:w="237" w:type="pct"/>
            <w:shd w:val="clear" w:color="auto" w:fill="D9D9D9" w:themeFill="background1" w:themeFillShade="D9"/>
          </w:tcPr>
          <w:p w14:paraId="1F2E9A44" w14:textId="77777777" w:rsidR="00C53BB1" w:rsidRPr="00D91B35" w:rsidRDefault="00C53BB1" w:rsidP="00387006">
            <w:pPr>
              <w:rPr>
                <w:rFonts w:ascii="Times New Roman" w:hAnsi="Times New Roman" w:cs="Times New Roman"/>
                <w:sz w:val="16"/>
                <w:szCs w:val="16"/>
              </w:rPr>
            </w:pPr>
          </w:p>
        </w:tc>
        <w:tc>
          <w:tcPr>
            <w:tcW w:w="237" w:type="pct"/>
            <w:shd w:val="clear" w:color="auto" w:fill="D9D9D9" w:themeFill="background1" w:themeFillShade="D9"/>
          </w:tcPr>
          <w:p w14:paraId="2A134937" w14:textId="57B6E9A7" w:rsidR="00C53BB1" w:rsidRPr="00D91B35" w:rsidRDefault="00C53BB1" w:rsidP="00387006">
            <w:pPr>
              <w:rPr>
                <w:rFonts w:ascii="Times New Roman" w:hAnsi="Times New Roman" w:cs="Times New Roman"/>
                <w:sz w:val="16"/>
                <w:szCs w:val="16"/>
              </w:rPr>
            </w:pPr>
          </w:p>
        </w:tc>
        <w:tc>
          <w:tcPr>
            <w:tcW w:w="237" w:type="pct"/>
            <w:shd w:val="clear" w:color="auto" w:fill="D9D9D9" w:themeFill="background1" w:themeFillShade="D9"/>
          </w:tcPr>
          <w:p w14:paraId="40EC8E95" w14:textId="77777777" w:rsidR="00C53BB1" w:rsidRPr="00D91B35" w:rsidRDefault="00C53BB1" w:rsidP="00387006">
            <w:pPr>
              <w:rPr>
                <w:rFonts w:ascii="Times New Roman" w:hAnsi="Times New Roman" w:cs="Times New Roman"/>
                <w:sz w:val="16"/>
                <w:szCs w:val="16"/>
              </w:rPr>
            </w:pPr>
          </w:p>
        </w:tc>
      </w:tr>
      <w:tr w:rsidR="00077C40" w:rsidRPr="00D91B35" w14:paraId="3ECFF5B6" w14:textId="77777777" w:rsidTr="008A656B">
        <w:tc>
          <w:tcPr>
            <w:tcW w:w="374" w:type="pct"/>
            <w:tcBorders>
              <w:bottom w:val="single" w:sz="4" w:space="0" w:color="auto"/>
            </w:tcBorders>
            <w:shd w:val="clear" w:color="auto" w:fill="D9D9D9" w:themeFill="background1" w:themeFillShade="D9"/>
          </w:tcPr>
          <w:p w14:paraId="41CE2088" w14:textId="77777777" w:rsidR="00C53BB1" w:rsidRPr="00D91B35" w:rsidRDefault="00C53BB1" w:rsidP="00387006">
            <w:pPr>
              <w:rPr>
                <w:rFonts w:ascii="Times New Roman" w:hAnsi="Times New Roman" w:cs="Times New Roman"/>
                <w:sz w:val="16"/>
                <w:szCs w:val="16"/>
              </w:rPr>
            </w:pPr>
          </w:p>
        </w:tc>
        <w:tc>
          <w:tcPr>
            <w:tcW w:w="231" w:type="pct"/>
            <w:tcBorders>
              <w:bottom w:val="single" w:sz="4" w:space="0" w:color="auto"/>
            </w:tcBorders>
            <w:shd w:val="clear" w:color="auto" w:fill="D9D9D9" w:themeFill="background1" w:themeFillShade="D9"/>
          </w:tcPr>
          <w:p w14:paraId="1BC2D52E" w14:textId="77777777" w:rsidR="00C53BB1" w:rsidRPr="00D91B35" w:rsidRDefault="00C53BB1" w:rsidP="00387006">
            <w:pPr>
              <w:rPr>
                <w:rFonts w:ascii="Times New Roman" w:hAnsi="Times New Roman" w:cs="Times New Roman"/>
                <w:sz w:val="16"/>
                <w:szCs w:val="16"/>
              </w:rPr>
            </w:pPr>
          </w:p>
        </w:tc>
        <w:tc>
          <w:tcPr>
            <w:tcW w:w="358" w:type="pct"/>
            <w:tcBorders>
              <w:bottom w:val="single" w:sz="4" w:space="0" w:color="auto"/>
            </w:tcBorders>
            <w:shd w:val="clear" w:color="auto" w:fill="D9D9D9" w:themeFill="background1" w:themeFillShade="D9"/>
          </w:tcPr>
          <w:p w14:paraId="1C78FC09" w14:textId="7D134D06" w:rsidR="00C53BB1" w:rsidRPr="00D91B35" w:rsidRDefault="00077C40" w:rsidP="00387006">
            <w:pPr>
              <w:rPr>
                <w:rFonts w:ascii="Times New Roman" w:hAnsi="Times New Roman" w:cs="Times New Roman"/>
                <w:b/>
                <w:bCs/>
                <w:sz w:val="16"/>
                <w:szCs w:val="16"/>
              </w:rPr>
            </w:pPr>
            <w:r>
              <w:rPr>
                <w:rFonts w:ascii="Times New Roman" w:hAnsi="Times New Roman"/>
                <w:b/>
                <w:sz w:val="16"/>
              </w:rPr>
              <w:t>Nīderlande</w:t>
            </w:r>
          </w:p>
        </w:tc>
        <w:tc>
          <w:tcPr>
            <w:tcW w:w="359" w:type="pct"/>
            <w:tcBorders>
              <w:bottom w:val="single" w:sz="4" w:space="0" w:color="auto"/>
            </w:tcBorders>
            <w:shd w:val="clear" w:color="auto" w:fill="D9D9D9" w:themeFill="background1" w:themeFillShade="D9"/>
          </w:tcPr>
          <w:p w14:paraId="6869B331" w14:textId="6C776A6B" w:rsidR="00C53BB1" w:rsidRPr="00D91B35" w:rsidRDefault="00077C40" w:rsidP="00077C40">
            <w:pPr>
              <w:pStyle w:val="Default"/>
              <w:rPr>
                <w:sz w:val="16"/>
                <w:szCs w:val="16"/>
              </w:rPr>
            </w:pPr>
            <w:r>
              <w:rPr>
                <w:sz w:val="16"/>
              </w:rPr>
              <w:t>(Ocke et al., 2008)</w:t>
            </w:r>
          </w:p>
        </w:tc>
        <w:tc>
          <w:tcPr>
            <w:tcW w:w="839" w:type="pct"/>
            <w:tcBorders>
              <w:bottom w:val="single" w:sz="4" w:space="0" w:color="auto"/>
            </w:tcBorders>
            <w:shd w:val="clear" w:color="auto" w:fill="D9D9D9" w:themeFill="background1" w:themeFillShade="D9"/>
          </w:tcPr>
          <w:p w14:paraId="3A0C5B68" w14:textId="725EF3B1" w:rsidR="00C53BB1" w:rsidRPr="00D91B35" w:rsidRDefault="00077C40" w:rsidP="00077C40">
            <w:pPr>
              <w:pStyle w:val="Default"/>
              <w:rPr>
                <w:sz w:val="16"/>
                <w:szCs w:val="16"/>
              </w:rPr>
            </w:pPr>
            <w:r>
              <w:rPr>
                <w:sz w:val="16"/>
              </w:rPr>
              <w:t>2 dienu uztura pieraksts (par divām savstarpēji nesaistītām dienām)</w:t>
            </w:r>
          </w:p>
        </w:tc>
        <w:tc>
          <w:tcPr>
            <w:tcW w:w="196" w:type="pct"/>
            <w:tcBorders>
              <w:bottom w:val="single" w:sz="4" w:space="0" w:color="auto"/>
            </w:tcBorders>
            <w:shd w:val="clear" w:color="auto" w:fill="D9D9D9" w:themeFill="background1" w:themeFillShade="D9"/>
          </w:tcPr>
          <w:p w14:paraId="071B813F" w14:textId="01C4E84A" w:rsidR="00C53BB1" w:rsidRPr="00D91B35" w:rsidRDefault="002A5407" w:rsidP="00387006">
            <w:pPr>
              <w:rPr>
                <w:rFonts w:ascii="Times New Roman" w:hAnsi="Times New Roman" w:cs="Times New Roman"/>
                <w:sz w:val="16"/>
                <w:szCs w:val="16"/>
              </w:rPr>
            </w:pPr>
            <w:r>
              <w:rPr>
                <w:rFonts w:ascii="Times New Roman" w:hAnsi="Times New Roman"/>
                <w:sz w:val="16"/>
              </w:rPr>
              <w:t>327</w:t>
            </w:r>
          </w:p>
        </w:tc>
        <w:tc>
          <w:tcPr>
            <w:tcW w:w="122" w:type="pct"/>
            <w:tcBorders>
              <w:bottom w:val="single" w:sz="4" w:space="0" w:color="auto"/>
            </w:tcBorders>
            <w:shd w:val="clear" w:color="auto" w:fill="D9D9D9" w:themeFill="background1" w:themeFillShade="D9"/>
          </w:tcPr>
          <w:p w14:paraId="453A06E8" w14:textId="77777777" w:rsidR="00C53BB1" w:rsidRPr="00D91B35" w:rsidRDefault="00C53BB1" w:rsidP="00387006">
            <w:pPr>
              <w:rPr>
                <w:rFonts w:ascii="Times New Roman" w:hAnsi="Times New Roman" w:cs="Times New Roman"/>
                <w:sz w:val="16"/>
                <w:szCs w:val="16"/>
              </w:rPr>
            </w:pPr>
          </w:p>
        </w:tc>
        <w:tc>
          <w:tcPr>
            <w:tcW w:w="183" w:type="pct"/>
            <w:tcBorders>
              <w:bottom w:val="single" w:sz="4" w:space="0" w:color="auto"/>
            </w:tcBorders>
            <w:shd w:val="clear" w:color="auto" w:fill="D9D9D9" w:themeFill="background1" w:themeFillShade="D9"/>
          </w:tcPr>
          <w:p w14:paraId="5E27D4E3" w14:textId="19640380" w:rsidR="00C53BB1" w:rsidRPr="00D91B35" w:rsidRDefault="002A5407" w:rsidP="00387006">
            <w:pPr>
              <w:rPr>
                <w:rFonts w:ascii="Times New Roman" w:hAnsi="Times New Roman" w:cs="Times New Roman"/>
                <w:sz w:val="16"/>
                <w:szCs w:val="16"/>
              </w:rPr>
            </w:pPr>
            <w:r>
              <w:rPr>
                <w:rFonts w:ascii="Times New Roman" w:hAnsi="Times New Roman"/>
                <w:sz w:val="16"/>
              </w:rPr>
              <w:t>2</w:t>
            </w:r>
          </w:p>
        </w:tc>
        <w:tc>
          <w:tcPr>
            <w:tcW w:w="105" w:type="pct"/>
            <w:tcBorders>
              <w:bottom w:val="single" w:sz="4" w:space="0" w:color="auto"/>
            </w:tcBorders>
            <w:shd w:val="clear" w:color="auto" w:fill="D9D9D9" w:themeFill="background1" w:themeFillShade="D9"/>
          </w:tcPr>
          <w:p w14:paraId="391EE3CE" w14:textId="77777777" w:rsidR="00C53BB1" w:rsidRPr="00D91B35" w:rsidRDefault="00C53BB1" w:rsidP="00387006">
            <w:pPr>
              <w:rPr>
                <w:rFonts w:ascii="Times New Roman" w:hAnsi="Times New Roman" w:cs="Times New Roman"/>
                <w:sz w:val="16"/>
                <w:szCs w:val="16"/>
              </w:rPr>
            </w:pPr>
          </w:p>
        </w:tc>
        <w:tc>
          <w:tcPr>
            <w:tcW w:w="186" w:type="pct"/>
            <w:tcBorders>
              <w:bottom w:val="single" w:sz="4" w:space="0" w:color="auto"/>
            </w:tcBorders>
            <w:shd w:val="clear" w:color="auto" w:fill="D9D9D9" w:themeFill="background1" w:themeFillShade="D9"/>
          </w:tcPr>
          <w:p w14:paraId="7116196B" w14:textId="4433C370" w:rsidR="00C53BB1" w:rsidRPr="00D91B35" w:rsidRDefault="002A5407" w:rsidP="00387006">
            <w:pPr>
              <w:rPr>
                <w:rFonts w:ascii="Times New Roman" w:hAnsi="Times New Roman" w:cs="Times New Roman"/>
                <w:sz w:val="16"/>
                <w:szCs w:val="16"/>
              </w:rPr>
            </w:pPr>
            <w:r>
              <w:rPr>
                <w:rFonts w:ascii="Times New Roman" w:hAnsi="Times New Roman"/>
                <w:sz w:val="16"/>
              </w:rPr>
              <w:t>3</w:t>
            </w:r>
          </w:p>
        </w:tc>
        <w:tc>
          <w:tcPr>
            <w:tcW w:w="609" w:type="pct"/>
            <w:tcBorders>
              <w:bottom w:val="single" w:sz="4" w:space="0" w:color="auto"/>
            </w:tcBorders>
            <w:shd w:val="clear" w:color="auto" w:fill="D9D9D9" w:themeFill="background1" w:themeFillShade="D9"/>
          </w:tcPr>
          <w:p w14:paraId="77DA17ED" w14:textId="77777777" w:rsidR="00C53BB1" w:rsidRPr="00D91B35" w:rsidRDefault="00C53BB1" w:rsidP="00387006">
            <w:pPr>
              <w:rPr>
                <w:rFonts w:ascii="Times New Roman" w:hAnsi="Times New Roman" w:cs="Times New Roman"/>
                <w:sz w:val="16"/>
                <w:szCs w:val="16"/>
              </w:rPr>
            </w:pPr>
          </w:p>
        </w:tc>
        <w:tc>
          <w:tcPr>
            <w:tcW w:w="237" w:type="pct"/>
            <w:tcBorders>
              <w:bottom w:val="single" w:sz="4" w:space="0" w:color="auto"/>
            </w:tcBorders>
            <w:shd w:val="clear" w:color="auto" w:fill="D9D9D9" w:themeFill="background1" w:themeFillShade="D9"/>
          </w:tcPr>
          <w:p w14:paraId="04D4DB42" w14:textId="74AB3CB9" w:rsidR="00C53BB1" w:rsidRPr="00D91B35" w:rsidRDefault="002A5407" w:rsidP="00387006">
            <w:pPr>
              <w:rPr>
                <w:rFonts w:ascii="Times New Roman" w:hAnsi="Times New Roman" w:cs="Times New Roman"/>
                <w:sz w:val="16"/>
                <w:szCs w:val="16"/>
              </w:rPr>
            </w:pPr>
            <w:r>
              <w:rPr>
                <w:rFonts w:ascii="Times New Roman" w:hAnsi="Times New Roman"/>
                <w:sz w:val="16"/>
              </w:rPr>
              <w:t>795,0</w:t>
            </w:r>
          </w:p>
        </w:tc>
        <w:tc>
          <w:tcPr>
            <w:tcW w:w="251" w:type="pct"/>
            <w:tcBorders>
              <w:bottom w:val="single" w:sz="4" w:space="0" w:color="auto"/>
            </w:tcBorders>
            <w:shd w:val="clear" w:color="auto" w:fill="D9D9D9" w:themeFill="background1" w:themeFillShade="D9"/>
          </w:tcPr>
          <w:p w14:paraId="74EC25B3" w14:textId="77777777" w:rsidR="00C53BB1" w:rsidRPr="00D91B35" w:rsidRDefault="00C53BB1" w:rsidP="00387006">
            <w:pPr>
              <w:rPr>
                <w:rFonts w:ascii="Times New Roman" w:hAnsi="Times New Roman" w:cs="Times New Roman"/>
                <w:sz w:val="16"/>
                <w:szCs w:val="16"/>
              </w:rPr>
            </w:pPr>
          </w:p>
        </w:tc>
        <w:tc>
          <w:tcPr>
            <w:tcW w:w="237" w:type="pct"/>
            <w:tcBorders>
              <w:bottom w:val="single" w:sz="4" w:space="0" w:color="auto"/>
            </w:tcBorders>
            <w:shd w:val="clear" w:color="auto" w:fill="D9D9D9" w:themeFill="background1" w:themeFillShade="D9"/>
          </w:tcPr>
          <w:p w14:paraId="226F431C" w14:textId="77777777" w:rsidR="00C53BB1" w:rsidRPr="00D91B35" w:rsidRDefault="00C53BB1" w:rsidP="00387006">
            <w:pPr>
              <w:rPr>
                <w:rFonts w:ascii="Times New Roman" w:hAnsi="Times New Roman" w:cs="Times New Roman"/>
                <w:sz w:val="16"/>
                <w:szCs w:val="16"/>
              </w:rPr>
            </w:pPr>
          </w:p>
        </w:tc>
        <w:tc>
          <w:tcPr>
            <w:tcW w:w="237" w:type="pct"/>
            <w:tcBorders>
              <w:bottom w:val="single" w:sz="4" w:space="0" w:color="auto"/>
            </w:tcBorders>
            <w:shd w:val="clear" w:color="auto" w:fill="D9D9D9" w:themeFill="background1" w:themeFillShade="D9"/>
          </w:tcPr>
          <w:p w14:paraId="221AEDA9" w14:textId="77777777" w:rsidR="00C53BB1" w:rsidRPr="00D91B35" w:rsidRDefault="00C53BB1" w:rsidP="00387006">
            <w:pPr>
              <w:rPr>
                <w:rFonts w:ascii="Times New Roman" w:hAnsi="Times New Roman" w:cs="Times New Roman"/>
                <w:sz w:val="16"/>
                <w:szCs w:val="16"/>
              </w:rPr>
            </w:pPr>
          </w:p>
        </w:tc>
        <w:tc>
          <w:tcPr>
            <w:tcW w:w="237" w:type="pct"/>
            <w:tcBorders>
              <w:bottom w:val="single" w:sz="4" w:space="0" w:color="auto"/>
            </w:tcBorders>
            <w:shd w:val="clear" w:color="auto" w:fill="D9D9D9" w:themeFill="background1" w:themeFillShade="D9"/>
          </w:tcPr>
          <w:p w14:paraId="216E3F0C" w14:textId="4E84F6D0" w:rsidR="00C53BB1" w:rsidRPr="00D91B35" w:rsidRDefault="002A5407" w:rsidP="00387006">
            <w:pPr>
              <w:rPr>
                <w:rFonts w:ascii="Times New Roman" w:hAnsi="Times New Roman" w:cs="Times New Roman"/>
                <w:sz w:val="16"/>
                <w:szCs w:val="16"/>
              </w:rPr>
            </w:pPr>
            <w:r>
              <w:rPr>
                <w:rFonts w:ascii="Times New Roman" w:hAnsi="Times New Roman"/>
                <w:sz w:val="16"/>
              </w:rPr>
              <w:t>1 184,0</w:t>
            </w:r>
          </w:p>
        </w:tc>
        <w:tc>
          <w:tcPr>
            <w:tcW w:w="237" w:type="pct"/>
            <w:tcBorders>
              <w:bottom w:val="single" w:sz="4" w:space="0" w:color="auto"/>
            </w:tcBorders>
            <w:shd w:val="clear" w:color="auto" w:fill="D9D9D9" w:themeFill="background1" w:themeFillShade="D9"/>
          </w:tcPr>
          <w:p w14:paraId="1D7579D7" w14:textId="77777777" w:rsidR="00C53BB1" w:rsidRPr="00D91B35" w:rsidRDefault="00C53BB1" w:rsidP="00387006">
            <w:pPr>
              <w:rPr>
                <w:rFonts w:ascii="Times New Roman" w:hAnsi="Times New Roman" w:cs="Times New Roman"/>
                <w:sz w:val="16"/>
                <w:szCs w:val="16"/>
              </w:rPr>
            </w:pPr>
          </w:p>
        </w:tc>
      </w:tr>
      <w:tr w:rsidR="00077C40" w:rsidRPr="00D91B35" w14:paraId="72567B7B" w14:textId="77777777" w:rsidTr="008A656B">
        <w:tc>
          <w:tcPr>
            <w:tcW w:w="374" w:type="pct"/>
            <w:tcBorders>
              <w:top w:val="single" w:sz="4" w:space="0" w:color="auto"/>
              <w:bottom w:val="single" w:sz="4" w:space="0" w:color="auto"/>
            </w:tcBorders>
            <w:shd w:val="clear" w:color="auto" w:fill="D9D9D9" w:themeFill="background1" w:themeFillShade="D9"/>
          </w:tcPr>
          <w:p w14:paraId="4B122155" w14:textId="438A0A6A" w:rsidR="00C53BB1" w:rsidRPr="00D91B35" w:rsidRDefault="00077C40" w:rsidP="00387006">
            <w:pPr>
              <w:rPr>
                <w:rFonts w:ascii="Times New Roman" w:hAnsi="Times New Roman" w:cs="Times New Roman"/>
                <w:b/>
                <w:bCs/>
                <w:sz w:val="16"/>
                <w:szCs w:val="16"/>
              </w:rPr>
            </w:pPr>
            <w:r>
              <w:rPr>
                <w:rFonts w:ascii="Times New Roman" w:hAnsi="Times New Roman"/>
                <w:b/>
                <w:sz w:val="16"/>
              </w:rPr>
              <w:t>Pārtika un bagātinātāji</w:t>
            </w:r>
          </w:p>
        </w:tc>
        <w:tc>
          <w:tcPr>
            <w:tcW w:w="231" w:type="pct"/>
            <w:tcBorders>
              <w:top w:val="single" w:sz="4" w:space="0" w:color="auto"/>
              <w:bottom w:val="single" w:sz="4" w:space="0" w:color="auto"/>
            </w:tcBorders>
            <w:shd w:val="clear" w:color="auto" w:fill="D9D9D9" w:themeFill="background1" w:themeFillShade="D9"/>
          </w:tcPr>
          <w:p w14:paraId="11958808" w14:textId="341A6DCE" w:rsidR="00C53BB1" w:rsidRPr="00D91B35" w:rsidRDefault="00077C40" w:rsidP="00387006">
            <w:pPr>
              <w:rPr>
                <w:rFonts w:ascii="Times New Roman" w:hAnsi="Times New Roman" w:cs="Times New Roman"/>
                <w:b/>
                <w:bCs/>
                <w:sz w:val="16"/>
                <w:szCs w:val="16"/>
              </w:rPr>
            </w:pPr>
            <w:r>
              <w:rPr>
                <w:rFonts w:ascii="Times New Roman" w:hAnsi="Times New Roman"/>
                <w:b/>
                <w:sz w:val="16"/>
              </w:rPr>
              <w:t>Zēni un meitenes</w:t>
            </w:r>
          </w:p>
        </w:tc>
        <w:tc>
          <w:tcPr>
            <w:tcW w:w="358" w:type="pct"/>
            <w:tcBorders>
              <w:top w:val="single" w:sz="4" w:space="0" w:color="auto"/>
              <w:bottom w:val="single" w:sz="4" w:space="0" w:color="auto"/>
            </w:tcBorders>
            <w:shd w:val="clear" w:color="auto" w:fill="D9D9D9" w:themeFill="background1" w:themeFillShade="D9"/>
          </w:tcPr>
          <w:p w14:paraId="30905FB1" w14:textId="0DFF5AE0" w:rsidR="00C53BB1" w:rsidRPr="00D91B35" w:rsidRDefault="00077C40" w:rsidP="00387006">
            <w:pPr>
              <w:rPr>
                <w:rFonts w:ascii="Times New Roman" w:hAnsi="Times New Roman" w:cs="Times New Roman"/>
                <w:b/>
                <w:bCs/>
                <w:sz w:val="16"/>
                <w:szCs w:val="16"/>
              </w:rPr>
            </w:pPr>
            <w:r>
              <w:rPr>
                <w:rFonts w:ascii="Times New Roman" w:hAnsi="Times New Roman"/>
                <w:b/>
                <w:sz w:val="16"/>
              </w:rPr>
              <w:t>Apvienotā Karaliste</w:t>
            </w:r>
          </w:p>
        </w:tc>
        <w:tc>
          <w:tcPr>
            <w:tcW w:w="359" w:type="pct"/>
            <w:tcBorders>
              <w:top w:val="single" w:sz="4" w:space="0" w:color="auto"/>
              <w:bottom w:val="single" w:sz="4" w:space="0" w:color="auto"/>
            </w:tcBorders>
            <w:shd w:val="clear" w:color="auto" w:fill="D9D9D9" w:themeFill="background1" w:themeFillShade="D9"/>
          </w:tcPr>
          <w:p w14:paraId="2DB3D967" w14:textId="31A5D53E" w:rsidR="00C53BB1" w:rsidRPr="00D91B35" w:rsidRDefault="00077C40" w:rsidP="00077C40">
            <w:pPr>
              <w:pStyle w:val="Default"/>
              <w:rPr>
                <w:sz w:val="16"/>
                <w:szCs w:val="16"/>
              </w:rPr>
            </w:pPr>
            <w:r>
              <w:rPr>
                <w:sz w:val="16"/>
              </w:rPr>
              <w:t>(Bates et al., 2011)</w:t>
            </w:r>
          </w:p>
        </w:tc>
        <w:tc>
          <w:tcPr>
            <w:tcW w:w="839" w:type="pct"/>
            <w:tcBorders>
              <w:top w:val="single" w:sz="4" w:space="0" w:color="auto"/>
              <w:bottom w:val="single" w:sz="4" w:space="0" w:color="auto"/>
            </w:tcBorders>
            <w:shd w:val="clear" w:color="auto" w:fill="D9D9D9" w:themeFill="background1" w:themeFillShade="D9"/>
          </w:tcPr>
          <w:p w14:paraId="67A7FE8F" w14:textId="2A457E8C" w:rsidR="00C53BB1" w:rsidRPr="00D91B35" w:rsidRDefault="00077C40" w:rsidP="00077C40">
            <w:pPr>
              <w:pStyle w:val="Default"/>
              <w:rPr>
                <w:sz w:val="16"/>
                <w:szCs w:val="16"/>
              </w:rPr>
            </w:pPr>
            <w:r>
              <w:rPr>
                <w:sz w:val="16"/>
              </w:rPr>
              <w:t>4 dienu uztura dienasgrāmata</w:t>
            </w:r>
          </w:p>
        </w:tc>
        <w:tc>
          <w:tcPr>
            <w:tcW w:w="196" w:type="pct"/>
            <w:tcBorders>
              <w:top w:val="single" w:sz="4" w:space="0" w:color="auto"/>
              <w:bottom w:val="single" w:sz="4" w:space="0" w:color="auto"/>
            </w:tcBorders>
            <w:shd w:val="clear" w:color="auto" w:fill="D9D9D9" w:themeFill="background1" w:themeFillShade="D9"/>
          </w:tcPr>
          <w:p w14:paraId="32DDB25B" w14:textId="241F3EC1" w:rsidR="00C53BB1" w:rsidRPr="00D91B35" w:rsidRDefault="002A5407" w:rsidP="00387006">
            <w:pPr>
              <w:rPr>
                <w:rFonts w:ascii="Times New Roman" w:hAnsi="Times New Roman" w:cs="Times New Roman"/>
                <w:sz w:val="16"/>
                <w:szCs w:val="16"/>
              </w:rPr>
            </w:pPr>
            <w:r>
              <w:rPr>
                <w:rFonts w:ascii="Times New Roman" w:hAnsi="Times New Roman"/>
                <w:sz w:val="16"/>
              </w:rPr>
              <w:t>219</w:t>
            </w:r>
          </w:p>
        </w:tc>
        <w:tc>
          <w:tcPr>
            <w:tcW w:w="122" w:type="pct"/>
            <w:tcBorders>
              <w:top w:val="single" w:sz="4" w:space="0" w:color="auto"/>
              <w:bottom w:val="single" w:sz="4" w:space="0" w:color="auto"/>
            </w:tcBorders>
            <w:shd w:val="clear" w:color="auto" w:fill="D9D9D9" w:themeFill="background1" w:themeFillShade="D9"/>
          </w:tcPr>
          <w:p w14:paraId="7E1010F1" w14:textId="77777777" w:rsidR="00C53BB1" w:rsidRPr="00D91B35" w:rsidRDefault="00C53BB1" w:rsidP="00387006">
            <w:pPr>
              <w:rPr>
                <w:rFonts w:ascii="Times New Roman" w:hAnsi="Times New Roman" w:cs="Times New Roman"/>
                <w:sz w:val="16"/>
                <w:szCs w:val="16"/>
              </w:rPr>
            </w:pPr>
          </w:p>
        </w:tc>
        <w:tc>
          <w:tcPr>
            <w:tcW w:w="183" w:type="pct"/>
            <w:tcBorders>
              <w:top w:val="single" w:sz="4" w:space="0" w:color="auto"/>
              <w:bottom w:val="single" w:sz="4" w:space="0" w:color="auto"/>
            </w:tcBorders>
            <w:shd w:val="clear" w:color="auto" w:fill="D9D9D9" w:themeFill="background1" w:themeFillShade="D9"/>
          </w:tcPr>
          <w:p w14:paraId="4966DD1E" w14:textId="02780D33" w:rsidR="00C53BB1" w:rsidRPr="00D91B35" w:rsidRDefault="002A5407" w:rsidP="00387006">
            <w:pPr>
              <w:rPr>
                <w:rFonts w:ascii="Times New Roman" w:hAnsi="Times New Roman" w:cs="Times New Roman"/>
                <w:sz w:val="16"/>
                <w:szCs w:val="16"/>
              </w:rPr>
            </w:pPr>
            <w:r>
              <w:rPr>
                <w:rFonts w:ascii="Times New Roman" w:hAnsi="Times New Roman"/>
                <w:sz w:val="16"/>
              </w:rPr>
              <w:t>1,5</w:t>
            </w:r>
          </w:p>
        </w:tc>
        <w:tc>
          <w:tcPr>
            <w:tcW w:w="105" w:type="pct"/>
            <w:tcBorders>
              <w:top w:val="single" w:sz="4" w:space="0" w:color="auto"/>
              <w:bottom w:val="single" w:sz="4" w:space="0" w:color="auto"/>
            </w:tcBorders>
            <w:shd w:val="clear" w:color="auto" w:fill="D9D9D9" w:themeFill="background1" w:themeFillShade="D9"/>
          </w:tcPr>
          <w:p w14:paraId="0A3DB393" w14:textId="77777777" w:rsidR="00C53BB1" w:rsidRPr="00D91B35" w:rsidRDefault="00C53BB1" w:rsidP="00387006">
            <w:pPr>
              <w:rPr>
                <w:rFonts w:ascii="Times New Roman" w:hAnsi="Times New Roman" w:cs="Times New Roman"/>
                <w:sz w:val="16"/>
                <w:szCs w:val="16"/>
              </w:rPr>
            </w:pPr>
          </w:p>
        </w:tc>
        <w:tc>
          <w:tcPr>
            <w:tcW w:w="186" w:type="pct"/>
            <w:tcBorders>
              <w:top w:val="single" w:sz="4" w:space="0" w:color="auto"/>
              <w:bottom w:val="single" w:sz="4" w:space="0" w:color="auto"/>
            </w:tcBorders>
            <w:shd w:val="clear" w:color="auto" w:fill="D9D9D9" w:themeFill="background1" w:themeFillShade="D9"/>
          </w:tcPr>
          <w:p w14:paraId="7C1EC28D" w14:textId="10DD7209" w:rsidR="00C53BB1" w:rsidRPr="00D91B35" w:rsidRDefault="002A5407" w:rsidP="00387006">
            <w:pPr>
              <w:rPr>
                <w:rFonts w:ascii="Times New Roman" w:hAnsi="Times New Roman" w:cs="Times New Roman"/>
                <w:sz w:val="16"/>
                <w:szCs w:val="16"/>
              </w:rPr>
            </w:pPr>
            <w:r>
              <w:rPr>
                <w:rFonts w:ascii="Times New Roman" w:hAnsi="Times New Roman"/>
                <w:sz w:val="16"/>
              </w:rPr>
              <w:t>3</w:t>
            </w:r>
          </w:p>
        </w:tc>
        <w:tc>
          <w:tcPr>
            <w:tcW w:w="609" w:type="pct"/>
            <w:tcBorders>
              <w:top w:val="single" w:sz="4" w:space="0" w:color="auto"/>
              <w:bottom w:val="single" w:sz="4" w:space="0" w:color="auto"/>
            </w:tcBorders>
            <w:shd w:val="clear" w:color="auto" w:fill="D9D9D9" w:themeFill="background1" w:themeFillShade="D9"/>
          </w:tcPr>
          <w:p w14:paraId="431A853F" w14:textId="77777777" w:rsidR="00C53BB1" w:rsidRPr="00D91B35" w:rsidRDefault="00C53BB1" w:rsidP="00387006">
            <w:pPr>
              <w:rPr>
                <w:rFonts w:ascii="Times New Roman" w:hAnsi="Times New Roman" w:cs="Times New Roman"/>
                <w:sz w:val="16"/>
                <w:szCs w:val="16"/>
              </w:rPr>
            </w:pPr>
          </w:p>
        </w:tc>
        <w:tc>
          <w:tcPr>
            <w:tcW w:w="237" w:type="pct"/>
            <w:tcBorders>
              <w:top w:val="single" w:sz="4" w:space="0" w:color="auto"/>
              <w:bottom w:val="single" w:sz="4" w:space="0" w:color="auto"/>
            </w:tcBorders>
            <w:shd w:val="clear" w:color="auto" w:fill="D9D9D9" w:themeFill="background1" w:themeFillShade="D9"/>
          </w:tcPr>
          <w:p w14:paraId="6B769C9F" w14:textId="4B27E0D4" w:rsidR="00C53BB1" w:rsidRPr="00D91B35" w:rsidRDefault="002A5407" w:rsidP="00387006">
            <w:pPr>
              <w:rPr>
                <w:rFonts w:ascii="Times New Roman" w:hAnsi="Times New Roman" w:cs="Times New Roman"/>
                <w:sz w:val="16"/>
                <w:szCs w:val="16"/>
              </w:rPr>
            </w:pPr>
            <w:r>
              <w:rPr>
                <w:rFonts w:ascii="Times New Roman" w:hAnsi="Times New Roman"/>
                <w:sz w:val="16"/>
              </w:rPr>
              <w:t>775,0</w:t>
            </w:r>
          </w:p>
        </w:tc>
        <w:tc>
          <w:tcPr>
            <w:tcW w:w="251" w:type="pct"/>
            <w:tcBorders>
              <w:top w:val="single" w:sz="4" w:space="0" w:color="auto"/>
              <w:bottom w:val="single" w:sz="4" w:space="0" w:color="auto"/>
            </w:tcBorders>
            <w:shd w:val="clear" w:color="auto" w:fill="D9D9D9" w:themeFill="background1" w:themeFillShade="D9"/>
          </w:tcPr>
          <w:p w14:paraId="40637EB1" w14:textId="77777777" w:rsidR="00C53BB1" w:rsidRPr="00D91B35" w:rsidRDefault="00C53BB1" w:rsidP="00387006">
            <w:pPr>
              <w:rPr>
                <w:rFonts w:ascii="Times New Roman" w:hAnsi="Times New Roman" w:cs="Times New Roman"/>
                <w:sz w:val="16"/>
                <w:szCs w:val="16"/>
              </w:rPr>
            </w:pPr>
          </w:p>
        </w:tc>
        <w:tc>
          <w:tcPr>
            <w:tcW w:w="237" w:type="pct"/>
            <w:tcBorders>
              <w:top w:val="single" w:sz="4" w:space="0" w:color="auto"/>
              <w:bottom w:val="single" w:sz="4" w:space="0" w:color="auto"/>
            </w:tcBorders>
            <w:shd w:val="clear" w:color="auto" w:fill="D9D9D9" w:themeFill="background1" w:themeFillShade="D9"/>
          </w:tcPr>
          <w:p w14:paraId="44001AC0" w14:textId="77777777" w:rsidR="00C53BB1" w:rsidRPr="00D91B35" w:rsidRDefault="00C53BB1" w:rsidP="00387006">
            <w:pPr>
              <w:rPr>
                <w:rFonts w:ascii="Times New Roman" w:hAnsi="Times New Roman" w:cs="Times New Roman"/>
                <w:sz w:val="16"/>
                <w:szCs w:val="16"/>
              </w:rPr>
            </w:pPr>
          </w:p>
        </w:tc>
        <w:tc>
          <w:tcPr>
            <w:tcW w:w="237" w:type="pct"/>
            <w:tcBorders>
              <w:top w:val="single" w:sz="4" w:space="0" w:color="auto"/>
              <w:bottom w:val="single" w:sz="4" w:space="0" w:color="auto"/>
            </w:tcBorders>
            <w:shd w:val="clear" w:color="auto" w:fill="D9D9D9" w:themeFill="background1" w:themeFillShade="D9"/>
          </w:tcPr>
          <w:p w14:paraId="1A4FA50C" w14:textId="77777777" w:rsidR="00C53BB1" w:rsidRPr="00D91B35" w:rsidRDefault="00C53BB1" w:rsidP="00387006">
            <w:pPr>
              <w:rPr>
                <w:rFonts w:ascii="Times New Roman" w:hAnsi="Times New Roman" w:cs="Times New Roman"/>
                <w:sz w:val="16"/>
                <w:szCs w:val="16"/>
              </w:rPr>
            </w:pPr>
          </w:p>
        </w:tc>
        <w:tc>
          <w:tcPr>
            <w:tcW w:w="237" w:type="pct"/>
            <w:tcBorders>
              <w:top w:val="single" w:sz="4" w:space="0" w:color="auto"/>
              <w:bottom w:val="single" w:sz="4" w:space="0" w:color="auto"/>
            </w:tcBorders>
            <w:shd w:val="clear" w:color="auto" w:fill="D9D9D9" w:themeFill="background1" w:themeFillShade="D9"/>
          </w:tcPr>
          <w:p w14:paraId="530F1868" w14:textId="7E1C2F4D" w:rsidR="00C53BB1" w:rsidRPr="00D91B35" w:rsidRDefault="00C53BB1" w:rsidP="00387006">
            <w:pPr>
              <w:rPr>
                <w:rFonts w:ascii="Times New Roman" w:hAnsi="Times New Roman" w:cs="Times New Roman"/>
                <w:sz w:val="16"/>
                <w:szCs w:val="16"/>
              </w:rPr>
            </w:pPr>
          </w:p>
        </w:tc>
        <w:tc>
          <w:tcPr>
            <w:tcW w:w="237" w:type="pct"/>
            <w:tcBorders>
              <w:top w:val="single" w:sz="4" w:space="0" w:color="auto"/>
              <w:bottom w:val="single" w:sz="4" w:space="0" w:color="auto"/>
            </w:tcBorders>
            <w:shd w:val="clear" w:color="auto" w:fill="D9D9D9" w:themeFill="background1" w:themeFillShade="D9"/>
          </w:tcPr>
          <w:p w14:paraId="052833C3" w14:textId="6ABEC0BD" w:rsidR="00C53BB1" w:rsidRPr="00D91B35" w:rsidRDefault="002A5407" w:rsidP="00387006">
            <w:pPr>
              <w:rPr>
                <w:rFonts w:ascii="Times New Roman" w:hAnsi="Times New Roman" w:cs="Times New Roman"/>
                <w:sz w:val="16"/>
                <w:szCs w:val="16"/>
              </w:rPr>
            </w:pPr>
            <w:r>
              <w:rPr>
                <w:rFonts w:ascii="Times New Roman" w:hAnsi="Times New Roman"/>
                <w:sz w:val="16"/>
              </w:rPr>
              <w:t>1 365,0</w:t>
            </w:r>
          </w:p>
        </w:tc>
      </w:tr>
      <w:tr w:rsidR="00387006" w:rsidRPr="00D91B35" w14:paraId="4D4451C0" w14:textId="77777777" w:rsidTr="008A656B">
        <w:tc>
          <w:tcPr>
            <w:tcW w:w="374" w:type="pct"/>
            <w:tcBorders>
              <w:top w:val="single" w:sz="4" w:space="0" w:color="auto"/>
            </w:tcBorders>
          </w:tcPr>
          <w:p w14:paraId="7ACC0DFF" w14:textId="731789D2" w:rsidR="00C53BB1" w:rsidRPr="00D91B35" w:rsidRDefault="00077C40" w:rsidP="00387006">
            <w:pPr>
              <w:rPr>
                <w:rFonts w:ascii="Times New Roman" w:hAnsi="Times New Roman" w:cs="Times New Roman"/>
                <w:b/>
                <w:bCs/>
                <w:sz w:val="16"/>
                <w:szCs w:val="16"/>
              </w:rPr>
            </w:pPr>
            <w:r>
              <w:rPr>
                <w:rFonts w:ascii="Times New Roman" w:hAnsi="Times New Roman"/>
                <w:b/>
                <w:sz w:val="16"/>
              </w:rPr>
              <w:t>Pārtika</w:t>
            </w:r>
          </w:p>
        </w:tc>
        <w:tc>
          <w:tcPr>
            <w:tcW w:w="231" w:type="pct"/>
            <w:tcBorders>
              <w:top w:val="single" w:sz="4" w:space="0" w:color="auto"/>
            </w:tcBorders>
          </w:tcPr>
          <w:p w14:paraId="0141FAA2" w14:textId="21B46290" w:rsidR="00C53BB1" w:rsidRPr="00D91B35" w:rsidRDefault="00077C40" w:rsidP="00387006">
            <w:pPr>
              <w:rPr>
                <w:rFonts w:ascii="Times New Roman" w:hAnsi="Times New Roman" w:cs="Times New Roman"/>
                <w:b/>
                <w:bCs/>
                <w:sz w:val="16"/>
                <w:szCs w:val="16"/>
              </w:rPr>
            </w:pPr>
            <w:r>
              <w:rPr>
                <w:rFonts w:ascii="Times New Roman" w:hAnsi="Times New Roman"/>
                <w:b/>
                <w:sz w:val="16"/>
              </w:rPr>
              <w:t>Meitenes</w:t>
            </w:r>
          </w:p>
        </w:tc>
        <w:tc>
          <w:tcPr>
            <w:tcW w:w="358" w:type="pct"/>
            <w:tcBorders>
              <w:top w:val="single" w:sz="4" w:space="0" w:color="auto"/>
            </w:tcBorders>
          </w:tcPr>
          <w:p w14:paraId="5B38CA3A" w14:textId="44F25003" w:rsidR="00C53BB1" w:rsidRPr="00D91B35" w:rsidRDefault="00077C40" w:rsidP="00387006">
            <w:pPr>
              <w:rPr>
                <w:rFonts w:ascii="Times New Roman" w:hAnsi="Times New Roman" w:cs="Times New Roman"/>
                <w:b/>
                <w:bCs/>
                <w:sz w:val="16"/>
                <w:szCs w:val="16"/>
              </w:rPr>
            </w:pPr>
            <w:r>
              <w:rPr>
                <w:rFonts w:ascii="Times New Roman" w:hAnsi="Times New Roman"/>
                <w:b/>
                <w:sz w:val="16"/>
              </w:rPr>
              <w:t>Īrija</w:t>
            </w:r>
          </w:p>
        </w:tc>
        <w:tc>
          <w:tcPr>
            <w:tcW w:w="359" w:type="pct"/>
            <w:tcBorders>
              <w:top w:val="single" w:sz="4" w:space="0" w:color="auto"/>
            </w:tcBorders>
          </w:tcPr>
          <w:p w14:paraId="2CB307D0" w14:textId="488B6586" w:rsidR="00C53BB1" w:rsidRPr="00D91B35" w:rsidRDefault="00077C40" w:rsidP="00077C40">
            <w:pPr>
              <w:pStyle w:val="Default"/>
              <w:rPr>
                <w:sz w:val="16"/>
                <w:szCs w:val="16"/>
              </w:rPr>
            </w:pPr>
            <w:r>
              <w:rPr>
                <w:sz w:val="16"/>
              </w:rPr>
              <w:t>(IUNA (Irish Universities Nutrition Alliance), 2011), a)</w:t>
            </w:r>
          </w:p>
        </w:tc>
        <w:tc>
          <w:tcPr>
            <w:tcW w:w="839" w:type="pct"/>
            <w:tcBorders>
              <w:top w:val="single" w:sz="4" w:space="0" w:color="auto"/>
            </w:tcBorders>
          </w:tcPr>
          <w:p w14:paraId="6B3F755A" w14:textId="52A7EDF0" w:rsidR="00C53BB1" w:rsidRPr="00D91B35" w:rsidRDefault="00077C40" w:rsidP="00387006">
            <w:pPr>
              <w:pStyle w:val="Default"/>
              <w:rPr>
                <w:sz w:val="16"/>
                <w:szCs w:val="16"/>
              </w:rPr>
            </w:pPr>
            <w:r>
              <w:rPr>
                <w:sz w:val="16"/>
              </w:rPr>
              <w:t>7 dienu uztura pieraksts</w:t>
            </w:r>
          </w:p>
        </w:tc>
        <w:tc>
          <w:tcPr>
            <w:tcW w:w="196" w:type="pct"/>
            <w:tcBorders>
              <w:top w:val="single" w:sz="4" w:space="0" w:color="auto"/>
            </w:tcBorders>
            <w:shd w:val="clear" w:color="auto" w:fill="FFFFFF" w:themeFill="background1"/>
          </w:tcPr>
          <w:p w14:paraId="7C85DFC6" w14:textId="525780D7" w:rsidR="00C53BB1" w:rsidRPr="00D91B35" w:rsidRDefault="002A5407" w:rsidP="00387006">
            <w:pPr>
              <w:rPr>
                <w:rFonts w:ascii="Times New Roman" w:hAnsi="Times New Roman" w:cs="Times New Roman"/>
                <w:sz w:val="16"/>
                <w:szCs w:val="16"/>
              </w:rPr>
            </w:pPr>
            <w:r>
              <w:rPr>
                <w:rFonts w:ascii="Times New Roman" w:hAnsi="Times New Roman"/>
                <w:sz w:val="16"/>
              </w:rPr>
              <w:t>301</w:t>
            </w:r>
          </w:p>
        </w:tc>
        <w:tc>
          <w:tcPr>
            <w:tcW w:w="122" w:type="pct"/>
            <w:tcBorders>
              <w:top w:val="single" w:sz="4" w:space="0" w:color="auto"/>
            </w:tcBorders>
            <w:shd w:val="clear" w:color="auto" w:fill="FFFFFF" w:themeFill="background1"/>
          </w:tcPr>
          <w:p w14:paraId="36E6A64B" w14:textId="77777777" w:rsidR="00C53BB1" w:rsidRPr="00D91B35" w:rsidRDefault="00C53BB1" w:rsidP="00387006">
            <w:pPr>
              <w:rPr>
                <w:rFonts w:ascii="Times New Roman" w:hAnsi="Times New Roman" w:cs="Times New Roman"/>
                <w:sz w:val="16"/>
                <w:szCs w:val="16"/>
              </w:rPr>
            </w:pPr>
          </w:p>
        </w:tc>
        <w:tc>
          <w:tcPr>
            <w:tcW w:w="183" w:type="pct"/>
            <w:tcBorders>
              <w:top w:val="single" w:sz="4" w:space="0" w:color="auto"/>
            </w:tcBorders>
            <w:shd w:val="clear" w:color="auto" w:fill="FFFFFF" w:themeFill="background1"/>
          </w:tcPr>
          <w:p w14:paraId="49864C5C" w14:textId="529F0C22" w:rsidR="00C53BB1" w:rsidRPr="00D91B35" w:rsidRDefault="002A5407" w:rsidP="00387006">
            <w:pPr>
              <w:rPr>
                <w:rFonts w:ascii="Times New Roman" w:hAnsi="Times New Roman" w:cs="Times New Roman"/>
                <w:sz w:val="16"/>
                <w:szCs w:val="16"/>
              </w:rPr>
            </w:pPr>
            <w:r>
              <w:rPr>
                <w:rFonts w:ascii="Times New Roman" w:hAnsi="Times New Roman"/>
                <w:sz w:val="16"/>
              </w:rPr>
              <w:t>5</w:t>
            </w:r>
          </w:p>
        </w:tc>
        <w:tc>
          <w:tcPr>
            <w:tcW w:w="105" w:type="pct"/>
            <w:tcBorders>
              <w:top w:val="single" w:sz="4" w:space="0" w:color="auto"/>
            </w:tcBorders>
            <w:shd w:val="clear" w:color="auto" w:fill="FFFFFF" w:themeFill="background1"/>
          </w:tcPr>
          <w:p w14:paraId="402C3958" w14:textId="77777777" w:rsidR="00C53BB1" w:rsidRPr="00D91B35" w:rsidRDefault="00C53BB1" w:rsidP="00387006">
            <w:pPr>
              <w:rPr>
                <w:rFonts w:ascii="Times New Roman" w:hAnsi="Times New Roman" w:cs="Times New Roman"/>
                <w:sz w:val="16"/>
                <w:szCs w:val="16"/>
              </w:rPr>
            </w:pPr>
          </w:p>
        </w:tc>
        <w:tc>
          <w:tcPr>
            <w:tcW w:w="186" w:type="pct"/>
            <w:tcBorders>
              <w:top w:val="single" w:sz="4" w:space="0" w:color="auto"/>
            </w:tcBorders>
            <w:shd w:val="clear" w:color="auto" w:fill="FFFFFF" w:themeFill="background1"/>
          </w:tcPr>
          <w:p w14:paraId="7BA0A93A" w14:textId="51A945CE" w:rsidR="00C53BB1" w:rsidRPr="00D91B35" w:rsidRDefault="002A5407" w:rsidP="00387006">
            <w:pPr>
              <w:rPr>
                <w:rFonts w:ascii="Times New Roman" w:hAnsi="Times New Roman" w:cs="Times New Roman"/>
                <w:sz w:val="16"/>
                <w:szCs w:val="16"/>
              </w:rPr>
            </w:pPr>
            <w:r>
              <w:rPr>
                <w:rFonts w:ascii="Times New Roman" w:hAnsi="Times New Roman"/>
                <w:sz w:val="16"/>
              </w:rPr>
              <w:t>12</w:t>
            </w:r>
          </w:p>
        </w:tc>
        <w:tc>
          <w:tcPr>
            <w:tcW w:w="609" w:type="pct"/>
            <w:tcBorders>
              <w:top w:val="single" w:sz="4" w:space="0" w:color="auto"/>
            </w:tcBorders>
            <w:shd w:val="clear" w:color="auto" w:fill="FFFFFF" w:themeFill="background1"/>
          </w:tcPr>
          <w:p w14:paraId="5D89021E" w14:textId="77777777" w:rsidR="00C53BB1" w:rsidRPr="00D91B35" w:rsidRDefault="00C53BB1" w:rsidP="00387006">
            <w:pPr>
              <w:rPr>
                <w:rFonts w:ascii="Times New Roman" w:hAnsi="Times New Roman" w:cs="Times New Roman"/>
                <w:sz w:val="16"/>
                <w:szCs w:val="16"/>
              </w:rPr>
            </w:pPr>
          </w:p>
        </w:tc>
        <w:tc>
          <w:tcPr>
            <w:tcW w:w="237" w:type="pct"/>
            <w:tcBorders>
              <w:top w:val="single" w:sz="4" w:space="0" w:color="auto"/>
            </w:tcBorders>
            <w:shd w:val="clear" w:color="auto" w:fill="FFFFFF" w:themeFill="background1"/>
          </w:tcPr>
          <w:p w14:paraId="6C23100A" w14:textId="2DE77953" w:rsidR="00C53BB1" w:rsidRPr="00D91B35" w:rsidRDefault="002A5407" w:rsidP="00387006">
            <w:pPr>
              <w:rPr>
                <w:rFonts w:ascii="Times New Roman" w:hAnsi="Times New Roman" w:cs="Times New Roman"/>
                <w:sz w:val="16"/>
                <w:szCs w:val="16"/>
              </w:rPr>
            </w:pPr>
            <w:r>
              <w:rPr>
                <w:rFonts w:ascii="Times New Roman" w:hAnsi="Times New Roman"/>
                <w:sz w:val="16"/>
              </w:rPr>
              <w:t>804,0</w:t>
            </w:r>
          </w:p>
        </w:tc>
        <w:tc>
          <w:tcPr>
            <w:tcW w:w="251" w:type="pct"/>
            <w:tcBorders>
              <w:top w:val="single" w:sz="4" w:space="0" w:color="auto"/>
            </w:tcBorders>
            <w:shd w:val="clear" w:color="auto" w:fill="FFFFFF" w:themeFill="background1"/>
          </w:tcPr>
          <w:p w14:paraId="182B32FE" w14:textId="77777777" w:rsidR="00C53BB1" w:rsidRPr="00D91B35" w:rsidRDefault="00C53BB1" w:rsidP="00387006">
            <w:pPr>
              <w:rPr>
                <w:rFonts w:ascii="Times New Roman" w:hAnsi="Times New Roman" w:cs="Times New Roman"/>
                <w:sz w:val="16"/>
                <w:szCs w:val="16"/>
              </w:rPr>
            </w:pPr>
          </w:p>
        </w:tc>
        <w:tc>
          <w:tcPr>
            <w:tcW w:w="237" w:type="pct"/>
            <w:tcBorders>
              <w:top w:val="single" w:sz="4" w:space="0" w:color="auto"/>
            </w:tcBorders>
            <w:shd w:val="clear" w:color="auto" w:fill="FFFFFF" w:themeFill="background1"/>
          </w:tcPr>
          <w:p w14:paraId="4C4FE85B" w14:textId="77777777" w:rsidR="00C53BB1" w:rsidRPr="00D91B35" w:rsidRDefault="00C53BB1" w:rsidP="00387006">
            <w:pPr>
              <w:rPr>
                <w:rFonts w:ascii="Times New Roman" w:hAnsi="Times New Roman" w:cs="Times New Roman"/>
                <w:sz w:val="16"/>
                <w:szCs w:val="16"/>
              </w:rPr>
            </w:pPr>
          </w:p>
        </w:tc>
        <w:tc>
          <w:tcPr>
            <w:tcW w:w="237" w:type="pct"/>
            <w:tcBorders>
              <w:top w:val="single" w:sz="4" w:space="0" w:color="auto"/>
            </w:tcBorders>
            <w:shd w:val="clear" w:color="auto" w:fill="FFFFFF" w:themeFill="background1"/>
          </w:tcPr>
          <w:p w14:paraId="25D59CBA" w14:textId="77777777" w:rsidR="00C53BB1" w:rsidRPr="00D91B35" w:rsidRDefault="00C53BB1" w:rsidP="00387006">
            <w:pPr>
              <w:rPr>
                <w:rFonts w:ascii="Times New Roman" w:hAnsi="Times New Roman" w:cs="Times New Roman"/>
                <w:sz w:val="16"/>
                <w:szCs w:val="16"/>
              </w:rPr>
            </w:pPr>
          </w:p>
        </w:tc>
        <w:tc>
          <w:tcPr>
            <w:tcW w:w="237" w:type="pct"/>
            <w:tcBorders>
              <w:top w:val="single" w:sz="4" w:space="0" w:color="auto"/>
            </w:tcBorders>
            <w:shd w:val="clear" w:color="auto" w:fill="FFFFFF" w:themeFill="background1"/>
          </w:tcPr>
          <w:p w14:paraId="3091B9BC" w14:textId="5AE3FF91" w:rsidR="00C53BB1" w:rsidRPr="00D91B35" w:rsidRDefault="002A5407" w:rsidP="00387006">
            <w:pPr>
              <w:rPr>
                <w:rFonts w:ascii="Times New Roman" w:hAnsi="Times New Roman" w:cs="Times New Roman"/>
                <w:sz w:val="16"/>
                <w:szCs w:val="16"/>
              </w:rPr>
            </w:pPr>
            <w:r>
              <w:rPr>
                <w:rFonts w:ascii="Times New Roman" w:hAnsi="Times New Roman"/>
                <w:sz w:val="16"/>
              </w:rPr>
              <w:t>1 274,0</w:t>
            </w:r>
          </w:p>
        </w:tc>
        <w:tc>
          <w:tcPr>
            <w:tcW w:w="237" w:type="pct"/>
            <w:tcBorders>
              <w:top w:val="single" w:sz="4" w:space="0" w:color="auto"/>
            </w:tcBorders>
            <w:shd w:val="clear" w:color="auto" w:fill="FFFFFF" w:themeFill="background1"/>
          </w:tcPr>
          <w:p w14:paraId="618F307F" w14:textId="500D5E75" w:rsidR="00C53BB1" w:rsidRPr="00D91B35" w:rsidRDefault="002A5407" w:rsidP="00387006">
            <w:pPr>
              <w:rPr>
                <w:rFonts w:ascii="Times New Roman" w:hAnsi="Times New Roman" w:cs="Times New Roman"/>
                <w:sz w:val="16"/>
                <w:szCs w:val="16"/>
              </w:rPr>
            </w:pPr>
            <w:r>
              <w:rPr>
                <w:rFonts w:ascii="Times New Roman" w:hAnsi="Times New Roman"/>
                <w:sz w:val="16"/>
              </w:rPr>
              <w:t>1 434,0</w:t>
            </w:r>
          </w:p>
        </w:tc>
      </w:tr>
      <w:tr w:rsidR="00387006" w:rsidRPr="00D91B35" w14:paraId="42B47BCF" w14:textId="77777777" w:rsidTr="008A656B">
        <w:tc>
          <w:tcPr>
            <w:tcW w:w="374" w:type="pct"/>
          </w:tcPr>
          <w:p w14:paraId="1A2284E0" w14:textId="77777777" w:rsidR="00FC493B" w:rsidRPr="00D91B35" w:rsidRDefault="00FC493B" w:rsidP="00387006">
            <w:pPr>
              <w:rPr>
                <w:rFonts w:ascii="Times New Roman" w:hAnsi="Times New Roman" w:cs="Times New Roman"/>
                <w:b/>
                <w:bCs/>
                <w:sz w:val="16"/>
                <w:szCs w:val="16"/>
              </w:rPr>
            </w:pPr>
          </w:p>
        </w:tc>
        <w:tc>
          <w:tcPr>
            <w:tcW w:w="231" w:type="pct"/>
          </w:tcPr>
          <w:p w14:paraId="39504F08" w14:textId="77777777" w:rsidR="00FC493B" w:rsidRPr="00D91B35" w:rsidRDefault="00FC493B" w:rsidP="00387006">
            <w:pPr>
              <w:rPr>
                <w:rFonts w:ascii="Times New Roman" w:hAnsi="Times New Roman" w:cs="Times New Roman"/>
                <w:b/>
                <w:bCs/>
                <w:sz w:val="16"/>
                <w:szCs w:val="16"/>
              </w:rPr>
            </w:pPr>
          </w:p>
        </w:tc>
        <w:tc>
          <w:tcPr>
            <w:tcW w:w="358" w:type="pct"/>
          </w:tcPr>
          <w:p w14:paraId="58F4AE96" w14:textId="3AC51BBF" w:rsidR="00FC493B" w:rsidRPr="00D91B35" w:rsidRDefault="00077C40" w:rsidP="00387006">
            <w:pPr>
              <w:rPr>
                <w:rFonts w:ascii="Times New Roman" w:hAnsi="Times New Roman" w:cs="Times New Roman"/>
                <w:b/>
                <w:bCs/>
                <w:sz w:val="16"/>
                <w:szCs w:val="16"/>
              </w:rPr>
            </w:pPr>
            <w:r>
              <w:rPr>
                <w:rFonts w:ascii="Times New Roman" w:hAnsi="Times New Roman"/>
                <w:b/>
                <w:sz w:val="16"/>
              </w:rPr>
              <w:t>Nīderlande</w:t>
            </w:r>
          </w:p>
        </w:tc>
        <w:tc>
          <w:tcPr>
            <w:tcW w:w="359" w:type="pct"/>
          </w:tcPr>
          <w:p w14:paraId="3DDA91AD" w14:textId="4BFD85C8" w:rsidR="00FC493B" w:rsidRPr="00D91B35" w:rsidRDefault="00077C40" w:rsidP="00077C40">
            <w:pPr>
              <w:pStyle w:val="Default"/>
              <w:rPr>
                <w:sz w:val="16"/>
                <w:szCs w:val="16"/>
              </w:rPr>
            </w:pPr>
            <w:r>
              <w:rPr>
                <w:sz w:val="16"/>
              </w:rPr>
              <w:t>(van Rossum et al., 2011)</w:t>
            </w:r>
          </w:p>
        </w:tc>
        <w:tc>
          <w:tcPr>
            <w:tcW w:w="839" w:type="pct"/>
          </w:tcPr>
          <w:p w14:paraId="051363E1" w14:textId="3C976450" w:rsidR="00FC493B" w:rsidRPr="00D91B35" w:rsidRDefault="00077C40" w:rsidP="00387006">
            <w:pPr>
              <w:pStyle w:val="Default"/>
              <w:rPr>
                <w:sz w:val="16"/>
                <w:szCs w:val="16"/>
              </w:rPr>
            </w:pPr>
            <w:r>
              <w:rPr>
                <w:sz w:val="16"/>
              </w:rPr>
              <w:t>Divas nesecīgas  24 stundu atcerēšanās anketas</w:t>
            </w:r>
          </w:p>
        </w:tc>
        <w:tc>
          <w:tcPr>
            <w:tcW w:w="196" w:type="pct"/>
            <w:shd w:val="clear" w:color="auto" w:fill="FFFFFF" w:themeFill="background1"/>
          </w:tcPr>
          <w:p w14:paraId="53EB73E5" w14:textId="0B4A5BCD" w:rsidR="00FC493B" w:rsidRPr="00D91B35" w:rsidRDefault="002A5407" w:rsidP="00387006">
            <w:pPr>
              <w:rPr>
                <w:rFonts w:ascii="Times New Roman" w:hAnsi="Times New Roman" w:cs="Times New Roman"/>
                <w:sz w:val="16"/>
                <w:szCs w:val="16"/>
              </w:rPr>
            </w:pPr>
            <w:r>
              <w:rPr>
                <w:rFonts w:ascii="Times New Roman" w:hAnsi="Times New Roman"/>
                <w:sz w:val="16"/>
              </w:rPr>
              <w:t>151</w:t>
            </w:r>
          </w:p>
        </w:tc>
        <w:tc>
          <w:tcPr>
            <w:tcW w:w="122" w:type="pct"/>
            <w:shd w:val="clear" w:color="auto" w:fill="FFFFFF" w:themeFill="background1"/>
          </w:tcPr>
          <w:p w14:paraId="0ACA0B23" w14:textId="77777777" w:rsidR="00FC493B" w:rsidRPr="00D91B35" w:rsidRDefault="00FC493B" w:rsidP="00387006">
            <w:pPr>
              <w:rPr>
                <w:rFonts w:ascii="Times New Roman" w:hAnsi="Times New Roman" w:cs="Times New Roman"/>
                <w:sz w:val="16"/>
                <w:szCs w:val="16"/>
              </w:rPr>
            </w:pPr>
          </w:p>
        </w:tc>
        <w:tc>
          <w:tcPr>
            <w:tcW w:w="183" w:type="pct"/>
            <w:shd w:val="clear" w:color="auto" w:fill="FFFFFF" w:themeFill="background1"/>
          </w:tcPr>
          <w:p w14:paraId="0419E342" w14:textId="3AA14D72" w:rsidR="00FC493B" w:rsidRPr="00D91B35" w:rsidRDefault="002A5407" w:rsidP="00387006">
            <w:pPr>
              <w:rPr>
                <w:rFonts w:ascii="Times New Roman" w:hAnsi="Times New Roman" w:cs="Times New Roman"/>
                <w:sz w:val="16"/>
                <w:szCs w:val="16"/>
              </w:rPr>
            </w:pPr>
            <w:r>
              <w:rPr>
                <w:rFonts w:ascii="Times New Roman" w:hAnsi="Times New Roman"/>
                <w:sz w:val="16"/>
              </w:rPr>
              <w:t>7</w:t>
            </w:r>
          </w:p>
        </w:tc>
        <w:tc>
          <w:tcPr>
            <w:tcW w:w="105" w:type="pct"/>
            <w:shd w:val="clear" w:color="auto" w:fill="FFFFFF" w:themeFill="background1"/>
          </w:tcPr>
          <w:p w14:paraId="70300E86" w14:textId="77777777" w:rsidR="00FC493B" w:rsidRPr="00D91B35" w:rsidRDefault="00FC493B" w:rsidP="00387006">
            <w:pPr>
              <w:rPr>
                <w:rFonts w:ascii="Times New Roman" w:hAnsi="Times New Roman" w:cs="Times New Roman"/>
                <w:sz w:val="16"/>
                <w:szCs w:val="16"/>
              </w:rPr>
            </w:pPr>
          </w:p>
        </w:tc>
        <w:tc>
          <w:tcPr>
            <w:tcW w:w="186" w:type="pct"/>
            <w:shd w:val="clear" w:color="auto" w:fill="FFFFFF" w:themeFill="background1"/>
          </w:tcPr>
          <w:p w14:paraId="7EAA29AE" w14:textId="65E7BEF5" w:rsidR="00FC493B" w:rsidRPr="00D91B35" w:rsidRDefault="002A5407" w:rsidP="00387006">
            <w:pPr>
              <w:rPr>
                <w:rFonts w:ascii="Times New Roman" w:hAnsi="Times New Roman" w:cs="Times New Roman"/>
                <w:sz w:val="16"/>
                <w:szCs w:val="16"/>
              </w:rPr>
            </w:pPr>
            <w:r>
              <w:rPr>
                <w:rFonts w:ascii="Times New Roman" w:hAnsi="Times New Roman"/>
                <w:sz w:val="16"/>
              </w:rPr>
              <w:t>8</w:t>
            </w:r>
          </w:p>
        </w:tc>
        <w:tc>
          <w:tcPr>
            <w:tcW w:w="609" w:type="pct"/>
            <w:shd w:val="clear" w:color="auto" w:fill="FFFFFF" w:themeFill="background1"/>
          </w:tcPr>
          <w:p w14:paraId="610DF3EA" w14:textId="77777777" w:rsidR="00FC493B" w:rsidRPr="00D91B35" w:rsidRDefault="00FC493B" w:rsidP="00387006">
            <w:pPr>
              <w:rPr>
                <w:rFonts w:ascii="Times New Roman" w:hAnsi="Times New Roman" w:cs="Times New Roman"/>
                <w:sz w:val="16"/>
                <w:szCs w:val="16"/>
              </w:rPr>
            </w:pPr>
          </w:p>
        </w:tc>
        <w:tc>
          <w:tcPr>
            <w:tcW w:w="237" w:type="pct"/>
            <w:shd w:val="clear" w:color="auto" w:fill="FFFFFF" w:themeFill="background1"/>
          </w:tcPr>
          <w:p w14:paraId="6F535403" w14:textId="77777777" w:rsidR="00FC493B" w:rsidRPr="00D91B35" w:rsidRDefault="00FC493B" w:rsidP="00387006">
            <w:pPr>
              <w:rPr>
                <w:rFonts w:ascii="Times New Roman" w:hAnsi="Times New Roman" w:cs="Times New Roman"/>
                <w:sz w:val="16"/>
                <w:szCs w:val="16"/>
              </w:rPr>
            </w:pPr>
          </w:p>
        </w:tc>
        <w:tc>
          <w:tcPr>
            <w:tcW w:w="251" w:type="pct"/>
            <w:shd w:val="clear" w:color="auto" w:fill="FFFFFF" w:themeFill="background1"/>
          </w:tcPr>
          <w:p w14:paraId="6ACAE887" w14:textId="6900D6D1" w:rsidR="00FC493B" w:rsidRPr="00D91B35" w:rsidRDefault="002A5407" w:rsidP="00387006">
            <w:pPr>
              <w:rPr>
                <w:rFonts w:ascii="Times New Roman" w:hAnsi="Times New Roman" w:cs="Times New Roman"/>
                <w:sz w:val="16"/>
                <w:szCs w:val="16"/>
              </w:rPr>
            </w:pPr>
            <w:r>
              <w:rPr>
                <w:rFonts w:ascii="Times New Roman" w:hAnsi="Times New Roman"/>
                <w:sz w:val="16"/>
              </w:rPr>
              <w:t>817,0</w:t>
            </w:r>
          </w:p>
        </w:tc>
        <w:tc>
          <w:tcPr>
            <w:tcW w:w="237" w:type="pct"/>
            <w:shd w:val="clear" w:color="auto" w:fill="FFFFFF" w:themeFill="background1"/>
          </w:tcPr>
          <w:p w14:paraId="0547838D" w14:textId="77777777" w:rsidR="00FC493B" w:rsidRPr="00D91B35" w:rsidRDefault="00FC493B" w:rsidP="00387006">
            <w:pPr>
              <w:rPr>
                <w:rFonts w:ascii="Times New Roman" w:hAnsi="Times New Roman" w:cs="Times New Roman"/>
                <w:sz w:val="16"/>
                <w:szCs w:val="16"/>
              </w:rPr>
            </w:pPr>
          </w:p>
        </w:tc>
        <w:tc>
          <w:tcPr>
            <w:tcW w:w="237" w:type="pct"/>
            <w:shd w:val="clear" w:color="auto" w:fill="FFFFFF" w:themeFill="background1"/>
          </w:tcPr>
          <w:p w14:paraId="238E591E" w14:textId="77777777" w:rsidR="00FC493B" w:rsidRPr="00D91B35" w:rsidRDefault="00FC493B" w:rsidP="00387006">
            <w:pPr>
              <w:rPr>
                <w:rFonts w:ascii="Times New Roman" w:hAnsi="Times New Roman" w:cs="Times New Roman"/>
                <w:sz w:val="16"/>
                <w:szCs w:val="16"/>
              </w:rPr>
            </w:pPr>
          </w:p>
        </w:tc>
        <w:tc>
          <w:tcPr>
            <w:tcW w:w="237" w:type="pct"/>
            <w:shd w:val="clear" w:color="auto" w:fill="FFFFFF" w:themeFill="background1"/>
          </w:tcPr>
          <w:p w14:paraId="26FDA3C6" w14:textId="6397AFE5" w:rsidR="00FC493B" w:rsidRPr="00D91B35" w:rsidRDefault="002A5407" w:rsidP="00387006">
            <w:pPr>
              <w:rPr>
                <w:rFonts w:ascii="Times New Roman" w:hAnsi="Times New Roman" w:cs="Times New Roman"/>
                <w:sz w:val="16"/>
                <w:szCs w:val="16"/>
              </w:rPr>
            </w:pPr>
            <w:r>
              <w:rPr>
                <w:rFonts w:ascii="Times New Roman" w:hAnsi="Times New Roman"/>
                <w:sz w:val="16"/>
              </w:rPr>
              <w:t>1 353,0</w:t>
            </w:r>
          </w:p>
        </w:tc>
        <w:tc>
          <w:tcPr>
            <w:tcW w:w="237" w:type="pct"/>
            <w:shd w:val="clear" w:color="auto" w:fill="FFFFFF" w:themeFill="background1"/>
          </w:tcPr>
          <w:p w14:paraId="6B80AE88" w14:textId="77777777" w:rsidR="00FC493B" w:rsidRPr="00D91B35" w:rsidRDefault="00FC493B" w:rsidP="00387006">
            <w:pPr>
              <w:rPr>
                <w:rFonts w:ascii="Times New Roman" w:hAnsi="Times New Roman" w:cs="Times New Roman"/>
                <w:sz w:val="16"/>
                <w:szCs w:val="16"/>
              </w:rPr>
            </w:pPr>
          </w:p>
        </w:tc>
      </w:tr>
      <w:tr w:rsidR="00387006" w:rsidRPr="00D91B35" w14:paraId="1B21C9EB" w14:textId="77777777" w:rsidTr="008A656B">
        <w:tc>
          <w:tcPr>
            <w:tcW w:w="374" w:type="pct"/>
            <w:tcBorders>
              <w:bottom w:val="single" w:sz="4" w:space="0" w:color="auto"/>
            </w:tcBorders>
          </w:tcPr>
          <w:p w14:paraId="2D28613D" w14:textId="77777777" w:rsidR="00FC493B" w:rsidRPr="00D91B35" w:rsidRDefault="00FC493B" w:rsidP="00387006">
            <w:pPr>
              <w:rPr>
                <w:rFonts w:ascii="Times New Roman" w:hAnsi="Times New Roman" w:cs="Times New Roman"/>
                <w:sz w:val="16"/>
                <w:szCs w:val="16"/>
              </w:rPr>
            </w:pPr>
          </w:p>
        </w:tc>
        <w:tc>
          <w:tcPr>
            <w:tcW w:w="231" w:type="pct"/>
            <w:tcBorders>
              <w:bottom w:val="single" w:sz="4" w:space="0" w:color="auto"/>
            </w:tcBorders>
          </w:tcPr>
          <w:p w14:paraId="01271F21" w14:textId="77777777" w:rsidR="00FC493B" w:rsidRPr="00D91B35" w:rsidRDefault="00FC493B" w:rsidP="00387006">
            <w:pPr>
              <w:rPr>
                <w:rFonts w:ascii="Times New Roman" w:hAnsi="Times New Roman" w:cs="Times New Roman"/>
                <w:sz w:val="16"/>
                <w:szCs w:val="16"/>
              </w:rPr>
            </w:pPr>
          </w:p>
        </w:tc>
        <w:tc>
          <w:tcPr>
            <w:tcW w:w="358" w:type="pct"/>
            <w:tcBorders>
              <w:bottom w:val="single" w:sz="4" w:space="0" w:color="auto"/>
            </w:tcBorders>
          </w:tcPr>
          <w:p w14:paraId="54E1F0C8" w14:textId="77777777" w:rsidR="00FC493B" w:rsidRPr="00D91B35" w:rsidRDefault="00FC493B" w:rsidP="00387006">
            <w:pPr>
              <w:rPr>
                <w:rFonts w:ascii="Times New Roman" w:hAnsi="Times New Roman" w:cs="Times New Roman"/>
                <w:sz w:val="16"/>
                <w:szCs w:val="16"/>
              </w:rPr>
            </w:pPr>
          </w:p>
        </w:tc>
        <w:tc>
          <w:tcPr>
            <w:tcW w:w="359" w:type="pct"/>
            <w:tcBorders>
              <w:bottom w:val="single" w:sz="4" w:space="0" w:color="auto"/>
            </w:tcBorders>
          </w:tcPr>
          <w:p w14:paraId="7ADF008C" w14:textId="77777777" w:rsidR="00FC493B" w:rsidRPr="00D91B35" w:rsidRDefault="00FC493B" w:rsidP="00387006">
            <w:pPr>
              <w:rPr>
                <w:rFonts w:ascii="Times New Roman" w:hAnsi="Times New Roman" w:cs="Times New Roman"/>
                <w:sz w:val="16"/>
                <w:szCs w:val="16"/>
              </w:rPr>
            </w:pPr>
          </w:p>
        </w:tc>
        <w:tc>
          <w:tcPr>
            <w:tcW w:w="839" w:type="pct"/>
            <w:tcBorders>
              <w:bottom w:val="single" w:sz="4" w:space="0" w:color="auto"/>
            </w:tcBorders>
          </w:tcPr>
          <w:p w14:paraId="5824E2A2" w14:textId="77777777" w:rsidR="00FC493B" w:rsidRPr="00D91B35" w:rsidRDefault="00FC493B" w:rsidP="00387006">
            <w:pPr>
              <w:pStyle w:val="Default"/>
              <w:rPr>
                <w:sz w:val="16"/>
                <w:szCs w:val="16"/>
              </w:rPr>
            </w:pPr>
          </w:p>
        </w:tc>
        <w:tc>
          <w:tcPr>
            <w:tcW w:w="196" w:type="pct"/>
            <w:tcBorders>
              <w:bottom w:val="single" w:sz="4" w:space="0" w:color="auto"/>
            </w:tcBorders>
            <w:shd w:val="clear" w:color="auto" w:fill="FFFFFF" w:themeFill="background1"/>
          </w:tcPr>
          <w:p w14:paraId="1A1750B9" w14:textId="456C9194" w:rsidR="00FC493B" w:rsidRPr="00D91B35" w:rsidRDefault="002A5407" w:rsidP="00387006">
            <w:pPr>
              <w:rPr>
                <w:rFonts w:ascii="Times New Roman" w:hAnsi="Times New Roman" w:cs="Times New Roman"/>
                <w:sz w:val="16"/>
                <w:szCs w:val="16"/>
              </w:rPr>
            </w:pPr>
            <w:r>
              <w:rPr>
                <w:rFonts w:ascii="Times New Roman" w:hAnsi="Times New Roman"/>
                <w:sz w:val="16"/>
              </w:rPr>
              <w:t>352</w:t>
            </w:r>
          </w:p>
        </w:tc>
        <w:tc>
          <w:tcPr>
            <w:tcW w:w="122" w:type="pct"/>
            <w:tcBorders>
              <w:bottom w:val="single" w:sz="4" w:space="0" w:color="auto"/>
            </w:tcBorders>
            <w:shd w:val="clear" w:color="auto" w:fill="FFFFFF" w:themeFill="background1"/>
          </w:tcPr>
          <w:p w14:paraId="0B8083F4" w14:textId="77777777" w:rsidR="00FC493B" w:rsidRPr="00D91B35" w:rsidRDefault="00FC493B" w:rsidP="00387006">
            <w:pPr>
              <w:rPr>
                <w:rFonts w:ascii="Times New Roman" w:hAnsi="Times New Roman" w:cs="Times New Roman"/>
                <w:sz w:val="16"/>
                <w:szCs w:val="16"/>
              </w:rPr>
            </w:pPr>
          </w:p>
        </w:tc>
        <w:tc>
          <w:tcPr>
            <w:tcW w:w="183" w:type="pct"/>
            <w:tcBorders>
              <w:bottom w:val="single" w:sz="4" w:space="0" w:color="auto"/>
            </w:tcBorders>
            <w:shd w:val="clear" w:color="auto" w:fill="FFFFFF" w:themeFill="background1"/>
          </w:tcPr>
          <w:p w14:paraId="5C52EAB3" w14:textId="5924D7C5" w:rsidR="00FC493B" w:rsidRPr="00D91B35" w:rsidRDefault="002A5407" w:rsidP="00387006">
            <w:pPr>
              <w:rPr>
                <w:rFonts w:ascii="Times New Roman" w:hAnsi="Times New Roman" w:cs="Times New Roman"/>
                <w:sz w:val="16"/>
                <w:szCs w:val="16"/>
              </w:rPr>
            </w:pPr>
            <w:r>
              <w:rPr>
                <w:rFonts w:ascii="Times New Roman" w:hAnsi="Times New Roman"/>
                <w:sz w:val="16"/>
              </w:rPr>
              <w:t>9</w:t>
            </w:r>
          </w:p>
        </w:tc>
        <w:tc>
          <w:tcPr>
            <w:tcW w:w="105" w:type="pct"/>
            <w:tcBorders>
              <w:bottom w:val="single" w:sz="4" w:space="0" w:color="auto"/>
            </w:tcBorders>
            <w:shd w:val="clear" w:color="auto" w:fill="FFFFFF" w:themeFill="background1"/>
          </w:tcPr>
          <w:p w14:paraId="7402C4AB" w14:textId="77777777" w:rsidR="00FC493B" w:rsidRPr="00D91B35" w:rsidRDefault="00FC493B" w:rsidP="00387006">
            <w:pPr>
              <w:rPr>
                <w:rFonts w:ascii="Times New Roman" w:hAnsi="Times New Roman" w:cs="Times New Roman"/>
                <w:sz w:val="16"/>
                <w:szCs w:val="16"/>
              </w:rPr>
            </w:pPr>
          </w:p>
        </w:tc>
        <w:tc>
          <w:tcPr>
            <w:tcW w:w="186" w:type="pct"/>
            <w:tcBorders>
              <w:bottom w:val="single" w:sz="4" w:space="0" w:color="auto"/>
            </w:tcBorders>
            <w:shd w:val="clear" w:color="auto" w:fill="FFFFFF" w:themeFill="background1"/>
          </w:tcPr>
          <w:p w14:paraId="293FC6B0" w14:textId="38747858" w:rsidR="00FC493B" w:rsidRPr="00D91B35" w:rsidRDefault="002A5407" w:rsidP="00387006">
            <w:pPr>
              <w:rPr>
                <w:rFonts w:ascii="Times New Roman" w:hAnsi="Times New Roman" w:cs="Times New Roman"/>
                <w:sz w:val="16"/>
                <w:szCs w:val="16"/>
              </w:rPr>
            </w:pPr>
            <w:r>
              <w:rPr>
                <w:rFonts w:ascii="Times New Roman" w:hAnsi="Times New Roman"/>
                <w:sz w:val="16"/>
              </w:rPr>
              <w:t>13</w:t>
            </w:r>
          </w:p>
        </w:tc>
        <w:tc>
          <w:tcPr>
            <w:tcW w:w="609" w:type="pct"/>
            <w:tcBorders>
              <w:bottom w:val="single" w:sz="4" w:space="0" w:color="auto"/>
            </w:tcBorders>
            <w:shd w:val="clear" w:color="auto" w:fill="FFFFFF" w:themeFill="background1"/>
          </w:tcPr>
          <w:p w14:paraId="0EB61D71" w14:textId="77777777" w:rsidR="00FC493B" w:rsidRPr="00D91B35" w:rsidRDefault="00FC493B" w:rsidP="00387006">
            <w:pPr>
              <w:rPr>
                <w:rFonts w:ascii="Times New Roman" w:hAnsi="Times New Roman" w:cs="Times New Roman"/>
                <w:sz w:val="16"/>
                <w:szCs w:val="16"/>
              </w:rPr>
            </w:pPr>
          </w:p>
        </w:tc>
        <w:tc>
          <w:tcPr>
            <w:tcW w:w="237" w:type="pct"/>
            <w:tcBorders>
              <w:bottom w:val="single" w:sz="4" w:space="0" w:color="auto"/>
            </w:tcBorders>
            <w:shd w:val="clear" w:color="auto" w:fill="FFFFFF" w:themeFill="background1"/>
          </w:tcPr>
          <w:p w14:paraId="7B9420CF" w14:textId="77777777" w:rsidR="00FC493B" w:rsidRPr="00D91B35" w:rsidRDefault="00FC493B" w:rsidP="00387006">
            <w:pPr>
              <w:rPr>
                <w:rFonts w:ascii="Times New Roman" w:hAnsi="Times New Roman" w:cs="Times New Roman"/>
                <w:sz w:val="16"/>
                <w:szCs w:val="16"/>
              </w:rPr>
            </w:pPr>
          </w:p>
        </w:tc>
        <w:tc>
          <w:tcPr>
            <w:tcW w:w="251" w:type="pct"/>
            <w:tcBorders>
              <w:bottom w:val="single" w:sz="4" w:space="0" w:color="auto"/>
            </w:tcBorders>
            <w:shd w:val="clear" w:color="auto" w:fill="FFFFFF" w:themeFill="background1"/>
          </w:tcPr>
          <w:p w14:paraId="7CBB9E34" w14:textId="6FDF0C06" w:rsidR="00FC493B" w:rsidRPr="00D91B35" w:rsidRDefault="002A5407" w:rsidP="00387006">
            <w:pPr>
              <w:rPr>
                <w:rFonts w:ascii="Times New Roman" w:hAnsi="Times New Roman" w:cs="Times New Roman"/>
                <w:sz w:val="16"/>
                <w:szCs w:val="16"/>
              </w:rPr>
            </w:pPr>
            <w:r>
              <w:rPr>
                <w:rFonts w:ascii="Times New Roman" w:hAnsi="Times New Roman"/>
                <w:sz w:val="16"/>
              </w:rPr>
              <w:t>846,0</w:t>
            </w:r>
          </w:p>
        </w:tc>
        <w:tc>
          <w:tcPr>
            <w:tcW w:w="237" w:type="pct"/>
            <w:tcBorders>
              <w:bottom w:val="single" w:sz="4" w:space="0" w:color="auto"/>
            </w:tcBorders>
            <w:shd w:val="clear" w:color="auto" w:fill="FFFFFF" w:themeFill="background1"/>
          </w:tcPr>
          <w:p w14:paraId="44B13E94" w14:textId="77777777" w:rsidR="00FC493B" w:rsidRPr="00D91B35" w:rsidRDefault="00FC493B" w:rsidP="00387006">
            <w:pPr>
              <w:rPr>
                <w:rFonts w:ascii="Times New Roman" w:hAnsi="Times New Roman" w:cs="Times New Roman"/>
                <w:sz w:val="16"/>
                <w:szCs w:val="16"/>
              </w:rPr>
            </w:pPr>
          </w:p>
        </w:tc>
        <w:tc>
          <w:tcPr>
            <w:tcW w:w="237" w:type="pct"/>
            <w:tcBorders>
              <w:bottom w:val="single" w:sz="4" w:space="0" w:color="auto"/>
            </w:tcBorders>
            <w:shd w:val="clear" w:color="auto" w:fill="FFFFFF" w:themeFill="background1"/>
          </w:tcPr>
          <w:p w14:paraId="5EBAA02F" w14:textId="77777777" w:rsidR="00FC493B" w:rsidRPr="00D91B35" w:rsidRDefault="00FC493B" w:rsidP="00387006">
            <w:pPr>
              <w:rPr>
                <w:rFonts w:ascii="Times New Roman" w:hAnsi="Times New Roman" w:cs="Times New Roman"/>
                <w:sz w:val="16"/>
                <w:szCs w:val="16"/>
              </w:rPr>
            </w:pPr>
          </w:p>
        </w:tc>
        <w:tc>
          <w:tcPr>
            <w:tcW w:w="237" w:type="pct"/>
            <w:tcBorders>
              <w:bottom w:val="single" w:sz="4" w:space="0" w:color="auto"/>
            </w:tcBorders>
            <w:shd w:val="clear" w:color="auto" w:fill="FFFFFF" w:themeFill="background1"/>
          </w:tcPr>
          <w:p w14:paraId="38A024E9" w14:textId="30BABD94" w:rsidR="00FC493B" w:rsidRPr="00D91B35" w:rsidRDefault="002A5407" w:rsidP="00387006">
            <w:pPr>
              <w:rPr>
                <w:rFonts w:ascii="Times New Roman" w:hAnsi="Times New Roman" w:cs="Times New Roman"/>
                <w:sz w:val="16"/>
                <w:szCs w:val="16"/>
              </w:rPr>
            </w:pPr>
            <w:r>
              <w:rPr>
                <w:rFonts w:ascii="Times New Roman" w:hAnsi="Times New Roman"/>
                <w:sz w:val="16"/>
              </w:rPr>
              <w:t>1 393,0</w:t>
            </w:r>
          </w:p>
        </w:tc>
        <w:tc>
          <w:tcPr>
            <w:tcW w:w="237" w:type="pct"/>
            <w:tcBorders>
              <w:bottom w:val="single" w:sz="4" w:space="0" w:color="auto"/>
            </w:tcBorders>
            <w:shd w:val="clear" w:color="auto" w:fill="FFFFFF" w:themeFill="background1"/>
          </w:tcPr>
          <w:p w14:paraId="72B4BF74" w14:textId="77777777" w:rsidR="00FC493B" w:rsidRPr="00D91B35" w:rsidRDefault="00FC493B" w:rsidP="00387006">
            <w:pPr>
              <w:rPr>
                <w:rFonts w:ascii="Times New Roman" w:hAnsi="Times New Roman" w:cs="Times New Roman"/>
                <w:sz w:val="16"/>
                <w:szCs w:val="16"/>
              </w:rPr>
            </w:pPr>
          </w:p>
        </w:tc>
      </w:tr>
      <w:tr w:rsidR="00387006" w:rsidRPr="00D91B35" w14:paraId="79E5FA9C" w14:textId="77777777" w:rsidTr="008A656B">
        <w:tc>
          <w:tcPr>
            <w:tcW w:w="374" w:type="pct"/>
            <w:tcBorders>
              <w:top w:val="single" w:sz="4" w:space="0" w:color="auto"/>
            </w:tcBorders>
          </w:tcPr>
          <w:p w14:paraId="7CCD1768" w14:textId="67881643" w:rsidR="00FC493B" w:rsidRPr="00D91B35" w:rsidRDefault="00077C40" w:rsidP="00387006">
            <w:pPr>
              <w:rPr>
                <w:rFonts w:ascii="Times New Roman" w:hAnsi="Times New Roman" w:cs="Times New Roman"/>
                <w:b/>
                <w:bCs/>
                <w:sz w:val="16"/>
                <w:szCs w:val="16"/>
              </w:rPr>
            </w:pPr>
            <w:r>
              <w:rPr>
                <w:rFonts w:ascii="Times New Roman" w:hAnsi="Times New Roman"/>
                <w:b/>
                <w:sz w:val="16"/>
              </w:rPr>
              <w:t>Pārtika</w:t>
            </w:r>
          </w:p>
        </w:tc>
        <w:tc>
          <w:tcPr>
            <w:tcW w:w="231" w:type="pct"/>
            <w:tcBorders>
              <w:top w:val="single" w:sz="4" w:space="0" w:color="auto"/>
            </w:tcBorders>
          </w:tcPr>
          <w:p w14:paraId="6307F7F3" w14:textId="4F9869C7" w:rsidR="00FC493B" w:rsidRPr="00D91B35" w:rsidRDefault="00077C40" w:rsidP="00387006">
            <w:pPr>
              <w:rPr>
                <w:rFonts w:ascii="Times New Roman" w:hAnsi="Times New Roman" w:cs="Times New Roman"/>
                <w:b/>
                <w:bCs/>
                <w:sz w:val="16"/>
                <w:szCs w:val="16"/>
              </w:rPr>
            </w:pPr>
            <w:r>
              <w:rPr>
                <w:rFonts w:ascii="Times New Roman" w:hAnsi="Times New Roman"/>
                <w:b/>
                <w:sz w:val="16"/>
              </w:rPr>
              <w:t>Zēni</w:t>
            </w:r>
          </w:p>
        </w:tc>
        <w:tc>
          <w:tcPr>
            <w:tcW w:w="358" w:type="pct"/>
            <w:tcBorders>
              <w:top w:val="single" w:sz="4" w:space="0" w:color="auto"/>
            </w:tcBorders>
          </w:tcPr>
          <w:p w14:paraId="43C01931" w14:textId="3338C3D5" w:rsidR="00FC493B" w:rsidRPr="00D91B35" w:rsidRDefault="00077C40" w:rsidP="00387006">
            <w:pPr>
              <w:rPr>
                <w:rFonts w:ascii="Times New Roman" w:hAnsi="Times New Roman" w:cs="Times New Roman"/>
                <w:b/>
                <w:bCs/>
                <w:sz w:val="16"/>
                <w:szCs w:val="16"/>
              </w:rPr>
            </w:pPr>
            <w:r>
              <w:rPr>
                <w:rFonts w:ascii="Times New Roman" w:hAnsi="Times New Roman"/>
                <w:b/>
                <w:sz w:val="16"/>
              </w:rPr>
              <w:t>Īrija</w:t>
            </w:r>
          </w:p>
        </w:tc>
        <w:tc>
          <w:tcPr>
            <w:tcW w:w="359" w:type="pct"/>
            <w:tcBorders>
              <w:top w:val="single" w:sz="4" w:space="0" w:color="auto"/>
            </w:tcBorders>
          </w:tcPr>
          <w:p w14:paraId="3B934691" w14:textId="1529A916" w:rsidR="00FC493B" w:rsidRPr="00D91B35" w:rsidRDefault="00077C40" w:rsidP="00387006">
            <w:pPr>
              <w:rPr>
                <w:rFonts w:ascii="Times New Roman" w:hAnsi="Times New Roman" w:cs="Times New Roman"/>
                <w:sz w:val="16"/>
                <w:szCs w:val="16"/>
              </w:rPr>
            </w:pPr>
            <w:r>
              <w:rPr>
                <w:rFonts w:ascii="Times New Roman" w:hAnsi="Times New Roman"/>
                <w:sz w:val="16"/>
              </w:rPr>
              <w:t>(IUNA (Irish Universities Nutrition Alliance), 2011), a)</w:t>
            </w:r>
          </w:p>
        </w:tc>
        <w:tc>
          <w:tcPr>
            <w:tcW w:w="839" w:type="pct"/>
            <w:tcBorders>
              <w:top w:val="single" w:sz="4" w:space="0" w:color="auto"/>
            </w:tcBorders>
          </w:tcPr>
          <w:p w14:paraId="1C06F362" w14:textId="1C5DB8EC" w:rsidR="00FC493B" w:rsidRPr="00D91B35" w:rsidRDefault="00077C40" w:rsidP="00387006">
            <w:pPr>
              <w:pStyle w:val="Default"/>
              <w:rPr>
                <w:sz w:val="16"/>
                <w:szCs w:val="16"/>
              </w:rPr>
            </w:pPr>
            <w:r>
              <w:rPr>
                <w:sz w:val="16"/>
              </w:rPr>
              <w:t>7 dienu uztura pieraksts</w:t>
            </w:r>
          </w:p>
        </w:tc>
        <w:tc>
          <w:tcPr>
            <w:tcW w:w="196" w:type="pct"/>
            <w:tcBorders>
              <w:top w:val="single" w:sz="4" w:space="0" w:color="auto"/>
            </w:tcBorders>
            <w:shd w:val="clear" w:color="auto" w:fill="FFFFFF" w:themeFill="background1"/>
          </w:tcPr>
          <w:p w14:paraId="51B3ADBF" w14:textId="4C524D22" w:rsidR="00FC493B" w:rsidRPr="00D91B35" w:rsidRDefault="002A5407" w:rsidP="00387006">
            <w:pPr>
              <w:rPr>
                <w:rFonts w:ascii="Times New Roman" w:hAnsi="Times New Roman" w:cs="Times New Roman"/>
                <w:sz w:val="16"/>
                <w:szCs w:val="16"/>
              </w:rPr>
            </w:pPr>
            <w:r>
              <w:rPr>
                <w:rFonts w:ascii="Times New Roman" w:hAnsi="Times New Roman"/>
                <w:sz w:val="16"/>
              </w:rPr>
              <w:t>293</w:t>
            </w:r>
          </w:p>
        </w:tc>
        <w:tc>
          <w:tcPr>
            <w:tcW w:w="122" w:type="pct"/>
            <w:tcBorders>
              <w:top w:val="single" w:sz="4" w:space="0" w:color="auto"/>
            </w:tcBorders>
            <w:shd w:val="clear" w:color="auto" w:fill="FFFFFF" w:themeFill="background1"/>
          </w:tcPr>
          <w:p w14:paraId="751D6C99" w14:textId="77777777" w:rsidR="00FC493B" w:rsidRPr="00D91B35" w:rsidRDefault="00FC493B" w:rsidP="00387006">
            <w:pPr>
              <w:rPr>
                <w:rFonts w:ascii="Times New Roman" w:hAnsi="Times New Roman" w:cs="Times New Roman"/>
                <w:sz w:val="16"/>
                <w:szCs w:val="16"/>
              </w:rPr>
            </w:pPr>
          </w:p>
        </w:tc>
        <w:tc>
          <w:tcPr>
            <w:tcW w:w="183" w:type="pct"/>
            <w:tcBorders>
              <w:top w:val="single" w:sz="4" w:space="0" w:color="auto"/>
            </w:tcBorders>
            <w:shd w:val="clear" w:color="auto" w:fill="FFFFFF" w:themeFill="background1"/>
          </w:tcPr>
          <w:p w14:paraId="04DC1F39" w14:textId="757673BC" w:rsidR="00FC493B" w:rsidRPr="00D91B35" w:rsidRDefault="002A5407" w:rsidP="00387006">
            <w:pPr>
              <w:rPr>
                <w:rFonts w:ascii="Times New Roman" w:hAnsi="Times New Roman" w:cs="Times New Roman"/>
                <w:sz w:val="16"/>
                <w:szCs w:val="16"/>
              </w:rPr>
            </w:pPr>
            <w:r>
              <w:rPr>
                <w:rFonts w:ascii="Times New Roman" w:hAnsi="Times New Roman"/>
                <w:sz w:val="16"/>
              </w:rPr>
              <w:t>5</w:t>
            </w:r>
          </w:p>
        </w:tc>
        <w:tc>
          <w:tcPr>
            <w:tcW w:w="105" w:type="pct"/>
            <w:tcBorders>
              <w:top w:val="single" w:sz="4" w:space="0" w:color="auto"/>
            </w:tcBorders>
            <w:shd w:val="clear" w:color="auto" w:fill="FFFFFF" w:themeFill="background1"/>
          </w:tcPr>
          <w:p w14:paraId="0BA68814" w14:textId="77777777" w:rsidR="00FC493B" w:rsidRPr="00D91B35" w:rsidRDefault="00FC493B" w:rsidP="00387006">
            <w:pPr>
              <w:rPr>
                <w:rFonts w:ascii="Times New Roman" w:hAnsi="Times New Roman" w:cs="Times New Roman"/>
                <w:sz w:val="16"/>
                <w:szCs w:val="16"/>
              </w:rPr>
            </w:pPr>
          </w:p>
        </w:tc>
        <w:tc>
          <w:tcPr>
            <w:tcW w:w="186" w:type="pct"/>
            <w:tcBorders>
              <w:top w:val="single" w:sz="4" w:space="0" w:color="auto"/>
            </w:tcBorders>
            <w:shd w:val="clear" w:color="auto" w:fill="FFFFFF" w:themeFill="background1"/>
          </w:tcPr>
          <w:p w14:paraId="0EBF2DDA" w14:textId="24FC422C" w:rsidR="00FC493B" w:rsidRPr="00D91B35" w:rsidRDefault="002A5407" w:rsidP="00387006">
            <w:pPr>
              <w:rPr>
                <w:rFonts w:ascii="Times New Roman" w:hAnsi="Times New Roman" w:cs="Times New Roman"/>
                <w:sz w:val="16"/>
                <w:szCs w:val="16"/>
              </w:rPr>
            </w:pPr>
            <w:r>
              <w:rPr>
                <w:rFonts w:ascii="Times New Roman" w:hAnsi="Times New Roman"/>
                <w:sz w:val="16"/>
              </w:rPr>
              <w:t>12</w:t>
            </w:r>
          </w:p>
        </w:tc>
        <w:tc>
          <w:tcPr>
            <w:tcW w:w="609" w:type="pct"/>
            <w:tcBorders>
              <w:top w:val="single" w:sz="4" w:space="0" w:color="auto"/>
            </w:tcBorders>
            <w:shd w:val="clear" w:color="auto" w:fill="FFFFFF" w:themeFill="background1"/>
          </w:tcPr>
          <w:p w14:paraId="574EBBB7" w14:textId="77777777" w:rsidR="00FC493B" w:rsidRPr="00D91B35" w:rsidRDefault="00FC493B" w:rsidP="00387006">
            <w:pPr>
              <w:rPr>
                <w:rFonts w:ascii="Times New Roman" w:hAnsi="Times New Roman" w:cs="Times New Roman"/>
                <w:sz w:val="16"/>
                <w:szCs w:val="16"/>
              </w:rPr>
            </w:pPr>
          </w:p>
        </w:tc>
        <w:tc>
          <w:tcPr>
            <w:tcW w:w="237" w:type="pct"/>
            <w:tcBorders>
              <w:top w:val="single" w:sz="4" w:space="0" w:color="auto"/>
            </w:tcBorders>
            <w:shd w:val="clear" w:color="auto" w:fill="FFFFFF" w:themeFill="background1"/>
          </w:tcPr>
          <w:p w14:paraId="02844C2D" w14:textId="15A767B0" w:rsidR="00FC493B" w:rsidRPr="00D91B35" w:rsidRDefault="00077C40" w:rsidP="00387006">
            <w:pPr>
              <w:rPr>
                <w:rFonts w:ascii="Times New Roman" w:hAnsi="Times New Roman" w:cs="Times New Roman"/>
                <w:sz w:val="16"/>
                <w:szCs w:val="16"/>
              </w:rPr>
            </w:pPr>
            <w:r>
              <w:rPr>
                <w:rFonts w:ascii="Times New Roman" w:hAnsi="Times New Roman"/>
                <w:sz w:val="16"/>
              </w:rPr>
              <w:t>907,0</w:t>
            </w:r>
          </w:p>
        </w:tc>
        <w:tc>
          <w:tcPr>
            <w:tcW w:w="251" w:type="pct"/>
            <w:tcBorders>
              <w:top w:val="single" w:sz="4" w:space="0" w:color="auto"/>
            </w:tcBorders>
            <w:shd w:val="clear" w:color="auto" w:fill="FFFFFF" w:themeFill="background1"/>
          </w:tcPr>
          <w:p w14:paraId="286B1505" w14:textId="77777777" w:rsidR="00FC493B" w:rsidRPr="00D91B35" w:rsidRDefault="00FC493B" w:rsidP="00387006">
            <w:pPr>
              <w:rPr>
                <w:rFonts w:ascii="Times New Roman" w:hAnsi="Times New Roman" w:cs="Times New Roman"/>
                <w:sz w:val="16"/>
                <w:szCs w:val="16"/>
              </w:rPr>
            </w:pPr>
          </w:p>
        </w:tc>
        <w:tc>
          <w:tcPr>
            <w:tcW w:w="237" w:type="pct"/>
            <w:tcBorders>
              <w:top w:val="single" w:sz="4" w:space="0" w:color="auto"/>
            </w:tcBorders>
            <w:shd w:val="clear" w:color="auto" w:fill="FFFFFF" w:themeFill="background1"/>
          </w:tcPr>
          <w:p w14:paraId="2F121CEA" w14:textId="77777777" w:rsidR="00FC493B" w:rsidRPr="00D91B35" w:rsidRDefault="00FC493B" w:rsidP="00387006">
            <w:pPr>
              <w:rPr>
                <w:rFonts w:ascii="Times New Roman" w:hAnsi="Times New Roman" w:cs="Times New Roman"/>
                <w:sz w:val="16"/>
                <w:szCs w:val="16"/>
              </w:rPr>
            </w:pPr>
          </w:p>
        </w:tc>
        <w:tc>
          <w:tcPr>
            <w:tcW w:w="237" w:type="pct"/>
            <w:tcBorders>
              <w:top w:val="single" w:sz="4" w:space="0" w:color="auto"/>
            </w:tcBorders>
            <w:shd w:val="clear" w:color="auto" w:fill="FFFFFF" w:themeFill="background1"/>
          </w:tcPr>
          <w:p w14:paraId="64EBFB0C" w14:textId="77777777" w:rsidR="00FC493B" w:rsidRPr="00D91B35" w:rsidRDefault="00FC493B" w:rsidP="00387006">
            <w:pPr>
              <w:rPr>
                <w:rFonts w:ascii="Times New Roman" w:hAnsi="Times New Roman" w:cs="Times New Roman"/>
                <w:sz w:val="16"/>
                <w:szCs w:val="16"/>
              </w:rPr>
            </w:pPr>
          </w:p>
        </w:tc>
        <w:tc>
          <w:tcPr>
            <w:tcW w:w="237" w:type="pct"/>
            <w:tcBorders>
              <w:top w:val="single" w:sz="4" w:space="0" w:color="auto"/>
            </w:tcBorders>
            <w:shd w:val="clear" w:color="auto" w:fill="FFFFFF" w:themeFill="background1"/>
          </w:tcPr>
          <w:p w14:paraId="4C0AE47C" w14:textId="5E9E6970" w:rsidR="00FC493B" w:rsidRPr="00D91B35" w:rsidRDefault="00077C40" w:rsidP="00387006">
            <w:pPr>
              <w:rPr>
                <w:rFonts w:ascii="Times New Roman" w:hAnsi="Times New Roman" w:cs="Times New Roman"/>
                <w:sz w:val="16"/>
                <w:szCs w:val="16"/>
              </w:rPr>
            </w:pPr>
            <w:r>
              <w:rPr>
                <w:rFonts w:ascii="Times New Roman" w:hAnsi="Times New Roman"/>
                <w:sz w:val="16"/>
              </w:rPr>
              <w:t>1 488,0</w:t>
            </w:r>
          </w:p>
        </w:tc>
        <w:tc>
          <w:tcPr>
            <w:tcW w:w="237" w:type="pct"/>
            <w:tcBorders>
              <w:top w:val="single" w:sz="4" w:space="0" w:color="auto"/>
            </w:tcBorders>
            <w:shd w:val="clear" w:color="auto" w:fill="FFFFFF" w:themeFill="background1"/>
          </w:tcPr>
          <w:p w14:paraId="58EC3CD1" w14:textId="23799133" w:rsidR="00FC493B" w:rsidRPr="00D91B35" w:rsidRDefault="00077C40" w:rsidP="00387006">
            <w:pPr>
              <w:rPr>
                <w:rFonts w:ascii="Times New Roman" w:hAnsi="Times New Roman" w:cs="Times New Roman"/>
                <w:sz w:val="16"/>
                <w:szCs w:val="16"/>
              </w:rPr>
            </w:pPr>
            <w:r>
              <w:rPr>
                <w:rFonts w:ascii="Times New Roman" w:hAnsi="Times New Roman"/>
                <w:sz w:val="16"/>
              </w:rPr>
              <w:t>1 578,0</w:t>
            </w:r>
          </w:p>
        </w:tc>
      </w:tr>
      <w:tr w:rsidR="002A5407" w:rsidRPr="00D91B35" w14:paraId="3DD8E5F4" w14:textId="77777777" w:rsidTr="008A656B">
        <w:tc>
          <w:tcPr>
            <w:tcW w:w="374" w:type="pct"/>
          </w:tcPr>
          <w:p w14:paraId="5C58CBCC" w14:textId="77777777" w:rsidR="002A5407" w:rsidRPr="00D91B35" w:rsidRDefault="002A5407" w:rsidP="00387006">
            <w:pPr>
              <w:rPr>
                <w:rFonts w:ascii="Times New Roman" w:hAnsi="Times New Roman" w:cs="Times New Roman"/>
                <w:b/>
                <w:bCs/>
                <w:sz w:val="16"/>
                <w:szCs w:val="16"/>
              </w:rPr>
            </w:pPr>
          </w:p>
        </w:tc>
        <w:tc>
          <w:tcPr>
            <w:tcW w:w="231" w:type="pct"/>
          </w:tcPr>
          <w:p w14:paraId="558F3849" w14:textId="77777777" w:rsidR="002A5407" w:rsidRPr="00D91B35" w:rsidRDefault="002A5407" w:rsidP="00387006">
            <w:pPr>
              <w:rPr>
                <w:rFonts w:ascii="Times New Roman" w:hAnsi="Times New Roman" w:cs="Times New Roman"/>
                <w:b/>
                <w:bCs/>
                <w:sz w:val="16"/>
                <w:szCs w:val="16"/>
              </w:rPr>
            </w:pPr>
          </w:p>
        </w:tc>
        <w:tc>
          <w:tcPr>
            <w:tcW w:w="358" w:type="pct"/>
          </w:tcPr>
          <w:p w14:paraId="726F26ED" w14:textId="34913520" w:rsidR="002A5407" w:rsidRPr="00D91B35" w:rsidRDefault="00077C40" w:rsidP="00387006">
            <w:pPr>
              <w:rPr>
                <w:rFonts w:ascii="Times New Roman" w:hAnsi="Times New Roman" w:cs="Times New Roman"/>
                <w:b/>
                <w:bCs/>
                <w:sz w:val="16"/>
                <w:szCs w:val="16"/>
              </w:rPr>
            </w:pPr>
            <w:r>
              <w:rPr>
                <w:rFonts w:ascii="Times New Roman" w:hAnsi="Times New Roman"/>
                <w:b/>
                <w:sz w:val="16"/>
              </w:rPr>
              <w:t>Nīderlande</w:t>
            </w:r>
          </w:p>
        </w:tc>
        <w:tc>
          <w:tcPr>
            <w:tcW w:w="359" w:type="pct"/>
          </w:tcPr>
          <w:p w14:paraId="2D354D35" w14:textId="2F6D0DB9" w:rsidR="002A5407" w:rsidRPr="00D91B35" w:rsidRDefault="00077C40" w:rsidP="00077C40">
            <w:pPr>
              <w:pStyle w:val="Default"/>
              <w:rPr>
                <w:sz w:val="16"/>
                <w:szCs w:val="16"/>
              </w:rPr>
            </w:pPr>
            <w:r>
              <w:rPr>
                <w:sz w:val="16"/>
              </w:rPr>
              <w:t>(van Rossum et al., 2011)</w:t>
            </w:r>
          </w:p>
        </w:tc>
        <w:tc>
          <w:tcPr>
            <w:tcW w:w="839" w:type="pct"/>
          </w:tcPr>
          <w:p w14:paraId="70DFAE83" w14:textId="7622E0FA" w:rsidR="002A5407" w:rsidRPr="00D91B35" w:rsidRDefault="00077C40" w:rsidP="00387006">
            <w:pPr>
              <w:pStyle w:val="Default"/>
              <w:rPr>
                <w:sz w:val="16"/>
                <w:szCs w:val="16"/>
              </w:rPr>
            </w:pPr>
            <w:r>
              <w:rPr>
                <w:sz w:val="16"/>
              </w:rPr>
              <w:t>Divas nesecīgas  24 stundu atcerēšanās anketas</w:t>
            </w:r>
          </w:p>
        </w:tc>
        <w:tc>
          <w:tcPr>
            <w:tcW w:w="196" w:type="pct"/>
            <w:shd w:val="clear" w:color="auto" w:fill="FFFFFF" w:themeFill="background1"/>
          </w:tcPr>
          <w:p w14:paraId="5036C3A3" w14:textId="1EA7559F" w:rsidR="002A5407" w:rsidRPr="00D91B35" w:rsidRDefault="002A5407" w:rsidP="00387006">
            <w:pPr>
              <w:rPr>
                <w:rFonts w:ascii="Times New Roman" w:hAnsi="Times New Roman" w:cs="Times New Roman"/>
                <w:sz w:val="16"/>
                <w:szCs w:val="16"/>
              </w:rPr>
            </w:pPr>
            <w:r>
              <w:rPr>
                <w:rFonts w:ascii="Times New Roman" w:hAnsi="Times New Roman"/>
                <w:sz w:val="16"/>
              </w:rPr>
              <w:t>153</w:t>
            </w:r>
          </w:p>
        </w:tc>
        <w:tc>
          <w:tcPr>
            <w:tcW w:w="122" w:type="pct"/>
            <w:shd w:val="clear" w:color="auto" w:fill="FFFFFF" w:themeFill="background1"/>
          </w:tcPr>
          <w:p w14:paraId="5FFC1B5B" w14:textId="77777777" w:rsidR="002A5407" w:rsidRPr="00D91B35" w:rsidRDefault="002A5407" w:rsidP="00387006">
            <w:pPr>
              <w:rPr>
                <w:rFonts w:ascii="Times New Roman" w:hAnsi="Times New Roman" w:cs="Times New Roman"/>
                <w:sz w:val="16"/>
                <w:szCs w:val="16"/>
              </w:rPr>
            </w:pPr>
          </w:p>
        </w:tc>
        <w:tc>
          <w:tcPr>
            <w:tcW w:w="183" w:type="pct"/>
            <w:shd w:val="clear" w:color="auto" w:fill="FFFFFF" w:themeFill="background1"/>
          </w:tcPr>
          <w:p w14:paraId="65B25569" w14:textId="5C42E4F6" w:rsidR="002A5407" w:rsidRPr="00D91B35" w:rsidRDefault="002A5407" w:rsidP="00387006">
            <w:pPr>
              <w:rPr>
                <w:rFonts w:ascii="Times New Roman" w:hAnsi="Times New Roman" w:cs="Times New Roman"/>
                <w:sz w:val="16"/>
                <w:szCs w:val="16"/>
              </w:rPr>
            </w:pPr>
            <w:r>
              <w:rPr>
                <w:rFonts w:ascii="Times New Roman" w:hAnsi="Times New Roman"/>
                <w:sz w:val="16"/>
              </w:rPr>
              <w:t>7</w:t>
            </w:r>
          </w:p>
        </w:tc>
        <w:tc>
          <w:tcPr>
            <w:tcW w:w="105" w:type="pct"/>
            <w:shd w:val="clear" w:color="auto" w:fill="FFFFFF" w:themeFill="background1"/>
          </w:tcPr>
          <w:p w14:paraId="058397CE" w14:textId="77777777" w:rsidR="002A5407" w:rsidRPr="00D91B35" w:rsidRDefault="002A5407" w:rsidP="00387006">
            <w:pPr>
              <w:rPr>
                <w:rFonts w:ascii="Times New Roman" w:hAnsi="Times New Roman" w:cs="Times New Roman"/>
                <w:sz w:val="16"/>
                <w:szCs w:val="16"/>
              </w:rPr>
            </w:pPr>
          </w:p>
        </w:tc>
        <w:tc>
          <w:tcPr>
            <w:tcW w:w="186" w:type="pct"/>
            <w:shd w:val="clear" w:color="auto" w:fill="FFFFFF" w:themeFill="background1"/>
          </w:tcPr>
          <w:p w14:paraId="24637A93" w14:textId="7C83568A" w:rsidR="002A5407" w:rsidRPr="00D91B35" w:rsidRDefault="002A5407" w:rsidP="00387006">
            <w:pPr>
              <w:rPr>
                <w:rFonts w:ascii="Times New Roman" w:hAnsi="Times New Roman" w:cs="Times New Roman"/>
                <w:sz w:val="16"/>
                <w:szCs w:val="16"/>
              </w:rPr>
            </w:pPr>
            <w:r>
              <w:rPr>
                <w:rFonts w:ascii="Times New Roman" w:hAnsi="Times New Roman"/>
                <w:sz w:val="16"/>
              </w:rPr>
              <w:t>8</w:t>
            </w:r>
          </w:p>
        </w:tc>
        <w:tc>
          <w:tcPr>
            <w:tcW w:w="609" w:type="pct"/>
            <w:shd w:val="clear" w:color="auto" w:fill="FFFFFF" w:themeFill="background1"/>
          </w:tcPr>
          <w:p w14:paraId="176230D9" w14:textId="77777777" w:rsidR="002A5407" w:rsidRPr="00D91B35" w:rsidRDefault="002A5407" w:rsidP="00387006">
            <w:pPr>
              <w:rPr>
                <w:rFonts w:ascii="Times New Roman" w:hAnsi="Times New Roman" w:cs="Times New Roman"/>
                <w:sz w:val="16"/>
                <w:szCs w:val="16"/>
              </w:rPr>
            </w:pPr>
          </w:p>
        </w:tc>
        <w:tc>
          <w:tcPr>
            <w:tcW w:w="237" w:type="pct"/>
            <w:shd w:val="clear" w:color="auto" w:fill="FFFFFF" w:themeFill="background1"/>
          </w:tcPr>
          <w:p w14:paraId="2CF8A756" w14:textId="77777777" w:rsidR="002A5407" w:rsidRPr="00D91B35" w:rsidRDefault="002A5407" w:rsidP="00387006">
            <w:pPr>
              <w:rPr>
                <w:rFonts w:ascii="Times New Roman" w:hAnsi="Times New Roman" w:cs="Times New Roman"/>
                <w:sz w:val="16"/>
                <w:szCs w:val="16"/>
              </w:rPr>
            </w:pPr>
          </w:p>
        </w:tc>
        <w:tc>
          <w:tcPr>
            <w:tcW w:w="251" w:type="pct"/>
            <w:shd w:val="clear" w:color="auto" w:fill="FFFFFF" w:themeFill="background1"/>
          </w:tcPr>
          <w:p w14:paraId="5A38520D" w14:textId="72781E02" w:rsidR="002A5407" w:rsidRPr="00D91B35" w:rsidRDefault="00077C40" w:rsidP="00387006">
            <w:pPr>
              <w:rPr>
                <w:rFonts w:ascii="Times New Roman" w:hAnsi="Times New Roman" w:cs="Times New Roman"/>
                <w:sz w:val="16"/>
                <w:szCs w:val="16"/>
              </w:rPr>
            </w:pPr>
            <w:r>
              <w:rPr>
                <w:rFonts w:ascii="Times New Roman" w:hAnsi="Times New Roman"/>
                <w:sz w:val="16"/>
              </w:rPr>
              <w:t>878,0</w:t>
            </w:r>
          </w:p>
        </w:tc>
        <w:tc>
          <w:tcPr>
            <w:tcW w:w="237" w:type="pct"/>
            <w:shd w:val="clear" w:color="auto" w:fill="FFFFFF" w:themeFill="background1"/>
          </w:tcPr>
          <w:p w14:paraId="3DB0A553" w14:textId="77777777" w:rsidR="002A5407" w:rsidRPr="00D91B35" w:rsidRDefault="002A5407" w:rsidP="00387006">
            <w:pPr>
              <w:rPr>
                <w:rFonts w:ascii="Times New Roman" w:hAnsi="Times New Roman" w:cs="Times New Roman"/>
                <w:sz w:val="16"/>
                <w:szCs w:val="16"/>
              </w:rPr>
            </w:pPr>
          </w:p>
        </w:tc>
        <w:tc>
          <w:tcPr>
            <w:tcW w:w="237" w:type="pct"/>
            <w:shd w:val="clear" w:color="auto" w:fill="FFFFFF" w:themeFill="background1"/>
          </w:tcPr>
          <w:p w14:paraId="3CC32A82" w14:textId="77777777" w:rsidR="002A5407" w:rsidRPr="00D91B35" w:rsidRDefault="002A5407" w:rsidP="00387006">
            <w:pPr>
              <w:rPr>
                <w:rFonts w:ascii="Times New Roman" w:hAnsi="Times New Roman" w:cs="Times New Roman"/>
                <w:sz w:val="16"/>
                <w:szCs w:val="16"/>
              </w:rPr>
            </w:pPr>
          </w:p>
        </w:tc>
        <w:tc>
          <w:tcPr>
            <w:tcW w:w="237" w:type="pct"/>
            <w:shd w:val="clear" w:color="auto" w:fill="FFFFFF" w:themeFill="background1"/>
          </w:tcPr>
          <w:p w14:paraId="26429066" w14:textId="6D48A970" w:rsidR="002A5407" w:rsidRPr="00D91B35" w:rsidRDefault="00077C40" w:rsidP="00387006">
            <w:pPr>
              <w:rPr>
                <w:rFonts w:ascii="Times New Roman" w:hAnsi="Times New Roman" w:cs="Times New Roman"/>
                <w:sz w:val="16"/>
                <w:szCs w:val="16"/>
              </w:rPr>
            </w:pPr>
            <w:r>
              <w:rPr>
                <w:rFonts w:ascii="Times New Roman" w:hAnsi="Times New Roman"/>
                <w:sz w:val="16"/>
              </w:rPr>
              <w:t>1 495,0</w:t>
            </w:r>
          </w:p>
        </w:tc>
        <w:tc>
          <w:tcPr>
            <w:tcW w:w="237" w:type="pct"/>
            <w:shd w:val="clear" w:color="auto" w:fill="FFFFFF" w:themeFill="background1"/>
          </w:tcPr>
          <w:p w14:paraId="62AA645B" w14:textId="77777777" w:rsidR="002A5407" w:rsidRPr="00D91B35" w:rsidRDefault="002A5407" w:rsidP="00387006">
            <w:pPr>
              <w:rPr>
                <w:rFonts w:ascii="Times New Roman" w:hAnsi="Times New Roman" w:cs="Times New Roman"/>
                <w:sz w:val="16"/>
                <w:szCs w:val="16"/>
              </w:rPr>
            </w:pPr>
          </w:p>
        </w:tc>
      </w:tr>
      <w:tr w:rsidR="002A5407" w:rsidRPr="00D91B35" w14:paraId="5706BC31" w14:textId="77777777" w:rsidTr="008A656B">
        <w:tc>
          <w:tcPr>
            <w:tcW w:w="374" w:type="pct"/>
            <w:tcBorders>
              <w:bottom w:val="single" w:sz="4" w:space="0" w:color="auto"/>
            </w:tcBorders>
          </w:tcPr>
          <w:p w14:paraId="275A2695" w14:textId="77777777" w:rsidR="002A5407" w:rsidRPr="00D91B35" w:rsidRDefault="002A5407" w:rsidP="00387006">
            <w:pPr>
              <w:rPr>
                <w:rFonts w:ascii="Times New Roman" w:hAnsi="Times New Roman" w:cs="Times New Roman"/>
                <w:sz w:val="16"/>
                <w:szCs w:val="16"/>
              </w:rPr>
            </w:pPr>
          </w:p>
        </w:tc>
        <w:tc>
          <w:tcPr>
            <w:tcW w:w="231" w:type="pct"/>
            <w:tcBorders>
              <w:bottom w:val="single" w:sz="4" w:space="0" w:color="auto"/>
            </w:tcBorders>
          </w:tcPr>
          <w:p w14:paraId="4886EF3B" w14:textId="77777777" w:rsidR="002A5407" w:rsidRPr="00D91B35" w:rsidRDefault="002A5407" w:rsidP="00387006">
            <w:pPr>
              <w:rPr>
                <w:rFonts w:ascii="Times New Roman" w:hAnsi="Times New Roman" w:cs="Times New Roman"/>
                <w:sz w:val="16"/>
                <w:szCs w:val="16"/>
              </w:rPr>
            </w:pPr>
          </w:p>
        </w:tc>
        <w:tc>
          <w:tcPr>
            <w:tcW w:w="358" w:type="pct"/>
            <w:tcBorders>
              <w:bottom w:val="single" w:sz="4" w:space="0" w:color="auto"/>
            </w:tcBorders>
          </w:tcPr>
          <w:p w14:paraId="7B9480BF" w14:textId="77777777" w:rsidR="002A5407" w:rsidRPr="00D91B35" w:rsidRDefault="002A5407" w:rsidP="00387006">
            <w:pPr>
              <w:rPr>
                <w:rFonts w:ascii="Times New Roman" w:hAnsi="Times New Roman" w:cs="Times New Roman"/>
                <w:sz w:val="16"/>
                <w:szCs w:val="16"/>
              </w:rPr>
            </w:pPr>
          </w:p>
        </w:tc>
        <w:tc>
          <w:tcPr>
            <w:tcW w:w="359" w:type="pct"/>
            <w:tcBorders>
              <w:bottom w:val="single" w:sz="4" w:space="0" w:color="auto"/>
            </w:tcBorders>
          </w:tcPr>
          <w:p w14:paraId="0B1C292F" w14:textId="77777777" w:rsidR="002A5407" w:rsidRPr="00D91B35" w:rsidRDefault="002A5407" w:rsidP="00387006">
            <w:pPr>
              <w:rPr>
                <w:rFonts w:ascii="Times New Roman" w:hAnsi="Times New Roman" w:cs="Times New Roman"/>
                <w:sz w:val="16"/>
                <w:szCs w:val="16"/>
              </w:rPr>
            </w:pPr>
          </w:p>
        </w:tc>
        <w:tc>
          <w:tcPr>
            <w:tcW w:w="839" w:type="pct"/>
            <w:tcBorders>
              <w:bottom w:val="single" w:sz="4" w:space="0" w:color="auto"/>
            </w:tcBorders>
          </w:tcPr>
          <w:p w14:paraId="5264A50C" w14:textId="77777777" w:rsidR="002A5407" w:rsidRPr="00D91B35" w:rsidRDefault="002A5407" w:rsidP="00387006">
            <w:pPr>
              <w:pStyle w:val="Default"/>
              <w:rPr>
                <w:sz w:val="16"/>
                <w:szCs w:val="16"/>
              </w:rPr>
            </w:pPr>
          </w:p>
        </w:tc>
        <w:tc>
          <w:tcPr>
            <w:tcW w:w="196" w:type="pct"/>
            <w:tcBorders>
              <w:bottom w:val="single" w:sz="4" w:space="0" w:color="auto"/>
            </w:tcBorders>
            <w:shd w:val="clear" w:color="auto" w:fill="FFFFFF" w:themeFill="background1"/>
          </w:tcPr>
          <w:p w14:paraId="7A1CA74E" w14:textId="67F33A86" w:rsidR="002A5407" w:rsidRPr="00D91B35" w:rsidRDefault="002A5407" w:rsidP="00387006">
            <w:pPr>
              <w:rPr>
                <w:rFonts w:ascii="Times New Roman" w:hAnsi="Times New Roman" w:cs="Times New Roman"/>
                <w:sz w:val="16"/>
                <w:szCs w:val="16"/>
              </w:rPr>
            </w:pPr>
            <w:r>
              <w:rPr>
                <w:rFonts w:ascii="Times New Roman" w:hAnsi="Times New Roman"/>
                <w:sz w:val="16"/>
              </w:rPr>
              <w:t>351</w:t>
            </w:r>
          </w:p>
        </w:tc>
        <w:tc>
          <w:tcPr>
            <w:tcW w:w="122" w:type="pct"/>
            <w:tcBorders>
              <w:bottom w:val="single" w:sz="4" w:space="0" w:color="auto"/>
            </w:tcBorders>
            <w:shd w:val="clear" w:color="auto" w:fill="FFFFFF" w:themeFill="background1"/>
          </w:tcPr>
          <w:p w14:paraId="384B5565" w14:textId="77777777" w:rsidR="002A5407" w:rsidRPr="00D91B35" w:rsidRDefault="002A5407" w:rsidP="00387006">
            <w:pPr>
              <w:rPr>
                <w:rFonts w:ascii="Times New Roman" w:hAnsi="Times New Roman" w:cs="Times New Roman"/>
                <w:sz w:val="16"/>
                <w:szCs w:val="16"/>
              </w:rPr>
            </w:pPr>
          </w:p>
        </w:tc>
        <w:tc>
          <w:tcPr>
            <w:tcW w:w="183" w:type="pct"/>
            <w:tcBorders>
              <w:bottom w:val="single" w:sz="4" w:space="0" w:color="auto"/>
            </w:tcBorders>
            <w:shd w:val="clear" w:color="auto" w:fill="FFFFFF" w:themeFill="background1"/>
          </w:tcPr>
          <w:p w14:paraId="3D17D97C" w14:textId="0D56A057" w:rsidR="002A5407" w:rsidRPr="00D91B35" w:rsidRDefault="002A5407" w:rsidP="00387006">
            <w:pPr>
              <w:rPr>
                <w:rFonts w:ascii="Times New Roman" w:hAnsi="Times New Roman" w:cs="Times New Roman"/>
                <w:sz w:val="16"/>
                <w:szCs w:val="16"/>
              </w:rPr>
            </w:pPr>
            <w:r>
              <w:rPr>
                <w:rFonts w:ascii="Times New Roman" w:hAnsi="Times New Roman"/>
                <w:sz w:val="16"/>
              </w:rPr>
              <w:t>9</w:t>
            </w:r>
          </w:p>
        </w:tc>
        <w:tc>
          <w:tcPr>
            <w:tcW w:w="105" w:type="pct"/>
            <w:tcBorders>
              <w:bottom w:val="single" w:sz="4" w:space="0" w:color="auto"/>
            </w:tcBorders>
            <w:shd w:val="clear" w:color="auto" w:fill="FFFFFF" w:themeFill="background1"/>
          </w:tcPr>
          <w:p w14:paraId="56FF4310" w14:textId="77777777" w:rsidR="002A5407" w:rsidRPr="00D91B35" w:rsidRDefault="002A5407" w:rsidP="00387006">
            <w:pPr>
              <w:rPr>
                <w:rFonts w:ascii="Times New Roman" w:hAnsi="Times New Roman" w:cs="Times New Roman"/>
                <w:sz w:val="16"/>
                <w:szCs w:val="16"/>
              </w:rPr>
            </w:pPr>
          </w:p>
        </w:tc>
        <w:tc>
          <w:tcPr>
            <w:tcW w:w="186" w:type="pct"/>
            <w:tcBorders>
              <w:bottom w:val="single" w:sz="4" w:space="0" w:color="auto"/>
            </w:tcBorders>
            <w:shd w:val="clear" w:color="auto" w:fill="FFFFFF" w:themeFill="background1"/>
          </w:tcPr>
          <w:p w14:paraId="19BC8E90" w14:textId="5AEE83BE" w:rsidR="002A5407" w:rsidRPr="00D91B35" w:rsidRDefault="002A5407" w:rsidP="00387006">
            <w:pPr>
              <w:rPr>
                <w:rFonts w:ascii="Times New Roman" w:hAnsi="Times New Roman" w:cs="Times New Roman"/>
                <w:sz w:val="16"/>
                <w:szCs w:val="16"/>
              </w:rPr>
            </w:pPr>
            <w:r>
              <w:rPr>
                <w:rFonts w:ascii="Times New Roman" w:hAnsi="Times New Roman"/>
                <w:sz w:val="16"/>
              </w:rPr>
              <w:t>13</w:t>
            </w:r>
          </w:p>
        </w:tc>
        <w:tc>
          <w:tcPr>
            <w:tcW w:w="609" w:type="pct"/>
            <w:tcBorders>
              <w:bottom w:val="single" w:sz="4" w:space="0" w:color="auto"/>
            </w:tcBorders>
            <w:shd w:val="clear" w:color="auto" w:fill="FFFFFF" w:themeFill="background1"/>
          </w:tcPr>
          <w:p w14:paraId="71B5E44E" w14:textId="77777777" w:rsidR="002A5407" w:rsidRPr="00D91B35" w:rsidRDefault="002A5407" w:rsidP="00387006">
            <w:pPr>
              <w:rPr>
                <w:rFonts w:ascii="Times New Roman" w:hAnsi="Times New Roman" w:cs="Times New Roman"/>
                <w:sz w:val="16"/>
                <w:szCs w:val="16"/>
              </w:rPr>
            </w:pPr>
          </w:p>
        </w:tc>
        <w:tc>
          <w:tcPr>
            <w:tcW w:w="237" w:type="pct"/>
            <w:tcBorders>
              <w:bottom w:val="single" w:sz="4" w:space="0" w:color="auto"/>
            </w:tcBorders>
            <w:shd w:val="clear" w:color="auto" w:fill="FFFFFF" w:themeFill="background1"/>
          </w:tcPr>
          <w:p w14:paraId="6A0474CD" w14:textId="77777777" w:rsidR="002A5407" w:rsidRPr="00D91B35" w:rsidRDefault="002A5407" w:rsidP="00387006">
            <w:pPr>
              <w:rPr>
                <w:rFonts w:ascii="Times New Roman" w:hAnsi="Times New Roman" w:cs="Times New Roman"/>
                <w:sz w:val="16"/>
                <w:szCs w:val="16"/>
              </w:rPr>
            </w:pPr>
          </w:p>
        </w:tc>
        <w:tc>
          <w:tcPr>
            <w:tcW w:w="251" w:type="pct"/>
            <w:tcBorders>
              <w:bottom w:val="single" w:sz="4" w:space="0" w:color="auto"/>
            </w:tcBorders>
            <w:shd w:val="clear" w:color="auto" w:fill="FFFFFF" w:themeFill="background1"/>
          </w:tcPr>
          <w:p w14:paraId="4801CF0A" w14:textId="1259A2F6" w:rsidR="002A5407" w:rsidRPr="00D91B35" w:rsidRDefault="00077C40" w:rsidP="00387006">
            <w:pPr>
              <w:rPr>
                <w:rFonts w:ascii="Times New Roman" w:hAnsi="Times New Roman" w:cs="Times New Roman"/>
                <w:sz w:val="16"/>
                <w:szCs w:val="16"/>
              </w:rPr>
            </w:pPr>
            <w:r>
              <w:rPr>
                <w:rFonts w:ascii="Times New Roman" w:hAnsi="Times New Roman"/>
                <w:sz w:val="16"/>
              </w:rPr>
              <w:t>943,0</w:t>
            </w:r>
          </w:p>
        </w:tc>
        <w:tc>
          <w:tcPr>
            <w:tcW w:w="237" w:type="pct"/>
            <w:tcBorders>
              <w:bottom w:val="single" w:sz="4" w:space="0" w:color="auto"/>
            </w:tcBorders>
            <w:shd w:val="clear" w:color="auto" w:fill="FFFFFF" w:themeFill="background1"/>
          </w:tcPr>
          <w:p w14:paraId="0870820F" w14:textId="77777777" w:rsidR="002A5407" w:rsidRPr="00D91B35" w:rsidRDefault="002A5407" w:rsidP="00387006">
            <w:pPr>
              <w:rPr>
                <w:rFonts w:ascii="Times New Roman" w:hAnsi="Times New Roman" w:cs="Times New Roman"/>
                <w:sz w:val="16"/>
                <w:szCs w:val="16"/>
              </w:rPr>
            </w:pPr>
          </w:p>
        </w:tc>
        <w:tc>
          <w:tcPr>
            <w:tcW w:w="237" w:type="pct"/>
            <w:tcBorders>
              <w:bottom w:val="single" w:sz="4" w:space="0" w:color="auto"/>
            </w:tcBorders>
            <w:shd w:val="clear" w:color="auto" w:fill="FFFFFF" w:themeFill="background1"/>
          </w:tcPr>
          <w:p w14:paraId="5F3A419B" w14:textId="77777777" w:rsidR="002A5407" w:rsidRPr="00D91B35" w:rsidRDefault="002A5407" w:rsidP="00387006">
            <w:pPr>
              <w:rPr>
                <w:rFonts w:ascii="Times New Roman" w:hAnsi="Times New Roman" w:cs="Times New Roman"/>
                <w:sz w:val="16"/>
                <w:szCs w:val="16"/>
              </w:rPr>
            </w:pPr>
          </w:p>
        </w:tc>
        <w:tc>
          <w:tcPr>
            <w:tcW w:w="237" w:type="pct"/>
            <w:tcBorders>
              <w:bottom w:val="single" w:sz="4" w:space="0" w:color="auto"/>
            </w:tcBorders>
            <w:shd w:val="clear" w:color="auto" w:fill="FFFFFF" w:themeFill="background1"/>
          </w:tcPr>
          <w:p w14:paraId="58F3AE13" w14:textId="5424297C" w:rsidR="002A5407" w:rsidRPr="00D91B35" w:rsidRDefault="00077C40" w:rsidP="00387006">
            <w:pPr>
              <w:rPr>
                <w:rFonts w:ascii="Times New Roman" w:hAnsi="Times New Roman" w:cs="Times New Roman"/>
                <w:sz w:val="16"/>
                <w:szCs w:val="16"/>
              </w:rPr>
            </w:pPr>
            <w:r>
              <w:rPr>
                <w:rFonts w:ascii="Times New Roman" w:hAnsi="Times New Roman"/>
                <w:sz w:val="16"/>
              </w:rPr>
              <w:t>1 587,0</w:t>
            </w:r>
          </w:p>
        </w:tc>
        <w:tc>
          <w:tcPr>
            <w:tcW w:w="237" w:type="pct"/>
            <w:tcBorders>
              <w:bottom w:val="single" w:sz="4" w:space="0" w:color="auto"/>
            </w:tcBorders>
            <w:shd w:val="clear" w:color="auto" w:fill="FFFFFF" w:themeFill="background1"/>
          </w:tcPr>
          <w:p w14:paraId="1769F5C8" w14:textId="77777777" w:rsidR="002A5407" w:rsidRPr="00D91B35" w:rsidRDefault="002A5407" w:rsidP="00387006">
            <w:pPr>
              <w:rPr>
                <w:rFonts w:ascii="Times New Roman" w:hAnsi="Times New Roman" w:cs="Times New Roman"/>
                <w:sz w:val="16"/>
                <w:szCs w:val="16"/>
              </w:rPr>
            </w:pPr>
          </w:p>
        </w:tc>
      </w:tr>
      <w:tr w:rsidR="002A5407" w:rsidRPr="00D91B35" w14:paraId="2255058A" w14:textId="77777777" w:rsidTr="008A656B">
        <w:tc>
          <w:tcPr>
            <w:tcW w:w="374" w:type="pct"/>
            <w:tcBorders>
              <w:top w:val="single" w:sz="4" w:space="0" w:color="auto"/>
            </w:tcBorders>
          </w:tcPr>
          <w:p w14:paraId="3E79AB56" w14:textId="70F46593" w:rsidR="002A5407" w:rsidRPr="00D91B35" w:rsidRDefault="00077C40" w:rsidP="00387006">
            <w:pPr>
              <w:rPr>
                <w:rFonts w:ascii="Times New Roman" w:hAnsi="Times New Roman" w:cs="Times New Roman"/>
                <w:b/>
                <w:bCs/>
                <w:sz w:val="16"/>
                <w:szCs w:val="16"/>
              </w:rPr>
            </w:pPr>
            <w:r>
              <w:rPr>
                <w:rFonts w:ascii="Times New Roman" w:hAnsi="Times New Roman"/>
                <w:b/>
                <w:sz w:val="16"/>
              </w:rPr>
              <w:t>Pārtika</w:t>
            </w:r>
          </w:p>
        </w:tc>
        <w:tc>
          <w:tcPr>
            <w:tcW w:w="231" w:type="pct"/>
            <w:tcBorders>
              <w:top w:val="single" w:sz="4" w:space="0" w:color="auto"/>
            </w:tcBorders>
          </w:tcPr>
          <w:p w14:paraId="5CAED3EA" w14:textId="785783B1" w:rsidR="002A5407" w:rsidRPr="00D91B35" w:rsidRDefault="00077C40" w:rsidP="00387006">
            <w:pPr>
              <w:rPr>
                <w:rFonts w:ascii="Times New Roman" w:hAnsi="Times New Roman" w:cs="Times New Roman"/>
                <w:b/>
                <w:bCs/>
                <w:sz w:val="16"/>
                <w:szCs w:val="16"/>
              </w:rPr>
            </w:pPr>
            <w:r>
              <w:rPr>
                <w:rFonts w:ascii="Times New Roman" w:hAnsi="Times New Roman"/>
                <w:b/>
                <w:sz w:val="16"/>
              </w:rPr>
              <w:t>Zēni un meitenes</w:t>
            </w:r>
          </w:p>
        </w:tc>
        <w:tc>
          <w:tcPr>
            <w:tcW w:w="358" w:type="pct"/>
            <w:tcBorders>
              <w:top w:val="single" w:sz="4" w:space="0" w:color="auto"/>
            </w:tcBorders>
          </w:tcPr>
          <w:p w14:paraId="3A049166" w14:textId="1D788B3E" w:rsidR="002A5407" w:rsidRPr="00D91B35" w:rsidRDefault="00077C40" w:rsidP="00387006">
            <w:pPr>
              <w:rPr>
                <w:rFonts w:ascii="Times New Roman" w:hAnsi="Times New Roman" w:cs="Times New Roman"/>
                <w:b/>
                <w:bCs/>
                <w:sz w:val="16"/>
                <w:szCs w:val="16"/>
              </w:rPr>
            </w:pPr>
            <w:r>
              <w:rPr>
                <w:rFonts w:ascii="Times New Roman" w:hAnsi="Times New Roman"/>
                <w:b/>
                <w:sz w:val="16"/>
              </w:rPr>
              <w:t>Dānija</w:t>
            </w:r>
          </w:p>
        </w:tc>
        <w:tc>
          <w:tcPr>
            <w:tcW w:w="359" w:type="pct"/>
            <w:tcBorders>
              <w:top w:val="single" w:sz="4" w:space="0" w:color="auto"/>
            </w:tcBorders>
          </w:tcPr>
          <w:p w14:paraId="5C4AC447" w14:textId="4B777A54" w:rsidR="002A5407" w:rsidRPr="00D91B35" w:rsidRDefault="00077C40" w:rsidP="00077C40">
            <w:pPr>
              <w:pStyle w:val="Default"/>
              <w:rPr>
                <w:sz w:val="16"/>
                <w:szCs w:val="16"/>
              </w:rPr>
            </w:pPr>
            <w:r>
              <w:rPr>
                <w:sz w:val="16"/>
              </w:rPr>
              <w:t>(Pedersen et al., 2010)</w:t>
            </w:r>
          </w:p>
        </w:tc>
        <w:tc>
          <w:tcPr>
            <w:tcW w:w="839" w:type="pct"/>
            <w:tcBorders>
              <w:top w:val="single" w:sz="4" w:space="0" w:color="auto"/>
            </w:tcBorders>
          </w:tcPr>
          <w:p w14:paraId="3B58C9E9" w14:textId="5B01726E" w:rsidR="002A5407" w:rsidRPr="00D91B35" w:rsidRDefault="00077C40" w:rsidP="00387006">
            <w:pPr>
              <w:pStyle w:val="Default"/>
              <w:rPr>
                <w:sz w:val="16"/>
                <w:szCs w:val="16"/>
              </w:rPr>
            </w:pPr>
            <w:r>
              <w:rPr>
                <w:sz w:val="16"/>
              </w:rPr>
              <w:t>7 dienu uztura pieraksts</w:t>
            </w:r>
          </w:p>
        </w:tc>
        <w:tc>
          <w:tcPr>
            <w:tcW w:w="196" w:type="pct"/>
            <w:tcBorders>
              <w:top w:val="single" w:sz="4" w:space="0" w:color="auto"/>
            </w:tcBorders>
            <w:shd w:val="clear" w:color="auto" w:fill="FFFFFF" w:themeFill="background1"/>
          </w:tcPr>
          <w:p w14:paraId="5846BB9F" w14:textId="0AEFAAE8" w:rsidR="002A5407" w:rsidRPr="00D91B35" w:rsidRDefault="002A5407" w:rsidP="00387006">
            <w:pPr>
              <w:rPr>
                <w:rFonts w:ascii="Times New Roman" w:hAnsi="Times New Roman" w:cs="Times New Roman"/>
                <w:sz w:val="16"/>
                <w:szCs w:val="16"/>
              </w:rPr>
            </w:pPr>
            <w:r>
              <w:rPr>
                <w:rFonts w:ascii="Times New Roman" w:hAnsi="Times New Roman"/>
                <w:sz w:val="16"/>
              </w:rPr>
              <w:t>903</w:t>
            </w:r>
          </w:p>
        </w:tc>
        <w:tc>
          <w:tcPr>
            <w:tcW w:w="122" w:type="pct"/>
            <w:tcBorders>
              <w:top w:val="single" w:sz="4" w:space="0" w:color="auto"/>
            </w:tcBorders>
            <w:shd w:val="clear" w:color="auto" w:fill="FFFFFF" w:themeFill="background1"/>
          </w:tcPr>
          <w:p w14:paraId="2C98A3A5" w14:textId="77777777" w:rsidR="002A5407" w:rsidRPr="00D91B35" w:rsidRDefault="002A5407" w:rsidP="00387006">
            <w:pPr>
              <w:rPr>
                <w:rFonts w:ascii="Times New Roman" w:hAnsi="Times New Roman" w:cs="Times New Roman"/>
                <w:sz w:val="16"/>
                <w:szCs w:val="16"/>
              </w:rPr>
            </w:pPr>
          </w:p>
        </w:tc>
        <w:tc>
          <w:tcPr>
            <w:tcW w:w="183" w:type="pct"/>
            <w:tcBorders>
              <w:top w:val="single" w:sz="4" w:space="0" w:color="auto"/>
            </w:tcBorders>
            <w:shd w:val="clear" w:color="auto" w:fill="FFFFFF" w:themeFill="background1"/>
          </w:tcPr>
          <w:p w14:paraId="76CAC575" w14:textId="105EB4D2" w:rsidR="002A5407" w:rsidRPr="00D91B35" w:rsidRDefault="002A5407" w:rsidP="00387006">
            <w:pPr>
              <w:rPr>
                <w:rFonts w:ascii="Times New Roman" w:hAnsi="Times New Roman" w:cs="Times New Roman"/>
                <w:sz w:val="16"/>
                <w:szCs w:val="16"/>
              </w:rPr>
            </w:pPr>
            <w:r>
              <w:rPr>
                <w:rFonts w:ascii="Times New Roman" w:hAnsi="Times New Roman"/>
                <w:sz w:val="16"/>
              </w:rPr>
              <w:t>4</w:t>
            </w:r>
          </w:p>
        </w:tc>
        <w:tc>
          <w:tcPr>
            <w:tcW w:w="105" w:type="pct"/>
            <w:tcBorders>
              <w:top w:val="single" w:sz="4" w:space="0" w:color="auto"/>
            </w:tcBorders>
            <w:shd w:val="clear" w:color="auto" w:fill="FFFFFF" w:themeFill="background1"/>
          </w:tcPr>
          <w:p w14:paraId="5C061582" w14:textId="77777777" w:rsidR="002A5407" w:rsidRPr="00D91B35" w:rsidRDefault="002A5407" w:rsidP="00387006">
            <w:pPr>
              <w:rPr>
                <w:rFonts w:ascii="Times New Roman" w:hAnsi="Times New Roman" w:cs="Times New Roman"/>
                <w:sz w:val="16"/>
                <w:szCs w:val="16"/>
              </w:rPr>
            </w:pPr>
          </w:p>
        </w:tc>
        <w:tc>
          <w:tcPr>
            <w:tcW w:w="186" w:type="pct"/>
            <w:tcBorders>
              <w:top w:val="single" w:sz="4" w:space="0" w:color="auto"/>
            </w:tcBorders>
            <w:shd w:val="clear" w:color="auto" w:fill="FFFFFF" w:themeFill="background1"/>
          </w:tcPr>
          <w:p w14:paraId="70740DBE" w14:textId="55FF21F2" w:rsidR="002A5407" w:rsidRPr="00D91B35" w:rsidRDefault="002A5407" w:rsidP="00387006">
            <w:pPr>
              <w:rPr>
                <w:rFonts w:ascii="Times New Roman" w:hAnsi="Times New Roman" w:cs="Times New Roman"/>
                <w:sz w:val="16"/>
                <w:szCs w:val="16"/>
              </w:rPr>
            </w:pPr>
            <w:r>
              <w:rPr>
                <w:rFonts w:ascii="Times New Roman" w:hAnsi="Times New Roman"/>
                <w:sz w:val="16"/>
              </w:rPr>
              <w:t>14</w:t>
            </w:r>
          </w:p>
        </w:tc>
        <w:tc>
          <w:tcPr>
            <w:tcW w:w="609" w:type="pct"/>
            <w:tcBorders>
              <w:top w:val="single" w:sz="4" w:space="0" w:color="auto"/>
            </w:tcBorders>
            <w:shd w:val="clear" w:color="auto" w:fill="FFFFFF" w:themeFill="background1"/>
          </w:tcPr>
          <w:p w14:paraId="2F4012FB" w14:textId="77777777" w:rsidR="002A5407" w:rsidRPr="00D91B35" w:rsidRDefault="002A5407" w:rsidP="00387006">
            <w:pPr>
              <w:rPr>
                <w:rFonts w:ascii="Times New Roman" w:hAnsi="Times New Roman" w:cs="Times New Roman"/>
                <w:sz w:val="16"/>
                <w:szCs w:val="16"/>
              </w:rPr>
            </w:pPr>
          </w:p>
        </w:tc>
        <w:tc>
          <w:tcPr>
            <w:tcW w:w="237" w:type="pct"/>
            <w:tcBorders>
              <w:top w:val="single" w:sz="4" w:space="0" w:color="auto"/>
            </w:tcBorders>
            <w:shd w:val="clear" w:color="auto" w:fill="FFFFFF" w:themeFill="background1"/>
          </w:tcPr>
          <w:p w14:paraId="482502D2" w14:textId="28BE56F5" w:rsidR="002A5407" w:rsidRPr="00D91B35" w:rsidRDefault="00077C40" w:rsidP="00387006">
            <w:pPr>
              <w:rPr>
                <w:rFonts w:ascii="Times New Roman" w:hAnsi="Times New Roman" w:cs="Times New Roman"/>
                <w:sz w:val="16"/>
                <w:szCs w:val="16"/>
              </w:rPr>
            </w:pPr>
            <w:r>
              <w:rPr>
                <w:rFonts w:ascii="Times New Roman" w:hAnsi="Times New Roman"/>
                <w:sz w:val="16"/>
              </w:rPr>
              <w:t>1 072,0</w:t>
            </w:r>
          </w:p>
        </w:tc>
        <w:tc>
          <w:tcPr>
            <w:tcW w:w="251" w:type="pct"/>
            <w:tcBorders>
              <w:top w:val="single" w:sz="4" w:space="0" w:color="auto"/>
            </w:tcBorders>
            <w:shd w:val="clear" w:color="auto" w:fill="FFFFFF" w:themeFill="background1"/>
          </w:tcPr>
          <w:p w14:paraId="4EEA11BF" w14:textId="77777777" w:rsidR="002A5407" w:rsidRPr="00D91B35" w:rsidRDefault="002A5407" w:rsidP="00387006">
            <w:pPr>
              <w:rPr>
                <w:rFonts w:ascii="Times New Roman" w:hAnsi="Times New Roman" w:cs="Times New Roman"/>
                <w:sz w:val="16"/>
                <w:szCs w:val="16"/>
              </w:rPr>
            </w:pPr>
          </w:p>
        </w:tc>
        <w:tc>
          <w:tcPr>
            <w:tcW w:w="237" w:type="pct"/>
            <w:tcBorders>
              <w:top w:val="single" w:sz="4" w:space="0" w:color="auto"/>
            </w:tcBorders>
            <w:shd w:val="clear" w:color="auto" w:fill="FFFFFF" w:themeFill="background1"/>
          </w:tcPr>
          <w:p w14:paraId="04B7B5F7" w14:textId="77777777" w:rsidR="002A5407" w:rsidRPr="00D91B35" w:rsidRDefault="002A5407" w:rsidP="00387006">
            <w:pPr>
              <w:rPr>
                <w:rFonts w:ascii="Times New Roman" w:hAnsi="Times New Roman" w:cs="Times New Roman"/>
                <w:sz w:val="16"/>
                <w:szCs w:val="16"/>
              </w:rPr>
            </w:pPr>
          </w:p>
        </w:tc>
        <w:tc>
          <w:tcPr>
            <w:tcW w:w="237" w:type="pct"/>
            <w:tcBorders>
              <w:top w:val="single" w:sz="4" w:space="0" w:color="auto"/>
            </w:tcBorders>
            <w:shd w:val="clear" w:color="auto" w:fill="FFFFFF" w:themeFill="background1"/>
          </w:tcPr>
          <w:p w14:paraId="16CC7596" w14:textId="77777777" w:rsidR="002A5407" w:rsidRPr="00D91B35" w:rsidRDefault="002A5407" w:rsidP="00387006">
            <w:pPr>
              <w:rPr>
                <w:rFonts w:ascii="Times New Roman" w:hAnsi="Times New Roman" w:cs="Times New Roman"/>
                <w:sz w:val="16"/>
                <w:szCs w:val="16"/>
              </w:rPr>
            </w:pPr>
          </w:p>
        </w:tc>
        <w:tc>
          <w:tcPr>
            <w:tcW w:w="237" w:type="pct"/>
            <w:tcBorders>
              <w:top w:val="single" w:sz="4" w:space="0" w:color="auto"/>
            </w:tcBorders>
            <w:shd w:val="clear" w:color="auto" w:fill="FFFFFF" w:themeFill="background1"/>
          </w:tcPr>
          <w:p w14:paraId="3CC7BF74" w14:textId="618B490A" w:rsidR="002A5407" w:rsidRPr="00D91B35" w:rsidRDefault="00077C40" w:rsidP="00387006">
            <w:pPr>
              <w:rPr>
                <w:rFonts w:ascii="Times New Roman" w:hAnsi="Times New Roman" w:cs="Times New Roman"/>
                <w:sz w:val="16"/>
                <w:szCs w:val="16"/>
              </w:rPr>
            </w:pPr>
            <w:r>
              <w:rPr>
                <w:rFonts w:ascii="Times New Roman" w:hAnsi="Times New Roman"/>
                <w:sz w:val="16"/>
              </w:rPr>
              <w:t>1 776,0</w:t>
            </w:r>
          </w:p>
        </w:tc>
        <w:tc>
          <w:tcPr>
            <w:tcW w:w="237" w:type="pct"/>
            <w:tcBorders>
              <w:top w:val="single" w:sz="4" w:space="0" w:color="auto"/>
            </w:tcBorders>
            <w:shd w:val="clear" w:color="auto" w:fill="FFFFFF" w:themeFill="background1"/>
          </w:tcPr>
          <w:p w14:paraId="56089550" w14:textId="77777777" w:rsidR="002A5407" w:rsidRPr="00D91B35" w:rsidRDefault="002A5407" w:rsidP="00387006">
            <w:pPr>
              <w:rPr>
                <w:rFonts w:ascii="Times New Roman" w:hAnsi="Times New Roman" w:cs="Times New Roman"/>
                <w:sz w:val="16"/>
                <w:szCs w:val="16"/>
              </w:rPr>
            </w:pPr>
          </w:p>
        </w:tc>
      </w:tr>
      <w:tr w:rsidR="002A5407" w:rsidRPr="00D91B35" w14:paraId="5B03F885" w14:textId="77777777" w:rsidTr="008A656B">
        <w:tc>
          <w:tcPr>
            <w:tcW w:w="374" w:type="pct"/>
          </w:tcPr>
          <w:p w14:paraId="3DB847CE" w14:textId="77777777" w:rsidR="002A5407" w:rsidRPr="00D91B35" w:rsidRDefault="002A5407" w:rsidP="00387006">
            <w:pPr>
              <w:rPr>
                <w:rFonts w:ascii="Times New Roman" w:hAnsi="Times New Roman" w:cs="Times New Roman"/>
                <w:b/>
                <w:bCs/>
                <w:sz w:val="16"/>
                <w:szCs w:val="16"/>
              </w:rPr>
            </w:pPr>
          </w:p>
        </w:tc>
        <w:tc>
          <w:tcPr>
            <w:tcW w:w="231" w:type="pct"/>
          </w:tcPr>
          <w:p w14:paraId="61A771EA" w14:textId="77777777" w:rsidR="002A5407" w:rsidRPr="00D91B35" w:rsidRDefault="002A5407" w:rsidP="00387006">
            <w:pPr>
              <w:rPr>
                <w:rFonts w:ascii="Times New Roman" w:hAnsi="Times New Roman" w:cs="Times New Roman"/>
                <w:b/>
                <w:bCs/>
                <w:sz w:val="16"/>
                <w:szCs w:val="16"/>
              </w:rPr>
            </w:pPr>
          </w:p>
        </w:tc>
        <w:tc>
          <w:tcPr>
            <w:tcW w:w="358" w:type="pct"/>
          </w:tcPr>
          <w:p w14:paraId="6FCA142B" w14:textId="374DDECE" w:rsidR="002A5407" w:rsidRPr="00D91B35" w:rsidRDefault="00077C40" w:rsidP="00387006">
            <w:pPr>
              <w:rPr>
                <w:rFonts w:ascii="Times New Roman" w:hAnsi="Times New Roman" w:cs="Times New Roman"/>
                <w:b/>
                <w:bCs/>
                <w:sz w:val="16"/>
                <w:szCs w:val="16"/>
              </w:rPr>
            </w:pPr>
            <w:r>
              <w:rPr>
                <w:rFonts w:ascii="Times New Roman" w:hAnsi="Times New Roman"/>
                <w:b/>
                <w:sz w:val="16"/>
              </w:rPr>
              <w:t>Itālija</w:t>
            </w:r>
          </w:p>
        </w:tc>
        <w:tc>
          <w:tcPr>
            <w:tcW w:w="359" w:type="pct"/>
          </w:tcPr>
          <w:p w14:paraId="3674A09F" w14:textId="473C15F3" w:rsidR="002A5407" w:rsidRPr="00D91B35" w:rsidRDefault="00077C40" w:rsidP="00077C40">
            <w:pPr>
              <w:pStyle w:val="Default"/>
              <w:rPr>
                <w:sz w:val="16"/>
                <w:szCs w:val="16"/>
              </w:rPr>
            </w:pPr>
            <w:r>
              <w:rPr>
                <w:sz w:val="16"/>
              </w:rPr>
              <w:t>(Sette et al., 2010)</w:t>
            </w:r>
          </w:p>
        </w:tc>
        <w:tc>
          <w:tcPr>
            <w:tcW w:w="839" w:type="pct"/>
          </w:tcPr>
          <w:p w14:paraId="3342B5ED" w14:textId="64585921" w:rsidR="002A5407" w:rsidRPr="00D91B35" w:rsidRDefault="00077C40" w:rsidP="00387006">
            <w:pPr>
              <w:pStyle w:val="Default"/>
              <w:rPr>
                <w:sz w:val="16"/>
                <w:szCs w:val="16"/>
              </w:rPr>
            </w:pPr>
            <w:r>
              <w:rPr>
                <w:sz w:val="16"/>
              </w:rPr>
              <w:t>Secīgi 3 dienu uztura pieraksti</w:t>
            </w:r>
          </w:p>
        </w:tc>
        <w:tc>
          <w:tcPr>
            <w:tcW w:w="196" w:type="pct"/>
            <w:shd w:val="clear" w:color="auto" w:fill="FFFFFF" w:themeFill="background1"/>
          </w:tcPr>
          <w:p w14:paraId="214A077C" w14:textId="6287473E" w:rsidR="002A5407" w:rsidRPr="00D91B35" w:rsidRDefault="002A5407" w:rsidP="00387006">
            <w:pPr>
              <w:rPr>
                <w:rFonts w:ascii="Times New Roman" w:hAnsi="Times New Roman" w:cs="Times New Roman"/>
                <w:sz w:val="16"/>
                <w:szCs w:val="16"/>
              </w:rPr>
            </w:pPr>
            <w:r>
              <w:rPr>
                <w:rFonts w:ascii="Times New Roman" w:hAnsi="Times New Roman"/>
                <w:sz w:val="16"/>
              </w:rPr>
              <w:t>52</w:t>
            </w:r>
          </w:p>
        </w:tc>
        <w:tc>
          <w:tcPr>
            <w:tcW w:w="122" w:type="pct"/>
            <w:shd w:val="clear" w:color="auto" w:fill="FFFFFF" w:themeFill="background1"/>
          </w:tcPr>
          <w:p w14:paraId="300DF757" w14:textId="77777777" w:rsidR="002A5407" w:rsidRPr="00D91B35" w:rsidRDefault="002A5407" w:rsidP="00387006">
            <w:pPr>
              <w:rPr>
                <w:rFonts w:ascii="Times New Roman" w:hAnsi="Times New Roman" w:cs="Times New Roman"/>
                <w:sz w:val="16"/>
                <w:szCs w:val="16"/>
              </w:rPr>
            </w:pPr>
          </w:p>
        </w:tc>
        <w:tc>
          <w:tcPr>
            <w:tcW w:w="183" w:type="pct"/>
            <w:shd w:val="clear" w:color="auto" w:fill="FFFFFF" w:themeFill="background1"/>
          </w:tcPr>
          <w:p w14:paraId="22D68F89" w14:textId="1C4B8607" w:rsidR="002A5407" w:rsidRPr="00D91B35" w:rsidRDefault="002A5407" w:rsidP="00387006">
            <w:pPr>
              <w:rPr>
                <w:rFonts w:ascii="Times New Roman" w:hAnsi="Times New Roman" w:cs="Times New Roman"/>
                <w:sz w:val="16"/>
                <w:szCs w:val="16"/>
              </w:rPr>
            </w:pPr>
            <w:r>
              <w:rPr>
                <w:rFonts w:ascii="Times New Roman" w:hAnsi="Times New Roman"/>
                <w:sz w:val="16"/>
              </w:rPr>
              <w:t>3</w:t>
            </w:r>
          </w:p>
        </w:tc>
        <w:tc>
          <w:tcPr>
            <w:tcW w:w="105" w:type="pct"/>
            <w:shd w:val="clear" w:color="auto" w:fill="FFFFFF" w:themeFill="background1"/>
          </w:tcPr>
          <w:p w14:paraId="1C4D46D3" w14:textId="0C54CEC2" w:rsidR="002A5407" w:rsidRPr="00D91B35" w:rsidRDefault="002A5407" w:rsidP="002A5407">
            <w:pPr>
              <w:pStyle w:val="Default"/>
              <w:rPr>
                <w:sz w:val="16"/>
                <w:szCs w:val="16"/>
              </w:rPr>
            </w:pPr>
            <w:r>
              <w:rPr>
                <w:sz w:val="16"/>
              </w:rPr>
              <w:t>&lt;</w:t>
            </w:r>
          </w:p>
        </w:tc>
        <w:tc>
          <w:tcPr>
            <w:tcW w:w="186" w:type="pct"/>
            <w:shd w:val="clear" w:color="auto" w:fill="FFFFFF" w:themeFill="background1"/>
          </w:tcPr>
          <w:p w14:paraId="5BA2CE23" w14:textId="471F82B9" w:rsidR="002A5407" w:rsidRPr="00D91B35" w:rsidRDefault="002A5407" w:rsidP="00387006">
            <w:pPr>
              <w:rPr>
                <w:rFonts w:ascii="Times New Roman" w:hAnsi="Times New Roman" w:cs="Times New Roman"/>
                <w:sz w:val="16"/>
                <w:szCs w:val="16"/>
              </w:rPr>
            </w:pPr>
            <w:r>
              <w:rPr>
                <w:rFonts w:ascii="Times New Roman" w:hAnsi="Times New Roman"/>
                <w:sz w:val="16"/>
              </w:rPr>
              <w:t>10</w:t>
            </w:r>
          </w:p>
        </w:tc>
        <w:tc>
          <w:tcPr>
            <w:tcW w:w="609" w:type="pct"/>
            <w:shd w:val="clear" w:color="auto" w:fill="FFFFFF" w:themeFill="background1"/>
          </w:tcPr>
          <w:p w14:paraId="0FCB0B7B" w14:textId="25879D72" w:rsidR="002A5407" w:rsidRPr="00D91B35" w:rsidRDefault="002A5407" w:rsidP="002A5407">
            <w:pPr>
              <w:pStyle w:val="Default"/>
              <w:rPr>
                <w:sz w:val="16"/>
                <w:szCs w:val="16"/>
              </w:rPr>
            </w:pPr>
            <w:r>
              <w:rPr>
                <w:sz w:val="16"/>
              </w:rPr>
              <w:t>Ieskaitot bagātinātu pārtiku</w:t>
            </w:r>
          </w:p>
        </w:tc>
        <w:tc>
          <w:tcPr>
            <w:tcW w:w="237" w:type="pct"/>
            <w:shd w:val="clear" w:color="auto" w:fill="FFFFFF" w:themeFill="background1"/>
          </w:tcPr>
          <w:p w14:paraId="7B841D56" w14:textId="2C12E203" w:rsidR="002A5407" w:rsidRPr="00D91B35" w:rsidRDefault="00077C40" w:rsidP="00387006">
            <w:pPr>
              <w:rPr>
                <w:rFonts w:ascii="Times New Roman" w:hAnsi="Times New Roman" w:cs="Times New Roman"/>
                <w:sz w:val="16"/>
                <w:szCs w:val="16"/>
              </w:rPr>
            </w:pPr>
            <w:r>
              <w:rPr>
                <w:rFonts w:ascii="Times New Roman" w:hAnsi="Times New Roman"/>
                <w:sz w:val="16"/>
              </w:rPr>
              <w:t>749,0</w:t>
            </w:r>
          </w:p>
        </w:tc>
        <w:tc>
          <w:tcPr>
            <w:tcW w:w="251" w:type="pct"/>
            <w:shd w:val="clear" w:color="auto" w:fill="FFFFFF" w:themeFill="background1"/>
          </w:tcPr>
          <w:p w14:paraId="16665A2A" w14:textId="77777777" w:rsidR="002A5407" w:rsidRPr="00D91B35" w:rsidRDefault="002A5407" w:rsidP="00387006">
            <w:pPr>
              <w:rPr>
                <w:rFonts w:ascii="Times New Roman" w:hAnsi="Times New Roman" w:cs="Times New Roman"/>
                <w:sz w:val="16"/>
                <w:szCs w:val="16"/>
              </w:rPr>
            </w:pPr>
          </w:p>
        </w:tc>
        <w:tc>
          <w:tcPr>
            <w:tcW w:w="237" w:type="pct"/>
            <w:shd w:val="clear" w:color="auto" w:fill="FFFFFF" w:themeFill="background1"/>
          </w:tcPr>
          <w:p w14:paraId="6F9DC2B7" w14:textId="77777777" w:rsidR="002A5407" w:rsidRPr="00D91B35" w:rsidRDefault="002A5407" w:rsidP="00387006">
            <w:pPr>
              <w:rPr>
                <w:rFonts w:ascii="Times New Roman" w:hAnsi="Times New Roman" w:cs="Times New Roman"/>
                <w:sz w:val="16"/>
                <w:szCs w:val="16"/>
              </w:rPr>
            </w:pPr>
          </w:p>
        </w:tc>
        <w:tc>
          <w:tcPr>
            <w:tcW w:w="237" w:type="pct"/>
            <w:shd w:val="clear" w:color="auto" w:fill="FFFFFF" w:themeFill="background1"/>
          </w:tcPr>
          <w:p w14:paraId="1243CEEF" w14:textId="77777777" w:rsidR="002A5407" w:rsidRPr="00D91B35" w:rsidRDefault="002A5407" w:rsidP="00387006">
            <w:pPr>
              <w:rPr>
                <w:rFonts w:ascii="Times New Roman" w:hAnsi="Times New Roman" w:cs="Times New Roman"/>
                <w:sz w:val="16"/>
                <w:szCs w:val="16"/>
              </w:rPr>
            </w:pPr>
          </w:p>
        </w:tc>
        <w:tc>
          <w:tcPr>
            <w:tcW w:w="237" w:type="pct"/>
            <w:shd w:val="clear" w:color="auto" w:fill="FFFFFF" w:themeFill="background1"/>
          </w:tcPr>
          <w:p w14:paraId="4E666264" w14:textId="56A2E038" w:rsidR="002A5407" w:rsidRPr="00D91B35" w:rsidRDefault="00077C40" w:rsidP="00387006">
            <w:pPr>
              <w:rPr>
                <w:rFonts w:ascii="Times New Roman" w:hAnsi="Times New Roman" w:cs="Times New Roman"/>
                <w:sz w:val="16"/>
                <w:szCs w:val="16"/>
              </w:rPr>
            </w:pPr>
            <w:r>
              <w:rPr>
                <w:rFonts w:ascii="Times New Roman" w:hAnsi="Times New Roman"/>
                <w:sz w:val="16"/>
              </w:rPr>
              <w:t>1 197,0</w:t>
            </w:r>
          </w:p>
        </w:tc>
        <w:tc>
          <w:tcPr>
            <w:tcW w:w="237" w:type="pct"/>
            <w:shd w:val="clear" w:color="auto" w:fill="FFFFFF" w:themeFill="background1"/>
          </w:tcPr>
          <w:p w14:paraId="48D97FAD" w14:textId="77777777" w:rsidR="002A5407" w:rsidRPr="00D91B35" w:rsidRDefault="002A5407" w:rsidP="00387006">
            <w:pPr>
              <w:rPr>
                <w:rFonts w:ascii="Times New Roman" w:hAnsi="Times New Roman" w:cs="Times New Roman"/>
                <w:sz w:val="16"/>
                <w:szCs w:val="16"/>
              </w:rPr>
            </w:pPr>
          </w:p>
        </w:tc>
      </w:tr>
      <w:tr w:rsidR="002A5407" w:rsidRPr="00D91B35" w14:paraId="60B30CED" w14:textId="77777777" w:rsidTr="008A656B">
        <w:tc>
          <w:tcPr>
            <w:tcW w:w="374" w:type="pct"/>
          </w:tcPr>
          <w:p w14:paraId="0EE255D3" w14:textId="77777777" w:rsidR="002A5407" w:rsidRPr="00D91B35" w:rsidRDefault="002A5407" w:rsidP="00387006">
            <w:pPr>
              <w:rPr>
                <w:rFonts w:ascii="Times New Roman" w:hAnsi="Times New Roman" w:cs="Times New Roman"/>
                <w:b/>
                <w:bCs/>
                <w:sz w:val="16"/>
                <w:szCs w:val="16"/>
              </w:rPr>
            </w:pPr>
          </w:p>
        </w:tc>
        <w:tc>
          <w:tcPr>
            <w:tcW w:w="231" w:type="pct"/>
          </w:tcPr>
          <w:p w14:paraId="1C033BF9" w14:textId="77777777" w:rsidR="002A5407" w:rsidRPr="00D91B35" w:rsidRDefault="002A5407" w:rsidP="00387006">
            <w:pPr>
              <w:rPr>
                <w:rFonts w:ascii="Times New Roman" w:hAnsi="Times New Roman" w:cs="Times New Roman"/>
                <w:b/>
                <w:bCs/>
                <w:sz w:val="16"/>
                <w:szCs w:val="16"/>
              </w:rPr>
            </w:pPr>
          </w:p>
        </w:tc>
        <w:tc>
          <w:tcPr>
            <w:tcW w:w="358" w:type="pct"/>
          </w:tcPr>
          <w:p w14:paraId="43207B66" w14:textId="738C0DAF" w:rsidR="002A5407" w:rsidRPr="00D91B35" w:rsidRDefault="00077C40" w:rsidP="00387006">
            <w:pPr>
              <w:rPr>
                <w:rFonts w:ascii="Times New Roman" w:hAnsi="Times New Roman" w:cs="Times New Roman"/>
                <w:b/>
                <w:bCs/>
                <w:sz w:val="16"/>
                <w:szCs w:val="16"/>
              </w:rPr>
            </w:pPr>
            <w:r>
              <w:rPr>
                <w:rFonts w:ascii="Times New Roman" w:hAnsi="Times New Roman"/>
                <w:b/>
                <w:sz w:val="16"/>
              </w:rPr>
              <w:t>Vācija</w:t>
            </w:r>
          </w:p>
        </w:tc>
        <w:tc>
          <w:tcPr>
            <w:tcW w:w="359" w:type="pct"/>
          </w:tcPr>
          <w:p w14:paraId="502ADDE2" w14:textId="62AF4096" w:rsidR="002A5407" w:rsidRPr="00D91B35" w:rsidRDefault="00077C40" w:rsidP="00077C40">
            <w:pPr>
              <w:pStyle w:val="Default"/>
              <w:rPr>
                <w:sz w:val="16"/>
                <w:szCs w:val="16"/>
              </w:rPr>
            </w:pPr>
            <w:r>
              <w:rPr>
                <w:sz w:val="16"/>
              </w:rPr>
              <w:t>(Flynn et al., 2009)</w:t>
            </w:r>
          </w:p>
        </w:tc>
        <w:tc>
          <w:tcPr>
            <w:tcW w:w="839" w:type="pct"/>
          </w:tcPr>
          <w:p w14:paraId="178EFB2D" w14:textId="3D716830" w:rsidR="002A5407" w:rsidRPr="00D91B35" w:rsidRDefault="00077C40" w:rsidP="00387006">
            <w:pPr>
              <w:pStyle w:val="Default"/>
              <w:rPr>
                <w:sz w:val="16"/>
                <w:szCs w:val="16"/>
              </w:rPr>
            </w:pPr>
            <w:r>
              <w:rPr>
                <w:sz w:val="16"/>
              </w:rPr>
              <w:t>3 dienu uztura pieraksts</w:t>
            </w:r>
          </w:p>
        </w:tc>
        <w:tc>
          <w:tcPr>
            <w:tcW w:w="196" w:type="pct"/>
            <w:shd w:val="clear" w:color="auto" w:fill="FFFFFF" w:themeFill="background1"/>
          </w:tcPr>
          <w:p w14:paraId="6346992E" w14:textId="161FC51F" w:rsidR="002A5407" w:rsidRPr="00D91B35" w:rsidRDefault="002A5407" w:rsidP="00387006">
            <w:pPr>
              <w:rPr>
                <w:rFonts w:ascii="Times New Roman" w:hAnsi="Times New Roman" w:cs="Times New Roman"/>
                <w:sz w:val="16"/>
                <w:szCs w:val="16"/>
              </w:rPr>
            </w:pPr>
            <w:r>
              <w:rPr>
                <w:rFonts w:ascii="Times New Roman" w:hAnsi="Times New Roman"/>
                <w:sz w:val="16"/>
              </w:rPr>
              <w:t>1 234</w:t>
            </w:r>
          </w:p>
        </w:tc>
        <w:tc>
          <w:tcPr>
            <w:tcW w:w="122" w:type="pct"/>
            <w:shd w:val="clear" w:color="auto" w:fill="FFFFFF" w:themeFill="background1"/>
          </w:tcPr>
          <w:p w14:paraId="266F5D84" w14:textId="77777777" w:rsidR="002A5407" w:rsidRPr="00D91B35" w:rsidRDefault="002A5407" w:rsidP="00387006">
            <w:pPr>
              <w:rPr>
                <w:rFonts w:ascii="Times New Roman" w:hAnsi="Times New Roman" w:cs="Times New Roman"/>
                <w:sz w:val="16"/>
                <w:szCs w:val="16"/>
              </w:rPr>
            </w:pPr>
          </w:p>
        </w:tc>
        <w:tc>
          <w:tcPr>
            <w:tcW w:w="183" w:type="pct"/>
            <w:shd w:val="clear" w:color="auto" w:fill="FFFFFF" w:themeFill="background1"/>
          </w:tcPr>
          <w:p w14:paraId="196368B2" w14:textId="186174B1" w:rsidR="002A5407" w:rsidRPr="00D91B35" w:rsidRDefault="002A5407" w:rsidP="00387006">
            <w:pPr>
              <w:rPr>
                <w:rFonts w:ascii="Times New Roman" w:hAnsi="Times New Roman" w:cs="Times New Roman"/>
                <w:sz w:val="16"/>
                <w:szCs w:val="16"/>
              </w:rPr>
            </w:pPr>
            <w:r>
              <w:rPr>
                <w:rFonts w:ascii="Times New Roman" w:hAnsi="Times New Roman"/>
                <w:sz w:val="16"/>
              </w:rPr>
              <w:t>6</w:t>
            </w:r>
          </w:p>
        </w:tc>
        <w:tc>
          <w:tcPr>
            <w:tcW w:w="105" w:type="pct"/>
            <w:shd w:val="clear" w:color="auto" w:fill="FFFFFF" w:themeFill="background1"/>
          </w:tcPr>
          <w:p w14:paraId="15B4430B" w14:textId="77777777" w:rsidR="002A5407" w:rsidRPr="00D91B35" w:rsidRDefault="002A5407" w:rsidP="00387006">
            <w:pPr>
              <w:rPr>
                <w:rFonts w:ascii="Times New Roman" w:hAnsi="Times New Roman" w:cs="Times New Roman"/>
                <w:sz w:val="16"/>
                <w:szCs w:val="16"/>
              </w:rPr>
            </w:pPr>
          </w:p>
        </w:tc>
        <w:tc>
          <w:tcPr>
            <w:tcW w:w="186" w:type="pct"/>
            <w:shd w:val="clear" w:color="auto" w:fill="FFFFFF" w:themeFill="background1"/>
          </w:tcPr>
          <w:p w14:paraId="3F7CB053" w14:textId="18212DDA" w:rsidR="002A5407" w:rsidRPr="00D91B35" w:rsidRDefault="002A5407" w:rsidP="00387006">
            <w:pPr>
              <w:rPr>
                <w:rFonts w:ascii="Times New Roman" w:hAnsi="Times New Roman" w:cs="Times New Roman"/>
                <w:sz w:val="16"/>
                <w:szCs w:val="16"/>
              </w:rPr>
            </w:pPr>
            <w:r>
              <w:rPr>
                <w:rFonts w:ascii="Times New Roman" w:hAnsi="Times New Roman"/>
                <w:sz w:val="16"/>
              </w:rPr>
              <w:t>11</w:t>
            </w:r>
          </w:p>
        </w:tc>
        <w:tc>
          <w:tcPr>
            <w:tcW w:w="609" w:type="pct"/>
            <w:shd w:val="clear" w:color="auto" w:fill="FFFFFF" w:themeFill="background1"/>
          </w:tcPr>
          <w:p w14:paraId="2D8523E4" w14:textId="77777777" w:rsidR="002A5407" w:rsidRPr="00D91B35" w:rsidRDefault="002A5407" w:rsidP="00387006">
            <w:pPr>
              <w:rPr>
                <w:rFonts w:ascii="Times New Roman" w:hAnsi="Times New Roman" w:cs="Times New Roman"/>
                <w:sz w:val="16"/>
                <w:szCs w:val="16"/>
              </w:rPr>
            </w:pPr>
          </w:p>
        </w:tc>
        <w:tc>
          <w:tcPr>
            <w:tcW w:w="237" w:type="pct"/>
            <w:shd w:val="clear" w:color="auto" w:fill="FFFFFF" w:themeFill="background1"/>
          </w:tcPr>
          <w:p w14:paraId="67BE9D18" w14:textId="397E6A38" w:rsidR="002A5407" w:rsidRPr="00D91B35" w:rsidRDefault="00077C40" w:rsidP="00387006">
            <w:pPr>
              <w:rPr>
                <w:rFonts w:ascii="Times New Roman" w:hAnsi="Times New Roman" w:cs="Times New Roman"/>
                <w:sz w:val="16"/>
                <w:szCs w:val="16"/>
              </w:rPr>
            </w:pPr>
            <w:r>
              <w:rPr>
                <w:rFonts w:ascii="Times New Roman" w:hAnsi="Times New Roman"/>
                <w:sz w:val="16"/>
              </w:rPr>
              <w:t>870,0</w:t>
            </w:r>
          </w:p>
        </w:tc>
        <w:tc>
          <w:tcPr>
            <w:tcW w:w="251" w:type="pct"/>
            <w:shd w:val="clear" w:color="auto" w:fill="FFFFFF" w:themeFill="background1"/>
          </w:tcPr>
          <w:p w14:paraId="169D9590" w14:textId="77777777" w:rsidR="002A5407" w:rsidRPr="00D91B35" w:rsidRDefault="002A5407" w:rsidP="00387006">
            <w:pPr>
              <w:rPr>
                <w:rFonts w:ascii="Times New Roman" w:hAnsi="Times New Roman" w:cs="Times New Roman"/>
                <w:sz w:val="16"/>
                <w:szCs w:val="16"/>
              </w:rPr>
            </w:pPr>
          </w:p>
        </w:tc>
        <w:tc>
          <w:tcPr>
            <w:tcW w:w="237" w:type="pct"/>
            <w:shd w:val="clear" w:color="auto" w:fill="FFFFFF" w:themeFill="background1"/>
          </w:tcPr>
          <w:p w14:paraId="367F61BF" w14:textId="77777777" w:rsidR="002A5407" w:rsidRPr="00D91B35" w:rsidRDefault="002A5407" w:rsidP="00387006">
            <w:pPr>
              <w:rPr>
                <w:rFonts w:ascii="Times New Roman" w:hAnsi="Times New Roman" w:cs="Times New Roman"/>
                <w:sz w:val="16"/>
                <w:szCs w:val="16"/>
              </w:rPr>
            </w:pPr>
          </w:p>
        </w:tc>
        <w:tc>
          <w:tcPr>
            <w:tcW w:w="237" w:type="pct"/>
            <w:shd w:val="clear" w:color="auto" w:fill="FFFFFF" w:themeFill="background1"/>
          </w:tcPr>
          <w:p w14:paraId="4FD5AB36" w14:textId="77777777" w:rsidR="002A5407" w:rsidRPr="00D91B35" w:rsidRDefault="002A5407" w:rsidP="00387006">
            <w:pPr>
              <w:rPr>
                <w:rFonts w:ascii="Times New Roman" w:hAnsi="Times New Roman" w:cs="Times New Roman"/>
                <w:sz w:val="16"/>
                <w:szCs w:val="16"/>
              </w:rPr>
            </w:pPr>
          </w:p>
        </w:tc>
        <w:tc>
          <w:tcPr>
            <w:tcW w:w="237" w:type="pct"/>
            <w:shd w:val="clear" w:color="auto" w:fill="FFFFFF" w:themeFill="background1"/>
          </w:tcPr>
          <w:p w14:paraId="531613C1" w14:textId="22C21C27" w:rsidR="002A5407" w:rsidRPr="00D91B35" w:rsidRDefault="00077C40" w:rsidP="00387006">
            <w:pPr>
              <w:rPr>
                <w:rFonts w:ascii="Times New Roman" w:hAnsi="Times New Roman" w:cs="Times New Roman"/>
                <w:sz w:val="16"/>
                <w:szCs w:val="16"/>
              </w:rPr>
            </w:pPr>
            <w:r>
              <w:rPr>
                <w:rFonts w:ascii="Times New Roman" w:hAnsi="Times New Roman"/>
                <w:sz w:val="16"/>
              </w:rPr>
              <w:t>1 352,0</w:t>
            </w:r>
          </w:p>
        </w:tc>
        <w:tc>
          <w:tcPr>
            <w:tcW w:w="237" w:type="pct"/>
            <w:shd w:val="clear" w:color="auto" w:fill="FFFFFF" w:themeFill="background1"/>
          </w:tcPr>
          <w:p w14:paraId="1100A47D" w14:textId="77777777" w:rsidR="002A5407" w:rsidRPr="00D91B35" w:rsidRDefault="002A5407" w:rsidP="00387006">
            <w:pPr>
              <w:rPr>
                <w:rFonts w:ascii="Times New Roman" w:hAnsi="Times New Roman" w:cs="Times New Roman"/>
                <w:sz w:val="16"/>
                <w:szCs w:val="16"/>
              </w:rPr>
            </w:pPr>
          </w:p>
        </w:tc>
      </w:tr>
      <w:tr w:rsidR="002A5407" w:rsidRPr="00D91B35" w14:paraId="0A39C701" w14:textId="77777777" w:rsidTr="008A656B">
        <w:tc>
          <w:tcPr>
            <w:tcW w:w="374" w:type="pct"/>
            <w:tcBorders>
              <w:bottom w:val="single" w:sz="4" w:space="0" w:color="auto"/>
            </w:tcBorders>
          </w:tcPr>
          <w:p w14:paraId="20F0F932" w14:textId="77777777" w:rsidR="002A5407" w:rsidRPr="00D91B35" w:rsidRDefault="002A5407" w:rsidP="00387006">
            <w:pPr>
              <w:rPr>
                <w:rFonts w:ascii="Times New Roman" w:hAnsi="Times New Roman" w:cs="Times New Roman"/>
                <w:b/>
                <w:bCs/>
                <w:sz w:val="16"/>
                <w:szCs w:val="16"/>
              </w:rPr>
            </w:pPr>
          </w:p>
        </w:tc>
        <w:tc>
          <w:tcPr>
            <w:tcW w:w="231" w:type="pct"/>
            <w:tcBorders>
              <w:bottom w:val="single" w:sz="4" w:space="0" w:color="auto"/>
            </w:tcBorders>
          </w:tcPr>
          <w:p w14:paraId="5794BB9E" w14:textId="77777777" w:rsidR="002A5407" w:rsidRPr="00D91B35" w:rsidRDefault="002A5407" w:rsidP="00387006">
            <w:pPr>
              <w:rPr>
                <w:rFonts w:ascii="Times New Roman" w:hAnsi="Times New Roman" w:cs="Times New Roman"/>
                <w:b/>
                <w:bCs/>
                <w:sz w:val="16"/>
                <w:szCs w:val="16"/>
              </w:rPr>
            </w:pPr>
          </w:p>
        </w:tc>
        <w:tc>
          <w:tcPr>
            <w:tcW w:w="358" w:type="pct"/>
            <w:tcBorders>
              <w:bottom w:val="single" w:sz="4" w:space="0" w:color="auto"/>
            </w:tcBorders>
          </w:tcPr>
          <w:p w14:paraId="7FEE8F09" w14:textId="2992DE6E" w:rsidR="002A5407" w:rsidRPr="00D91B35" w:rsidRDefault="00077C40" w:rsidP="00387006">
            <w:pPr>
              <w:rPr>
                <w:rFonts w:ascii="Times New Roman" w:hAnsi="Times New Roman" w:cs="Times New Roman"/>
                <w:b/>
                <w:bCs/>
                <w:sz w:val="16"/>
                <w:szCs w:val="16"/>
              </w:rPr>
            </w:pPr>
            <w:r>
              <w:rPr>
                <w:rFonts w:ascii="Times New Roman" w:hAnsi="Times New Roman"/>
                <w:b/>
                <w:sz w:val="16"/>
              </w:rPr>
              <w:t>Polija</w:t>
            </w:r>
          </w:p>
        </w:tc>
        <w:tc>
          <w:tcPr>
            <w:tcW w:w="359" w:type="pct"/>
            <w:tcBorders>
              <w:bottom w:val="single" w:sz="4" w:space="0" w:color="auto"/>
            </w:tcBorders>
          </w:tcPr>
          <w:p w14:paraId="7DF24906" w14:textId="5EB975EA" w:rsidR="002A5407" w:rsidRPr="00D91B35" w:rsidRDefault="00077C40" w:rsidP="00077C40">
            <w:pPr>
              <w:pStyle w:val="Default"/>
              <w:rPr>
                <w:sz w:val="16"/>
                <w:szCs w:val="16"/>
              </w:rPr>
            </w:pPr>
            <w:r>
              <w:rPr>
                <w:sz w:val="16"/>
              </w:rPr>
              <w:t>(Flynn et al., 2009)</w:t>
            </w:r>
          </w:p>
        </w:tc>
        <w:tc>
          <w:tcPr>
            <w:tcW w:w="839" w:type="pct"/>
            <w:tcBorders>
              <w:bottom w:val="single" w:sz="4" w:space="0" w:color="auto"/>
            </w:tcBorders>
          </w:tcPr>
          <w:p w14:paraId="52E855A7" w14:textId="5473AAD9" w:rsidR="002A5407" w:rsidRPr="00D91B35" w:rsidRDefault="00077C40" w:rsidP="00387006">
            <w:pPr>
              <w:pStyle w:val="Default"/>
              <w:rPr>
                <w:sz w:val="16"/>
                <w:szCs w:val="16"/>
              </w:rPr>
            </w:pPr>
            <w:r>
              <w:rPr>
                <w:sz w:val="16"/>
              </w:rPr>
              <w:t>24 stundu atcerēšanās anketa</w:t>
            </w:r>
          </w:p>
        </w:tc>
        <w:tc>
          <w:tcPr>
            <w:tcW w:w="196" w:type="pct"/>
            <w:tcBorders>
              <w:bottom w:val="single" w:sz="4" w:space="0" w:color="auto"/>
            </w:tcBorders>
            <w:shd w:val="clear" w:color="auto" w:fill="FFFFFF" w:themeFill="background1"/>
          </w:tcPr>
          <w:p w14:paraId="362AC5DB" w14:textId="4158C2DC" w:rsidR="002A5407" w:rsidRPr="00D91B35" w:rsidRDefault="002A5407" w:rsidP="00387006">
            <w:pPr>
              <w:rPr>
                <w:rFonts w:ascii="Times New Roman" w:hAnsi="Times New Roman" w:cs="Times New Roman"/>
                <w:sz w:val="16"/>
                <w:szCs w:val="16"/>
              </w:rPr>
            </w:pPr>
            <w:r>
              <w:rPr>
                <w:rFonts w:ascii="Times New Roman" w:hAnsi="Times New Roman"/>
                <w:sz w:val="16"/>
              </w:rPr>
              <w:t>455</w:t>
            </w:r>
          </w:p>
        </w:tc>
        <w:tc>
          <w:tcPr>
            <w:tcW w:w="122" w:type="pct"/>
            <w:tcBorders>
              <w:bottom w:val="single" w:sz="4" w:space="0" w:color="auto"/>
            </w:tcBorders>
            <w:shd w:val="clear" w:color="auto" w:fill="FFFFFF" w:themeFill="background1"/>
          </w:tcPr>
          <w:p w14:paraId="21F52266" w14:textId="77777777" w:rsidR="002A5407" w:rsidRPr="00D91B35" w:rsidRDefault="002A5407" w:rsidP="00387006">
            <w:pPr>
              <w:rPr>
                <w:rFonts w:ascii="Times New Roman" w:hAnsi="Times New Roman" w:cs="Times New Roman"/>
                <w:sz w:val="16"/>
                <w:szCs w:val="16"/>
              </w:rPr>
            </w:pPr>
          </w:p>
        </w:tc>
        <w:tc>
          <w:tcPr>
            <w:tcW w:w="183" w:type="pct"/>
            <w:tcBorders>
              <w:bottom w:val="single" w:sz="4" w:space="0" w:color="auto"/>
            </w:tcBorders>
            <w:shd w:val="clear" w:color="auto" w:fill="FFFFFF" w:themeFill="background1"/>
          </w:tcPr>
          <w:p w14:paraId="5435739A" w14:textId="6DC65BFA" w:rsidR="002A5407" w:rsidRPr="00D91B35" w:rsidRDefault="002A5407" w:rsidP="00387006">
            <w:pPr>
              <w:rPr>
                <w:rFonts w:ascii="Times New Roman" w:hAnsi="Times New Roman" w:cs="Times New Roman"/>
                <w:sz w:val="16"/>
                <w:szCs w:val="16"/>
              </w:rPr>
            </w:pPr>
            <w:r>
              <w:rPr>
                <w:rFonts w:ascii="Times New Roman" w:hAnsi="Times New Roman"/>
                <w:sz w:val="16"/>
              </w:rPr>
              <w:t>4</w:t>
            </w:r>
          </w:p>
        </w:tc>
        <w:tc>
          <w:tcPr>
            <w:tcW w:w="105" w:type="pct"/>
            <w:tcBorders>
              <w:bottom w:val="single" w:sz="4" w:space="0" w:color="auto"/>
            </w:tcBorders>
            <w:shd w:val="clear" w:color="auto" w:fill="FFFFFF" w:themeFill="background1"/>
          </w:tcPr>
          <w:p w14:paraId="21A0BEE7" w14:textId="77777777" w:rsidR="002A5407" w:rsidRPr="00D91B35" w:rsidRDefault="002A5407" w:rsidP="00387006">
            <w:pPr>
              <w:rPr>
                <w:rFonts w:ascii="Times New Roman" w:hAnsi="Times New Roman" w:cs="Times New Roman"/>
                <w:sz w:val="16"/>
                <w:szCs w:val="16"/>
              </w:rPr>
            </w:pPr>
          </w:p>
        </w:tc>
        <w:tc>
          <w:tcPr>
            <w:tcW w:w="186" w:type="pct"/>
            <w:tcBorders>
              <w:bottom w:val="single" w:sz="4" w:space="0" w:color="auto"/>
            </w:tcBorders>
            <w:shd w:val="clear" w:color="auto" w:fill="FFFFFF" w:themeFill="background1"/>
          </w:tcPr>
          <w:p w14:paraId="2EC8633C" w14:textId="3BEEDB3B" w:rsidR="002A5407" w:rsidRPr="00D91B35" w:rsidRDefault="002A5407" w:rsidP="00387006">
            <w:pPr>
              <w:rPr>
                <w:rFonts w:ascii="Times New Roman" w:hAnsi="Times New Roman" w:cs="Times New Roman"/>
                <w:sz w:val="16"/>
                <w:szCs w:val="16"/>
              </w:rPr>
            </w:pPr>
            <w:r>
              <w:rPr>
                <w:rFonts w:ascii="Times New Roman" w:hAnsi="Times New Roman"/>
                <w:sz w:val="16"/>
              </w:rPr>
              <w:t>10</w:t>
            </w:r>
          </w:p>
        </w:tc>
        <w:tc>
          <w:tcPr>
            <w:tcW w:w="609" w:type="pct"/>
            <w:tcBorders>
              <w:bottom w:val="single" w:sz="4" w:space="0" w:color="auto"/>
            </w:tcBorders>
            <w:shd w:val="clear" w:color="auto" w:fill="FFFFFF" w:themeFill="background1"/>
          </w:tcPr>
          <w:p w14:paraId="5893BAEE" w14:textId="77777777" w:rsidR="002A5407" w:rsidRPr="00D91B35" w:rsidRDefault="002A5407" w:rsidP="00387006">
            <w:pPr>
              <w:rPr>
                <w:rFonts w:ascii="Times New Roman" w:hAnsi="Times New Roman" w:cs="Times New Roman"/>
                <w:sz w:val="16"/>
                <w:szCs w:val="16"/>
              </w:rPr>
            </w:pPr>
          </w:p>
        </w:tc>
        <w:tc>
          <w:tcPr>
            <w:tcW w:w="237" w:type="pct"/>
            <w:tcBorders>
              <w:bottom w:val="single" w:sz="4" w:space="0" w:color="auto"/>
            </w:tcBorders>
            <w:shd w:val="clear" w:color="auto" w:fill="FFFFFF" w:themeFill="background1"/>
          </w:tcPr>
          <w:p w14:paraId="367716E6" w14:textId="41F3AC27" w:rsidR="002A5407" w:rsidRPr="00D91B35" w:rsidRDefault="00077C40" w:rsidP="00387006">
            <w:pPr>
              <w:rPr>
                <w:rFonts w:ascii="Times New Roman" w:hAnsi="Times New Roman" w:cs="Times New Roman"/>
                <w:sz w:val="16"/>
                <w:szCs w:val="16"/>
              </w:rPr>
            </w:pPr>
            <w:r>
              <w:rPr>
                <w:rFonts w:ascii="Times New Roman" w:hAnsi="Times New Roman"/>
                <w:sz w:val="16"/>
              </w:rPr>
              <w:t>595,0</w:t>
            </w:r>
          </w:p>
        </w:tc>
        <w:tc>
          <w:tcPr>
            <w:tcW w:w="251" w:type="pct"/>
            <w:tcBorders>
              <w:bottom w:val="single" w:sz="4" w:space="0" w:color="auto"/>
            </w:tcBorders>
            <w:shd w:val="clear" w:color="auto" w:fill="FFFFFF" w:themeFill="background1"/>
          </w:tcPr>
          <w:p w14:paraId="11B6589D" w14:textId="77777777" w:rsidR="002A5407" w:rsidRPr="00D91B35" w:rsidRDefault="002A5407" w:rsidP="00387006">
            <w:pPr>
              <w:rPr>
                <w:rFonts w:ascii="Times New Roman" w:hAnsi="Times New Roman" w:cs="Times New Roman"/>
                <w:sz w:val="16"/>
                <w:szCs w:val="16"/>
              </w:rPr>
            </w:pPr>
          </w:p>
        </w:tc>
        <w:tc>
          <w:tcPr>
            <w:tcW w:w="237" w:type="pct"/>
            <w:tcBorders>
              <w:bottom w:val="single" w:sz="4" w:space="0" w:color="auto"/>
            </w:tcBorders>
            <w:shd w:val="clear" w:color="auto" w:fill="FFFFFF" w:themeFill="background1"/>
          </w:tcPr>
          <w:p w14:paraId="1B723775" w14:textId="77777777" w:rsidR="002A5407" w:rsidRPr="00D91B35" w:rsidRDefault="002A5407" w:rsidP="00387006">
            <w:pPr>
              <w:rPr>
                <w:rFonts w:ascii="Times New Roman" w:hAnsi="Times New Roman" w:cs="Times New Roman"/>
                <w:sz w:val="16"/>
                <w:szCs w:val="16"/>
              </w:rPr>
            </w:pPr>
          </w:p>
        </w:tc>
        <w:tc>
          <w:tcPr>
            <w:tcW w:w="237" w:type="pct"/>
            <w:tcBorders>
              <w:bottom w:val="single" w:sz="4" w:space="0" w:color="auto"/>
            </w:tcBorders>
            <w:shd w:val="clear" w:color="auto" w:fill="FFFFFF" w:themeFill="background1"/>
          </w:tcPr>
          <w:p w14:paraId="07C654BB" w14:textId="77777777" w:rsidR="002A5407" w:rsidRPr="00D91B35" w:rsidRDefault="002A5407" w:rsidP="00387006">
            <w:pPr>
              <w:rPr>
                <w:rFonts w:ascii="Times New Roman" w:hAnsi="Times New Roman" w:cs="Times New Roman"/>
                <w:sz w:val="16"/>
                <w:szCs w:val="16"/>
              </w:rPr>
            </w:pPr>
          </w:p>
        </w:tc>
        <w:tc>
          <w:tcPr>
            <w:tcW w:w="237" w:type="pct"/>
            <w:tcBorders>
              <w:bottom w:val="single" w:sz="4" w:space="0" w:color="auto"/>
            </w:tcBorders>
            <w:shd w:val="clear" w:color="auto" w:fill="FFFFFF" w:themeFill="background1"/>
          </w:tcPr>
          <w:p w14:paraId="5EAD3983" w14:textId="77777777" w:rsidR="002A5407" w:rsidRPr="00D91B35" w:rsidRDefault="002A5407" w:rsidP="00387006">
            <w:pPr>
              <w:rPr>
                <w:rFonts w:ascii="Times New Roman" w:hAnsi="Times New Roman" w:cs="Times New Roman"/>
                <w:sz w:val="16"/>
                <w:szCs w:val="16"/>
              </w:rPr>
            </w:pPr>
          </w:p>
        </w:tc>
        <w:tc>
          <w:tcPr>
            <w:tcW w:w="237" w:type="pct"/>
            <w:tcBorders>
              <w:bottom w:val="single" w:sz="4" w:space="0" w:color="auto"/>
            </w:tcBorders>
            <w:shd w:val="clear" w:color="auto" w:fill="FFFFFF" w:themeFill="background1"/>
          </w:tcPr>
          <w:p w14:paraId="36843D8B" w14:textId="77777777" w:rsidR="002A5407" w:rsidRPr="00D91B35" w:rsidRDefault="002A5407" w:rsidP="00387006">
            <w:pPr>
              <w:rPr>
                <w:rFonts w:ascii="Times New Roman" w:hAnsi="Times New Roman" w:cs="Times New Roman"/>
                <w:sz w:val="16"/>
                <w:szCs w:val="16"/>
              </w:rPr>
            </w:pPr>
          </w:p>
        </w:tc>
      </w:tr>
      <w:tr w:rsidR="00387006" w:rsidRPr="00D91B35" w14:paraId="4DCE74EC" w14:textId="77777777" w:rsidTr="008A656B">
        <w:tc>
          <w:tcPr>
            <w:tcW w:w="374" w:type="pct"/>
            <w:tcBorders>
              <w:top w:val="single" w:sz="4" w:space="0" w:color="auto"/>
            </w:tcBorders>
          </w:tcPr>
          <w:p w14:paraId="4C393331" w14:textId="40C8FDF6" w:rsidR="002A5407" w:rsidRPr="00D91B35" w:rsidRDefault="00387006" w:rsidP="002A5407">
            <w:pPr>
              <w:rPr>
                <w:rFonts w:ascii="Times New Roman" w:hAnsi="Times New Roman" w:cs="Times New Roman"/>
                <w:b/>
                <w:bCs/>
                <w:sz w:val="16"/>
                <w:szCs w:val="16"/>
              </w:rPr>
            </w:pPr>
            <w:r>
              <w:rPr>
                <w:rFonts w:ascii="Times New Roman" w:hAnsi="Times New Roman"/>
                <w:b/>
                <w:sz w:val="16"/>
              </w:rPr>
              <w:t>Pārtika</w:t>
            </w:r>
          </w:p>
        </w:tc>
        <w:tc>
          <w:tcPr>
            <w:tcW w:w="231" w:type="pct"/>
            <w:tcBorders>
              <w:top w:val="single" w:sz="4" w:space="0" w:color="auto"/>
            </w:tcBorders>
          </w:tcPr>
          <w:p w14:paraId="496DBCE9" w14:textId="6043D10A" w:rsidR="002A5407" w:rsidRPr="00D91B35" w:rsidRDefault="00387006" w:rsidP="002A5407">
            <w:pPr>
              <w:rPr>
                <w:rFonts w:ascii="Times New Roman" w:hAnsi="Times New Roman" w:cs="Times New Roman"/>
                <w:b/>
                <w:bCs/>
                <w:sz w:val="16"/>
                <w:szCs w:val="16"/>
              </w:rPr>
            </w:pPr>
            <w:r>
              <w:rPr>
                <w:rFonts w:ascii="Times New Roman" w:hAnsi="Times New Roman"/>
                <w:b/>
                <w:sz w:val="16"/>
              </w:rPr>
              <w:t>Zēni un meitenes</w:t>
            </w:r>
          </w:p>
        </w:tc>
        <w:tc>
          <w:tcPr>
            <w:tcW w:w="358" w:type="pct"/>
            <w:tcBorders>
              <w:top w:val="single" w:sz="4" w:space="0" w:color="auto"/>
            </w:tcBorders>
          </w:tcPr>
          <w:p w14:paraId="11F515E2" w14:textId="4A740BCA" w:rsidR="002A5407" w:rsidRPr="00D91B35" w:rsidRDefault="00387006" w:rsidP="002A5407">
            <w:pPr>
              <w:rPr>
                <w:rFonts w:ascii="Times New Roman" w:hAnsi="Times New Roman" w:cs="Times New Roman"/>
                <w:b/>
                <w:bCs/>
                <w:sz w:val="16"/>
                <w:szCs w:val="16"/>
              </w:rPr>
            </w:pPr>
            <w:r>
              <w:rPr>
                <w:rFonts w:ascii="Times New Roman" w:hAnsi="Times New Roman"/>
                <w:b/>
                <w:sz w:val="16"/>
              </w:rPr>
              <w:t>Spānija</w:t>
            </w:r>
          </w:p>
        </w:tc>
        <w:tc>
          <w:tcPr>
            <w:tcW w:w="359" w:type="pct"/>
            <w:tcBorders>
              <w:top w:val="single" w:sz="4" w:space="0" w:color="auto"/>
            </w:tcBorders>
          </w:tcPr>
          <w:p w14:paraId="02552D69" w14:textId="226D9143" w:rsidR="002A5407" w:rsidRPr="00D91B35" w:rsidRDefault="00387006" w:rsidP="00387006">
            <w:pPr>
              <w:pStyle w:val="Default"/>
              <w:rPr>
                <w:sz w:val="16"/>
                <w:szCs w:val="16"/>
              </w:rPr>
            </w:pPr>
            <w:r>
              <w:rPr>
                <w:sz w:val="16"/>
              </w:rPr>
              <w:t>(Flynn et al., 2009)</w:t>
            </w:r>
          </w:p>
        </w:tc>
        <w:tc>
          <w:tcPr>
            <w:tcW w:w="839" w:type="pct"/>
            <w:tcBorders>
              <w:top w:val="single" w:sz="4" w:space="0" w:color="auto"/>
            </w:tcBorders>
          </w:tcPr>
          <w:p w14:paraId="18BBD25D" w14:textId="314899AE" w:rsidR="002A5407" w:rsidRPr="00D91B35" w:rsidRDefault="00387006" w:rsidP="002A5407">
            <w:pPr>
              <w:pStyle w:val="Default"/>
              <w:rPr>
                <w:sz w:val="16"/>
                <w:szCs w:val="16"/>
              </w:rPr>
            </w:pPr>
            <w:r>
              <w:rPr>
                <w:sz w:val="16"/>
              </w:rPr>
              <w:t>24 stundu atcerēšanās anketa un aptauja pārtikas produktu lietošanas biežuma noteikšanai, vēl viens 24 stundu atcerēšanās anketa 25–30 % no izlases</w:t>
            </w:r>
          </w:p>
        </w:tc>
        <w:tc>
          <w:tcPr>
            <w:tcW w:w="196" w:type="pct"/>
            <w:tcBorders>
              <w:top w:val="single" w:sz="4" w:space="0" w:color="auto"/>
            </w:tcBorders>
            <w:shd w:val="clear" w:color="auto" w:fill="FFFFFF" w:themeFill="background1"/>
          </w:tcPr>
          <w:p w14:paraId="7881FC9F" w14:textId="4EDE70E5" w:rsidR="002A5407" w:rsidRPr="00D91B35" w:rsidRDefault="002A5407" w:rsidP="002A5407">
            <w:pPr>
              <w:rPr>
                <w:rFonts w:ascii="Times New Roman" w:hAnsi="Times New Roman" w:cs="Times New Roman"/>
                <w:sz w:val="16"/>
                <w:szCs w:val="16"/>
              </w:rPr>
            </w:pPr>
            <w:r>
              <w:rPr>
                <w:rFonts w:ascii="Times New Roman" w:hAnsi="Times New Roman"/>
                <w:sz w:val="16"/>
              </w:rPr>
              <w:t>723</w:t>
            </w:r>
          </w:p>
        </w:tc>
        <w:tc>
          <w:tcPr>
            <w:tcW w:w="122" w:type="pct"/>
            <w:tcBorders>
              <w:top w:val="single" w:sz="4" w:space="0" w:color="auto"/>
            </w:tcBorders>
            <w:shd w:val="clear" w:color="auto" w:fill="FFFFFF" w:themeFill="background1"/>
          </w:tcPr>
          <w:p w14:paraId="2DC55181" w14:textId="77777777" w:rsidR="002A5407" w:rsidRPr="00D91B35" w:rsidRDefault="002A5407" w:rsidP="002A5407">
            <w:pPr>
              <w:rPr>
                <w:rFonts w:ascii="Times New Roman" w:hAnsi="Times New Roman" w:cs="Times New Roman"/>
                <w:sz w:val="16"/>
                <w:szCs w:val="16"/>
              </w:rPr>
            </w:pPr>
          </w:p>
        </w:tc>
        <w:tc>
          <w:tcPr>
            <w:tcW w:w="183" w:type="pct"/>
            <w:tcBorders>
              <w:top w:val="single" w:sz="4" w:space="0" w:color="auto"/>
            </w:tcBorders>
            <w:shd w:val="clear" w:color="auto" w:fill="FFFFFF" w:themeFill="background1"/>
          </w:tcPr>
          <w:p w14:paraId="05D49184" w14:textId="36BEFD99" w:rsidR="002A5407" w:rsidRPr="00D91B35" w:rsidRDefault="00387006" w:rsidP="002A5407">
            <w:pPr>
              <w:rPr>
                <w:rFonts w:ascii="Times New Roman" w:hAnsi="Times New Roman" w:cs="Times New Roman"/>
                <w:sz w:val="16"/>
                <w:szCs w:val="16"/>
              </w:rPr>
            </w:pPr>
            <w:r>
              <w:rPr>
                <w:rFonts w:ascii="Times New Roman" w:hAnsi="Times New Roman"/>
                <w:sz w:val="16"/>
              </w:rPr>
              <w:t>4</w:t>
            </w:r>
          </w:p>
        </w:tc>
        <w:tc>
          <w:tcPr>
            <w:tcW w:w="105" w:type="pct"/>
            <w:tcBorders>
              <w:top w:val="single" w:sz="4" w:space="0" w:color="auto"/>
            </w:tcBorders>
            <w:shd w:val="clear" w:color="auto" w:fill="FFFFFF" w:themeFill="background1"/>
          </w:tcPr>
          <w:p w14:paraId="46DF2BA7" w14:textId="77777777" w:rsidR="002A5407" w:rsidRPr="00D91B35" w:rsidRDefault="002A5407" w:rsidP="002A5407">
            <w:pPr>
              <w:rPr>
                <w:rFonts w:ascii="Times New Roman" w:hAnsi="Times New Roman" w:cs="Times New Roman"/>
                <w:sz w:val="16"/>
                <w:szCs w:val="16"/>
              </w:rPr>
            </w:pPr>
          </w:p>
        </w:tc>
        <w:tc>
          <w:tcPr>
            <w:tcW w:w="186" w:type="pct"/>
            <w:tcBorders>
              <w:top w:val="single" w:sz="4" w:space="0" w:color="auto"/>
            </w:tcBorders>
            <w:shd w:val="clear" w:color="auto" w:fill="FFFFFF" w:themeFill="background1"/>
          </w:tcPr>
          <w:p w14:paraId="7A9A7012" w14:textId="6CFEC7E0" w:rsidR="002A5407" w:rsidRPr="00D91B35" w:rsidRDefault="00387006" w:rsidP="002A5407">
            <w:pPr>
              <w:rPr>
                <w:rFonts w:ascii="Times New Roman" w:hAnsi="Times New Roman" w:cs="Times New Roman"/>
                <w:sz w:val="16"/>
                <w:szCs w:val="16"/>
              </w:rPr>
            </w:pPr>
            <w:r>
              <w:rPr>
                <w:rFonts w:ascii="Times New Roman" w:hAnsi="Times New Roman"/>
                <w:sz w:val="16"/>
              </w:rPr>
              <w:t>10</w:t>
            </w:r>
          </w:p>
        </w:tc>
        <w:tc>
          <w:tcPr>
            <w:tcW w:w="609" w:type="pct"/>
            <w:tcBorders>
              <w:top w:val="single" w:sz="4" w:space="0" w:color="auto"/>
            </w:tcBorders>
            <w:shd w:val="clear" w:color="auto" w:fill="FFFFFF" w:themeFill="background1"/>
          </w:tcPr>
          <w:p w14:paraId="11CA4A8B" w14:textId="57E1AFEE" w:rsidR="002A5407" w:rsidRPr="00D91B35" w:rsidRDefault="002A5407" w:rsidP="002A5407">
            <w:pPr>
              <w:rPr>
                <w:rFonts w:ascii="Times New Roman" w:hAnsi="Times New Roman" w:cs="Times New Roman"/>
                <w:sz w:val="16"/>
                <w:szCs w:val="16"/>
              </w:rPr>
            </w:pPr>
          </w:p>
        </w:tc>
        <w:tc>
          <w:tcPr>
            <w:tcW w:w="237" w:type="pct"/>
            <w:tcBorders>
              <w:top w:val="single" w:sz="4" w:space="0" w:color="auto"/>
            </w:tcBorders>
            <w:shd w:val="clear" w:color="auto" w:fill="FFFFFF" w:themeFill="background1"/>
          </w:tcPr>
          <w:p w14:paraId="189A6E78" w14:textId="6AE6239E" w:rsidR="002A5407" w:rsidRPr="00D91B35" w:rsidRDefault="00387006" w:rsidP="002A5407">
            <w:pPr>
              <w:rPr>
                <w:rFonts w:ascii="Times New Roman" w:hAnsi="Times New Roman" w:cs="Times New Roman"/>
                <w:sz w:val="16"/>
                <w:szCs w:val="16"/>
              </w:rPr>
            </w:pPr>
            <w:r>
              <w:rPr>
                <w:rFonts w:ascii="Times New Roman" w:hAnsi="Times New Roman"/>
                <w:sz w:val="16"/>
              </w:rPr>
              <w:t>867,0</w:t>
            </w:r>
          </w:p>
        </w:tc>
        <w:tc>
          <w:tcPr>
            <w:tcW w:w="251" w:type="pct"/>
            <w:tcBorders>
              <w:top w:val="single" w:sz="4" w:space="0" w:color="auto"/>
            </w:tcBorders>
            <w:shd w:val="clear" w:color="auto" w:fill="FFFFFF" w:themeFill="background1"/>
          </w:tcPr>
          <w:p w14:paraId="778CBF5E" w14:textId="77777777" w:rsidR="002A5407" w:rsidRPr="00D91B35" w:rsidRDefault="002A5407" w:rsidP="002A5407">
            <w:pPr>
              <w:rPr>
                <w:rFonts w:ascii="Times New Roman" w:hAnsi="Times New Roman" w:cs="Times New Roman"/>
                <w:sz w:val="16"/>
                <w:szCs w:val="16"/>
              </w:rPr>
            </w:pPr>
          </w:p>
        </w:tc>
        <w:tc>
          <w:tcPr>
            <w:tcW w:w="237" w:type="pct"/>
            <w:tcBorders>
              <w:top w:val="single" w:sz="4" w:space="0" w:color="auto"/>
            </w:tcBorders>
            <w:shd w:val="clear" w:color="auto" w:fill="FFFFFF" w:themeFill="background1"/>
          </w:tcPr>
          <w:p w14:paraId="6D9667D1" w14:textId="77777777" w:rsidR="002A5407" w:rsidRPr="00D91B35" w:rsidRDefault="002A5407" w:rsidP="002A5407">
            <w:pPr>
              <w:rPr>
                <w:rFonts w:ascii="Times New Roman" w:hAnsi="Times New Roman" w:cs="Times New Roman"/>
                <w:sz w:val="16"/>
                <w:szCs w:val="16"/>
              </w:rPr>
            </w:pPr>
          </w:p>
        </w:tc>
        <w:tc>
          <w:tcPr>
            <w:tcW w:w="237" w:type="pct"/>
            <w:tcBorders>
              <w:top w:val="single" w:sz="4" w:space="0" w:color="auto"/>
            </w:tcBorders>
            <w:shd w:val="clear" w:color="auto" w:fill="FFFFFF" w:themeFill="background1"/>
          </w:tcPr>
          <w:p w14:paraId="3E19A1B4" w14:textId="77777777" w:rsidR="002A5407" w:rsidRPr="00D91B35" w:rsidRDefault="002A5407" w:rsidP="002A5407">
            <w:pPr>
              <w:rPr>
                <w:rFonts w:ascii="Times New Roman" w:hAnsi="Times New Roman" w:cs="Times New Roman"/>
                <w:sz w:val="16"/>
                <w:szCs w:val="16"/>
              </w:rPr>
            </w:pPr>
          </w:p>
        </w:tc>
        <w:tc>
          <w:tcPr>
            <w:tcW w:w="237" w:type="pct"/>
            <w:tcBorders>
              <w:top w:val="single" w:sz="4" w:space="0" w:color="auto"/>
            </w:tcBorders>
            <w:shd w:val="clear" w:color="auto" w:fill="FFFFFF" w:themeFill="background1"/>
          </w:tcPr>
          <w:p w14:paraId="785D5C11" w14:textId="07C348F6" w:rsidR="002A5407" w:rsidRPr="00D91B35" w:rsidRDefault="00387006" w:rsidP="002A5407">
            <w:pPr>
              <w:rPr>
                <w:rFonts w:ascii="Times New Roman" w:hAnsi="Times New Roman" w:cs="Times New Roman"/>
                <w:sz w:val="16"/>
                <w:szCs w:val="16"/>
              </w:rPr>
            </w:pPr>
            <w:r>
              <w:rPr>
                <w:rFonts w:ascii="Times New Roman" w:hAnsi="Times New Roman"/>
                <w:sz w:val="16"/>
              </w:rPr>
              <w:t>1 123,0</w:t>
            </w:r>
          </w:p>
        </w:tc>
        <w:tc>
          <w:tcPr>
            <w:tcW w:w="237" w:type="pct"/>
            <w:tcBorders>
              <w:top w:val="single" w:sz="4" w:space="0" w:color="auto"/>
            </w:tcBorders>
            <w:shd w:val="clear" w:color="auto" w:fill="FFFFFF" w:themeFill="background1"/>
          </w:tcPr>
          <w:p w14:paraId="30A1E4AC" w14:textId="77777777" w:rsidR="002A5407" w:rsidRPr="00D91B35" w:rsidRDefault="002A5407" w:rsidP="002A5407">
            <w:pPr>
              <w:rPr>
                <w:rFonts w:ascii="Times New Roman" w:hAnsi="Times New Roman" w:cs="Times New Roman"/>
                <w:sz w:val="16"/>
                <w:szCs w:val="16"/>
              </w:rPr>
            </w:pPr>
          </w:p>
        </w:tc>
      </w:tr>
      <w:tr w:rsidR="00387006" w:rsidRPr="00D91B35" w14:paraId="4D04D5F8" w14:textId="77777777" w:rsidTr="008A656B">
        <w:tc>
          <w:tcPr>
            <w:tcW w:w="374" w:type="pct"/>
          </w:tcPr>
          <w:p w14:paraId="57681991" w14:textId="77777777" w:rsidR="002A5407" w:rsidRPr="00D91B35" w:rsidRDefault="002A5407" w:rsidP="002A5407">
            <w:pPr>
              <w:rPr>
                <w:rFonts w:ascii="Times New Roman" w:hAnsi="Times New Roman" w:cs="Times New Roman"/>
                <w:b/>
                <w:bCs/>
                <w:sz w:val="16"/>
                <w:szCs w:val="16"/>
              </w:rPr>
            </w:pPr>
          </w:p>
        </w:tc>
        <w:tc>
          <w:tcPr>
            <w:tcW w:w="231" w:type="pct"/>
          </w:tcPr>
          <w:p w14:paraId="4FA9B07C" w14:textId="77777777" w:rsidR="002A5407" w:rsidRPr="00D91B35" w:rsidRDefault="002A5407" w:rsidP="002A5407">
            <w:pPr>
              <w:rPr>
                <w:rFonts w:ascii="Times New Roman" w:hAnsi="Times New Roman" w:cs="Times New Roman"/>
                <w:b/>
                <w:bCs/>
                <w:sz w:val="16"/>
                <w:szCs w:val="16"/>
              </w:rPr>
            </w:pPr>
          </w:p>
        </w:tc>
        <w:tc>
          <w:tcPr>
            <w:tcW w:w="358" w:type="pct"/>
          </w:tcPr>
          <w:p w14:paraId="3BE45299" w14:textId="6A599498" w:rsidR="002A5407" w:rsidRPr="00D91B35" w:rsidRDefault="00387006" w:rsidP="002A5407">
            <w:pPr>
              <w:rPr>
                <w:rFonts w:ascii="Times New Roman" w:hAnsi="Times New Roman" w:cs="Times New Roman"/>
                <w:b/>
                <w:bCs/>
                <w:sz w:val="16"/>
                <w:szCs w:val="16"/>
              </w:rPr>
            </w:pPr>
            <w:r>
              <w:rPr>
                <w:rFonts w:ascii="Times New Roman" w:hAnsi="Times New Roman"/>
                <w:b/>
                <w:sz w:val="16"/>
              </w:rPr>
              <w:t>Nīderlande</w:t>
            </w:r>
          </w:p>
        </w:tc>
        <w:tc>
          <w:tcPr>
            <w:tcW w:w="359" w:type="pct"/>
          </w:tcPr>
          <w:p w14:paraId="41419159" w14:textId="41350651" w:rsidR="002A5407" w:rsidRPr="00D91B35" w:rsidRDefault="00387006" w:rsidP="00387006">
            <w:pPr>
              <w:pStyle w:val="Default"/>
              <w:rPr>
                <w:sz w:val="16"/>
                <w:szCs w:val="16"/>
              </w:rPr>
            </w:pPr>
            <w:r>
              <w:rPr>
                <w:sz w:val="16"/>
              </w:rPr>
              <w:t>(Flynn et al., 2009)</w:t>
            </w:r>
          </w:p>
        </w:tc>
        <w:tc>
          <w:tcPr>
            <w:tcW w:w="839" w:type="pct"/>
          </w:tcPr>
          <w:p w14:paraId="0B71CE0A" w14:textId="539D10C0" w:rsidR="002A5407" w:rsidRPr="00D91B35" w:rsidRDefault="00387006" w:rsidP="002A5407">
            <w:pPr>
              <w:pStyle w:val="Default"/>
              <w:rPr>
                <w:sz w:val="16"/>
                <w:szCs w:val="16"/>
              </w:rPr>
            </w:pPr>
            <w:r>
              <w:rPr>
                <w:sz w:val="16"/>
              </w:rPr>
              <w:t>2 dienu uztura pieraksts (par divām savstarpēji nesaistītām dienām)</w:t>
            </w:r>
          </w:p>
        </w:tc>
        <w:tc>
          <w:tcPr>
            <w:tcW w:w="196" w:type="pct"/>
            <w:shd w:val="clear" w:color="auto" w:fill="FFFFFF" w:themeFill="background1"/>
          </w:tcPr>
          <w:p w14:paraId="27FA0CC8" w14:textId="1E8C15B8" w:rsidR="002A5407" w:rsidRPr="00D91B35" w:rsidRDefault="002A5407" w:rsidP="002A5407">
            <w:pPr>
              <w:rPr>
                <w:rFonts w:ascii="Times New Roman" w:hAnsi="Times New Roman" w:cs="Times New Roman"/>
                <w:sz w:val="16"/>
                <w:szCs w:val="16"/>
              </w:rPr>
            </w:pPr>
            <w:r>
              <w:rPr>
                <w:rFonts w:ascii="Times New Roman" w:hAnsi="Times New Roman"/>
                <w:sz w:val="16"/>
              </w:rPr>
              <w:t>639</w:t>
            </w:r>
          </w:p>
        </w:tc>
        <w:tc>
          <w:tcPr>
            <w:tcW w:w="122" w:type="pct"/>
            <w:shd w:val="clear" w:color="auto" w:fill="FFFFFF" w:themeFill="background1"/>
          </w:tcPr>
          <w:p w14:paraId="3EC92282" w14:textId="77777777" w:rsidR="002A5407" w:rsidRPr="00D91B35" w:rsidRDefault="002A5407" w:rsidP="002A5407">
            <w:pPr>
              <w:rPr>
                <w:rFonts w:ascii="Times New Roman" w:hAnsi="Times New Roman" w:cs="Times New Roman"/>
                <w:sz w:val="16"/>
                <w:szCs w:val="16"/>
              </w:rPr>
            </w:pPr>
          </w:p>
        </w:tc>
        <w:tc>
          <w:tcPr>
            <w:tcW w:w="183" w:type="pct"/>
            <w:shd w:val="clear" w:color="auto" w:fill="FFFFFF" w:themeFill="background1"/>
          </w:tcPr>
          <w:p w14:paraId="453DA480" w14:textId="5813A914" w:rsidR="002A5407" w:rsidRPr="00D91B35" w:rsidRDefault="00387006" w:rsidP="002A5407">
            <w:pPr>
              <w:rPr>
                <w:rFonts w:ascii="Times New Roman" w:hAnsi="Times New Roman" w:cs="Times New Roman"/>
                <w:sz w:val="16"/>
                <w:szCs w:val="16"/>
              </w:rPr>
            </w:pPr>
            <w:r>
              <w:rPr>
                <w:rFonts w:ascii="Times New Roman" w:hAnsi="Times New Roman"/>
                <w:sz w:val="16"/>
              </w:rPr>
              <w:t>4</w:t>
            </w:r>
          </w:p>
        </w:tc>
        <w:tc>
          <w:tcPr>
            <w:tcW w:w="105" w:type="pct"/>
            <w:shd w:val="clear" w:color="auto" w:fill="FFFFFF" w:themeFill="background1"/>
          </w:tcPr>
          <w:p w14:paraId="68DCA315" w14:textId="77777777" w:rsidR="002A5407" w:rsidRPr="00D91B35" w:rsidRDefault="002A5407" w:rsidP="002A5407">
            <w:pPr>
              <w:rPr>
                <w:rFonts w:ascii="Times New Roman" w:hAnsi="Times New Roman" w:cs="Times New Roman"/>
                <w:sz w:val="16"/>
                <w:szCs w:val="16"/>
              </w:rPr>
            </w:pPr>
          </w:p>
        </w:tc>
        <w:tc>
          <w:tcPr>
            <w:tcW w:w="186" w:type="pct"/>
            <w:shd w:val="clear" w:color="auto" w:fill="FFFFFF" w:themeFill="background1"/>
          </w:tcPr>
          <w:p w14:paraId="73693BA3" w14:textId="0546C009" w:rsidR="002A5407" w:rsidRPr="00D91B35" w:rsidRDefault="00387006" w:rsidP="002A5407">
            <w:pPr>
              <w:rPr>
                <w:rFonts w:ascii="Times New Roman" w:hAnsi="Times New Roman" w:cs="Times New Roman"/>
                <w:sz w:val="16"/>
                <w:szCs w:val="16"/>
              </w:rPr>
            </w:pPr>
            <w:r>
              <w:rPr>
                <w:rFonts w:ascii="Times New Roman" w:hAnsi="Times New Roman"/>
                <w:sz w:val="16"/>
              </w:rPr>
              <w:t>6</w:t>
            </w:r>
          </w:p>
        </w:tc>
        <w:tc>
          <w:tcPr>
            <w:tcW w:w="609" w:type="pct"/>
            <w:shd w:val="clear" w:color="auto" w:fill="FFFFFF" w:themeFill="background1"/>
          </w:tcPr>
          <w:p w14:paraId="2721C258" w14:textId="08271235" w:rsidR="002A5407" w:rsidRPr="00D91B35" w:rsidRDefault="00387006" w:rsidP="002A5407">
            <w:pPr>
              <w:pStyle w:val="Default"/>
              <w:rPr>
                <w:sz w:val="16"/>
                <w:szCs w:val="16"/>
              </w:rPr>
            </w:pPr>
            <w:r>
              <w:rPr>
                <w:sz w:val="16"/>
              </w:rPr>
              <w:t>Ieskaitot bagātinātu pārtiku</w:t>
            </w:r>
          </w:p>
        </w:tc>
        <w:tc>
          <w:tcPr>
            <w:tcW w:w="237" w:type="pct"/>
            <w:shd w:val="clear" w:color="auto" w:fill="FFFFFF" w:themeFill="background1"/>
          </w:tcPr>
          <w:p w14:paraId="5529739F" w14:textId="203BA2D5" w:rsidR="002A5407" w:rsidRPr="00D91B35" w:rsidRDefault="00387006" w:rsidP="002A5407">
            <w:pPr>
              <w:rPr>
                <w:rFonts w:ascii="Times New Roman" w:hAnsi="Times New Roman" w:cs="Times New Roman"/>
                <w:sz w:val="16"/>
                <w:szCs w:val="16"/>
              </w:rPr>
            </w:pPr>
            <w:r>
              <w:rPr>
                <w:rFonts w:ascii="Times New Roman" w:hAnsi="Times New Roman"/>
                <w:sz w:val="16"/>
              </w:rPr>
              <w:t>716,0</w:t>
            </w:r>
          </w:p>
        </w:tc>
        <w:tc>
          <w:tcPr>
            <w:tcW w:w="251" w:type="pct"/>
            <w:shd w:val="clear" w:color="auto" w:fill="FFFFFF" w:themeFill="background1"/>
          </w:tcPr>
          <w:p w14:paraId="324589CE"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30C48505"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7E2FDAD8"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0CEB7BFF" w14:textId="0EFA9F6D" w:rsidR="002A5407" w:rsidRPr="00D91B35" w:rsidRDefault="00387006" w:rsidP="002A5407">
            <w:pPr>
              <w:rPr>
                <w:rFonts w:ascii="Times New Roman" w:hAnsi="Times New Roman" w:cs="Times New Roman"/>
                <w:sz w:val="16"/>
                <w:szCs w:val="16"/>
              </w:rPr>
            </w:pPr>
            <w:r>
              <w:rPr>
                <w:rFonts w:ascii="Times New Roman" w:hAnsi="Times New Roman"/>
                <w:sz w:val="16"/>
              </w:rPr>
              <w:t>1 155,0</w:t>
            </w:r>
          </w:p>
        </w:tc>
        <w:tc>
          <w:tcPr>
            <w:tcW w:w="237" w:type="pct"/>
            <w:shd w:val="clear" w:color="auto" w:fill="FFFFFF" w:themeFill="background1"/>
          </w:tcPr>
          <w:p w14:paraId="41008BED" w14:textId="77777777" w:rsidR="002A5407" w:rsidRPr="00D91B35" w:rsidRDefault="002A5407" w:rsidP="002A5407">
            <w:pPr>
              <w:rPr>
                <w:rFonts w:ascii="Times New Roman" w:hAnsi="Times New Roman" w:cs="Times New Roman"/>
                <w:sz w:val="16"/>
                <w:szCs w:val="16"/>
              </w:rPr>
            </w:pPr>
          </w:p>
        </w:tc>
      </w:tr>
      <w:tr w:rsidR="00077C40" w:rsidRPr="00D91B35" w14:paraId="79A325CA" w14:textId="77777777" w:rsidTr="008A656B">
        <w:tc>
          <w:tcPr>
            <w:tcW w:w="374" w:type="pct"/>
            <w:tcBorders>
              <w:bottom w:val="single" w:sz="4" w:space="0" w:color="auto"/>
            </w:tcBorders>
          </w:tcPr>
          <w:p w14:paraId="333B9C1A" w14:textId="77777777" w:rsidR="002A5407" w:rsidRPr="00D91B35" w:rsidRDefault="002A5407" w:rsidP="002A5407">
            <w:pPr>
              <w:rPr>
                <w:rFonts w:ascii="Times New Roman" w:hAnsi="Times New Roman" w:cs="Times New Roman"/>
                <w:b/>
                <w:bCs/>
                <w:sz w:val="16"/>
                <w:szCs w:val="16"/>
              </w:rPr>
            </w:pPr>
          </w:p>
        </w:tc>
        <w:tc>
          <w:tcPr>
            <w:tcW w:w="231" w:type="pct"/>
            <w:tcBorders>
              <w:bottom w:val="single" w:sz="4" w:space="0" w:color="auto"/>
            </w:tcBorders>
          </w:tcPr>
          <w:p w14:paraId="10E0551C" w14:textId="77777777" w:rsidR="002A5407" w:rsidRPr="00D91B35" w:rsidRDefault="002A5407" w:rsidP="002A5407">
            <w:pPr>
              <w:rPr>
                <w:rFonts w:ascii="Times New Roman" w:hAnsi="Times New Roman" w:cs="Times New Roman"/>
                <w:b/>
                <w:bCs/>
                <w:sz w:val="16"/>
                <w:szCs w:val="16"/>
              </w:rPr>
            </w:pPr>
          </w:p>
        </w:tc>
        <w:tc>
          <w:tcPr>
            <w:tcW w:w="358" w:type="pct"/>
            <w:tcBorders>
              <w:bottom w:val="single" w:sz="4" w:space="0" w:color="auto"/>
            </w:tcBorders>
          </w:tcPr>
          <w:p w14:paraId="092DC77A" w14:textId="534C01BE" w:rsidR="002A5407" w:rsidRPr="00D91B35" w:rsidRDefault="00387006" w:rsidP="002A5407">
            <w:pPr>
              <w:rPr>
                <w:rFonts w:ascii="Times New Roman" w:hAnsi="Times New Roman" w:cs="Times New Roman"/>
                <w:b/>
                <w:bCs/>
                <w:sz w:val="16"/>
                <w:szCs w:val="16"/>
              </w:rPr>
            </w:pPr>
            <w:r>
              <w:rPr>
                <w:rFonts w:ascii="Times New Roman" w:hAnsi="Times New Roman"/>
                <w:b/>
                <w:sz w:val="16"/>
              </w:rPr>
              <w:t>Apvienotā Karaliste</w:t>
            </w:r>
          </w:p>
        </w:tc>
        <w:tc>
          <w:tcPr>
            <w:tcW w:w="359" w:type="pct"/>
            <w:tcBorders>
              <w:bottom w:val="single" w:sz="4" w:space="0" w:color="auto"/>
            </w:tcBorders>
          </w:tcPr>
          <w:p w14:paraId="3C4A3E8E" w14:textId="06C24CC6" w:rsidR="002A5407" w:rsidRPr="00D91B35" w:rsidRDefault="00387006" w:rsidP="00387006">
            <w:pPr>
              <w:pStyle w:val="Default"/>
              <w:rPr>
                <w:sz w:val="16"/>
                <w:szCs w:val="16"/>
              </w:rPr>
            </w:pPr>
            <w:r>
              <w:rPr>
                <w:sz w:val="16"/>
              </w:rPr>
              <w:t>(Bates et al., 2011)</w:t>
            </w:r>
          </w:p>
        </w:tc>
        <w:tc>
          <w:tcPr>
            <w:tcW w:w="839" w:type="pct"/>
            <w:tcBorders>
              <w:bottom w:val="single" w:sz="4" w:space="0" w:color="auto"/>
            </w:tcBorders>
          </w:tcPr>
          <w:p w14:paraId="074EA003" w14:textId="20AA0CEF" w:rsidR="002A5407" w:rsidRPr="00D91B35" w:rsidRDefault="00387006" w:rsidP="002A5407">
            <w:pPr>
              <w:pStyle w:val="Default"/>
              <w:rPr>
                <w:sz w:val="16"/>
                <w:szCs w:val="16"/>
              </w:rPr>
            </w:pPr>
            <w:r>
              <w:rPr>
                <w:sz w:val="16"/>
              </w:rPr>
              <w:t>4 dienu uztura dienasgrāmata</w:t>
            </w:r>
          </w:p>
        </w:tc>
        <w:tc>
          <w:tcPr>
            <w:tcW w:w="196" w:type="pct"/>
            <w:tcBorders>
              <w:bottom w:val="single" w:sz="4" w:space="0" w:color="auto"/>
            </w:tcBorders>
            <w:shd w:val="clear" w:color="auto" w:fill="FFFFFF" w:themeFill="background1"/>
          </w:tcPr>
          <w:p w14:paraId="6E5D3F12" w14:textId="3362A71D" w:rsidR="002A5407" w:rsidRPr="00D91B35" w:rsidRDefault="002A5407" w:rsidP="002A5407">
            <w:pPr>
              <w:rPr>
                <w:rFonts w:ascii="Times New Roman" w:hAnsi="Times New Roman" w:cs="Times New Roman"/>
                <w:sz w:val="16"/>
                <w:szCs w:val="16"/>
              </w:rPr>
            </w:pPr>
            <w:r>
              <w:rPr>
                <w:rFonts w:ascii="Times New Roman" w:hAnsi="Times New Roman"/>
                <w:sz w:val="16"/>
              </w:rPr>
              <w:t>423</w:t>
            </w:r>
          </w:p>
        </w:tc>
        <w:tc>
          <w:tcPr>
            <w:tcW w:w="122" w:type="pct"/>
            <w:tcBorders>
              <w:bottom w:val="single" w:sz="4" w:space="0" w:color="auto"/>
            </w:tcBorders>
            <w:shd w:val="clear" w:color="auto" w:fill="FFFFFF" w:themeFill="background1"/>
          </w:tcPr>
          <w:p w14:paraId="0A498749" w14:textId="77777777" w:rsidR="002A5407" w:rsidRPr="00D91B35" w:rsidRDefault="002A5407" w:rsidP="002A5407">
            <w:pPr>
              <w:rPr>
                <w:rFonts w:ascii="Times New Roman" w:hAnsi="Times New Roman" w:cs="Times New Roman"/>
                <w:sz w:val="16"/>
                <w:szCs w:val="16"/>
              </w:rPr>
            </w:pPr>
          </w:p>
        </w:tc>
        <w:tc>
          <w:tcPr>
            <w:tcW w:w="183" w:type="pct"/>
            <w:tcBorders>
              <w:bottom w:val="single" w:sz="4" w:space="0" w:color="auto"/>
            </w:tcBorders>
            <w:shd w:val="clear" w:color="auto" w:fill="FFFFFF" w:themeFill="background1"/>
          </w:tcPr>
          <w:p w14:paraId="41D7A4CE" w14:textId="054A3D96" w:rsidR="002A5407" w:rsidRPr="00D91B35" w:rsidRDefault="00387006" w:rsidP="002A5407">
            <w:pPr>
              <w:rPr>
                <w:rFonts w:ascii="Times New Roman" w:hAnsi="Times New Roman" w:cs="Times New Roman"/>
                <w:sz w:val="16"/>
                <w:szCs w:val="16"/>
              </w:rPr>
            </w:pPr>
            <w:r>
              <w:rPr>
                <w:rFonts w:ascii="Times New Roman" w:hAnsi="Times New Roman"/>
                <w:sz w:val="16"/>
              </w:rPr>
              <w:t>4</w:t>
            </w:r>
          </w:p>
        </w:tc>
        <w:tc>
          <w:tcPr>
            <w:tcW w:w="105" w:type="pct"/>
            <w:tcBorders>
              <w:bottom w:val="single" w:sz="4" w:space="0" w:color="auto"/>
            </w:tcBorders>
            <w:shd w:val="clear" w:color="auto" w:fill="FFFFFF" w:themeFill="background1"/>
          </w:tcPr>
          <w:p w14:paraId="08DA4FE7" w14:textId="77777777" w:rsidR="002A5407" w:rsidRPr="00D91B35" w:rsidRDefault="002A5407" w:rsidP="002A5407">
            <w:pPr>
              <w:rPr>
                <w:rFonts w:ascii="Times New Roman" w:hAnsi="Times New Roman" w:cs="Times New Roman"/>
                <w:sz w:val="16"/>
                <w:szCs w:val="16"/>
              </w:rPr>
            </w:pPr>
          </w:p>
        </w:tc>
        <w:tc>
          <w:tcPr>
            <w:tcW w:w="186" w:type="pct"/>
            <w:tcBorders>
              <w:bottom w:val="single" w:sz="4" w:space="0" w:color="auto"/>
            </w:tcBorders>
            <w:shd w:val="clear" w:color="auto" w:fill="FFFFFF" w:themeFill="background1"/>
          </w:tcPr>
          <w:p w14:paraId="3A37F4F6" w14:textId="7909B65F" w:rsidR="002A5407" w:rsidRPr="00D91B35" w:rsidRDefault="00387006" w:rsidP="002A5407">
            <w:pPr>
              <w:rPr>
                <w:rFonts w:ascii="Times New Roman" w:hAnsi="Times New Roman" w:cs="Times New Roman"/>
                <w:sz w:val="16"/>
                <w:szCs w:val="16"/>
              </w:rPr>
            </w:pPr>
            <w:r>
              <w:rPr>
                <w:rFonts w:ascii="Times New Roman" w:hAnsi="Times New Roman"/>
                <w:sz w:val="16"/>
              </w:rPr>
              <w:t>10</w:t>
            </w:r>
          </w:p>
        </w:tc>
        <w:tc>
          <w:tcPr>
            <w:tcW w:w="609" w:type="pct"/>
            <w:tcBorders>
              <w:bottom w:val="single" w:sz="4" w:space="0" w:color="auto"/>
            </w:tcBorders>
            <w:shd w:val="clear" w:color="auto" w:fill="FFFFFF" w:themeFill="background1"/>
          </w:tcPr>
          <w:p w14:paraId="0FBD4302" w14:textId="55CC38B1" w:rsidR="002A5407" w:rsidRPr="00D91B35" w:rsidRDefault="002A5407" w:rsidP="002A5407">
            <w:pPr>
              <w:pStyle w:val="Default"/>
              <w:rPr>
                <w:sz w:val="16"/>
                <w:szCs w:val="16"/>
              </w:rPr>
            </w:pPr>
          </w:p>
        </w:tc>
        <w:tc>
          <w:tcPr>
            <w:tcW w:w="237" w:type="pct"/>
            <w:tcBorders>
              <w:bottom w:val="single" w:sz="4" w:space="0" w:color="auto"/>
            </w:tcBorders>
            <w:shd w:val="clear" w:color="auto" w:fill="FFFFFF" w:themeFill="background1"/>
          </w:tcPr>
          <w:p w14:paraId="6AC05BB2" w14:textId="3FB82730" w:rsidR="002A5407" w:rsidRPr="00D91B35" w:rsidRDefault="00387006" w:rsidP="002A5407">
            <w:pPr>
              <w:rPr>
                <w:rFonts w:ascii="Times New Roman" w:hAnsi="Times New Roman" w:cs="Times New Roman"/>
                <w:sz w:val="16"/>
                <w:szCs w:val="16"/>
              </w:rPr>
            </w:pPr>
            <w:r>
              <w:rPr>
                <w:rFonts w:ascii="Times New Roman" w:hAnsi="Times New Roman"/>
                <w:sz w:val="16"/>
              </w:rPr>
              <w:t>804,0</w:t>
            </w:r>
          </w:p>
        </w:tc>
        <w:tc>
          <w:tcPr>
            <w:tcW w:w="251" w:type="pct"/>
            <w:tcBorders>
              <w:bottom w:val="single" w:sz="4" w:space="0" w:color="auto"/>
            </w:tcBorders>
            <w:shd w:val="clear" w:color="auto" w:fill="FFFFFF" w:themeFill="background1"/>
          </w:tcPr>
          <w:p w14:paraId="708AAFCD" w14:textId="77777777" w:rsidR="002A5407" w:rsidRPr="00D91B35" w:rsidRDefault="002A5407" w:rsidP="002A5407">
            <w:pPr>
              <w:rPr>
                <w:rFonts w:ascii="Times New Roman" w:hAnsi="Times New Roman" w:cs="Times New Roman"/>
                <w:sz w:val="16"/>
                <w:szCs w:val="16"/>
              </w:rPr>
            </w:pPr>
          </w:p>
        </w:tc>
        <w:tc>
          <w:tcPr>
            <w:tcW w:w="237" w:type="pct"/>
            <w:tcBorders>
              <w:bottom w:val="single" w:sz="4" w:space="0" w:color="auto"/>
            </w:tcBorders>
            <w:shd w:val="clear" w:color="auto" w:fill="FFFFFF" w:themeFill="background1"/>
          </w:tcPr>
          <w:p w14:paraId="13873A25" w14:textId="77777777" w:rsidR="002A5407" w:rsidRPr="00D91B35" w:rsidRDefault="002A5407" w:rsidP="002A5407">
            <w:pPr>
              <w:rPr>
                <w:rFonts w:ascii="Times New Roman" w:hAnsi="Times New Roman" w:cs="Times New Roman"/>
                <w:sz w:val="16"/>
                <w:szCs w:val="16"/>
              </w:rPr>
            </w:pPr>
          </w:p>
        </w:tc>
        <w:tc>
          <w:tcPr>
            <w:tcW w:w="237" w:type="pct"/>
            <w:tcBorders>
              <w:bottom w:val="single" w:sz="4" w:space="0" w:color="auto"/>
            </w:tcBorders>
            <w:shd w:val="clear" w:color="auto" w:fill="FFFFFF" w:themeFill="background1"/>
          </w:tcPr>
          <w:p w14:paraId="45CE5BDB" w14:textId="77777777" w:rsidR="002A5407" w:rsidRPr="00D91B35" w:rsidRDefault="002A5407" w:rsidP="002A5407">
            <w:pPr>
              <w:rPr>
                <w:rFonts w:ascii="Times New Roman" w:hAnsi="Times New Roman" w:cs="Times New Roman"/>
                <w:sz w:val="16"/>
                <w:szCs w:val="16"/>
              </w:rPr>
            </w:pPr>
          </w:p>
        </w:tc>
        <w:tc>
          <w:tcPr>
            <w:tcW w:w="237" w:type="pct"/>
            <w:tcBorders>
              <w:bottom w:val="single" w:sz="4" w:space="0" w:color="auto"/>
            </w:tcBorders>
            <w:shd w:val="clear" w:color="auto" w:fill="FFFFFF" w:themeFill="background1"/>
          </w:tcPr>
          <w:p w14:paraId="18A6C62A" w14:textId="77777777" w:rsidR="002A5407" w:rsidRPr="00D91B35" w:rsidRDefault="002A5407" w:rsidP="002A5407">
            <w:pPr>
              <w:rPr>
                <w:rFonts w:ascii="Times New Roman" w:hAnsi="Times New Roman" w:cs="Times New Roman"/>
                <w:sz w:val="16"/>
                <w:szCs w:val="16"/>
              </w:rPr>
            </w:pPr>
          </w:p>
        </w:tc>
        <w:tc>
          <w:tcPr>
            <w:tcW w:w="237" w:type="pct"/>
            <w:tcBorders>
              <w:bottom w:val="single" w:sz="4" w:space="0" w:color="auto"/>
            </w:tcBorders>
            <w:shd w:val="clear" w:color="auto" w:fill="FFFFFF" w:themeFill="background1"/>
          </w:tcPr>
          <w:p w14:paraId="510CF86C" w14:textId="5A04ACE2" w:rsidR="002A5407" w:rsidRPr="00D91B35" w:rsidRDefault="00387006" w:rsidP="002A5407">
            <w:pPr>
              <w:rPr>
                <w:rFonts w:ascii="Times New Roman" w:hAnsi="Times New Roman" w:cs="Times New Roman"/>
                <w:sz w:val="16"/>
                <w:szCs w:val="16"/>
              </w:rPr>
            </w:pPr>
            <w:r>
              <w:rPr>
                <w:rFonts w:ascii="Times New Roman" w:hAnsi="Times New Roman"/>
                <w:sz w:val="16"/>
              </w:rPr>
              <w:t>1 339,0</w:t>
            </w:r>
          </w:p>
        </w:tc>
      </w:tr>
      <w:tr w:rsidR="00077C40" w:rsidRPr="00D91B35" w14:paraId="64A1BEC9" w14:textId="77777777" w:rsidTr="008A656B">
        <w:tc>
          <w:tcPr>
            <w:tcW w:w="374" w:type="pct"/>
            <w:tcBorders>
              <w:top w:val="single" w:sz="4" w:space="0" w:color="auto"/>
            </w:tcBorders>
          </w:tcPr>
          <w:p w14:paraId="02DBBBBB" w14:textId="329FFDBC" w:rsidR="002A5407" w:rsidRPr="00D91B35" w:rsidRDefault="00387006" w:rsidP="002A5407">
            <w:pPr>
              <w:rPr>
                <w:rFonts w:ascii="Times New Roman" w:hAnsi="Times New Roman" w:cs="Times New Roman"/>
                <w:b/>
                <w:bCs/>
                <w:sz w:val="16"/>
                <w:szCs w:val="16"/>
              </w:rPr>
            </w:pPr>
            <w:r>
              <w:rPr>
                <w:rFonts w:ascii="Times New Roman" w:hAnsi="Times New Roman"/>
                <w:b/>
                <w:sz w:val="16"/>
              </w:rPr>
              <w:t>Pārtika un bagātinātāji</w:t>
            </w:r>
          </w:p>
        </w:tc>
        <w:tc>
          <w:tcPr>
            <w:tcW w:w="231" w:type="pct"/>
            <w:tcBorders>
              <w:top w:val="single" w:sz="4" w:space="0" w:color="auto"/>
            </w:tcBorders>
          </w:tcPr>
          <w:p w14:paraId="42BDB200" w14:textId="2AEEBAF3" w:rsidR="002A5407" w:rsidRPr="00D91B35" w:rsidRDefault="00387006" w:rsidP="002A5407">
            <w:pPr>
              <w:rPr>
                <w:rFonts w:ascii="Times New Roman" w:hAnsi="Times New Roman" w:cs="Times New Roman"/>
                <w:b/>
                <w:bCs/>
                <w:sz w:val="16"/>
                <w:szCs w:val="16"/>
              </w:rPr>
            </w:pPr>
            <w:r>
              <w:rPr>
                <w:rFonts w:ascii="Times New Roman" w:hAnsi="Times New Roman"/>
                <w:b/>
                <w:sz w:val="16"/>
              </w:rPr>
              <w:t>Meitenes</w:t>
            </w:r>
          </w:p>
        </w:tc>
        <w:tc>
          <w:tcPr>
            <w:tcW w:w="358" w:type="pct"/>
            <w:tcBorders>
              <w:top w:val="single" w:sz="4" w:space="0" w:color="auto"/>
            </w:tcBorders>
          </w:tcPr>
          <w:p w14:paraId="02628545" w14:textId="34E68A3A" w:rsidR="002A5407" w:rsidRPr="00D91B35" w:rsidRDefault="00387006" w:rsidP="002A5407">
            <w:pPr>
              <w:rPr>
                <w:rFonts w:ascii="Times New Roman" w:hAnsi="Times New Roman" w:cs="Times New Roman"/>
                <w:b/>
                <w:bCs/>
                <w:sz w:val="16"/>
                <w:szCs w:val="16"/>
              </w:rPr>
            </w:pPr>
            <w:r>
              <w:rPr>
                <w:rFonts w:ascii="Times New Roman" w:hAnsi="Times New Roman"/>
                <w:b/>
                <w:sz w:val="16"/>
              </w:rPr>
              <w:t>Somija</w:t>
            </w:r>
          </w:p>
        </w:tc>
        <w:tc>
          <w:tcPr>
            <w:tcW w:w="359" w:type="pct"/>
            <w:tcBorders>
              <w:top w:val="single" w:sz="4" w:space="0" w:color="auto"/>
            </w:tcBorders>
          </w:tcPr>
          <w:p w14:paraId="189F5553" w14:textId="0F81B29B" w:rsidR="002A5407" w:rsidRPr="00D91B35" w:rsidRDefault="00387006" w:rsidP="00387006">
            <w:pPr>
              <w:pStyle w:val="Default"/>
              <w:rPr>
                <w:sz w:val="16"/>
                <w:szCs w:val="16"/>
              </w:rPr>
            </w:pPr>
            <w:r>
              <w:rPr>
                <w:sz w:val="16"/>
              </w:rPr>
              <w:t>(Kyttälä et al., 2008; 2010)</w:t>
            </w:r>
          </w:p>
        </w:tc>
        <w:tc>
          <w:tcPr>
            <w:tcW w:w="839" w:type="pct"/>
            <w:tcBorders>
              <w:top w:val="single" w:sz="4" w:space="0" w:color="auto"/>
            </w:tcBorders>
          </w:tcPr>
          <w:p w14:paraId="33991FE8" w14:textId="2CEF5228" w:rsidR="002A5407" w:rsidRPr="00D91B35" w:rsidRDefault="00387006" w:rsidP="002A5407">
            <w:pPr>
              <w:pStyle w:val="Default"/>
              <w:rPr>
                <w:sz w:val="16"/>
                <w:szCs w:val="16"/>
              </w:rPr>
            </w:pPr>
            <w:r>
              <w:rPr>
                <w:sz w:val="16"/>
              </w:rPr>
              <w:t>3 dienu uztura pieraksts</w:t>
            </w:r>
          </w:p>
        </w:tc>
        <w:tc>
          <w:tcPr>
            <w:tcW w:w="196" w:type="pct"/>
            <w:tcBorders>
              <w:top w:val="single" w:sz="4" w:space="0" w:color="auto"/>
            </w:tcBorders>
            <w:shd w:val="clear" w:color="auto" w:fill="FFFFFF" w:themeFill="background1"/>
          </w:tcPr>
          <w:p w14:paraId="1469CE17" w14:textId="0AA82BDA" w:rsidR="002A5407" w:rsidRPr="00D91B35" w:rsidRDefault="002A5407" w:rsidP="002A5407">
            <w:pPr>
              <w:rPr>
                <w:rFonts w:ascii="Times New Roman" w:hAnsi="Times New Roman" w:cs="Times New Roman"/>
                <w:sz w:val="16"/>
                <w:szCs w:val="16"/>
              </w:rPr>
            </w:pPr>
            <w:r>
              <w:rPr>
                <w:rFonts w:ascii="Times New Roman" w:hAnsi="Times New Roman"/>
                <w:sz w:val="16"/>
              </w:rPr>
              <w:t>247</w:t>
            </w:r>
          </w:p>
        </w:tc>
        <w:tc>
          <w:tcPr>
            <w:tcW w:w="122" w:type="pct"/>
            <w:tcBorders>
              <w:top w:val="single" w:sz="4" w:space="0" w:color="auto"/>
            </w:tcBorders>
            <w:shd w:val="clear" w:color="auto" w:fill="FFFFFF" w:themeFill="background1"/>
          </w:tcPr>
          <w:p w14:paraId="3A1414C8" w14:textId="77777777" w:rsidR="002A5407" w:rsidRPr="00D91B35" w:rsidRDefault="002A5407" w:rsidP="002A5407">
            <w:pPr>
              <w:rPr>
                <w:rFonts w:ascii="Times New Roman" w:hAnsi="Times New Roman" w:cs="Times New Roman"/>
                <w:sz w:val="16"/>
                <w:szCs w:val="16"/>
              </w:rPr>
            </w:pPr>
          </w:p>
        </w:tc>
        <w:tc>
          <w:tcPr>
            <w:tcW w:w="183" w:type="pct"/>
            <w:tcBorders>
              <w:top w:val="single" w:sz="4" w:space="0" w:color="auto"/>
            </w:tcBorders>
            <w:shd w:val="clear" w:color="auto" w:fill="FFFFFF" w:themeFill="background1"/>
          </w:tcPr>
          <w:p w14:paraId="2F6E20FD" w14:textId="6193BC2C" w:rsidR="002A5407" w:rsidRPr="00D91B35" w:rsidRDefault="00387006" w:rsidP="002A5407">
            <w:pPr>
              <w:rPr>
                <w:rFonts w:ascii="Times New Roman" w:hAnsi="Times New Roman" w:cs="Times New Roman"/>
                <w:sz w:val="16"/>
                <w:szCs w:val="16"/>
              </w:rPr>
            </w:pPr>
            <w:r>
              <w:rPr>
                <w:rFonts w:ascii="Times New Roman" w:hAnsi="Times New Roman"/>
                <w:sz w:val="16"/>
              </w:rPr>
              <w:t>4</w:t>
            </w:r>
          </w:p>
        </w:tc>
        <w:tc>
          <w:tcPr>
            <w:tcW w:w="105" w:type="pct"/>
            <w:tcBorders>
              <w:top w:val="single" w:sz="4" w:space="0" w:color="auto"/>
            </w:tcBorders>
            <w:shd w:val="clear" w:color="auto" w:fill="FFFFFF" w:themeFill="background1"/>
          </w:tcPr>
          <w:p w14:paraId="2EF445B4" w14:textId="77777777" w:rsidR="002A5407" w:rsidRPr="00D91B35" w:rsidRDefault="002A5407" w:rsidP="002A5407">
            <w:pPr>
              <w:rPr>
                <w:rFonts w:ascii="Times New Roman" w:hAnsi="Times New Roman" w:cs="Times New Roman"/>
                <w:sz w:val="16"/>
                <w:szCs w:val="16"/>
              </w:rPr>
            </w:pPr>
          </w:p>
        </w:tc>
        <w:tc>
          <w:tcPr>
            <w:tcW w:w="186" w:type="pct"/>
            <w:tcBorders>
              <w:top w:val="single" w:sz="4" w:space="0" w:color="auto"/>
            </w:tcBorders>
            <w:shd w:val="clear" w:color="auto" w:fill="FFFFFF" w:themeFill="background1"/>
          </w:tcPr>
          <w:p w14:paraId="6C22E247" w14:textId="0DF8CEFE" w:rsidR="002A5407" w:rsidRPr="00D91B35" w:rsidRDefault="00387006" w:rsidP="002A5407">
            <w:pPr>
              <w:rPr>
                <w:rFonts w:ascii="Times New Roman" w:hAnsi="Times New Roman" w:cs="Times New Roman"/>
                <w:sz w:val="16"/>
                <w:szCs w:val="16"/>
              </w:rPr>
            </w:pPr>
            <w:r>
              <w:rPr>
                <w:rFonts w:ascii="Times New Roman" w:hAnsi="Times New Roman"/>
                <w:sz w:val="16"/>
              </w:rPr>
              <w:t>4</w:t>
            </w:r>
          </w:p>
        </w:tc>
        <w:tc>
          <w:tcPr>
            <w:tcW w:w="609" w:type="pct"/>
            <w:tcBorders>
              <w:top w:val="single" w:sz="4" w:space="0" w:color="auto"/>
            </w:tcBorders>
            <w:shd w:val="clear" w:color="auto" w:fill="FFFFFF" w:themeFill="background1"/>
          </w:tcPr>
          <w:p w14:paraId="114FC079" w14:textId="76E38864" w:rsidR="002A5407" w:rsidRPr="00D91B35" w:rsidRDefault="00387006" w:rsidP="00387006">
            <w:pPr>
              <w:pStyle w:val="Default"/>
              <w:rPr>
                <w:sz w:val="16"/>
                <w:szCs w:val="16"/>
              </w:rPr>
            </w:pPr>
            <w:r>
              <w:rPr>
                <w:sz w:val="16"/>
              </w:rPr>
              <w:t>Berni, kuriem ģenētiski ir 1. tipa diabēta risks</w:t>
            </w:r>
          </w:p>
        </w:tc>
        <w:tc>
          <w:tcPr>
            <w:tcW w:w="237" w:type="pct"/>
            <w:tcBorders>
              <w:top w:val="single" w:sz="4" w:space="0" w:color="auto"/>
            </w:tcBorders>
            <w:shd w:val="clear" w:color="auto" w:fill="FFFFFF" w:themeFill="background1"/>
          </w:tcPr>
          <w:p w14:paraId="3B978D0B" w14:textId="7DC26F54" w:rsidR="002A5407" w:rsidRPr="00D91B35" w:rsidRDefault="00387006" w:rsidP="002A5407">
            <w:pPr>
              <w:rPr>
                <w:rFonts w:ascii="Times New Roman" w:hAnsi="Times New Roman" w:cs="Times New Roman"/>
                <w:sz w:val="16"/>
                <w:szCs w:val="16"/>
              </w:rPr>
            </w:pPr>
            <w:r>
              <w:rPr>
                <w:rFonts w:ascii="Times New Roman" w:hAnsi="Times New Roman"/>
                <w:sz w:val="16"/>
              </w:rPr>
              <w:t>930,0</w:t>
            </w:r>
          </w:p>
        </w:tc>
        <w:tc>
          <w:tcPr>
            <w:tcW w:w="251" w:type="pct"/>
            <w:tcBorders>
              <w:top w:val="single" w:sz="4" w:space="0" w:color="auto"/>
            </w:tcBorders>
            <w:shd w:val="clear" w:color="auto" w:fill="FFFFFF" w:themeFill="background1"/>
          </w:tcPr>
          <w:p w14:paraId="400AA37B" w14:textId="77777777" w:rsidR="002A5407" w:rsidRPr="00D91B35" w:rsidRDefault="002A5407" w:rsidP="002A5407">
            <w:pPr>
              <w:rPr>
                <w:rFonts w:ascii="Times New Roman" w:hAnsi="Times New Roman" w:cs="Times New Roman"/>
                <w:sz w:val="16"/>
                <w:szCs w:val="16"/>
              </w:rPr>
            </w:pPr>
          </w:p>
        </w:tc>
        <w:tc>
          <w:tcPr>
            <w:tcW w:w="237" w:type="pct"/>
            <w:tcBorders>
              <w:top w:val="single" w:sz="4" w:space="0" w:color="auto"/>
            </w:tcBorders>
            <w:shd w:val="clear" w:color="auto" w:fill="FFFFFF" w:themeFill="background1"/>
          </w:tcPr>
          <w:p w14:paraId="732E8045" w14:textId="4EF63DA1" w:rsidR="002A5407" w:rsidRPr="00D91B35" w:rsidRDefault="00387006" w:rsidP="002A5407">
            <w:pPr>
              <w:rPr>
                <w:rFonts w:ascii="Times New Roman" w:hAnsi="Times New Roman" w:cs="Times New Roman"/>
                <w:sz w:val="16"/>
                <w:szCs w:val="16"/>
              </w:rPr>
            </w:pPr>
            <w:r>
              <w:rPr>
                <w:rFonts w:ascii="Times New Roman" w:hAnsi="Times New Roman"/>
                <w:sz w:val="16"/>
              </w:rPr>
              <w:t>1 089,0</w:t>
            </w:r>
          </w:p>
        </w:tc>
        <w:tc>
          <w:tcPr>
            <w:tcW w:w="237" w:type="pct"/>
            <w:tcBorders>
              <w:top w:val="single" w:sz="4" w:space="0" w:color="auto"/>
            </w:tcBorders>
            <w:shd w:val="clear" w:color="auto" w:fill="FFFFFF" w:themeFill="background1"/>
          </w:tcPr>
          <w:p w14:paraId="59FBC80F" w14:textId="77777777" w:rsidR="002A5407" w:rsidRPr="00D91B35" w:rsidRDefault="002A5407" w:rsidP="002A5407">
            <w:pPr>
              <w:rPr>
                <w:rFonts w:ascii="Times New Roman" w:hAnsi="Times New Roman" w:cs="Times New Roman"/>
                <w:sz w:val="16"/>
                <w:szCs w:val="16"/>
              </w:rPr>
            </w:pPr>
          </w:p>
        </w:tc>
        <w:tc>
          <w:tcPr>
            <w:tcW w:w="237" w:type="pct"/>
            <w:tcBorders>
              <w:top w:val="single" w:sz="4" w:space="0" w:color="auto"/>
            </w:tcBorders>
            <w:shd w:val="clear" w:color="auto" w:fill="FFFFFF" w:themeFill="background1"/>
          </w:tcPr>
          <w:p w14:paraId="2B36BDFE" w14:textId="77777777" w:rsidR="002A5407" w:rsidRPr="00D91B35" w:rsidRDefault="002A5407" w:rsidP="002A5407">
            <w:pPr>
              <w:rPr>
                <w:rFonts w:ascii="Times New Roman" w:hAnsi="Times New Roman" w:cs="Times New Roman"/>
                <w:sz w:val="16"/>
                <w:szCs w:val="16"/>
              </w:rPr>
            </w:pPr>
          </w:p>
        </w:tc>
        <w:tc>
          <w:tcPr>
            <w:tcW w:w="237" w:type="pct"/>
            <w:tcBorders>
              <w:top w:val="single" w:sz="4" w:space="0" w:color="auto"/>
            </w:tcBorders>
            <w:shd w:val="clear" w:color="auto" w:fill="FFFFFF" w:themeFill="background1"/>
          </w:tcPr>
          <w:p w14:paraId="6E238B3E" w14:textId="77777777" w:rsidR="002A5407" w:rsidRPr="00D91B35" w:rsidRDefault="002A5407" w:rsidP="002A5407">
            <w:pPr>
              <w:rPr>
                <w:rFonts w:ascii="Times New Roman" w:hAnsi="Times New Roman" w:cs="Times New Roman"/>
                <w:sz w:val="16"/>
                <w:szCs w:val="16"/>
              </w:rPr>
            </w:pPr>
          </w:p>
        </w:tc>
      </w:tr>
      <w:tr w:rsidR="00077C40" w:rsidRPr="00D91B35" w14:paraId="6F637F8B" w14:textId="77777777" w:rsidTr="008A656B">
        <w:tc>
          <w:tcPr>
            <w:tcW w:w="374" w:type="pct"/>
          </w:tcPr>
          <w:p w14:paraId="79385304" w14:textId="77777777" w:rsidR="002A5407" w:rsidRPr="00D91B35" w:rsidRDefault="002A5407" w:rsidP="002A5407">
            <w:pPr>
              <w:rPr>
                <w:rFonts w:ascii="Times New Roman" w:hAnsi="Times New Roman" w:cs="Times New Roman"/>
                <w:b/>
                <w:bCs/>
                <w:sz w:val="16"/>
                <w:szCs w:val="16"/>
              </w:rPr>
            </w:pPr>
          </w:p>
        </w:tc>
        <w:tc>
          <w:tcPr>
            <w:tcW w:w="231" w:type="pct"/>
          </w:tcPr>
          <w:p w14:paraId="00D5ADA1" w14:textId="77777777" w:rsidR="002A5407" w:rsidRPr="00D91B35" w:rsidRDefault="002A5407" w:rsidP="002A5407">
            <w:pPr>
              <w:rPr>
                <w:rFonts w:ascii="Times New Roman" w:hAnsi="Times New Roman" w:cs="Times New Roman"/>
                <w:b/>
                <w:bCs/>
                <w:sz w:val="16"/>
                <w:szCs w:val="16"/>
              </w:rPr>
            </w:pPr>
          </w:p>
        </w:tc>
        <w:tc>
          <w:tcPr>
            <w:tcW w:w="358" w:type="pct"/>
          </w:tcPr>
          <w:p w14:paraId="20729FA1" w14:textId="77777777" w:rsidR="002A5407" w:rsidRPr="00D91B35" w:rsidRDefault="002A5407" w:rsidP="002A5407">
            <w:pPr>
              <w:rPr>
                <w:rFonts w:ascii="Times New Roman" w:hAnsi="Times New Roman" w:cs="Times New Roman"/>
                <w:b/>
                <w:bCs/>
                <w:sz w:val="16"/>
                <w:szCs w:val="16"/>
              </w:rPr>
            </w:pPr>
          </w:p>
        </w:tc>
        <w:tc>
          <w:tcPr>
            <w:tcW w:w="359" w:type="pct"/>
          </w:tcPr>
          <w:p w14:paraId="6862A86C" w14:textId="77777777" w:rsidR="002A5407" w:rsidRPr="00D91B35" w:rsidRDefault="002A5407" w:rsidP="002A5407">
            <w:pPr>
              <w:rPr>
                <w:rFonts w:ascii="Times New Roman" w:hAnsi="Times New Roman" w:cs="Times New Roman"/>
                <w:sz w:val="16"/>
                <w:szCs w:val="16"/>
              </w:rPr>
            </w:pPr>
          </w:p>
        </w:tc>
        <w:tc>
          <w:tcPr>
            <w:tcW w:w="839" w:type="pct"/>
          </w:tcPr>
          <w:p w14:paraId="2BE420C6" w14:textId="77777777" w:rsidR="002A5407" w:rsidRPr="00D91B35" w:rsidRDefault="002A5407" w:rsidP="002A5407">
            <w:pPr>
              <w:pStyle w:val="Default"/>
              <w:rPr>
                <w:sz w:val="16"/>
                <w:szCs w:val="16"/>
              </w:rPr>
            </w:pPr>
          </w:p>
        </w:tc>
        <w:tc>
          <w:tcPr>
            <w:tcW w:w="196" w:type="pct"/>
            <w:shd w:val="clear" w:color="auto" w:fill="FFFFFF" w:themeFill="background1"/>
          </w:tcPr>
          <w:p w14:paraId="69CA0C84" w14:textId="77F79914" w:rsidR="002A5407" w:rsidRPr="00D91B35" w:rsidRDefault="002A5407" w:rsidP="002A5407">
            <w:pPr>
              <w:rPr>
                <w:rFonts w:ascii="Times New Roman" w:hAnsi="Times New Roman" w:cs="Times New Roman"/>
                <w:sz w:val="16"/>
                <w:szCs w:val="16"/>
              </w:rPr>
            </w:pPr>
            <w:r>
              <w:rPr>
                <w:rFonts w:ascii="Times New Roman" w:hAnsi="Times New Roman"/>
                <w:sz w:val="16"/>
              </w:rPr>
              <w:t>349</w:t>
            </w:r>
          </w:p>
        </w:tc>
        <w:tc>
          <w:tcPr>
            <w:tcW w:w="122" w:type="pct"/>
            <w:shd w:val="clear" w:color="auto" w:fill="FFFFFF" w:themeFill="background1"/>
          </w:tcPr>
          <w:p w14:paraId="074F13D3" w14:textId="77777777" w:rsidR="002A5407" w:rsidRPr="00D91B35" w:rsidRDefault="002A5407" w:rsidP="002A5407">
            <w:pPr>
              <w:rPr>
                <w:rFonts w:ascii="Times New Roman" w:hAnsi="Times New Roman" w:cs="Times New Roman"/>
                <w:sz w:val="16"/>
                <w:szCs w:val="16"/>
              </w:rPr>
            </w:pPr>
          </w:p>
        </w:tc>
        <w:tc>
          <w:tcPr>
            <w:tcW w:w="183" w:type="pct"/>
            <w:shd w:val="clear" w:color="auto" w:fill="FFFFFF" w:themeFill="background1"/>
          </w:tcPr>
          <w:p w14:paraId="7FB84064" w14:textId="7BA6D4E6" w:rsidR="002A5407" w:rsidRPr="00D91B35" w:rsidRDefault="00387006" w:rsidP="002A5407">
            <w:pPr>
              <w:rPr>
                <w:rFonts w:ascii="Times New Roman" w:hAnsi="Times New Roman" w:cs="Times New Roman"/>
                <w:sz w:val="16"/>
                <w:szCs w:val="16"/>
              </w:rPr>
            </w:pPr>
            <w:r>
              <w:rPr>
                <w:rFonts w:ascii="Times New Roman" w:hAnsi="Times New Roman"/>
                <w:sz w:val="16"/>
              </w:rPr>
              <w:t>6</w:t>
            </w:r>
          </w:p>
        </w:tc>
        <w:tc>
          <w:tcPr>
            <w:tcW w:w="105" w:type="pct"/>
            <w:shd w:val="clear" w:color="auto" w:fill="FFFFFF" w:themeFill="background1"/>
          </w:tcPr>
          <w:p w14:paraId="5A8B4C1D" w14:textId="77777777" w:rsidR="002A5407" w:rsidRPr="00D91B35" w:rsidRDefault="002A5407" w:rsidP="002A5407">
            <w:pPr>
              <w:rPr>
                <w:rFonts w:ascii="Times New Roman" w:hAnsi="Times New Roman" w:cs="Times New Roman"/>
                <w:sz w:val="16"/>
                <w:szCs w:val="16"/>
              </w:rPr>
            </w:pPr>
          </w:p>
        </w:tc>
        <w:tc>
          <w:tcPr>
            <w:tcW w:w="186" w:type="pct"/>
            <w:shd w:val="clear" w:color="auto" w:fill="FFFFFF" w:themeFill="background1"/>
          </w:tcPr>
          <w:p w14:paraId="2CF3E441" w14:textId="1D29AAD6" w:rsidR="002A5407" w:rsidRPr="00D91B35" w:rsidRDefault="00387006" w:rsidP="002A5407">
            <w:pPr>
              <w:rPr>
                <w:rFonts w:ascii="Times New Roman" w:hAnsi="Times New Roman" w:cs="Times New Roman"/>
                <w:sz w:val="16"/>
                <w:szCs w:val="16"/>
              </w:rPr>
            </w:pPr>
            <w:r>
              <w:rPr>
                <w:rFonts w:ascii="Times New Roman" w:hAnsi="Times New Roman"/>
                <w:sz w:val="16"/>
              </w:rPr>
              <w:t>6</w:t>
            </w:r>
          </w:p>
        </w:tc>
        <w:tc>
          <w:tcPr>
            <w:tcW w:w="609" w:type="pct"/>
            <w:shd w:val="clear" w:color="auto" w:fill="FFFFFF" w:themeFill="background1"/>
          </w:tcPr>
          <w:p w14:paraId="238864C9"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428F3E53" w14:textId="4950DB93" w:rsidR="002A5407" w:rsidRPr="00D91B35" w:rsidRDefault="00387006" w:rsidP="002A5407">
            <w:pPr>
              <w:rPr>
                <w:rFonts w:ascii="Times New Roman" w:hAnsi="Times New Roman" w:cs="Times New Roman"/>
                <w:sz w:val="16"/>
                <w:szCs w:val="16"/>
              </w:rPr>
            </w:pPr>
            <w:r>
              <w:rPr>
                <w:rFonts w:ascii="Times New Roman" w:hAnsi="Times New Roman"/>
                <w:sz w:val="16"/>
              </w:rPr>
              <w:t>991,0</w:t>
            </w:r>
          </w:p>
        </w:tc>
        <w:tc>
          <w:tcPr>
            <w:tcW w:w="251" w:type="pct"/>
            <w:shd w:val="clear" w:color="auto" w:fill="FFFFFF" w:themeFill="background1"/>
          </w:tcPr>
          <w:p w14:paraId="0C56BEB0"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76DE12D1" w14:textId="0324A5D4" w:rsidR="002A5407" w:rsidRPr="00D91B35" w:rsidRDefault="00387006" w:rsidP="002A5407">
            <w:pPr>
              <w:rPr>
                <w:rFonts w:ascii="Times New Roman" w:hAnsi="Times New Roman" w:cs="Times New Roman"/>
                <w:sz w:val="16"/>
                <w:szCs w:val="16"/>
              </w:rPr>
            </w:pPr>
            <w:r>
              <w:rPr>
                <w:rFonts w:ascii="Times New Roman" w:hAnsi="Times New Roman"/>
                <w:sz w:val="16"/>
              </w:rPr>
              <w:t>1 172,0</w:t>
            </w:r>
          </w:p>
        </w:tc>
        <w:tc>
          <w:tcPr>
            <w:tcW w:w="237" w:type="pct"/>
            <w:shd w:val="clear" w:color="auto" w:fill="FFFFFF" w:themeFill="background1"/>
          </w:tcPr>
          <w:p w14:paraId="4084D490"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42DB5CDF"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7486B891" w14:textId="77777777" w:rsidR="002A5407" w:rsidRPr="00D91B35" w:rsidRDefault="002A5407" w:rsidP="002A5407">
            <w:pPr>
              <w:rPr>
                <w:rFonts w:ascii="Times New Roman" w:hAnsi="Times New Roman" w:cs="Times New Roman"/>
                <w:sz w:val="16"/>
                <w:szCs w:val="16"/>
              </w:rPr>
            </w:pPr>
          </w:p>
        </w:tc>
      </w:tr>
      <w:tr w:rsidR="00387006" w:rsidRPr="00D91B35" w14:paraId="17C54DDF" w14:textId="77777777" w:rsidTr="008A656B">
        <w:tc>
          <w:tcPr>
            <w:tcW w:w="374" w:type="pct"/>
          </w:tcPr>
          <w:p w14:paraId="510115E1" w14:textId="77777777" w:rsidR="002A5407" w:rsidRPr="00D91B35" w:rsidRDefault="002A5407" w:rsidP="002A5407">
            <w:pPr>
              <w:rPr>
                <w:rFonts w:ascii="Times New Roman" w:hAnsi="Times New Roman" w:cs="Times New Roman"/>
                <w:b/>
                <w:bCs/>
                <w:sz w:val="16"/>
                <w:szCs w:val="16"/>
              </w:rPr>
            </w:pPr>
          </w:p>
        </w:tc>
        <w:tc>
          <w:tcPr>
            <w:tcW w:w="231" w:type="pct"/>
          </w:tcPr>
          <w:p w14:paraId="31B13E7E" w14:textId="77777777" w:rsidR="002A5407" w:rsidRPr="00D91B35" w:rsidRDefault="002A5407" w:rsidP="002A5407">
            <w:pPr>
              <w:rPr>
                <w:rFonts w:ascii="Times New Roman" w:hAnsi="Times New Roman" w:cs="Times New Roman"/>
                <w:b/>
                <w:bCs/>
                <w:sz w:val="16"/>
                <w:szCs w:val="16"/>
              </w:rPr>
            </w:pPr>
          </w:p>
        </w:tc>
        <w:tc>
          <w:tcPr>
            <w:tcW w:w="358" w:type="pct"/>
          </w:tcPr>
          <w:p w14:paraId="77B734DF" w14:textId="2009827F" w:rsidR="002A5407" w:rsidRPr="00D91B35" w:rsidRDefault="00387006" w:rsidP="002A5407">
            <w:pPr>
              <w:rPr>
                <w:rFonts w:ascii="Times New Roman" w:hAnsi="Times New Roman" w:cs="Times New Roman"/>
                <w:b/>
                <w:bCs/>
                <w:sz w:val="16"/>
                <w:szCs w:val="16"/>
              </w:rPr>
            </w:pPr>
            <w:r>
              <w:rPr>
                <w:rFonts w:ascii="Times New Roman" w:hAnsi="Times New Roman"/>
                <w:b/>
                <w:sz w:val="16"/>
              </w:rPr>
              <w:t>Nīderlande</w:t>
            </w:r>
          </w:p>
        </w:tc>
        <w:tc>
          <w:tcPr>
            <w:tcW w:w="359" w:type="pct"/>
          </w:tcPr>
          <w:p w14:paraId="4A744BB1" w14:textId="0531C2F6" w:rsidR="002A5407" w:rsidRPr="00D91B35" w:rsidRDefault="00387006" w:rsidP="00387006">
            <w:pPr>
              <w:pStyle w:val="Default"/>
              <w:rPr>
                <w:sz w:val="16"/>
                <w:szCs w:val="16"/>
              </w:rPr>
            </w:pPr>
            <w:r>
              <w:rPr>
                <w:sz w:val="16"/>
              </w:rPr>
              <w:t>(van Rossum et al., 2011)</w:t>
            </w:r>
          </w:p>
        </w:tc>
        <w:tc>
          <w:tcPr>
            <w:tcW w:w="839" w:type="pct"/>
          </w:tcPr>
          <w:p w14:paraId="6A88A8BA" w14:textId="674103B8" w:rsidR="002A5407" w:rsidRPr="00D91B35" w:rsidRDefault="00387006" w:rsidP="00387006">
            <w:pPr>
              <w:pStyle w:val="Default"/>
              <w:rPr>
                <w:sz w:val="16"/>
                <w:szCs w:val="16"/>
              </w:rPr>
            </w:pPr>
            <w:r>
              <w:rPr>
                <w:sz w:val="16"/>
              </w:rPr>
              <w:t>Divas nesecīgas  24 stundu atcerēšanās anketas</w:t>
            </w:r>
          </w:p>
        </w:tc>
        <w:tc>
          <w:tcPr>
            <w:tcW w:w="196" w:type="pct"/>
            <w:shd w:val="clear" w:color="auto" w:fill="FFFFFF" w:themeFill="background1"/>
          </w:tcPr>
          <w:p w14:paraId="17BDE933" w14:textId="4E086582" w:rsidR="002A5407" w:rsidRPr="00D91B35" w:rsidRDefault="002A5407" w:rsidP="002A5407">
            <w:pPr>
              <w:rPr>
                <w:rFonts w:ascii="Times New Roman" w:hAnsi="Times New Roman" w:cs="Times New Roman"/>
                <w:sz w:val="16"/>
                <w:szCs w:val="16"/>
              </w:rPr>
            </w:pPr>
            <w:r>
              <w:rPr>
                <w:rFonts w:ascii="Times New Roman" w:hAnsi="Times New Roman"/>
                <w:sz w:val="16"/>
              </w:rPr>
              <w:t>151</w:t>
            </w:r>
          </w:p>
        </w:tc>
        <w:tc>
          <w:tcPr>
            <w:tcW w:w="122" w:type="pct"/>
            <w:shd w:val="clear" w:color="auto" w:fill="FFFFFF" w:themeFill="background1"/>
          </w:tcPr>
          <w:p w14:paraId="6BA80624" w14:textId="77777777" w:rsidR="002A5407" w:rsidRPr="00D91B35" w:rsidRDefault="002A5407" w:rsidP="002A5407">
            <w:pPr>
              <w:rPr>
                <w:rFonts w:ascii="Times New Roman" w:hAnsi="Times New Roman" w:cs="Times New Roman"/>
                <w:sz w:val="16"/>
                <w:szCs w:val="16"/>
              </w:rPr>
            </w:pPr>
          </w:p>
        </w:tc>
        <w:tc>
          <w:tcPr>
            <w:tcW w:w="183" w:type="pct"/>
            <w:shd w:val="clear" w:color="auto" w:fill="FFFFFF" w:themeFill="background1"/>
          </w:tcPr>
          <w:p w14:paraId="28009142" w14:textId="4A42717E" w:rsidR="002A5407" w:rsidRPr="00D91B35" w:rsidRDefault="00387006" w:rsidP="002A5407">
            <w:pPr>
              <w:rPr>
                <w:rFonts w:ascii="Times New Roman" w:hAnsi="Times New Roman" w:cs="Times New Roman"/>
                <w:sz w:val="16"/>
                <w:szCs w:val="16"/>
              </w:rPr>
            </w:pPr>
            <w:r>
              <w:rPr>
                <w:rFonts w:ascii="Times New Roman" w:hAnsi="Times New Roman"/>
                <w:sz w:val="16"/>
              </w:rPr>
              <w:t>7</w:t>
            </w:r>
          </w:p>
        </w:tc>
        <w:tc>
          <w:tcPr>
            <w:tcW w:w="105" w:type="pct"/>
            <w:shd w:val="clear" w:color="auto" w:fill="FFFFFF" w:themeFill="background1"/>
          </w:tcPr>
          <w:p w14:paraId="38D16652" w14:textId="77777777" w:rsidR="002A5407" w:rsidRPr="00D91B35" w:rsidRDefault="002A5407" w:rsidP="002A5407">
            <w:pPr>
              <w:rPr>
                <w:rFonts w:ascii="Times New Roman" w:hAnsi="Times New Roman" w:cs="Times New Roman"/>
                <w:sz w:val="16"/>
                <w:szCs w:val="16"/>
              </w:rPr>
            </w:pPr>
          </w:p>
        </w:tc>
        <w:tc>
          <w:tcPr>
            <w:tcW w:w="186" w:type="pct"/>
            <w:shd w:val="clear" w:color="auto" w:fill="FFFFFF" w:themeFill="background1"/>
          </w:tcPr>
          <w:p w14:paraId="544F2D5B" w14:textId="628B8EEF" w:rsidR="002A5407" w:rsidRPr="00D91B35" w:rsidRDefault="00387006" w:rsidP="002A5407">
            <w:pPr>
              <w:rPr>
                <w:rFonts w:ascii="Times New Roman" w:hAnsi="Times New Roman" w:cs="Times New Roman"/>
                <w:sz w:val="16"/>
                <w:szCs w:val="16"/>
              </w:rPr>
            </w:pPr>
            <w:r>
              <w:rPr>
                <w:rFonts w:ascii="Times New Roman" w:hAnsi="Times New Roman"/>
                <w:sz w:val="16"/>
              </w:rPr>
              <w:t>8</w:t>
            </w:r>
          </w:p>
        </w:tc>
        <w:tc>
          <w:tcPr>
            <w:tcW w:w="609" w:type="pct"/>
            <w:shd w:val="clear" w:color="auto" w:fill="FFFFFF" w:themeFill="background1"/>
          </w:tcPr>
          <w:p w14:paraId="7C8BE687"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1E17CD85" w14:textId="77777777" w:rsidR="002A5407" w:rsidRPr="00D91B35" w:rsidRDefault="002A5407" w:rsidP="002A5407">
            <w:pPr>
              <w:rPr>
                <w:rFonts w:ascii="Times New Roman" w:hAnsi="Times New Roman" w:cs="Times New Roman"/>
                <w:sz w:val="16"/>
                <w:szCs w:val="16"/>
              </w:rPr>
            </w:pPr>
          </w:p>
        </w:tc>
        <w:tc>
          <w:tcPr>
            <w:tcW w:w="251" w:type="pct"/>
            <w:shd w:val="clear" w:color="auto" w:fill="FFFFFF" w:themeFill="background1"/>
          </w:tcPr>
          <w:p w14:paraId="12342031" w14:textId="058C1FE5" w:rsidR="002A5407" w:rsidRPr="00D91B35" w:rsidRDefault="00387006" w:rsidP="002A5407">
            <w:pPr>
              <w:rPr>
                <w:rFonts w:ascii="Times New Roman" w:hAnsi="Times New Roman" w:cs="Times New Roman"/>
                <w:sz w:val="16"/>
                <w:szCs w:val="16"/>
              </w:rPr>
            </w:pPr>
            <w:r>
              <w:rPr>
                <w:rFonts w:ascii="Times New Roman" w:hAnsi="Times New Roman"/>
                <w:sz w:val="16"/>
              </w:rPr>
              <w:t>852,0</w:t>
            </w:r>
          </w:p>
        </w:tc>
        <w:tc>
          <w:tcPr>
            <w:tcW w:w="237" w:type="pct"/>
            <w:shd w:val="clear" w:color="auto" w:fill="FFFFFF" w:themeFill="background1"/>
          </w:tcPr>
          <w:p w14:paraId="74C3A61B"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4FAED0EC"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10C83D64" w14:textId="241FEE3B" w:rsidR="002A5407" w:rsidRPr="00D91B35" w:rsidRDefault="00387006" w:rsidP="002A5407">
            <w:pPr>
              <w:rPr>
                <w:rFonts w:ascii="Times New Roman" w:hAnsi="Times New Roman" w:cs="Times New Roman"/>
                <w:sz w:val="16"/>
                <w:szCs w:val="16"/>
              </w:rPr>
            </w:pPr>
            <w:r>
              <w:rPr>
                <w:rFonts w:ascii="Times New Roman" w:hAnsi="Times New Roman"/>
                <w:sz w:val="16"/>
              </w:rPr>
              <w:t>1 408,0</w:t>
            </w:r>
          </w:p>
        </w:tc>
        <w:tc>
          <w:tcPr>
            <w:tcW w:w="237" w:type="pct"/>
            <w:shd w:val="clear" w:color="auto" w:fill="FFFFFF" w:themeFill="background1"/>
          </w:tcPr>
          <w:p w14:paraId="6CE7E83D" w14:textId="77777777" w:rsidR="002A5407" w:rsidRPr="00D91B35" w:rsidRDefault="002A5407" w:rsidP="002A5407">
            <w:pPr>
              <w:rPr>
                <w:rFonts w:ascii="Times New Roman" w:hAnsi="Times New Roman" w:cs="Times New Roman"/>
                <w:sz w:val="16"/>
                <w:szCs w:val="16"/>
              </w:rPr>
            </w:pPr>
          </w:p>
        </w:tc>
      </w:tr>
      <w:tr w:rsidR="00387006" w:rsidRPr="00D91B35" w14:paraId="37CA1D62" w14:textId="77777777" w:rsidTr="008A656B">
        <w:tc>
          <w:tcPr>
            <w:tcW w:w="374" w:type="pct"/>
            <w:tcBorders>
              <w:bottom w:val="single" w:sz="4" w:space="0" w:color="auto"/>
            </w:tcBorders>
          </w:tcPr>
          <w:p w14:paraId="57E49F8A" w14:textId="77777777" w:rsidR="002A5407" w:rsidRPr="00D91B35" w:rsidRDefault="002A5407" w:rsidP="002A5407">
            <w:pPr>
              <w:rPr>
                <w:rFonts w:ascii="Times New Roman" w:hAnsi="Times New Roman" w:cs="Times New Roman"/>
                <w:b/>
                <w:bCs/>
                <w:sz w:val="16"/>
                <w:szCs w:val="16"/>
              </w:rPr>
            </w:pPr>
          </w:p>
        </w:tc>
        <w:tc>
          <w:tcPr>
            <w:tcW w:w="231" w:type="pct"/>
            <w:tcBorders>
              <w:bottom w:val="single" w:sz="4" w:space="0" w:color="auto"/>
            </w:tcBorders>
          </w:tcPr>
          <w:p w14:paraId="78C95D1B" w14:textId="77777777" w:rsidR="002A5407" w:rsidRPr="00D91B35" w:rsidRDefault="002A5407" w:rsidP="002A5407">
            <w:pPr>
              <w:rPr>
                <w:rFonts w:ascii="Times New Roman" w:hAnsi="Times New Roman" w:cs="Times New Roman"/>
                <w:b/>
                <w:bCs/>
                <w:sz w:val="16"/>
                <w:szCs w:val="16"/>
              </w:rPr>
            </w:pPr>
          </w:p>
        </w:tc>
        <w:tc>
          <w:tcPr>
            <w:tcW w:w="358" w:type="pct"/>
            <w:tcBorders>
              <w:bottom w:val="single" w:sz="4" w:space="0" w:color="auto"/>
            </w:tcBorders>
          </w:tcPr>
          <w:p w14:paraId="6005BBD5" w14:textId="77777777" w:rsidR="002A5407" w:rsidRPr="00D91B35" w:rsidRDefault="002A5407" w:rsidP="002A5407">
            <w:pPr>
              <w:rPr>
                <w:rFonts w:ascii="Times New Roman" w:hAnsi="Times New Roman" w:cs="Times New Roman"/>
                <w:b/>
                <w:bCs/>
                <w:sz w:val="16"/>
                <w:szCs w:val="16"/>
              </w:rPr>
            </w:pPr>
          </w:p>
        </w:tc>
        <w:tc>
          <w:tcPr>
            <w:tcW w:w="359" w:type="pct"/>
            <w:tcBorders>
              <w:bottom w:val="single" w:sz="4" w:space="0" w:color="auto"/>
            </w:tcBorders>
          </w:tcPr>
          <w:p w14:paraId="5703D14A" w14:textId="77777777" w:rsidR="002A5407" w:rsidRPr="00D91B35" w:rsidRDefault="002A5407" w:rsidP="002A5407">
            <w:pPr>
              <w:rPr>
                <w:rFonts w:ascii="Times New Roman" w:hAnsi="Times New Roman" w:cs="Times New Roman"/>
                <w:sz w:val="16"/>
                <w:szCs w:val="16"/>
              </w:rPr>
            </w:pPr>
          </w:p>
        </w:tc>
        <w:tc>
          <w:tcPr>
            <w:tcW w:w="839" w:type="pct"/>
            <w:tcBorders>
              <w:bottom w:val="single" w:sz="4" w:space="0" w:color="auto"/>
            </w:tcBorders>
          </w:tcPr>
          <w:p w14:paraId="4880E7D6" w14:textId="77777777" w:rsidR="002A5407" w:rsidRPr="00D91B35" w:rsidRDefault="002A5407" w:rsidP="002A5407">
            <w:pPr>
              <w:rPr>
                <w:rFonts w:ascii="Times New Roman" w:hAnsi="Times New Roman" w:cs="Times New Roman"/>
                <w:sz w:val="16"/>
                <w:szCs w:val="16"/>
              </w:rPr>
            </w:pPr>
          </w:p>
        </w:tc>
        <w:tc>
          <w:tcPr>
            <w:tcW w:w="196" w:type="pct"/>
            <w:tcBorders>
              <w:bottom w:val="single" w:sz="4" w:space="0" w:color="auto"/>
            </w:tcBorders>
            <w:shd w:val="clear" w:color="auto" w:fill="FFFFFF" w:themeFill="background1"/>
          </w:tcPr>
          <w:p w14:paraId="144AE26C" w14:textId="1462DF1A" w:rsidR="002A5407" w:rsidRPr="00D91B35" w:rsidRDefault="002A5407" w:rsidP="002A5407">
            <w:pPr>
              <w:rPr>
                <w:rFonts w:ascii="Times New Roman" w:hAnsi="Times New Roman" w:cs="Times New Roman"/>
                <w:sz w:val="16"/>
                <w:szCs w:val="16"/>
              </w:rPr>
            </w:pPr>
            <w:r>
              <w:rPr>
                <w:rFonts w:ascii="Times New Roman" w:hAnsi="Times New Roman"/>
                <w:sz w:val="16"/>
              </w:rPr>
              <w:t>352</w:t>
            </w:r>
          </w:p>
        </w:tc>
        <w:tc>
          <w:tcPr>
            <w:tcW w:w="122" w:type="pct"/>
            <w:tcBorders>
              <w:bottom w:val="single" w:sz="4" w:space="0" w:color="auto"/>
            </w:tcBorders>
            <w:shd w:val="clear" w:color="auto" w:fill="FFFFFF" w:themeFill="background1"/>
          </w:tcPr>
          <w:p w14:paraId="17DD0F5F" w14:textId="77777777" w:rsidR="002A5407" w:rsidRPr="00D91B35" w:rsidRDefault="002A5407" w:rsidP="002A5407">
            <w:pPr>
              <w:rPr>
                <w:rFonts w:ascii="Times New Roman" w:hAnsi="Times New Roman" w:cs="Times New Roman"/>
                <w:sz w:val="16"/>
                <w:szCs w:val="16"/>
              </w:rPr>
            </w:pPr>
          </w:p>
        </w:tc>
        <w:tc>
          <w:tcPr>
            <w:tcW w:w="183" w:type="pct"/>
            <w:tcBorders>
              <w:bottom w:val="single" w:sz="4" w:space="0" w:color="auto"/>
            </w:tcBorders>
            <w:shd w:val="clear" w:color="auto" w:fill="FFFFFF" w:themeFill="background1"/>
          </w:tcPr>
          <w:p w14:paraId="16A36397" w14:textId="7208C503" w:rsidR="002A5407" w:rsidRPr="00D91B35" w:rsidRDefault="00387006" w:rsidP="002A5407">
            <w:pPr>
              <w:rPr>
                <w:rFonts w:ascii="Times New Roman" w:hAnsi="Times New Roman" w:cs="Times New Roman"/>
                <w:sz w:val="16"/>
                <w:szCs w:val="16"/>
              </w:rPr>
            </w:pPr>
            <w:r>
              <w:rPr>
                <w:rFonts w:ascii="Times New Roman" w:hAnsi="Times New Roman"/>
                <w:sz w:val="16"/>
              </w:rPr>
              <w:t>9</w:t>
            </w:r>
          </w:p>
        </w:tc>
        <w:tc>
          <w:tcPr>
            <w:tcW w:w="105" w:type="pct"/>
            <w:tcBorders>
              <w:bottom w:val="single" w:sz="4" w:space="0" w:color="auto"/>
            </w:tcBorders>
            <w:shd w:val="clear" w:color="auto" w:fill="FFFFFF" w:themeFill="background1"/>
          </w:tcPr>
          <w:p w14:paraId="1530548D" w14:textId="77777777" w:rsidR="002A5407" w:rsidRPr="00D91B35" w:rsidRDefault="002A5407" w:rsidP="002A5407">
            <w:pPr>
              <w:rPr>
                <w:rFonts w:ascii="Times New Roman" w:hAnsi="Times New Roman" w:cs="Times New Roman"/>
                <w:sz w:val="16"/>
                <w:szCs w:val="16"/>
              </w:rPr>
            </w:pPr>
          </w:p>
        </w:tc>
        <w:tc>
          <w:tcPr>
            <w:tcW w:w="186" w:type="pct"/>
            <w:tcBorders>
              <w:bottom w:val="single" w:sz="4" w:space="0" w:color="auto"/>
            </w:tcBorders>
            <w:shd w:val="clear" w:color="auto" w:fill="FFFFFF" w:themeFill="background1"/>
          </w:tcPr>
          <w:p w14:paraId="7A285DA4" w14:textId="1152AA96" w:rsidR="002A5407" w:rsidRPr="00D91B35" w:rsidRDefault="00387006" w:rsidP="002A5407">
            <w:pPr>
              <w:rPr>
                <w:rFonts w:ascii="Times New Roman" w:hAnsi="Times New Roman" w:cs="Times New Roman"/>
                <w:sz w:val="16"/>
                <w:szCs w:val="16"/>
              </w:rPr>
            </w:pPr>
            <w:r>
              <w:rPr>
                <w:rFonts w:ascii="Times New Roman" w:hAnsi="Times New Roman"/>
                <w:sz w:val="16"/>
              </w:rPr>
              <w:t>13</w:t>
            </w:r>
          </w:p>
        </w:tc>
        <w:tc>
          <w:tcPr>
            <w:tcW w:w="609" w:type="pct"/>
            <w:tcBorders>
              <w:bottom w:val="single" w:sz="4" w:space="0" w:color="auto"/>
            </w:tcBorders>
            <w:shd w:val="clear" w:color="auto" w:fill="FFFFFF" w:themeFill="background1"/>
          </w:tcPr>
          <w:p w14:paraId="799D5429" w14:textId="77777777" w:rsidR="002A5407" w:rsidRPr="00D91B35" w:rsidRDefault="002A5407" w:rsidP="002A5407">
            <w:pPr>
              <w:rPr>
                <w:rFonts w:ascii="Times New Roman" w:hAnsi="Times New Roman" w:cs="Times New Roman"/>
                <w:sz w:val="16"/>
                <w:szCs w:val="16"/>
              </w:rPr>
            </w:pPr>
          </w:p>
        </w:tc>
        <w:tc>
          <w:tcPr>
            <w:tcW w:w="237" w:type="pct"/>
            <w:tcBorders>
              <w:bottom w:val="single" w:sz="4" w:space="0" w:color="auto"/>
            </w:tcBorders>
            <w:shd w:val="clear" w:color="auto" w:fill="FFFFFF" w:themeFill="background1"/>
          </w:tcPr>
          <w:p w14:paraId="23B2A534" w14:textId="77777777" w:rsidR="002A5407" w:rsidRPr="00D91B35" w:rsidRDefault="002A5407" w:rsidP="002A5407">
            <w:pPr>
              <w:rPr>
                <w:rFonts w:ascii="Times New Roman" w:hAnsi="Times New Roman" w:cs="Times New Roman"/>
                <w:sz w:val="16"/>
                <w:szCs w:val="16"/>
              </w:rPr>
            </w:pPr>
          </w:p>
        </w:tc>
        <w:tc>
          <w:tcPr>
            <w:tcW w:w="251" w:type="pct"/>
            <w:tcBorders>
              <w:bottom w:val="single" w:sz="4" w:space="0" w:color="auto"/>
            </w:tcBorders>
            <w:shd w:val="clear" w:color="auto" w:fill="FFFFFF" w:themeFill="background1"/>
          </w:tcPr>
          <w:p w14:paraId="17787C8E" w14:textId="76161F38" w:rsidR="002A5407" w:rsidRPr="00D91B35" w:rsidRDefault="00387006" w:rsidP="002A5407">
            <w:pPr>
              <w:rPr>
                <w:rFonts w:ascii="Times New Roman" w:hAnsi="Times New Roman" w:cs="Times New Roman"/>
                <w:sz w:val="16"/>
                <w:szCs w:val="16"/>
              </w:rPr>
            </w:pPr>
            <w:r>
              <w:rPr>
                <w:rFonts w:ascii="Times New Roman" w:hAnsi="Times New Roman"/>
                <w:sz w:val="16"/>
              </w:rPr>
              <w:t>856,0</w:t>
            </w:r>
          </w:p>
        </w:tc>
        <w:tc>
          <w:tcPr>
            <w:tcW w:w="237" w:type="pct"/>
            <w:tcBorders>
              <w:bottom w:val="single" w:sz="4" w:space="0" w:color="auto"/>
            </w:tcBorders>
            <w:shd w:val="clear" w:color="auto" w:fill="FFFFFF" w:themeFill="background1"/>
          </w:tcPr>
          <w:p w14:paraId="044F2410" w14:textId="77777777" w:rsidR="002A5407" w:rsidRPr="00D91B35" w:rsidRDefault="002A5407" w:rsidP="002A5407">
            <w:pPr>
              <w:rPr>
                <w:rFonts w:ascii="Times New Roman" w:hAnsi="Times New Roman" w:cs="Times New Roman"/>
                <w:sz w:val="16"/>
                <w:szCs w:val="16"/>
              </w:rPr>
            </w:pPr>
          </w:p>
        </w:tc>
        <w:tc>
          <w:tcPr>
            <w:tcW w:w="237" w:type="pct"/>
            <w:tcBorders>
              <w:bottom w:val="single" w:sz="4" w:space="0" w:color="auto"/>
            </w:tcBorders>
            <w:shd w:val="clear" w:color="auto" w:fill="FFFFFF" w:themeFill="background1"/>
          </w:tcPr>
          <w:p w14:paraId="4D4667EC" w14:textId="77777777" w:rsidR="002A5407" w:rsidRPr="00D91B35" w:rsidRDefault="002A5407" w:rsidP="002A5407">
            <w:pPr>
              <w:rPr>
                <w:rFonts w:ascii="Times New Roman" w:hAnsi="Times New Roman" w:cs="Times New Roman"/>
                <w:sz w:val="16"/>
                <w:szCs w:val="16"/>
              </w:rPr>
            </w:pPr>
          </w:p>
        </w:tc>
        <w:tc>
          <w:tcPr>
            <w:tcW w:w="237" w:type="pct"/>
            <w:tcBorders>
              <w:bottom w:val="single" w:sz="4" w:space="0" w:color="auto"/>
            </w:tcBorders>
            <w:shd w:val="clear" w:color="auto" w:fill="FFFFFF" w:themeFill="background1"/>
          </w:tcPr>
          <w:p w14:paraId="6B27306F" w14:textId="4E1267E0" w:rsidR="002A5407" w:rsidRPr="00D91B35" w:rsidRDefault="00387006" w:rsidP="002A5407">
            <w:pPr>
              <w:rPr>
                <w:rFonts w:ascii="Times New Roman" w:hAnsi="Times New Roman" w:cs="Times New Roman"/>
                <w:sz w:val="16"/>
                <w:szCs w:val="16"/>
              </w:rPr>
            </w:pPr>
            <w:r>
              <w:rPr>
                <w:rFonts w:ascii="Times New Roman" w:hAnsi="Times New Roman"/>
                <w:sz w:val="16"/>
              </w:rPr>
              <w:t>1 418,0</w:t>
            </w:r>
          </w:p>
        </w:tc>
        <w:tc>
          <w:tcPr>
            <w:tcW w:w="237" w:type="pct"/>
            <w:tcBorders>
              <w:bottom w:val="single" w:sz="4" w:space="0" w:color="auto"/>
            </w:tcBorders>
            <w:shd w:val="clear" w:color="auto" w:fill="FFFFFF" w:themeFill="background1"/>
          </w:tcPr>
          <w:p w14:paraId="5979FC1F" w14:textId="77777777" w:rsidR="002A5407" w:rsidRPr="00D91B35" w:rsidRDefault="002A5407" w:rsidP="002A5407">
            <w:pPr>
              <w:rPr>
                <w:rFonts w:ascii="Times New Roman" w:hAnsi="Times New Roman" w:cs="Times New Roman"/>
                <w:sz w:val="16"/>
                <w:szCs w:val="16"/>
              </w:rPr>
            </w:pPr>
          </w:p>
        </w:tc>
      </w:tr>
      <w:tr w:rsidR="00387006" w:rsidRPr="00D91B35" w14:paraId="420E3919" w14:textId="77777777" w:rsidTr="008A656B">
        <w:tc>
          <w:tcPr>
            <w:tcW w:w="374" w:type="pct"/>
            <w:tcBorders>
              <w:top w:val="single" w:sz="4" w:space="0" w:color="auto"/>
            </w:tcBorders>
          </w:tcPr>
          <w:p w14:paraId="5FD6168F" w14:textId="3B8C77BE" w:rsidR="002A5407" w:rsidRPr="00D91B35" w:rsidRDefault="00387006" w:rsidP="002A5407">
            <w:pPr>
              <w:rPr>
                <w:rFonts w:ascii="Times New Roman" w:hAnsi="Times New Roman" w:cs="Times New Roman"/>
                <w:b/>
                <w:bCs/>
                <w:sz w:val="16"/>
                <w:szCs w:val="16"/>
              </w:rPr>
            </w:pPr>
            <w:r>
              <w:rPr>
                <w:rFonts w:ascii="Times New Roman" w:hAnsi="Times New Roman"/>
                <w:b/>
                <w:sz w:val="16"/>
              </w:rPr>
              <w:t>Pārtika un uztura bagātinātāji</w:t>
            </w:r>
          </w:p>
        </w:tc>
        <w:tc>
          <w:tcPr>
            <w:tcW w:w="231" w:type="pct"/>
            <w:tcBorders>
              <w:top w:val="single" w:sz="4" w:space="0" w:color="auto"/>
            </w:tcBorders>
          </w:tcPr>
          <w:p w14:paraId="332C639C" w14:textId="791F6851" w:rsidR="002A5407" w:rsidRPr="00D91B35" w:rsidRDefault="00387006" w:rsidP="002A5407">
            <w:pPr>
              <w:rPr>
                <w:rFonts w:ascii="Times New Roman" w:hAnsi="Times New Roman" w:cs="Times New Roman"/>
                <w:b/>
                <w:bCs/>
                <w:sz w:val="16"/>
                <w:szCs w:val="16"/>
              </w:rPr>
            </w:pPr>
            <w:r>
              <w:rPr>
                <w:rFonts w:ascii="Times New Roman" w:hAnsi="Times New Roman"/>
                <w:b/>
                <w:sz w:val="16"/>
              </w:rPr>
              <w:t>Zēni</w:t>
            </w:r>
          </w:p>
        </w:tc>
        <w:tc>
          <w:tcPr>
            <w:tcW w:w="358" w:type="pct"/>
            <w:tcBorders>
              <w:top w:val="single" w:sz="4" w:space="0" w:color="auto"/>
            </w:tcBorders>
          </w:tcPr>
          <w:p w14:paraId="48F63495" w14:textId="1007DEC5" w:rsidR="002A5407" w:rsidRPr="00D91B35" w:rsidRDefault="00387006" w:rsidP="002A5407">
            <w:pPr>
              <w:rPr>
                <w:rFonts w:ascii="Times New Roman" w:hAnsi="Times New Roman" w:cs="Times New Roman"/>
                <w:b/>
                <w:bCs/>
                <w:sz w:val="16"/>
                <w:szCs w:val="16"/>
              </w:rPr>
            </w:pPr>
            <w:r>
              <w:rPr>
                <w:rFonts w:ascii="Times New Roman" w:hAnsi="Times New Roman"/>
                <w:b/>
                <w:sz w:val="16"/>
              </w:rPr>
              <w:t>Somija</w:t>
            </w:r>
          </w:p>
        </w:tc>
        <w:tc>
          <w:tcPr>
            <w:tcW w:w="359" w:type="pct"/>
            <w:tcBorders>
              <w:top w:val="single" w:sz="4" w:space="0" w:color="auto"/>
            </w:tcBorders>
          </w:tcPr>
          <w:p w14:paraId="284C1AF6" w14:textId="16A4A51B" w:rsidR="002A5407" w:rsidRPr="00D91B35" w:rsidRDefault="00387006" w:rsidP="00387006">
            <w:pPr>
              <w:pStyle w:val="Default"/>
              <w:rPr>
                <w:sz w:val="16"/>
                <w:szCs w:val="16"/>
              </w:rPr>
            </w:pPr>
            <w:r>
              <w:rPr>
                <w:sz w:val="16"/>
              </w:rPr>
              <w:t>(Kyttälä et al., 2008; 2010)</w:t>
            </w:r>
          </w:p>
        </w:tc>
        <w:tc>
          <w:tcPr>
            <w:tcW w:w="839" w:type="pct"/>
            <w:tcBorders>
              <w:top w:val="single" w:sz="4" w:space="0" w:color="auto"/>
            </w:tcBorders>
          </w:tcPr>
          <w:p w14:paraId="0AB31940" w14:textId="018D0623" w:rsidR="002A5407" w:rsidRPr="00D91B35" w:rsidRDefault="00387006" w:rsidP="002A5407">
            <w:pPr>
              <w:rPr>
                <w:rFonts w:ascii="Times New Roman" w:hAnsi="Times New Roman" w:cs="Times New Roman"/>
                <w:sz w:val="16"/>
                <w:szCs w:val="16"/>
              </w:rPr>
            </w:pPr>
            <w:r>
              <w:rPr>
                <w:rFonts w:ascii="Times New Roman" w:hAnsi="Times New Roman"/>
                <w:sz w:val="16"/>
              </w:rPr>
              <w:t>3 dienu uztura pieraksts</w:t>
            </w:r>
          </w:p>
        </w:tc>
        <w:tc>
          <w:tcPr>
            <w:tcW w:w="196" w:type="pct"/>
            <w:tcBorders>
              <w:top w:val="single" w:sz="4" w:space="0" w:color="auto"/>
            </w:tcBorders>
            <w:shd w:val="clear" w:color="auto" w:fill="FFFFFF" w:themeFill="background1"/>
          </w:tcPr>
          <w:p w14:paraId="13DC637A" w14:textId="2CC09DD7" w:rsidR="002A5407" w:rsidRPr="00D91B35" w:rsidRDefault="002A5407" w:rsidP="002A5407">
            <w:pPr>
              <w:rPr>
                <w:rFonts w:ascii="Times New Roman" w:hAnsi="Times New Roman" w:cs="Times New Roman"/>
                <w:sz w:val="16"/>
                <w:szCs w:val="16"/>
              </w:rPr>
            </w:pPr>
            <w:r>
              <w:rPr>
                <w:rFonts w:ascii="Times New Roman" w:hAnsi="Times New Roman"/>
                <w:sz w:val="16"/>
              </w:rPr>
              <w:t>307</w:t>
            </w:r>
          </w:p>
        </w:tc>
        <w:tc>
          <w:tcPr>
            <w:tcW w:w="122" w:type="pct"/>
            <w:tcBorders>
              <w:top w:val="single" w:sz="4" w:space="0" w:color="auto"/>
            </w:tcBorders>
            <w:shd w:val="clear" w:color="auto" w:fill="FFFFFF" w:themeFill="background1"/>
          </w:tcPr>
          <w:p w14:paraId="08E0EDC8" w14:textId="77777777" w:rsidR="002A5407" w:rsidRPr="00D91B35" w:rsidRDefault="002A5407" w:rsidP="002A5407">
            <w:pPr>
              <w:rPr>
                <w:rFonts w:ascii="Times New Roman" w:hAnsi="Times New Roman" w:cs="Times New Roman"/>
                <w:sz w:val="16"/>
                <w:szCs w:val="16"/>
              </w:rPr>
            </w:pPr>
          </w:p>
        </w:tc>
        <w:tc>
          <w:tcPr>
            <w:tcW w:w="183" w:type="pct"/>
            <w:tcBorders>
              <w:top w:val="single" w:sz="4" w:space="0" w:color="auto"/>
            </w:tcBorders>
            <w:shd w:val="clear" w:color="auto" w:fill="FFFFFF" w:themeFill="background1"/>
          </w:tcPr>
          <w:p w14:paraId="380EB672" w14:textId="557B06EA" w:rsidR="002A5407" w:rsidRPr="00D91B35" w:rsidRDefault="00387006" w:rsidP="002A5407">
            <w:pPr>
              <w:rPr>
                <w:rFonts w:ascii="Times New Roman" w:hAnsi="Times New Roman" w:cs="Times New Roman"/>
                <w:sz w:val="16"/>
                <w:szCs w:val="16"/>
              </w:rPr>
            </w:pPr>
            <w:r>
              <w:rPr>
                <w:rFonts w:ascii="Times New Roman" w:hAnsi="Times New Roman"/>
                <w:sz w:val="16"/>
              </w:rPr>
              <w:t>4</w:t>
            </w:r>
          </w:p>
        </w:tc>
        <w:tc>
          <w:tcPr>
            <w:tcW w:w="105" w:type="pct"/>
            <w:tcBorders>
              <w:top w:val="single" w:sz="4" w:space="0" w:color="auto"/>
            </w:tcBorders>
            <w:shd w:val="clear" w:color="auto" w:fill="FFFFFF" w:themeFill="background1"/>
          </w:tcPr>
          <w:p w14:paraId="277A1460" w14:textId="77777777" w:rsidR="002A5407" w:rsidRPr="00D91B35" w:rsidRDefault="002A5407" w:rsidP="002A5407">
            <w:pPr>
              <w:rPr>
                <w:rFonts w:ascii="Times New Roman" w:hAnsi="Times New Roman" w:cs="Times New Roman"/>
                <w:sz w:val="16"/>
                <w:szCs w:val="16"/>
              </w:rPr>
            </w:pPr>
          </w:p>
        </w:tc>
        <w:tc>
          <w:tcPr>
            <w:tcW w:w="186" w:type="pct"/>
            <w:tcBorders>
              <w:top w:val="single" w:sz="4" w:space="0" w:color="auto"/>
            </w:tcBorders>
            <w:shd w:val="clear" w:color="auto" w:fill="FFFFFF" w:themeFill="background1"/>
          </w:tcPr>
          <w:p w14:paraId="116C5C01" w14:textId="2B66E495" w:rsidR="002A5407" w:rsidRPr="00D91B35" w:rsidRDefault="00387006" w:rsidP="002A5407">
            <w:pPr>
              <w:rPr>
                <w:rFonts w:ascii="Times New Roman" w:hAnsi="Times New Roman" w:cs="Times New Roman"/>
                <w:sz w:val="16"/>
                <w:szCs w:val="16"/>
              </w:rPr>
            </w:pPr>
            <w:r>
              <w:rPr>
                <w:rFonts w:ascii="Times New Roman" w:hAnsi="Times New Roman"/>
                <w:sz w:val="16"/>
              </w:rPr>
              <w:t>4</w:t>
            </w:r>
          </w:p>
        </w:tc>
        <w:tc>
          <w:tcPr>
            <w:tcW w:w="609" w:type="pct"/>
            <w:tcBorders>
              <w:top w:val="single" w:sz="4" w:space="0" w:color="auto"/>
            </w:tcBorders>
            <w:shd w:val="clear" w:color="auto" w:fill="FFFFFF" w:themeFill="background1"/>
          </w:tcPr>
          <w:p w14:paraId="05123D87" w14:textId="483B9CE9" w:rsidR="002A5407" w:rsidRPr="00D91B35" w:rsidRDefault="00387006" w:rsidP="00387006">
            <w:pPr>
              <w:pStyle w:val="Default"/>
              <w:rPr>
                <w:sz w:val="16"/>
                <w:szCs w:val="16"/>
              </w:rPr>
            </w:pPr>
            <w:r>
              <w:rPr>
                <w:sz w:val="16"/>
              </w:rPr>
              <w:t>Berni, kuriem ģenētiski ir 1. tipa diabēta risks</w:t>
            </w:r>
          </w:p>
        </w:tc>
        <w:tc>
          <w:tcPr>
            <w:tcW w:w="237" w:type="pct"/>
            <w:tcBorders>
              <w:top w:val="single" w:sz="4" w:space="0" w:color="auto"/>
            </w:tcBorders>
            <w:shd w:val="clear" w:color="auto" w:fill="FFFFFF" w:themeFill="background1"/>
          </w:tcPr>
          <w:p w14:paraId="27CF0922" w14:textId="18B37439" w:rsidR="002A5407" w:rsidRPr="00D91B35" w:rsidRDefault="00387006" w:rsidP="002A5407">
            <w:pPr>
              <w:rPr>
                <w:rFonts w:ascii="Times New Roman" w:hAnsi="Times New Roman" w:cs="Times New Roman"/>
                <w:sz w:val="16"/>
                <w:szCs w:val="16"/>
              </w:rPr>
            </w:pPr>
            <w:r>
              <w:rPr>
                <w:rFonts w:ascii="Times New Roman" w:hAnsi="Times New Roman"/>
                <w:sz w:val="16"/>
              </w:rPr>
              <w:t>983,0</w:t>
            </w:r>
          </w:p>
        </w:tc>
        <w:tc>
          <w:tcPr>
            <w:tcW w:w="251" w:type="pct"/>
            <w:tcBorders>
              <w:top w:val="single" w:sz="4" w:space="0" w:color="auto"/>
            </w:tcBorders>
            <w:shd w:val="clear" w:color="auto" w:fill="FFFFFF" w:themeFill="background1"/>
          </w:tcPr>
          <w:p w14:paraId="4C9E33D2" w14:textId="77777777" w:rsidR="002A5407" w:rsidRPr="00D91B35" w:rsidRDefault="002A5407" w:rsidP="002A5407">
            <w:pPr>
              <w:rPr>
                <w:rFonts w:ascii="Times New Roman" w:hAnsi="Times New Roman" w:cs="Times New Roman"/>
                <w:sz w:val="16"/>
                <w:szCs w:val="16"/>
              </w:rPr>
            </w:pPr>
          </w:p>
        </w:tc>
        <w:tc>
          <w:tcPr>
            <w:tcW w:w="237" w:type="pct"/>
            <w:tcBorders>
              <w:top w:val="single" w:sz="4" w:space="0" w:color="auto"/>
            </w:tcBorders>
            <w:shd w:val="clear" w:color="auto" w:fill="FFFFFF" w:themeFill="background1"/>
          </w:tcPr>
          <w:p w14:paraId="6C36CA4A" w14:textId="77777777" w:rsidR="002A5407" w:rsidRPr="00D91B35" w:rsidRDefault="002A5407" w:rsidP="002A5407">
            <w:pPr>
              <w:rPr>
                <w:rFonts w:ascii="Times New Roman" w:hAnsi="Times New Roman" w:cs="Times New Roman"/>
                <w:sz w:val="16"/>
                <w:szCs w:val="16"/>
              </w:rPr>
            </w:pPr>
          </w:p>
        </w:tc>
        <w:tc>
          <w:tcPr>
            <w:tcW w:w="237" w:type="pct"/>
            <w:tcBorders>
              <w:top w:val="single" w:sz="4" w:space="0" w:color="auto"/>
            </w:tcBorders>
            <w:shd w:val="clear" w:color="auto" w:fill="FFFFFF" w:themeFill="background1"/>
          </w:tcPr>
          <w:p w14:paraId="260571D7" w14:textId="77777777" w:rsidR="002A5407" w:rsidRPr="00D91B35" w:rsidRDefault="002A5407" w:rsidP="002A5407">
            <w:pPr>
              <w:rPr>
                <w:rFonts w:ascii="Times New Roman" w:hAnsi="Times New Roman" w:cs="Times New Roman"/>
                <w:sz w:val="16"/>
                <w:szCs w:val="16"/>
              </w:rPr>
            </w:pPr>
          </w:p>
        </w:tc>
        <w:tc>
          <w:tcPr>
            <w:tcW w:w="237" w:type="pct"/>
            <w:tcBorders>
              <w:top w:val="single" w:sz="4" w:space="0" w:color="auto"/>
            </w:tcBorders>
            <w:shd w:val="clear" w:color="auto" w:fill="FFFFFF" w:themeFill="background1"/>
          </w:tcPr>
          <w:p w14:paraId="0CFB7245" w14:textId="210DB5D5" w:rsidR="002A5407" w:rsidRPr="00D91B35" w:rsidRDefault="002A5407" w:rsidP="002A5407">
            <w:pPr>
              <w:rPr>
                <w:rFonts w:ascii="Times New Roman" w:hAnsi="Times New Roman" w:cs="Times New Roman"/>
                <w:sz w:val="16"/>
                <w:szCs w:val="16"/>
              </w:rPr>
            </w:pPr>
          </w:p>
        </w:tc>
        <w:tc>
          <w:tcPr>
            <w:tcW w:w="237" w:type="pct"/>
            <w:tcBorders>
              <w:top w:val="single" w:sz="4" w:space="0" w:color="auto"/>
            </w:tcBorders>
            <w:shd w:val="clear" w:color="auto" w:fill="FFFFFF" w:themeFill="background1"/>
          </w:tcPr>
          <w:p w14:paraId="255B7E6F" w14:textId="77777777" w:rsidR="002A5407" w:rsidRPr="00D91B35" w:rsidRDefault="002A5407" w:rsidP="002A5407">
            <w:pPr>
              <w:rPr>
                <w:rFonts w:ascii="Times New Roman" w:hAnsi="Times New Roman" w:cs="Times New Roman"/>
                <w:sz w:val="16"/>
                <w:szCs w:val="16"/>
              </w:rPr>
            </w:pPr>
          </w:p>
        </w:tc>
      </w:tr>
      <w:tr w:rsidR="00077C40" w:rsidRPr="00D91B35" w14:paraId="3B212606" w14:textId="77777777" w:rsidTr="008A656B">
        <w:tc>
          <w:tcPr>
            <w:tcW w:w="374" w:type="pct"/>
          </w:tcPr>
          <w:p w14:paraId="341D7B0F" w14:textId="77777777" w:rsidR="002A5407" w:rsidRPr="00D91B35" w:rsidRDefault="002A5407" w:rsidP="002A5407">
            <w:pPr>
              <w:rPr>
                <w:rFonts w:ascii="Times New Roman" w:hAnsi="Times New Roman" w:cs="Times New Roman"/>
                <w:b/>
                <w:bCs/>
                <w:sz w:val="16"/>
                <w:szCs w:val="16"/>
              </w:rPr>
            </w:pPr>
          </w:p>
        </w:tc>
        <w:tc>
          <w:tcPr>
            <w:tcW w:w="231" w:type="pct"/>
          </w:tcPr>
          <w:p w14:paraId="6A06C37E" w14:textId="77777777" w:rsidR="002A5407" w:rsidRPr="00D91B35" w:rsidRDefault="002A5407" w:rsidP="002A5407">
            <w:pPr>
              <w:rPr>
                <w:rFonts w:ascii="Times New Roman" w:hAnsi="Times New Roman" w:cs="Times New Roman"/>
                <w:b/>
                <w:bCs/>
                <w:sz w:val="16"/>
                <w:szCs w:val="16"/>
              </w:rPr>
            </w:pPr>
          </w:p>
        </w:tc>
        <w:tc>
          <w:tcPr>
            <w:tcW w:w="358" w:type="pct"/>
          </w:tcPr>
          <w:p w14:paraId="208698D5" w14:textId="77777777" w:rsidR="002A5407" w:rsidRPr="00D91B35" w:rsidRDefault="002A5407" w:rsidP="002A5407">
            <w:pPr>
              <w:rPr>
                <w:rFonts w:ascii="Times New Roman" w:hAnsi="Times New Roman" w:cs="Times New Roman"/>
                <w:b/>
                <w:bCs/>
                <w:sz w:val="16"/>
                <w:szCs w:val="16"/>
              </w:rPr>
            </w:pPr>
          </w:p>
        </w:tc>
        <w:tc>
          <w:tcPr>
            <w:tcW w:w="359" w:type="pct"/>
          </w:tcPr>
          <w:p w14:paraId="66A1F7F9" w14:textId="77777777" w:rsidR="002A5407" w:rsidRPr="00D91B35" w:rsidRDefault="002A5407" w:rsidP="002A5407">
            <w:pPr>
              <w:rPr>
                <w:rFonts w:ascii="Times New Roman" w:hAnsi="Times New Roman" w:cs="Times New Roman"/>
                <w:sz w:val="16"/>
                <w:szCs w:val="16"/>
              </w:rPr>
            </w:pPr>
          </w:p>
        </w:tc>
        <w:tc>
          <w:tcPr>
            <w:tcW w:w="839" w:type="pct"/>
          </w:tcPr>
          <w:p w14:paraId="6EB2E811" w14:textId="77777777" w:rsidR="002A5407" w:rsidRPr="00D91B35" w:rsidRDefault="002A5407" w:rsidP="002A5407">
            <w:pPr>
              <w:rPr>
                <w:rFonts w:ascii="Times New Roman" w:hAnsi="Times New Roman" w:cs="Times New Roman"/>
                <w:sz w:val="16"/>
                <w:szCs w:val="16"/>
              </w:rPr>
            </w:pPr>
          </w:p>
        </w:tc>
        <w:tc>
          <w:tcPr>
            <w:tcW w:w="196" w:type="pct"/>
            <w:shd w:val="clear" w:color="auto" w:fill="FFFFFF" w:themeFill="background1"/>
          </w:tcPr>
          <w:p w14:paraId="607DC17F" w14:textId="5A23F52C" w:rsidR="002A5407" w:rsidRPr="00D91B35" w:rsidRDefault="002A5407" w:rsidP="002A5407">
            <w:pPr>
              <w:rPr>
                <w:rFonts w:ascii="Times New Roman" w:hAnsi="Times New Roman" w:cs="Times New Roman"/>
                <w:sz w:val="16"/>
                <w:szCs w:val="16"/>
              </w:rPr>
            </w:pPr>
            <w:r>
              <w:rPr>
                <w:rFonts w:ascii="Times New Roman" w:hAnsi="Times New Roman"/>
                <w:sz w:val="16"/>
              </w:rPr>
              <w:t>364</w:t>
            </w:r>
          </w:p>
        </w:tc>
        <w:tc>
          <w:tcPr>
            <w:tcW w:w="122" w:type="pct"/>
            <w:shd w:val="clear" w:color="auto" w:fill="FFFFFF" w:themeFill="background1"/>
          </w:tcPr>
          <w:p w14:paraId="5374FF93" w14:textId="77777777" w:rsidR="002A5407" w:rsidRPr="00D91B35" w:rsidRDefault="002A5407" w:rsidP="002A5407">
            <w:pPr>
              <w:rPr>
                <w:rFonts w:ascii="Times New Roman" w:hAnsi="Times New Roman" w:cs="Times New Roman"/>
                <w:sz w:val="16"/>
                <w:szCs w:val="16"/>
              </w:rPr>
            </w:pPr>
          </w:p>
        </w:tc>
        <w:tc>
          <w:tcPr>
            <w:tcW w:w="183" w:type="pct"/>
            <w:shd w:val="clear" w:color="auto" w:fill="FFFFFF" w:themeFill="background1"/>
          </w:tcPr>
          <w:p w14:paraId="4A7D8D75" w14:textId="6BC51E8A" w:rsidR="002A5407" w:rsidRPr="00D91B35" w:rsidRDefault="00387006" w:rsidP="002A5407">
            <w:pPr>
              <w:rPr>
                <w:rFonts w:ascii="Times New Roman" w:hAnsi="Times New Roman" w:cs="Times New Roman"/>
                <w:sz w:val="16"/>
                <w:szCs w:val="16"/>
              </w:rPr>
            </w:pPr>
            <w:r>
              <w:rPr>
                <w:rFonts w:ascii="Times New Roman" w:hAnsi="Times New Roman"/>
                <w:sz w:val="16"/>
              </w:rPr>
              <w:t>6</w:t>
            </w:r>
          </w:p>
        </w:tc>
        <w:tc>
          <w:tcPr>
            <w:tcW w:w="105" w:type="pct"/>
            <w:shd w:val="clear" w:color="auto" w:fill="FFFFFF" w:themeFill="background1"/>
          </w:tcPr>
          <w:p w14:paraId="4DA8A04A" w14:textId="77777777" w:rsidR="002A5407" w:rsidRPr="00D91B35" w:rsidRDefault="002A5407" w:rsidP="002A5407">
            <w:pPr>
              <w:rPr>
                <w:rFonts w:ascii="Times New Roman" w:hAnsi="Times New Roman" w:cs="Times New Roman"/>
                <w:sz w:val="16"/>
                <w:szCs w:val="16"/>
              </w:rPr>
            </w:pPr>
          </w:p>
        </w:tc>
        <w:tc>
          <w:tcPr>
            <w:tcW w:w="186" w:type="pct"/>
            <w:shd w:val="clear" w:color="auto" w:fill="FFFFFF" w:themeFill="background1"/>
          </w:tcPr>
          <w:p w14:paraId="591A081B" w14:textId="255BE26D" w:rsidR="002A5407" w:rsidRPr="00D91B35" w:rsidRDefault="00387006" w:rsidP="002A5407">
            <w:pPr>
              <w:rPr>
                <w:rFonts w:ascii="Times New Roman" w:hAnsi="Times New Roman" w:cs="Times New Roman"/>
                <w:sz w:val="16"/>
                <w:szCs w:val="16"/>
              </w:rPr>
            </w:pPr>
            <w:r>
              <w:rPr>
                <w:rFonts w:ascii="Times New Roman" w:hAnsi="Times New Roman"/>
                <w:sz w:val="16"/>
              </w:rPr>
              <w:t>6</w:t>
            </w:r>
          </w:p>
        </w:tc>
        <w:tc>
          <w:tcPr>
            <w:tcW w:w="609" w:type="pct"/>
            <w:shd w:val="clear" w:color="auto" w:fill="FFFFFF" w:themeFill="background1"/>
          </w:tcPr>
          <w:p w14:paraId="56B5C9C0"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1709B1B4" w14:textId="2A1CDF85" w:rsidR="002A5407" w:rsidRPr="00D91B35" w:rsidRDefault="00387006" w:rsidP="002A5407">
            <w:pPr>
              <w:rPr>
                <w:rFonts w:ascii="Times New Roman" w:hAnsi="Times New Roman" w:cs="Times New Roman"/>
                <w:sz w:val="16"/>
                <w:szCs w:val="16"/>
              </w:rPr>
            </w:pPr>
            <w:r>
              <w:rPr>
                <w:rFonts w:ascii="Times New Roman" w:hAnsi="Times New Roman"/>
                <w:sz w:val="16"/>
              </w:rPr>
              <w:t>1 103,0</w:t>
            </w:r>
          </w:p>
        </w:tc>
        <w:tc>
          <w:tcPr>
            <w:tcW w:w="251" w:type="pct"/>
            <w:shd w:val="clear" w:color="auto" w:fill="FFFFFF" w:themeFill="background1"/>
          </w:tcPr>
          <w:p w14:paraId="69F30FE5"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2CB5A54D"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4F933E08"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5EBFA88C" w14:textId="5FDFC6B4"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79B1F56C" w14:textId="77777777" w:rsidR="002A5407" w:rsidRPr="00D91B35" w:rsidRDefault="002A5407" w:rsidP="002A5407">
            <w:pPr>
              <w:rPr>
                <w:rFonts w:ascii="Times New Roman" w:hAnsi="Times New Roman" w:cs="Times New Roman"/>
                <w:sz w:val="16"/>
                <w:szCs w:val="16"/>
              </w:rPr>
            </w:pPr>
          </w:p>
        </w:tc>
      </w:tr>
      <w:tr w:rsidR="00077C40" w:rsidRPr="00D91B35" w14:paraId="56C6047A" w14:textId="77777777" w:rsidTr="008A656B">
        <w:tc>
          <w:tcPr>
            <w:tcW w:w="374" w:type="pct"/>
          </w:tcPr>
          <w:p w14:paraId="0774365B" w14:textId="77777777" w:rsidR="002A5407" w:rsidRPr="00D91B35" w:rsidRDefault="002A5407" w:rsidP="002A5407">
            <w:pPr>
              <w:rPr>
                <w:rFonts w:ascii="Times New Roman" w:hAnsi="Times New Roman" w:cs="Times New Roman"/>
                <w:b/>
                <w:bCs/>
                <w:sz w:val="16"/>
                <w:szCs w:val="16"/>
              </w:rPr>
            </w:pPr>
          </w:p>
        </w:tc>
        <w:tc>
          <w:tcPr>
            <w:tcW w:w="231" w:type="pct"/>
          </w:tcPr>
          <w:p w14:paraId="105600D3" w14:textId="77777777" w:rsidR="002A5407" w:rsidRPr="00D91B35" w:rsidRDefault="002A5407" w:rsidP="002A5407">
            <w:pPr>
              <w:rPr>
                <w:rFonts w:ascii="Times New Roman" w:hAnsi="Times New Roman" w:cs="Times New Roman"/>
                <w:b/>
                <w:bCs/>
                <w:sz w:val="16"/>
                <w:szCs w:val="16"/>
              </w:rPr>
            </w:pPr>
          </w:p>
        </w:tc>
        <w:tc>
          <w:tcPr>
            <w:tcW w:w="358" w:type="pct"/>
          </w:tcPr>
          <w:p w14:paraId="4E6A683B" w14:textId="18739F88" w:rsidR="002A5407" w:rsidRPr="00D91B35" w:rsidRDefault="00387006" w:rsidP="002A5407">
            <w:pPr>
              <w:rPr>
                <w:rFonts w:ascii="Times New Roman" w:hAnsi="Times New Roman" w:cs="Times New Roman"/>
                <w:b/>
                <w:bCs/>
                <w:sz w:val="16"/>
                <w:szCs w:val="16"/>
              </w:rPr>
            </w:pPr>
            <w:r>
              <w:rPr>
                <w:rFonts w:ascii="Times New Roman" w:hAnsi="Times New Roman"/>
                <w:b/>
                <w:sz w:val="16"/>
              </w:rPr>
              <w:t>Nīderlande</w:t>
            </w:r>
          </w:p>
        </w:tc>
        <w:tc>
          <w:tcPr>
            <w:tcW w:w="359" w:type="pct"/>
          </w:tcPr>
          <w:p w14:paraId="632D8782" w14:textId="7AA8B752" w:rsidR="002A5407" w:rsidRPr="00D91B35" w:rsidRDefault="00387006" w:rsidP="00387006">
            <w:pPr>
              <w:pStyle w:val="Default"/>
              <w:rPr>
                <w:sz w:val="16"/>
                <w:szCs w:val="16"/>
              </w:rPr>
            </w:pPr>
            <w:r>
              <w:rPr>
                <w:sz w:val="16"/>
              </w:rPr>
              <w:t>(van Rossum et al., 2011)</w:t>
            </w:r>
          </w:p>
        </w:tc>
        <w:tc>
          <w:tcPr>
            <w:tcW w:w="839" w:type="pct"/>
          </w:tcPr>
          <w:p w14:paraId="64B46B87" w14:textId="6D2C8FC0" w:rsidR="002A5407" w:rsidRPr="00D91B35" w:rsidRDefault="00387006" w:rsidP="00387006">
            <w:pPr>
              <w:pStyle w:val="Default"/>
              <w:rPr>
                <w:sz w:val="16"/>
                <w:szCs w:val="16"/>
              </w:rPr>
            </w:pPr>
            <w:r>
              <w:rPr>
                <w:sz w:val="16"/>
              </w:rPr>
              <w:t>Divas nesecīgas  24 stundu atcerēšanās anketas</w:t>
            </w:r>
          </w:p>
        </w:tc>
        <w:tc>
          <w:tcPr>
            <w:tcW w:w="196" w:type="pct"/>
            <w:shd w:val="clear" w:color="auto" w:fill="FFFFFF" w:themeFill="background1"/>
          </w:tcPr>
          <w:p w14:paraId="788E0A0F" w14:textId="7E41AD81" w:rsidR="002A5407" w:rsidRPr="00D91B35" w:rsidRDefault="002A5407" w:rsidP="002A5407">
            <w:pPr>
              <w:rPr>
                <w:rFonts w:ascii="Times New Roman" w:hAnsi="Times New Roman" w:cs="Times New Roman"/>
                <w:sz w:val="16"/>
                <w:szCs w:val="16"/>
              </w:rPr>
            </w:pPr>
            <w:r>
              <w:rPr>
                <w:rFonts w:ascii="Times New Roman" w:hAnsi="Times New Roman"/>
                <w:sz w:val="16"/>
              </w:rPr>
              <w:t>153</w:t>
            </w:r>
          </w:p>
        </w:tc>
        <w:tc>
          <w:tcPr>
            <w:tcW w:w="122" w:type="pct"/>
            <w:shd w:val="clear" w:color="auto" w:fill="FFFFFF" w:themeFill="background1"/>
          </w:tcPr>
          <w:p w14:paraId="7C24D07D" w14:textId="77777777" w:rsidR="002A5407" w:rsidRPr="00D91B35" w:rsidRDefault="002A5407" w:rsidP="002A5407">
            <w:pPr>
              <w:rPr>
                <w:rFonts w:ascii="Times New Roman" w:hAnsi="Times New Roman" w:cs="Times New Roman"/>
                <w:sz w:val="16"/>
                <w:szCs w:val="16"/>
              </w:rPr>
            </w:pPr>
          </w:p>
        </w:tc>
        <w:tc>
          <w:tcPr>
            <w:tcW w:w="183" w:type="pct"/>
            <w:shd w:val="clear" w:color="auto" w:fill="FFFFFF" w:themeFill="background1"/>
          </w:tcPr>
          <w:p w14:paraId="2B5F531B" w14:textId="043184AE" w:rsidR="002A5407" w:rsidRPr="00D91B35" w:rsidRDefault="00387006" w:rsidP="002A5407">
            <w:pPr>
              <w:rPr>
                <w:rFonts w:ascii="Times New Roman" w:hAnsi="Times New Roman" w:cs="Times New Roman"/>
                <w:sz w:val="16"/>
                <w:szCs w:val="16"/>
              </w:rPr>
            </w:pPr>
            <w:r>
              <w:rPr>
                <w:rFonts w:ascii="Times New Roman" w:hAnsi="Times New Roman"/>
                <w:sz w:val="16"/>
              </w:rPr>
              <w:t>7</w:t>
            </w:r>
          </w:p>
        </w:tc>
        <w:tc>
          <w:tcPr>
            <w:tcW w:w="105" w:type="pct"/>
            <w:shd w:val="clear" w:color="auto" w:fill="FFFFFF" w:themeFill="background1"/>
          </w:tcPr>
          <w:p w14:paraId="03040ADA" w14:textId="77777777" w:rsidR="002A5407" w:rsidRPr="00D91B35" w:rsidRDefault="002A5407" w:rsidP="002A5407">
            <w:pPr>
              <w:rPr>
                <w:rFonts w:ascii="Times New Roman" w:hAnsi="Times New Roman" w:cs="Times New Roman"/>
                <w:sz w:val="16"/>
                <w:szCs w:val="16"/>
              </w:rPr>
            </w:pPr>
          </w:p>
        </w:tc>
        <w:tc>
          <w:tcPr>
            <w:tcW w:w="186" w:type="pct"/>
            <w:shd w:val="clear" w:color="auto" w:fill="FFFFFF" w:themeFill="background1"/>
          </w:tcPr>
          <w:p w14:paraId="4D211114" w14:textId="510A2F36" w:rsidR="002A5407" w:rsidRPr="00D91B35" w:rsidRDefault="00387006" w:rsidP="002A5407">
            <w:pPr>
              <w:rPr>
                <w:rFonts w:ascii="Times New Roman" w:hAnsi="Times New Roman" w:cs="Times New Roman"/>
                <w:sz w:val="16"/>
                <w:szCs w:val="16"/>
              </w:rPr>
            </w:pPr>
            <w:r>
              <w:rPr>
                <w:rFonts w:ascii="Times New Roman" w:hAnsi="Times New Roman"/>
                <w:sz w:val="16"/>
              </w:rPr>
              <w:t>8</w:t>
            </w:r>
          </w:p>
        </w:tc>
        <w:tc>
          <w:tcPr>
            <w:tcW w:w="609" w:type="pct"/>
            <w:shd w:val="clear" w:color="auto" w:fill="FFFFFF" w:themeFill="background1"/>
          </w:tcPr>
          <w:p w14:paraId="08991BD7"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74CDBCFA" w14:textId="77777777" w:rsidR="002A5407" w:rsidRPr="00D91B35" w:rsidRDefault="002A5407" w:rsidP="002A5407">
            <w:pPr>
              <w:rPr>
                <w:rFonts w:ascii="Times New Roman" w:hAnsi="Times New Roman" w:cs="Times New Roman"/>
                <w:sz w:val="16"/>
                <w:szCs w:val="16"/>
              </w:rPr>
            </w:pPr>
          </w:p>
        </w:tc>
        <w:tc>
          <w:tcPr>
            <w:tcW w:w="251" w:type="pct"/>
            <w:shd w:val="clear" w:color="auto" w:fill="FFFFFF" w:themeFill="background1"/>
          </w:tcPr>
          <w:p w14:paraId="13D7B3AA" w14:textId="2C0CDF69" w:rsidR="002A5407" w:rsidRPr="00D91B35" w:rsidRDefault="00387006" w:rsidP="002A5407">
            <w:pPr>
              <w:rPr>
                <w:rFonts w:ascii="Times New Roman" w:hAnsi="Times New Roman" w:cs="Times New Roman"/>
                <w:sz w:val="16"/>
                <w:szCs w:val="16"/>
              </w:rPr>
            </w:pPr>
            <w:r>
              <w:rPr>
                <w:rFonts w:ascii="Times New Roman" w:hAnsi="Times New Roman"/>
                <w:sz w:val="16"/>
              </w:rPr>
              <w:t>892,0</w:t>
            </w:r>
          </w:p>
        </w:tc>
        <w:tc>
          <w:tcPr>
            <w:tcW w:w="237" w:type="pct"/>
            <w:shd w:val="clear" w:color="auto" w:fill="FFFFFF" w:themeFill="background1"/>
          </w:tcPr>
          <w:p w14:paraId="55144983"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06550EBE"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082354EF" w14:textId="5E6EDFD7" w:rsidR="002A5407" w:rsidRPr="00D91B35" w:rsidRDefault="00387006" w:rsidP="002A5407">
            <w:pPr>
              <w:rPr>
                <w:rFonts w:ascii="Times New Roman" w:hAnsi="Times New Roman" w:cs="Times New Roman"/>
                <w:sz w:val="16"/>
                <w:szCs w:val="16"/>
              </w:rPr>
            </w:pPr>
            <w:r>
              <w:rPr>
                <w:rFonts w:ascii="Times New Roman" w:hAnsi="Times New Roman"/>
                <w:sz w:val="16"/>
              </w:rPr>
              <w:t>1 505,0</w:t>
            </w:r>
          </w:p>
        </w:tc>
        <w:tc>
          <w:tcPr>
            <w:tcW w:w="237" w:type="pct"/>
            <w:shd w:val="clear" w:color="auto" w:fill="FFFFFF" w:themeFill="background1"/>
          </w:tcPr>
          <w:p w14:paraId="4E7E1A5B" w14:textId="77777777" w:rsidR="002A5407" w:rsidRPr="00D91B35" w:rsidRDefault="002A5407" w:rsidP="002A5407">
            <w:pPr>
              <w:rPr>
                <w:rFonts w:ascii="Times New Roman" w:hAnsi="Times New Roman" w:cs="Times New Roman"/>
                <w:sz w:val="16"/>
                <w:szCs w:val="16"/>
              </w:rPr>
            </w:pPr>
          </w:p>
        </w:tc>
      </w:tr>
      <w:tr w:rsidR="00077C40" w:rsidRPr="00D91B35" w14:paraId="6E221DE4" w14:textId="77777777" w:rsidTr="008A656B">
        <w:tc>
          <w:tcPr>
            <w:tcW w:w="374" w:type="pct"/>
            <w:tcBorders>
              <w:bottom w:val="single" w:sz="4" w:space="0" w:color="auto"/>
            </w:tcBorders>
          </w:tcPr>
          <w:p w14:paraId="043ECACF" w14:textId="77777777" w:rsidR="002A5407" w:rsidRPr="00D91B35" w:rsidRDefault="002A5407" w:rsidP="002A5407">
            <w:pPr>
              <w:rPr>
                <w:rFonts w:ascii="Times New Roman" w:hAnsi="Times New Roman" w:cs="Times New Roman"/>
                <w:sz w:val="16"/>
                <w:szCs w:val="16"/>
              </w:rPr>
            </w:pPr>
          </w:p>
        </w:tc>
        <w:tc>
          <w:tcPr>
            <w:tcW w:w="231" w:type="pct"/>
            <w:tcBorders>
              <w:bottom w:val="single" w:sz="4" w:space="0" w:color="auto"/>
            </w:tcBorders>
          </w:tcPr>
          <w:p w14:paraId="77F717F9" w14:textId="77777777" w:rsidR="002A5407" w:rsidRPr="00D91B35" w:rsidRDefault="002A5407" w:rsidP="002A5407">
            <w:pPr>
              <w:rPr>
                <w:rFonts w:ascii="Times New Roman" w:hAnsi="Times New Roman" w:cs="Times New Roman"/>
                <w:sz w:val="16"/>
                <w:szCs w:val="16"/>
              </w:rPr>
            </w:pPr>
          </w:p>
        </w:tc>
        <w:tc>
          <w:tcPr>
            <w:tcW w:w="358" w:type="pct"/>
            <w:tcBorders>
              <w:bottom w:val="single" w:sz="4" w:space="0" w:color="auto"/>
            </w:tcBorders>
          </w:tcPr>
          <w:p w14:paraId="5D5FB52C" w14:textId="77777777" w:rsidR="002A5407" w:rsidRPr="00D91B35" w:rsidRDefault="002A5407" w:rsidP="002A5407">
            <w:pPr>
              <w:rPr>
                <w:rFonts w:ascii="Times New Roman" w:hAnsi="Times New Roman" w:cs="Times New Roman"/>
                <w:b/>
                <w:bCs/>
                <w:sz w:val="16"/>
                <w:szCs w:val="16"/>
              </w:rPr>
            </w:pPr>
          </w:p>
        </w:tc>
        <w:tc>
          <w:tcPr>
            <w:tcW w:w="359" w:type="pct"/>
            <w:tcBorders>
              <w:bottom w:val="single" w:sz="4" w:space="0" w:color="auto"/>
            </w:tcBorders>
          </w:tcPr>
          <w:p w14:paraId="3BB653CB" w14:textId="77777777" w:rsidR="002A5407" w:rsidRPr="00D91B35" w:rsidRDefault="002A5407" w:rsidP="002A5407">
            <w:pPr>
              <w:rPr>
                <w:rFonts w:ascii="Times New Roman" w:hAnsi="Times New Roman" w:cs="Times New Roman"/>
                <w:sz w:val="16"/>
                <w:szCs w:val="16"/>
              </w:rPr>
            </w:pPr>
          </w:p>
        </w:tc>
        <w:tc>
          <w:tcPr>
            <w:tcW w:w="839" w:type="pct"/>
            <w:tcBorders>
              <w:bottom w:val="single" w:sz="4" w:space="0" w:color="auto"/>
            </w:tcBorders>
          </w:tcPr>
          <w:p w14:paraId="5CB9616B" w14:textId="77777777" w:rsidR="002A5407" w:rsidRPr="00D91B35" w:rsidRDefault="002A5407" w:rsidP="002A5407">
            <w:pPr>
              <w:rPr>
                <w:rFonts w:ascii="Times New Roman" w:hAnsi="Times New Roman" w:cs="Times New Roman"/>
                <w:sz w:val="16"/>
                <w:szCs w:val="16"/>
              </w:rPr>
            </w:pPr>
          </w:p>
        </w:tc>
        <w:tc>
          <w:tcPr>
            <w:tcW w:w="196" w:type="pct"/>
            <w:tcBorders>
              <w:bottom w:val="single" w:sz="4" w:space="0" w:color="auto"/>
            </w:tcBorders>
            <w:shd w:val="clear" w:color="auto" w:fill="FFFFFF" w:themeFill="background1"/>
          </w:tcPr>
          <w:p w14:paraId="4EDB3B6F" w14:textId="2D8A7D96" w:rsidR="002A5407" w:rsidRPr="00D91B35" w:rsidRDefault="002A5407" w:rsidP="002A5407">
            <w:pPr>
              <w:rPr>
                <w:rFonts w:ascii="Times New Roman" w:hAnsi="Times New Roman" w:cs="Times New Roman"/>
                <w:sz w:val="16"/>
                <w:szCs w:val="16"/>
              </w:rPr>
            </w:pPr>
            <w:r>
              <w:rPr>
                <w:rFonts w:ascii="Times New Roman" w:hAnsi="Times New Roman"/>
                <w:sz w:val="16"/>
              </w:rPr>
              <w:t>351</w:t>
            </w:r>
          </w:p>
        </w:tc>
        <w:tc>
          <w:tcPr>
            <w:tcW w:w="122" w:type="pct"/>
            <w:tcBorders>
              <w:bottom w:val="single" w:sz="4" w:space="0" w:color="auto"/>
            </w:tcBorders>
            <w:shd w:val="clear" w:color="auto" w:fill="FFFFFF" w:themeFill="background1"/>
          </w:tcPr>
          <w:p w14:paraId="4B83EAF0" w14:textId="77777777" w:rsidR="002A5407" w:rsidRPr="00D91B35" w:rsidRDefault="002A5407" w:rsidP="002A5407">
            <w:pPr>
              <w:rPr>
                <w:rFonts w:ascii="Times New Roman" w:hAnsi="Times New Roman" w:cs="Times New Roman"/>
                <w:sz w:val="16"/>
                <w:szCs w:val="16"/>
              </w:rPr>
            </w:pPr>
          </w:p>
        </w:tc>
        <w:tc>
          <w:tcPr>
            <w:tcW w:w="183" w:type="pct"/>
            <w:tcBorders>
              <w:bottom w:val="single" w:sz="4" w:space="0" w:color="auto"/>
            </w:tcBorders>
            <w:shd w:val="clear" w:color="auto" w:fill="FFFFFF" w:themeFill="background1"/>
          </w:tcPr>
          <w:p w14:paraId="1ED8DC52" w14:textId="7ABBB417" w:rsidR="002A5407" w:rsidRPr="00D91B35" w:rsidRDefault="00387006" w:rsidP="002A5407">
            <w:pPr>
              <w:rPr>
                <w:rFonts w:ascii="Times New Roman" w:hAnsi="Times New Roman" w:cs="Times New Roman"/>
                <w:sz w:val="16"/>
                <w:szCs w:val="16"/>
              </w:rPr>
            </w:pPr>
            <w:r>
              <w:rPr>
                <w:rFonts w:ascii="Times New Roman" w:hAnsi="Times New Roman"/>
                <w:sz w:val="16"/>
              </w:rPr>
              <w:t>9</w:t>
            </w:r>
          </w:p>
        </w:tc>
        <w:tc>
          <w:tcPr>
            <w:tcW w:w="105" w:type="pct"/>
            <w:tcBorders>
              <w:bottom w:val="single" w:sz="4" w:space="0" w:color="auto"/>
            </w:tcBorders>
            <w:shd w:val="clear" w:color="auto" w:fill="FFFFFF" w:themeFill="background1"/>
          </w:tcPr>
          <w:p w14:paraId="0088F52F" w14:textId="77777777" w:rsidR="002A5407" w:rsidRPr="00D91B35" w:rsidRDefault="002A5407" w:rsidP="002A5407">
            <w:pPr>
              <w:rPr>
                <w:rFonts w:ascii="Times New Roman" w:hAnsi="Times New Roman" w:cs="Times New Roman"/>
                <w:sz w:val="16"/>
                <w:szCs w:val="16"/>
              </w:rPr>
            </w:pPr>
          </w:p>
        </w:tc>
        <w:tc>
          <w:tcPr>
            <w:tcW w:w="186" w:type="pct"/>
            <w:tcBorders>
              <w:bottom w:val="single" w:sz="4" w:space="0" w:color="auto"/>
            </w:tcBorders>
            <w:shd w:val="clear" w:color="auto" w:fill="FFFFFF" w:themeFill="background1"/>
          </w:tcPr>
          <w:p w14:paraId="2132B2D0" w14:textId="456B2014" w:rsidR="002A5407" w:rsidRPr="00D91B35" w:rsidRDefault="00387006" w:rsidP="002A5407">
            <w:pPr>
              <w:rPr>
                <w:rFonts w:ascii="Times New Roman" w:hAnsi="Times New Roman" w:cs="Times New Roman"/>
                <w:sz w:val="16"/>
                <w:szCs w:val="16"/>
              </w:rPr>
            </w:pPr>
            <w:r>
              <w:rPr>
                <w:rFonts w:ascii="Times New Roman" w:hAnsi="Times New Roman"/>
                <w:sz w:val="16"/>
              </w:rPr>
              <w:t>13</w:t>
            </w:r>
          </w:p>
        </w:tc>
        <w:tc>
          <w:tcPr>
            <w:tcW w:w="609" w:type="pct"/>
            <w:tcBorders>
              <w:bottom w:val="single" w:sz="4" w:space="0" w:color="auto"/>
            </w:tcBorders>
            <w:shd w:val="clear" w:color="auto" w:fill="FFFFFF" w:themeFill="background1"/>
          </w:tcPr>
          <w:p w14:paraId="3102ABE2" w14:textId="77777777" w:rsidR="002A5407" w:rsidRPr="00D91B35" w:rsidRDefault="002A5407" w:rsidP="002A5407">
            <w:pPr>
              <w:rPr>
                <w:rFonts w:ascii="Times New Roman" w:hAnsi="Times New Roman" w:cs="Times New Roman"/>
                <w:sz w:val="16"/>
                <w:szCs w:val="16"/>
              </w:rPr>
            </w:pPr>
          </w:p>
        </w:tc>
        <w:tc>
          <w:tcPr>
            <w:tcW w:w="237" w:type="pct"/>
            <w:tcBorders>
              <w:bottom w:val="single" w:sz="4" w:space="0" w:color="auto"/>
            </w:tcBorders>
            <w:shd w:val="clear" w:color="auto" w:fill="FFFFFF" w:themeFill="background1"/>
          </w:tcPr>
          <w:p w14:paraId="4E88C5AB" w14:textId="77777777" w:rsidR="002A5407" w:rsidRPr="00D91B35" w:rsidRDefault="002A5407" w:rsidP="002A5407">
            <w:pPr>
              <w:rPr>
                <w:rFonts w:ascii="Times New Roman" w:hAnsi="Times New Roman" w:cs="Times New Roman"/>
                <w:sz w:val="16"/>
                <w:szCs w:val="16"/>
              </w:rPr>
            </w:pPr>
          </w:p>
        </w:tc>
        <w:tc>
          <w:tcPr>
            <w:tcW w:w="251" w:type="pct"/>
            <w:tcBorders>
              <w:bottom w:val="single" w:sz="4" w:space="0" w:color="auto"/>
            </w:tcBorders>
            <w:shd w:val="clear" w:color="auto" w:fill="FFFFFF" w:themeFill="background1"/>
          </w:tcPr>
          <w:p w14:paraId="70141B08" w14:textId="350F99F7" w:rsidR="002A5407" w:rsidRPr="00D91B35" w:rsidRDefault="00387006" w:rsidP="002A5407">
            <w:pPr>
              <w:rPr>
                <w:rFonts w:ascii="Times New Roman" w:hAnsi="Times New Roman" w:cs="Times New Roman"/>
                <w:sz w:val="16"/>
                <w:szCs w:val="16"/>
              </w:rPr>
            </w:pPr>
            <w:r>
              <w:rPr>
                <w:rFonts w:ascii="Times New Roman" w:hAnsi="Times New Roman"/>
                <w:sz w:val="16"/>
              </w:rPr>
              <w:t>964,0</w:t>
            </w:r>
          </w:p>
        </w:tc>
        <w:tc>
          <w:tcPr>
            <w:tcW w:w="237" w:type="pct"/>
            <w:tcBorders>
              <w:bottom w:val="single" w:sz="4" w:space="0" w:color="auto"/>
            </w:tcBorders>
            <w:shd w:val="clear" w:color="auto" w:fill="FFFFFF" w:themeFill="background1"/>
          </w:tcPr>
          <w:p w14:paraId="4E5DE543" w14:textId="77777777" w:rsidR="002A5407" w:rsidRPr="00D91B35" w:rsidRDefault="002A5407" w:rsidP="002A5407">
            <w:pPr>
              <w:rPr>
                <w:rFonts w:ascii="Times New Roman" w:hAnsi="Times New Roman" w:cs="Times New Roman"/>
                <w:sz w:val="16"/>
                <w:szCs w:val="16"/>
              </w:rPr>
            </w:pPr>
          </w:p>
        </w:tc>
        <w:tc>
          <w:tcPr>
            <w:tcW w:w="237" w:type="pct"/>
            <w:tcBorders>
              <w:bottom w:val="single" w:sz="4" w:space="0" w:color="auto"/>
            </w:tcBorders>
            <w:shd w:val="clear" w:color="auto" w:fill="FFFFFF" w:themeFill="background1"/>
          </w:tcPr>
          <w:p w14:paraId="03310FCA" w14:textId="77777777" w:rsidR="002A5407" w:rsidRPr="00D91B35" w:rsidRDefault="002A5407" w:rsidP="002A5407">
            <w:pPr>
              <w:rPr>
                <w:rFonts w:ascii="Times New Roman" w:hAnsi="Times New Roman" w:cs="Times New Roman"/>
                <w:sz w:val="16"/>
                <w:szCs w:val="16"/>
              </w:rPr>
            </w:pPr>
          </w:p>
        </w:tc>
        <w:tc>
          <w:tcPr>
            <w:tcW w:w="237" w:type="pct"/>
            <w:tcBorders>
              <w:bottom w:val="single" w:sz="4" w:space="0" w:color="auto"/>
            </w:tcBorders>
            <w:shd w:val="clear" w:color="auto" w:fill="FFFFFF" w:themeFill="background1"/>
          </w:tcPr>
          <w:p w14:paraId="0C3760B3" w14:textId="3F3B6D38" w:rsidR="002A5407" w:rsidRPr="00D91B35" w:rsidRDefault="00387006" w:rsidP="002A5407">
            <w:pPr>
              <w:rPr>
                <w:rFonts w:ascii="Times New Roman" w:hAnsi="Times New Roman" w:cs="Times New Roman"/>
                <w:sz w:val="16"/>
                <w:szCs w:val="16"/>
              </w:rPr>
            </w:pPr>
            <w:r>
              <w:rPr>
                <w:rFonts w:ascii="Times New Roman" w:hAnsi="Times New Roman"/>
                <w:sz w:val="16"/>
              </w:rPr>
              <w:t>1 623,0</w:t>
            </w:r>
          </w:p>
        </w:tc>
        <w:tc>
          <w:tcPr>
            <w:tcW w:w="237" w:type="pct"/>
            <w:tcBorders>
              <w:bottom w:val="single" w:sz="4" w:space="0" w:color="auto"/>
            </w:tcBorders>
            <w:shd w:val="clear" w:color="auto" w:fill="FFFFFF" w:themeFill="background1"/>
          </w:tcPr>
          <w:p w14:paraId="43855BDE" w14:textId="77777777" w:rsidR="002A5407" w:rsidRPr="00D91B35" w:rsidRDefault="002A5407" w:rsidP="002A5407">
            <w:pPr>
              <w:rPr>
                <w:rFonts w:ascii="Times New Roman" w:hAnsi="Times New Roman" w:cs="Times New Roman"/>
                <w:sz w:val="16"/>
                <w:szCs w:val="16"/>
              </w:rPr>
            </w:pPr>
          </w:p>
        </w:tc>
      </w:tr>
      <w:tr w:rsidR="00077C40" w:rsidRPr="00D91B35" w14:paraId="7BBE16AB" w14:textId="77777777" w:rsidTr="008A656B">
        <w:tc>
          <w:tcPr>
            <w:tcW w:w="374" w:type="pct"/>
            <w:tcBorders>
              <w:top w:val="single" w:sz="4" w:space="0" w:color="auto"/>
            </w:tcBorders>
          </w:tcPr>
          <w:p w14:paraId="0864916E" w14:textId="25E03C97" w:rsidR="002A5407" w:rsidRPr="00D91B35" w:rsidRDefault="00387006" w:rsidP="002A5407">
            <w:pPr>
              <w:rPr>
                <w:rFonts w:ascii="Times New Roman" w:hAnsi="Times New Roman" w:cs="Times New Roman"/>
                <w:b/>
                <w:bCs/>
                <w:sz w:val="16"/>
                <w:szCs w:val="16"/>
              </w:rPr>
            </w:pPr>
            <w:r>
              <w:rPr>
                <w:rFonts w:ascii="Times New Roman" w:hAnsi="Times New Roman"/>
                <w:b/>
                <w:sz w:val="16"/>
              </w:rPr>
              <w:t>Pārtika un bagātinātāji</w:t>
            </w:r>
          </w:p>
        </w:tc>
        <w:tc>
          <w:tcPr>
            <w:tcW w:w="231" w:type="pct"/>
            <w:tcBorders>
              <w:top w:val="single" w:sz="4" w:space="0" w:color="auto"/>
            </w:tcBorders>
          </w:tcPr>
          <w:p w14:paraId="152BDDA3" w14:textId="0206480C" w:rsidR="002A5407" w:rsidRPr="00D91B35" w:rsidRDefault="00387006" w:rsidP="002A5407">
            <w:pPr>
              <w:rPr>
                <w:rFonts w:ascii="Times New Roman" w:hAnsi="Times New Roman" w:cs="Times New Roman"/>
                <w:b/>
                <w:bCs/>
                <w:sz w:val="16"/>
                <w:szCs w:val="16"/>
              </w:rPr>
            </w:pPr>
            <w:r>
              <w:rPr>
                <w:rFonts w:ascii="Times New Roman" w:hAnsi="Times New Roman"/>
                <w:b/>
                <w:sz w:val="16"/>
              </w:rPr>
              <w:t>Zēni un meitenes</w:t>
            </w:r>
          </w:p>
        </w:tc>
        <w:tc>
          <w:tcPr>
            <w:tcW w:w="358" w:type="pct"/>
            <w:tcBorders>
              <w:top w:val="single" w:sz="4" w:space="0" w:color="auto"/>
            </w:tcBorders>
          </w:tcPr>
          <w:p w14:paraId="4EE2844A" w14:textId="183A1E7A" w:rsidR="002A5407" w:rsidRPr="00D91B35" w:rsidRDefault="00387006" w:rsidP="002A5407">
            <w:pPr>
              <w:rPr>
                <w:rFonts w:ascii="Times New Roman" w:hAnsi="Times New Roman" w:cs="Times New Roman"/>
                <w:b/>
                <w:bCs/>
                <w:sz w:val="16"/>
                <w:szCs w:val="16"/>
              </w:rPr>
            </w:pPr>
            <w:r>
              <w:rPr>
                <w:rFonts w:ascii="Times New Roman" w:hAnsi="Times New Roman"/>
                <w:b/>
                <w:sz w:val="16"/>
              </w:rPr>
              <w:t>Vācija</w:t>
            </w:r>
          </w:p>
        </w:tc>
        <w:tc>
          <w:tcPr>
            <w:tcW w:w="359" w:type="pct"/>
            <w:tcBorders>
              <w:top w:val="single" w:sz="4" w:space="0" w:color="auto"/>
            </w:tcBorders>
          </w:tcPr>
          <w:p w14:paraId="62F9EF0F" w14:textId="0E203DF6" w:rsidR="002A5407" w:rsidRPr="00D91B35" w:rsidRDefault="00387006" w:rsidP="00387006">
            <w:pPr>
              <w:pStyle w:val="Default"/>
              <w:rPr>
                <w:sz w:val="16"/>
                <w:szCs w:val="16"/>
              </w:rPr>
            </w:pPr>
            <w:r>
              <w:rPr>
                <w:sz w:val="16"/>
              </w:rPr>
              <w:t>(Flynn et al., 2009)</w:t>
            </w:r>
          </w:p>
        </w:tc>
        <w:tc>
          <w:tcPr>
            <w:tcW w:w="839" w:type="pct"/>
            <w:tcBorders>
              <w:top w:val="single" w:sz="4" w:space="0" w:color="auto"/>
            </w:tcBorders>
          </w:tcPr>
          <w:p w14:paraId="29550D09" w14:textId="6C07AE6C" w:rsidR="002A5407" w:rsidRPr="00D91B35" w:rsidRDefault="00387006" w:rsidP="002A5407">
            <w:pPr>
              <w:rPr>
                <w:rFonts w:ascii="Times New Roman" w:hAnsi="Times New Roman" w:cs="Times New Roman"/>
                <w:sz w:val="16"/>
                <w:szCs w:val="16"/>
              </w:rPr>
            </w:pPr>
            <w:r>
              <w:rPr>
                <w:rFonts w:ascii="Times New Roman" w:hAnsi="Times New Roman"/>
                <w:sz w:val="16"/>
              </w:rPr>
              <w:t>3 dienu uztura pieraksts</w:t>
            </w:r>
          </w:p>
        </w:tc>
        <w:tc>
          <w:tcPr>
            <w:tcW w:w="196" w:type="pct"/>
            <w:tcBorders>
              <w:top w:val="single" w:sz="4" w:space="0" w:color="auto"/>
            </w:tcBorders>
            <w:shd w:val="clear" w:color="auto" w:fill="FFFFFF" w:themeFill="background1"/>
          </w:tcPr>
          <w:p w14:paraId="3EE1CC0A" w14:textId="203F33DE" w:rsidR="002A5407" w:rsidRPr="00D91B35" w:rsidRDefault="002A5407" w:rsidP="002A5407">
            <w:pPr>
              <w:rPr>
                <w:rFonts w:ascii="Times New Roman" w:hAnsi="Times New Roman" w:cs="Times New Roman"/>
                <w:sz w:val="16"/>
                <w:szCs w:val="16"/>
              </w:rPr>
            </w:pPr>
            <w:r>
              <w:rPr>
                <w:rFonts w:ascii="Times New Roman" w:hAnsi="Times New Roman"/>
                <w:sz w:val="16"/>
              </w:rPr>
              <w:t>1 234</w:t>
            </w:r>
          </w:p>
        </w:tc>
        <w:tc>
          <w:tcPr>
            <w:tcW w:w="122" w:type="pct"/>
            <w:tcBorders>
              <w:top w:val="single" w:sz="4" w:space="0" w:color="auto"/>
            </w:tcBorders>
            <w:shd w:val="clear" w:color="auto" w:fill="FFFFFF" w:themeFill="background1"/>
          </w:tcPr>
          <w:p w14:paraId="775D7731" w14:textId="77777777" w:rsidR="002A5407" w:rsidRPr="00D91B35" w:rsidRDefault="002A5407" w:rsidP="002A5407">
            <w:pPr>
              <w:rPr>
                <w:rFonts w:ascii="Times New Roman" w:hAnsi="Times New Roman" w:cs="Times New Roman"/>
                <w:sz w:val="16"/>
                <w:szCs w:val="16"/>
              </w:rPr>
            </w:pPr>
          </w:p>
        </w:tc>
        <w:tc>
          <w:tcPr>
            <w:tcW w:w="183" w:type="pct"/>
            <w:tcBorders>
              <w:top w:val="single" w:sz="4" w:space="0" w:color="auto"/>
            </w:tcBorders>
            <w:shd w:val="clear" w:color="auto" w:fill="FFFFFF" w:themeFill="background1"/>
          </w:tcPr>
          <w:p w14:paraId="57B291A7" w14:textId="0D4F9CE7" w:rsidR="002A5407" w:rsidRPr="00D91B35" w:rsidRDefault="00387006" w:rsidP="002A5407">
            <w:pPr>
              <w:rPr>
                <w:rFonts w:ascii="Times New Roman" w:hAnsi="Times New Roman" w:cs="Times New Roman"/>
                <w:sz w:val="16"/>
                <w:szCs w:val="16"/>
              </w:rPr>
            </w:pPr>
            <w:r>
              <w:rPr>
                <w:rFonts w:ascii="Times New Roman" w:hAnsi="Times New Roman"/>
                <w:sz w:val="16"/>
              </w:rPr>
              <w:t>6</w:t>
            </w:r>
          </w:p>
        </w:tc>
        <w:tc>
          <w:tcPr>
            <w:tcW w:w="105" w:type="pct"/>
            <w:tcBorders>
              <w:top w:val="single" w:sz="4" w:space="0" w:color="auto"/>
            </w:tcBorders>
            <w:shd w:val="clear" w:color="auto" w:fill="FFFFFF" w:themeFill="background1"/>
          </w:tcPr>
          <w:p w14:paraId="788AA16F" w14:textId="77777777" w:rsidR="002A5407" w:rsidRPr="00D91B35" w:rsidRDefault="002A5407" w:rsidP="002A5407">
            <w:pPr>
              <w:rPr>
                <w:rFonts w:ascii="Times New Roman" w:hAnsi="Times New Roman" w:cs="Times New Roman"/>
                <w:sz w:val="16"/>
                <w:szCs w:val="16"/>
              </w:rPr>
            </w:pPr>
          </w:p>
        </w:tc>
        <w:tc>
          <w:tcPr>
            <w:tcW w:w="186" w:type="pct"/>
            <w:tcBorders>
              <w:top w:val="single" w:sz="4" w:space="0" w:color="auto"/>
            </w:tcBorders>
            <w:shd w:val="clear" w:color="auto" w:fill="FFFFFF" w:themeFill="background1"/>
          </w:tcPr>
          <w:p w14:paraId="7960237F" w14:textId="7D34858E" w:rsidR="002A5407" w:rsidRPr="00D91B35" w:rsidRDefault="00387006" w:rsidP="002A5407">
            <w:pPr>
              <w:rPr>
                <w:rFonts w:ascii="Times New Roman" w:hAnsi="Times New Roman" w:cs="Times New Roman"/>
                <w:sz w:val="16"/>
                <w:szCs w:val="16"/>
              </w:rPr>
            </w:pPr>
            <w:r>
              <w:rPr>
                <w:rFonts w:ascii="Times New Roman" w:hAnsi="Times New Roman"/>
                <w:sz w:val="16"/>
              </w:rPr>
              <w:t>11</w:t>
            </w:r>
          </w:p>
        </w:tc>
        <w:tc>
          <w:tcPr>
            <w:tcW w:w="609" w:type="pct"/>
            <w:tcBorders>
              <w:top w:val="single" w:sz="4" w:space="0" w:color="auto"/>
            </w:tcBorders>
            <w:shd w:val="clear" w:color="auto" w:fill="FFFFFF" w:themeFill="background1"/>
          </w:tcPr>
          <w:p w14:paraId="783EA8DC" w14:textId="77777777" w:rsidR="002A5407" w:rsidRPr="00D91B35" w:rsidRDefault="002A5407" w:rsidP="002A5407">
            <w:pPr>
              <w:rPr>
                <w:rFonts w:ascii="Times New Roman" w:hAnsi="Times New Roman" w:cs="Times New Roman"/>
                <w:sz w:val="16"/>
                <w:szCs w:val="16"/>
              </w:rPr>
            </w:pPr>
          </w:p>
        </w:tc>
        <w:tc>
          <w:tcPr>
            <w:tcW w:w="237" w:type="pct"/>
            <w:tcBorders>
              <w:top w:val="single" w:sz="4" w:space="0" w:color="auto"/>
            </w:tcBorders>
            <w:shd w:val="clear" w:color="auto" w:fill="FFFFFF" w:themeFill="background1"/>
          </w:tcPr>
          <w:p w14:paraId="16E0E527" w14:textId="108B3EF5" w:rsidR="002A5407" w:rsidRPr="00D91B35" w:rsidRDefault="00387006" w:rsidP="002A5407">
            <w:pPr>
              <w:rPr>
                <w:rFonts w:ascii="Times New Roman" w:hAnsi="Times New Roman" w:cs="Times New Roman"/>
                <w:sz w:val="16"/>
                <w:szCs w:val="16"/>
              </w:rPr>
            </w:pPr>
            <w:r>
              <w:rPr>
                <w:rFonts w:ascii="Times New Roman" w:hAnsi="Times New Roman"/>
                <w:sz w:val="16"/>
              </w:rPr>
              <w:t>874,0</w:t>
            </w:r>
          </w:p>
        </w:tc>
        <w:tc>
          <w:tcPr>
            <w:tcW w:w="251" w:type="pct"/>
            <w:tcBorders>
              <w:top w:val="single" w:sz="4" w:space="0" w:color="auto"/>
            </w:tcBorders>
            <w:shd w:val="clear" w:color="auto" w:fill="FFFFFF" w:themeFill="background1"/>
          </w:tcPr>
          <w:p w14:paraId="4CC3CBEE" w14:textId="77777777" w:rsidR="002A5407" w:rsidRPr="00D91B35" w:rsidRDefault="002A5407" w:rsidP="002A5407">
            <w:pPr>
              <w:rPr>
                <w:rFonts w:ascii="Times New Roman" w:hAnsi="Times New Roman" w:cs="Times New Roman"/>
                <w:sz w:val="16"/>
                <w:szCs w:val="16"/>
              </w:rPr>
            </w:pPr>
          </w:p>
        </w:tc>
        <w:tc>
          <w:tcPr>
            <w:tcW w:w="237" w:type="pct"/>
            <w:tcBorders>
              <w:top w:val="single" w:sz="4" w:space="0" w:color="auto"/>
            </w:tcBorders>
            <w:shd w:val="clear" w:color="auto" w:fill="FFFFFF" w:themeFill="background1"/>
          </w:tcPr>
          <w:p w14:paraId="0E733D3C" w14:textId="77777777" w:rsidR="002A5407" w:rsidRPr="00D91B35" w:rsidRDefault="002A5407" w:rsidP="002A5407">
            <w:pPr>
              <w:rPr>
                <w:rFonts w:ascii="Times New Roman" w:hAnsi="Times New Roman" w:cs="Times New Roman"/>
                <w:sz w:val="16"/>
                <w:szCs w:val="16"/>
              </w:rPr>
            </w:pPr>
          </w:p>
        </w:tc>
        <w:tc>
          <w:tcPr>
            <w:tcW w:w="237" w:type="pct"/>
            <w:tcBorders>
              <w:top w:val="single" w:sz="4" w:space="0" w:color="auto"/>
            </w:tcBorders>
            <w:shd w:val="clear" w:color="auto" w:fill="FFFFFF" w:themeFill="background1"/>
          </w:tcPr>
          <w:p w14:paraId="7600DD1E" w14:textId="77777777" w:rsidR="002A5407" w:rsidRPr="00D91B35" w:rsidRDefault="002A5407" w:rsidP="002A5407">
            <w:pPr>
              <w:rPr>
                <w:rFonts w:ascii="Times New Roman" w:hAnsi="Times New Roman" w:cs="Times New Roman"/>
                <w:sz w:val="16"/>
                <w:szCs w:val="16"/>
              </w:rPr>
            </w:pPr>
          </w:p>
        </w:tc>
        <w:tc>
          <w:tcPr>
            <w:tcW w:w="237" w:type="pct"/>
            <w:tcBorders>
              <w:top w:val="single" w:sz="4" w:space="0" w:color="auto"/>
            </w:tcBorders>
            <w:shd w:val="clear" w:color="auto" w:fill="FFFFFF" w:themeFill="background1"/>
          </w:tcPr>
          <w:p w14:paraId="1A2FBC31" w14:textId="1AFEEC79" w:rsidR="002A5407" w:rsidRPr="00D91B35" w:rsidRDefault="00387006" w:rsidP="002A5407">
            <w:pPr>
              <w:rPr>
                <w:rFonts w:ascii="Times New Roman" w:hAnsi="Times New Roman" w:cs="Times New Roman"/>
                <w:sz w:val="16"/>
                <w:szCs w:val="16"/>
              </w:rPr>
            </w:pPr>
            <w:r>
              <w:rPr>
                <w:rFonts w:ascii="Times New Roman" w:hAnsi="Times New Roman"/>
                <w:sz w:val="16"/>
              </w:rPr>
              <w:t>1 352,0</w:t>
            </w:r>
          </w:p>
        </w:tc>
        <w:tc>
          <w:tcPr>
            <w:tcW w:w="237" w:type="pct"/>
            <w:tcBorders>
              <w:top w:val="single" w:sz="4" w:space="0" w:color="auto"/>
            </w:tcBorders>
            <w:shd w:val="clear" w:color="auto" w:fill="FFFFFF" w:themeFill="background1"/>
          </w:tcPr>
          <w:p w14:paraId="345353AE" w14:textId="77777777" w:rsidR="002A5407" w:rsidRPr="00D91B35" w:rsidRDefault="002A5407" w:rsidP="002A5407">
            <w:pPr>
              <w:rPr>
                <w:rFonts w:ascii="Times New Roman" w:hAnsi="Times New Roman" w:cs="Times New Roman"/>
                <w:sz w:val="16"/>
                <w:szCs w:val="16"/>
              </w:rPr>
            </w:pPr>
          </w:p>
        </w:tc>
      </w:tr>
      <w:tr w:rsidR="00077C40" w:rsidRPr="00D91B35" w14:paraId="5E15FC82" w14:textId="77777777" w:rsidTr="008A656B">
        <w:tc>
          <w:tcPr>
            <w:tcW w:w="374" w:type="pct"/>
          </w:tcPr>
          <w:p w14:paraId="27B87849" w14:textId="77777777" w:rsidR="002A5407" w:rsidRPr="00D91B35" w:rsidRDefault="002A5407" w:rsidP="002A5407">
            <w:pPr>
              <w:rPr>
                <w:rFonts w:ascii="Times New Roman" w:hAnsi="Times New Roman" w:cs="Times New Roman"/>
                <w:sz w:val="16"/>
                <w:szCs w:val="16"/>
              </w:rPr>
            </w:pPr>
          </w:p>
        </w:tc>
        <w:tc>
          <w:tcPr>
            <w:tcW w:w="231" w:type="pct"/>
          </w:tcPr>
          <w:p w14:paraId="6AEB47AF" w14:textId="77777777" w:rsidR="002A5407" w:rsidRPr="00D91B35" w:rsidRDefault="002A5407" w:rsidP="002A5407">
            <w:pPr>
              <w:rPr>
                <w:rFonts w:ascii="Times New Roman" w:hAnsi="Times New Roman" w:cs="Times New Roman"/>
                <w:sz w:val="16"/>
                <w:szCs w:val="16"/>
              </w:rPr>
            </w:pPr>
          </w:p>
        </w:tc>
        <w:tc>
          <w:tcPr>
            <w:tcW w:w="358" w:type="pct"/>
          </w:tcPr>
          <w:p w14:paraId="5F29E322" w14:textId="770C9EBA" w:rsidR="002A5407" w:rsidRPr="00D91B35" w:rsidRDefault="00387006" w:rsidP="002A5407">
            <w:pPr>
              <w:rPr>
                <w:rFonts w:ascii="Times New Roman" w:hAnsi="Times New Roman" w:cs="Times New Roman"/>
                <w:b/>
                <w:bCs/>
                <w:sz w:val="16"/>
                <w:szCs w:val="16"/>
              </w:rPr>
            </w:pPr>
            <w:r>
              <w:rPr>
                <w:rFonts w:ascii="Times New Roman" w:hAnsi="Times New Roman"/>
                <w:b/>
                <w:sz w:val="16"/>
              </w:rPr>
              <w:t>Īrija</w:t>
            </w:r>
          </w:p>
        </w:tc>
        <w:tc>
          <w:tcPr>
            <w:tcW w:w="359" w:type="pct"/>
          </w:tcPr>
          <w:p w14:paraId="64FB722E" w14:textId="6AB5EC2A" w:rsidR="002A5407" w:rsidRPr="00D91B35" w:rsidRDefault="00387006" w:rsidP="00387006">
            <w:pPr>
              <w:pStyle w:val="Default"/>
              <w:rPr>
                <w:sz w:val="16"/>
                <w:szCs w:val="16"/>
              </w:rPr>
            </w:pPr>
            <w:r>
              <w:rPr>
                <w:sz w:val="16"/>
              </w:rPr>
              <w:t>(IUNA (Irish Universities Nutrition Alliance), 2011), a)</w:t>
            </w:r>
          </w:p>
        </w:tc>
        <w:tc>
          <w:tcPr>
            <w:tcW w:w="839" w:type="pct"/>
          </w:tcPr>
          <w:p w14:paraId="1D583EF5" w14:textId="383CC13F" w:rsidR="002A5407" w:rsidRPr="00D91B35" w:rsidRDefault="00387006" w:rsidP="002A5407">
            <w:pPr>
              <w:rPr>
                <w:rFonts w:ascii="Times New Roman" w:hAnsi="Times New Roman" w:cs="Times New Roman"/>
                <w:sz w:val="16"/>
                <w:szCs w:val="16"/>
              </w:rPr>
            </w:pPr>
            <w:r>
              <w:rPr>
                <w:rFonts w:ascii="Times New Roman" w:hAnsi="Times New Roman"/>
                <w:sz w:val="16"/>
              </w:rPr>
              <w:t>7 dienu uztura pieraksts</w:t>
            </w:r>
          </w:p>
        </w:tc>
        <w:tc>
          <w:tcPr>
            <w:tcW w:w="196" w:type="pct"/>
            <w:shd w:val="clear" w:color="auto" w:fill="FFFFFF" w:themeFill="background1"/>
          </w:tcPr>
          <w:p w14:paraId="5D73F439" w14:textId="1C3CBF54" w:rsidR="002A5407" w:rsidRPr="00D91B35" w:rsidRDefault="002A5407" w:rsidP="002A5407">
            <w:pPr>
              <w:rPr>
                <w:rFonts w:ascii="Times New Roman" w:hAnsi="Times New Roman" w:cs="Times New Roman"/>
                <w:sz w:val="16"/>
                <w:szCs w:val="16"/>
              </w:rPr>
            </w:pPr>
            <w:r>
              <w:rPr>
                <w:rFonts w:ascii="Times New Roman" w:hAnsi="Times New Roman"/>
                <w:sz w:val="16"/>
              </w:rPr>
              <w:t>594</w:t>
            </w:r>
          </w:p>
        </w:tc>
        <w:tc>
          <w:tcPr>
            <w:tcW w:w="122" w:type="pct"/>
            <w:shd w:val="clear" w:color="auto" w:fill="FFFFFF" w:themeFill="background1"/>
          </w:tcPr>
          <w:p w14:paraId="446D29E4" w14:textId="77777777" w:rsidR="002A5407" w:rsidRPr="00D91B35" w:rsidRDefault="002A5407" w:rsidP="002A5407">
            <w:pPr>
              <w:rPr>
                <w:rFonts w:ascii="Times New Roman" w:hAnsi="Times New Roman" w:cs="Times New Roman"/>
                <w:sz w:val="16"/>
                <w:szCs w:val="16"/>
              </w:rPr>
            </w:pPr>
          </w:p>
        </w:tc>
        <w:tc>
          <w:tcPr>
            <w:tcW w:w="183" w:type="pct"/>
            <w:shd w:val="clear" w:color="auto" w:fill="FFFFFF" w:themeFill="background1"/>
          </w:tcPr>
          <w:p w14:paraId="2AECDAFC" w14:textId="4242FD05" w:rsidR="002A5407" w:rsidRPr="00D91B35" w:rsidRDefault="00387006" w:rsidP="002A5407">
            <w:pPr>
              <w:rPr>
                <w:rFonts w:ascii="Times New Roman" w:hAnsi="Times New Roman" w:cs="Times New Roman"/>
                <w:sz w:val="16"/>
                <w:szCs w:val="16"/>
              </w:rPr>
            </w:pPr>
            <w:r>
              <w:rPr>
                <w:rFonts w:ascii="Times New Roman" w:hAnsi="Times New Roman"/>
                <w:sz w:val="16"/>
              </w:rPr>
              <w:t>5</w:t>
            </w:r>
          </w:p>
        </w:tc>
        <w:tc>
          <w:tcPr>
            <w:tcW w:w="105" w:type="pct"/>
            <w:shd w:val="clear" w:color="auto" w:fill="FFFFFF" w:themeFill="background1"/>
          </w:tcPr>
          <w:p w14:paraId="5B99B024" w14:textId="77777777" w:rsidR="002A5407" w:rsidRPr="00D91B35" w:rsidRDefault="002A5407" w:rsidP="002A5407">
            <w:pPr>
              <w:rPr>
                <w:rFonts w:ascii="Times New Roman" w:hAnsi="Times New Roman" w:cs="Times New Roman"/>
                <w:sz w:val="16"/>
                <w:szCs w:val="16"/>
              </w:rPr>
            </w:pPr>
          </w:p>
        </w:tc>
        <w:tc>
          <w:tcPr>
            <w:tcW w:w="186" w:type="pct"/>
            <w:shd w:val="clear" w:color="auto" w:fill="FFFFFF" w:themeFill="background1"/>
          </w:tcPr>
          <w:p w14:paraId="32073091" w14:textId="5D1D6920" w:rsidR="002A5407" w:rsidRPr="00D91B35" w:rsidRDefault="00387006" w:rsidP="002A5407">
            <w:pPr>
              <w:rPr>
                <w:rFonts w:ascii="Times New Roman" w:hAnsi="Times New Roman" w:cs="Times New Roman"/>
                <w:sz w:val="16"/>
                <w:szCs w:val="16"/>
              </w:rPr>
            </w:pPr>
            <w:r>
              <w:rPr>
                <w:rFonts w:ascii="Times New Roman" w:hAnsi="Times New Roman"/>
                <w:sz w:val="16"/>
              </w:rPr>
              <w:t>12</w:t>
            </w:r>
          </w:p>
        </w:tc>
        <w:tc>
          <w:tcPr>
            <w:tcW w:w="609" w:type="pct"/>
            <w:shd w:val="clear" w:color="auto" w:fill="FFFFFF" w:themeFill="background1"/>
          </w:tcPr>
          <w:p w14:paraId="58DEFC32"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7D7DFBFA" w14:textId="0AD75DAF" w:rsidR="002A5407" w:rsidRPr="00D91B35" w:rsidRDefault="00387006" w:rsidP="002A5407">
            <w:pPr>
              <w:rPr>
                <w:rFonts w:ascii="Times New Roman" w:hAnsi="Times New Roman" w:cs="Times New Roman"/>
                <w:sz w:val="16"/>
                <w:szCs w:val="16"/>
              </w:rPr>
            </w:pPr>
            <w:r>
              <w:rPr>
                <w:rFonts w:ascii="Times New Roman" w:hAnsi="Times New Roman"/>
                <w:sz w:val="16"/>
              </w:rPr>
              <w:t>862,0</w:t>
            </w:r>
          </w:p>
        </w:tc>
        <w:tc>
          <w:tcPr>
            <w:tcW w:w="251" w:type="pct"/>
            <w:shd w:val="clear" w:color="auto" w:fill="FFFFFF" w:themeFill="background1"/>
          </w:tcPr>
          <w:p w14:paraId="6538A2A6"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48C4ABD2"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3C00783F"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7911E45F" w14:textId="710F096E" w:rsidR="002A5407" w:rsidRPr="00D91B35" w:rsidRDefault="00387006" w:rsidP="002A5407">
            <w:pPr>
              <w:rPr>
                <w:rFonts w:ascii="Times New Roman" w:hAnsi="Times New Roman" w:cs="Times New Roman"/>
                <w:sz w:val="16"/>
                <w:szCs w:val="16"/>
              </w:rPr>
            </w:pPr>
            <w:r>
              <w:rPr>
                <w:rFonts w:ascii="Times New Roman" w:hAnsi="Times New Roman"/>
                <w:sz w:val="16"/>
              </w:rPr>
              <w:t>1 433,0</w:t>
            </w:r>
          </w:p>
        </w:tc>
        <w:tc>
          <w:tcPr>
            <w:tcW w:w="237" w:type="pct"/>
            <w:shd w:val="clear" w:color="auto" w:fill="FFFFFF" w:themeFill="background1"/>
          </w:tcPr>
          <w:p w14:paraId="3E730866" w14:textId="77777777" w:rsidR="002A5407" w:rsidRPr="00D91B35" w:rsidRDefault="002A5407" w:rsidP="002A5407">
            <w:pPr>
              <w:rPr>
                <w:rFonts w:ascii="Times New Roman" w:hAnsi="Times New Roman" w:cs="Times New Roman"/>
                <w:sz w:val="16"/>
                <w:szCs w:val="16"/>
              </w:rPr>
            </w:pPr>
          </w:p>
        </w:tc>
      </w:tr>
      <w:tr w:rsidR="00077C40" w:rsidRPr="00D91B35" w14:paraId="74434DF4" w14:textId="77777777" w:rsidTr="008A656B">
        <w:tc>
          <w:tcPr>
            <w:tcW w:w="374" w:type="pct"/>
          </w:tcPr>
          <w:p w14:paraId="50695F00" w14:textId="77777777" w:rsidR="002A5407" w:rsidRPr="00D91B35" w:rsidRDefault="002A5407" w:rsidP="002A5407">
            <w:pPr>
              <w:rPr>
                <w:rFonts w:ascii="Times New Roman" w:hAnsi="Times New Roman" w:cs="Times New Roman"/>
                <w:sz w:val="16"/>
                <w:szCs w:val="16"/>
              </w:rPr>
            </w:pPr>
          </w:p>
        </w:tc>
        <w:tc>
          <w:tcPr>
            <w:tcW w:w="231" w:type="pct"/>
          </w:tcPr>
          <w:p w14:paraId="756E508C" w14:textId="77777777" w:rsidR="002A5407" w:rsidRPr="00D91B35" w:rsidRDefault="002A5407" w:rsidP="002A5407">
            <w:pPr>
              <w:rPr>
                <w:rFonts w:ascii="Times New Roman" w:hAnsi="Times New Roman" w:cs="Times New Roman"/>
                <w:sz w:val="16"/>
                <w:szCs w:val="16"/>
              </w:rPr>
            </w:pPr>
          </w:p>
        </w:tc>
        <w:tc>
          <w:tcPr>
            <w:tcW w:w="358" w:type="pct"/>
          </w:tcPr>
          <w:p w14:paraId="24150AFD" w14:textId="7351B06D" w:rsidR="002A5407" w:rsidRPr="00D91B35" w:rsidRDefault="00387006" w:rsidP="002A5407">
            <w:pPr>
              <w:rPr>
                <w:rFonts w:ascii="Times New Roman" w:hAnsi="Times New Roman" w:cs="Times New Roman"/>
                <w:b/>
                <w:bCs/>
                <w:sz w:val="16"/>
                <w:szCs w:val="16"/>
              </w:rPr>
            </w:pPr>
            <w:r>
              <w:rPr>
                <w:rFonts w:ascii="Times New Roman" w:hAnsi="Times New Roman"/>
                <w:b/>
                <w:sz w:val="16"/>
              </w:rPr>
              <w:t>Polija</w:t>
            </w:r>
          </w:p>
        </w:tc>
        <w:tc>
          <w:tcPr>
            <w:tcW w:w="359" w:type="pct"/>
          </w:tcPr>
          <w:p w14:paraId="565356C3" w14:textId="7E97205E" w:rsidR="002A5407" w:rsidRPr="00D91B35" w:rsidRDefault="00387006" w:rsidP="00387006">
            <w:pPr>
              <w:pStyle w:val="Default"/>
              <w:rPr>
                <w:sz w:val="16"/>
                <w:szCs w:val="16"/>
              </w:rPr>
            </w:pPr>
            <w:r>
              <w:rPr>
                <w:sz w:val="16"/>
              </w:rPr>
              <w:t>(Flynn et al., 2009)</w:t>
            </w:r>
          </w:p>
        </w:tc>
        <w:tc>
          <w:tcPr>
            <w:tcW w:w="839" w:type="pct"/>
          </w:tcPr>
          <w:p w14:paraId="56346249" w14:textId="79EE0CB1" w:rsidR="002A5407" w:rsidRPr="00D91B35" w:rsidRDefault="00387006" w:rsidP="002A5407">
            <w:pPr>
              <w:rPr>
                <w:rFonts w:ascii="Times New Roman" w:hAnsi="Times New Roman" w:cs="Times New Roman"/>
                <w:sz w:val="16"/>
                <w:szCs w:val="16"/>
              </w:rPr>
            </w:pPr>
            <w:r>
              <w:rPr>
                <w:rFonts w:ascii="Times New Roman" w:hAnsi="Times New Roman"/>
                <w:sz w:val="16"/>
              </w:rPr>
              <w:t>24 stundu atcerēšanās anketa</w:t>
            </w:r>
          </w:p>
        </w:tc>
        <w:tc>
          <w:tcPr>
            <w:tcW w:w="196" w:type="pct"/>
            <w:shd w:val="clear" w:color="auto" w:fill="FFFFFF" w:themeFill="background1"/>
          </w:tcPr>
          <w:p w14:paraId="32AB767E" w14:textId="344B5CE9" w:rsidR="002A5407" w:rsidRPr="00D91B35" w:rsidRDefault="002A5407" w:rsidP="002A5407">
            <w:pPr>
              <w:rPr>
                <w:rFonts w:ascii="Times New Roman" w:hAnsi="Times New Roman" w:cs="Times New Roman"/>
                <w:sz w:val="16"/>
                <w:szCs w:val="16"/>
              </w:rPr>
            </w:pPr>
            <w:r>
              <w:rPr>
                <w:rFonts w:ascii="Times New Roman" w:hAnsi="Times New Roman"/>
                <w:sz w:val="16"/>
              </w:rPr>
              <w:t>455</w:t>
            </w:r>
          </w:p>
        </w:tc>
        <w:tc>
          <w:tcPr>
            <w:tcW w:w="122" w:type="pct"/>
            <w:shd w:val="clear" w:color="auto" w:fill="FFFFFF" w:themeFill="background1"/>
          </w:tcPr>
          <w:p w14:paraId="76ED8FCB" w14:textId="77777777" w:rsidR="002A5407" w:rsidRPr="00D91B35" w:rsidRDefault="002A5407" w:rsidP="002A5407">
            <w:pPr>
              <w:rPr>
                <w:rFonts w:ascii="Times New Roman" w:hAnsi="Times New Roman" w:cs="Times New Roman"/>
                <w:sz w:val="16"/>
                <w:szCs w:val="16"/>
              </w:rPr>
            </w:pPr>
          </w:p>
        </w:tc>
        <w:tc>
          <w:tcPr>
            <w:tcW w:w="183" w:type="pct"/>
            <w:shd w:val="clear" w:color="auto" w:fill="FFFFFF" w:themeFill="background1"/>
          </w:tcPr>
          <w:p w14:paraId="12B25EA7" w14:textId="1EF17E03" w:rsidR="002A5407" w:rsidRPr="00D91B35" w:rsidRDefault="00387006" w:rsidP="002A5407">
            <w:pPr>
              <w:rPr>
                <w:rFonts w:ascii="Times New Roman" w:hAnsi="Times New Roman" w:cs="Times New Roman"/>
                <w:sz w:val="16"/>
                <w:szCs w:val="16"/>
              </w:rPr>
            </w:pPr>
            <w:r>
              <w:rPr>
                <w:rFonts w:ascii="Times New Roman" w:hAnsi="Times New Roman"/>
                <w:sz w:val="16"/>
              </w:rPr>
              <w:t>4</w:t>
            </w:r>
          </w:p>
        </w:tc>
        <w:tc>
          <w:tcPr>
            <w:tcW w:w="105" w:type="pct"/>
            <w:shd w:val="clear" w:color="auto" w:fill="FFFFFF" w:themeFill="background1"/>
          </w:tcPr>
          <w:p w14:paraId="5FE5E28A" w14:textId="77777777" w:rsidR="002A5407" w:rsidRPr="00D91B35" w:rsidRDefault="002A5407" w:rsidP="002A5407">
            <w:pPr>
              <w:rPr>
                <w:rFonts w:ascii="Times New Roman" w:hAnsi="Times New Roman" w:cs="Times New Roman"/>
                <w:sz w:val="16"/>
                <w:szCs w:val="16"/>
              </w:rPr>
            </w:pPr>
          </w:p>
        </w:tc>
        <w:tc>
          <w:tcPr>
            <w:tcW w:w="186" w:type="pct"/>
            <w:shd w:val="clear" w:color="auto" w:fill="FFFFFF" w:themeFill="background1"/>
          </w:tcPr>
          <w:p w14:paraId="1130B8FA" w14:textId="3A5F94DC" w:rsidR="002A5407" w:rsidRPr="00D91B35" w:rsidRDefault="00387006" w:rsidP="002A5407">
            <w:pPr>
              <w:rPr>
                <w:rFonts w:ascii="Times New Roman" w:hAnsi="Times New Roman" w:cs="Times New Roman"/>
                <w:sz w:val="16"/>
                <w:szCs w:val="16"/>
              </w:rPr>
            </w:pPr>
            <w:r>
              <w:rPr>
                <w:rFonts w:ascii="Times New Roman" w:hAnsi="Times New Roman"/>
                <w:sz w:val="16"/>
              </w:rPr>
              <w:t>10</w:t>
            </w:r>
          </w:p>
        </w:tc>
        <w:tc>
          <w:tcPr>
            <w:tcW w:w="609" w:type="pct"/>
            <w:shd w:val="clear" w:color="auto" w:fill="FFFFFF" w:themeFill="background1"/>
          </w:tcPr>
          <w:p w14:paraId="1535176E" w14:textId="091A78FF" w:rsidR="002A5407" w:rsidRPr="00D91B35" w:rsidRDefault="002A5407" w:rsidP="002A5407">
            <w:pPr>
              <w:pStyle w:val="Default"/>
              <w:rPr>
                <w:sz w:val="16"/>
                <w:szCs w:val="16"/>
              </w:rPr>
            </w:pPr>
          </w:p>
        </w:tc>
        <w:tc>
          <w:tcPr>
            <w:tcW w:w="237" w:type="pct"/>
            <w:shd w:val="clear" w:color="auto" w:fill="FFFFFF" w:themeFill="background1"/>
          </w:tcPr>
          <w:p w14:paraId="30D08AD0" w14:textId="415ADB58" w:rsidR="002A5407" w:rsidRPr="00D91B35" w:rsidRDefault="00387006" w:rsidP="002A5407">
            <w:pPr>
              <w:rPr>
                <w:rFonts w:ascii="Times New Roman" w:hAnsi="Times New Roman" w:cs="Times New Roman"/>
                <w:sz w:val="16"/>
                <w:szCs w:val="16"/>
              </w:rPr>
            </w:pPr>
            <w:r>
              <w:rPr>
                <w:rFonts w:ascii="Times New Roman" w:hAnsi="Times New Roman"/>
                <w:sz w:val="16"/>
              </w:rPr>
              <w:t>598,0</w:t>
            </w:r>
          </w:p>
        </w:tc>
        <w:tc>
          <w:tcPr>
            <w:tcW w:w="251" w:type="pct"/>
            <w:shd w:val="clear" w:color="auto" w:fill="FFFFFF" w:themeFill="background1"/>
          </w:tcPr>
          <w:p w14:paraId="4B6A1BB6"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40B60044"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213500CE"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096C98FC" w14:textId="5F08C4EE" w:rsidR="002A5407" w:rsidRPr="00D91B35" w:rsidRDefault="00387006" w:rsidP="002A5407">
            <w:pPr>
              <w:rPr>
                <w:rFonts w:ascii="Times New Roman" w:hAnsi="Times New Roman" w:cs="Times New Roman"/>
                <w:sz w:val="16"/>
                <w:szCs w:val="16"/>
              </w:rPr>
            </w:pPr>
            <w:r>
              <w:rPr>
                <w:rFonts w:ascii="Times New Roman" w:hAnsi="Times New Roman"/>
                <w:sz w:val="16"/>
              </w:rPr>
              <w:t>1 134,0</w:t>
            </w:r>
          </w:p>
        </w:tc>
        <w:tc>
          <w:tcPr>
            <w:tcW w:w="237" w:type="pct"/>
            <w:shd w:val="clear" w:color="auto" w:fill="FFFFFF" w:themeFill="background1"/>
          </w:tcPr>
          <w:p w14:paraId="2635AD3A" w14:textId="77777777" w:rsidR="002A5407" w:rsidRPr="00D91B35" w:rsidRDefault="002A5407" w:rsidP="002A5407">
            <w:pPr>
              <w:rPr>
                <w:rFonts w:ascii="Times New Roman" w:hAnsi="Times New Roman" w:cs="Times New Roman"/>
                <w:sz w:val="16"/>
                <w:szCs w:val="16"/>
              </w:rPr>
            </w:pPr>
          </w:p>
        </w:tc>
      </w:tr>
      <w:tr w:rsidR="00077C40" w:rsidRPr="00D91B35" w14:paraId="105946E9" w14:textId="77777777" w:rsidTr="008A656B">
        <w:tc>
          <w:tcPr>
            <w:tcW w:w="374" w:type="pct"/>
          </w:tcPr>
          <w:p w14:paraId="7C3BFA5C" w14:textId="5C09476A" w:rsidR="002A5407" w:rsidRPr="00D91B35" w:rsidRDefault="00387006" w:rsidP="002A5407">
            <w:pPr>
              <w:rPr>
                <w:rFonts w:ascii="Times New Roman" w:hAnsi="Times New Roman" w:cs="Times New Roman"/>
                <w:b/>
                <w:bCs/>
                <w:sz w:val="16"/>
                <w:szCs w:val="16"/>
              </w:rPr>
            </w:pPr>
            <w:r>
              <w:rPr>
                <w:rFonts w:ascii="Times New Roman" w:hAnsi="Times New Roman"/>
                <w:b/>
                <w:sz w:val="16"/>
              </w:rPr>
              <w:t>Pārtika un uztura bagātinātāji</w:t>
            </w:r>
          </w:p>
        </w:tc>
        <w:tc>
          <w:tcPr>
            <w:tcW w:w="231" w:type="pct"/>
          </w:tcPr>
          <w:p w14:paraId="240091BC" w14:textId="2592D0A2" w:rsidR="002A5407" w:rsidRPr="00D91B35" w:rsidRDefault="00387006" w:rsidP="002A5407">
            <w:pPr>
              <w:rPr>
                <w:rFonts w:ascii="Times New Roman" w:hAnsi="Times New Roman" w:cs="Times New Roman"/>
                <w:b/>
                <w:bCs/>
                <w:sz w:val="16"/>
                <w:szCs w:val="16"/>
              </w:rPr>
            </w:pPr>
            <w:r>
              <w:rPr>
                <w:rFonts w:ascii="Times New Roman" w:hAnsi="Times New Roman"/>
                <w:b/>
                <w:sz w:val="16"/>
              </w:rPr>
              <w:t>Zēni un meitenes</w:t>
            </w:r>
          </w:p>
        </w:tc>
        <w:tc>
          <w:tcPr>
            <w:tcW w:w="358" w:type="pct"/>
          </w:tcPr>
          <w:p w14:paraId="44E3ABF1" w14:textId="2C634C10" w:rsidR="002A5407" w:rsidRPr="00D91B35" w:rsidRDefault="00387006" w:rsidP="002A5407">
            <w:pPr>
              <w:rPr>
                <w:rFonts w:ascii="Times New Roman" w:hAnsi="Times New Roman" w:cs="Times New Roman"/>
                <w:b/>
                <w:bCs/>
                <w:sz w:val="16"/>
                <w:szCs w:val="16"/>
              </w:rPr>
            </w:pPr>
            <w:r>
              <w:rPr>
                <w:rFonts w:ascii="Times New Roman" w:hAnsi="Times New Roman"/>
                <w:b/>
                <w:sz w:val="16"/>
              </w:rPr>
              <w:t>Spānija</w:t>
            </w:r>
          </w:p>
        </w:tc>
        <w:tc>
          <w:tcPr>
            <w:tcW w:w="359" w:type="pct"/>
          </w:tcPr>
          <w:p w14:paraId="6D4823CD" w14:textId="06523C1E" w:rsidR="002A5407" w:rsidRPr="00D91B35" w:rsidRDefault="00387006" w:rsidP="00387006">
            <w:pPr>
              <w:pStyle w:val="Default"/>
              <w:rPr>
                <w:sz w:val="16"/>
                <w:szCs w:val="16"/>
              </w:rPr>
            </w:pPr>
            <w:r>
              <w:rPr>
                <w:sz w:val="16"/>
              </w:rPr>
              <w:t>(Flynn et al., 2009)</w:t>
            </w:r>
          </w:p>
        </w:tc>
        <w:tc>
          <w:tcPr>
            <w:tcW w:w="839" w:type="pct"/>
          </w:tcPr>
          <w:p w14:paraId="039254DB" w14:textId="241ACA56" w:rsidR="002A5407" w:rsidRPr="00D91B35" w:rsidRDefault="00387006" w:rsidP="00387006">
            <w:pPr>
              <w:pStyle w:val="Default"/>
              <w:rPr>
                <w:sz w:val="16"/>
                <w:szCs w:val="16"/>
              </w:rPr>
            </w:pPr>
            <w:r>
              <w:rPr>
                <w:sz w:val="16"/>
              </w:rPr>
              <w:t>24 stundu atcerēšanās anketa un aptauja pārtikas produktu lietošanas biežuma noteikšanai, vēl viens 24 stundu atcerēšanās anketa 25–30 % no izlases</w:t>
            </w:r>
          </w:p>
        </w:tc>
        <w:tc>
          <w:tcPr>
            <w:tcW w:w="196" w:type="pct"/>
            <w:shd w:val="clear" w:color="auto" w:fill="FFFFFF" w:themeFill="background1"/>
          </w:tcPr>
          <w:p w14:paraId="1FCDFFE5" w14:textId="61CB582B" w:rsidR="002A5407" w:rsidRPr="00D91B35" w:rsidRDefault="00387006" w:rsidP="002A5407">
            <w:pPr>
              <w:rPr>
                <w:rFonts w:ascii="Times New Roman" w:hAnsi="Times New Roman" w:cs="Times New Roman"/>
                <w:sz w:val="16"/>
                <w:szCs w:val="16"/>
              </w:rPr>
            </w:pPr>
            <w:r>
              <w:rPr>
                <w:rFonts w:ascii="Times New Roman" w:hAnsi="Times New Roman"/>
                <w:sz w:val="16"/>
              </w:rPr>
              <w:t>723</w:t>
            </w:r>
          </w:p>
        </w:tc>
        <w:tc>
          <w:tcPr>
            <w:tcW w:w="122" w:type="pct"/>
            <w:shd w:val="clear" w:color="auto" w:fill="FFFFFF" w:themeFill="background1"/>
          </w:tcPr>
          <w:p w14:paraId="3CDEBFB8" w14:textId="77777777" w:rsidR="002A5407" w:rsidRPr="00D91B35" w:rsidRDefault="002A5407" w:rsidP="002A5407">
            <w:pPr>
              <w:rPr>
                <w:rFonts w:ascii="Times New Roman" w:hAnsi="Times New Roman" w:cs="Times New Roman"/>
                <w:sz w:val="16"/>
                <w:szCs w:val="16"/>
              </w:rPr>
            </w:pPr>
          </w:p>
        </w:tc>
        <w:tc>
          <w:tcPr>
            <w:tcW w:w="183" w:type="pct"/>
            <w:shd w:val="clear" w:color="auto" w:fill="FFFFFF" w:themeFill="background1"/>
          </w:tcPr>
          <w:p w14:paraId="486DD347" w14:textId="510250A6" w:rsidR="002A5407" w:rsidRPr="00D91B35" w:rsidRDefault="00387006" w:rsidP="002A5407">
            <w:pPr>
              <w:rPr>
                <w:rFonts w:ascii="Times New Roman" w:hAnsi="Times New Roman" w:cs="Times New Roman"/>
                <w:sz w:val="16"/>
                <w:szCs w:val="16"/>
              </w:rPr>
            </w:pPr>
            <w:r>
              <w:rPr>
                <w:rFonts w:ascii="Times New Roman" w:hAnsi="Times New Roman"/>
                <w:sz w:val="16"/>
              </w:rPr>
              <w:t>4</w:t>
            </w:r>
          </w:p>
        </w:tc>
        <w:tc>
          <w:tcPr>
            <w:tcW w:w="105" w:type="pct"/>
            <w:shd w:val="clear" w:color="auto" w:fill="FFFFFF" w:themeFill="background1"/>
          </w:tcPr>
          <w:p w14:paraId="384F380A" w14:textId="77777777" w:rsidR="002A5407" w:rsidRPr="00D91B35" w:rsidRDefault="002A5407" w:rsidP="002A5407">
            <w:pPr>
              <w:rPr>
                <w:rFonts w:ascii="Times New Roman" w:hAnsi="Times New Roman" w:cs="Times New Roman"/>
                <w:sz w:val="16"/>
                <w:szCs w:val="16"/>
              </w:rPr>
            </w:pPr>
          </w:p>
        </w:tc>
        <w:tc>
          <w:tcPr>
            <w:tcW w:w="186" w:type="pct"/>
            <w:shd w:val="clear" w:color="auto" w:fill="FFFFFF" w:themeFill="background1"/>
          </w:tcPr>
          <w:p w14:paraId="5225AB07" w14:textId="0FDC6F48" w:rsidR="002A5407" w:rsidRPr="00D91B35" w:rsidRDefault="00387006" w:rsidP="002A5407">
            <w:pPr>
              <w:rPr>
                <w:rFonts w:ascii="Times New Roman" w:hAnsi="Times New Roman" w:cs="Times New Roman"/>
                <w:sz w:val="16"/>
                <w:szCs w:val="16"/>
              </w:rPr>
            </w:pPr>
            <w:r>
              <w:rPr>
                <w:rFonts w:ascii="Times New Roman" w:hAnsi="Times New Roman"/>
                <w:sz w:val="16"/>
              </w:rPr>
              <w:t>10</w:t>
            </w:r>
          </w:p>
        </w:tc>
        <w:tc>
          <w:tcPr>
            <w:tcW w:w="609" w:type="pct"/>
            <w:shd w:val="clear" w:color="auto" w:fill="FFFFFF" w:themeFill="background1"/>
          </w:tcPr>
          <w:p w14:paraId="0A1F0BC1" w14:textId="02E9A2E2" w:rsidR="002A5407" w:rsidRPr="00D91B35" w:rsidRDefault="00387006" w:rsidP="002A5407">
            <w:pPr>
              <w:rPr>
                <w:rFonts w:ascii="Times New Roman" w:hAnsi="Times New Roman" w:cs="Times New Roman"/>
                <w:sz w:val="16"/>
                <w:szCs w:val="16"/>
              </w:rPr>
            </w:pPr>
            <w:r>
              <w:rPr>
                <w:rFonts w:ascii="Times New Roman" w:hAnsi="Times New Roman"/>
                <w:sz w:val="16"/>
              </w:rPr>
              <w:t>Ieskaitot bagātinātu pārtiku</w:t>
            </w:r>
          </w:p>
        </w:tc>
        <w:tc>
          <w:tcPr>
            <w:tcW w:w="237" w:type="pct"/>
            <w:shd w:val="clear" w:color="auto" w:fill="FFFFFF" w:themeFill="background1"/>
          </w:tcPr>
          <w:p w14:paraId="6412A747" w14:textId="3DD403B5" w:rsidR="002A5407" w:rsidRPr="00D91B35" w:rsidRDefault="00387006" w:rsidP="002A5407">
            <w:pPr>
              <w:rPr>
                <w:rFonts w:ascii="Times New Roman" w:hAnsi="Times New Roman" w:cs="Times New Roman"/>
                <w:sz w:val="16"/>
                <w:szCs w:val="16"/>
              </w:rPr>
            </w:pPr>
            <w:r>
              <w:rPr>
                <w:rFonts w:ascii="Times New Roman" w:hAnsi="Times New Roman"/>
                <w:sz w:val="16"/>
              </w:rPr>
              <w:t>898,0</w:t>
            </w:r>
          </w:p>
        </w:tc>
        <w:tc>
          <w:tcPr>
            <w:tcW w:w="251" w:type="pct"/>
            <w:shd w:val="clear" w:color="auto" w:fill="FFFFFF" w:themeFill="background1"/>
          </w:tcPr>
          <w:p w14:paraId="3AA84987"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651987BF"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1F79A413"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18981FC8" w14:textId="18611707" w:rsidR="002A5407" w:rsidRPr="00D91B35" w:rsidRDefault="00387006" w:rsidP="002A5407">
            <w:pPr>
              <w:rPr>
                <w:rFonts w:ascii="Times New Roman" w:hAnsi="Times New Roman" w:cs="Times New Roman"/>
                <w:sz w:val="16"/>
                <w:szCs w:val="16"/>
              </w:rPr>
            </w:pPr>
            <w:r>
              <w:rPr>
                <w:rFonts w:ascii="Times New Roman" w:hAnsi="Times New Roman"/>
                <w:sz w:val="16"/>
              </w:rPr>
              <w:t>1 151,0</w:t>
            </w:r>
          </w:p>
        </w:tc>
        <w:tc>
          <w:tcPr>
            <w:tcW w:w="237" w:type="pct"/>
            <w:shd w:val="clear" w:color="auto" w:fill="FFFFFF" w:themeFill="background1"/>
          </w:tcPr>
          <w:p w14:paraId="1F07FBF2" w14:textId="77777777" w:rsidR="002A5407" w:rsidRPr="00D91B35" w:rsidRDefault="002A5407" w:rsidP="002A5407">
            <w:pPr>
              <w:rPr>
                <w:rFonts w:ascii="Times New Roman" w:hAnsi="Times New Roman" w:cs="Times New Roman"/>
                <w:sz w:val="16"/>
                <w:szCs w:val="16"/>
              </w:rPr>
            </w:pPr>
          </w:p>
        </w:tc>
      </w:tr>
      <w:tr w:rsidR="00077C40" w:rsidRPr="00D91B35" w14:paraId="0CFC872E" w14:textId="77777777" w:rsidTr="008A656B">
        <w:tc>
          <w:tcPr>
            <w:tcW w:w="374" w:type="pct"/>
          </w:tcPr>
          <w:p w14:paraId="1B45DD45" w14:textId="77777777" w:rsidR="002A5407" w:rsidRPr="00D91B35" w:rsidRDefault="002A5407" w:rsidP="002A5407">
            <w:pPr>
              <w:rPr>
                <w:rFonts w:ascii="Times New Roman" w:hAnsi="Times New Roman" w:cs="Times New Roman"/>
                <w:sz w:val="16"/>
                <w:szCs w:val="16"/>
              </w:rPr>
            </w:pPr>
          </w:p>
        </w:tc>
        <w:tc>
          <w:tcPr>
            <w:tcW w:w="231" w:type="pct"/>
          </w:tcPr>
          <w:p w14:paraId="62466393" w14:textId="77777777" w:rsidR="002A5407" w:rsidRPr="00D91B35" w:rsidRDefault="002A5407" w:rsidP="002A5407">
            <w:pPr>
              <w:rPr>
                <w:rFonts w:ascii="Times New Roman" w:hAnsi="Times New Roman" w:cs="Times New Roman"/>
                <w:sz w:val="16"/>
                <w:szCs w:val="16"/>
              </w:rPr>
            </w:pPr>
          </w:p>
        </w:tc>
        <w:tc>
          <w:tcPr>
            <w:tcW w:w="358" w:type="pct"/>
          </w:tcPr>
          <w:p w14:paraId="4166F17E" w14:textId="46E93A45" w:rsidR="002A5407" w:rsidRPr="00D91B35" w:rsidRDefault="00387006" w:rsidP="002A5407">
            <w:pPr>
              <w:rPr>
                <w:rFonts w:ascii="Times New Roman" w:hAnsi="Times New Roman" w:cs="Times New Roman"/>
                <w:b/>
                <w:bCs/>
                <w:sz w:val="16"/>
                <w:szCs w:val="16"/>
              </w:rPr>
            </w:pPr>
            <w:r>
              <w:rPr>
                <w:rFonts w:ascii="Times New Roman" w:hAnsi="Times New Roman"/>
                <w:b/>
                <w:sz w:val="16"/>
              </w:rPr>
              <w:t>Zviedrija</w:t>
            </w:r>
          </w:p>
        </w:tc>
        <w:tc>
          <w:tcPr>
            <w:tcW w:w="359" w:type="pct"/>
          </w:tcPr>
          <w:p w14:paraId="254B489D" w14:textId="05056EE5" w:rsidR="002A5407" w:rsidRPr="00D91B35" w:rsidRDefault="00387006" w:rsidP="00387006">
            <w:pPr>
              <w:pStyle w:val="Default"/>
              <w:rPr>
                <w:sz w:val="16"/>
                <w:szCs w:val="16"/>
              </w:rPr>
            </w:pPr>
            <w:r>
              <w:rPr>
                <w:sz w:val="16"/>
              </w:rPr>
              <w:t>(Enghardt-Barbieri et al., 2006)</w:t>
            </w:r>
          </w:p>
        </w:tc>
        <w:tc>
          <w:tcPr>
            <w:tcW w:w="839" w:type="pct"/>
          </w:tcPr>
          <w:p w14:paraId="542D80B5" w14:textId="3091F7AE" w:rsidR="002A5407" w:rsidRPr="00D91B35" w:rsidRDefault="00387006" w:rsidP="002A5407">
            <w:pPr>
              <w:rPr>
                <w:rFonts w:ascii="Times New Roman" w:hAnsi="Times New Roman" w:cs="Times New Roman"/>
                <w:sz w:val="16"/>
                <w:szCs w:val="16"/>
              </w:rPr>
            </w:pPr>
            <w:r>
              <w:rPr>
                <w:rFonts w:ascii="Times New Roman" w:hAnsi="Times New Roman"/>
                <w:sz w:val="16"/>
              </w:rPr>
              <w:t>4 dienu uztura pieraksts</w:t>
            </w:r>
          </w:p>
        </w:tc>
        <w:tc>
          <w:tcPr>
            <w:tcW w:w="196" w:type="pct"/>
            <w:shd w:val="clear" w:color="auto" w:fill="FFFFFF" w:themeFill="background1"/>
          </w:tcPr>
          <w:p w14:paraId="70AF7924" w14:textId="41E09D74" w:rsidR="002A5407" w:rsidRPr="00D91B35" w:rsidRDefault="00387006" w:rsidP="002A5407">
            <w:pPr>
              <w:rPr>
                <w:rFonts w:ascii="Times New Roman" w:hAnsi="Times New Roman" w:cs="Times New Roman"/>
                <w:sz w:val="16"/>
                <w:szCs w:val="16"/>
              </w:rPr>
            </w:pPr>
            <w:r>
              <w:rPr>
                <w:rFonts w:ascii="Times New Roman" w:hAnsi="Times New Roman"/>
                <w:sz w:val="16"/>
              </w:rPr>
              <w:t>590</w:t>
            </w:r>
          </w:p>
        </w:tc>
        <w:tc>
          <w:tcPr>
            <w:tcW w:w="122" w:type="pct"/>
            <w:shd w:val="clear" w:color="auto" w:fill="FFFFFF" w:themeFill="background1"/>
          </w:tcPr>
          <w:p w14:paraId="16C74EAB" w14:textId="205CB811" w:rsidR="002A5407" w:rsidRPr="00D91B35" w:rsidRDefault="002A5407" w:rsidP="002A5407">
            <w:pPr>
              <w:rPr>
                <w:rFonts w:ascii="Times New Roman" w:hAnsi="Times New Roman" w:cs="Times New Roman"/>
                <w:sz w:val="16"/>
                <w:szCs w:val="16"/>
              </w:rPr>
            </w:pPr>
          </w:p>
        </w:tc>
        <w:tc>
          <w:tcPr>
            <w:tcW w:w="183" w:type="pct"/>
            <w:shd w:val="clear" w:color="auto" w:fill="FFFFFF" w:themeFill="background1"/>
          </w:tcPr>
          <w:p w14:paraId="7721C1DF" w14:textId="200E2EE2" w:rsidR="002A5407" w:rsidRPr="00D91B35" w:rsidRDefault="00387006" w:rsidP="002A5407">
            <w:pPr>
              <w:rPr>
                <w:rFonts w:ascii="Times New Roman" w:hAnsi="Times New Roman" w:cs="Times New Roman"/>
                <w:sz w:val="16"/>
                <w:szCs w:val="16"/>
              </w:rPr>
            </w:pPr>
            <w:r>
              <w:rPr>
                <w:rFonts w:ascii="Times New Roman" w:hAnsi="Times New Roman"/>
                <w:sz w:val="16"/>
              </w:rPr>
              <w:t>4</w:t>
            </w:r>
          </w:p>
        </w:tc>
        <w:tc>
          <w:tcPr>
            <w:tcW w:w="105" w:type="pct"/>
            <w:shd w:val="clear" w:color="auto" w:fill="FFFFFF" w:themeFill="background1"/>
          </w:tcPr>
          <w:p w14:paraId="65177A5A" w14:textId="77777777" w:rsidR="002A5407" w:rsidRPr="00D91B35" w:rsidRDefault="002A5407" w:rsidP="002A5407">
            <w:pPr>
              <w:rPr>
                <w:rFonts w:ascii="Times New Roman" w:hAnsi="Times New Roman" w:cs="Times New Roman"/>
                <w:sz w:val="16"/>
                <w:szCs w:val="16"/>
              </w:rPr>
            </w:pPr>
          </w:p>
        </w:tc>
        <w:tc>
          <w:tcPr>
            <w:tcW w:w="186" w:type="pct"/>
            <w:shd w:val="clear" w:color="auto" w:fill="FFFFFF" w:themeFill="background1"/>
          </w:tcPr>
          <w:p w14:paraId="50BDAFBA" w14:textId="5B294B3F" w:rsidR="002A5407" w:rsidRPr="00D91B35" w:rsidRDefault="00387006" w:rsidP="002A5407">
            <w:pPr>
              <w:rPr>
                <w:rFonts w:ascii="Times New Roman" w:hAnsi="Times New Roman" w:cs="Times New Roman"/>
                <w:sz w:val="16"/>
                <w:szCs w:val="16"/>
              </w:rPr>
            </w:pPr>
            <w:r>
              <w:rPr>
                <w:rFonts w:ascii="Times New Roman" w:hAnsi="Times New Roman"/>
                <w:sz w:val="16"/>
              </w:rPr>
              <w:t>4</w:t>
            </w:r>
          </w:p>
        </w:tc>
        <w:tc>
          <w:tcPr>
            <w:tcW w:w="609" w:type="pct"/>
            <w:shd w:val="clear" w:color="auto" w:fill="FFFFFF" w:themeFill="background1"/>
          </w:tcPr>
          <w:p w14:paraId="180B5507"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05C9BAF3" w14:textId="294EB770" w:rsidR="002A5407" w:rsidRPr="00D91B35" w:rsidRDefault="00387006" w:rsidP="002A5407">
            <w:pPr>
              <w:rPr>
                <w:rFonts w:ascii="Times New Roman" w:hAnsi="Times New Roman" w:cs="Times New Roman"/>
                <w:sz w:val="16"/>
                <w:szCs w:val="16"/>
              </w:rPr>
            </w:pPr>
            <w:r>
              <w:rPr>
                <w:rFonts w:ascii="Times New Roman" w:hAnsi="Times New Roman"/>
                <w:sz w:val="16"/>
              </w:rPr>
              <w:t>855,0</w:t>
            </w:r>
          </w:p>
        </w:tc>
        <w:tc>
          <w:tcPr>
            <w:tcW w:w="251" w:type="pct"/>
            <w:shd w:val="clear" w:color="auto" w:fill="FFFFFF" w:themeFill="background1"/>
          </w:tcPr>
          <w:p w14:paraId="2715A1BE"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03EAC8F9"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612CAEDA"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0A3CDC75" w14:textId="35177433" w:rsidR="002A5407" w:rsidRPr="00D91B35" w:rsidRDefault="00387006" w:rsidP="002A5407">
            <w:pPr>
              <w:rPr>
                <w:rFonts w:ascii="Times New Roman" w:hAnsi="Times New Roman" w:cs="Times New Roman"/>
                <w:sz w:val="16"/>
                <w:szCs w:val="16"/>
              </w:rPr>
            </w:pPr>
            <w:r>
              <w:rPr>
                <w:rFonts w:ascii="Times New Roman" w:hAnsi="Times New Roman"/>
                <w:sz w:val="16"/>
              </w:rPr>
              <w:t>1 330,0</w:t>
            </w:r>
          </w:p>
        </w:tc>
        <w:tc>
          <w:tcPr>
            <w:tcW w:w="237" w:type="pct"/>
            <w:shd w:val="clear" w:color="auto" w:fill="FFFFFF" w:themeFill="background1"/>
          </w:tcPr>
          <w:p w14:paraId="5BE22043" w14:textId="77777777" w:rsidR="002A5407" w:rsidRPr="00D91B35" w:rsidRDefault="002A5407" w:rsidP="002A5407">
            <w:pPr>
              <w:rPr>
                <w:rFonts w:ascii="Times New Roman" w:hAnsi="Times New Roman" w:cs="Times New Roman"/>
                <w:sz w:val="16"/>
                <w:szCs w:val="16"/>
              </w:rPr>
            </w:pPr>
          </w:p>
        </w:tc>
      </w:tr>
      <w:tr w:rsidR="00077C40" w:rsidRPr="00D91B35" w14:paraId="4C058673" w14:textId="77777777" w:rsidTr="008A656B">
        <w:tc>
          <w:tcPr>
            <w:tcW w:w="374" w:type="pct"/>
          </w:tcPr>
          <w:p w14:paraId="7F78D163" w14:textId="77777777" w:rsidR="002A5407" w:rsidRPr="00D91B35" w:rsidRDefault="002A5407" w:rsidP="002A5407">
            <w:pPr>
              <w:rPr>
                <w:rFonts w:ascii="Times New Roman" w:hAnsi="Times New Roman" w:cs="Times New Roman"/>
                <w:sz w:val="16"/>
                <w:szCs w:val="16"/>
              </w:rPr>
            </w:pPr>
          </w:p>
        </w:tc>
        <w:tc>
          <w:tcPr>
            <w:tcW w:w="231" w:type="pct"/>
          </w:tcPr>
          <w:p w14:paraId="5905BCA6" w14:textId="77777777" w:rsidR="002A5407" w:rsidRPr="00D91B35" w:rsidRDefault="002A5407" w:rsidP="002A5407">
            <w:pPr>
              <w:rPr>
                <w:rFonts w:ascii="Times New Roman" w:hAnsi="Times New Roman" w:cs="Times New Roman"/>
                <w:sz w:val="16"/>
                <w:szCs w:val="16"/>
              </w:rPr>
            </w:pPr>
          </w:p>
        </w:tc>
        <w:tc>
          <w:tcPr>
            <w:tcW w:w="358" w:type="pct"/>
          </w:tcPr>
          <w:p w14:paraId="4C23058B" w14:textId="77777777" w:rsidR="002A5407" w:rsidRPr="00D91B35" w:rsidRDefault="002A5407" w:rsidP="002A5407">
            <w:pPr>
              <w:rPr>
                <w:rFonts w:ascii="Times New Roman" w:hAnsi="Times New Roman" w:cs="Times New Roman"/>
                <w:b/>
                <w:bCs/>
                <w:sz w:val="16"/>
                <w:szCs w:val="16"/>
              </w:rPr>
            </w:pPr>
          </w:p>
        </w:tc>
        <w:tc>
          <w:tcPr>
            <w:tcW w:w="359" w:type="pct"/>
          </w:tcPr>
          <w:p w14:paraId="76988C25" w14:textId="77777777" w:rsidR="002A5407" w:rsidRPr="00D91B35" w:rsidRDefault="002A5407" w:rsidP="002A5407">
            <w:pPr>
              <w:rPr>
                <w:rFonts w:ascii="Times New Roman" w:hAnsi="Times New Roman" w:cs="Times New Roman"/>
                <w:sz w:val="16"/>
                <w:szCs w:val="16"/>
              </w:rPr>
            </w:pPr>
          </w:p>
        </w:tc>
        <w:tc>
          <w:tcPr>
            <w:tcW w:w="839" w:type="pct"/>
          </w:tcPr>
          <w:p w14:paraId="554561CC" w14:textId="77777777" w:rsidR="002A5407" w:rsidRPr="00D91B35" w:rsidRDefault="002A5407" w:rsidP="002A5407">
            <w:pPr>
              <w:rPr>
                <w:rFonts w:ascii="Times New Roman" w:hAnsi="Times New Roman" w:cs="Times New Roman"/>
                <w:sz w:val="16"/>
                <w:szCs w:val="16"/>
              </w:rPr>
            </w:pPr>
          </w:p>
        </w:tc>
        <w:tc>
          <w:tcPr>
            <w:tcW w:w="196" w:type="pct"/>
            <w:shd w:val="clear" w:color="auto" w:fill="FFFFFF" w:themeFill="background1"/>
          </w:tcPr>
          <w:p w14:paraId="61C5C0C6" w14:textId="0DD252CD" w:rsidR="002A5407" w:rsidRPr="00D91B35" w:rsidRDefault="00387006" w:rsidP="002A5407">
            <w:pPr>
              <w:rPr>
                <w:rFonts w:ascii="Times New Roman" w:hAnsi="Times New Roman" w:cs="Times New Roman"/>
                <w:sz w:val="16"/>
                <w:szCs w:val="16"/>
              </w:rPr>
            </w:pPr>
            <w:r>
              <w:rPr>
                <w:rFonts w:ascii="Times New Roman" w:hAnsi="Times New Roman"/>
                <w:sz w:val="16"/>
              </w:rPr>
              <w:t>889</w:t>
            </w:r>
          </w:p>
        </w:tc>
        <w:tc>
          <w:tcPr>
            <w:tcW w:w="122" w:type="pct"/>
            <w:shd w:val="clear" w:color="auto" w:fill="FFFFFF" w:themeFill="background1"/>
          </w:tcPr>
          <w:p w14:paraId="7A815AD2" w14:textId="77777777" w:rsidR="002A5407" w:rsidRPr="00D91B35" w:rsidRDefault="002A5407" w:rsidP="002A5407">
            <w:pPr>
              <w:rPr>
                <w:rFonts w:ascii="Times New Roman" w:hAnsi="Times New Roman" w:cs="Times New Roman"/>
                <w:sz w:val="16"/>
                <w:szCs w:val="16"/>
              </w:rPr>
            </w:pPr>
          </w:p>
        </w:tc>
        <w:tc>
          <w:tcPr>
            <w:tcW w:w="183" w:type="pct"/>
            <w:shd w:val="clear" w:color="auto" w:fill="FFFFFF" w:themeFill="background1"/>
          </w:tcPr>
          <w:p w14:paraId="4F8623E6" w14:textId="0D42215B" w:rsidR="002A5407" w:rsidRPr="00D91B35" w:rsidRDefault="00387006" w:rsidP="002A5407">
            <w:pPr>
              <w:rPr>
                <w:rFonts w:ascii="Times New Roman" w:hAnsi="Times New Roman" w:cs="Times New Roman"/>
                <w:sz w:val="16"/>
                <w:szCs w:val="16"/>
              </w:rPr>
            </w:pPr>
            <w:r>
              <w:rPr>
                <w:rFonts w:ascii="Times New Roman" w:hAnsi="Times New Roman"/>
                <w:sz w:val="16"/>
              </w:rPr>
              <w:t>8</w:t>
            </w:r>
          </w:p>
        </w:tc>
        <w:tc>
          <w:tcPr>
            <w:tcW w:w="105" w:type="pct"/>
            <w:shd w:val="clear" w:color="auto" w:fill="FFFFFF" w:themeFill="background1"/>
          </w:tcPr>
          <w:p w14:paraId="681C00E6" w14:textId="77777777" w:rsidR="002A5407" w:rsidRPr="00D91B35" w:rsidRDefault="002A5407" w:rsidP="002A5407">
            <w:pPr>
              <w:rPr>
                <w:rFonts w:ascii="Times New Roman" w:hAnsi="Times New Roman" w:cs="Times New Roman"/>
                <w:sz w:val="16"/>
                <w:szCs w:val="16"/>
              </w:rPr>
            </w:pPr>
          </w:p>
        </w:tc>
        <w:tc>
          <w:tcPr>
            <w:tcW w:w="186" w:type="pct"/>
            <w:shd w:val="clear" w:color="auto" w:fill="FFFFFF" w:themeFill="background1"/>
          </w:tcPr>
          <w:p w14:paraId="155B694C" w14:textId="2817E341" w:rsidR="002A5407" w:rsidRPr="00D91B35" w:rsidRDefault="00B21BBC" w:rsidP="002A5407">
            <w:pPr>
              <w:rPr>
                <w:rFonts w:ascii="Times New Roman" w:hAnsi="Times New Roman" w:cs="Times New Roman"/>
                <w:sz w:val="16"/>
                <w:szCs w:val="16"/>
              </w:rPr>
            </w:pPr>
            <w:r>
              <w:rPr>
                <w:rFonts w:ascii="Times New Roman" w:hAnsi="Times New Roman"/>
                <w:sz w:val="16"/>
              </w:rPr>
              <w:t>9</w:t>
            </w:r>
          </w:p>
        </w:tc>
        <w:tc>
          <w:tcPr>
            <w:tcW w:w="609" w:type="pct"/>
            <w:shd w:val="clear" w:color="auto" w:fill="FFFFFF" w:themeFill="background1"/>
          </w:tcPr>
          <w:p w14:paraId="6EE3581B"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22B7F94C" w14:textId="11DC7E29" w:rsidR="002A5407" w:rsidRPr="00D91B35" w:rsidRDefault="00B21BBC" w:rsidP="002A5407">
            <w:pPr>
              <w:rPr>
                <w:rFonts w:ascii="Times New Roman" w:hAnsi="Times New Roman" w:cs="Times New Roman"/>
                <w:sz w:val="16"/>
                <w:szCs w:val="16"/>
              </w:rPr>
            </w:pPr>
            <w:r>
              <w:rPr>
                <w:rFonts w:ascii="Times New Roman" w:hAnsi="Times New Roman"/>
                <w:sz w:val="16"/>
              </w:rPr>
              <w:t>959,0</w:t>
            </w:r>
          </w:p>
        </w:tc>
        <w:tc>
          <w:tcPr>
            <w:tcW w:w="251" w:type="pct"/>
            <w:shd w:val="clear" w:color="auto" w:fill="FFFFFF" w:themeFill="background1"/>
          </w:tcPr>
          <w:p w14:paraId="06E3AB42"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672DC3DD"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61BFDAA9"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18347C62" w14:textId="35132A97" w:rsidR="002A5407" w:rsidRPr="00D91B35" w:rsidRDefault="00B21BBC" w:rsidP="002A5407">
            <w:pPr>
              <w:rPr>
                <w:rFonts w:ascii="Times New Roman" w:hAnsi="Times New Roman" w:cs="Times New Roman"/>
                <w:sz w:val="16"/>
                <w:szCs w:val="16"/>
              </w:rPr>
            </w:pPr>
            <w:r>
              <w:rPr>
                <w:rFonts w:ascii="Times New Roman" w:hAnsi="Times New Roman"/>
                <w:sz w:val="16"/>
              </w:rPr>
              <w:t>1 537,0</w:t>
            </w:r>
          </w:p>
        </w:tc>
        <w:tc>
          <w:tcPr>
            <w:tcW w:w="237" w:type="pct"/>
            <w:shd w:val="clear" w:color="auto" w:fill="FFFFFF" w:themeFill="background1"/>
          </w:tcPr>
          <w:p w14:paraId="3094802A" w14:textId="77777777" w:rsidR="002A5407" w:rsidRPr="00D91B35" w:rsidRDefault="002A5407" w:rsidP="002A5407">
            <w:pPr>
              <w:rPr>
                <w:rFonts w:ascii="Times New Roman" w:hAnsi="Times New Roman" w:cs="Times New Roman"/>
                <w:sz w:val="16"/>
                <w:szCs w:val="16"/>
              </w:rPr>
            </w:pPr>
          </w:p>
        </w:tc>
      </w:tr>
      <w:tr w:rsidR="00077C40" w:rsidRPr="00D91B35" w14:paraId="18B61E3D" w14:textId="77777777" w:rsidTr="008A656B">
        <w:tc>
          <w:tcPr>
            <w:tcW w:w="374" w:type="pct"/>
          </w:tcPr>
          <w:p w14:paraId="47557529" w14:textId="77777777" w:rsidR="002A5407" w:rsidRPr="00D91B35" w:rsidRDefault="002A5407" w:rsidP="002A5407">
            <w:pPr>
              <w:rPr>
                <w:rFonts w:ascii="Times New Roman" w:hAnsi="Times New Roman" w:cs="Times New Roman"/>
                <w:sz w:val="16"/>
                <w:szCs w:val="16"/>
              </w:rPr>
            </w:pPr>
          </w:p>
        </w:tc>
        <w:tc>
          <w:tcPr>
            <w:tcW w:w="231" w:type="pct"/>
          </w:tcPr>
          <w:p w14:paraId="347C8188" w14:textId="77777777" w:rsidR="002A5407" w:rsidRPr="00D91B35" w:rsidRDefault="002A5407" w:rsidP="002A5407">
            <w:pPr>
              <w:rPr>
                <w:rFonts w:ascii="Times New Roman" w:hAnsi="Times New Roman" w:cs="Times New Roman"/>
                <w:sz w:val="16"/>
                <w:szCs w:val="16"/>
              </w:rPr>
            </w:pPr>
          </w:p>
        </w:tc>
        <w:tc>
          <w:tcPr>
            <w:tcW w:w="358" w:type="pct"/>
          </w:tcPr>
          <w:p w14:paraId="27821DDE" w14:textId="77777777" w:rsidR="002A5407" w:rsidRPr="00D91B35" w:rsidRDefault="002A5407" w:rsidP="002A5407">
            <w:pPr>
              <w:rPr>
                <w:rFonts w:ascii="Times New Roman" w:hAnsi="Times New Roman" w:cs="Times New Roman"/>
                <w:b/>
                <w:bCs/>
                <w:sz w:val="16"/>
                <w:szCs w:val="16"/>
              </w:rPr>
            </w:pPr>
          </w:p>
        </w:tc>
        <w:tc>
          <w:tcPr>
            <w:tcW w:w="359" w:type="pct"/>
          </w:tcPr>
          <w:p w14:paraId="45C090DC" w14:textId="77777777" w:rsidR="002A5407" w:rsidRPr="00D91B35" w:rsidRDefault="002A5407" w:rsidP="002A5407">
            <w:pPr>
              <w:rPr>
                <w:rFonts w:ascii="Times New Roman" w:hAnsi="Times New Roman" w:cs="Times New Roman"/>
                <w:sz w:val="16"/>
                <w:szCs w:val="16"/>
              </w:rPr>
            </w:pPr>
          </w:p>
        </w:tc>
        <w:tc>
          <w:tcPr>
            <w:tcW w:w="839" w:type="pct"/>
          </w:tcPr>
          <w:p w14:paraId="07821F24" w14:textId="77777777" w:rsidR="002A5407" w:rsidRPr="00D91B35" w:rsidRDefault="002A5407" w:rsidP="002A5407">
            <w:pPr>
              <w:rPr>
                <w:rFonts w:ascii="Times New Roman" w:hAnsi="Times New Roman" w:cs="Times New Roman"/>
                <w:sz w:val="16"/>
                <w:szCs w:val="16"/>
              </w:rPr>
            </w:pPr>
          </w:p>
        </w:tc>
        <w:tc>
          <w:tcPr>
            <w:tcW w:w="196" w:type="pct"/>
            <w:shd w:val="clear" w:color="auto" w:fill="FFFFFF" w:themeFill="background1"/>
          </w:tcPr>
          <w:p w14:paraId="25F16C0A" w14:textId="30F93744" w:rsidR="002A5407" w:rsidRPr="00D91B35" w:rsidRDefault="00387006" w:rsidP="002A5407">
            <w:pPr>
              <w:rPr>
                <w:rFonts w:ascii="Times New Roman" w:hAnsi="Times New Roman" w:cs="Times New Roman"/>
                <w:sz w:val="16"/>
                <w:szCs w:val="16"/>
              </w:rPr>
            </w:pPr>
            <w:r>
              <w:rPr>
                <w:rFonts w:ascii="Times New Roman" w:hAnsi="Times New Roman"/>
                <w:sz w:val="16"/>
              </w:rPr>
              <w:t>1 016</w:t>
            </w:r>
          </w:p>
        </w:tc>
        <w:tc>
          <w:tcPr>
            <w:tcW w:w="122" w:type="pct"/>
            <w:shd w:val="clear" w:color="auto" w:fill="FFFFFF" w:themeFill="background1"/>
          </w:tcPr>
          <w:p w14:paraId="39CA8BCF" w14:textId="77777777" w:rsidR="002A5407" w:rsidRPr="00D91B35" w:rsidRDefault="002A5407" w:rsidP="002A5407">
            <w:pPr>
              <w:rPr>
                <w:rFonts w:ascii="Times New Roman" w:hAnsi="Times New Roman" w:cs="Times New Roman"/>
                <w:sz w:val="16"/>
                <w:szCs w:val="16"/>
              </w:rPr>
            </w:pPr>
          </w:p>
        </w:tc>
        <w:tc>
          <w:tcPr>
            <w:tcW w:w="183" w:type="pct"/>
            <w:shd w:val="clear" w:color="auto" w:fill="FFFFFF" w:themeFill="background1"/>
          </w:tcPr>
          <w:p w14:paraId="2A624550" w14:textId="37B6B552" w:rsidR="002A5407" w:rsidRPr="00D91B35" w:rsidRDefault="00387006" w:rsidP="002A5407">
            <w:pPr>
              <w:rPr>
                <w:rFonts w:ascii="Times New Roman" w:hAnsi="Times New Roman" w:cs="Times New Roman"/>
                <w:sz w:val="16"/>
                <w:szCs w:val="16"/>
              </w:rPr>
            </w:pPr>
            <w:r>
              <w:rPr>
                <w:rFonts w:ascii="Times New Roman" w:hAnsi="Times New Roman"/>
                <w:sz w:val="16"/>
              </w:rPr>
              <w:t>11</w:t>
            </w:r>
          </w:p>
        </w:tc>
        <w:tc>
          <w:tcPr>
            <w:tcW w:w="105" w:type="pct"/>
            <w:shd w:val="clear" w:color="auto" w:fill="FFFFFF" w:themeFill="background1"/>
          </w:tcPr>
          <w:p w14:paraId="1709E1FC" w14:textId="77777777" w:rsidR="002A5407" w:rsidRPr="00D91B35" w:rsidRDefault="002A5407" w:rsidP="002A5407">
            <w:pPr>
              <w:rPr>
                <w:rFonts w:ascii="Times New Roman" w:hAnsi="Times New Roman" w:cs="Times New Roman"/>
                <w:sz w:val="16"/>
                <w:szCs w:val="16"/>
              </w:rPr>
            </w:pPr>
          </w:p>
        </w:tc>
        <w:tc>
          <w:tcPr>
            <w:tcW w:w="186" w:type="pct"/>
            <w:shd w:val="clear" w:color="auto" w:fill="FFFFFF" w:themeFill="background1"/>
          </w:tcPr>
          <w:p w14:paraId="712F44CE" w14:textId="4457E95E" w:rsidR="002A5407" w:rsidRPr="00D91B35" w:rsidRDefault="00B21BBC" w:rsidP="002A5407">
            <w:pPr>
              <w:rPr>
                <w:rFonts w:ascii="Times New Roman" w:hAnsi="Times New Roman" w:cs="Times New Roman"/>
                <w:sz w:val="16"/>
                <w:szCs w:val="16"/>
              </w:rPr>
            </w:pPr>
            <w:r>
              <w:rPr>
                <w:rFonts w:ascii="Times New Roman" w:hAnsi="Times New Roman"/>
                <w:sz w:val="16"/>
              </w:rPr>
              <w:t>12</w:t>
            </w:r>
          </w:p>
        </w:tc>
        <w:tc>
          <w:tcPr>
            <w:tcW w:w="609" w:type="pct"/>
            <w:shd w:val="clear" w:color="auto" w:fill="FFFFFF" w:themeFill="background1"/>
          </w:tcPr>
          <w:p w14:paraId="3D6F7EE2"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79637B3D" w14:textId="0EC3AD34" w:rsidR="002A5407" w:rsidRPr="00D91B35" w:rsidRDefault="00B21BBC" w:rsidP="002A5407">
            <w:pPr>
              <w:rPr>
                <w:rFonts w:ascii="Times New Roman" w:hAnsi="Times New Roman" w:cs="Times New Roman"/>
                <w:sz w:val="16"/>
                <w:szCs w:val="16"/>
              </w:rPr>
            </w:pPr>
            <w:r>
              <w:rPr>
                <w:rFonts w:ascii="Times New Roman" w:hAnsi="Times New Roman"/>
                <w:sz w:val="16"/>
              </w:rPr>
              <w:t>878,0</w:t>
            </w:r>
          </w:p>
        </w:tc>
        <w:tc>
          <w:tcPr>
            <w:tcW w:w="251" w:type="pct"/>
            <w:shd w:val="clear" w:color="auto" w:fill="FFFFFF" w:themeFill="background1"/>
          </w:tcPr>
          <w:p w14:paraId="787BDCE0"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42D5782F"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127071D4"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7ECB81D1" w14:textId="3DFF382E" w:rsidR="002A5407" w:rsidRPr="00D91B35" w:rsidRDefault="00B21BBC" w:rsidP="002A5407">
            <w:pPr>
              <w:rPr>
                <w:rFonts w:ascii="Times New Roman" w:hAnsi="Times New Roman" w:cs="Times New Roman"/>
                <w:sz w:val="16"/>
                <w:szCs w:val="16"/>
              </w:rPr>
            </w:pPr>
            <w:r>
              <w:rPr>
                <w:rFonts w:ascii="Times New Roman" w:hAnsi="Times New Roman"/>
                <w:sz w:val="16"/>
              </w:rPr>
              <w:t>1 519,0</w:t>
            </w:r>
          </w:p>
        </w:tc>
        <w:tc>
          <w:tcPr>
            <w:tcW w:w="237" w:type="pct"/>
            <w:shd w:val="clear" w:color="auto" w:fill="FFFFFF" w:themeFill="background1"/>
          </w:tcPr>
          <w:p w14:paraId="60402AC8" w14:textId="77777777" w:rsidR="002A5407" w:rsidRPr="00D91B35" w:rsidRDefault="002A5407" w:rsidP="002A5407">
            <w:pPr>
              <w:rPr>
                <w:rFonts w:ascii="Times New Roman" w:hAnsi="Times New Roman" w:cs="Times New Roman"/>
                <w:sz w:val="16"/>
                <w:szCs w:val="16"/>
              </w:rPr>
            </w:pPr>
          </w:p>
        </w:tc>
      </w:tr>
      <w:tr w:rsidR="00077C40" w:rsidRPr="00D91B35" w14:paraId="5C94C515" w14:textId="77777777" w:rsidTr="008A656B">
        <w:tc>
          <w:tcPr>
            <w:tcW w:w="374" w:type="pct"/>
          </w:tcPr>
          <w:p w14:paraId="0AD9E4D6" w14:textId="77777777" w:rsidR="002A5407" w:rsidRPr="00D91B35" w:rsidRDefault="002A5407" w:rsidP="002A5407">
            <w:pPr>
              <w:rPr>
                <w:rFonts w:ascii="Times New Roman" w:hAnsi="Times New Roman" w:cs="Times New Roman"/>
                <w:sz w:val="16"/>
                <w:szCs w:val="16"/>
              </w:rPr>
            </w:pPr>
          </w:p>
        </w:tc>
        <w:tc>
          <w:tcPr>
            <w:tcW w:w="231" w:type="pct"/>
          </w:tcPr>
          <w:p w14:paraId="642CA9A0" w14:textId="77777777" w:rsidR="002A5407" w:rsidRPr="00D91B35" w:rsidRDefault="002A5407" w:rsidP="002A5407">
            <w:pPr>
              <w:rPr>
                <w:rFonts w:ascii="Times New Roman" w:hAnsi="Times New Roman" w:cs="Times New Roman"/>
                <w:sz w:val="16"/>
                <w:szCs w:val="16"/>
              </w:rPr>
            </w:pPr>
          </w:p>
        </w:tc>
        <w:tc>
          <w:tcPr>
            <w:tcW w:w="358" w:type="pct"/>
          </w:tcPr>
          <w:p w14:paraId="20744EB2" w14:textId="5C2460F7" w:rsidR="002A5407" w:rsidRPr="00D91B35" w:rsidRDefault="00B21BBC" w:rsidP="002A5407">
            <w:pPr>
              <w:rPr>
                <w:rFonts w:ascii="Times New Roman" w:hAnsi="Times New Roman" w:cs="Times New Roman"/>
                <w:b/>
                <w:bCs/>
                <w:sz w:val="16"/>
                <w:szCs w:val="16"/>
              </w:rPr>
            </w:pPr>
            <w:r>
              <w:rPr>
                <w:rFonts w:ascii="Times New Roman" w:hAnsi="Times New Roman"/>
                <w:b/>
                <w:sz w:val="16"/>
              </w:rPr>
              <w:t>Nīderlande</w:t>
            </w:r>
          </w:p>
        </w:tc>
        <w:tc>
          <w:tcPr>
            <w:tcW w:w="359" w:type="pct"/>
          </w:tcPr>
          <w:p w14:paraId="28FBC7E6" w14:textId="2BDF2DEF" w:rsidR="002A5407" w:rsidRPr="00D91B35" w:rsidRDefault="00B21BBC" w:rsidP="00B21BBC">
            <w:pPr>
              <w:pStyle w:val="Default"/>
              <w:rPr>
                <w:sz w:val="16"/>
                <w:szCs w:val="16"/>
              </w:rPr>
            </w:pPr>
            <w:r>
              <w:rPr>
                <w:sz w:val="16"/>
              </w:rPr>
              <w:t>(Flynn et al., 2009)</w:t>
            </w:r>
          </w:p>
        </w:tc>
        <w:tc>
          <w:tcPr>
            <w:tcW w:w="839" w:type="pct"/>
          </w:tcPr>
          <w:p w14:paraId="5E309619" w14:textId="57A8960A" w:rsidR="002A5407" w:rsidRPr="00D91B35" w:rsidRDefault="00B21BBC" w:rsidP="00B21BBC">
            <w:pPr>
              <w:pStyle w:val="Default"/>
              <w:rPr>
                <w:sz w:val="16"/>
                <w:szCs w:val="16"/>
              </w:rPr>
            </w:pPr>
            <w:r>
              <w:rPr>
                <w:sz w:val="16"/>
              </w:rPr>
              <w:t>2 dienu uztura pieraksts (par divām savstarpēji nesaistītām dienām)</w:t>
            </w:r>
          </w:p>
        </w:tc>
        <w:tc>
          <w:tcPr>
            <w:tcW w:w="196" w:type="pct"/>
            <w:shd w:val="clear" w:color="auto" w:fill="FFFFFF" w:themeFill="background1"/>
          </w:tcPr>
          <w:p w14:paraId="08FB2B3B" w14:textId="13A62444" w:rsidR="002A5407" w:rsidRPr="00D91B35" w:rsidRDefault="00387006" w:rsidP="002A5407">
            <w:pPr>
              <w:rPr>
                <w:rFonts w:ascii="Times New Roman" w:hAnsi="Times New Roman" w:cs="Times New Roman"/>
                <w:sz w:val="16"/>
                <w:szCs w:val="16"/>
              </w:rPr>
            </w:pPr>
            <w:r>
              <w:rPr>
                <w:rFonts w:ascii="Times New Roman" w:hAnsi="Times New Roman"/>
                <w:sz w:val="16"/>
              </w:rPr>
              <w:t>639</w:t>
            </w:r>
          </w:p>
        </w:tc>
        <w:tc>
          <w:tcPr>
            <w:tcW w:w="122" w:type="pct"/>
            <w:shd w:val="clear" w:color="auto" w:fill="FFFFFF" w:themeFill="background1"/>
          </w:tcPr>
          <w:p w14:paraId="26B62A5C" w14:textId="77777777" w:rsidR="002A5407" w:rsidRPr="00D91B35" w:rsidRDefault="002A5407" w:rsidP="002A5407">
            <w:pPr>
              <w:rPr>
                <w:rFonts w:ascii="Times New Roman" w:hAnsi="Times New Roman" w:cs="Times New Roman"/>
                <w:sz w:val="16"/>
                <w:szCs w:val="16"/>
              </w:rPr>
            </w:pPr>
          </w:p>
        </w:tc>
        <w:tc>
          <w:tcPr>
            <w:tcW w:w="183" w:type="pct"/>
            <w:shd w:val="clear" w:color="auto" w:fill="FFFFFF" w:themeFill="background1"/>
          </w:tcPr>
          <w:p w14:paraId="3583E08B" w14:textId="45C2FA6E" w:rsidR="002A5407" w:rsidRPr="00D91B35" w:rsidRDefault="00387006" w:rsidP="002A5407">
            <w:pPr>
              <w:rPr>
                <w:rFonts w:ascii="Times New Roman" w:hAnsi="Times New Roman" w:cs="Times New Roman"/>
                <w:sz w:val="16"/>
                <w:szCs w:val="16"/>
              </w:rPr>
            </w:pPr>
            <w:r>
              <w:rPr>
                <w:rFonts w:ascii="Times New Roman" w:hAnsi="Times New Roman"/>
                <w:sz w:val="16"/>
              </w:rPr>
              <w:t>4</w:t>
            </w:r>
          </w:p>
        </w:tc>
        <w:tc>
          <w:tcPr>
            <w:tcW w:w="105" w:type="pct"/>
            <w:shd w:val="clear" w:color="auto" w:fill="FFFFFF" w:themeFill="background1"/>
          </w:tcPr>
          <w:p w14:paraId="1F49F529" w14:textId="77777777" w:rsidR="002A5407" w:rsidRPr="00D91B35" w:rsidRDefault="002A5407" w:rsidP="002A5407">
            <w:pPr>
              <w:rPr>
                <w:rFonts w:ascii="Times New Roman" w:hAnsi="Times New Roman" w:cs="Times New Roman"/>
                <w:sz w:val="16"/>
                <w:szCs w:val="16"/>
              </w:rPr>
            </w:pPr>
          </w:p>
        </w:tc>
        <w:tc>
          <w:tcPr>
            <w:tcW w:w="186" w:type="pct"/>
            <w:shd w:val="clear" w:color="auto" w:fill="FFFFFF" w:themeFill="background1"/>
          </w:tcPr>
          <w:p w14:paraId="734EF65D" w14:textId="7BA09CA0" w:rsidR="002A5407" w:rsidRPr="00D91B35" w:rsidRDefault="00B21BBC" w:rsidP="002A5407">
            <w:pPr>
              <w:rPr>
                <w:rFonts w:ascii="Times New Roman" w:hAnsi="Times New Roman" w:cs="Times New Roman"/>
                <w:sz w:val="16"/>
                <w:szCs w:val="16"/>
              </w:rPr>
            </w:pPr>
            <w:r>
              <w:rPr>
                <w:rFonts w:ascii="Times New Roman" w:hAnsi="Times New Roman"/>
                <w:sz w:val="16"/>
              </w:rPr>
              <w:t>6</w:t>
            </w:r>
          </w:p>
        </w:tc>
        <w:tc>
          <w:tcPr>
            <w:tcW w:w="609" w:type="pct"/>
            <w:shd w:val="clear" w:color="auto" w:fill="FFFFFF" w:themeFill="background1"/>
          </w:tcPr>
          <w:p w14:paraId="374E5123" w14:textId="27117CB4" w:rsidR="002A5407" w:rsidRPr="00D91B35" w:rsidRDefault="00B21BBC" w:rsidP="002A5407">
            <w:pPr>
              <w:rPr>
                <w:rFonts w:ascii="Times New Roman" w:hAnsi="Times New Roman" w:cs="Times New Roman"/>
                <w:sz w:val="16"/>
                <w:szCs w:val="16"/>
              </w:rPr>
            </w:pPr>
            <w:r>
              <w:rPr>
                <w:rFonts w:ascii="Times New Roman" w:hAnsi="Times New Roman"/>
                <w:sz w:val="16"/>
              </w:rPr>
              <w:t>Ieskaitot bagātinātu pārtiku</w:t>
            </w:r>
          </w:p>
        </w:tc>
        <w:tc>
          <w:tcPr>
            <w:tcW w:w="237" w:type="pct"/>
            <w:shd w:val="clear" w:color="auto" w:fill="FFFFFF" w:themeFill="background1"/>
          </w:tcPr>
          <w:p w14:paraId="528B6F39" w14:textId="1EB07668" w:rsidR="002A5407" w:rsidRPr="00D91B35" w:rsidRDefault="00B21BBC" w:rsidP="002A5407">
            <w:pPr>
              <w:rPr>
                <w:rFonts w:ascii="Times New Roman" w:hAnsi="Times New Roman" w:cs="Times New Roman"/>
                <w:sz w:val="16"/>
                <w:szCs w:val="16"/>
              </w:rPr>
            </w:pPr>
            <w:r>
              <w:rPr>
                <w:rFonts w:ascii="Times New Roman" w:hAnsi="Times New Roman"/>
                <w:sz w:val="16"/>
              </w:rPr>
              <w:t>724,0</w:t>
            </w:r>
          </w:p>
        </w:tc>
        <w:tc>
          <w:tcPr>
            <w:tcW w:w="251" w:type="pct"/>
            <w:shd w:val="clear" w:color="auto" w:fill="FFFFFF" w:themeFill="background1"/>
          </w:tcPr>
          <w:p w14:paraId="4A36D0CC"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33F4FBF3"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58726AF3"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387DC5AB" w14:textId="53C95100" w:rsidR="002A5407" w:rsidRPr="00D91B35" w:rsidRDefault="00B21BBC" w:rsidP="002A5407">
            <w:pPr>
              <w:rPr>
                <w:rFonts w:ascii="Times New Roman" w:hAnsi="Times New Roman" w:cs="Times New Roman"/>
                <w:sz w:val="16"/>
                <w:szCs w:val="16"/>
              </w:rPr>
            </w:pPr>
            <w:r>
              <w:rPr>
                <w:rFonts w:ascii="Times New Roman" w:hAnsi="Times New Roman"/>
                <w:sz w:val="16"/>
              </w:rPr>
              <w:t>1 165,0</w:t>
            </w:r>
          </w:p>
        </w:tc>
        <w:tc>
          <w:tcPr>
            <w:tcW w:w="237" w:type="pct"/>
            <w:shd w:val="clear" w:color="auto" w:fill="FFFFFF" w:themeFill="background1"/>
          </w:tcPr>
          <w:p w14:paraId="4C14FF59" w14:textId="77777777" w:rsidR="002A5407" w:rsidRPr="00D91B35" w:rsidRDefault="002A5407" w:rsidP="002A5407">
            <w:pPr>
              <w:rPr>
                <w:rFonts w:ascii="Times New Roman" w:hAnsi="Times New Roman" w:cs="Times New Roman"/>
                <w:sz w:val="16"/>
                <w:szCs w:val="16"/>
              </w:rPr>
            </w:pPr>
          </w:p>
        </w:tc>
      </w:tr>
      <w:tr w:rsidR="00077C40" w:rsidRPr="00D91B35" w14:paraId="0319067F" w14:textId="77777777" w:rsidTr="008A656B">
        <w:tc>
          <w:tcPr>
            <w:tcW w:w="374" w:type="pct"/>
          </w:tcPr>
          <w:p w14:paraId="5890204A" w14:textId="77777777" w:rsidR="002A5407" w:rsidRPr="00D91B35" w:rsidRDefault="002A5407" w:rsidP="002A5407">
            <w:pPr>
              <w:rPr>
                <w:rFonts w:ascii="Times New Roman" w:hAnsi="Times New Roman" w:cs="Times New Roman"/>
                <w:sz w:val="16"/>
                <w:szCs w:val="16"/>
              </w:rPr>
            </w:pPr>
          </w:p>
        </w:tc>
        <w:tc>
          <w:tcPr>
            <w:tcW w:w="231" w:type="pct"/>
          </w:tcPr>
          <w:p w14:paraId="2C339E5C" w14:textId="77777777" w:rsidR="002A5407" w:rsidRPr="00D91B35" w:rsidRDefault="002A5407" w:rsidP="002A5407">
            <w:pPr>
              <w:rPr>
                <w:rFonts w:ascii="Times New Roman" w:hAnsi="Times New Roman" w:cs="Times New Roman"/>
                <w:sz w:val="16"/>
                <w:szCs w:val="16"/>
              </w:rPr>
            </w:pPr>
          </w:p>
        </w:tc>
        <w:tc>
          <w:tcPr>
            <w:tcW w:w="358" w:type="pct"/>
          </w:tcPr>
          <w:p w14:paraId="534F0357" w14:textId="77777777" w:rsidR="002A5407" w:rsidRPr="00D91B35" w:rsidRDefault="002A5407" w:rsidP="002A5407">
            <w:pPr>
              <w:rPr>
                <w:rFonts w:ascii="Times New Roman" w:hAnsi="Times New Roman" w:cs="Times New Roman"/>
                <w:b/>
                <w:bCs/>
                <w:sz w:val="16"/>
                <w:szCs w:val="16"/>
              </w:rPr>
            </w:pPr>
          </w:p>
        </w:tc>
        <w:tc>
          <w:tcPr>
            <w:tcW w:w="359" w:type="pct"/>
          </w:tcPr>
          <w:p w14:paraId="19400B3B" w14:textId="77777777" w:rsidR="002A5407" w:rsidRPr="00D91B35" w:rsidRDefault="002A5407" w:rsidP="002A5407">
            <w:pPr>
              <w:rPr>
                <w:rFonts w:ascii="Times New Roman" w:hAnsi="Times New Roman" w:cs="Times New Roman"/>
                <w:sz w:val="16"/>
                <w:szCs w:val="16"/>
              </w:rPr>
            </w:pPr>
          </w:p>
        </w:tc>
        <w:tc>
          <w:tcPr>
            <w:tcW w:w="839" w:type="pct"/>
          </w:tcPr>
          <w:p w14:paraId="48FB9C1E" w14:textId="77777777" w:rsidR="002A5407" w:rsidRPr="00D91B35" w:rsidRDefault="002A5407" w:rsidP="002A5407">
            <w:pPr>
              <w:rPr>
                <w:rFonts w:ascii="Times New Roman" w:hAnsi="Times New Roman" w:cs="Times New Roman"/>
                <w:sz w:val="16"/>
                <w:szCs w:val="16"/>
              </w:rPr>
            </w:pPr>
          </w:p>
        </w:tc>
        <w:tc>
          <w:tcPr>
            <w:tcW w:w="196" w:type="pct"/>
            <w:shd w:val="clear" w:color="auto" w:fill="FFFFFF" w:themeFill="background1"/>
          </w:tcPr>
          <w:p w14:paraId="77A101E3" w14:textId="31535931" w:rsidR="002A5407" w:rsidRPr="00D91B35" w:rsidRDefault="00387006" w:rsidP="002A5407">
            <w:pPr>
              <w:rPr>
                <w:rFonts w:ascii="Times New Roman" w:hAnsi="Times New Roman" w:cs="Times New Roman"/>
                <w:sz w:val="16"/>
                <w:szCs w:val="16"/>
              </w:rPr>
            </w:pPr>
            <w:r>
              <w:rPr>
                <w:rFonts w:ascii="Times New Roman" w:hAnsi="Times New Roman"/>
                <w:sz w:val="16"/>
              </w:rPr>
              <w:t>639</w:t>
            </w:r>
          </w:p>
        </w:tc>
        <w:tc>
          <w:tcPr>
            <w:tcW w:w="122" w:type="pct"/>
            <w:shd w:val="clear" w:color="auto" w:fill="FFFFFF" w:themeFill="background1"/>
          </w:tcPr>
          <w:p w14:paraId="76D25D3E" w14:textId="77777777" w:rsidR="002A5407" w:rsidRPr="00D91B35" w:rsidRDefault="002A5407" w:rsidP="002A5407">
            <w:pPr>
              <w:rPr>
                <w:rFonts w:ascii="Times New Roman" w:hAnsi="Times New Roman" w:cs="Times New Roman"/>
                <w:sz w:val="16"/>
                <w:szCs w:val="16"/>
              </w:rPr>
            </w:pPr>
          </w:p>
        </w:tc>
        <w:tc>
          <w:tcPr>
            <w:tcW w:w="183" w:type="pct"/>
            <w:shd w:val="clear" w:color="auto" w:fill="FFFFFF" w:themeFill="background1"/>
          </w:tcPr>
          <w:p w14:paraId="7F50166B" w14:textId="640E2088" w:rsidR="002A5407" w:rsidRPr="00D91B35" w:rsidRDefault="00387006" w:rsidP="002A5407">
            <w:pPr>
              <w:rPr>
                <w:rFonts w:ascii="Times New Roman" w:hAnsi="Times New Roman" w:cs="Times New Roman"/>
                <w:sz w:val="16"/>
                <w:szCs w:val="16"/>
              </w:rPr>
            </w:pPr>
            <w:r>
              <w:rPr>
                <w:rFonts w:ascii="Times New Roman" w:hAnsi="Times New Roman"/>
                <w:sz w:val="16"/>
              </w:rPr>
              <w:t>4</w:t>
            </w:r>
          </w:p>
        </w:tc>
        <w:tc>
          <w:tcPr>
            <w:tcW w:w="105" w:type="pct"/>
            <w:shd w:val="clear" w:color="auto" w:fill="FFFFFF" w:themeFill="background1"/>
          </w:tcPr>
          <w:p w14:paraId="3E7913A9" w14:textId="77777777" w:rsidR="002A5407" w:rsidRPr="00D91B35" w:rsidRDefault="002A5407" w:rsidP="002A5407">
            <w:pPr>
              <w:rPr>
                <w:rFonts w:ascii="Times New Roman" w:hAnsi="Times New Roman" w:cs="Times New Roman"/>
                <w:sz w:val="16"/>
                <w:szCs w:val="16"/>
              </w:rPr>
            </w:pPr>
          </w:p>
        </w:tc>
        <w:tc>
          <w:tcPr>
            <w:tcW w:w="186" w:type="pct"/>
            <w:shd w:val="clear" w:color="auto" w:fill="FFFFFF" w:themeFill="background1"/>
          </w:tcPr>
          <w:p w14:paraId="45F41FEC" w14:textId="5BA5B264" w:rsidR="002A5407" w:rsidRPr="00D91B35" w:rsidRDefault="00B21BBC" w:rsidP="002A5407">
            <w:pPr>
              <w:rPr>
                <w:rFonts w:ascii="Times New Roman" w:hAnsi="Times New Roman" w:cs="Times New Roman"/>
                <w:sz w:val="16"/>
                <w:szCs w:val="16"/>
              </w:rPr>
            </w:pPr>
            <w:r>
              <w:rPr>
                <w:rFonts w:ascii="Times New Roman" w:hAnsi="Times New Roman"/>
                <w:sz w:val="16"/>
              </w:rPr>
              <w:t>6</w:t>
            </w:r>
          </w:p>
        </w:tc>
        <w:tc>
          <w:tcPr>
            <w:tcW w:w="609" w:type="pct"/>
            <w:shd w:val="clear" w:color="auto" w:fill="FFFFFF" w:themeFill="background1"/>
          </w:tcPr>
          <w:p w14:paraId="41797F4B"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6D1542ED" w14:textId="14C073E8" w:rsidR="002A5407" w:rsidRPr="00D91B35" w:rsidRDefault="00B21BBC" w:rsidP="002A5407">
            <w:pPr>
              <w:rPr>
                <w:rFonts w:ascii="Times New Roman" w:hAnsi="Times New Roman" w:cs="Times New Roman"/>
                <w:sz w:val="16"/>
                <w:szCs w:val="16"/>
              </w:rPr>
            </w:pPr>
            <w:r>
              <w:rPr>
                <w:rFonts w:ascii="Times New Roman" w:hAnsi="Times New Roman"/>
                <w:sz w:val="16"/>
              </w:rPr>
              <w:t>811,0</w:t>
            </w:r>
          </w:p>
        </w:tc>
        <w:tc>
          <w:tcPr>
            <w:tcW w:w="251" w:type="pct"/>
            <w:shd w:val="clear" w:color="auto" w:fill="FFFFFF" w:themeFill="background1"/>
          </w:tcPr>
          <w:p w14:paraId="63B56067"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4040353F"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7A4785F4"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24EADA34" w14:textId="4E228F45" w:rsidR="002A5407" w:rsidRPr="00D91B35" w:rsidRDefault="00B21BBC" w:rsidP="002A5407">
            <w:pPr>
              <w:rPr>
                <w:rFonts w:ascii="Times New Roman" w:hAnsi="Times New Roman" w:cs="Times New Roman"/>
                <w:sz w:val="16"/>
                <w:szCs w:val="16"/>
              </w:rPr>
            </w:pPr>
            <w:r>
              <w:rPr>
                <w:rFonts w:ascii="Times New Roman" w:hAnsi="Times New Roman"/>
                <w:sz w:val="16"/>
              </w:rPr>
              <w:t>1 247,0</w:t>
            </w:r>
          </w:p>
        </w:tc>
        <w:tc>
          <w:tcPr>
            <w:tcW w:w="237" w:type="pct"/>
            <w:shd w:val="clear" w:color="auto" w:fill="FFFFFF" w:themeFill="background1"/>
          </w:tcPr>
          <w:p w14:paraId="60C1BA68" w14:textId="77777777" w:rsidR="002A5407" w:rsidRPr="00D91B35" w:rsidRDefault="002A5407" w:rsidP="002A5407">
            <w:pPr>
              <w:rPr>
                <w:rFonts w:ascii="Times New Roman" w:hAnsi="Times New Roman" w:cs="Times New Roman"/>
                <w:sz w:val="16"/>
                <w:szCs w:val="16"/>
              </w:rPr>
            </w:pPr>
          </w:p>
        </w:tc>
      </w:tr>
      <w:tr w:rsidR="00077C40" w:rsidRPr="00D91B35" w14:paraId="4D331069" w14:textId="77777777" w:rsidTr="008A656B">
        <w:tc>
          <w:tcPr>
            <w:tcW w:w="374" w:type="pct"/>
            <w:tcBorders>
              <w:bottom w:val="single" w:sz="4" w:space="0" w:color="auto"/>
            </w:tcBorders>
          </w:tcPr>
          <w:p w14:paraId="1444853F" w14:textId="77777777" w:rsidR="002A5407" w:rsidRPr="00D91B35" w:rsidRDefault="002A5407" w:rsidP="002A5407">
            <w:pPr>
              <w:rPr>
                <w:rFonts w:ascii="Times New Roman" w:hAnsi="Times New Roman" w:cs="Times New Roman"/>
                <w:sz w:val="16"/>
                <w:szCs w:val="16"/>
              </w:rPr>
            </w:pPr>
          </w:p>
        </w:tc>
        <w:tc>
          <w:tcPr>
            <w:tcW w:w="231" w:type="pct"/>
            <w:tcBorders>
              <w:bottom w:val="single" w:sz="4" w:space="0" w:color="auto"/>
            </w:tcBorders>
          </w:tcPr>
          <w:p w14:paraId="23B86EB2" w14:textId="77777777" w:rsidR="002A5407" w:rsidRPr="00D91B35" w:rsidRDefault="002A5407" w:rsidP="002A5407">
            <w:pPr>
              <w:rPr>
                <w:rFonts w:ascii="Times New Roman" w:hAnsi="Times New Roman" w:cs="Times New Roman"/>
                <w:sz w:val="16"/>
                <w:szCs w:val="16"/>
              </w:rPr>
            </w:pPr>
          </w:p>
        </w:tc>
        <w:tc>
          <w:tcPr>
            <w:tcW w:w="358" w:type="pct"/>
            <w:tcBorders>
              <w:bottom w:val="single" w:sz="4" w:space="0" w:color="auto"/>
            </w:tcBorders>
          </w:tcPr>
          <w:p w14:paraId="757B6DF7" w14:textId="00837594" w:rsidR="002A5407" w:rsidRPr="00D91B35" w:rsidRDefault="00B21BBC" w:rsidP="002A5407">
            <w:pPr>
              <w:rPr>
                <w:rFonts w:ascii="Times New Roman" w:hAnsi="Times New Roman" w:cs="Times New Roman"/>
                <w:b/>
                <w:bCs/>
                <w:sz w:val="16"/>
                <w:szCs w:val="16"/>
              </w:rPr>
            </w:pPr>
            <w:r>
              <w:rPr>
                <w:rFonts w:ascii="Times New Roman" w:hAnsi="Times New Roman"/>
                <w:b/>
                <w:sz w:val="16"/>
              </w:rPr>
              <w:t>Apvienotā Karaliste</w:t>
            </w:r>
          </w:p>
        </w:tc>
        <w:tc>
          <w:tcPr>
            <w:tcW w:w="359" w:type="pct"/>
            <w:tcBorders>
              <w:bottom w:val="single" w:sz="4" w:space="0" w:color="auto"/>
            </w:tcBorders>
          </w:tcPr>
          <w:p w14:paraId="1B368BA0" w14:textId="04D68EC4" w:rsidR="002A5407" w:rsidRPr="00D91B35" w:rsidRDefault="00B21BBC" w:rsidP="00B21BBC">
            <w:pPr>
              <w:pStyle w:val="Default"/>
              <w:rPr>
                <w:sz w:val="16"/>
                <w:szCs w:val="16"/>
              </w:rPr>
            </w:pPr>
            <w:r>
              <w:rPr>
                <w:sz w:val="16"/>
              </w:rPr>
              <w:t>(Bates et al., 2011)</w:t>
            </w:r>
          </w:p>
        </w:tc>
        <w:tc>
          <w:tcPr>
            <w:tcW w:w="839" w:type="pct"/>
            <w:tcBorders>
              <w:bottom w:val="single" w:sz="4" w:space="0" w:color="auto"/>
            </w:tcBorders>
          </w:tcPr>
          <w:p w14:paraId="16974C60" w14:textId="49B93A95" w:rsidR="002A5407" w:rsidRPr="00D91B35" w:rsidRDefault="00B21BBC" w:rsidP="002A5407">
            <w:pPr>
              <w:rPr>
                <w:rFonts w:ascii="Times New Roman" w:hAnsi="Times New Roman" w:cs="Times New Roman"/>
                <w:sz w:val="16"/>
                <w:szCs w:val="16"/>
              </w:rPr>
            </w:pPr>
            <w:r>
              <w:rPr>
                <w:rFonts w:ascii="Times New Roman" w:hAnsi="Times New Roman"/>
                <w:sz w:val="16"/>
              </w:rPr>
              <w:t>4 dienu uztura dienasgrāmata</w:t>
            </w:r>
          </w:p>
        </w:tc>
        <w:tc>
          <w:tcPr>
            <w:tcW w:w="196" w:type="pct"/>
            <w:tcBorders>
              <w:bottom w:val="single" w:sz="4" w:space="0" w:color="auto"/>
            </w:tcBorders>
            <w:shd w:val="clear" w:color="auto" w:fill="FFFFFF" w:themeFill="background1"/>
          </w:tcPr>
          <w:p w14:paraId="4559AAC8" w14:textId="6CE6E59B" w:rsidR="002A5407" w:rsidRPr="00D91B35" w:rsidRDefault="00387006" w:rsidP="002A5407">
            <w:pPr>
              <w:rPr>
                <w:rFonts w:ascii="Times New Roman" w:hAnsi="Times New Roman" w:cs="Times New Roman"/>
                <w:sz w:val="16"/>
                <w:szCs w:val="16"/>
              </w:rPr>
            </w:pPr>
            <w:r>
              <w:rPr>
                <w:rFonts w:ascii="Times New Roman" w:hAnsi="Times New Roman"/>
                <w:sz w:val="16"/>
              </w:rPr>
              <w:t>423</w:t>
            </w:r>
          </w:p>
        </w:tc>
        <w:tc>
          <w:tcPr>
            <w:tcW w:w="122" w:type="pct"/>
            <w:tcBorders>
              <w:bottom w:val="single" w:sz="4" w:space="0" w:color="auto"/>
            </w:tcBorders>
            <w:shd w:val="clear" w:color="auto" w:fill="FFFFFF" w:themeFill="background1"/>
          </w:tcPr>
          <w:p w14:paraId="1BF9A56E" w14:textId="77777777" w:rsidR="002A5407" w:rsidRPr="00D91B35" w:rsidRDefault="002A5407" w:rsidP="002A5407">
            <w:pPr>
              <w:rPr>
                <w:rFonts w:ascii="Times New Roman" w:hAnsi="Times New Roman" w:cs="Times New Roman"/>
                <w:sz w:val="16"/>
                <w:szCs w:val="16"/>
              </w:rPr>
            </w:pPr>
          </w:p>
        </w:tc>
        <w:tc>
          <w:tcPr>
            <w:tcW w:w="183" w:type="pct"/>
            <w:tcBorders>
              <w:bottom w:val="single" w:sz="4" w:space="0" w:color="auto"/>
            </w:tcBorders>
            <w:shd w:val="clear" w:color="auto" w:fill="FFFFFF" w:themeFill="background1"/>
          </w:tcPr>
          <w:p w14:paraId="534C4094" w14:textId="0D02E1B1" w:rsidR="002A5407" w:rsidRPr="00D91B35" w:rsidRDefault="00387006" w:rsidP="002A5407">
            <w:pPr>
              <w:rPr>
                <w:rFonts w:ascii="Times New Roman" w:hAnsi="Times New Roman" w:cs="Times New Roman"/>
                <w:sz w:val="16"/>
                <w:szCs w:val="16"/>
              </w:rPr>
            </w:pPr>
            <w:r>
              <w:rPr>
                <w:rFonts w:ascii="Times New Roman" w:hAnsi="Times New Roman"/>
                <w:sz w:val="16"/>
              </w:rPr>
              <w:t>4</w:t>
            </w:r>
          </w:p>
        </w:tc>
        <w:tc>
          <w:tcPr>
            <w:tcW w:w="105" w:type="pct"/>
            <w:tcBorders>
              <w:bottom w:val="single" w:sz="4" w:space="0" w:color="auto"/>
            </w:tcBorders>
            <w:shd w:val="clear" w:color="auto" w:fill="FFFFFF" w:themeFill="background1"/>
          </w:tcPr>
          <w:p w14:paraId="2F5662E1" w14:textId="77777777" w:rsidR="002A5407" w:rsidRPr="00D91B35" w:rsidRDefault="002A5407" w:rsidP="002A5407">
            <w:pPr>
              <w:rPr>
                <w:rFonts w:ascii="Times New Roman" w:hAnsi="Times New Roman" w:cs="Times New Roman"/>
                <w:sz w:val="16"/>
                <w:szCs w:val="16"/>
              </w:rPr>
            </w:pPr>
          </w:p>
        </w:tc>
        <w:tc>
          <w:tcPr>
            <w:tcW w:w="186" w:type="pct"/>
            <w:tcBorders>
              <w:bottom w:val="single" w:sz="4" w:space="0" w:color="auto"/>
            </w:tcBorders>
            <w:shd w:val="clear" w:color="auto" w:fill="FFFFFF" w:themeFill="background1"/>
          </w:tcPr>
          <w:p w14:paraId="201C27E8" w14:textId="2DA4C13A" w:rsidR="002A5407" w:rsidRPr="00D91B35" w:rsidRDefault="00B21BBC" w:rsidP="002A5407">
            <w:pPr>
              <w:rPr>
                <w:rFonts w:ascii="Times New Roman" w:hAnsi="Times New Roman" w:cs="Times New Roman"/>
                <w:sz w:val="16"/>
                <w:szCs w:val="16"/>
              </w:rPr>
            </w:pPr>
            <w:r>
              <w:rPr>
                <w:rFonts w:ascii="Times New Roman" w:hAnsi="Times New Roman"/>
                <w:sz w:val="16"/>
              </w:rPr>
              <w:t>10</w:t>
            </w:r>
          </w:p>
        </w:tc>
        <w:tc>
          <w:tcPr>
            <w:tcW w:w="609" w:type="pct"/>
            <w:tcBorders>
              <w:bottom w:val="single" w:sz="4" w:space="0" w:color="auto"/>
            </w:tcBorders>
            <w:shd w:val="clear" w:color="auto" w:fill="FFFFFF" w:themeFill="background1"/>
          </w:tcPr>
          <w:p w14:paraId="7333C4C6" w14:textId="77777777" w:rsidR="002A5407" w:rsidRPr="00D91B35" w:rsidRDefault="002A5407" w:rsidP="002A5407">
            <w:pPr>
              <w:rPr>
                <w:rFonts w:ascii="Times New Roman" w:hAnsi="Times New Roman" w:cs="Times New Roman"/>
                <w:sz w:val="16"/>
                <w:szCs w:val="16"/>
              </w:rPr>
            </w:pPr>
          </w:p>
        </w:tc>
        <w:tc>
          <w:tcPr>
            <w:tcW w:w="237" w:type="pct"/>
            <w:tcBorders>
              <w:bottom w:val="single" w:sz="4" w:space="0" w:color="auto"/>
            </w:tcBorders>
            <w:shd w:val="clear" w:color="auto" w:fill="FFFFFF" w:themeFill="background1"/>
          </w:tcPr>
          <w:p w14:paraId="2410C370" w14:textId="330AF60C" w:rsidR="002A5407" w:rsidRPr="00D91B35" w:rsidRDefault="00B21BBC" w:rsidP="002A5407">
            <w:pPr>
              <w:rPr>
                <w:rFonts w:ascii="Times New Roman" w:hAnsi="Times New Roman" w:cs="Times New Roman"/>
                <w:sz w:val="16"/>
                <w:szCs w:val="16"/>
              </w:rPr>
            </w:pPr>
            <w:r>
              <w:rPr>
                <w:rFonts w:ascii="Times New Roman" w:hAnsi="Times New Roman"/>
                <w:sz w:val="16"/>
              </w:rPr>
              <w:t>804,0</w:t>
            </w:r>
          </w:p>
        </w:tc>
        <w:tc>
          <w:tcPr>
            <w:tcW w:w="251" w:type="pct"/>
            <w:tcBorders>
              <w:bottom w:val="single" w:sz="4" w:space="0" w:color="auto"/>
            </w:tcBorders>
            <w:shd w:val="clear" w:color="auto" w:fill="FFFFFF" w:themeFill="background1"/>
          </w:tcPr>
          <w:p w14:paraId="32265B8E" w14:textId="77777777" w:rsidR="002A5407" w:rsidRPr="00D91B35" w:rsidRDefault="002A5407" w:rsidP="002A5407">
            <w:pPr>
              <w:rPr>
                <w:rFonts w:ascii="Times New Roman" w:hAnsi="Times New Roman" w:cs="Times New Roman"/>
                <w:sz w:val="16"/>
                <w:szCs w:val="16"/>
              </w:rPr>
            </w:pPr>
          </w:p>
        </w:tc>
        <w:tc>
          <w:tcPr>
            <w:tcW w:w="237" w:type="pct"/>
            <w:tcBorders>
              <w:bottom w:val="single" w:sz="4" w:space="0" w:color="auto"/>
            </w:tcBorders>
            <w:shd w:val="clear" w:color="auto" w:fill="FFFFFF" w:themeFill="background1"/>
          </w:tcPr>
          <w:p w14:paraId="04933573" w14:textId="77777777" w:rsidR="002A5407" w:rsidRPr="00D91B35" w:rsidRDefault="002A5407" w:rsidP="002A5407">
            <w:pPr>
              <w:rPr>
                <w:rFonts w:ascii="Times New Roman" w:hAnsi="Times New Roman" w:cs="Times New Roman"/>
                <w:sz w:val="16"/>
                <w:szCs w:val="16"/>
              </w:rPr>
            </w:pPr>
          </w:p>
        </w:tc>
        <w:tc>
          <w:tcPr>
            <w:tcW w:w="237" w:type="pct"/>
            <w:tcBorders>
              <w:bottom w:val="single" w:sz="4" w:space="0" w:color="auto"/>
            </w:tcBorders>
            <w:shd w:val="clear" w:color="auto" w:fill="FFFFFF" w:themeFill="background1"/>
          </w:tcPr>
          <w:p w14:paraId="1E762E9B" w14:textId="77777777" w:rsidR="002A5407" w:rsidRPr="00D91B35" w:rsidRDefault="002A5407" w:rsidP="002A5407">
            <w:pPr>
              <w:rPr>
                <w:rFonts w:ascii="Times New Roman" w:hAnsi="Times New Roman" w:cs="Times New Roman"/>
                <w:sz w:val="16"/>
                <w:szCs w:val="16"/>
              </w:rPr>
            </w:pPr>
          </w:p>
        </w:tc>
        <w:tc>
          <w:tcPr>
            <w:tcW w:w="237" w:type="pct"/>
            <w:tcBorders>
              <w:bottom w:val="single" w:sz="4" w:space="0" w:color="auto"/>
            </w:tcBorders>
            <w:shd w:val="clear" w:color="auto" w:fill="FFFFFF" w:themeFill="background1"/>
          </w:tcPr>
          <w:p w14:paraId="36E6C222" w14:textId="77777777" w:rsidR="002A5407" w:rsidRPr="00D91B35" w:rsidRDefault="002A5407" w:rsidP="002A5407">
            <w:pPr>
              <w:rPr>
                <w:rFonts w:ascii="Times New Roman" w:hAnsi="Times New Roman" w:cs="Times New Roman"/>
                <w:sz w:val="16"/>
                <w:szCs w:val="16"/>
              </w:rPr>
            </w:pPr>
          </w:p>
        </w:tc>
        <w:tc>
          <w:tcPr>
            <w:tcW w:w="237" w:type="pct"/>
            <w:tcBorders>
              <w:bottom w:val="single" w:sz="4" w:space="0" w:color="auto"/>
            </w:tcBorders>
            <w:shd w:val="clear" w:color="auto" w:fill="FFFFFF" w:themeFill="background1"/>
          </w:tcPr>
          <w:p w14:paraId="4DB25350" w14:textId="55AC4A41" w:rsidR="002A5407" w:rsidRPr="00D91B35" w:rsidRDefault="00B21BBC" w:rsidP="002A5407">
            <w:pPr>
              <w:rPr>
                <w:rFonts w:ascii="Times New Roman" w:hAnsi="Times New Roman" w:cs="Times New Roman"/>
                <w:sz w:val="16"/>
                <w:szCs w:val="16"/>
              </w:rPr>
            </w:pPr>
            <w:r>
              <w:rPr>
                <w:rFonts w:ascii="Times New Roman" w:hAnsi="Times New Roman"/>
                <w:sz w:val="16"/>
              </w:rPr>
              <w:t>1 339,0</w:t>
            </w:r>
          </w:p>
        </w:tc>
      </w:tr>
      <w:tr w:rsidR="00077C40" w:rsidRPr="00D91B35" w14:paraId="5F1F590B" w14:textId="77777777" w:rsidTr="008A656B">
        <w:tc>
          <w:tcPr>
            <w:tcW w:w="374" w:type="pct"/>
            <w:tcBorders>
              <w:top w:val="single" w:sz="4" w:space="0" w:color="auto"/>
            </w:tcBorders>
          </w:tcPr>
          <w:p w14:paraId="02C077EF" w14:textId="61B9ECD3" w:rsidR="002A5407" w:rsidRPr="00D91B35" w:rsidRDefault="00B21BBC" w:rsidP="002A5407">
            <w:pPr>
              <w:rPr>
                <w:rFonts w:ascii="Times New Roman" w:hAnsi="Times New Roman" w:cs="Times New Roman"/>
                <w:b/>
                <w:bCs/>
                <w:sz w:val="16"/>
                <w:szCs w:val="16"/>
              </w:rPr>
            </w:pPr>
            <w:r>
              <w:rPr>
                <w:rFonts w:ascii="Times New Roman" w:hAnsi="Times New Roman"/>
                <w:b/>
                <w:sz w:val="16"/>
              </w:rPr>
              <w:t>Pārtika</w:t>
            </w:r>
          </w:p>
        </w:tc>
        <w:tc>
          <w:tcPr>
            <w:tcW w:w="231" w:type="pct"/>
            <w:tcBorders>
              <w:top w:val="single" w:sz="4" w:space="0" w:color="auto"/>
            </w:tcBorders>
          </w:tcPr>
          <w:p w14:paraId="2CC5C658" w14:textId="4A41B3EC" w:rsidR="002A5407" w:rsidRPr="00D91B35" w:rsidRDefault="00B21BBC" w:rsidP="002A5407">
            <w:pPr>
              <w:rPr>
                <w:rFonts w:ascii="Times New Roman" w:hAnsi="Times New Roman" w:cs="Times New Roman"/>
                <w:b/>
                <w:bCs/>
                <w:sz w:val="16"/>
                <w:szCs w:val="16"/>
              </w:rPr>
            </w:pPr>
            <w:r>
              <w:rPr>
                <w:rFonts w:ascii="Times New Roman" w:hAnsi="Times New Roman"/>
                <w:b/>
                <w:sz w:val="16"/>
              </w:rPr>
              <w:t>Meitenes</w:t>
            </w:r>
          </w:p>
        </w:tc>
        <w:tc>
          <w:tcPr>
            <w:tcW w:w="358" w:type="pct"/>
            <w:tcBorders>
              <w:top w:val="single" w:sz="4" w:space="0" w:color="auto"/>
            </w:tcBorders>
          </w:tcPr>
          <w:p w14:paraId="3A56F27E" w14:textId="046DAA45" w:rsidR="002A5407" w:rsidRPr="00D91B35" w:rsidRDefault="00B21BBC" w:rsidP="002A5407">
            <w:pPr>
              <w:rPr>
                <w:rFonts w:ascii="Times New Roman" w:hAnsi="Times New Roman" w:cs="Times New Roman"/>
                <w:b/>
                <w:bCs/>
                <w:sz w:val="16"/>
                <w:szCs w:val="16"/>
              </w:rPr>
            </w:pPr>
            <w:r>
              <w:rPr>
                <w:rFonts w:ascii="Times New Roman" w:hAnsi="Times New Roman"/>
                <w:b/>
                <w:sz w:val="16"/>
              </w:rPr>
              <w:t>Dānija</w:t>
            </w:r>
          </w:p>
        </w:tc>
        <w:tc>
          <w:tcPr>
            <w:tcW w:w="359" w:type="pct"/>
            <w:tcBorders>
              <w:top w:val="single" w:sz="4" w:space="0" w:color="auto"/>
            </w:tcBorders>
          </w:tcPr>
          <w:p w14:paraId="34A1920F" w14:textId="43CB6C1D" w:rsidR="002A5407" w:rsidRPr="00D91B35" w:rsidRDefault="00B21BBC" w:rsidP="00B21BBC">
            <w:pPr>
              <w:pStyle w:val="Default"/>
              <w:rPr>
                <w:sz w:val="16"/>
                <w:szCs w:val="16"/>
              </w:rPr>
            </w:pPr>
            <w:r>
              <w:rPr>
                <w:sz w:val="16"/>
              </w:rPr>
              <w:t>(Pedersen et al., 2010)</w:t>
            </w:r>
          </w:p>
        </w:tc>
        <w:tc>
          <w:tcPr>
            <w:tcW w:w="839" w:type="pct"/>
            <w:tcBorders>
              <w:top w:val="single" w:sz="4" w:space="0" w:color="auto"/>
            </w:tcBorders>
          </w:tcPr>
          <w:p w14:paraId="356D0B76" w14:textId="678DC411" w:rsidR="002A5407" w:rsidRPr="00D91B35" w:rsidRDefault="00B21BBC" w:rsidP="002A5407">
            <w:pPr>
              <w:rPr>
                <w:rFonts w:ascii="Times New Roman" w:hAnsi="Times New Roman" w:cs="Times New Roman"/>
                <w:sz w:val="16"/>
                <w:szCs w:val="16"/>
              </w:rPr>
            </w:pPr>
            <w:r>
              <w:rPr>
                <w:rFonts w:ascii="Times New Roman" w:hAnsi="Times New Roman"/>
                <w:sz w:val="16"/>
              </w:rPr>
              <w:t>7 dienu uztura pieraksts</w:t>
            </w:r>
          </w:p>
        </w:tc>
        <w:tc>
          <w:tcPr>
            <w:tcW w:w="196" w:type="pct"/>
            <w:tcBorders>
              <w:top w:val="single" w:sz="4" w:space="0" w:color="auto"/>
            </w:tcBorders>
            <w:shd w:val="clear" w:color="auto" w:fill="FFFFFF" w:themeFill="background1"/>
          </w:tcPr>
          <w:p w14:paraId="335D88AE" w14:textId="54431655" w:rsidR="002A5407" w:rsidRPr="00D91B35" w:rsidRDefault="00387006" w:rsidP="002A5407">
            <w:pPr>
              <w:rPr>
                <w:rFonts w:ascii="Times New Roman" w:hAnsi="Times New Roman" w:cs="Times New Roman"/>
                <w:sz w:val="16"/>
                <w:szCs w:val="16"/>
              </w:rPr>
            </w:pPr>
            <w:r>
              <w:rPr>
                <w:rFonts w:ascii="Times New Roman" w:hAnsi="Times New Roman"/>
                <w:sz w:val="16"/>
              </w:rPr>
              <w:t>134</w:t>
            </w:r>
          </w:p>
        </w:tc>
        <w:tc>
          <w:tcPr>
            <w:tcW w:w="122" w:type="pct"/>
            <w:tcBorders>
              <w:top w:val="single" w:sz="4" w:space="0" w:color="auto"/>
            </w:tcBorders>
            <w:shd w:val="clear" w:color="auto" w:fill="FFFFFF" w:themeFill="background1"/>
          </w:tcPr>
          <w:p w14:paraId="26515ABF" w14:textId="77777777" w:rsidR="002A5407" w:rsidRPr="00D91B35" w:rsidRDefault="002A5407" w:rsidP="002A5407">
            <w:pPr>
              <w:rPr>
                <w:rFonts w:ascii="Times New Roman" w:hAnsi="Times New Roman" w:cs="Times New Roman"/>
                <w:sz w:val="16"/>
                <w:szCs w:val="16"/>
              </w:rPr>
            </w:pPr>
          </w:p>
        </w:tc>
        <w:tc>
          <w:tcPr>
            <w:tcW w:w="183" w:type="pct"/>
            <w:tcBorders>
              <w:top w:val="single" w:sz="4" w:space="0" w:color="auto"/>
            </w:tcBorders>
            <w:shd w:val="clear" w:color="auto" w:fill="FFFFFF" w:themeFill="background1"/>
          </w:tcPr>
          <w:p w14:paraId="1A131B92" w14:textId="0398C6F1" w:rsidR="002A5407" w:rsidRPr="00D91B35" w:rsidRDefault="00387006" w:rsidP="002A5407">
            <w:pPr>
              <w:rPr>
                <w:rFonts w:ascii="Times New Roman" w:hAnsi="Times New Roman" w:cs="Times New Roman"/>
                <w:sz w:val="16"/>
                <w:szCs w:val="16"/>
              </w:rPr>
            </w:pPr>
            <w:r>
              <w:rPr>
                <w:rFonts w:ascii="Times New Roman" w:hAnsi="Times New Roman"/>
                <w:sz w:val="16"/>
              </w:rPr>
              <w:t>14</w:t>
            </w:r>
          </w:p>
        </w:tc>
        <w:tc>
          <w:tcPr>
            <w:tcW w:w="105" w:type="pct"/>
            <w:tcBorders>
              <w:top w:val="single" w:sz="4" w:space="0" w:color="auto"/>
            </w:tcBorders>
            <w:shd w:val="clear" w:color="auto" w:fill="FFFFFF" w:themeFill="background1"/>
          </w:tcPr>
          <w:p w14:paraId="6A155CC5" w14:textId="77777777" w:rsidR="002A5407" w:rsidRPr="00D91B35" w:rsidRDefault="002A5407" w:rsidP="002A5407">
            <w:pPr>
              <w:rPr>
                <w:rFonts w:ascii="Times New Roman" w:hAnsi="Times New Roman" w:cs="Times New Roman"/>
                <w:sz w:val="16"/>
                <w:szCs w:val="16"/>
              </w:rPr>
            </w:pPr>
          </w:p>
        </w:tc>
        <w:tc>
          <w:tcPr>
            <w:tcW w:w="186" w:type="pct"/>
            <w:tcBorders>
              <w:top w:val="single" w:sz="4" w:space="0" w:color="auto"/>
            </w:tcBorders>
            <w:shd w:val="clear" w:color="auto" w:fill="FFFFFF" w:themeFill="background1"/>
          </w:tcPr>
          <w:p w14:paraId="5094DC43" w14:textId="182A176E" w:rsidR="002A5407" w:rsidRPr="00D91B35" w:rsidRDefault="00B21BBC" w:rsidP="002A5407">
            <w:pPr>
              <w:rPr>
                <w:rFonts w:ascii="Times New Roman" w:hAnsi="Times New Roman" w:cs="Times New Roman"/>
                <w:sz w:val="16"/>
                <w:szCs w:val="16"/>
              </w:rPr>
            </w:pPr>
            <w:r>
              <w:rPr>
                <w:rFonts w:ascii="Times New Roman" w:hAnsi="Times New Roman"/>
                <w:sz w:val="16"/>
              </w:rPr>
              <w:t>17</w:t>
            </w:r>
          </w:p>
        </w:tc>
        <w:tc>
          <w:tcPr>
            <w:tcW w:w="609" w:type="pct"/>
            <w:tcBorders>
              <w:top w:val="single" w:sz="4" w:space="0" w:color="auto"/>
            </w:tcBorders>
            <w:shd w:val="clear" w:color="auto" w:fill="FFFFFF" w:themeFill="background1"/>
          </w:tcPr>
          <w:p w14:paraId="79D2E95A" w14:textId="77777777" w:rsidR="002A5407" w:rsidRPr="00D91B35" w:rsidRDefault="002A5407" w:rsidP="002A5407">
            <w:pPr>
              <w:rPr>
                <w:rFonts w:ascii="Times New Roman" w:hAnsi="Times New Roman" w:cs="Times New Roman"/>
                <w:sz w:val="16"/>
                <w:szCs w:val="16"/>
              </w:rPr>
            </w:pPr>
          </w:p>
        </w:tc>
        <w:tc>
          <w:tcPr>
            <w:tcW w:w="237" w:type="pct"/>
            <w:tcBorders>
              <w:top w:val="single" w:sz="4" w:space="0" w:color="auto"/>
            </w:tcBorders>
            <w:shd w:val="clear" w:color="auto" w:fill="FFFFFF" w:themeFill="background1"/>
          </w:tcPr>
          <w:p w14:paraId="2B4F1AEE" w14:textId="508632BC" w:rsidR="002A5407" w:rsidRPr="00D91B35" w:rsidRDefault="00B21BBC" w:rsidP="002A5407">
            <w:pPr>
              <w:rPr>
                <w:rFonts w:ascii="Times New Roman" w:hAnsi="Times New Roman" w:cs="Times New Roman"/>
                <w:sz w:val="16"/>
                <w:szCs w:val="16"/>
              </w:rPr>
            </w:pPr>
            <w:r>
              <w:rPr>
                <w:rFonts w:ascii="Times New Roman" w:hAnsi="Times New Roman"/>
                <w:sz w:val="16"/>
              </w:rPr>
              <w:t>966,0</w:t>
            </w:r>
          </w:p>
        </w:tc>
        <w:tc>
          <w:tcPr>
            <w:tcW w:w="251" w:type="pct"/>
            <w:tcBorders>
              <w:top w:val="single" w:sz="4" w:space="0" w:color="auto"/>
            </w:tcBorders>
            <w:shd w:val="clear" w:color="auto" w:fill="FFFFFF" w:themeFill="background1"/>
          </w:tcPr>
          <w:p w14:paraId="14C8F268" w14:textId="77777777" w:rsidR="002A5407" w:rsidRPr="00D91B35" w:rsidRDefault="002A5407" w:rsidP="002A5407">
            <w:pPr>
              <w:rPr>
                <w:rFonts w:ascii="Times New Roman" w:hAnsi="Times New Roman" w:cs="Times New Roman"/>
                <w:sz w:val="16"/>
                <w:szCs w:val="16"/>
              </w:rPr>
            </w:pPr>
          </w:p>
        </w:tc>
        <w:tc>
          <w:tcPr>
            <w:tcW w:w="237" w:type="pct"/>
            <w:tcBorders>
              <w:top w:val="single" w:sz="4" w:space="0" w:color="auto"/>
            </w:tcBorders>
            <w:shd w:val="clear" w:color="auto" w:fill="FFFFFF" w:themeFill="background1"/>
          </w:tcPr>
          <w:p w14:paraId="7C08405E" w14:textId="77777777" w:rsidR="002A5407" w:rsidRPr="00D91B35" w:rsidRDefault="002A5407" w:rsidP="002A5407">
            <w:pPr>
              <w:rPr>
                <w:rFonts w:ascii="Times New Roman" w:hAnsi="Times New Roman" w:cs="Times New Roman"/>
                <w:sz w:val="16"/>
                <w:szCs w:val="16"/>
              </w:rPr>
            </w:pPr>
          </w:p>
        </w:tc>
        <w:tc>
          <w:tcPr>
            <w:tcW w:w="237" w:type="pct"/>
            <w:tcBorders>
              <w:top w:val="single" w:sz="4" w:space="0" w:color="auto"/>
            </w:tcBorders>
            <w:shd w:val="clear" w:color="auto" w:fill="FFFFFF" w:themeFill="background1"/>
          </w:tcPr>
          <w:p w14:paraId="639A4604" w14:textId="77777777" w:rsidR="002A5407" w:rsidRPr="00D91B35" w:rsidRDefault="002A5407" w:rsidP="002A5407">
            <w:pPr>
              <w:rPr>
                <w:rFonts w:ascii="Times New Roman" w:hAnsi="Times New Roman" w:cs="Times New Roman"/>
                <w:sz w:val="16"/>
                <w:szCs w:val="16"/>
              </w:rPr>
            </w:pPr>
          </w:p>
        </w:tc>
        <w:tc>
          <w:tcPr>
            <w:tcW w:w="237" w:type="pct"/>
            <w:tcBorders>
              <w:top w:val="single" w:sz="4" w:space="0" w:color="auto"/>
            </w:tcBorders>
            <w:shd w:val="clear" w:color="auto" w:fill="FFFFFF" w:themeFill="background1"/>
          </w:tcPr>
          <w:p w14:paraId="307CE8A3" w14:textId="4ECC6A90" w:rsidR="002A5407" w:rsidRPr="00D91B35" w:rsidRDefault="00B21BBC" w:rsidP="002A5407">
            <w:pPr>
              <w:rPr>
                <w:rFonts w:ascii="Times New Roman" w:hAnsi="Times New Roman" w:cs="Times New Roman"/>
                <w:sz w:val="16"/>
                <w:szCs w:val="16"/>
              </w:rPr>
            </w:pPr>
            <w:r>
              <w:rPr>
                <w:rFonts w:ascii="Times New Roman" w:hAnsi="Times New Roman"/>
                <w:sz w:val="16"/>
              </w:rPr>
              <w:t>1 699,0</w:t>
            </w:r>
          </w:p>
        </w:tc>
        <w:tc>
          <w:tcPr>
            <w:tcW w:w="237" w:type="pct"/>
            <w:tcBorders>
              <w:top w:val="single" w:sz="4" w:space="0" w:color="auto"/>
            </w:tcBorders>
            <w:shd w:val="clear" w:color="auto" w:fill="FFFFFF" w:themeFill="background1"/>
          </w:tcPr>
          <w:p w14:paraId="42F57F3F" w14:textId="77777777" w:rsidR="002A5407" w:rsidRPr="00D91B35" w:rsidRDefault="002A5407" w:rsidP="002A5407">
            <w:pPr>
              <w:rPr>
                <w:rFonts w:ascii="Times New Roman" w:hAnsi="Times New Roman" w:cs="Times New Roman"/>
                <w:sz w:val="16"/>
                <w:szCs w:val="16"/>
              </w:rPr>
            </w:pPr>
          </w:p>
        </w:tc>
      </w:tr>
      <w:tr w:rsidR="00077C40" w:rsidRPr="00D91B35" w14:paraId="31830F93" w14:textId="77777777" w:rsidTr="008A656B">
        <w:tc>
          <w:tcPr>
            <w:tcW w:w="374" w:type="pct"/>
          </w:tcPr>
          <w:p w14:paraId="2363AF11" w14:textId="77777777" w:rsidR="002A5407" w:rsidRPr="00D91B35" w:rsidRDefault="002A5407" w:rsidP="002A5407">
            <w:pPr>
              <w:rPr>
                <w:rFonts w:ascii="Times New Roman" w:hAnsi="Times New Roman" w:cs="Times New Roman"/>
                <w:sz w:val="16"/>
                <w:szCs w:val="16"/>
              </w:rPr>
            </w:pPr>
          </w:p>
        </w:tc>
        <w:tc>
          <w:tcPr>
            <w:tcW w:w="231" w:type="pct"/>
          </w:tcPr>
          <w:p w14:paraId="423FEE27" w14:textId="77777777" w:rsidR="002A5407" w:rsidRPr="00D91B35" w:rsidRDefault="002A5407" w:rsidP="002A5407">
            <w:pPr>
              <w:rPr>
                <w:rFonts w:ascii="Times New Roman" w:hAnsi="Times New Roman" w:cs="Times New Roman"/>
                <w:sz w:val="16"/>
                <w:szCs w:val="16"/>
              </w:rPr>
            </w:pPr>
          </w:p>
        </w:tc>
        <w:tc>
          <w:tcPr>
            <w:tcW w:w="358" w:type="pct"/>
          </w:tcPr>
          <w:p w14:paraId="29A012E1" w14:textId="1D8BBFA0" w:rsidR="002A5407" w:rsidRPr="00D91B35" w:rsidRDefault="00B21BBC" w:rsidP="002A5407">
            <w:pPr>
              <w:rPr>
                <w:rFonts w:ascii="Times New Roman" w:hAnsi="Times New Roman" w:cs="Times New Roman"/>
                <w:b/>
                <w:bCs/>
                <w:sz w:val="16"/>
                <w:szCs w:val="16"/>
              </w:rPr>
            </w:pPr>
            <w:r>
              <w:rPr>
                <w:rFonts w:ascii="Times New Roman" w:hAnsi="Times New Roman"/>
                <w:b/>
                <w:sz w:val="16"/>
              </w:rPr>
              <w:t>Īrija</w:t>
            </w:r>
          </w:p>
        </w:tc>
        <w:tc>
          <w:tcPr>
            <w:tcW w:w="359" w:type="pct"/>
          </w:tcPr>
          <w:p w14:paraId="7D010ADD" w14:textId="6F236AD4" w:rsidR="002A5407" w:rsidRPr="00D91B35" w:rsidRDefault="00B21BBC" w:rsidP="00B21BBC">
            <w:pPr>
              <w:pStyle w:val="Default"/>
              <w:rPr>
                <w:sz w:val="16"/>
                <w:szCs w:val="16"/>
              </w:rPr>
            </w:pPr>
            <w:r>
              <w:rPr>
                <w:sz w:val="16"/>
              </w:rPr>
              <w:t>(IUNA (Irish Universities Nutrition Alliance), 2011), b)</w:t>
            </w:r>
          </w:p>
        </w:tc>
        <w:tc>
          <w:tcPr>
            <w:tcW w:w="839" w:type="pct"/>
          </w:tcPr>
          <w:p w14:paraId="2C0ACB47" w14:textId="34CF7601" w:rsidR="002A5407" w:rsidRPr="00D91B35" w:rsidRDefault="00B21BBC" w:rsidP="002A5407">
            <w:pPr>
              <w:rPr>
                <w:rFonts w:ascii="Times New Roman" w:hAnsi="Times New Roman" w:cs="Times New Roman"/>
                <w:sz w:val="16"/>
                <w:szCs w:val="16"/>
              </w:rPr>
            </w:pPr>
            <w:r>
              <w:rPr>
                <w:rFonts w:ascii="Times New Roman" w:hAnsi="Times New Roman"/>
                <w:sz w:val="16"/>
              </w:rPr>
              <w:t>7 dienu uztura pieraksts</w:t>
            </w:r>
          </w:p>
        </w:tc>
        <w:tc>
          <w:tcPr>
            <w:tcW w:w="196" w:type="pct"/>
            <w:shd w:val="clear" w:color="auto" w:fill="FFFFFF" w:themeFill="background1"/>
          </w:tcPr>
          <w:p w14:paraId="35253A89" w14:textId="1D34A826" w:rsidR="002A5407" w:rsidRPr="00D91B35" w:rsidRDefault="00387006" w:rsidP="002A5407">
            <w:pPr>
              <w:rPr>
                <w:rFonts w:ascii="Times New Roman" w:hAnsi="Times New Roman" w:cs="Times New Roman"/>
                <w:sz w:val="16"/>
                <w:szCs w:val="16"/>
              </w:rPr>
            </w:pPr>
            <w:r>
              <w:rPr>
                <w:rFonts w:ascii="Times New Roman" w:hAnsi="Times New Roman"/>
                <w:sz w:val="16"/>
              </w:rPr>
              <w:t>217</w:t>
            </w:r>
          </w:p>
        </w:tc>
        <w:tc>
          <w:tcPr>
            <w:tcW w:w="122" w:type="pct"/>
            <w:shd w:val="clear" w:color="auto" w:fill="FFFFFF" w:themeFill="background1"/>
          </w:tcPr>
          <w:p w14:paraId="70436824" w14:textId="77777777" w:rsidR="002A5407" w:rsidRPr="00D91B35" w:rsidRDefault="002A5407" w:rsidP="002A5407">
            <w:pPr>
              <w:rPr>
                <w:rFonts w:ascii="Times New Roman" w:hAnsi="Times New Roman" w:cs="Times New Roman"/>
                <w:sz w:val="16"/>
                <w:szCs w:val="16"/>
              </w:rPr>
            </w:pPr>
          </w:p>
        </w:tc>
        <w:tc>
          <w:tcPr>
            <w:tcW w:w="183" w:type="pct"/>
            <w:shd w:val="clear" w:color="auto" w:fill="FFFFFF" w:themeFill="background1"/>
          </w:tcPr>
          <w:p w14:paraId="64FF2D21" w14:textId="0F47FFDE" w:rsidR="002A5407" w:rsidRPr="00D91B35" w:rsidRDefault="00387006" w:rsidP="002A5407">
            <w:pPr>
              <w:rPr>
                <w:rFonts w:ascii="Times New Roman" w:hAnsi="Times New Roman" w:cs="Times New Roman"/>
                <w:sz w:val="16"/>
                <w:szCs w:val="16"/>
              </w:rPr>
            </w:pPr>
            <w:r>
              <w:rPr>
                <w:rFonts w:ascii="Times New Roman" w:hAnsi="Times New Roman"/>
                <w:sz w:val="16"/>
              </w:rPr>
              <w:t>13</w:t>
            </w:r>
          </w:p>
        </w:tc>
        <w:tc>
          <w:tcPr>
            <w:tcW w:w="105" w:type="pct"/>
            <w:shd w:val="clear" w:color="auto" w:fill="FFFFFF" w:themeFill="background1"/>
          </w:tcPr>
          <w:p w14:paraId="2C73352A" w14:textId="77777777" w:rsidR="002A5407" w:rsidRPr="00D91B35" w:rsidRDefault="002A5407" w:rsidP="002A5407">
            <w:pPr>
              <w:rPr>
                <w:rFonts w:ascii="Times New Roman" w:hAnsi="Times New Roman" w:cs="Times New Roman"/>
                <w:sz w:val="16"/>
                <w:szCs w:val="16"/>
              </w:rPr>
            </w:pPr>
          </w:p>
        </w:tc>
        <w:tc>
          <w:tcPr>
            <w:tcW w:w="186" w:type="pct"/>
            <w:shd w:val="clear" w:color="auto" w:fill="FFFFFF" w:themeFill="background1"/>
          </w:tcPr>
          <w:p w14:paraId="5ACB4E7E" w14:textId="7E6DFFB8" w:rsidR="002A5407" w:rsidRPr="00D91B35" w:rsidRDefault="00B21BBC" w:rsidP="002A5407">
            <w:pPr>
              <w:rPr>
                <w:rFonts w:ascii="Times New Roman" w:hAnsi="Times New Roman" w:cs="Times New Roman"/>
                <w:sz w:val="16"/>
                <w:szCs w:val="16"/>
              </w:rPr>
            </w:pPr>
            <w:r>
              <w:rPr>
                <w:rFonts w:ascii="Times New Roman" w:hAnsi="Times New Roman"/>
                <w:sz w:val="16"/>
              </w:rPr>
              <w:t>17</w:t>
            </w:r>
          </w:p>
        </w:tc>
        <w:tc>
          <w:tcPr>
            <w:tcW w:w="609" w:type="pct"/>
            <w:shd w:val="clear" w:color="auto" w:fill="FFFFFF" w:themeFill="background1"/>
          </w:tcPr>
          <w:p w14:paraId="448F277E"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42EADFF2" w14:textId="2A977B37" w:rsidR="002A5407" w:rsidRPr="00D91B35" w:rsidRDefault="00B21BBC" w:rsidP="002A5407">
            <w:pPr>
              <w:rPr>
                <w:rFonts w:ascii="Times New Roman" w:hAnsi="Times New Roman" w:cs="Times New Roman"/>
                <w:sz w:val="16"/>
                <w:szCs w:val="16"/>
              </w:rPr>
            </w:pPr>
            <w:r>
              <w:rPr>
                <w:rFonts w:ascii="Times New Roman" w:hAnsi="Times New Roman"/>
                <w:sz w:val="16"/>
              </w:rPr>
              <w:t>734,0</w:t>
            </w:r>
          </w:p>
        </w:tc>
        <w:tc>
          <w:tcPr>
            <w:tcW w:w="251" w:type="pct"/>
            <w:shd w:val="clear" w:color="auto" w:fill="FFFFFF" w:themeFill="background1"/>
          </w:tcPr>
          <w:p w14:paraId="479E1238"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162DB6E1"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72CD829E"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5118E008" w14:textId="0B35FD30" w:rsidR="002A5407" w:rsidRPr="00D91B35" w:rsidRDefault="00B21BBC" w:rsidP="002A5407">
            <w:pPr>
              <w:rPr>
                <w:rFonts w:ascii="Times New Roman" w:hAnsi="Times New Roman" w:cs="Times New Roman"/>
                <w:sz w:val="16"/>
                <w:szCs w:val="16"/>
              </w:rPr>
            </w:pPr>
            <w:r>
              <w:rPr>
                <w:rFonts w:ascii="Times New Roman" w:hAnsi="Times New Roman"/>
                <w:sz w:val="16"/>
              </w:rPr>
              <w:t>1 376,0</w:t>
            </w:r>
          </w:p>
        </w:tc>
        <w:tc>
          <w:tcPr>
            <w:tcW w:w="237" w:type="pct"/>
            <w:shd w:val="clear" w:color="auto" w:fill="FFFFFF" w:themeFill="background1"/>
          </w:tcPr>
          <w:p w14:paraId="42577DD4" w14:textId="6D70D941" w:rsidR="002A5407" w:rsidRPr="00D91B35" w:rsidRDefault="00B21BBC" w:rsidP="002A5407">
            <w:pPr>
              <w:rPr>
                <w:rFonts w:ascii="Times New Roman" w:hAnsi="Times New Roman" w:cs="Times New Roman"/>
                <w:sz w:val="16"/>
                <w:szCs w:val="16"/>
              </w:rPr>
            </w:pPr>
            <w:r>
              <w:rPr>
                <w:rFonts w:ascii="Times New Roman" w:hAnsi="Times New Roman"/>
                <w:sz w:val="16"/>
              </w:rPr>
              <w:t>1 554,0</w:t>
            </w:r>
          </w:p>
        </w:tc>
      </w:tr>
      <w:tr w:rsidR="00077C40" w:rsidRPr="00D91B35" w14:paraId="4F2F3127" w14:textId="77777777" w:rsidTr="008A656B">
        <w:tc>
          <w:tcPr>
            <w:tcW w:w="374" w:type="pct"/>
          </w:tcPr>
          <w:p w14:paraId="04F300B3" w14:textId="77777777" w:rsidR="002A5407" w:rsidRPr="00D91B35" w:rsidRDefault="002A5407" w:rsidP="002A5407">
            <w:pPr>
              <w:rPr>
                <w:rFonts w:ascii="Times New Roman" w:hAnsi="Times New Roman" w:cs="Times New Roman"/>
                <w:sz w:val="16"/>
                <w:szCs w:val="16"/>
              </w:rPr>
            </w:pPr>
          </w:p>
        </w:tc>
        <w:tc>
          <w:tcPr>
            <w:tcW w:w="231" w:type="pct"/>
          </w:tcPr>
          <w:p w14:paraId="796E7D6F" w14:textId="77777777" w:rsidR="002A5407" w:rsidRPr="00D91B35" w:rsidRDefault="002A5407" w:rsidP="002A5407">
            <w:pPr>
              <w:rPr>
                <w:rFonts w:ascii="Times New Roman" w:hAnsi="Times New Roman" w:cs="Times New Roman"/>
                <w:sz w:val="16"/>
                <w:szCs w:val="16"/>
              </w:rPr>
            </w:pPr>
          </w:p>
        </w:tc>
        <w:tc>
          <w:tcPr>
            <w:tcW w:w="358" w:type="pct"/>
          </w:tcPr>
          <w:p w14:paraId="1ECF0430" w14:textId="1691D073" w:rsidR="002A5407" w:rsidRPr="00D91B35" w:rsidRDefault="00B21BBC" w:rsidP="002A5407">
            <w:pPr>
              <w:rPr>
                <w:rFonts w:ascii="Times New Roman" w:hAnsi="Times New Roman" w:cs="Times New Roman"/>
                <w:b/>
                <w:bCs/>
                <w:sz w:val="16"/>
                <w:szCs w:val="16"/>
              </w:rPr>
            </w:pPr>
            <w:r>
              <w:rPr>
                <w:rFonts w:ascii="Times New Roman" w:hAnsi="Times New Roman"/>
                <w:b/>
                <w:sz w:val="16"/>
              </w:rPr>
              <w:t>Itālija</w:t>
            </w:r>
          </w:p>
        </w:tc>
        <w:tc>
          <w:tcPr>
            <w:tcW w:w="359" w:type="pct"/>
          </w:tcPr>
          <w:p w14:paraId="06E05878" w14:textId="29F2798D" w:rsidR="002A5407" w:rsidRPr="00D91B35" w:rsidRDefault="00B21BBC" w:rsidP="00B21BBC">
            <w:pPr>
              <w:pStyle w:val="Default"/>
              <w:rPr>
                <w:sz w:val="16"/>
                <w:szCs w:val="16"/>
              </w:rPr>
            </w:pPr>
            <w:r>
              <w:rPr>
                <w:sz w:val="16"/>
              </w:rPr>
              <w:t>(Sette et al., 2010)</w:t>
            </w:r>
          </w:p>
        </w:tc>
        <w:tc>
          <w:tcPr>
            <w:tcW w:w="839" w:type="pct"/>
          </w:tcPr>
          <w:p w14:paraId="67AE9B74" w14:textId="2B7ED755" w:rsidR="002A5407" w:rsidRPr="00D91B35" w:rsidRDefault="00B21BBC" w:rsidP="00B21BBC">
            <w:pPr>
              <w:pStyle w:val="Default"/>
              <w:rPr>
                <w:sz w:val="16"/>
                <w:szCs w:val="16"/>
              </w:rPr>
            </w:pPr>
            <w:r>
              <w:rPr>
                <w:sz w:val="16"/>
              </w:rPr>
              <w:t xml:space="preserve">Secīgi 3 dienu uztura pieraksti </w:t>
            </w:r>
          </w:p>
        </w:tc>
        <w:tc>
          <w:tcPr>
            <w:tcW w:w="196" w:type="pct"/>
            <w:shd w:val="clear" w:color="auto" w:fill="FFFFFF" w:themeFill="background1"/>
          </w:tcPr>
          <w:p w14:paraId="308EA342" w14:textId="61BF1758" w:rsidR="002A5407" w:rsidRPr="00D91B35" w:rsidRDefault="00387006" w:rsidP="002A5407">
            <w:pPr>
              <w:rPr>
                <w:rFonts w:ascii="Times New Roman" w:hAnsi="Times New Roman" w:cs="Times New Roman"/>
                <w:sz w:val="16"/>
                <w:szCs w:val="16"/>
              </w:rPr>
            </w:pPr>
            <w:r>
              <w:rPr>
                <w:rFonts w:ascii="Times New Roman" w:hAnsi="Times New Roman"/>
                <w:sz w:val="16"/>
              </w:rPr>
              <w:t>139</w:t>
            </w:r>
          </w:p>
        </w:tc>
        <w:tc>
          <w:tcPr>
            <w:tcW w:w="122" w:type="pct"/>
            <w:shd w:val="clear" w:color="auto" w:fill="FFFFFF" w:themeFill="background1"/>
          </w:tcPr>
          <w:p w14:paraId="6B19E6F4" w14:textId="77777777" w:rsidR="002A5407" w:rsidRPr="00D91B35" w:rsidRDefault="002A5407" w:rsidP="002A5407">
            <w:pPr>
              <w:rPr>
                <w:rFonts w:ascii="Times New Roman" w:hAnsi="Times New Roman" w:cs="Times New Roman"/>
                <w:sz w:val="16"/>
                <w:szCs w:val="16"/>
              </w:rPr>
            </w:pPr>
          </w:p>
        </w:tc>
        <w:tc>
          <w:tcPr>
            <w:tcW w:w="183" w:type="pct"/>
            <w:shd w:val="clear" w:color="auto" w:fill="FFFFFF" w:themeFill="background1"/>
          </w:tcPr>
          <w:p w14:paraId="5BBDFF86" w14:textId="37F12EAF" w:rsidR="002A5407" w:rsidRPr="00D91B35" w:rsidRDefault="00387006" w:rsidP="002A5407">
            <w:pPr>
              <w:rPr>
                <w:rFonts w:ascii="Times New Roman" w:hAnsi="Times New Roman" w:cs="Times New Roman"/>
                <w:sz w:val="16"/>
                <w:szCs w:val="16"/>
              </w:rPr>
            </w:pPr>
            <w:r>
              <w:rPr>
                <w:rFonts w:ascii="Times New Roman" w:hAnsi="Times New Roman"/>
                <w:sz w:val="16"/>
              </w:rPr>
              <w:t>10</w:t>
            </w:r>
          </w:p>
        </w:tc>
        <w:tc>
          <w:tcPr>
            <w:tcW w:w="105" w:type="pct"/>
            <w:shd w:val="clear" w:color="auto" w:fill="FFFFFF" w:themeFill="background1"/>
          </w:tcPr>
          <w:p w14:paraId="23008C47" w14:textId="5A473A17" w:rsidR="002A5407" w:rsidRPr="00D91B35" w:rsidRDefault="00B21BBC" w:rsidP="00B21BBC">
            <w:pPr>
              <w:pStyle w:val="Default"/>
              <w:rPr>
                <w:sz w:val="16"/>
                <w:szCs w:val="16"/>
              </w:rPr>
            </w:pPr>
            <w:r>
              <w:rPr>
                <w:sz w:val="16"/>
              </w:rPr>
              <w:t>&lt;</w:t>
            </w:r>
          </w:p>
        </w:tc>
        <w:tc>
          <w:tcPr>
            <w:tcW w:w="186" w:type="pct"/>
            <w:shd w:val="clear" w:color="auto" w:fill="FFFFFF" w:themeFill="background1"/>
          </w:tcPr>
          <w:p w14:paraId="6712360A" w14:textId="37FC4A97" w:rsidR="002A5407" w:rsidRPr="00D91B35" w:rsidRDefault="00B21BBC" w:rsidP="002A5407">
            <w:pPr>
              <w:rPr>
                <w:rFonts w:ascii="Times New Roman" w:hAnsi="Times New Roman" w:cs="Times New Roman"/>
                <w:sz w:val="16"/>
                <w:szCs w:val="16"/>
              </w:rPr>
            </w:pPr>
            <w:r>
              <w:rPr>
                <w:rFonts w:ascii="Times New Roman" w:hAnsi="Times New Roman"/>
                <w:sz w:val="16"/>
              </w:rPr>
              <w:t>18</w:t>
            </w:r>
          </w:p>
        </w:tc>
        <w:tc>
          <w:tcPr>
            <w:tcW w:w="609" w:type="pct"/>
            <w:shd w:val="clear" w:color="auto" w:fill="FFFFFF" w:themeFill="background1"/>
          </w:tcPr>
          <w:p w14:paraId="40B00AF4" w14:textId="3E3DCC30" w:rsidR="002A5407" w:rsidRPr="00D91B35" w:rsidRDefault="00B21BBC" w:rsidP="002A5407">
            <w:pPr>
              <w:rPr>
                <w:rFonts w:ascii="Times New Roman" w:hAnsi="Times New Roman" w:cs="Times New Roman"/>
                <w:sz w:val="16"/>
                <w:szCs w:val="16"/>
              </w:rPr>
            </w:pPr>
            <w:r>
              <w:rPr>
                <w:rFonts w:ascii="Times New Roman" w:hAnsi="Times New Roman"/>
                <w:sz w:val="16"/>
              </w:rPr>
              <w:t>Ieskaitot bagātinātu pārtiku</w:t>
            </w:r>
          </w:p>
        </w:tc>
        <w:tc>
          <w:tcPr>
            <w:tcW w:w="237" w:type="pct"/>
            <w:shd w:val="clear" w:color="auto" w:fill="FFFFFF" w:themeFill="background1"/>
          </w:tcPr>
          <w:p w14:paraId="3CA10D01" w14:textId="1D380C66" w:rsidR="002A5407" w:rsidRPr="00D91B35" w:rsidRDefault="00B21BBC" w:rsidP="002A5407">
            <w:pPr>
              <w:rPr>
                <w:rFonts w:ascii="Times New Roman" w:hAnsi="Times New Roman" w:cs="Times New Roman"/>
                <w:sz w:val="16"/>
                <w:szCs w:val="16"/>
              </w:rPr>
            </w:pPr>
            <w:r>
              <w:rPr>
                <w:rFonts w:ascii="Times New Roman" w:hAnsi="Times New Roman"/>
                <w:sz w:val="16"/>
              </w:rPr>
              <w:t>770,0</w:t>
            </w:r>
          </w:p>
        </w:tc>
        <w:tc>
          <w:tcPr>
            <w:tcW w:w="251" w:type="pct"/>
            <w:shd w:val="clear" w:color="auto" w:fill="FFFFFF" w:themeFill="background1"/>
          </w:tcPr>
          <w:p w14:paraId="097CBB74"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11300DB0"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7B89C36B"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6F1ADFB2" w14:textId="7015B6C0" w:rsidR="002A5407" w:rsidRPr="00D91B35" w:rsidRDefault="00B21BBC" w:rsidP="002A5407">
            <w:pPr>
              <w:rPr>
                <w:rFonts w:ascii="Times New Roman" w:hAnsi="Times New Roman" w:cs="Times New Roman"/>
                <w:sz w:val="16"/>
                <w:szCs w:val="16"/>
              </w:rPr>
            </w:pPr>
            <w:r>
              <w:rPr>
                <w:rFonts w:ascii="Times New Roman" w:hAnsi="Times New Roman"/>
                <w:sz w:val="16"/>
              </w:rPr>
              <w:t>1 306,0</w:t>
            </w:r>
          </w:p>
        </w:tc>
        <w:tc>
          <w:tcPr>
            <w:tcW w:w="237" w:type="pct"/>
            <w:shd w:val="clear" w:color="auto" w:fill="FFFFFF" w:themeFill="background1"/>
          </w:tcPr>
          <w:p w14:paraId="7504AB5E" w14:textId="77777777" w:rsidR="002A5407" w:rsidRPr="00D91B35" w:rsidRDefault="002A5407" w:rsidP="002A5407">
            <w:pPr>
              <w:rPr>
                <w:rFonts w:ascii="Times New Roman" w:hAnsi="Times New Roman" w:cs="Times New Roman"/>
                <w:sz w:val="16"/>
                <w:szCs w:val="16"/>
              </w:rPr>
            </w:pPr>
          </w:p>
        </w:tc>
      </w:tr>
      <w:tr w:rsidR="00077C40" w:rsidRPr="00D91B35" w14:paraId="04F929E0" w14:textId="77777777" w:rsidTr="008A656B">
        <w:tc>
          <w:tcPr>
            <w:tcW w:w="374" w:type="pct"/>
            <w:tcBorders>
              <w:bottom w:val="single" w:sz="4" w:space="0" w:color="auto"/>
            </w:tcBorders>
          </w:tcPr>
          <w:p w14:paraId="4EDD4EE7" w14:textId="77777777" w:rsidR="002A5407" w:rsidRPr="00D91B35" w:rsidRDefault="002A5407" w:rsidP="002A5407">
            <w:pPr>
              <w:rPr>
                <w:rFonts w:ascii="Times New Roman" w:hAnsi="Times New Roman" w:cs="Times New Roman"/>
                <w:sz w:val="16"/>
                <w:szCs w:val="16"/>
              </w:rPr>
            </w:pPr>
          </w:p>
        </w:tc>
        <w:tc>
          <w:tcPr>
            <w:tcW w:w="231" w:type="pct"/>
            <w:tcBorders>
              <w:bottom w:val="single" w:sz="4" w:space="0" w:color="auto"/>
            </w:tcBorders>
          </w:tcPr>
          <w:p w14:paraId="1B28E609" w14:textId="77777777" w:rsidR="002A5407" w:rsidRPr="00D91B35" w:rsidRDefault="002A5407" w:rsidP="002A5407">
            <w:pPr>
              <w:rPr>
                <w:rFonts w:ascii="Times New Roman" w:hAnsi="Times New Roman" w:cs="Times New Roman"/>
                <w:sz w:val="16"/>
                <w:szCs w:val="16"/>
              </w:rPr>
            </w:pPr>
          </w:p>
        </w:tc>
        <w:tc>
          <w:tcPr>
            <w:tcW w:w="358" w:type="pct"/>
            <w:tcBorders>
              <w:bottom w:val="single" w:sz="4" w:space="0" w:color="auto"/>
            </w:tcBorders>
          </w:tcPr>
          <w:p w14:paraId="0B0DB340" w14:textId="174F7C9F" w:rsidR="002A5407" w:rsidRPr="00D91B35" w:rsidRDefault="00B21BBC" w:rsidP="002A5407">
            <w:pPr>
              <w:rPr>
                <w:rFonts w:ascii="Times New Roman" w:hAnsi="Times New Roman" w:cs="Times New Roman"/>
                <w:b/>
                <w:bCs/>
                <w:sz w:val="16"/>
                <w:szCs w:val="16"/>
              </w:rPr>
            </w:pPr>
            <w:r>
              <w:rPr>
                <w:rFonts w:ascii="Times New Roman" w:hAnsi="Times New Roman"/>
                <w:b/>
                <w:sz w:val="16"/>
              </w:rPr>
              <w:t>Nīderlande</w:t>
            </w:r>
          </w:p>
        </w:tc>
        <w:tc>
          <w:tcPr>
            <w:tcW w:w="359" w:type="pct"/>
            <w:tcBorders>
              <w:bottom w:val="single" w:sz="4" w:space="0" w:color="auto"/>
            </w:tcBorders>
          </w:tcPr>
          <w:p w14:paraId="27A258C5" w14:textId="013A8027" w:rsidR="002A5407" w:rsidRPr="00D91B35" w:rsidRDefault="00B21BBC" w:rsidP="00B21BBC">
            <w:pPr>
              <w:pStyle w:val="Default"/>
              <w:rPr>
                <w:sz w:val="16"/>
                <w:szCs w:val="16"/>
              </w:rPr>
            </w:pPr>
            <w:r>
              <w:rPr>
                <w:sz w:val="16"/>
              </w:rPr>
              <w:t>(van Rossum et al., 2011)</w:t>
            </w:r>
          </w:p>
        </w:tc>
        <w:tc>
          <w:tcPr>
            <w:tcW w:w="839" w:type="pct"/>
            <w:tcBorders>
              <w:bottom w:val="single" w:sz="4" w:space="0" w:color="auto"/>
            </w:tcBorders>
          </w:tcPr>
          <w:p w14:paraId="1A345217" w14:textId="5C96FDD4" w:rsidR="002A5407" w:rsidRPr="00D91B35" w:rsidRDefault="00B21BBC" w:rsidP="00B21BBC">
            <w:pPr>
              <w:pStyle w:val="Default"/>
              <w:rPr>
                <w:sz w:val="16"/>
                <w:szCs w:val="16"/>
              </w:rPr>
            </w:pPr>
            <w:r>
              <w:rPr>
                <w:sz w:val="16"/>
              </w:rPr>
              <w:t>Divas nesecīgas  24 stundu atcerēšanās anketas</w:t>
            </w:r>
          </w:p>
        </w:tc>
        <w:tc>
          <w:tcPr>
            <w:tcW w:w="196" w:type="pct"/>
            <w:tcBorders>
              <w:bottom w:val="single" w:sz="4" w:space="0" w:color="auto"/>
            </w:tcBorders>
            <w:shd w:val="clear" w:color="auto" w:fill="FFFFFF" w:themeFill="background1"/>
          </w:tcPr>
          <w:p w14:paraId="643DEBA2" w14:textId="6488521D" w:rsidR="002A5407" w:rsidRPr="00D91B35" w:rsidRDefault="00387006" w:rsidP="002A5407">
            <w:pPr>
              <w:rPr>
                <w:rFonts w:ascii="Times New Roman" w:hAnsi="Times New Roman" w:cs="Times New Roman"/>
                <w:sz w:val="16"/>
                <w:szCs w:val="16"/>
              </w:rPr>
            </w:pPr>
            <w:r>
              <w:rPr>
                <w:rFonts w:ascii="Times New Roman" w:hAnsi="Times New Roman"/>
                <w:sz w:val="16"/>
              </w:rPr>
              <w:t>354</w:t>
            </w:r>
          </w:p>
        </w:tc>
        <w:tc>
          <w:tcPr>
            <w:tcW w:w="122" w:type="pct"/>
            <w:tcBorders>
              <w:bottom w:val="single" w:sz="4" w:space="0" w:color="auto"/>
            </w:tcBorders>
            <w:shd w:val="clear" w:color="auto" w:fill="FFFFFF" w:themeFill="background1"/>
          </w:tcPr>
          <w:p w14:paraId="3685974B" w14:textId="77777777" w:rsidR="002A5407" w:rsidRPr="00D91B35" w:rsidRDefault="002A5407" w:rsidP="002A5407">
            <w:pPr>
              <w:rPr>
                <w:rFonts w:ascii="Times New Roman" w:hAnsi="Times New Roman" w:cs="Times New Roman"/>
                <w:sz w:val="16"/>
                <w:szCs w:val="16"/>
              </w:rPr>
            </w:pPr>
          </w:p>
        </w:tc>
        <w:tc>
          <w:tcPr>
            <w:tcW w:w="183" w:type="pct"/>
            <w:tcBorders>
              <w:bottom w:val="single" w:sz="4" w:space="0" w:color="auto"/>
            </w:tcBorders>
            <w:shd w:val="clear" w:color="auto" w:fill="FFFFFF" w:themeFill="background1"/>
          </w:tcPr>
          <w:p w14:paraId="3E09F23C" w14:textId="0EF001A9" w:rsidR="002A5407" w:rsidRPr="00D91B35" w:rsidRDefault="00387006" w:rsidP="002A5407">
            <w:pPr>
              <w:rPr>
                <w:rFonts w:ascii="Times New Roman" w:hAnsi="Times New Roman" w:cs="Times New Roman"/>
                <w:sz w:val="16"/>
                <w:szCs w:val="16"/>
              </w:rPr>
            </w:pPr>
            <w:r>
              <w:rPr>
                <w:rFonts w:ascii="Times New Roman" w:hAnsi="Times New Roman"/>
                <w:sz w:val="16"/>
              </w:rPr>
              <w:t>14</w:t>
            </w:r>
          </w:p>
        </w:tc>
        <w:tc>
          <w:tcPr>
            <w:tcW w:w="105" w:type="pct"/>
            <w:tcBorders>
              <w:bottom w:val="single" w:sz="4" w:space="0" w:color="auto"/>
            </w:tcBorders>
            <w:shd w:val="clear" w:color="auto" w:fill="FFFFFF" w:themeFill="background1"/>
          </w:tcPr>
          <w:p w14:paraId="1E9EC768" w14:textId="77777777" w:rsidR="002A5407" w:rsidRPr="00D91B35" w:rsidRDefault="002A5407" w:rsidP="002A5407">
            <w:pPr>
              <w:rPr>
                <w:rFonts w:ascii="Times New Roman" w:hAnsi="Times New Roman" w:cs="Times New Roman"/>
                <w:sz w:val="16"/>
                <w:szCs w:val="16"/>
              </w:rPr>
            </w:pPr>
          </w:p>
        </w:tc>
        <w:tc>
          <w:tcPr>
            <w:tcW w:w="186" w:type="pct"/>
            <w:tcBorders>
              <w:bottom w:val="single" w:sz="4" w:space="0" w:color="auto"/>
            </w:tcBorders>
            <w:shd w:val="clear" w:color="auto" w:fill="FFFFFF" w:themeFill="background1"/>
          </w:tcPr>
          <w:p w14:paraId="4C54B1EE" w14:textId="2A06FD04" w:rsidR="002A5407" w:rsidRPr="00D91B35" w:rsidRDefault="00B21BBC" w:rsidP="002A5407">
            <w:pPr>
              <w:rPr>
                <w:rFonts w:ascii="Times New Roman" w:hAnsi="Times New Roman" w:cs="Times New Roman"/>
                <w:sz w:val="16"/>
                <w:szCs w:val="16"/>
              </w:rPr>
            </w:pPr>
            <w:r>
              <w:rPr>
                <w:rFonts w:ascii="Times New Roman" w:hAnsi="Times New Roman"/>
                <w:sz w:val="16"/>
              </w:rPr>
              <w:t>18</w:t>
            </w:r>
          </w:p>
        </w:tc>
        <w:tc>
          <w:tcPr>
            <w:tcW w:w="609" w:type="pct"/>
            <w:tcBorders>
              <w:bottom w:val="single" w:sz="4" w:space="0" w:color="auto"/>
            </w:tcBorders>
            <w:shd w:val="clear" w:color="auto" w:fill="FFFFFF" w:themeFill="background1"/>
          </w:tcPr>
          <w:p w14:paraId="683AC66F" w14:textId="77777777" w:rsidR="002A5407" w:rsidRPr="00D91B35" w:rsidRDefault="002A5407" w:rsidP="002A5407">
            <w:pPr>
              <w:rPr>
                <w:rFonts w:ascii="Times New Roman" w:hAnsi="Times New Roman" w:cs="Times New Roman"/>
                <w:sz w:val="16"/>
                <w:szCs w:val="16"/>
              </w:rPr>
            </w:pPr>
          </w:p>
        </w:tc>
        <w:tc>
          <w:tcPr>
            <w:tcW w:w="237" w:type="pct"/>
            <w:tcBorders>
              <w:bottom w:val="single" w:sz="4" w:space="0" w:color="auto"/>
            </w:tcBorders>
            <w:shd w:val="clear" w:color="auto" w:fill="FFFFFF" w:themeFill="background1"/>
          </w:tcPr>
          <w:p w14:paraId="31DB7B66" w14:textId="77777777" w:rsidR="002A5407" w:rsidRPr="00D91B35" w:rsidRDefault="002A5407" w:rsidP="002A5407">
            <w:pPr>
              <w:rPr>
                <w:rFonts w:ascii="Times New Roman" w:hAnsi="Times New Roman" w:cs="Times New Roman"/>
                <w:sz w:val="16"/>
                <w:szCs w:val="16"/>
              </w:rPr>
            </w:pPr>
          </w:p>
        </w:tc>
        <w:tc>
          <w:tcPr>
            <w:tcW w:w="251" w:type="pct"/>
            <w:tcBorders>
              <w:bottom w:val="single" w:sz="4" w:space="0" w:color="auto"/>
            </w:tcBorders>
            <w:shd w:val="clear" w:color="auto" w:fill="FFFFFF" w:themeFill="background1"/>
          </w:tcPr>
          <w:p w14:paraId="4C19C12F" w14:textId="14C5E890" w:rsidR="002A5407" w:rsidRPr="00D91B35" w:rsidRDefault="00B21BBC" w:rsidP="002A5407">
            <w:pPr>
              <w:rPr>
                <w:rFonts w:ascii="Times New Roman" w:hAnsi="Times New Roman" w:cs="Times New Roman"/>
                <w:sz w:val="16"/>
                <w:szCs w:val="16"/>
              </w:rPr>
            </w:pPr>
            <w:r>
              <w:rPr>
                <w:rFonts w:ascii="Times New Roman" w:hAnsi="Times New Roman"/>
                <w:sz w:val="16"/>
              </w:rPr>
              <w:t>876,0</w:t>
            </w:r>
          </w:p>
        </w:tc>
        <w:tc>
          <w:tcPr>
            <w:tcW w:w="237" w:type="pct"/>
            <w:tcBorders>
              <w:bottom w:val="single" w:sz="4" w:space="0" w:color="auto"/>
            </w:tcBorders>
            <w:shd w:val="clear" w:color="auto" w:fill="FFFFFF" w:themeFill="background1"/>
          </w:tcPr>
          <w:p w14:paraId="13150CB5" w14:textId="77777777" w:rsidR="002A5407" w:rsidRPr="00D91B35" w:rsidRDefault="002A5407" w:rsidP="002A5407">
            <w:pPr>
              <w:rPr>
                <w:rFonts w:ascii="Times New Roman" w:hAnsi="Times New Roman" w:cs="Times New Roman"/>
                <w:sz w:val="16"/>
                <w:szCs w:val="16"/>
              </w:rPr>
            </w:pPr>
          </w:p>
        </w:tc>
        <w:tc>
          <w:tcPr>
            <w:tcW w:w="237" w:type="pct"/>
            <w:tcBorders>
              <w:bottom w:val="single" w:sz="4" w:space="0" w:color="auto"/>
            </w:tcBorders>
            <w:shd w:val="clear" w:color="auto" w:fill="FFFFFF" w:themeFill="background1"/>
          </w:tcPr>
          <w:p w14:paraId="29952D0F" w14:textId="77777777" w:rsidR="002A5407" w:rsidRPr="00D91B35" w:rsidRDefault="002A5407" w:rsidP="002A5407">
            <w:pPr>
              <w:rPr>
                <w:rFonts w:ascii="Times New Roman" w:hAnsi="Times New Roman" w:cs="Times New Roman"/>
                <w:sz w:val="16"/>
                <w:szCs w:val="16"/>
              </w:rPr>
            </w:pPr>
          </w:p>
        </w:tc>
        <w:tc>
          <w:tcPr>
            <w:tcW w:w="237" w:type="pct"/>
            <w:tcBorders>
              <w:bottom w:val="single" w:sz="4" w:space="0" w:color="auto"/>
            </w:tcBorders>
            <w:shd w:val="clear" w:color="auto" w:fill="FFFFFF" w:themeFill="background1"/>
          </w:tcPr>
          <w:p w14:paraId="5AEE5FDB" w14:textId="04F1CAE5" w:rsidR="002A5407" w:rsidRPr="00D91B35" w:rsidRDefault="00B21BBC" w:rsidP="002A5407">
            <w:pPr>
              <w:rPr>
                <w:rFonts w:ascii="Times New Roman" w:hAnsi="Times New Roman" w:cs="Times New Roman"/>
                <w:sz w:val="16"/>
                <w:szCs w:val="16"/>
              </w:rPr>
            </w:pPr>
            <w:r>
              <w:rPr>
                <w:rFonts w:ascii="Times New Roman" w:hAnsi="Times New Roman"/>
                <w:sz w:val="16"/>
              </w:rPr>
              <w:t>1 435,0</w:t>
            </w:r>
          </w:p>
        </w:tc>
        <w:tc>
          <w:tcPr>
            <w:tcW w:w="237" w:type="pct"/>
            <w:tcBorders>
              <w:bottom w:val="single" w:sz="4" w:space="0" w:color="auto"/>
            </w:tcBorders>
            <w:shd w:val="clear" w:color="auto" w:fill="FFFFFF" w:themeFill="background1"/>
          </w:tcPr>
          <w:p w14:paraId="05E0325F" w14:textId="77777777" w:rsidR="002A5407" w:rsidRPr="00D91B35" w:rsidRDefault="002A5407" w:rsidP="002A5407">
            <w:pPr>
              <w:rPr>
                <w:rFonts w:ascii="Times New Roman" w:hAnsi="Times New Roman" w:cs="Times New Roman"/>
                <w:sz w:val="16"/>
                <w:szCs w:val="16"/>
              </w:rPr>
            </w:pPr>
          </w:p>
        </w:tc>
      </w:tr>
      <w:tr w:rsidR="00077C40" w:rsidRPr="00D91B35" w14:paraId="78F66F67" w14:textId="77777777" w:rsidTr="008A656B">
        <w:tc>
          <w:tcPr>
            <w:tcW w:w="374" w:type="pct"/>
            <w:tcBorders>
              <w:top w:val="single" w:sz="4" w:space="0" w:color="auto"/>
            </w:tcBorders>
          </w:tcPr>
          <w:p w14:paraId="38E2BA9B" w14:textId="245ABFF5" w:rsidR="002A5407" w:rsidRPr="00D91B35" w:rsidRDefault="00B21BBC" w:rsidP="002A5407">
            <w:pPr>
              <w:rPr>
                <w:rFonts w:ascii="Times New Roman" w:hAnsi="Times New Roman" w:cs="Times New Roman"/>
                <w:b/>
                <w:bCs/>
                <w:sz w:val="16"/>
                <w:szCs w:val="16"/>
              </w:rPr>
            </w:pPr>
            <w:r>
              <w:rPr>
                <w:rFonts w:ascii="Times New Roman" w:hAnsi="Times New Roman"/>
                <w:b/>
                <w:sz w:val="16"/>
              </w:rPr>
              <w:t>Pārtika</w:t>
            </w:r>
          </w:p>
        </w:tc>
        <w:tc>
          <w:tcPr>
            <w:tcW w:w="231" w:type="pct"/>
            <w:tcBorders>
              <w:top w:val="single" w:sz="4" w:space="0" w:color="auto"/>
            </w:tcBorders>
          </w:tcPr>
          <w:p w14:paraId="6D1D9DE7" w14:textId="7858B260" w:rsidR="002A5407" w:rsidRPr="00D91B35" w:rsidRDefault="00B21BBC" w:rsidP="002A5407">
            <w:pPr>
              <w:rPr>
                <w:rFonts w:ascii="Times New Roman" w:hAnsi="Times New Roman" w:cs="Times New Roman"/>
                <w:b/>
                <w:bCs/>
                <w:sz w:val="16"/>
                <w:szCs w:val="16"/>
              </w:rPr>
            </w:pPr>
            <w:r>
              <w:rPr>
                <w:rFonts w:ascii="Times New Roman" w:hAnsi="Times New Roman"/>
                <w:b/>
                <w:sz w:val="16"/>
              </w:rPr>
              <w:t>Zēni</w:t>
            </w:r>
          </w:p>
        </w:tc>
        <w:tc>
          <w:tcPr>
            <w:tcW w:w="358" w:type="pct"/>
            <w:tcBorders>
              <w:top w:val="single" w:sz="4" w:space="0" w:color="auto"/>
            </w:tcBorders>
          </w:tcPr>
          <w:p w14:paraId="243F9FB4" w14:textId="612A26B1" w:rsidR="002A5407" w:rsidRPr="00D91B35" w:rsidRDefault="00B21BBC" w:rsidP="002A5407">
            <w:pPr>
              <w:rPr>
                <w:rFonts w:ascii="Times New Roman" w:hAnsi="Times New Roman" w:cs="Times New Roman"/>
                <w:b/>
                <w:bCs/>
                <w:sz w:val="16"/>
                <w:szCs w:val="16"/>
              </w:rPr>
            </w:pPr>
            <w:r>
              <w:rPr>
                <w:rFonts w:ascii="Times New Roman" w:hAnsi="Times New Roman"/>
                <w:b/>
                <w:sz w:val="16"/>
              </w:rPr>
              <w:t>Dānija</w:t>
            </w:r>
          </w:p>
        </w:tc>
        <w:tc>
          <w:tcPr>
            <w:tcW w:w="359" w:type="pct"/>
            <w:tcBorders>
              <w:top w:val="single" w:sz="4" w:space="0" w:color="auto"/>
            </w:tcBorders>
          </w:tcPr>
          <w:p w14:paraId="37DE8EBD" w14:textId="77777777" w:rsidR="002A5407" w:rsidRPr="00D91B35" w:rsidRDefault="002A5407" w:rsidP="002A5407">
            <w:pPr>
              <w:rPr>
                <w:rFonts w:ascii="Times New Roman" w:hAnsi="Times New Roman" w:cs="Times New Roman"/>
                <w:sz w:val="16"/>
                <w:szCs w:val="16"/>
              </w:rPr>
            </w:pPr>
          </w:p>
        </w:tc>
        <w:tc>
          <w:tcPr>
            <w:tcW w:w="839" w:type="pct"/>
            <w:tcBorders>
              <w:top w:val="single" w:sz="4" w:space="0" w:color="auto"/>
            </w:tcBorders>
          </w:tcPr>
          <w:p w14:paraId="7016B409" w14:textId="49D39CFC" w:rsidR="002A5407" w:rsidRPr="00D91B35" w:rsidRDefault="00B21BBC" w:rsidP="00B21BBC">
            <w:pPr>
              <w:pStyle w:val="Default"/>
              <w:rPr>
                <w:sz w:val="16"/>
                <w:szCs w:val="16"/>
              </w:rPr>
            </w:pPr>
            <w:r>
              <w:rPr>
                <w:sz w:val="16"/>
              </w:rPr>
              <w:t>7 dienu uztura pieraksts</w:t>
            </w:r>
          </w:p>
        </w:tc>
        <w:tc>
          <w:tcPr>
            <w:tcW w:w="196" w:type="pct"/>
            <w:tcBorders>
              <w:top w:val="single" w:sz="4" w:space="0" w:color="auto"/>
            </w:tcBorders>
            <w:shd w:val="clear" w:color="auto" w:fill="FFFFFF" w:themeFill="background1"/>
          </w:tcPr>
          <w:p w14:paraId="3205B322" w14:textId="1B11273C" w:rsidR="002A5407" w:rsidRPr="00D91B35" w:rsidRDefault="00B21BBC" w:rsidP="002A5407">
            <w:pPr>
              <w:rPr>
                <w:rFonts w:ascii="Times New Roman" w:hAnsi="Times New Roman" w:cs="Times New Roman"/>
                <w:sz w:val="16"/>
                <w:szCs w:val="16"/>
              </w:rPr>
            </w:pPr>
            <w:r>
              <w:rPr>
                <w:rFonts w:ascii="Times New Roman" w:hAnsi="Times New Roman"/>
                <w:sz w:val="16"/>
              </w:rPr>
              <w:t>101</w:t>
            </w:r>
          </w:p>
        </w:tc>
        <w:tc>
          <w:tcPr>
            <w:tcW w:w="122" w:type="pct"/>
            <w:tcBorders>
              <w:top w:val="single" w:sz="4" w:space="0" w:color="auto"/>
            </w:tcBorders>
            <w:shd w:val="clear" w:color="auto" w:fill="FFFFFF" w:themeFill="background1"/>
          </w:tcPr>
          <w:p w14:paraId="1FB5EE8E" w14:textId="77777777" w:rsidR="002A5407" w:rsidRPr="00D91B35" w:rsidRDefault="002A5407" w:rsidP="002A5407">
            <w:pPr>
              <w:rPr>
                <w:rFonts w:ascii="Times New Roman" w:hAnsi="Times New Roman" w:cs="Times New Roman"/>
                <w:sz w:val="16"/>
                <w:szCs w:val="16"/>
              </w:rPr>
            </w:pPr>
          </w:p>
        </w:tc>
        <w:tc>
          <w:tcPr>
            <w:tcW w:w="183" w:type="pct"/>
            <w:tcBorders>
              <w:top w:val="single" w:sz="4" w:space="0" w:color="auto"/>
            </w:tcBorders>
            <w:shd w:val="clear" w:color="auto" w:fill="FFFFFF" w:themeFill="background1"/>
          </w:tcPr>
          <w:p w14:paraId="218D70D7" w14:textId="0425A1E4" w:rsidR="002A5407" w:rsidRPr="00D91B35" w:rsidRDefault="00B21BBC" w:rsidP="002A5407">
            <w:pPr>
              <w:rPr>
                <w:rFonts w:ascii="Times New Roman" w:hAnsi="Times New Roman" w:cs="Times New Roman"/>
                <w:sz w:val="16"/>
                <w:szCs w:val="16"/>
              </w:rPr>
            </w:pPr>
            <w:r>
              <w:rPr>
                <w:rFonts w:ascii="Times New Roman" w:hAnsi="Times New Roman"/>
                <w:sz w:val="16"/>
              </w:rPr>
              <w:t>14</w:t>
            </w:r>
          </w:p>
        </w:tc>
        <w:tc>
          <w:tcPr>
            <w:tcW w:w="105" w:type="pct"/>
            <w:tcBorders>
              <w:top w:val="single" w:sz="4" w:space="0" w:color="auto"/>
            </w:tcBorders>
            <w:shd w:val="clear" w:color="auto" w:fill="FFFFFF" w:themeFill="background1"/>
          </w:tcPr>
          <w:p w14:paraId="4A2EA4DF" w14:textId="77777777" w:rsidR="002A5407" w:rsidRPr="00D91B35" w:rsidRDefault="002A5407" w:rsidP="002A5407">
            <w:pPr>
              <w:rPr>
                <w:rFonts w:ascii="Times New Roman" w:hAnsi="Times New Roman" w:cs="Times New Roman"/>
                <w:sz w:val="16"/>
                <w:szCs w:val="16"/>
              </w:rPr>
            </w:pPr>
          </w:p>
        </w:tc>
        <w:tc>
          <w:tcPr>
            <w:tcW w:w="186" w:type="pct"/>
            <w:tcBorders>
              <w:top w:val="single" w:sz="4" w:space="0" w:color="auto"/>
            </w:tcBorders>
            <w:shd w:val="clear" w:color="auto" w:fill="FFFFFF" w:themeFill="background1"/>
          </w:tcPr>
          <w:p w14:paraId="7A77E4C3" w14:textId="2A6A655D" w:rsidR="002A5407" w:rsidRPr="00D91B35" w:rsidRDefault="00B21BBC" w:rsidP="002A5407">
            <w:pPr>
              <w:rPr>
                <w:rFonts w:ascii="Times New Roman" w:hAnsi="Times New Roman" w:cs="Times New Roman"/>
                <w:sz w:val="16"/>
                <w:szCs w:val="16"/>
              </w:rPr>
            </w:pPr>
            <w:r>
              <w:rPr>
                <w:rFonts w:ascii="Times New Roman" w:hAnsi="Times New Roman"/>
                <w:sz w:val="16"/>
              </w:rPr>
              <w:t>17</w:t>
            </w:r>
          </w:p>
        </w:tc>
        <w:tc>
          <w:tcPr>
            <w:tcW w:w="609" w:type="pct"/>
            <w:tcBorders>
              <w:top w:val="single" w:sz="4" w:space="0" w:color="auto"/>
            </w:tcBorders>
            <w:shd w:val="clear" w:color="auto" w:fill="FFFFFF" w:themeFill="background1"/>
          </w:tcPr>
          <w:p w14:paraId="6490004D" w14:textId="437F55AE" w:rsidR="002A5407" w:rsidRPr="00D91B35" w:rsidRDefault="002A5407" w:rsidP="002A5407">
            <w:pPr>
              <w:rPr>
                <w:rFonts w:ascii="Times New Roman" w:hAnsi="Times New Roman" w:cs="Times New Roman"/>
                <w:sz w:val="16"/>
                <w:szCs w:val="16"/>
              </w:rPr>
            </w:pPr>
          </w:p>
        </w:tc>
        <w:tc>
          <w:tcPr>
            <w:tcW w:w="237" w:type="pct"/>
            <w:tcBorders>
              <w:top w:val="single" w:sz="4" w:space="0" w:color="auto"/>
            </w:tcBorders>
            <w:shd w:val="clear" w:color="auto" w:fill="FFFFFF" w:themeFill="background1"/>
          </w:tcPr>
          <w:p w14:paraId="036886BB" w14:textId="70DBB576" w:rsidR="002A5407" w:rsidRPr="00D91B35" w:rsidRDefault="0076748E" w:rsidP="002A5407">
            <w:pPr>
              <w:rPr>
                <w:rFonts w:ascii="Times New Roman" w:hAnsi="Times New Roman" w:cs="Times New Roman"/>
                <w:sz w:val="16"/>
                <w:szCs w:val="16"/>
              </w:rPr>
            </w:pPr>
            <w:r>
              <w:rPr>
                <w:rFonts w:ascii="Times New Roman" w:hAnsi="Times New Roman"/>
                <w:sz w:val="16"/>
              </w:rPr>
              <w:t>1 288,0</w:t>
            </w:r>
          </w:p>
        </w:tc>
        <w:tc>
          <w:tcPr>
            <w:tcW w:w="251" w:type="pct"/>
            <w:tcBorders>
              <w:top w:val="single" w:sz="4" w:space="0" w:color="auto"/>
            </w:tcBorders>
            <w:shd w:val="clear" w:color="auto" w:fill="FFFFFF" w:themeFill="background1"/>
          </w:tcPr>
          <w:p w14:paraId="5C0577F8" w14:textId="77777777" w:rsidR="002A5407" w:rsidRPr="00D91B35" w:rsidRDefault="002A5407" w:rsidP="002A5407">
            <w:pPr>
              <w:rPr>
                <w:rFonts w:ascii="Times New Roman" w:hAnsi="Times New Roman" w:cs="Times New Roman"/>
                <w:sz w:val="16"/>
                <w:szCs w:val="16"/>
              </w:rPr>
            </w:pPr>
          </w:p>
        </w:tc>
        <w:tc>
          <w:tcPr>
            <w:tcW w:w="237" w:type="pct"/>
            <w:tcBorders>
              <w:top w:val="single" w:sz="4" w:space="0" w:color="auto"/>
            </w:tcBorders>
            <w:shd w:val="clear" w:color="auto" w:fill="FFFFFF" w:themeFill="background1"/>
          </w:tcPr>
          <w:p w14:paraId="58D83C3C" w14:textId="77777777" w:rsidR="002A5407" w:rsidRPr="00D91B35" w:rsidRDefault="002A5407" w:rsidP="002A5407">
            <w:pPr>
              <w:rPr>
                <w:rFonts w:ascii="Times New Roman" w:hAnsi="Times New Roman" w:cs="Times New Roman"/>
                <w:sz w:val="16"/>
                <w:szCs w:val="16"/>
              </w:rPr>
            </w:pPr>
          </w:p>
        </w:tc>
        <w:tc>
          <w:tcPr>
            <w:tcW w:w="237" w:type="pct"/>
            <w:tcBorders>
              <w:top w:val="single" w:sz="4" w:space="0" w:color="auto"/>
            </w:tcBorders>
            <w:shd w:val="clear" w:color="auto" w:fill="FFFFFF" w:themeFill="background1"/>
          </w:tcPr>
          <w:p w14:paraId="7A8BAD26" w14:textId="77777777" w:rsidR="002A5407" w:rsidRPr="00D91B35" w:rsidRDefault="002A5407" w:rsidP="002A5407">
            <w:pPr>
              <w:rPr>
                <w:rFonts w:ascii="Times New Roman" w:hAnsi="Times New Roman" w:cs="Times New Roman"/>
                <w:sz w:val="16"/>
                <w:szCs w:val="16"/>
              </w:rPr>
            </w:pPr>
          </w:p>
        </w:tc>
        <w:tc>
          <w:tcPr>
            <w:tcW w:w="237" w:type="pct"/>
            <w:tcBorders>
              <w:top w:val="single" w:sz="4" w:space="0" w:color="auto"/>
            </w:tcBorders>
            <w:shd w:val="clear" w:color="auto" w:fill="FFFFFF" w:themeFill="background1"/>
          </w:tcPr>
          <w:p w14:paraId="5B7E8576" w14:textId="1B6765DD" w:rsidR="002A5407" w:rsidRPr="00D91B35" w:rsidRDefault="0076748E" w:rsidP="002A5407">
            <w:pPr>
              <w:rPr>
                <w:rFonts w:ascii="Times New Roman" w:hAnsi="Times New Roman" w:cs="Times New Roman"/>
                <w:sz w:val="16"/>
                <w:szCs w:val="16"/>
              </w:rPr>
            </w:pPr>
            <w:r>
              <w:rPr>
                <w:rFonts w:ascii="Times New Roman" w:hAnsi="Times New Roman"/>
                <w:sz w:val="16"/>
              </w:rPr>
              <w:t>2 245,0</w:t>
            </w:r>
          </w:p>
        </w:tc>
        <w:tc>
          <w:tcPr>
            <w:tcW w:w="237" w:type="pct"/>
            <w:tcBorders>
              <w:top w:val="single" w:sz="4" w:space="0" w:color="auto"/>
            </w:tcBorders>
            <w:shd w:val="clear" w:color="auto" w:fill="FFFFFF" w:themeFill="background1"/>
          </w:tcPr>
          <w:p w14:paraId="1FD2E70C" w14:textId="7E37F1A0" w:rsidR="002A5407" w:rsidRPr="00D91B35" w:rsidRDefault="002A5407" w:rsidP="002A5407">
            <w:pPr>
              <w:rPr>
                <w:rFonts w:ascii="Times New Roman" w:hAnsi="Times New Roman" w:cs="Times New Roman"/>
                <w:sz w:val="16"/>
                <w:szCs w:val="16"/>
              </w:rPr>
            </w:pPr>
          </w:p>
        </w:tc>
      </w:tr>
      <w:tr w:rsidR="00077C40" w:rsidRPr="00D91B35" w14:paraId="6AF49E0B" w14:textId="77777777" w:rsidTr="008A656B">
        <w:tc>
          <w:tcPr>
            <w:tcW w:w="374" w:type="pct"/>
          </w:tcPr>
          <w:p w14:paraId="208F2FF9" w14:textId="77777777" w:rsidR="002A5407" w:rsidRPr="00D91B35" w:rsidRDefault="002A5407" w:rsidP="002A5407">
            <w:pPr>
              <w:rPr>
                <w:rFonts w:ascii="Times New Roman" w:hAnsi="Times New Roman" w:cs="Times New Roman"/>
                <w:sz w:val="16"/>
                <w:szCs w:val="16"/>
              </w:rPr>
            </w:pPr>
          </w:p>
        </w:tc>
        <w:tc>
          <w:tcPr>
            <w:tcW w:w="231" w:type="pct"/>
          </w:tcPr>
          <w:p w14:paraId="30302279" w14:textId="77777777" w:rsidR="002A5407" w:rsidRPr="00D91B35" w:rsidRDefault="002A5407" w:rsidP="002A5407">
            <w:pPr>
              <w:rPr>
                <w:rFonts w:ascii="Times New Roman" w:hAnsi="Times New Roman" w:cs="Times New Roman"/>
                <w:sz w:val="16"/>
                <w:szCs w:val="16"/>
              </w:rPr>
            </w:pPr>
          </w:p>
        </w:tc>
        <w:tc>
          <w:tcPr>
            <w:tcW w:w="358" w:type="pct"/>
          </w:tcPr>
          <w:p w14:paraId="41A74C95" w14:textId="3BB160E3" w:rsidR="002A5407" w:rsidRPr="00D91B35" w:rsidRDefault="0076748E" w:rsidP="002A5407">
            <w:pPr>
              <w:rPr>
                <w:rFonts w:ascii="Times New Roman" w:hAnsi="Times New Roman" w:cs="Times New Roman"/>
                <w:b/>
                <w:bCs/>
                <w:sz w:val="16"/>
                <w:szCs w:val="16"/>
              </w:rPr>
            </w:pPr>
            <w:r>
              <w:rPr>
                <w:rFonts w:ascii="Times New Roman" w:hAnsi="Times New Roman"/>
                <w:b/>
                <w:sz w:val="16"/>
              </w:rPr>
              <w:t>Īrija</w:t>
            </w:r>
          </w:p>
        </w:tc>
        <w:tc>
          <w:tcPr>
            <w:tcW w:w="359" w:type="pct"/>
          </w:tcPr>
          <w:p w14:paraId="4A31B4B0" w14:textId="77777777" w:rsidR="002A5407" w:rsidRPr="00D91B35" w:rsidRDefault="002A5407" w:rsidP="002A5407">
            <w:pPr>
              <w:rPr>
                <w:rFonts w:ascii="Times New Roman" w:hAnsi="Times New Roman" w:cs="Times New Roman"/>
                <w:sz w:val="16"/>
                <w:szCs w:val="16"/>
              </w:rPr>
            </w:pPr>
          </w:p>
        </w:tc>
        <w:tc>
          <w:tcPr>
            <w:tcW w:w="839" w:type="pct"/>
          </w:tcPr>
          <w:p w14:paraId="6FEDA57E" w14:textId="71F9262A" w:rsidR="002A5407" w:rsidRPr="00D91B35" w:rsidRDefault="00B21BBC" w:rsidP="00B21BBC">
            <w:pPr>
              <w:pStyle w:val="Default"/>
              <w:rPr>
                <w:sz w:val="16"/>
                <w:szCs w:val="16"/>
              </w:rPr>
            </w:pPr>
            <w:r>
              <w:rPr>
                <w:sz w:val="16"/>
              </w:rPr>
              <w:t>7 dienu uztura pieraksts</w:t>
            </w:r>
          </w:p>
        </w:tc>
        <w:tc>
          <w:tcPr>
            <w:tcW w:w="196" w:type="pct"/>
            <w:shd w:val="clear" w:color="auto" w:fill="FFFFFF" w:themeFill="background1"/>
          </w:tcPr>
          <w:p w14:paraId="0AF2BFA6" w14:textId="4211990C" w:rsidR="002A5407" w:rsidRPr="00D91B35" w:rsidRDefault="00B21BBC" w:rsidP="002A5407">
            <w:pPr>
              <w:rPr>
                <w:rFonts w:ascii="Times New Roman" w:hAnsi="Times New Roman" w:cs="Times New Roman"/>
                <w:sz w:val="16"/>
                <w:szCs w:val="16"/>
              </w:rPr>
            </w:pPr>
            <w:r>
              <w:rPr>
                <w:rFonts w:ascii="Times New Roman" w:hAnsi="Times New Roman"/>
                <w:sz w:val="16"/>
              </w:rPr>
              <w:t>224</w:t>
            </w:r>
          </w:p>
        </w:tc>
        <w:tc>
          <w:tcPr>
            <w:tcW w:w="122" w:type="pct"/>
            <w:shd w:val="clear" w:color="auto" w:fill="FFFFFF" w:themeFill="background1"/>
          </w:tcPr>
          <w:p w14:paraId="1DAEF3F0" w14:textId="77777777" w:rsidR="002A5407" w:rsidRPr="00D91B35" w:rsidRDefault="002A5407" w:rsidP="002A5407">
            <w:pPr>
              <w:rPr>
                <w:rFonts w:ascii="Times New Roman" w:hAnsi="Times New Roman" w:cs="Times New Roman"/>
                <w:sz w:val="16"/>
                <w:szCs w:val="16"/>
              </w:rPr>
            </w:pPr>
          </w:p>
        </w:tc>
        <w:tc>
          <w:tcPr>
            <w:tcW w:w="183" w:type="pct"/>
            <w:shd w:val="clear" w:color="auto" w:fill="FFFFFF" w:themeFill="background1"/>
          </w:tcPr>
          <w:p w14:paraId="5BD0ED3E" w14:textId="16D7E3E4" w:rsidR="002A5407" w:rsidRPr="00D91B35" w:rsidRDefault="00B21BBC" w:rsidP="002A5407">
            <w:pPr>
              <w:rPr>
                <w:rFonts w:ascii="Times New Roman" w:hAnsi="Times New Roman" w:cs="Times New Roman"/>
                <w:sz w:val="16"/>
                <w:szCs w:val="16"/>
              </w:rPr>
            </w:pPr>
            <w:r>
              <w:rPr>
                <w:rFonts w:ascii="Times New Roman" w:hAnsi="Times New Roman"/>
                <w:sz w:val="16"/>
              </w:rPr>
              <w:t>13</w:t>
            </w:r>
          </w:p>
        </w:tc>
        <w:tc>
          <w:tcPr>
            <w:tcW w:w="105" w:type="pct"/>
            <w:shd w:val="clear" w:color="auto" w:fill="FFFFFF" w:themeFill="background1"/>
          </w:tcPr>
          <w:p w14:paraId="792A400F" w14:textId="77777777" w:rsidR="002A5407" w:rsidRPr="00D91B35" w:rsidRDefault="002A5407" w:rsidP="002A5407">
            <w:pPr>
              <w:rPr>
                <w:rFonts w:ascii="Times New Roman" w:hAnsi="Times New Roman" w:cs="Times New Roman"/>
                <w:sz w:val="16"/>
                <w:szCs w:val="16"/>
              </w:rPr>
            </w:pPr>
          </w:p>
        </w:tc>
        <w:tc>
          <w:tcPr>
            <w:tcW w:w="186" w:type="pct"/>
            <w:shd w:val="clear" w:color="auto" w:fill="FFFFFF" w:themeFill="background1"/>
          </w:tcPr>
          <w:p w14:paraId="64E865CD" w14:textId="22A7DF9C" w:rsidR="002A5407" w:rsidRPr="00D91B35" w:rsidRDefault="00B21BBC" w:rsidP="002A5407">
            <w:pPr>
              <w:rPr>
                <w:rFonts w:ascii="Times New Roman" w:hAnsi="Times New Roman" w:cs="Times New Roman"/>
                <w:sz w:val="16"/>
                <w:szCs w:val="16"/>
              </w:rPr>
            </w:pPr>
            <w:r>
              <w:rPr>
                <w:rFonts w:ascii="Times New Roman" w:hAnsi="Times New Roman"/>
                <w:sz w:val="16"/>
              </w:rPr>
              <w:t>17</w:t>
            </w:r>
          </w:p>
        </w:tc>
        <w:tc>
          <w:tcPr>
            <w:tcW w:w="609" w:type="pct"/>
            <w:shd w:val="clear" w:color="auto" w:fill="FFFFFF" w:themeFill="background1"/>
          </w:tcPr>
          <w:p w14:paraId="4296481B" w14:textId="0718F4CE"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1A591D76" w14:textId="5BC4DD27" w:rsidR="002A5407" w:rsidRPr="00D91B35" w:rsidRDefault="0076748E" w:rsidP="002A5407">
            <w:pPr>
              <w:rPr>
                <w:rFonts w:ascii="Times New Roman" w:hAnsi="Times New Roman" w:cs="Times New Roman"/>
                <w:sz w:val="16"/>
                <w:szCs w:val="16"/>
              </w:rPr>
            </w:pPr>
            <w:r>
              <w:rPr>
                <w:rFonts w:ascii="Times New Roman" w:hAnsi="Times New Roman"/>
                <w:sz w:val="16"/>
              </w:rPr>
              <w:t>1 063,0</w:t>
            </w:r>
          </w:p>
        </w:tc>
        <w:tc>
          <w:tcPr>
            <w:tcW w:w="251" w:type="pct"/>
            <w:shd w:val="clear" w:color="auto" w:fill="FFFFFF" w:themeFill="background1"/>
          </w:tcPr>
          <w:p w14:paraId="67CBEFB0"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15B71925"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2C4C4AA1"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05D7C015" w14:textId="4278DA73" w:rsidR="002A5407" w:rsidRPr="00D91B35" w:rsidRDefault="0076748E" w:rsidP="002A5407">
            <w:pPr>
              <w:rPr>
                <w:rFonts w:ascii="Times New Roman" w:hAnsi="Times New Roman" w:cs="Times New Roman"/>
                <w:sz w:val="16"/>
                <w:szCs w:val="16"/>
              </w:rPr>
            </w:pPr>
            <w:r>
              <w:rPr>
                <w:rFonts w:ascii="Times New Roman" w:hAnsi="Times New Roman"/>
                <w:sz w:val="16"/>
              </w:rPr>
              <w:t>1 905,0</w:t>
            </w:r>
          </w:p>
        </w:tc>
        <w:tc>
          <w:tcPr>
            <w:tcW w:w="237" w:type="pct"/>
            <w:shd w:val="clear" w:color="auto" w:fill="FFFFFF" w:themeFill="background1"/>
          </w:tcPr>
          <w:p w14:paraId="40F0A4F2" w14:textId="216C1B7F" w:rsidR="002A5407" w:rsidRPr="00D91B35" w:rsidRDefault="0076748E" w:rsidP="002A5407">
            <w:pPr>
              <w:rPr>
                <w:rFonts w:ascii="Times New Roman" w:hAnsi="Times New Roman" w:cs="Times New Roman"/>
                <w:sz w:val="16"/>
                <w:szCs w:val="16"/>
              </w:rPr>
            </w:pPr>
            <w:r>
              <w:rPr>
                <w:rFonts w:ascii="Times New Roman" w:hAnsi="Times New Roman"/>
                <w:sz w:val="16"/>
              </w:rPr>
              <w:t>2 047,0</w:t>
            </w:r>
          </w:p>
        </w:tc>
      </w:tr>
      <w:tr w:rsidR="00077C40" w:rsidRPr="00D91B35" w14:paraId="154C3D27" w14:textId="77777777" w:rsidTr="008A656B">
        <w:tc>
          <w:tcPr>
            <w:tcW w:w="374" w:type="pct"/>
          </w:tcPr>
          <w:p w14:paraId="10682756" w14:textId="77777777" w:rsidR="002A5407" w:rsidRPr="00D91B35" w:rsidRDefault="002A5407" w:rsidP="002A5407">
            <w:pPr>
              <w:rPr>
                <w:rFonts w:ascii="Times New Roman" w:hAnsi="Times New Roman" w:cs="Times New Roman"/>
                <w:sz w:val="16"/>
                <w:szCs w:val="16"/>
              </w:rPr>
            </w:pPr>
          </w:p>
        </w:tc>
        <w:tc>
          <w:tcPr>
            <w:tcW w:w="231" w:type="pct"/>
          </w:tcPr>
          <w:p w14:paraId="06B9D68D" w14:textId="77777777" w:rsidR="002A5407" w:rsidRPr="00D91B35" w:rsidRDefault="002A5407" w:rsidP="002A5407">
            <w:pPr>
              <w:rPr>
                <w:rFonts w:ascii="Times New Roman" w:hAnsi="Times New Roman" w:cs="Times New Roman"/>
                <w:sz w:val="16"/>
                <w:szCs w:val="16"/>
              </w:rPr>
            </w:pPr>
          </w:p>
        </w:tc>
        <w:tc>
          <w:tcPr>
            <w:tcW w:w="358" w:type="pct"/>
          </w:tcPr>
          <w:p w14:paraId="22689D91" w14:textId="3D824BF1" w:rsidR="002A5407" w:rsidRPr="00D91B35" w:rsidRDefault="0076748E" w:rsidP="002A5407">
            <w:pPr>
              <w:rPr>
                <w:rFonts w:ascii="Times New Roman" w:hAnsi="Times New Roman" w:cs="Times New Roman"/>
                <w:b/>
                <w:bCs/>
                <w:sz w:val="16"/>
                <w:szCs w:val="16"/>
              </w:rPr>
            </w:pPr>
            <w:r>
              <w:rPr>
                <w:rFonts w:ascii="Times New Roman" w:hAnsi="Times New Roman"/>
                <w:b/>
                <w:sz w:val="16"/>
              </w:rPr>
              <w:t>Itālija</w:t>
            </w:r>
          </w:p>
        </w:tc>
        <w:tc>
          <w:tcPr>
            <w:tcW w:w="359" w:type="pct"/>
          </w:tcPr>
          <w:p w14:paraId="22717BF3" w14:textId="77777777" w:rsidR="002A5407" w:rsidRPr="00D91B35" w:rsidRDefault="002A5407" w:rsidP="002A5407">
            <w:pPr>
              <w:rPr>
                <w:rFonts w:ascii="Times New Roman" w:hAnsi="Times New Roman" w:cs="Times New Roman"/>
                <w:sz w:val="16"/>
                <w:szCs w:val="16"/>
              </w:rPr>
            </w:pPr>
          </w:p>
        </w:tc>
        <w:tc>
          <w:tcPr>
            <w:tcW w:w="839" w:type="pct"/>
          </w:tcPr>
          <w:p w14:paraId="76ACDC8F" w14:textId="1F43DC7A" w:rsidR="002A5407" w:rsidRPr="00D91B35" w:rsidRDefault="00B21BBC" w:rsidP="00B21BBC">
            <w:pPr>
              <w:pStyle w:val="Default"/>
              <w:rPr>
                <w:sz w:val="16"/>
                <w:szCs w:val="16"/>
              </w:rPr>
            </w:pPr>
            <w:r>
              <w:rPr>
                <w:sz w:val="16"/>
              </w:rPr>
              <w:t>Secīgi 3 dienu uztura pieraksti</w:t>
            </w:r>
          </w:p>
        </w:tc>
        <w:tc>
          <w:tcPr>
            <w:tcW w:w="196" w:type="pct"/>
            <w:shd w:val="clear" w:color="auto" w:fill="FFFFFF" w:themeFill="background1"/>
          </w:tcPr>
          <w:p w14:paraId="60965E7F" w14:textId="14FA98D6" w:rsidR="002A5407" w:rsidRPr="00D91B35" w:rsidRDefault="00B21BBC" w:rsidP="002A5407">
            <w:pPr>
              <w:rPr>
                <w:rFonts w:ascii="Times New Roman" w:hAnsi="Times New Roman" w:cs="Times New Roman"/>
                <w:sz w:val="16"/>
                <w:szCs w:val="16"/>
              </w:rPr>
            </w:pPr>
            <w:r>
              <w:rPr>
                <w:rFonts w:ascii="Times New Roman" w:hAnsi="Times New Roman"/>
                <w:sz w:val="16"/>
              </w:rPr>
              <w:t>108</w:t>
            </w:r>
          </w:p>
        </w:tc>
        <w:tc>
          <w:tcPr>
            <w:tcW w:w="122" w:type="pct"/>
            <w:shd w:val="clear" w:color="auto" w:fill="FFFFFF" w:themeFill="background1"/>
          </w:tcPr>
          <w:p w14:paraId="03B4146B" w14:textId="77777777" w:rsidR="002A5407" w:rsidRPr="00D91B35" w:rsidRDefault="002A5407" w:rsidP="002A5407">
            <w:pPr>
              <w:rPr>
                <w:rFonts w:ascii="Times New Roman" w:hAnsi="Times New Roman" w:cs="Times New Roman"/>
                <w:sz w:val="16"/>
                <w:szCs w:val="16"/>
              </w:rPr>
            </w:pPr>
          </w:p>
        </w:tc>
        <w:tc>
          <w:tcPr>
            <w:tcW w:w="183" w:type="pct"/>
            <w:shd w:val="clear" w:color="auto" w:fill="FFFFFF" w:themeFill="background1"/>
          </w:tcPr>
          <w:p w14:paraId="2E7FFE07" w14:textId="23083686" w:rsidR="002A5407" w:rsidRPr="00D91B35" w:rsidRDefault="00B21BBC" w:rsidP="002A5407">
            <w:pPr>
              <w:rPr>
                <w:rFonts w:ascii="Times New Roman" w:hAnsi="Times New Roman" w:cs="Times New Roman"/>
                <w:sz w:val="16"/>
                <w:szCs w:val="16"/>
              </w:rPr>
            </w:pPr>
            <w:r>
              <w:rPr>
                <w:rFonts w:ascii="Times New Roman" w:hAnsi="Times New Roman"/>
                <w:sz w:val="16"/>
              </w:rPr>
              <w:t>10</w:t>
            </w:r>
          </w:p>
        </w:tc>
        <w:tc>
          <w:tcPr>
            <w:tcW w:w="105" w:type="pct"/>
            <w:shd w:val="clear" w:color="auto" w:fill="FFFFFF" w:themeFill="background1"/>
          </w:tcPr>
          <w:p w14:paraId="7F410C02" w14:textId="55AF55C6" w:rsidR="002A5407" w:rsidRPr="00D91B35" w:rsidRDefault="00B21BBC" w:rsidP="00B21BBC">
            <w:pPr>
              <w:pStyle w:val="Default"/>
              <w:rPr>
                <w:sz w:val="16"/>
                <w:szCs w:val="16"/>
              </w:rPr>
            </w:pPr>
            <w:r>
              <w:rPr>
                <w:sz w:val="16"/>
              </w:rPr>
              <w:t>&lt;</w:t>
            </w:r>
          </w:p>
        </w:tc>
        <w:tc>
          <w:tcPr>
            <w:tcW w:w="186" w:type="pct"/>
            <w:shd w:val="clear" w:color="auto" w:fill="FFFFFF" w:themeFill="background1"/>
          </w:tcPr>
          <w:p w14:paraId="7D76B524" w14:textId="5B6B3DE3" w:rsidR="002A5407" w:rsidRPr="00D91B35" w:rsidRDefault="00B21BBC" w:rsidP="002A5407">
            <w:pPr>
              <w:rPr>
                <w:rFonts w:ascii="Times New Roman" w:hAnsi="Times New Roman" w:cs="Times New Roman"/>
                <w:sz w:val="16"/>
                <w:szCs w:val="16"/>
              </w:rPr>
            </w:pPr>
            <w:r>
              <w:rPr>
                <w:rFonts w:ascii="Times New Roman" w:hAnsi="Times New Roman"/>
                <w:sz w:val="16"/>
              </w:rPr>
              <w:t>18</w:t>
            </w:r>
          </w:p>
        </w:tc>
        <w:tc>
          <w:tcPr>
            <w:tcW w:w="609" w:type="pct"/>
            <w:shd w:val="clear" w:color="auto" w:fill="FFFFFF" w:themeFill="background1"/>
          </w:tcPr>
          <w:p w14:paraId="4E100F34" w14:textId="7C2D6E2C" w:rsidR="002A5407" w:rsidRPr="00D91B35" w:rsidRDefault="0076748E" w:rsidP="002A5407">
            <w:pPr>
              <w:rPr>
                <w:rFonts w:ascii="Times New Roman" w:hAnsi="Times New Roman" w:cs="Times New Roman"/>
                <w:sz w:val="16"/>
                <w:szCs w:val="16"/>
              </w:rPr>
            </w:pPr>
            <w:r>
              <w:rPr>
                <w:rFonts w:ascii="Times New Roman" w:hAnsi="Times New Roman"/>
                <w:sz w:val="16"/>
              </w:rPr>
              <w:t>Ieskaitot bagātinātu pārtiku</w:t>
            </w:r>
          </w:p>
        </w:tc>
        <w:tc>
          <w:tcPr>
            <w:tcW w:w="237" w:type="pct"/>
            <w:shd w:val="clear" w:color="auto" w:fill="FFFFFF" w:themeFill="background1"/>
          </w:tcPr>
          <w:p w14:paraId="592411BC" w14:textId="58B7B0A5" w:rsidR="002A5407" w:rsidRPr="00D91B35" w:rsidRDefault="0076748E" w:rsidP="002A5407">
            <w:pPr>
              <w:rPr>
                <w:rFonts w:ascii="Times New Roman" w:hAnsi="Times New Roman" w:cs="Times New Roman"/>
                <w:sz w:val="16"/>
                <w:szCs w:val="16"/>
              </w:rPr>
            </w:pPr>
            <w:r>
              <w:rPr>
                <w:rFonts w:ascii="Times New Roman" w:hAnsi="Times New Roman"/>
                <w:sz w:val="16"/>
              </w:rPr>
              <w:t>892,0</w:t>
            </w:r>
          </w:p>
        </w:tc>
        <w:tc>
          <w:tcPr>
            <w:tcW w:w="251" w:type="pct"/>
            <w:shd w:val="clear" w:color="auto" w:fill="FFFFFF" w:themeFill="background1"/>
          </w:tcPr>
          <w:p w14:paraId="57C93CF3"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5E342672"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11B3BA09" w14:textId="77777777" w:rsidR="002A5407" w:rsidRPr="00D91B35" w:rsidRDefault="002A5407" w:rsidP="002A5407">
            <w:pPr>
              <w:rPr>
                <w:rFonts w:ascii="Times New Roman" w:hAnsi="Times New Roman" w:cs="Times New Roman"/>
                <w:sz w:val="16"/>
                <w:szCs w:val="16"/>
              </w:rPr>
            </w:pPr>
          </w:p>
        </w:tc>
        <w:tc>
          <w:tcPr>
            <w:tcW w:w="237" w:type="pct"/>
            <w:shd w:val="clear" w:color="auto" w:fill="FFFFFF" w:themeFill="background1"/>
          </w:tcPr>
          <w:p w14:paraId="36F49DD9" w14:textId="3261AC1F" w:rsidR="002A5407" w:rsidRPr="00D91B35" w:rsidRDefault="0076748E" w:rsidP="002A5407">
            <w:pPr>
              <w:rPr>
                <w:rFonts w:ascii="Times New Roman" w:hAnsi="Times New Roman" w:cs="Times New Roman"/>
                <w:sz w:val="16"/>
                <w:szCs w:val="16"/>
              </w:rPr>
            </w:pPr>
            <w:r>
              <w:rPr>
                <w:rFonts w:ascii="Times New Roman" w:hAnsi="Times New Roman"/>
                <w:sz w:val="16"/>
              </w:rPr>
              <w:t>1 435,0</w:t>
            </w:r>
          </w:p>
        </w:tc>
        <w:tc>
          <w:tcPr>
            <w:tcW w:w="237" w:type="pct"/>
            <w:shd w:val="clear" w:color="auto" w:fill="FFFFFF" w:themeFill="background1"/>
          </w:tcPr>
          <w:p w14:paraId="6158589C" w14:textId="77777777" w:rsidR="002A5407" w:rsidRPr="00D91B35" w:rsidRDefault="002A5407" w:rsidP="002A5407">
            <w:pPr>
              <w:rPr>
                <w:rFonts w:ascii="Times New Roman" w:hAnsi="Times New Roman" w:cs="Times New Roman"/>
                <w:sz w:val="16"/>
                <w:szCs w:val="16"/>
              </w:rPr>
            </w:pPr>
          </w:p>
        </w:tc>
      </w:tr>
      <w:tr w:rsidR="00077C40" w:rsidRPr="00D91B35" w14:paraId="51E4114F" w14:textId="77777777" w:rsidTr="008A656B">
        <w:tc>
          <w:tcPr>
            <w:tcW w:w="374" w:type="pct"/>
            <w:tcBorders>
              <w:bottom w:val="single" w:sz="4" w:space="0" w:color="auto"/>
            </w:tcBorders>
          </w:tcPr>
          <w:p w14:paraId="71510838" w14:textId="77777777" w:rsidR="002A5407" w:rsidRPr="00D91B35" w:rsidRDefault="002A5407" w:rsidP="002A5407">
            <w:pPr>
              <w:rPr>
                <w:rFonts w:ascii="Times New Roman" w:hAnsi="Times New Roman" w:cs="Times New Roman"/>
                <w:sz w:val="16"/>
                <w:szCs w:val="16"/>
              </w:rPr>
            </w:pPr>
          </w:p>
        </w:tc>
        <w:tc>
          <w:tcPr>
            <w:tcW w:w="231" w:type="pct"/>
            <w:tcBorders>
              <w:bottom w:val="single" w:sz="4" w:space="0" w:color="auto"/>
            </w:tcBorders>
          </w:tcPr>
          <w:p w14:paraId="4CB54D72" w14:textId="77777777" w:rsidR="002A5407" w:rsidRPr="00D91B35" w:rsidRDefault="002A5407" w:rsidP="002A5407">
            <w:pPr>
              <w:rPr>
                <w:rFonts w:ascii="Times New Roman" w:hAnsi="Times New Roman" w:cs="Times New Roman"/>
                <w:sz w:val="16"/>
                <w:szCs w:val="16"/>
              </w:rPr>
            </w:pPr>
          </w:p>
        </w:tc>
        <w:tc>
          <w:tcPr>
            <w:tcW w:w="358" w:type="pct"/>
            <w:tcBorders>
              <w:bottom w:val="single" w:sz="4" w:space="0" w:color="auto"/>
            </w:tcBorders>
          </w:tcPr>
          <w:p w14:paraId="6268E70D" w14:textId="3F773024" w:rsidR="002A5407" w:rsidRPr="00D91B35" w:rsidRDefault="0076748E" w:rsidP="002A5407">
            <w:pPr>
              <w:rPr>
                <w:rFonts w:ascii="Times New Roman" w:hAnsi="Times New Roman" w:cs="Times New Roman"/>
                <w:b/>
                <w:bCs/>
                <w:sz w:val="16"/>
                <w:szCs w:val="16"/>
              </w:rPr>
            </w:pPr>
            <w:r>
              <w:rPr>
                <w:rFonts w:ascii="Times New Roman" w:hAnsi="Times New Roman"/>
                <w:b/>
                <w:sz w:val="16"/>
              </w:rPr>
              <w:t>Nīderlande</w:t>
            </w:r>
          </w:p>
        </w:tc>
        <w:tc>
          <w:tcPr>
            <w:tcW w:w="359" w:type="pct"/>
            <w:tcBorders>
              <w:bottom w:val="single" w:sz="4" w:space="0" w:color="auto"/>
            </w:tcBorders>
          </w:tcPr>
          <w:p w14:paraId="6D74D95A" w14:textId="77777777" w:rsidR="002A5407" w:rsidRPr="00D91B35" w:rsidRDefault="002A5407" w:rsidP="002A5407">
            <w:pPr>
              <w:rPr>
                <w:rFonts w:ascii="Times New Roman" w:hAnsi="Times New Roman" w:cs="Times New Roman"/>
                <w:sz w:val="16"/>
                <w:szCs w:val="16"/>
              </w:rPr>
            </w:pPr>
          </w:p>
        </w:tc>
        <w:tc>
          <w:tcPr>
            <w:tcW w:w="839" w:type="pct"/>
            <w:tcBorders>
              <w:bottom w:val="single" w:sz="4" w:space="0" w:color="auto"/>
            </w:tcBorders>
          </w:tcPr>
          <w:p w14:paraId="36C346A9" w14:textId="3D574DD1" w:rsidR="002A5407" w:rsidRPr="00D91B35" w:rsidRDefault="00B21BBC" w:rsidP="00B21BBC">
            <w:pPr>
              <w:pStyle w:val="Default"/>
              <w:rPr>
                <w:sz w:val="16"/>
                <w:szCs w:val="16"/>
              </w:rPr>
            </w:pPr>
            <w:r>
              <w:rPr>
                <w:sz w:val="16"/>
              </w:rPr>
              <w:t>Divas nesecīgas  24 stundu atcerēšanās anketas</w:t>
            </w:r>
          </w:p>
        </w:tc>
        <w:tc>
          <w:tcPr>
            <w:tcW w:w="196" w:type="pct"/>
            <w:tcBorders>
              <w:bottom w:val="single" w:sz="4" w:space="0" w:color="auto"/>
            </w:tcBorders>
            <w:shd w:val="clear" w:color="auto" w:fill="FFFFFF" w:themeFill="background1"/>
          </w:tcPr>
          <w:p w14:paraId="7C7A89B2" w14:textId="7F20BA90" w:rsidR="002A5407" w:rsidRPr="00D91B35" w:rsidRDefault="00B21BBC" w:rsidP="002A5407">
            <w:pPr>
              <w:rPr>
                <w:rFonts w:ascii="Times New Roman" w:hAnsi="Times New Roman" w:cs="Times New Roman"/>
                <w:sz w:val="16"/>
                <w:szCs w:val="16"/>
              </w:rPr>
            </w:pPr>
            <w:r>
              <w:rPr>
                <w:rFonts w:ascii="Times New Roman" w:hAnsi="Times New Roman"/>
                <w:sz w:val="16"/>
              </w:rPr>
              <w:t>352</w:t>
            </w:r>
          </w:p>
        </w:tc>
        <w:tc>
          <w:tcPr>
            <w:tcW w:w="122" w:type="pct"/>
            <w:tcBorders>
              <w:bottom w:val="single" w:sz="4" w:space="0" w:color="auto"/>
            </w:tcBorders>
            <w:shd w:val="clear" w:color="auto" w:fill="FFFFFF" w:themeFill="background1"/>
          </w:tcPr>
          <w:p w14:paraId="04017CBC" w14:textId="77777777" w:rsidR="002A5407" w:rsidRPr="00D91B35" w:rsidRDefault="002A5407" w:rsidP="002A5407">
            <w:pPr>
              <w:rPr>
                <w:rFonts w:ascii="Times New Roman" w:hAnsi="Times New Roman" w:cs="Times New Roman"/>
                <w:sz w:val="16"/>
                <w:szCs w:val="16"/>
              </w:rPr>
            </w:pPr>
          </w:p>
        </w:tc>
        <w:tc>
          <w:tcPr>
            <w:tcW w:w="183" w:type="pct"/>
            <w:tcBorders>
              <w:bottom w:val="single" w:sz="4" w:space="0" w:color="auto"/>
            </w:tcBorders>
            <w:shd w:val="clear" w:color="auto" w:fill="FFFFFF" w:themeFill="background1"/>
          </w:tcPr>
          <w:p w14:paraId="481AF091" w14:textId="2F355B9E" w:rsidR="002A5407" w:rsidRPr="00D91B35" w:rsidRDefault="00B21BBC" w:rsidP="002A5407">
            <w:pPr>
              <w:rPr>
                <w:rFonts w:ascii="Times New Roman" w:hAnsi="Times New Roman" w:cs="Times New Roman"/>
                <w:sz w:val="16"/>
                <w:szCs w:val="16"/>
              </w:rPr>
            </w:pPr>
            <w:r>
              <w:rPr>
                <w:rFonts w:ascii="Times New Roman" w:hAnsi="Times New Roman"/>
                <w:sz w:val="16"/>
              </w:rPr>
              <w:t>14</w:t>
            </w:r>
          </w:p>
        </w:tc>
        <w:tc>
          <w:tcPr>
            <w:tcW w:w="105" w:type="pct"/>
            <w:tcBorders>
              <w:bottom w:val="single" w:sz="4" w:space="0" w:color="auto"/>
            </w:tcBorders>
            <w:shd w:val="clear" w:color="auto" w:fill="FFFFFF" w:themeFill="background1"/>
          </w:tcPr>
          <w:p w14:paraId="4C8BD453" w14:textId="77777777" w:rsidR="002A5407" w:rsidRPr="00D91B35" w:rsidRDefault="002A5407" w:rsidP="002A5407">
            <w:pPr>
              <w:rPr>
                <w:rFonts w:ascii="Times New Roman" w:hAnsi="Times New Roman" w:cs="Times New Roman"/>
                <w:sz w:val="16"/>
                <w:szCs w:val="16"/>
              </w:rPr>
            </w:pPr>
          </w:p>
        </w:tc>
        <w:tc>
          <w:tcPr>
            <w:tcW w:w="186" w:type="pct"/>
            <w:tcBorders>
              <w:bottom w:val="single" w:sz="4" w:space="0" w:color="auto"/>
            </w:tcBorders>
            <w:shd w:val="clear" w:color="auto" w:fill="FFFFFF" w:themeFill="background1"/>
          </w:tcPr>
          <w:p w14:paraId="2B5D5257" w14:textId="65D65270" w:rsidR="002A5407" w:rsidRPr="00D91B35" w:rsidRDefault="00B21BBC" w:rsidP="002A5407">
            <w:pPr>
              <w:rPr>
                <w:rFonts w:ascii="Times New Roman" w:hAnsi="Times New Roman" w:cs="Times New Roman"/>
                <w:sz w:val="16"/>
                <w:szCs w:val="16"/>
              </w:rPr>
            </w:pPr>
            <w:r>
              <w:rPr>
                <w:rFonts w:ascii="Times New Roman" w:hAnsi="Times New Roman"/>
                <w:sz w:val="16"/>
              </w:rPr>
              <w:t>18</w:t>
            </w:r>
          </w:p>
        </w:tc>
        <w:tc>
          <w:tcPr>
            <w:tcW w:w="609" w:type="pct"/>
            <w:tcBorders>
              <w:bottom w:val="single" w:sz="4" w:space="0" w:color="auto"/>
            </w:tcBorders>
            <w:shd w:val="clear" w:color="auto" w:fill="FFFFFF" w:themeFill="background1"/>
          </w:tcPr>
          <w:p w14:paraId="362C9372" w14:textId="77777777" w:rsidR="002A5407" w:rsidRPr="00D91B35" w:rsidRDefault="002A5407" w:rsidP="002A5407">
            <w:pPr>
              <w:rPr>
                <w:rFonts w:ascii="Times New Roman" w:hAnsi="Times New Roman" w:cs="Times New Roman"/>
                <w:sz w:val="16"/>
                <w:szCs w:val="16"/>
              </w:rPr>
            </w:pPr>
          </w:p>
        </w:tc>
        <w:tc>
          <w:tcPr>
            <w:tcW w:w="237" w:type="pct"/>
            <w:tcBorders>
              <w:bottom w:val="single" w:sz="4" w:space="0" w:color="auto"/>
            </w:tcBorders>
            <w:shd w:val="clear" w:color="auto" w:fill="FFFFFF" w:themeFill="background1"/>
          </w:tcPr>
          <w:p w14:paraId="67214CF6" w14:textId="77777777" w:rsidR="002A5407" w:rsidRPr="00D91B35" w:rsidRDefault="002A5407" w:rsidP="002A5407">
            <w:pPr>
              <w:rPr>
                <w:rFonts w:ascii="Times New Roman" w:hAnsi="Times New Roman" w:cs="Times New Roman"/>
                <w:sz w:val="16"/>
                <w:szCs w:val="16"/>
              </w:rPr>
            </w:pPr>
          </w:p>
        </w:tc>
        <w:tc>
          <w:tcPr>
            <w:tcW w:w="251" w:type="pct"/>
            <w:tcBorders>
              <w:bottom w:val="single" w:sz="4" w:space="0" w:color="auto"/>
            </w:tcBorders>
            <w:shd w:val="clear" w:color="auto" w:fill="FFFFFF" w:themeFill="background1"/>
          </w:tcPr>
          <w:p w14:paraId="03925D53" w14:textId="0346BF5D" w:rsidR="002A5407" w:rsidRPr="00D91B35" w:rsidRDefault="0076748E" w:rsidP="002A5407">
            <w:pPr>
              <w:rPr>
                <w:rFonts w:ascii="Times New Roman" w:hAnsi="Times New Roman" w:cs="Times New Roman"/>
                <w:sz w:val="16"/>
                <w:szCs w:val="16"/>
              </w:rPr>
            </w:pPr>
            <w:r>
              <w:rPr>
                <w:rFonts w:ascii="Times New Roman" w:hAnsi="Times New Roman"/>
                <w:sz w:val="16"/>
              </w:rPr>
              <w:t>1 010,0</w:t>
            </w:r>
          </w:p>
        </w:tc>
        <w:tc>
          <w:tcPr>
            <w:tcW w:w="237" w:type="pct"/>
            <w:tcBorders>
              <w:bottom w:val="single" w:sz="4" w:space="0" w:color="auto"/>
            </w:tcBorders>
            <w:shd w:val="clear" w:color="auto" w:fill="FFFFFF" w:themeFill="background1"/>
          </w:tcPr>
          <w:p w14:paraId="2112F878" w14:textId="77777777" w:rsidR="002A5407" w:rsidRPr="00D91B35" w:rsidRDefault="002A5407" w:rsidP="002A5407">
            <w:pPr>
              <w:rPr>
                <w:rFonts w:ascii="Times New Roman" w:hAnsi="Times New Roman" w:cs="Times New Roman"/>
                <w:sz w:val="16"/>
                <w:szCs w:val="16"/>
              </w:rPr>
            </w:pPr>
          </w:p>
        </w:tc>
        <w:tc>
          <w:tcPr>
            <w:tcW w:w="237" w:type="pct"/>
            <w:tcBorders>
              <w:bottom w:val="single" w:sz="4" w:space="0" w:color="auto"/>
            </w:tcBorders>
            <w:shd w:val="clear" w:color="auto" w:fill="FFFFFF" w:themeFill="background1"/>
          </w:tcPr>
          <w:p w14:paraId="6FD2D9B9" w14:textId="77777777" w:rsidR="002A5407" w:rsidRPr="00D91B35" w:rsidRDefault="002A5407" w:rsidP="002A5407">
            <w:pPr>
              <w:rPr>
                <w:rFonts w:ascii="Times New Roman" w:hAnsi="Times New Roman" w:cs="Times New Roman"/>
                <w:sz w:val="16"/>
                <w:szCs w:val="16"/>
              </w:rPr>
            </w:pPr>
          </w:p>
        </w:tc>
        <w:tc>
          <w:tcPr>
            <w:tcW w:w="237" w:type="pct"/>
            <w:tcBorders>
              <w:bottom w:val="single" w:sz="4" w:space="0" w:color="auto"/>
            </w:tcBorders>
            <w:shd w:val="clear" w:color="auto" w:fill="FFFFFF" w:themeFill="background1"/>
          </w:tcPr>
          <w:p w14:paraId="06F78F03" w14:textId="329030E2" w:rsidR="002A5407" w:rsidRPr="00D91B35" w:rsidRDefault="0076748E" w:rsidP="002A5407">
            <w:pPr>
              <w:rPr>
                <w:rFonts w:ascii="Times New Roman" w:hAnsi="Times New Roman" w:cs="Times New Roman"/>
                <w:sz w:val="16"/>
                <w:szCs w:val="16"/>
              </w:rPr>
            </w:pPr>
            <w:r>
              <w:rPr>
                <w:rFonts w:ascii="Times New Roman" w:hAnsi="Times New Roman"/>
                <w:sz w:val="16"/>
              </w:rPr>
              <w:t>1 679,0</w:t>
            </w:r>
          </w:p>
        </w:tc>
        <w:tc>
          <w:tcPr>
            <w:tcW w:w="237" w:type="pct"/>
            <w:tcBorders>
              <w:bottom w:val="single" w:sz="4" w:space="0" w:color="auto"/>
            </w:tcBorders>
            <w:shd w:val="clear" w:color="auto" w:fill="FFFFFF" w:themeFill="background1"/>
          </w:tcPr>
          <w:p w14:paraId="623622DB" w14:textId="77777777" w:rsidR="002A5407" w:rsidRPr="00D91B35" w:rsidRDefault="002A5407" w:rsidP="002A5407">
            <w:pPr>
              <w:rPr>
                <w:rFonts w:ascii="Times New Roman" w:hAnsi="Times New Roman" w:cs="Times New Roman"/>
                <w:sz w:val="16"/>
                <w:szCs w:val="16"/>
              </w:rPr>
            </w:pPr>
          </w:p>
        </w:tc>
      </w:tr>
      <w:tr w:rsidR="00B21BBC" w:rsidRPr="00D91B35" w14:paraId="2C0ACA73" w14:textId="77777777" w:rsidTr="008A656B">
        <w:tc>
          <w:tcPr>
            <w:tcW w:w="374" w:type="pct"/>
            <w:tcBorders>
              <w:top w:val="single" w:sz="4" w:space="0" w:color="auto"/>
            </w:tcBorders>
          </w:tcPr>
          <w:p w14:paraId="52D71983" w14:textId="41F5009B" w:rsidR="00B21BBC" w:rsidRPr="00D91B35" w:rsidRDefault="0076748E" w:rsidP="002A5407">
            <w:pPr>
              <w:rPr>
                <w:rFonts w:ascii="Times New Roman" w:hAnsi="Times New Roman" w:cs="Times New Roman"/>
                <w:b/>
                <w:bCs/>
                <w:sz w:val="16"/>
                <w:szCs w:val="16"/>
              </w:rPr>
            </w:pPr>
            <w:r>
              <w:rPr>
                <w:rFonts w:ascii="Times New Roman" w:hAnsi="Times New Roman"/>
                <w:b/>
                <w:sz w:val="16"/>
              </w:rPr>
              <w:t>Pārtika</w:t>
            </w:r>
          </w:p>
        </w:tc>
        <w:tc>
          <w:tcPr>
            <w:tcW w:w="231" w:type="pct"/>
            <w:tcBorders>
              <w:top w:val="single" w:sz="4" w:space="0" w:color="auto"/>
            </w:tcBorders>
          </w:tcPr>
          <w:p w14:paraId="20FA880A" w14:textId="3E5D4958" w:rsidR="00B21BBC" w:rsidRPr="00D91B35" w:rsidRDefault="0076748E" w:rsidP="002A5407">
            <w:pPr>
              <w:rPr>
                <w:rFonts w:ascii="Times New Roman" w:hAnsi="Times New Roman" w:cs="Times New Roman"/>
                <w:b/>
                <w:bCs/>
                <w:sz w:val="16"/>
                <w:szCs w:val="16"/>
              </w:rPr>
            </w:pPr>
            <w:r>
              <w:rPr>
                <w:rFonts w:ascii="Times New Roman" w:hAnsi="Times New Roman"/>
                <w:b/>
                <w:sz w:val="16"/>
              </w:rPr>
              <w:t>Zēni un meitenes</w:t>
            </w:r>
          </w:p>
        </w:tc>
        <w:tc>
          <w:tcPr>
            <w:tcW w:w="358" w:type="pct"/>
            <w:tcBorders>
              <w:top w:val="single" w:sz="4" w:space="0" w:color="auto"/>
            </w:tcBorders>
          </w:tcPr>
          <w:p w14:paraId="4641AC1E" w14:textId="0ED7B542" w:rsidR="00B21BBC" w:rsidRPr="00D91B35" w:rsidRDefault="0076748E" w:rsidP="002A5407">
            <w:pPr>
              <w:rPr>
                <w:rFonts w:ascii="Times New Roman" w:hAnsi="Times New Roman" w:cs="Times New Roman"/>
                <w:b/>
                <w:bCs/>
                <w:sz w:val="16"/>
                <w:szCs w:val="16"/>
              </w:rPr>
            </w:pPr>
            <w:r>
              <w:rPr>
                <w:rFonts w:ascii="Times New Roman" w:hAnsi="Times New Roman"/>
                <w:b/>
                <w:sz w:val="16"/>
              </w:rPr>
              <w:t>Beļģija</w:t>
            </w:r>
          </w:p>
        </w:tc>
        <w:tc>
          <w:tcPr>
            <w:tcW w:w="359" w:type="pct"/>
            <w:tcBorders>
              <w:top w:val="single" w:sz="4" w:space="0" w:color="auto"/>
            </w:tcBorders>
          </w:tcPr>
          <w:p w14:paraId="6074D57C" w14:textId="2F206521" w:rsidR="00B21BBC" w:rsidRPr="00D91B35" w:rsidRDefault="0076748E" w:rsidP="0076748E">
            <w:pPr>
              <w:pStyle w:val="Default"/>
              <w:rPr>
                <w:sz w:val="16"/>
                <w:szCs w:val="16"/>
              </w:rPr>
            </w:pPr>
            <w:r>
              <w:rPr>
                <w:sz w:val="16"/>
              </w:rPr>
              <w:t>(De Vriese et al., 2006)</w:t>
            </w:r>
          </w:p>
        </w:tc>
        <w:tc>
          <w:tcPr>
            <w:tcW w:w="839" w:type="pct"/>
            <w:tcBorders>
              <w:top w:val="single" w:sz="4" w:space="0" w:color="auto"/>
            </w:tcBorders>
          </w:tcPr>
          <w:p w14:paraId="7D2EE709" w14:textId="2EC1240F" w:rsidR="00B21BBC" w:rsidRPr="00D91B35" w:rsidRDefault="00B21BBC" w:rsidP="00B21BBC">
            <w:pPr>
              <w:pStyle w:val="Default"/>
              <w:rPr>
                <w:sz w:val="16"/>
                <w:szCs w:val="16"/>
              </w:rPr>
            </w:pPr>
            <w:r>
              <w:rPr>
                <w:sz w:val="16"/>
              </w:rPr>
              <w:t>Divas 24 stundu atcerēšanās anketas</w:t>
            </w:r>
          </w:p>
        </w:tc>
        <w:tc>
          <w:tcPr>
            <w:tcW w:w="196" w:type="pct"/>
            <w:tcBorders>
              <w:top w:val="single" w:sz="4" w:space="0" w:color="auto"/>
            </w:tcBorders>
            <w:shd w:val="clear" w:color="auto" w:fill="FFFFFF" w:themeFill="background1"/>
          </w:tcPr>
          <w:p w14:paraId="0B62412E" w14:textId="72B78FAE" w:rsidR="00B21BBC" w:rsidRPr="00D91B35" w:rsidRDefault="00B21BBC" w:rsidP="002A5407">
            <w:pPr>
              <w:rPr>
                <w:rFonts w:ascii="Times New Roman" w:hAnsi="Times New Roman" w:cs="Times New Roman"/>
                <w:sz w:val="16"/>
                <w:szCs w:val="16"/>
              </w:rPr>
            </w:pPr>
            <w:r>
              <w:rPr>
                <w:rFonts w:ascii="Times New Roman" w:hAnsi="Times New Roman"/>
                <w:sz w:val="16"/>
              </w:rPr>
              <w:t>806</w:t>
            </w:r>
          </w:p>
        </w:tc>
        <w:tc>
          <w:tcPr>
            <w:tcW w:w="122" w:type="pct"/>
            <w:tcBorders>
              <w:top w:val="single" w:sz="4" w:space="0" w:color="auto"/>
            </w:tcBorders>
            <w:shd w:val="clear" w:color="auto" w:fill="FFFFFF" w:themeFill="background1"/>
          </w:tcPr>
          <w:p w14:paraId="536B2D65" w14:textId="77777777" w:rsidR="00B21BBC" w:rsidRPr="00D91B35" w:rsidRDefault="00B21BBC" w:rsidP="002A5407">
            <w:pPr>
              <w:rPr>
                <w:rFonts w:ascii="Times New Roman" w:hAnsi="Times New Roman" w:cs="Times New Roman"/>
                <w:sz w:val="16"/>
                <w:szCs w:val="16"/>
              </w:rPr>
            </w:pPr>
          </w:p>
        </w:tc>
        <w:tc>
          <w:tcPr>
            <w:tcW w:w="183" w:type="pct"/>
            <w:tcBorders>
              <w:top w:val="single" w:sz="4" w:space="0" w:color="auto"/>
            </w:tcBorders>
            <w:shd w:val="clear" w:color="auto" w:fill="FFFFFF" w:themeFill="background1"/>
          </w:tcPr>
          <w:p w14:paraId="51B9518F" w14:textId="3C8CBE70" w:rsidR="00B21BBC" w:rsidRPr="00D91B35" w:rsidRDefault="00B21BBC" w:rsidP="002A5407">
            <w:pPr>
              <w:rPr>
                <w:rFonts w:ascii="Times New Roman" w:hAnsi="Times New Roman" w:cs="Times New Roman"/>
                <w:sz w:val="16"/>
                <w:szCs w:val="16"/>
              </w:rPr>
            </w:pPr>
            <w:r>
              <w:rPr>
                <w:rFonts w:ascii="Times New Roman" w:hAnsi="Times New Roman"/>
                <w:sz w:val="16"/>
              </w:rPr>
              <w:t>15</w:t>
            </w:r>
          </w:p>
        </w:tc>
        <w:tc>
          <w:tcPr>
            <w:tcW w:w="105" w:type="pct"/>
            <w:tcBorders>
              <w:top w:val="single" w:sz="4" w:space="0" w:color="auto"/>
            </w:tcBorders>
            <w:shd w:val="clear" w:color="auto" w:fill="FFFFFF" w:themeFill="background1"/>
          </w:tcPr>
          <w:p w14:paraId="4D7ABAEF" w14:textId="77777777" w:rsidR="00B21BBC" w:rsidRPr="00D91B35" w:rsidRDefault="00B21BBC" w:rsidP="002A5407">
            <w:pPr>
              <w:rPr>
                <w:rFonts w:ascii="Times New Roman" w:hAnsi="Times New Roman" w:cs="Times New Roman"/>
                <w:sz w:val="16"/>
                <w:szCs w:val="16"/>
              </w:rPr>
            </w:pPr>
          </w:p>
        </w:tc>
        <w:tc>
          <w:tcPr>
            <w:tcW w:w="186" w:type="pct"/>
            <w:tcBorders>
              <w:top w:val="single" w:sz="4" w:space="0" w:color="auto"/>
            </w:tcBorders>
            <w:shd w:val="clear" w:color="auto" w:fill="FFFFFF" w:themeFill="background1"/>
          </w:tcPr>
          <w:p w14:paraId="78623072" w14:textId="3BA1279C" w:rsidR="00B21BBC" w:rsidRPr="00D91B35" w:rsidRDefault="00B21BBC" w:rsidP="002A5407">
            <w:pPr>
              <w:rPr>
                <w:rFonts w:ascii="Times New Roman" w:hAnsi="Times New Roman" w:cs="Times New Roman"/>
                <w:sz w:val="16"/>
                <w:szCs w:val="16"/>
              </w:rPr>
            </w:pPr>
            <w:r>
              <w:rPr>
                <w:rFonts w:ascii="Times New Roman" w:hAnsi="Times New Roman"/>
                <w:sz w:val="16"/>
              </w:rPr>
              <w:t>18</w:t>
            </w:r>
          </w:p>
        </w:tc>
        <w:tc>
          <w:tcPr>
            <w:tcW w:w="609" w:type="pct"/>
            <w:tcBorders>
              <w:top w:val="single" w:sz="4" w:space="0" w:color="auto"/>
            </w:tcBorders>
            <w:shd w:val="clear" w:color="auto" w:fill="FFFFFF" w:themeFill="background1"/>
          </w:tcPr>
          <w:p w14:paraId="69E98C82" w14:textId="77777777" w:rsidR="00B21BBC" w:rsidRPr="00D91B35" w:rsidRDefault="00B21BBC" w:rsidP="002A5407">
            <w:pPr>
              <w:rPr>
                <w:rFonts w:ascii="Times New Roman" w:hAnsi="Times New Roman" w:cs="Times New Roman"/>
                <w:sz w:val="16"/>
                <w:szCs w:val="16"/>
              </w:rPr>
            </w:pPr>
          </w:p>
        </w:tc>
        <w:tc>
          <w:tcPr>
            <w:tcW w:w="237" w:type="pct"/>
            <w:tcBorders>
              <w:top w:val="single" w:sz="4" w:space="0" w:color="auto"/>
            </w:tcBorders>
            <w:shd w:val="clear" w:color="auto" w:fill="FFFFFF" w:themeFill="background1"/>
          </w:tcPr>
          <w:p w14:paraId="3FC0443F" w14:textId="763AB7AD" w:rsidR="00B21BBC" w:rsidRPr="00D91B35" w:rsidRDefault="0076748E" w:rsidP="002A5407">
            <w:pPr>
              <w:rPr>
                <w:rFonts w:ascii="Times New Roman" w:hAnsi="Times New Roman" w:cs="Times New Roman"/>
                <w:sz w:val="16"/>
                <w:szCs w:val="16"/>
              </w:rPr>
            </w:pPr>
            <w:r>
              <w:rPr>
                <w:rFonts w:ascii="Times New Roman" w:hAnsi="Times New Roman"/>
                <w:sz w:val="16"/>
              </w:rPr>
              <w:t>787,9</w:t>
            </w:r>
          </w:p>
        </w:tc>
        <w:tc>
          <w:tcPr>
            <w:tcW w:w="251" w:type="pct"/>
            <w:tcBorders>
              <w:top w:val="single" w:sz="4" w:space="0" w:color="auto"/>
            </w:tcBorders>
            <w:shd w:val="clear" w:color="auto" w:fill="FFFFFF" w:themeFill="background1"/>
          </w:tcPr>
          <w:p w14:paraId="4E0709BD" w14:textId="77777777" w:rsidR="00B21BBC" w:rsidRPr="00D91B35" w:rsidRDefault="00B21BBC" w:rsidP="002A5407">
            <w:pPr>
              <w:rPr>
                <w:rFonts w:ascii="Times New Roman" w:hAnsi="Times New Roman" w:cs="Times New Roman"/>
                <w:sz w:val="16"/>
                <w:szCs w:val="16"/>
              </w:rPr>
            </w:pPr>
          </w:p>
        </w:tc>
        <w:tc>
          <w:tcPr>
            <w:tcW w:w="237" w:type="pct"/>
            <w:tcBorders>
              <w:top w:val="single" w:sz="4" w:space="0" w:color="auto"/>
            </w:tcBorders>
            <w:shd w:val="clear" w:color="auto" w:fill="FFFFFF" w:themeFill="background1"/>
          </w:tcPr>
          <w:p w14:paraId="7F0D843A" w14:textId="4B6F5F16" w:rsidR="00B21BBC" w:rsidRPr="00D91B35" w:rsidRDefault="0076748E" w:rsidP="002A5407">
            <w:pPr>
              <w:rPr>
                <w:rFonts w:ascii="Times New Roman" w:hAnsi="Times New Roman" w:cs="Times New Roman"/>
                <w:sz w:val="16"/>
                <w:szCs w:val="16"/>
              </w:rPr>
            </w:pPr>
            <w:r>
              <w:rPr>
                <w:rFonts w:ascii="Times New Roman" w:hAnsi="Times New Roman"/>
                <w:sz w:val="16"/>
              </w:rPr>
              <w:t>966,0</w:t>
            </w:r>
          </w:p>
        </w:tc>
        <w:tc>
          <w:tcPr>
            <w:tcW w:w="237" w:type="pct"/>
            <w:tcBorders>
              <w:top w:val="single" w:sz="4" w:space="0" w:color="auto"/>
            </w:tcBorders>
            <w:shd w:val="clear" w:color="auto" w:fill="FFFFFF" w:themeFill="background1"/>
          </w:tcPr>
          <w:p w14:paraId="4496ACD7" w14:textId="77777777" w:rsidR="00B21BBC" w:rsidRPr="00D91B35" w:rsidRDefault="00B21BBC" w:rsidP="002A5407">
            <w:pPr>
              <w:rPr>
                <w:rFonts w:ascii="Times New Roman" w:hAnsi="Times New Roman" w:cs="Times New Roman"/>
                <w:sz w:val="16"/>
                <w:szCs w:val="16"/>
              </w:rPr>
            </w:pPr>
          </w:p>
        </w:tc>
        <w:tc>
          <w:tcPr>
            <w:tcW w:w="237" w:type="pct"/>
            <w:tcBorders>
              <w:top w:val="single" w:sz="4" w:space="0" w:color="auto"/>
            </w:tcBorders>
            <w:shd w:val="clear" w:color="auto" w:fill="FFFFFF" w:themeFill="background1"/>
          </w:tcPr>
          <w:p w14:paraId="6371930A" w14:textId="77777777" w:rsidR="00B21BBC" w:rsidRPr="00D91B35" w:rsidRDefault="00B21BBC" w:rsidP="002A5407">
            <w:pPr>
              <w:rPr>
                <w:rFonts w:ascii="Times New Roman" w:hAnsi="Times New Roman" w:cs="Times New Roman"/>
                <w:sz w:val="16"/>
                <w:szCs w:val="16"/>
              </w:rPr>
            </w:pPr>
          </w:p>
        </w:tc>
        <w:tc>
          <w:tcPr>
            <w:tcW w:w="237" w:type="pct"/>
            <w:tcBorders>
              <w:top w:val="single" w:sz="4" w:space="0" w:color="auto"/>
            </w:tcBorders>
            <w:shd w:val="clear" w:color="auto" w:fill="FFFFFF" w:themeFill="background1"/>
          </w:tcPr>
          <w:p w14:paraId="1722C5CB" w14:textId="77777777" w:rsidR="00B21BBC" w:rsidRPr="00D91B35" w:rsidRDefault="00B21BBC" w:rsidP="002A5407">
            <w:pPr>
              <w:rPr>
                <w:rFonts w:ascii="Times New Roman" w:hAnsi="Times New Roman" w:cs="Times New Roman"/>
                <w:sz w:val="16"/>
                <w:szCs w:val="16"/>
              </w:rPr>
            </w:pPr>
          </w:p>
        </w:tc>
      </w:tr>
      <w:tr w:rsidR="00B21BBC" w:rsidRPr="00D91B35" w14:paraId="35207ED8" w14:textId="77777777" w:rsidTr="008A656B">
        <w:tc>
          <w:tcPr>
            <w:tcW w:w="374" w:type="pct"/>
          </w:tcPr>
          <w:p w14:paraId="57616FB6" w14:textId="77777777" w:rsidR="00B21BBC" w:rsidRPr="00D91B35" w:rsidRDefault="00B21BBC" w:rsidP="002A5407">
            <w:pPr>
              <w:rPr>
                <w:rFonts w:ascii="Times New Roman" w:hAnsi="Times New Roman" w:cs="Times New Roman"/>
                <w:b/>
                <w:bCs/>
                <w:sz w:val="16"/>
                <w:szCs w:val="16"/>
              </w:rPr>
            </w:pPr>
          </w:p>
        </w:tc>
        <w:tc>
          <w:tcPr>
            <w:tcW w:w="231" w:type="pct"/>
          </w:tcPr>
          <w:p w14:paraId="5007804B" w14:textId="77777777" w:rsidR="00B21BBC" w:rsidRPr="00D91B35" w:rsidRDefault="00B21BBC" w:rsidP="002A5407">
            <w:pPr>
              <w:rPr>
                <w:rFonts w:ascii="Times New Roman" w:hAnsi="Times New Roman" w:cs="Times New Roman"/>
                <w:b/>
                <w:bCs/>
                <w:sz w:val="16"/>
                <w:szCs w:val="16"/>
              </w:rPr>
            </w:pPr>
          </w:p>
        </w:tc>
        <w:tc>
          <w:tcPr>
            <w:tcW w:w="358" w:type="pct"/>
          </w:tcPr>
          <w:p w14:paraId="4AD19BA8" w14:textId="44E310F9" w:rsidR="00B21BBC" w:rsidRPr="00D91B35" w:rsidRDefault="0076748E" w:rsidP="002A5407">
            <w:pPr>
              <w:rPr>
                <w:rFonts w:ascii="Times New Roman" w:hAnsi="Times New Roman" w:cs="Times New Roman"/>
                <w:b/>
                <w:bCs/>
                <w:sz w:val="16"/>
                <w:szCs w:val="16"/>
              </w:rPr>
            </w:pPr>
            <w:r>
              <w:rPr>
                <w:rFonts w:ascii="Times New Roman" w:hAnsi="Times New Roman"/>
                <w:b/>
                <w:sz w:val="16"/>
              </w:rPr>
              <w:t>Vācija</w:t>
            </w:r>
          </w:p>
        </w:tc>
        <w:tc>
          <w:tcPr>
            <w:tcW w:w="359" w:type="pct"/>
          </w:tcPr>
          <w:p w14:paraId="664D50C6" w14:textId="2DE21411" w:rsidR="00B21BBC" w:rsidRPr="00D91B35" w:rsidRDefault="0076748E" w:rsidP="0076748E">
            <w:pPr>
              <w:pStyle w:val="Default"/>
              <w:rPr>
                <w:sz w:val="16"/>
                <w:szCs w:val="16"/>
              </w:rPr>
            </w:pPr>
            <w:r>
              <w:rPr>
                <w:sz w:val="16"/>
              </w:rPr>
              <w:t>(Flynn et al., 2009)</w:t>
            </w:r>
          </w:p>
        </w:tc>
        <w:tc>
          <w:tcPr>
            <w:tcW w:w="839" w:type="pct"/>
          </w:tcPr>
          <w:p w14:paraId="3F20A67A" w14:textId="4937501A" w:rsidR="00B21BBC" w:rsidRPr="00D91B35" w:rsidRDefault="00B21BBC" w:rsidP="002A5407">
            <w:pPr>
              <w:rPr>
                <w:rFonts w:ascii="Times New Roman" w:hAnsi="Times New Roman" w:cs="Times New Roman"/>
                <w:sz w:val="16"/>
                <w:szCs w:val="16"/>
              </w:rPr>
            </w:pPr>
            <w:r>
              <w:rPr>
                <w:rFonts w:ascii="Times New Roman" w:hAnsi="Times New Roman"/>
                <w:sz w:val="16"/>
              </w:rPr>
              <w:t>3 dienu uztura pieraksts</w:t>
            </w:r>
          </w:p>
        </w:tc>
        <w:tc>
          <w:tcPr>
            <w:tcW w:w="196" w:type="pct"/>
            <w:shd w:val="clear" w:color="auto" w:fill="FFFFFF" w:themeFill="background1"/>
          </w:tcPr>
          <w:p w14:paraId="629F7B66" w14:textId="11A090E8" w:rsidR="00B21BBC" w:rsidRPr="00D91B35" w:rsidRDefault="00B21BBC" w:rsidP="002A5407">
            <w:pPr>
              <w:rPr>
                <w:rFonts w:ascii="Times New Roman" w:hAnsi="Times New Roman" w:cs="Times New Roman"/>
                <w:sz w:val="16"/>
                <w:szCs w:val="16"/>
              </w:rPr>
            </w:pPr>
            <w:r>
              <w:rPr>
                <w:rFonts w:ascii="Times New Roman" w:hAnsi="Times New Roman"/>
                <w:sz w:val="16"/>
              </w:rPr>
              <w:t>1 272</w:t>
            </w:r>
          </w:p>
        </w:tc>
        <w:tc>
          <w:tcPr>
            <w:tcW w:w="122" w:type="pct"/>
            <w:shd w:val="clear" w:color="auto" w:fill="FFFFFF" w:themeFill="background1"/>
          </w:tcPr>
          <w:p w14:paraId="1B4DD32C" w14:textId="77777777" w:rsidR="00B21BBC" w:rsidRPr="00D91B35" w:rsidRDefault="00B21BBC" w:rsidP="002A5407">
            <w:pPr>
              <w:rPr>
                <w:rFonts w:ascii="Times New Roman" w:hAnsi="Times New Roman" w:cs="Times New Roman"/>
                <w:sz w:val="16"/>
                <w:szCs w:val="16"/>
              </w:rPr>
            </w:pPr>
          </w:p>
        </w:tc>
        <w:tc>
          <w:tcPr>
            <w:tcW w:w="183" w:type="pct"/>
            <w:shd w:val="clear" w:color="auto" w:fill="FFFFFF" w:themeFill="background1"/>
          </w:tcPr>
          <w:p w14:paraId="13AAEDAB" w14:textId="0E8D222B" w:rsidR="00B21BBC" w:rsidRPr="00D91B35" w:rsidRDefault="00B21BBC" w:rsidP="002A5407">
            <w:pPr>
              <w:rPr>
                <w:rFonts w:ascii="Times New Roman" w:hAnsi="Times New Roman" w:cs="Times New Roman"/>
                <w:sz w:val="16"/>
                <w:szCs w:val="16"/>
              </w:rPr>
            </w:pPr>
            <w:r>
              <w:rPr>
                <w:rFonts w:ascii="Times New Roman" w:hAnsi="Times New Roman"/>
                <w:sz w:val="16"/>
              </w:rPr>
              <w:t>12</w:t>
            </w:r>
          </w:p>
        </w:tc>
        <w:tc>
          <w:tcPr>
            <w:tcW w:w="105" w:type="pct"/>
            <w:shd w:val="clear" w:color="auto" w:fill="FFFFFF" w:themeFill="background1"/>
          </w:tcPr>
          <w:p w14:paraId="1F6C72D1" w14:textId="77777777" w:rsidR="00B21BBC" w:rsidRPr="00D91B35" w:rsidRDefault="00B21BBC" w:rsidP="002A5407">
            <w:pPr>
              <w:rPr>
                <w:rFonts w:ascii="Times New Roman" w:hAnsi="Times New Roman" w:cs="Times New Roman"/>
                <w:sz w:val="16"/>
                <w:szCs w:val="16"/>
              </w:rPr>
            </w:pPr>
          </w:p>
        </w:tc>
        <w:tc>
          <w:tcPr>
            <w:tcW w:w="186" w:type="pct"/>
            <w:shd w:val="clear" w:color="auto" w:fill="FFFFFF" w:themeFill="background1"/>
          </w:tcPr>
          <w:p w14:paraId="1E7D9086" w14:textId="39470625" w:rsidR="00B21BBC" w:rsidRPr="00D91B35" w:rsidRDefault="00B21BBC" w:rsidP="002A5407">
            <w:pPr>
              <w:rPr>
                <w:rFonts w:ascii="Times New Roman" w:hAnsi="Times New Roman" w:cs="Times New Roman"/>
                <w:sz w:val="16"/>
                <w:szCs w:val="16"/>
              </w:rPr>
            </w:pPr>
            <w:r>
              <w:rPr>
                <w:rFonts w:ascii="Times New Roman" w:hAnsi="Times New Roman"/>
                <w:sz w:val="16"/>
              </w:rPr>
              <w:t>17</w:t>
            </w:r>
          </w:p>
        </w:tc>
        <w:tc>
          <w:tcPr>
            <w:tcW w:w="609" w:type="pct"/>
            <w:shd w:val="clear" w:color="auto" w:fill="FFFFFF" w:themeFill="background1"/>
          </w:tcPr>
          <w:p w14:paraId="521E1AED" w14:textId="77777777" w:rsidR="00B21BBC" w:rsidRPr="00D91B35" w:rsidRDefault="00B21BBC" w:rsidP="002A5407">
            <w:pPr>
              <w:rPr>
                <w:rFonts w:ascii="Times New Roman" w:hAnsi="Times New Roman" w:cs="Times New Roman"/>
                <w:sz w:val="16"/>
                <w:szCs w:val="16"/>
              </w:rPr>
            </w:pPr>
          </w:p>
        </w:tc>
        <w:tc>
          <w:tcPr>
            <w:tcW w:w="237" w:type="pct"/>
            <w:shd w:val="clear" w:color="auto" w:fill="FFFFFF" w:themeFill="background1"/>
          </w:tcPr>
          <w:p w14:paraId="67FBE36A" w14:textId="64962794" w:rsidR="00B21BBC" w:rsidRPr="00D91B35" w:rsidRDefault="0076748E" w:rsidP="002A5407">
            <w:pPr>
              <w:rPr>
                <w:rFonts w:ascii="Times New Roman" w:hAnsi="Times New Roman" w:cs="Times New Roman"/>
                <w:sz w:val="16"/>
                <w:szCs w:val="16"/>
              </w:rPr>
            </w:pPr>
            <w:r>
              <w:rPr>
                <w:rFonts w:ascii="Times New Roman" w:hAnsi="Times New Roman"/>
                <w:sz w:val="16"/>
              </w:rPr>
              <w:t>1 337,0</w:t>
            </w:r>
          </w:p>
        </w:tc>
        <w:tc>
          <w:tcPr>
            <w:tcW w:w="251" w:type="pct"/>
            <w:shd w:val="clear" w:color="auto" w:fill="FFFFFF" w:themeFill="background1"/>
          </w:tcPr>
          <w:p w14:paraId="45505A3C" w14:textId="77777777" w:rsidR="00B21BBC" w:rsidRPr="00D91B35" w:rsidRDefault="00B21BBC" w:rsidP="002A5407">
            <w:pPr>
              <w:rPr>
                <w:rFonts w:ascii="Times New Roman" w:hAnsi="Times New Roman" w:cs="Times New Roman"/>
                <w:sz w:val="16"/>
                <w:szCs w:val="16"/>
              </w:rPr>
            </w:pPr>
          </w:p>
        </w:tc>
        <w:tc>
          <w:tcPr>
            <w:tcW w:w="237" w:type="pct"/>
            <w:shd w:val="clear" w:color="auto" w:fill="FFFFFF" w:themeFill="background1"/>
          </w:tcPr>
          <w:p w14:paraId="36A28BE2" w14:textId="77777777" w:rsidR="00B21BBC" w:rsidRPr="00D91B35" w:rsidRDefault="00B21BBC" w:rsidP="002A5407">
            <w:pPr>
              <w:rPr>
                <w:rFonts w:ascii="Times New Roman" w:hAnsi="Times New Roman" w:cs="Times New Roman"/>
                <w:sz w:val="16"/>
                <w:szCs w:val="16"/>
              </w:rPr>
            </w:pPr>
          </w:p>
        </w:tc>
        <w:tc>
          <w:tcPr>
            <w:tcW w:w="237" w:type="pct"/>
            <w:shd w:val="clear" w:color="auto" w:fill="FFFFFF" w:themeFill="background1"/>
          </w:tcPr>
          <w:p w14:paraId="14DD4003" w14:textId="77777777" w:rsidR="00B21BBC" w:rsidRPr="00D91B35" w:rsidRDefault="00B21BBC" w:rsidP="002A5407">
            <w:pPr>
              <w:rPr>
                <w:rFonts w:ascii="Times New Roman" w:hAnsi="Times New Roman" w:cs="Times New Roman"/>
                <w:sz w:val="16"/>
                <w:szCs w:val="16"/>
              </w:rPr>
            </w:pPr>
          </w:p>
        </w:tc>
        <w:tc>
          <w:tcPr>
            <w:tcW w:w="237" w:type="pct"/>
            <w:shd w:val="clear" w:color="auto" w:fill="FFFFFF" w:themeFill="background1"/>
          </w:tcPr>
          <w:p w14:paraId="06ED5D94" w14:textId="65CBB816" w:rsidR="00B21BBC" w:rsidRPr="00D91B35" w:rsidRDefault="0076748E" w:rsidP="002A5407">
            <w:pPr>
              <w:rPr>
                <w:rFonts w:ascii="Times New Roman" w:hAnsi="Times New Roman" w:cs="Times New Roman"/>
                <w:sz w:val="16"/>
                <w:szCs w:val="16"/>
              </w:rPr>
            </w:pPr>
            <w:r>
              <w:rPr>
                <w:rFonts w:ascii="Times New Roman" w:hAnsi="Times New Roman"/>
                <w:sz w:val="16"/>
              </w:rPr>
              <w:t>2 400,0</w:t>
            </w:r>
          </w:p>
        </w:tc>
        <w:tc>
          <w:tcPr>
            <w:tcW w:w="237" w:type="pct"/>
            <w:shd w:val="clear" w:color="auto" w:fill="FFFFFF" w:themeFill="background1"/>
          </w:tcPr>
          <w:p w14:paraId="5B2BA9DE" w14:textId="77777777" w:rsidR="00B21BBC" w:rsidRPr="00D91B35" w:rsidRDefault="00B21BBC" w:rsidP="002A5407">
            <w:pPr>
              <w:rPr>
                <w:rFonts w:ascii="Times New Roman" w:hAnsi="Times New Roman" w:cs="Times New Roman"/>
                <w:sz w:val="16"/>
                <w:szCs w:val="16"/>
              </w:rPr>
            </w:pPr>
          </w:p>
        </w:tc>
      </w:tr>
      <w:tr w:rsidR="00B21BBC" w:rsidRPr="00D91B35" w14:paraId="10389057" w14:textId="77777777" w:rsidTr="008A656B">
        <w:tc>
          <w:tcPr>
            <w:tcW w:w="374" w:type="pct"/>
          </w:tcPr>
          <w:p w14:paraId="16F36F3C" w14:textId="77777777" w:rsidR="00B21BBC" w:rsidRPr="00D91B35" w:rsidRDefault="00B21BBC" w:rsidP="002A5407">
            <w:pPr>
              <w:rPr>
                <w:rFonts w:ascii="Times New Roman" w:hAnsi="Times New Roman" w:cs="Times New Roman"/>
                <w:b/>
                <w:bCs/>
                <w:sz w:val="16"/>
                <w:szCs w:val="16"/>
              </w:rPr>
            </w:pPr>
          </w:p>
        </w:tc>
        <w:tc>
          <w:tcPr>
            <w:tcW w:w="231" w:type="pct"/>
          </w:tcPr>
          <w:p w14:paraId="13FF0074" w14:textId="77777777" w:rsidR="00B21BBC" w:rsidRPr="00D91B35" w:rsidRDefault="00B21BBC" w:rsidP="002A5407">
            <w:pPr>
              <w:rPr>
                <w:rFonts w:ascii="Times New Roman" w:hAnsi="Times New Roman" w:cs="Times New Roman"/>
                <w:b/>
                <w:bCs/>
                <w:sz w:val="16"/>
                <w:szCs w:val="16"/>
              </w:rPr>
            </w:pPr>
          </w:p>
        </w:tc>
        <w:tc>
          <w:tcPr>
            <w:tcW w:w="358" w:type="pct"/>
          </w:tcPr>
          <w:p w14:paraId="38C129B3" w14:textId="580FD14D" w:rsidR="00B21BBC" w:rsidRPr="00D91B35" w:rsidRDefault="0076748E" w:rsidP="002A5407">
            <w:pPr>
              <w:rPr>
                <w:rFonts w:ascii="Times New Roman" w:hAnsi="Times New Roman" w:cs="Times New Roman"/>
                <w:b/>
                <w:bCs/>
                <w:sz w:val="16"/>
                <w:szCs w:val="16"/>
              </w:rPr>
            </w:pPr>
            <w:r>
              <w:rPr>
                <w:rFonts w:ascii="Times New Roman" w:hAnsi="Times New Roman"/>
                <w:b/>
                <w:sz w:val="16"/>
              </w:rPr>
              <w:t>Spānija</w:t>
            </w:r>
          </w:p>
        </w:tc>
        <w:tc>
          <w:tcPr>
            <w:tcW w:w="359" w:type="pct"/>
          </w:tcPr>
          <w:p w14:paraId="65697D69" w14:textId="6B1947F0" w:rsidR="00B21BBC" w:rsidRPr="00D91B35" w:rsidRDefault="0076748E" w:rsidP="0076748E">
            <w:pPr>
              <w:pStyle w:val="Default"/>
              <w:rPr>
                <w:sz w:val="16"/>
                <w:szCs w:val="16"/>
              </w:rPr>
            </w:pPr>
            <w:r>
              <w:rPr>
                <w:sz w:val="16"/>
              </w:rPr>
              <w:t>(Flynn et al., 2009)</w:t>
            </w:r>
          </w:p>
        </w:tc>
        <w:tc>
          <w:tcPr>
            <w:tcW w:w="839" w:type="pct"/>
          </w:tcPr>
          <w:p w14:paraId="1AFD06A1" w14:textId="58E39E61" w:rsidR="00B21BBC" w:rsidRPr="00D91B35" w:rsidRDefault="00B21BBC" w:rsidP="00B21BBC">
            <w:pPr>
              <w:pStyle w:val="Default"/>
              <w:rPr>
                <w:sz w:val="16"/>
                <w:szCs w:val="16"/>
              </w:rPr>
            </w:pPr>
            <w:r>
              <w:rPr>
                <w:sz w:val="16"/>
              </w:rPr>
              <w:t>24 stundu atcerēšanās anketa un aptauja pārtikas produktu lietošanas biežuma noteikšanai, vēl viens 24 stundu atcerēšanās anketa 25–30 % no izlases</w:t>
            </w:r>
          </w:p>
        </w:tc>
        <w:tc>
          <w:tcPr>
            <w:tcW w:w="196" w:type="pct"/>
            <w:shd w:val="clear" w:color="auto" w:fill="FFFFFF" w:themeFill="background1"/>
          </w:tcPr>
          <w:p w14:paraId="77F40E06" w14:textId="21BBF433" w:rsidR="00B21BBC" w:rsidRPr="00D91B35" w:rsidRDefault="00B21BBC" w:rsidP="002A5407">
            <w:pPr>
              <w:rPr>
                <w:rFonts w:ascii="Times New Roman" w:hAnsi="Times New Roman" w:cs="Times New Roman"/>
                <w:sz w:val="16"/>
                <w:szCs w:val="16"/>
              </w:rPr>
            </w:pPr>
            <w:r>
              <w:rPr>
                <w:rFonts w:ascii="Times New Roman" w:hAnsi="Times New Roman"/>
                <w:sz w:val="16"/>
              </w:rPr>
              <w:t>1 137</w:t>
            </w:r>
          </w:p>
        </w:tc>
        <w:tc>
          <w:tcPr>
            <w:tcW w:w="122" w:type="pct"/>
            <w:shd w:val="clear" w:color="auto" w:fill="FFFFFF" w:themeFill="background1"/>
          </w:tcPr>
          <w:p w14:paraId="68CAFD94" w14:textId="77777777" w:rsidR="00B21BBC" w:rsidRPr="00D91B35" w:rsidRDefault="00B21BBC" w:rsidP="002A5407">
            <w:pPr>
              <w:rPr>
                <w:rFonts w:ascii="Times New Roman" w:hAnsi="Times New Roman" w:cs="Times New Roman"/>
                <w:sz w:val="16"/>
                <w:szCs w:val="16"/>
              </w:rPr>
            </w:pPr>
          </w:p>
        </w:tc>
        <w:tc>
          <w:tcPr>
            <w:tcW w:w="183" w:type="pct"/>
            <w:shd w:val="clear" w:color="auto" w:fill="FFFFFF" w:themeFill="background1"/>
          </w:tcPr>
          <w:p w14:paraId="4E6F0B47" w14:textId="465E28E4" w:rsidR="00B21BBC" w:rsidRPr="00D91B35" w:rsidRDefault="00B21BBC" w:rsidP="002A5407">
            <w:pPr>
              <w:rPr>
                <w:rFonts w:ascii="Times New Roman" w:hAnsi="Times New Roman" w:cs="Times New Roman"/>
                <w:sz w:val="16"/>
                <w:szCs w:val="16"/>
              </w:rPr>
            </w:pPr>
            <w:r>
              <w:rPr>
                <w:rFonts w:ascii="Times New Roman" w:hAnsi="Times New Roman"/>
                <w:sz w:val="16"/>
              </w:rPr>
              <w:t>11</w:t>
            </w:r>
          </w:p>
        </w:tc>
        <w:tc>
          <w:tcPr>
            <w:tcW w:w="105" w:type="pct"/>
            <w:shd w:val="clear" w:color="auto" w:fill="FFFFFF" w:themeFill="background1"/>
          </w:tcPr>
          <w:p w14:paraId="15108DF2" w14:textId="77777777" w:rsidR="00B21BBC" w:rsidRPr="00D91B35" w:rsidRDefault="00B21BBC" w:rsidP="002A5407">
            <w:pPr>
              <w:rPr>
                <w:rFonts w:ascii="Times New Roman" w:hAnsi="Times New Roman" w:cs="Times New Roman"/>
                <w:sz w:val="16"/>
                <w:szCs w:val="16"/>
              </w:rPr>
            </w:pPr>
          </w:p>
        </w:tc>
        <w:tc>
          <w:tcPr>
            <w:tcW w:w="186" w:type="pct"/>
            <w:shd w:val="clear" w:color="auto" w:fill="FFFFFF" w:themeFill="background1"/>
          </w:tcPr>
          <w:p w14:paraId="372226A6" w14:textId="0EB97A0A" w:rsidR="00B21BBC" w:rsidRPr="00D91B35" w:rsidRDefault="00B21BBC" w:rsidP="002A5407">
            <w:pPr>
              <w:rPr>
                <w:rFonts w:ascii="Times New Roman" w:hAnsi="Times New Roman" w:cs="Times New Roman"/>
                <w:sz w:val="16"/>
                <w:szCs w:val="16"/>
              </w:rPr>
            </w:pPr>
            <w:r>
              <w:rPr>
                <w:rFonts w:ascii="Times New Roman" w:hAnsi="Times New Roman"/>
                <w:sz w:val="16"/>
              </w:rPr>
              <w:t>17</w:t>
            </w:r>
          </w:p>
        </w:tc>
        <w:tc>
          <w:tcPr>
            <w:tcW w:w="609" w:type="pct"/>
            <w:shd w:val="clear" w:color="auto" w:fill="FFFFFF" w:themeFill="background1"/>
          </w:tcPr>
          <w:p w14:paraId="34318ED0" w14:textId="77777777" w:rsidR="00B21BBC" w:rsidRPr="00D91B35" w:rsidRDefault="00B21BBC" w:rsidP="002A5407">
            <w:pPr>
              <w:rPr>
                <w:rFonts w:ascii="Times New Roman" w:hAnsi="Times New Roman" w:cs="Times New Roman"/>
                <w:sz w:val="16"/>
                <w:szCs w:val="16"/>
              </w:rPr>
            </w:pPr>
          </w:p>
        </w:tc>
        <w:tc>
          <w:tcPr>
            <w:tcW w:w="237" w:type="pct"/>
            <w:shd w:val="clear" w:color="auto" w:fill="FFFFFF" w:themeFill="background1"/>
          </w:tcPr>
          <w:p w14:paraId="6C40999A" w14:textId="0674C44E" w:rsidR="00B21BBC" w:rsidRPr="00D91B35" w:rsidRDefault="0076748E" w:rsidP="002A5407">
            <w:pPr>
              <w:rPr>
                <w:rFonts w:ascii="Times New Roman" w:hAnsi="Times New Roman" w:cs="Times New Roman"/>
                <w:sz w:val="16"/>
                <w:szCs w:val="16"/>
              </w:rPr>
            </w:pPr>
            <w:r>
              <w:rPr>
                <w:rFonts w:ascii="Times New Roman" w:hAnsi="Times New Roman"/>
                <w:sz w:val="16"/>
              </w:rPr>
              <w:t>878,0</w:t>
            </w:r>
          </w:p>
        </w:tc>
        <w:tc>
          <w:tcPr>
            <w:tcW w:w="251" w:type="pct"/>
            <w:shd w:val="clear" w:color="auto" w:fill="FFFFFF" w:themeFill="background1"/>
          </w:tcPr>
          <w:p w14:paraId="05519333" w14:textId="77777777" w:rsidR="00B21BBC" w:rsidRPr="00D91B35" w:rsidRDefault="00B21BBC" w:rsidP="002A5407">
            <w:pPr>
              <w:rPr>
                <w:rFonts w:ascii="Times New Roman" w:hAnsi="Times New Roman" w:cs="Times New Roman"/>
                <w:sz w:val="16"/>
                <w:szCs w:val="16"/>
              </w:rPr>
            </w:pPr>
          </w:p>
        </w:tc>
        <w:tc>
          <w:tcPr>
            <w:tcW w:w="237" w:type="pct"/>
            <w:shd w:val="clear" w:color="auto" w:fill="FFFFFF" w:themeFill="background1"/>
          </w:tcPr>
          <w:p w14:paraId="2588AE85" w14:textId="77777777" w:rsidR="00B21BBC" w:rsidRPr="00D91B35" w:rsidRDefault="00B21BBC" w:rsidP="002A5407">
            <w:pPr>
              <w:rPr>
                <w:rFonts w:ascii="Times New Roman" w:hAnsi="Times New Roman" w:cs="Times New Roman"/>
                <w:sz w:val="16"/>
                <w:szCs w:val="16"/>
              </w:rPr>
            </w:pPr>
          </w:p>
        </w:tc>
        <w:tc>
          <w:tcPr>
            <w:tcW w:w="237" w:type="pct"/>
            <w:shd w:val="clear" w:color="auto" w:fill="FFFFFF" w:themeFill="background1"/>
          </w:tcPr>
          <w:p w14:paraId="079BF77E" w14:textId="77777777" w:rsidR="00B21BBC" w:rsidRPr="00D91B35" w:rsidRDefault="00B21BBC" w:rsidP="002A5407">
            <w:pPr>
              <w:rPr>
                <w:rFonts w:ascii="Times New Roman" w:hAnsi="Times New Roman" w:cs="Times New Roman"/>
                <w:sz w:val="16"/>
                <w:szCs w:val="16"/>
              </w:rPr>
            </w:pPr>
          </w:p>
        </w:tc>
        <w:tc>
          <w:tcPr>
            <w:tcW w:w="237" w:type="pct"/>
            <w:shd w:val="clear" w:color="auto" w:fill="FFFFFF" w:themeFill="background1"/>
          </w:tcPr>
          <w:p w14:paraId="057241B8" w14:textId="0FDAF42B" w:rsidR="00B21BBC" w:rsidRPr="00D91B35" w:rsidRDefault="0076748E" w:rsidP="002A5407">
            <w:pPr>
              <w:rPr>
                <w:rFonts w:ascii="Times New Roman" w:hAnsi="Times New Roman" w:cs="Times New Roman"/>
                <w:sz w:val="16"/>
                <w:szCs w:val="16"/>
              </w:rPr>
            </w:pPr>
            <w:r>
              <w:rPr>
                <w:rFonts w:ascii="Times New Roman" w:hAnsi="Times New Roman"/>
                <w:sz w:val="16"/>
              </w:rPr>
              <w:t>1 231,0</w:t>
            </w:r>
          </w:p>
        </w:tc>
        <w:tc>
          <w:tcPr>
            <w:tcW w:w="237" w:type="pct"/>
            <w:shd w:val="clear" w:color="auto" w:fill="FFFFFF" w:themeFill="background1"/>
          </w:tcPr>
          <w:p w14:paraId="0B4FD204" w14:textId="77777777" w:rsidR="00B21BBC" w:rsidRPr="00D91B35" w:rsidRDefault="00B21BBC" w:rsidP="002A5407">
            <w:pPr>
              <w:rPr>
                <w:rFonts w:ascii="Times New Roman" w:hAnsi="Times New Roman" w:cs="Times New Roman"/>
                <w:sz w:val="16"/>
                <w:szCs w:val="16"/>
              </w:rPr>
            </w:pPr>
          </w:p>
        </w:tc>
      </w:tr>
      <w:tr w:rsidR="00B21BBC" w:rsidRPr="00D91B35" w14:paraId="0EE1C29F" w14:textId="77777777" w:rsidTr="008A656B">
        <w:tc>
          <w:tcPr>
            <w:tcW w:w="374" w:type="pct"/>
            <w:tcBorders>
              <w:bottom w:val="single" w:sz="4" w:space="0" w:color="auto"/>
            </w:tcBorders>
          </w:tcPr>
          <w:p w14:paraId="537C5699" w14:textId="77777777" w:rsidR="00B21BBC" w:rsidRPr="00D91B35" w:rsidRDefault="00B21BBC" w:rsidP="002A5407">
            <w:pPr>
              <w:rPr>
                <w:rFonts w:ascii="Times New Roman" w:hAnsi="Times New Roman" w:cs="Times New Roman"/>
                <w:b/>
                <w:bCs/>
                <w:sz w:val="16"/>
                <w:szCs w:val="16"/>
              </w:rPr>
            </w:pPr>
          </w:p>
        </w:tc>
        <w:tc>
          <w:tcPr>
            <w:tcW w:w="231" w:type="pct"/>
            <w:tcBorders>
              <w:bottom w:val="single" w:sz="4" w:space="0" w:color="auto"/>
            </w:tcBorders>
          </w:tcPr>
          <w:p w14:paraId="641306FE" w14:textId="77777777" w:rsidR="00B21BBC" w:rsidRPr="00D91B35" w:rsidRDefault="00B21BBC" w:rsidP="002A5407">
            <w:pPr>
              <w:rPr>
                <w:rFonts w:ascii="Times New Roman" w:hAnsi="Times New Roman" w:cs="Times New Roman"/>
                <w:b/>
                <w:bCs/>
                <w:sz w:val="16"/>
                <w:szCs w:val="16"/>
              </w:rPr>
            </w:pPr>
          </w:p>
        </w:tc>
        <w:tc>
          <w:tcPr>
            <w:tcW w:w="358" w:type="pct"/>
            <w:tcBorders>
              <w:bottom w:val="single" w:sz="4" w:space="0" w:color="auto"/>
            </w:tcBorders>
          </w:tcPr>
          <w:p w14:paraId="49002F31" w14:textId="705B1A09" w:rsidR="00B21BBC" w:rsidRPr="00D91B35" w:rsidRDefault="0076748E" w:rsidP="002A5407">
            <w:pPr>
              <w:rPr>
                <w:rFonts w:ascii="Times New Roman" w:hAnsi="Times New Roman" w:cs="Times New Roman"/>
                <w:b/>
                <w:bCs/>
                <w:sz w:val="16"/>
                <w:szCs w:val="16"/>
              </w:rPr>
            </w:pPr>
            <w:r>
              <w:rPr>
                <w:rFonts w:ascii="Times New Roman" w:hAnsi="Times New Roman"/>
                <w:b/>
                <w:sz w:val="16"/>
              </w:rPr>
              <w:t>Apvienotā Karaliste</w:t>
            </w:r>
          </w:p>
        </w:tc>
        <w:tc>
          <w:tcPr>
            <w:tcW w:w="359" w:type="pct"/>
            <w:tcBorders>
              <w:bottom w:val="single" w:sz="4" w:space="0" w:color="auto"/>
            </w:tcBorders>
          </w:tcPr>
          <w:p w14:paraId="271F3A60" w14:textId="7286EDF2" w:rsidR="00B21BBC" w:rsidRPr="00D91B35" w:rsidRDefault="0076748E" w:rsidP="0076748E">
            <w:pPr>
              <w:pStyle w:val="Default"/>
              <w:rPr>
                <w:sz w:val="16"/>
                <w:szCs w:val="16"/>
              </w:rPr>
            </w:pPr>
            <w:r>
              <w:rPr>
                <w:sz w:val="16"/>
              </w:rPr>
              <w:t>(Bates et al., 2011)</w:t>
            </w:r>
          </w:p>
        </w:tc>
        <w:tc>
          <w:tcPr>
            <w:tcW w:w="839" w:type="pct"/>
            <w:tcBorders>
              <w:bottom w:val="single" w:sz="4" w:space="0" w:color="auto"/>
            </w:tcBorders>
          </w:tcPr>
          <w:p w14:paraId="740F4AF7" w14:textId="5B723C9F" w:rsidR="00B21BBC" w:rsidRPr="00D91B35" w:rsidRDefault="00B21BBC" w:rsidP="002A5407">
            <w:pPr>
              <w:rPr>
                <w:rFonts w:ascii="Times New Roman" w:hAnsi="Times New Roman" w:cs="Times New Roman"/>
                <w:sz w:val="16"/>
                <w:szCs w:val="16"/>
              </w:rPr>
            </w:pPr>
            <w:r>
              <w:rPr>
                <w:rFonts w:ascii="Times New Roman" w:hAnsi="Times New Roman"/>
                <w:sz w:val="16"/>
              </w:rPr>
              <w:t>4 dienu uztura dienasgrāmata</w:t>
            </w:r>
          </w:p>
        </w:tc>
        <w:tc>
          <w:tcPr>
            <w:tcW w:w="196" w:type="pct"/>
            <w:tcBorders>
              <w:bottom w:val="single" w:sz="4" w:space="0" w:color="auto"/>
            </w:tcBorders>
            <w:shd w:val="clear" w:color="auto" w:fill="FFFFFF" w:themeFill="background1"/>
          </w:tcPr>
          <w:p w14:paraId="09BBDA9F" w14:textId="409D4AA1" w:rsidR="00B21BBC" w:rsidRPr="00D91B35" w:rsidRDefault="00B21BBC" w:rsidP="002A5407">
            <w:pPr>
              <w:rPr>
                <w:rFonts w:ascii="Times New Roman" w:hAnsi="Times New Roman" w:cs="Times New Roman"/>
                <w:sz w:val="16"/>
                <w:szCs w:val="16"/>
              </w:rPr>
            </w:pPr>
            <w:r>
              <w:rPr>
                <w:rFonts w:ascii="Times New Roman" w:hAnsi="Times New Roman"/>
                <w:sz w:val="16"/>
              </w:rPr>
              <w:t>453</w:t>
            </w:r>
          </w:p>
        </w:tc>
        <w:tc>
          <w:tcPr>
            <w:tcW w:w="122" w:type="pct"/>
            <w:tcBorders>
              <w:bottom w:val="single" w:sz="4" w:space="0" w:color="auto"/>
            </w:tcBorders>
            <w:shd w:val="clear" w:color="auto" w:fill="FFFFFF" w:themeFill="background1"/>
          </w:tcPr>
          <w:p w14:paraId="06BEC707" w14:textId="77777777" w:rsidR="00B21BBC" w:rsidRPr="00D91B35" w:rsidRDefault="00B21BBC" w:rsidP="002A5407">
            <w:pPr>
              <w:rPr>
                <w:rFonts w:ascii="Times New Roman" w:hAnsi="Times New Roman" w:cs="Times New Roman"/>
                <w:sz w:val="16"/>
                <w:szCs w:val="16"/>
              </w:rPr>
            </w:pPr>
          </w:p>
        </w:tc>
        <w:tc>
          <w:tcPr>
            <w:tcW w:w="183" w:type="pct"/>
            <w:tcBorders>
              <w:bottom w:val="single" w:sz="4" w:space="0" w:color="auto"/>
            </w:tcBorders>
            <w:shd w:val="clear" w:color="auto" w:fill="FFFFFF" w:themeFill="background1"/>
          </w:tcPr>
          <w:p w14:paraId="5FE61309" w14:textId="11149020" w:rsidR="00B21BBC" w:rsidRPr="00D91B35" w:rsidRDefault="00B21BBC" w:rsidP="002A5407">
            <w:pPr>
              <w:rPr>
                <w:rFonts w:ascii="Times New Roman" w:hAnsi="Times New Roman" w:cs="Times New Roman"/>
                <w:sz w:val="16"/>
                <w:szCs w:val="16"/>
              </w:rPr>
            </w:pPr>
            <w:r>
              <w:rPr>
                <w:rFonts w:ascii="Times New Roman" w:hAnsi="Times New Roman"/>
                <w:sz w:val="16"/>
              </w:rPr>
              <w:t>11</w:t>
            </w:r>
          </w:p>
        </w:tc>
        <w:tc>
          <w:tcPr>
            <w:tcW w:w="105" w:type="pct"/>
            <w:tcBorders>
              <w:bottom w:val="single" w:sz="4" w:space="0" w:color="auto"/>
            </w:tcBorders>
            <w:shd w:val="clear" w:color="auto" w:fill="FFFFFF" w:themeFill="background1"/>
          </w:tcPr>
          <w:p w14:paraId="187522A7" w14:textId="77777777" w:rsidR="00B21BBC" w:rsidRPr="00D91B35" w:rsidRDefault="00B21BBC" w:rsidP="002A5407">
            <w:pPr>
              <w:rPr>
                <w:rFonts w:ascii="Times New Roman" w:hAnsi="Times New Roman" w:cs="Times New Roman"/>
                <w:sz w:val="16"/>
                <w:szCs w:val="16"/>
              </w:rPr>
            </w:pPr>
          </w:p>
        </w:tc>
        <w:tc>
          <w:tcPr>
            <w:tcW w:w="186" w:type="pct"/>
            <w:tcBorders>
              <w:bottom w:val="single" w:sz="4" w:space="0" w:color="auto"/>
            </w:tcBorders>
            <w:shd w:val="clear" w:color="auto" w:fill="FFFFFF" w:themeFill="background1"/>
          </w:tcPr>
          <w:p w14:paraId="60BF2719" w14:textId="0DB2698A" w:rsidR="00B21BBC" w:rsidRPr="00D91B35" w:rsidRDefault="00B21BBC" w:rsidP="002A5407">
            <w:pPr>
              <w:rPr>
                <w:rFonts w:ascii="Times New Roman" w:hAnsi="Times New Roman" w:cs="Times New Roman"/>
                <w:sz w:val="16"/>
                <w:szCs w:val="16"/>
              </w:rPr>
            </w:pPr>
            <w:r>
              <w:rPr>
                <w:rFonts w:ascii="Times New Roman" w:hAnsi="Times New Roman"/>
                <w:sz w:val="16"/>
              </w:rPr>
              <w:t>18</w:t>
            </w:r>
          </w:p>
        </w:tc>
        <w:tc>
          <w:tcPr>
            <w:tcW w:w="609" w:type="pct"/>
            <w:tcBorders>
              <w:bottom w:val="single" w:sz="4" w:space="0" w:color="auto"/>
            </w:tcBorders>
            <w:shd w:val="clear" w:color="auto" w:fill="FFFFFF" w:themeFill="background1"/>
          </w:tcPr>
          <w:p w14:paraId="204BE065" w14:textId="77777777" w:rsidR="00B21BBC" w:rsidRPr="00D91B35" w:rsidRDefault="00B21BBC" w:rsidP="002A5407">
            <w:pPr>
              <w:rPr>
                <w:rFonts w:ascii="Times New Roman" w:hAnsi="Times New Roman" w:cs="Times New Roman"/>
                <w:sz w:val="16"/>
                <w:szCs w:val="16"/>
              </w:rPr>
            </w:pPr>
          </w:p>
        </w:tc>
        <w:tc>
          <w:tcPr>
            <w:tcW w:w="237" w:type="pct"/>
            <w:tcBorders>
              <w:bottom w:val="single" w:sz="4" w:space="0" w:color="auto"/>
            </w:tcBorders>
            <w:shd w:val="clear" w:color="auto" w:fill="FFFFFF" w:themeFill="background1"/>
          </w:tcPr>
          <w:p w14:paraId="19EC5544" w14:textId="1B684542" w:rsidR="00B21BBC" w:rsidRPr="00D91B35" w:rsidRDefault="0076748E" w:rsidP="002A5407">
            <w:pPr>
              <w:rPr>
                <w:rFonts w:ascii="Times New Roman" w:hAnsi="Times New Roman" w:cs="Times New Roman"/>
                <w:sz w:val="16"/>
                <w:szCs w:val="16"/>
              </w:rPr>
            </w:pPr>
            <w:r>
              <w:rPr>
                <w:rFonts w:ascii="Times New Roman" w:hAnsi="Times New Roman"/>
                <w:sz w:val="16"/>
              </w:rPr>
              <w:t>785,0</w:t>
            </w:r>
          </w:p>
        </w:tc>
        <w:tc>
          <w:tcPr>
            <w:tcW w:w="251" w:type="pct"/>
            <w:tcBorders>
              <w:bottom w:val="single" w:sz="4" w:space="0" w:color="auto"/>
            </w:tcBorders>
            <w:shd w:val="clear" w:color="auto" w:fill="FFFFFF" w:themeFill="background1"/>
          </w:tcPr>
          <w:p w14:paraId="1A8FCBA0" w14:textId="77777777" w:rsidR="00B21BBC" w:rsidRPr="00D91B35" w:rsidRDefault="00B21BBC" w:rsidP="002A5407">
            <w:pPr>
              <w:rPr>
                <w:rFonts w:ascii="Times New Roman" w:hAnsi="Times New Roman" w:cs="Times New Roman"/>
                <w:sz w:val="16"/>
                <w:szCs w:val="16"/>
              </w:rPr>
            </w:pPr>
          </w:p>
        </w:tc>
        <w:tc>
          <w:tcPr>
            <w:tcW w:w="237" w:type="pct"/>
            <w:tcBorders>
              <w:bottom w:val="single" w:sz="4" w:space="0" w:color="auto"/>
            </w:tcBorders>
            <w:shd w:val="clear" w:color="auto" w:fill="FFFFFF" w:themeFill="background1"/>
          </w:tcPr>
          <w:p w14:paraId="19837C43" w14:textId="77777777" w:rsidR="00B21BBC" w:rsidRPr="00D91B35" w:rsidRDefault="00B21BBC" w:rsidP="002A5407">
            <w:pPr>
              <w:rPr>
                <w:rFonts w:ascii="Times New Roman" w:hAnsi="Times New Roman" w:cs="Times New Roman"/>
                <w:sz w:val="16"/>
                <w:szCs w:val="16"/>
              </w:rPr>
            </w:pPr>
          </w:p>
        </w:tc>
        <w:tc>
          <w:tcPr>
            <w:tcW w:w="237" w:type="pct"/>
            <w:tcBorders>
              <w:bottom w:val="single" w:sz="4" w:space="0" w:color="auto"/>
            </w:tcBorders>
            <w:shd w:val="clear" w:color="auto" w:fill="FFFFFF" w:themeFill="background1"/>
          </w:tcPr>
          <w:p w14:paraId="6442E696" w14:textId="77777777" w:rsidR="00B21BBC" w:rsidRPr="00D91B35" w:rsidRDefault="00B21BBC" w:rsidP="002A5407">
            <w:pPr>
              <w:rPr>
                <w:rFonts w:ascii="Times New Roman" w:hAnsi="Times New Roman" w:cs="Times New Roman"/>
                <w:sz w:val="16"/>
                <w:szCs w:val="16"/>
              </w:rPr>
            </w:pPr>
          </w:p>
        </w:tc>
        <w:tc>
          <w:tcPr>
            <w:tcW w:w="237" w:type="pct"/>
            <w:tcBorders>
              <w:bottom w:val="single" w:sz="4" w:space="0" w:color="auto"/>
            </w:tcBorders>
            <w:shd w:val="clear" w:color="auto" w:fill="FFFFFF" w:themeFill="background1"/>
          </w:tcPr>
          <w:p w14:paraId="7594F6EF" w14:textId="77777777" w:rsidR="00B21BBC" w:rsidRPr="00D91B35" w:rsidRDefault="00B21BBC" w:rsidP="002A5407">
            <w:pPr>
              <w:rPr>
                <w:rFonts w:ascii="Times New Roman" w:hAnsi="Times New Roman" w:cs="Times New Roman"/>
                <w:sz w:val="16"/>
                <w:szCs w:val="16"/>
              </w:rPr>
            </w:pPr>
          </w:p>
        </w:tc>
        <w:tc>
          <w:tcPr>
            <w:tcW w:w="237" w:type="pct"/>
            <w:tcBorders>
              <w:bottom w:val="single" w:sz="4" w:space="0" w:color="auto"/>
            </w:tcBorders>
            <w:shd w:val="clear" w:color="auto" w:fill="FFFFFF" w:themeFill="background1"/>
          </w:tcPr>
          <w:p w14:paraId="6ED224FC" w14:textId="5F3DE096" w:rsidR="00B21BBC" w:rsidRPr="00D91B35" w:rsidRDefault="0076748E" w:rsidP="002A5407">
            <w:pPr>
              <w:rPr>
                <w:rFonts w:ascii="Times New Roman" w:hAnsi="Times New Roman" w:cs="Times New Roman"/>
                <w:sz w:val="16"/>
                <w:szCs w:val="16"/>
              </w:rPr>
            </w:pPr>
            <w:r>
              <w:rPr>
                <w:rFonts w:ascii="Times New Roman" w:hAnsi="Times New Roman"/>
                <w:sz w:val="16"/>
              </w:rPr>
              <w:t>1 522,0</w:t>
            </w:r>
          </w:p>
        </w:tc>
      </w:tr>
      <w:tr w:rsidR="00B21BBC" w:rsidRPr="00D91B35" w14:paraId="0721ACA5" w14:textId="77777777" w:rsidTr="008A656B">
        <w:tc>
          <w:tcPr>
            <w:tcW w:w="374" w:type="pct"/>
            <w:tcBorders>
              <w:top w:val="single" w:sz="4" w:space="0" w:color="auto"/>
              <w:bottom w:val="single" w:sz="4" w:space="0" w:color="auto"/>
            </w:tcBorders>
          </w:tcPr>
          <w:p w14:paraId="221C432B" w14:textId="087D325D" w:rsidR="00B21BBC" w:rsidRPr="00D91B35" w:rsidRDefault="0076748E" w:rsidP="002A5407">
            <w:pPr>
              <w:rPr>
                <w:rFonts w:ascii="Times New Roman" w:hAnsi="Times New Roman" w:cs="Times New Roman"/>
                <w:b/>
                <w:bCs/>
                <w:sz w:val="16"/>
                <w:szCs w:val="16"/>
              </w:rPr>
            </w:pPr>
            <w:r>
              <w:rPr>
                <w:rFonts w:ascii="Times New Roman" w:hAnsi="Times New Roman"/>
                <w:b/>
                <w:sz w:val="16"/>
              </w:rPr>
              <w:t>Bagātinātāji</w:t>
            </w:r>
          </w:p>
        </w:tc>
        <w:tc>
          <w:tcPr>
            <w:tcW w:w="231" w:type="pct"/>
            <w:tcBorders>
              <w:top w:val="single" w:sz="4" w:space="0" w:color="auto"/>
              <w:bottom w:val="single" w:sz="4" w:space="0" w:color="auto"/>
            </w:tcBorders>
          </w:tcPr>
          <w:p w14:paraId="31499F9D" w14:textId="5348B10F" w:rsidR="00B21BBC" w:rsidRPr="00D91B35" w:rsidRDefault="0076748E" w:rsidP="002A5407">
            <w:pPr>
              <w:rPr>
                <w:rFonts w:ascii="Times New Roman" w:hAnsi="Times New Roman" w:cs="Times New Roman"/>
                <w:b/>
                <w:bCs/>
                <w:sz w:val="16"/>
                <w:szCs w:val="16"/>
              </w:rPr>
            </w:pPr>
            <w:r>
              <w:rPr>
                <w:rFonts w:ascii="Times New Roman" w:hAnsi="Times New Roman"/>
                <w:b/>
                <w:sz w:val="16"/>
              </w:rPr>
              <w:t>Meitenes</w:t>
            </w:r>
          </w:p>
        </w:tc>
        <w:tc>
          <w:tcPr>
            <w:tcW w:w="358" w:type="pct"/>
            <w:tcBorders>
              <w:top w:val="single" w:sz="4" w:space="0" w:color="auto"/>
              <w:bottom w:val="single" w:sz="4" w:space="0" w:color="auto"/>
            </w:tcBorders>
          </w:tcPr>
          <w:p w14:paraId="707D1F73" w14:textId="24E81895" w:rsidR="00B21BBC" w:rsidRPr="00D91B35" w:rsidRDefault="0076748E" w:rsidP="002A5407">
            <w:pPr>
              <w:rPr>
                <w:rFonts w:ascii="Times New Roman" w:hAnsi="Times New Roman" w:cs="Times New Roman"/>
                <w:b/>
                <w:bCs/>
                <w:sz w:val="16"/>
                <w:szCs w:val="16"/>
              </w:rPr>
            </w:pPr>
            <w:r>
              <w:rPr>
                <w:rFonts w:ascii="Times New Roman" w:hAnsi="Times New Roman"/>
                <w:b/>
                <w:sz w:val="16"/>
              </w:rPr>
              <w:t>Vācija</w:t>
            </w:r>
          </w:p>
        </w:tc>
        <w:tc>
          <w:tcPr>
            <w:tcW w:w="359" w:type="pct"/>
            <w:tcBorders>
              <w:top w:val="single" w:sz="4" w:space="0" w:color="auto"/>
              <w:bottom w:val="single" w:sz="4" w:space="0" w:color="auto"/>
            </w:tcBorders>
          </w:tcPr>
          <w:p w14:paraId="0B2C81AE" w14:textId="179EE99E" w:rsidR="00B21BBC" w:rsidRPr="00D91B35" w:rsidRDefault="0076748E" w:rsidP="002A5407">
            <w:pPr>
              <w:rPr>
                <w:rFonts w:ascii="Times New Roman" w:hAnsi="Times New Roman" w:cs="Times New Roman"/>
                <w:sz w:val="16"/>
                <w:szCs w:val="16"/>
              </w:rPr>
            </w:pPr>
            <w:r>
              <w:rPr>
                <w:rFonts w:ascii="Times New Roman" w:hAnsi="Times New Roman"/>
                <w:sz w:val="16"/>
              </w:rPr>
              <w:t>(MRI, 2008)</w:t>
            </w:r>
          </w:p>
        </w:tc>
        <w:tc>
          <w:tcPr>
            <w:tcW w:w="839" w:type="pct"/>
            <w:tcBorders>
              <w:top w:val="single" w:sz="4" w:space="0" w:color="auto"/>
              <w:bottom w:val="single" w:sz="4" w:space="0" w:color="auto"/>
            </w:tcBorders>
          </w:tcPr>
          <w:p w14:paraId="4577B046" w14:textId="1228F238" w:rsidR="00B21BBC" w:rsidRPr="00D91B35" w:rsidRDefault="00B21BBC" w:rsidP="00B21BBC">
            <w:pPr>
              <w:pStyle w:val="Default"/>
              <w:rPr>
                <w:sz w:val="16"/>
                <w:szCs w:val="16"/>
              </w:rPr>
            </w:pPr>
            <w:r>
              <w:rPr>
                <w:sz w:val="16"/>
              </w:rPr>
              <w:t>24 stundu atcerēšanās anketa + uztura vēsture</w:t>
            </w:r>
          </w:p>
        </w:tc>
        <w:tc>
          <w:tcPr>
            <w:tcW w:w="196" w:type="pct"/>
            <w:tcBorders>
              <w:top w:val="single" w:sz="4" w:space="0" w:color="auto"/>
              <w:bottom w:val="single" w:sz="4" w:space="0" w:color="auto"/>
            </w:tcBorders>
            <w:shd w:val="clear" w:color="auto" w:fill="FFFFFF" w:themeFill="background1"/>
          </w:tcPr>
          <w:p w14:paraId="1BB252E3" w14:textId="04ABA0DE" w:rsidR="00B21BBC" w:rsidRPr="00D91B35" w:rsidRDefault="00B21BBC" w:rsidP="002A5407">
            <w:pPr>
              <w:rPr>
                <w:rFonts w:ascii="Times New Roman" w:hAnsi="Times New Roman" w:cs="Times New Roman"/>
                <w:sz w:val="16"/>
                <w:szCs w:val="16"/>
              </w:rPr>
            </w:pPr>
            <w:r>
              <w:rPr>
                <w:rFonts w:ascii="Times New Roman" w:hAnsi="Times New Roman"/>
                <w:sz w:val="16"/>
              </w:rPr>
              <w:t>34</w:t>
            </w:r>
          </w:p>
        </w:tc>
        <w:tc>
          <w:tcPr>
            <w:tcW w:w="122" w:type="pct"/>
            <w:tcBorders>
              <w:top w:val="single" w:sz="4" w:space="0" w:color="auto"/>
              <w:bottom w:val="single" w:sz="4" w:space="0" w:color="auto"/>
            </w:tcBorders>
            <w:shd w:val="clear" w:color="auto" w:fill="FFFFFF" w:themeFill="background1"/>
          </w:tcPr>
          <w:p w14:paraId="23227FB2" w14:textId="77777777" w:rsidR="00B21BBC" w:rsidRPr="00D91B35" w:rsidRDefault="00B21BBC" w:rsidP="002A5407">
            <w:pPr>
              <w:rPr>
                <w:rFonts w:ascii="Times New Roman" w:hAnsi="Times New Roman" w:cs="Times New Roman"/>
                <w:sz w:val="16"/>
                <w:szCs w:val="16"/>
              </w:rPr>
            </w:pPr>
          </w:p>
        </w:tc>
        <w:tc>
          <w:tcPr>
            <w:tcW w:w="183" w:type="pct"/>
            <w:tcBorders>
              <w:top w:val="single" w:sz="4" w:space="0" w:color="auto"/>
              <w:bottom w:val="single" w:sz="4" w:space="0" w:color="auto"/>
            </w:tcBorders>
            <w:shd w:val="clear" w:color="auto" w:fill="FFFFFF" w:themeFill="background1"/>
          </w:tcPr>
          <w:p w14:paraId="7D899019" w14:textId="239953D2" w:rsidR="00B21BBC" w:rsidRPr="00D91B35" w:rsidRDefault="00B21BBC" w:rsidP="002A5407">
            <w:pPr>
              <w:rPr>
                <w:rFonts w:ascii="Times New Roman" w:hAnsi="Times New Roman" w:cs="Times New Roman"/>
                <w:sz w:val="16"/>
                <w:szCs w:val="16"/>
              </w:rPr>
            </w:pPr>
            <w:r>
              <w:rPr>
                <w:rFonts w:ascii="Times New Roman" w:hAnsi="Times New Roman"/>
                <w:sz w:val="16"/>
              </w:rPr>
              <w:t>14</w:t>
            </w:r>
          </w:p>
        </w:tc>
        <w:tc>
          <w:tcPr>
            <w:tcW w:w="105" w:type="pct"/>
            <w:tcBorders>
              <w:top w:val="single" w:sz="4" w:space="0" w:color="auto"/>
              <w:bottom w:val="single" w:sz="4" w:space="0" w:color="auto"/>
            </w:tcBorders>
            <w:shd w:val="clear" w:color="auto" w:fill="FFFFFF" w:themeFill="background1"/>
          </w:tcPr>
          <w:p w14:paraId="216A1761" w14:textId="77777777" w:rsidR="00B21BBC" w:rsidRPr="00D91B35" w:rsidRDefault="00B21BBC" w:rsidP="002A5407">
            <w:pPr>
              <w:rPr>
                <w:rFonts w:ascii="Times New Roman" w:hAnsi="Times New Roman" w:cs="Times New Roman"/>
                <w:sz w:val="16"/>
                <w:szCs w:val="16"/>
              </w:rPr>
            </w:pPr>
          </w:p>
        </w:tc>
        <w:tc>
          <w:tcPr>
            <w:tcW w:w="186" w:type="pct"/>
            <w:tcBorders>
              <w:top w:val="single" w:sz="4" w:space="0" w:color="auto"/>
              <w:bottom w:val="single" w:sz="4" w:space="0" w:color="auto"/>
            </w:tcBorders>
            <w:shd w:val="clear" w:color="auto" w:fill="FFFFFF" w:themeFill="background1"/>
          </w:tcPr>
          <w:p w14:paraId="7E0FA74C" w14:textId="3B4C5472" w:rsidR="00B21BBC" w:rsidRPr="00D91B35" w:rsidRDefault="00B21BBC" w:rsidP="002A5407">
            <w:pPr>
              <w:rPr>
                <w:rFonts w:ascii="Times New Roman" w:hAnsi="Times New Roman" w:cs="Times New Roman"/>
                <w:sz w:val="16"/>
                <w:szCs w:val="16"/>
              </w:rPr>
            </w:pPr>
            <w:r>
              <w:rPr>
                <w:rFonts w:ascii="Times New Roman" w:hAnsi="Times New Roman"/>
                <w:sz w:val="16"/>
              </w:rPr>
              <w:t>18</w:t>
            </w:r>
          </w:p>
        </w:tc>
        <w:tc>
          <w:tcPr>
            <w:tcW w:w="609" w:type="pct"/>
            <w:tcBorders>
              <w:top w:val="single" w:sz="4" w:space="0" w:color="auto"/>
              <w:bottom w:val="single" w:sz="4" w:space="0" w:color="auto"/>
            </w:tcBorders>
            <w:shd w:val="clear" w:color="auto" w:fill="FFFFFF" w:themeFill="background1"/>
          </w:tcPr>
          <w:p w14:paraId="3991FE41" w14:textId="77777777" w:rsidR="00B21BBC" w:rsidRPr="00D91B35" w:rsidRDefault="00B21BBC" w:rsidP="002A5407">
            <w:pPr>
              <w:rPr>
                <w:rFonts w:ascii="Times New Roman" w:hAnsi="Times New Roman" w:cs="Times New Roman"/>
                <w:sz w:val="16"/>
                <w:szCs w:val="16"/>
              </w:rPr>
            </w:pPr>
          </w:p>
        </w:tc>
        <w:tc>
          <w:tcPr>
            <w:tcW w:w="237" w:type="pct"/>
            <w:tcBorders>
              <w:top w:val="single" w:sz="4" w:space="0" w:color="auto"/>
              <w:bottom w:val="single" w:sz="4" w:space="0" w:color="auto"/>
            </w:tcBorders>
            <w:shd w:val="clear" w:color="auto" w:fill="FFFFFF" w:themeFill="background1"/>
          </w:tcPr>
          <w:p w14:paraId="30D3CFF7" w14:textId="0E752547" w:rsidR="00B21BBC" w:rsidRPr="00D91B35" w:rsidRDefault="0076748E" w:rsidP="002A5407">
            <w:pPr>
              <w:rPr>
                <w:rFonts w:ascii="Times New Roman" w:hAnsi="Times New Roman" w:cs="Times New Roman"/>
                <w:sz w:val="16"/>
                <w:szCs w:val="16"/>
              </w:rPr>
            </w:pPr>
            <w:r>
              <w:rPr>
                <w:rFonts w:ascii="Times New Roman" w:hAnsi="Times New Roman"/>
                <w:sz w:val="16"/>
              </w:rPr>
              <w:t>189,0</w:t>
            </w:r>
          </w:p>
        </w:tc>
        <w:tc>
          <w:tcPr>
            <w:tcW w:w="251" w:type="pct"/>
            <w:tcBorders>
              <w:top w:val="single" w:sz="4" w:space="0" w:color="auto"/>
              <w:bottom w:val="single" w:sz="4" w:space="0" w:color="auto"/>
            </w:tcBorders>
            <w:shd w:val="clear" w:color="auto" w:fill="FFFFFF" w:themeFill="background1"/>
          </w:tcPr>
          <w:p w14:paraId="48DE1417" w14:textId="77777777" w:rsidR="00B21BBC" w:rsidRPr="00D91B35" w:rsidRDefault="00B21BBC" w:rsidP="002A5407">
            <w:pPr>
              <w:rPr>
                <w:rFonts w:ascii="Times New Roman" w:hAnsi="Times New Roman" w:cs="Times New Roman"/>
                <w:sz w:val="16"/>
                <w:szCs w:val="16"/>
              </w:rPr>
            </w:pPr>
          </w:p>
        </w:tc>
        <w:tc>
          <w:tcPr>
            <w:tcW w:w="237" w:type="pct"/>
            <w:tcBorders>
              <w:top w:val="single" w:sz="4" w:space="0" w:color="auto"/>
              <w:bottom w:val="single" w:sz="4" w:space="0" w:color="auto"/>
            </w:tcBorders>
            <w:shd w:val="clear" w:color="auto" w:fill="FFFFFF" w:themeFill="background1"/>
          </w:tcPr>
          <w:p w14:paraId="0AB59CA3" w14:textId="77777777" w:rsidR="00B21BBC" w:rsidRPr="00D91B35" w:rsidRDefault="00B21BBC" w:rsidP="002A5407">
            <w:pPr>
              <w:rPr>
                <w:rFonts w:ascii="Times New Roman" w:hAnsi="Times New Roman" w:cs="Times New Roman"/>
                <w:sz w:val="16"/>
                <w:szCs w:val="16"/>
              </w:rPr>
            </w:pPr>
          </w:p>
        </w:tc>
        <w:tc>
          <w:tcPr>
            <w:tcW w:w="237" w:type="pct"/>
            <w:tcBorders>
              <w:top w:val="single" w:sz="4" w:space="0" w:color="auto"/>
              <w:bottom w:val="single" w:sz="4" w:space="0" w:color="auto"/>
            </w:tcBorders>
            <w:shd w:val="clear" w:color="auto" w:fill="FFFFFF" w:themeFill="background1"/>
          </w:tcPr>
          <w:p w14:paraId="7446CA5D" w14:textId="77777777" w:rsidR="00B21BBC" w:rsidRPr="00D91B35" w:rsidRDefault="00B21BBC" w:rsidP="002A5407">
            <w:pPr>
              <w:rPr>
                <w:rFonts w:ascii="Times New Roman" w:hAnsi="Times New Roman" w:cs="Times New Roman"/>
                <w:sz w:val="16"/>
                <w:szCs w:val="16"/>
              </w:rPr>
            </w:pPr>
          </w:p>
        </w:tc>
        <w:tc>
          <w:tcPr>
            <w:tcW w:w="237" w:type="pct"/>
            <w:tcBorders>
              <w:top w:val="single" w:sz="4" w:space="0" w:color="auto"/>
              <w:bottom w:val="single" w:sz="4" w:space="0" w:color="auto"/>
            </w:tcBorders>
            <w:shd w:val="clear" w:color="auto" w:fill="FFFFFF" w:themeFill="background1"/>
          </w:tcPr>
          <w:p w14:paraId="5ACE57FB" w14:textId="08441988" w:rsidR="00B21BBC" w:rsidRPr="00D91B35" w:rsidRDefault="0076748E" w:rsidP="002A5407">
            <w:pPr>
              <w:rPr>
                <w:rFonts w:ascii="Times New Roman" w:hAnsi="Times New Roman" w:cs="Times New Roman"/>
                <w:sz w:val="16"/>
                <w:szCs w:val="16"/>
              </w:rPr>
            </w:pPr>
            <w:r>
              <w:rPr>
                <w:rFonts w:ascii="Times New Roman" w:hAnsi="Times New Roman"/>
                <w:sz w:val="16"/>
              </w:rPr>
              <w:t>1 000,0</w:t>
            </w:r>
          </w:p>
        </w:tc>
        <w:tc>
          <w:tcPr>
            <w:tcW w:w="237" w:type="pct"/>
            <w:tcBorders>
              <w:top w:val="single" w:sz="4" w:space="0" w:color="auto"/>
              <w:bottom w:val="single" w:sz="4" w:space="0" w:color="auto"/>
            </w:tcBorders>
            <w:shd w:val="clear" w:color="auto" w:fill="FFFFFF" w:themeFill="background1"/>
          </w:tcPr>
          <w:p w14:paraId="39121E50" w14:textId="77777777" w:rsidR="00B21BBC" w:rsidRPr="00D91B35" w:rsidRDefault="00B21BBC" w:rsidP="002A5407">
            <w:pPr>
              <w:rPr>
                <w:rFonts w:ascii="Times New Roman" w:hAnsi="Times New Roman" w:cs="Times New Roman"/>
                <w:sz w:val="16"/>
                <w:szCs w:val="16"/>
              </w:rPr>
            </w:pPr>
          </w:p>
        </w:tc>
      </w:tr>
      <w:tr w:rsidR="00B21BBC" w:rsidRPr="00D91B35" w14:paraId="7FA0074B" w14:textId="77777777" w:rsidTr="008A656B">
        <w:tc>
          <w:tcPr>
            <w:tcW w:w="374" w:type="pct"/>
            <w:tcBorders>
              <w:top w:val="single" w:sz="4" w:space="0" w:color="auto"/>
              <w:bottom w:val="single" w:sz="4" w:space="0" w:color="auto"/>
            </w:tcBorders>
          </w:tcPr>
          <w:p w14:paraId="167EF4DC" w14:textId="70BFB523" w:rsidR="00B21BBC" w:rsidRPr="00D91B35" w:rsidRDefault="0076748E" w:rsidP="002A5407">
            <w:pPr>
              <w:rPr>
                <w:rFonts w:ascii="Times New Roman" w:hAnsi="Times New Roman" w:cs="Times New Roman"/>
                <w:b/>
                <w:bCs/>
                <w:sz w:val="16"/>
                <w:szCs w:val="16"/>
              </w:rPr>
            </w:pPr>
            <w:r>
              <w:rPr>
                <w:rFonts w:ascii="Times New Roman" w:hAnsi="Times New Roman"/>
                <w:b/>
                <w:sz w:val="16"/>
              </w:rPr>
              <w:t>Bagātinātāji</w:t>
            </w:r>
          </w:p>
        </w:tc>
        <w:tc>
          <w:tcPr>
            <w:tcW w:w="231" w:type="pct"/>
            <w:tcBorders>
              <w:top w:val="single" w:sz="4" w:space="0" w:color="auto"/>
              <w:bottom w:val="single" w:sz="4" w:space="0" w:color="auto"/>
            </w:tcBorders>
          </w:tcPr>
          <w:p w14:paraId="1F845877" w14:textId="7A6E36C8" w:rsidR="00B21BBC" w:rsidRPr="00D91B35" w:rsidRDefault="0076748E" w:rsidP="002A5407">
            <w:pPr>
              <w:rPr>
                <w:rFonts w:ascii="Times New Roman" w:hAnsi="Times New Roman" w:cs="Times New Roman"/>
                <w:b/>
                <w:bCs/>
                <w:sz w:val="16"/>
                <w:szCs w:val="16"/>
              </w:rPr>
            </w:pPr>
            <w:r>
              <w:rPr>
                <w:rFonts w:ascii="Times New Roman" w:hAnsi="Times New Roman"/>
                <w:b/>
                <w:sz w:val="16"/>
              </w:rPr>
              <w:t>Zēni</w:t>
            </w:r>
          </w:p>
        </w:tc>
        <w:tc>
          <w:tcPr>
            <w:tcW w:w="358" w:type="pct"/>
            <w:tcBorders>
              <w:top w:val="single" w:sz="4" w:space="0" w:color="auto"/>
              <w:bottom w:val="single" w:sz="4" w:space="0" w:color="auto"/>
            </w:tcBorders>
          </w:tcPr>
          <w:p w14:paraId="33429E14" w14:textId="0924C5F3" w:rsidR="00B21BBC" w:rsidRPr="00D91B35" w:rsidRDefault="0076748E" w:rsidP="002A5407">
            <w:pPr>
              <w:rPr>
                <w:rFonts w:ascii="Times New Roman" w:hAnsi="Times New Roman" w:cs="Times New Roman"/>
                <w:b/>
                <w:bCs/>
                <w:sz w:val="16"/>
                <w:szCs w:val="16"/>
              </w:rPr>
            </w:pPr>
            <w:r>
              <w:rPr>
                <w:rFonts w:ascii="Times New Roman" w:hAnsi="Times New Roman"/>
                <w:b/>
                <w:sz w:val="16"/>
              </w:rPr>
              <w:t>Vācija</w:t>
            </w:r>
          </w:p>
        </w:tc>
        <w:tc>
          <w:tcPr>
            <w:tcW w:w="359" w:type="pct"/>
            <w:tcBorders>
              <w:top w:val="single" w:sz="4" w:space="0" w:color="auto"/>
              <w:bottom w:val="single" w:sz="4" w:space="0" w:color="auto"/>
            </w:tcBorders>
          </w:tcPr>
          <w:p w14:paraId="1DB73EBC" w14:textId="24AA29A9" w:rsidR="00B21BBC" w:rsidRPr="00D91B35" w:rsidRDefault="0076748E" w:rsidP="002A5407">
            <w:pPr>
              <w:rPr>
                <w:rFonts w:ascii="Times New Roman" w:hAnsi="Times New Roman" w:cs="Times New Roman"/>
                <w:sz w:val="16"/>
                <w:szCs w:val="16"/>
              </w:rPr>
            </w:pPr>
            <w:r>
              <w:rPr>
                <w:rFonts w:ascii="Times New Roman" w:hAnsi="Times New Roman"/>
                <w:sz w:val="16"/>
              </w:rPr>
              <w:t>(MRI, 2008)</w:t>
            </w:r>
          </w:p>
        </w:tc>
        <w:tc>
          <w:tcPr>
            <w:tcW w:w="839" w:type="pct"/>
            <w:tcBorders>
              <w:top w:val="single" w:sz="4" w:space="0" w:color="auto"/>
              <w:bottom w:val="single" w:sz="4" w:space="0" w:color="auto"/>
            </w:tcBorders>
          </w:tcPr>
          <w:p w14:paraId="19EE6121" w14:textId="11F483A7" w:rsidR="00B21BBC" w:rsidRPr="00D91B35" w:rsidRDefault="00B21BBC" w:rsidP="00B21BBC">
            <w:pPr>
              <w:pStyle w:val="Default"/>
              <w:rPr>
                <w:sz w:val="16"/>
                <w:szCs w:val="16"/>
              </w:rPr>
            </w:pPr>
            <w:r>
              <w:rPr>
                <w:sz w:val="16"/>
              </w:rPr>
              <w:t>24 stundu atcerēšanās anketa + uztura vēsture</w:t>
            </w:r>
          </w:p>
        </w:tc>
        <w:tc>
          <w:tcPr>
            <w:tcW w:w="196" w:type="pct"/>
            <w:tcBorders>
              <w:top w:val="single" w:sz="4" w:space="0" w:color="auto"/>
              <w:bottom w:val="single" w:sz="4" w:space="0" w:color="auto"/>
            </w:tcBorders>
            <w:shd w:val="clear" w:color="auto" w:fill="FFFFFF" w:themeFill="background1"/>
          </w:tcPr>
          <w:p w14:paraId="6910F69E" w14:textId="0AAC7560" w:rsidR="00B21BBC" w:rsidRPr="00D91B35" w:rsidRDefault="00B21BBC" w:rsidP="002A5407">
            <w:pPr>
              <w:rPr>
                <w:rFonts w:ascii="Times New Roman" w:hAnsi="Times New Roman" w:cs="Times New Roman"/>
                <w:sz w:val="16"/>
                <w:szCs w:val="16"/>
              </w:rPr>
            </w:pPr>
            <w:r>
              <w:rPr>
                <w:rFonts w:ascii="Times New Roman" w:hAnsi="Times New Roman"/>
                <w:sz w:val="16"/>
              </w:rPr>
              <w:t>43</w:t>
            </w:r>
          </w:p>
        </w:tc>
        <w:tc>
          <w:tcPr>
            <w:tcW w:w="122" w:type="pct"/>
            <w:tcBorders>
              <w:top w:val="single" w:sz="4" w:space="0" w:color="auto"/>
              <w:bottom w:val="single" w:sz="4" w:space="0" w:color="auto"/>
            </w:tcBorders>
            <w:shd w:val="clear" w:color="auto" w:fill="FFFFFF" w:themeFill="background1"/>
          </w:tcPr>
          <w:p w14:paraId="4AD1FE1D" w14:textId="77777777" w:rsidR="00B21BBC" w:rsidRPr="00D91B35" w:rsidRDefault="00B21BBC" w:rsidP="002A5407">
            <w:pPr>
              <w:rPr>
                <w:rFonts w:ascii="Times New Roman" w:hAnsi="Times New Roman" w:cs="Times New Roman"/>
                <w:sz w:val="16"/>
                <w:szCs w:val="16"/>
              </w:rPr>
            </w:pPr>
          </w:p>
        </w:tc>
        <w:tc>
          <w:tcPr>
            <w:tcW w:w="183" w:type="pct"/>
            <w:tcBorders>
              <w:top w:val="single" w:sz="4" w:space="0" w:color="auto"/>
              <w:bottom w:val="single" w:sz="4" w:space="0" w:color="auto"/>
            </w:tcBorders>
            <w:shd w:val="clear" w:color="auto" w:fill="FFFFFF" w:themeFill="background1"/>
          </w:tcPr>
          <w:p w14:paraId="750E7BE5" w14:textId="1C942B9E" w:rsidR="00B21BBC" w:rsidRPr="00D91B35" w:rsidRDefault="00B21BBC" w:rsidP="002A5407">
            <w:pPr>
              <w:rPr>
                <w:rFonts w:ascii="Times New Roman" w:hAnsi="Times New Roman" w:cs="Times New Roman"/>
                <w:sz w:val="16"/>
                <w:szCs w:val="16"/>
              </w:rPr>
            </w:pPr>
            <w:r>
              <w:rPr>
                <w:rFonts w:ascii="Times New Roman" w:hAnsi="Times New Roman"/>
                <w:sz w:val="16"/>
              </w:rPr>
              <w:t>14</w:t>
            </w:r>
          </w:p>
        </w:tc>
        <w:tc>
          <w:tcPr>
            <w:tcW w:w="105" w:type="pct"/>
            <w:tcBorders>
              <w:top w:val="single" w:sz="4" w:space="0" w:color="auto"/>
              <w:bottom w:val="single" w:sz="4" w:space="0" w:color="auto"/>
            </w:tcBorders>
            <w:shd w:val="clear" w:color="auto" w:fill="FFFFFF" w:themeFill="background1"/>
          </w:tcPr>
          <w:p w14:paraId="47B3E678" w14:textId="77777777" w:rsidR="00B21BBC" w:rsidRPr="00D91B35" w:rsidRDefault="00B21BBC" w:rsidP="002A5407">
            <w:pPr>
              <w:rPr>
                <w:rFonts w:ascii="Times New Roman" w:hAnsi="Times New Roman" w:cs="Times New Roman"/>
                <w:sz w:val="16"/>
                <w:szCs w:val="16"/>
              </w:rPr>
            </w:pPr>
          </w:p>
        </w:tc>
        <w:tc>
          <w:tcPr>
            <w:tcW w:w="186" w:type="pct"/>
            <w:tcBorders>
              <w:top w:val="single" w:sz="4" w:space="0" w:color="auto"/>
              <w:bottom w:val="single" w:sz="4" w:space="0" w:color="auto"/>
            </w:tcBorders>
            <w:shd w:val="clear" w:color="auto" w:fill="FFFFFF" w:themeFill="background1"/>
          </w:tcPr>
          <w:p w14:paraId="5B9D612F" w14:textId="7BFD8F4C" w:rsidR="00B21BBC" w:rsidRPr="00D91B35" w:rsidRDefault="00B21BBC" w:rsidP="002A5407">
            <w:pPr>
              <w:rPr>
                <w:rFonts w:ascii="Times New Roman" w:hAnsi="Times New Roman" w:cs="Times New Roman"/>
                <w:sz w:val="16"/>
                <w:szCs w:val="16"/>
              </w:rPr>
            </w:pPr>
            <w:r>
              <w:rPr>
                <w:rFonts w:ascii="Times New Roman" w:hAnsi="Times New Roman"/>
                <w:sz w:val="16"/>
              </w:rPr>
              <w:t>18</w:t>
            </w:r>
          </w:p>
        </w:tc>
        <w:tc>
          <w:tcPr>
            <w:tcW w:w="609" w:type="pct"/>
            <w:tcBorders>
              <w:top w:val="single" w:sz="4" w:space="0" w:color="auto"/>
              <w:bottom w:val="single" w:sz="4" w:space="0" w:color="auto"/>
            </w:tcBorders>
            <w:shd w:val="clear" w:color="auto" w:fill="FFFFFF" w:themeFill="background1"/>
          </w:tcPr>
          <w:p w14:paraId="3FA62EE0" w14:textId="77777777" w:rsidR="00B21BBC" w:rsidRPr="00D91B35" w:rsidRDefault="00B21BBC" w:rsidP="002A5407">
            <w:pPr>
              <w:rPr>
                <w:rFonts w:ascii="Times New Roman" w:hAnsi="Times New Roman" w:cs="Times New Roman"/>
                <w:sz w:val="16"/>
                <w:szCs w:val="16"/>
              </w:rPr>
            </w:pPr>
          </w:p>
        </w:tc>
        <w:tc>
          <w:tcPr>
            <w:tcW w:w="237" w:type="pct"/>
            <w:tcBorders>
              <w:top w:val="single" w:sz="4" w:space="0" w:color="auto"/>
              <w:bottom w:val="single" w:sz="4" w:space="0" w:color="auto"/>
            </w:tcBorders>
            <w:shd w:val="clear" w:color="auto" w:fill="FFFFFF" w:themeFill="background1"/>
          </w:tcPr>
          <w:p w14:paraId="6561294E" w14:textId="0D9D7AD7" w:rsidR="00B21BBC" w:rsidRPr="00D91B35" w:rsidRDefault="0076748E" w:rsidP="002A5407">
            <w:pPr>
              <w:rPr>
                <w:rFonts w:ascii="Times New Roman" w:hAnsi="Times New Roman" w:cs="Times New Roman"/>
                <w:sz w:val="16"/>
                <w:szCs w:val="16"/>
              </w:rPr>
            </w:pPr>
            <w:r>
              <w:rPr>
                <w:rFonts w:ascii="Times New Roman" w:hAnsi="Times New Roman"/>
                <w:sz w:val="16"/>
              </w:rPr>
              <w:t>189,0</w:t>
            </w:r>
          </w:p>
        </w:tc>
        <w:tc>
          <w:tcPr>
            <w:tcW w:w="251" w:type="pct"/>
            <w:tcBorders>
              <w:top w:val="single" w:sz="4" w:space="0" w:color="auto"/>
              <w:bottom w:val="single" w:sz="4" w:space="0" w:color="auto"/>
            </w:tcBorders>
            <w:shd w:val="clear" w:color="auto" w:fill="FFFFFF" w:themeFill="background1"/>
          </w:tcPr>
          <w:p w14:paraId="5B7A7EAF" w14:textId="77777777" w:rsidR="00B21BBC" w:rsidRPr="00D91B35" w:rsidRDefault="00B21BBC" w:rsidP="002A5407">
            <w:pPr>
              <w:rPr>
                <w:rFonts w:ascii="Times New Roman" w:hAnsi="Times New Roman" w:cs="Times New Roman"/>
                <w:sz w:val="16"/>
                <w:szCs w:val="16"/>
              </w:rPr>
            </w:pPr>
          </w:p>
        </w:tc>
        <w:tc>
          <w:tcPr>
            <w:tcW w:w="237" w:type="pct"/>
            <w:tcBorders>
              <w:top w:val="single" w:sz="4" w:space="0" w:color="auto"/>
              <w:bottom w:val="single" w:sz="4" w:space="0" w:color="auto"/>
            </w:tcBorders>
            <w:shd w:val="clear" w:color="auto" w:fill="FFFFFF" w:themeFill="background1"/>
          </w:tcPr>
          <w:p w14:paraId="055AE841" w14:textId="77777777" w:rsidR="00B21BBC" w:rsidRPr="00D91B35" w:rsidRDefault="00B21BBC" w:rsidP="002A5407">
            <w:pPr>
              <w:rPr>
                <w:rFonts w:ascii="Times New Roman" w:hAnsi="Times New Roman" w:cs="Times New Roman"/>
                <w:sz w:val="16"/>
                <w:szCs w:val="16"/>
              </w:rPr>
            </w:pPr>
          </w:p>
        </w:tc>
        <w:tc>
          <w:tcPr>
            <w:tcW w:w="237" w:type="pct"/>
            <w:tcBorders>
              <w:top w:val="single" w:sz="4" w:space="0" w:color="auto"/>
              <w:bottom w:val="single" w:sz="4" w:space="0" w:color="auto"/>
            </w:tcBorders>
            <w:shd w:val="clear" w:color="auto" w:fill="FFFFFF" w:themeFill="background1"/>
          </w:tcPr>
          <w:p w14:paraId="0B8CAF94" w14:textId="77777777" w:rsidR="00B21BBC" w:rsidRPr="00D91B35" w:rsidRDefault="00B21BBC" w:rsidP="002A5407">
            <w:pPr>
              <w:rPr>
                <w:rFonts w:ascii="Times New Roman" w:hAnsi="Times New Roman" w:cs="Times New Roman"/>
                <w:sz w:val="16"/>
                <w:szCs w:val="16"/>
              </w:rPr>
            </w:pPr>
          </w:p>
        </w:tc>
        <w:tc>
          <w:tcPr>
            <w:tcW w:w="237" w:type="pct"/>
            <w:tcBorders>
              <w:top w:val="single" w:sz="4" w:space="0" w:color="auto"/>
              <w:bottom w:val="single" w:sz="4" w:space="0" w:color="auto"/>
            </w:tcBorders>
            <w:shd w:val="clear" w:color="auto" w:fill="FFFFFF" w:themeFill="background1"/>
          </w:tcPr>
          <w:p w14:paraId="2F386974" w14:textId="6FD0A2EB" w:rsidR="00B21BBC" w:rsidRPr="00D91B35" w:rsidRDefault="0076748E" w:rsidP="002A5407">
            <w:pPr>
              <w:rPr>
                <w:rFonts w:ascii="Times New Roman" w:hAnsi="Times New Roman" w:cs="Times New Roman"/>
                <w:sz w:val="16"/>
                <w:szCs w:val="16"/>
              </w:rPr>
            </w:pPr>
            <w:r>
              <w:rPr>
                <w:rFonts w:ascii="Times New Roman" w:hAnsi="Times New Roman"/>
                <w:sz w:val="16"/>
              </w:rPr>
              <w:t>500,0</w:t>
            </w:r>
          </w:p>
        </w:tc>
        <w:tc>
          <w:tcPr>
            <w:tcW w:w="237" w:type="pct"/>
            <w:tcBorders>
              <w:top w:val="single" w:sz="4" w:space="0" w:color="auto"/>
              <w:bottom w:val="single" w:sz="4" w:space="0" w:color="auto"/>
            </w:tcBorders>
            <w:shd w:val="clear" w:color="auto" w:fill="FFFFFF" w:themeFill="background1"/>
          </w:tcPr>
          <w:p w14:paraId="223252D2" w14:textId="77777777" w:rsidR="00B21BBC" w:rsidRPr="00D91B35" w:rsidRDefault="00B21BBC" w:rsidP="002A5407">
            <w:pPr>
              <w:rPr>
                <w:rFonts w:ascii="Times New Roman" w:hAnsi="Times New Roman" w:cs="Times New Roman"/>
                <w:sz w:val="16"/>
                <w:szCs w:val="16"/>
              </w:rPr>
            </w:pPr>
          </w:p>
        </w:tc>
      </w:tr>
      <w:tr w:rsidR="001A5B4D" w:rsidRPr="00D91B35" w14:paraId="2A300AB2" w14:textId="77777777" w:rsidTr="008A656B">
        <w:tc>
          <w:tcPr>
            <w:tcW w:w="374" w:type="pct"/>
            <w:tcBorders>
              <w:top w:val="single" w:sz="4" w:space="0" w:color="auto"/>
              <w:bottom w:val="single" w:sz="4" w:space="0" w:color="auto"/>
            </w:tcBorders>
          </w:tcPr>
          <w:p w14:paraId="65FE5995" w14:textId="195B999B" w:rsidR="001A5B4D" w:rsidRPr="00D91B35" w:rsidRDefault="001A5B4D" w:rsidP="001A5B4D">
            <w:pPr>
              <w:rPr>
                <w:rFonts w:ascii="Times New Roman" w:hAnsi="Times New Roman" w:cs="Times New Roman"/>
                <w:b/>
                <w:bCs/>
                <w:sz w:val="16"/>
                <w:szCs w:val="16"/>
              </w:rPr>
            </w:pPr>
            <w:r>
              <w:rPr>
                <w:rFonts w:ascii="Times New Roman" w:hAnsi="Times New Roman"/>
                <w:b/>
                <w:sz w:val="16"/>
              </w:rPr>
              <w:t>Pārtika un bagātinātāji</w:t>
            </w:r>
          </w:p>
        </w:tc>
        <w:tc>
          <w:tcPr>
            <w:tcW w:w="231" w:type="pct"/>
            <w:tcBorders>
              <w:top w:val="single" w:sz="4" w:space="0" w:color="auto"/>
              <w:bottom w:val="single" w:sz="4" w:space="0" w:color="auto"/>
            </w:tcBorders>
          </w:tcPr>
          <w:p w14:paraId="69BF9699" w14:textId="61DA73EE" w:rsidR="001A5B4D" w:rsidRPr="00D91B35" w:rsidRDefault="001A5B4D" w:rsidP="001A5B4D">
            <w:pPr>
              <w:rPr>
                <w:rFonts w:ascii="Times New Roman" w:hAnsi="Times New Roman" w:cs="Times New Roman"/>
                <w:b/>
                <w:bCs/>
                <w:sz w:val="16"/>
                <w:szCs w:val="16"/>
              </w:rPr>
            </w:pPr>
            <w:r>
              <w:rPr>
                <w:rFonts w:ascii="Times New Roman" w:hAnsi="Times New Roman"/>
                <w:b/>
                <w:sz w:val="16"/>
              </w:rPr>
              <w:t>Meitenes</w:t>
            </w:r>
          </w:p>
        </w:tc>
        <w:tc>
          <w:tcPr>
            <w:tcW w:w="358" w:type="pct"/>
            <w:tcBorders>
              <w:top w:val="single" w:sz="4" w:space="0" w:color="auto"/>
              <w:bottom w:val="single" w:sz="4" w:space="0" w:color="auto"/>
            </w:tcBorders>
          </w:tcPr>
          <w:p w14:paraId="760153E1" w14:textId="23BE740E" w:rsidR="001A5B4D" w:rsidRPr="00D91B35" w:rsidRDefault="001A5B4D" w:rsidP="001A5B4D">
            <w:pPr>
              <w:rPr>
                <w:rFonts w:ascii="Times New Roman" w:hAnsi="Times New Roman" w:cs="Times New Roman"/>
                <w:b/>
                <w:bCs/>
                <w:sz w:val="16"/>
                <w:szCs w:val="16"/>
              </w:rPr>
            </w:pPr>
            <w:r>
              <w:rPr>
                <w:rFonts w:ascii="Times New Roman" w:hAnsi="Times New Roman"/>
                <w:b/>
                <w:sz w:val="16"/>
              </w:rPr>
              <w:t>Nīderlande</w:t>
            </w:r>
          </w:p>
        </w:tc>
        <w:tc>
          <w:tcPr>
            <w:tcW w:w="359" w:type="pct"/>
            <w:tcBorders>
              <w:top w:val="single" w:sz="4" w:space="0" w:color="auto"/>
              <w:bottom w:val="single" w:sz="4" w:space="0" w:color="auto"/>
            </w:tcBorders>
          </w:tcPr>
          <w:p w14:paraId="2BFBD8F3" w14:textId="75A915D2" w:rsidR="001A5B4D" w:rsidRPr="00D91B35" w:rsidRDefault="001A5B4D" w:rsidP="001A5B4D">
            <w:pPr>
              <w:pStyle w:val="Default"/>
              <w:rPr>
                <w:sz w:val="16"/>
                <w:szCs w:val="16"/>
              </w:rPr>
            </w:pPr>
            <w:r>
              <w:rPr>
                <w:sz w:val="16"/>
              </w:rPr>
              <w:t>(van Rossum et al., 2011)</w:t>
            </w:r>
          </w:p>
        </w:tc>
        <w:tc>
          <w:tcPr>
            <w:tcW w:w="839" w:type="pct"/>
            <w:tcBorders>
              <w:top w:val="single" w:sz="4" w:space="0" w:color="auto"/>
              <w:bottom w:val="single" w:sz="4" w:space="0" w:color="auto"/>
            </w:tcBorders>
          </w:tcPr>
          <w:p w14:paraId="77BE9FA4" w14:textId="4CE7767A" w:rsidR="001A5B4D" w:rsidRPr="00D91B35" w:rsidRDefault="001A5B4D" w:rsidP="001A5B4D">
            <w:pPr>
              <w:pStyle w:val="Default"/>
              <w:rPr>
                <w:sz w:val="16"/>
                <w:szCs w:val="16"/>
              </w:rPr>
            </w:pPr>
            <w:r>
              <w:rPr>
                <w:sz w:val="16"/>
              </w:rPr>
              <w:t>Divas nesecīgas  24 stundu atcerēšanās anketas</w:t>
            </w:r>
          </w:p>
        </w:tc>
        <w:tc>
          <w:tcPr>
            <w:tcW w:w="196" w:type="pct"/>
            <w:tcBorders>
              <w:top w:val="single" w:sz="4" w:space="0" w:color="auto"/>
              <w:bottom w:val="single" w:sz="4" w:space="0" w:color="auto"/>
            </w:tcBorders>
            <w:shd w:val="clear" w:color="auto" w:fill="FFFFFF" w:themeFill="background1"/>
          </w:tcPr>
          <w:p w14:paraId="66FF4DB6" w14:textId="14433D51" w:rsidR="001A5B4D" w:rsidRPr="00D91B35" w:rsidRDefault="001A5B4D" w:rsidP="001A5B4D">
            <w:pPr>
              <w:rPr>
                <w:rFonts w:ascii="Times New Roman" w:hAnsi="Times New Roman" w:cs="Times New Roman"/>
                <w:sz w:val="16"/>
                <w:szCs w:val="16"/>
              </w:rPr>
            </w:pPr>
            <w:r>
              <w:rPr>
                <w:rFonts w:ascii="Times New Roman" w:hAnsi="Times New Roman"/>
                <w:sz w:val="16"/>
              </w:rPr>
              <w:t>354</w:t>
            </w:r>
          </w:p>
        </w:tc>
        <w:tc>
          <w:tcPr>
            <w:tcW w:w="122" w:type="pct"/>
            <w:tcBorders>
              <w:top w:val="single" w:sz="4" w:space="0" w:color="auto"/>
              <w:bottom w:val="single" w:sz="4" w:space="0" w:color="auto"/>
            </w:tcBorders>
            <w:shd w:val="clear" w:color="auto" w:fill="FFFFFF" w:themeFill="background1"/>
          </w:tcPr>
          <w:p w14:paraId="6B553820" w14:textId="77777777" w:rsidR="001A5B4D" w:rsidRPr="00D91B35" w:rsidRDefault="001A5B4D" w:rsidP="001A5B4D">
            <w:pPr>
              <w:rPr>
                <w:rFonts w:ascii="Times New Roman" w:hAnsi="Times New Roman" w:cs="Times New Roman"/>
                <w:sz w:val="16"/>
                <w:szCs w:val="16"/>
              </w:rPr>
            </w:pPr>
          </w:p>
        </w:tc>
        <w:tc>
          <w:tcPr>
            <w:tcW w:w="183" w:type="pct"/>
            <w:tcBorders>
              <w:top w:val="single" w:sz="4" w:space="0" w:color="auto"/>
              <w:bottom w:val="single" w:sz="4" w:space="0" w:color="auto"/>
            </w:tcBorders>
            <w:shd w:val="clear" w:color="auto" w:fill="FFFFFF" w:themeFill="background1"/>
          </w:tcPr>
          <w:p w14:paraId="3F570AE0" w14:textId="4885F15B" w:rsidR="001A5B4D" w:rsidRPr="00D91B35" w:rsidRDefault="001A5B4D" w:rsidP="001A5B4D">
            <w:pPr>
              <w:rPr>
                <w:rFonts w:ascii="Times New Roman" w:hAnsi="Times New Roman" w:cs="Times New Roman"/>
                <w:sz w:val="16"/>
                <w:szCs w:val="16"/>
              </w:rPr>
            </w:pPr>
            <w:r>
              <w:rPr>
                <w:rFonts w:ascii="Times New Roman" w:hAnsi="Times New Roman"/>
                <w:sz w:val="16"/>
              </w:rPr>
              <w:t>14</w:t>
            </w:r>
          </w:p>
        </w:tc>
        <w:tc>
          <w:tcPr>
            <w:tcW w:w="105" w:type="pct"/>
            <w:tcBorders>
              <w:top w:val="single" w:sz="4" w:space="0" w:color="auto"/>
              <w:bottom w:val="single" w:sz="4" w:space="0" w:color="auto"/>
            </w:tcBorders>
            <w:shd w:val="clear" w:color="auto" w:fill="FFFFFF" w:themeFill="background1"/>
          </w:tcPr>
          <w:p w14:paraId="094918E8" w14:textId="77777777" w:rsidR="001A5B4D" w:rsidRPr="00D91B35" w:rsidRDefault="001A5B4D" w:rsidP="001A5B4D">
            <w:pPr>
              <w:rPr>
                <w:rFonts w:ascii="Times New Roman" w:hAnsi="Times New Roman" w:cs="Times New Roman"/>
                <w:sz w:val="16"/>
                <w:szCs w:val="16"/>
              </w:rPr>
            </w:pPr>
          </w:p>
        </w:tc>
        <w:tc>
          <w:tcPr>
            <w:tcW w:w="186" w:type="pct"/>
            <w:tcBorders>
              <w:top w:val="single" w:sz="4" w:space="0" w:color="auto"/>
              <w:bottom w:val="single" w:sz="4" w:space="0" w:color="auto"/>
            </w:tcBorders>
            <w:shd w:val="clear" w:color="auto" w:fill="FFFFFF" w:themeFill="background1"/>
          </w:tcPr>
          <w:p w14:paraId="544D347A" w14:textId="21C4F224" w:rsidR="001A5B4D" w:rsidRPr="00D91B35" w:rsidRDefault="001A5B4D" w:rsidP="001A5B4D">
            <w:pPr>
              <w:rPr>
                <w:rFonts w:ascii="Times New Roman" w:hAnsi="Times New Roman" w:cs="Times New Roman"/>
                <w:sz w:val="16"/>
                <w:szCs w:val="16"/>
              </w:rPr>
            </w:pPr>
            <w:r>
              <w:rPr>
                <w:rFonts w:ascii="Times New Roman" w:hAnsi="Times New Roman"/>
                <w:sz w:val="16"/>
              </w:rPr>
              <w:t>18</w:t>
            </w:r>
          </w:p>
        </w:tc>
        <w:tc>
          <w:tcPr>
            <w:tcW w:w="609" w:type="pct"/>
            <w:tcBorders>
              <w:top w:val="single" w:sz="4" w:space="0" w:color="auto"/>
              <w:bottom w:val="single" w:sz="4" w:space="0" w:color="auto"/>
            </w:tcBorders>
            <w:shd w:val="clear" w:color="auto" w:fill="FFFFFF" w:themeFill="background1"/>
          </w:tcPr>
          <w:p w14:paraId="30E30F01" w14:textId="77777777" w:rsidR="001A5B4D" w:rsidRPr="00D91B35" w:rsidRDefault="001A5B4D" w:rsidP="001A5B4D">
            <w:pPr>
              <w:rPr>
                <w:rFonts w:ascii="Times New Roman" w:hAnsi="Times New Roman" w:cs="Times New Roman"/>
                <w:sz w:val="16"/>
                <w:szCs w:val="16"/>
              </w:rPr>
            </w:pPr>
          </w:p>
        </w:tc>
        <w:tc>
          <w:tcPr>
            <w:tcW w:w="237" w:type="pct"/>
            <w:tcBorders>
              <w:top w:val="single" w:sz="4" w:space="0" w:color="auto"/>
              <w:bottom w:val="single" w:sz="4" w:space="0" w:color="auto"/>
            </w:tcBorders>
            <w:shd w:val="clear" w:color="auto" w:fill="FFFFFF" w:themeFill="background1"/>
          </w:tcPr>
          <w:p w14:paraId="11C3554F" w14:textId="77777777" w:rsidR="001A5B4D" w:rsidRPr="00D91B35" w:rsidRDefault="001A5B4D" w:rsidP="001A5B4D">
            <w:pPr>
              <w:rPr>
                <w:rFonts w:ascii="Times New Roman" w:hAnsi="Times New Roman" w:cs="Times New Roman"/>
                <w:sz w:val="16"/>
                <w:szCs w:val="16"/>
              </w:rPr>
            </w:pPr>
          </w:p>
        </w:tc>
        <w:tc>
          <w:tcPr>
            <w:tcW w:w="251" w:type="pct"/>
            <w:tcBorders>
              <w:top w:val="single" w:sz="4" w:space="0" w:color="auto"/>
              <w:bottom w:val="single" w:sz="4" w:space="0" w:color="auto"/>
            </w:tcBorders>
            <w:shd w:val="clear" w:color="auto" w:fill="FFFFFF" w:themeFill="background1"/>
          </w:tcPr>
          <w:p w14:paraId="0DAC772B" w14:textId="4817A1E1" w:rsidR="001A5B4D" w:rsidRPr="00D91B35" w:rsidRDefault="001A5B4D" w:rsidP="001A5B4D">
            <w:pPr>
              <w:rPr>
                <w:rFonts w:ascii="Times New Roman" w:hAnsi="Times New Roman" w:cs="Times New Roman"/>
                <w:sz w:val="16"/>
                <w:szCs w:val="16"/>
              </w:rPr>
            </w:pPr>
            <w:r>
              <w:rPr>
                <w:rFonts w:ascii="Times New Roman" w:hAnsi="Times New Roman"/>
                <w:sz w:val="16"/>
              </w:rPr>
              <w:t>872,0</w:t>
            </w:r>
          </w:p>
        </w:tc>
        <w:tc>
          <w:tcPr>
            <w:tcW w:w="237" w:type="pct"/>
            <w:tcBorders>
              <w:top w:val="single" w:sz="4" w:space="0" w:color="auto"/>
              <w:bottom w:val="single" w:sz="4" w:space="0" w:color="auto"/>
            </w:tcBorders>
            <w:shd w:val="clear" w:color="auto" w:fill="FFFFFF" w:themeFill="background1"/>
          </w:tcPr>
          <w:p w14:paraId="2C645A54" w14:textId="77777777" w:rsidR="001A5B4D" w:rsidRPr="00D91B35" w:rsidRDefault="001A5B4D" w:rsidP="001A5B4D">
            <w:pPr>
              <w:rPr>
                <w:rFonts w:ascii="Times New Roman" w:hAnsi="Times New Roman" w:cs="Times New Roman"/>
                <w:sz w:val="16"/>
                <w:szCs w:val="16"/>
              </w:rPr>
            </w:pPr>
          </w:p>
        </w:tc>
        <w:tc>
          <w:tcPr>
            <w:tcW w:w="237" w:type="pct"/>
            <w:tcBorders>
              <w:top w:val="single" w:sz="4" w:space="0" w:color="auto"/>
              <w:bottom w:val="single" w:sz="4" w:space="0" w:color="auto"/>
            </w:tcBorders>
            <w:shd w:val="clear" w:color="auto" w:fill="FFFFFF" w:themeFill="background1"/>
          </w:tcPr>
          <w:p w14:paraId="20EA1AB7" w14:textId="77777777" w:rsidR="001A5B4D" w:rsidRPr="00D91B35" w:rsidRDefault="001A5B4D" w:rsidP="001A5B4D">
            <w:pPr>
              <w:rPr>
                <w:rFonts w:ascii="Times New Roman" w:hAnsi="Times New Roman" w:cs="Times New Roman"/>
                <w:sz w:val="16"/>
                <w:szCs w:val="16"/>
              </w:rPr>
            </w:pPr>
          </w:p>
        </w:tc>
        <w:tc>
          <w:tcPr>
            <w:tcW w:w="237" w:type="pct"/>
            <w:tcBorders>
              <w:top w:val="single" w:sz="4" w:space="0" w:color="auto"/>
              <w:bottom w:val="single" w:sz="4" w:space="0" w:color="auto"/>
            </w:tcBorders>
            <w:shd w:val="clear" w:color="auto" w:fill="FFFFFF" w:themeFill="background1"/>
          </w:tcPr>
          <w:p w14:paraId="500F9BEC" w14:textId="3C230988" w:rsidR="001A5B4D" w:rsidRPr="00D91B35" w:rsidRDefault="001A5B4D" w:rsidP="001A5B4D">
            <w:pPr>
              <w:rPr>
                <w:rFonts w:ascii="Times New Roman" w:hAnsi="Times New Roman" w:cs="Times New Roman"/>
                <w:sz w:val="16"/>
                <w:szCs w:val="16"/>
              </w:rPr>
            </w:pPr>
            <w:r>
              <w:rPr>
                <w:rFonts w:ascii="Times New Roman" w:hAnsi="Times New Roman"/>
                <w:sz w:val="16"/>
              </w:rPr>
              <w:t>1 433,0</w:t>
            </w:r>
          </w:p>
        </w:tc>
        <w:tc>
          <w:tcPr>
            <w:tcW w:w="237" w:type="pct"/>
            <w:tcBorders>
              <w:top w:val="single" w:sz="4" w:space="0" w:color="auto"/>
              <w:bottom w:val="single" w:sz="4" w:space="0" w:color="auto"/>
            </w:tcBorders>
            <w:shd w:val="clear" w:color="auto" w:fill="FFFFFF" w:themeFill="background1"/>
          </w:tcPr>
          <w:p w14:paraId="01DD847B" w14:textId="77777777" w:rsidR="001A5B4D" w:rsidRPr="00D91B35" w:rsidRDefault="001A5B4D" w:rsidP="001A5B4D">
            <w:pPr>
              <w:rPr>
                <w:rFonts w:ascii="Times New Roman" w:hAnsi="Times New Roman" w:cs="Times New Roman"/>
                <w:sz w:val="16"/>
                <w:szCs w:val="16"/>
              </w:rPr>
            </w:pPr>
          </w:p>
        </w:tc>
      </w:tr>
      <w:tr w:rsidR="001A5B4D" w:rsidRPr="00D91B35" w14:paraId="03C503B0" w14:textId="77777777" w:rsidTr="008A656B">
        <w:tc>
          <w:tcPr>
            <w:tcW w:w="374" w:type="pct"/>
            <w:tcBorders>
              <w:top w:val="single" w:sz="4" w:space="0" w:color="auto"/>
              <w:bottom w:val="single" w:sz="4" w:space="0" w:color="auto"/>
            </w:tcBorders>
          </w:tcPr>
          <w:p w14:paraId="74BACE7E" w14:textId="7BBB32C6" w:rsidR="001A5B4D" w:rsidRPr="00D91B35" w:rsidRDefault="001A5B4D" w:rsidP="001A5B4D">
            <w:pPr>
              <w:rPr>
                <w:rFonts w:ascii="Times New Roman" w:hAnsi="Times New Roman" w:cs="Times New Roman"/>
                <w:b/>
                <w:bCs/>
                <w:sz w:val="16"/>
                <w:szCs w:val="16"/>
              </w:rPr>
            </w:pPr>
            <w:r>
              <w:rPr>
                <w:rFonts w:ascii="Times New Roman" w:hAnsi="Times New Roman"/>
                <w:b/>
                <w:sz w:val="16"/>
              </w:rPr>
              <w:t>Pārtika un bagātinātāji</w:t>
            </w:r>
          </w:p>
        </w:tc>
        <w:tc>
          <w:tcPr>
            <w:tcW w:w="231" w:type="pct"/>
            <w:tcBorders>
              <w:top w:val="single" w:sz="4" w:space="0" w:color="auto"/>
              <w:bottom w:val="single" w:sz="4" w:space="0" w:color="auto"/>
            </w:tcBorders>
          </w:tcPr>
          <w:p w14:paraId="3D90AA90" w14:textId="3798DF3F" w:rsidR="001A5B4D" w:rsidRPr="00D91B35" w:rsidRDefault="001A5B4D" w:rsidP="001A5B4D">
            <w:pPr>
              <w:rPr>
                <w:rFonts w:ascii="Times New Roman" w:hAnsi="Times New Roman" w:cs="Times New Roman"/>
                <w:b/>
                <w:bCs/>
                <w:sz w:val="16"/>
                <w:szCs w:val="16"/>
              </w:rPr>
            </w:pPr>
            <w:r>
              <w:rPr>
                <w:rFonts w:ascii="Times New Roman" w:hAnsi="Times New Roman"/>
                <w:b/>
                <w:sz w:val="16"/>
              </w:rPr>
              <w:t>Zēni</w:t>
            </w:r>
          </w:p>
        </w:tc>
        <w:tc>
          <w:tcPr>
            <w:tcW w:w="358" w:type="pct"/>
            <w:tcBorders>
              <w:top w:val="single" w:sz="4" w:space="0" w:color="auto"/>
              <w:bottom w:val="single" w:sz="4" w:space="0" w:color="auto"/>
            </w:tcBorders>
          </w:tcPr>
          <w:p w14:paraId="71EC3AA4" w14:textId="0884CF1E" w:rsidR="001A5B4D" w:rsidRPr="00D91B35" w:rsidRDefault="001A5B4D" w:rsidP="001A5B4D">
            <w:pPr>
              <w:rPr>
                <w:rFonts w:ascii="Times New Roman" w:hAnsi="Times New Roman" w:cs="Times New Roman"/>
                <w:b/>
                <w:bCs/>
                <w:sz w:val="16"/>
                <w:szCs w:val="16"/>
              </w:rPr>
            </w:pPr>
            <w:r>
              <w:rPr>
                <w:rFonts w:ascii="Times New Roman" w:hAnsi="Times New Roman"/>
                <w:b/>
                <w:sz w:val="16"/>
              </w:rPr>
              <w:t>Nīderlande</w:t>
            </w:r>
          </w:p>
        </w:tc>
        <w:tc>
          <w:tcPr>
            <w:tcW w:w="359" w:type="pct"/>
            <w:tcBorders>
              <w:top w:val="single" w:sz="4" w:space="0" w:color="auto"/>
              <w:bottom w:val="single" w:sz="4" w:space="0" w:color="auto"/>
            </w:tcBorders>
          </w:tcPr>
          <w:p w14:paraId="0E9287BD" w14:textId="40408176" w:rsidR="001A5B4D" w:rsidRPr="00D91B35" w:rsidRDefault="001A5B4D" w:rsidP="001A5B4D">
            <w:pPr>
              <w:pStyle w:val="Default"/>
              <w:rPr>
                <w:sz w:val="16"/>
                <w:szCs w:val="16"/>
              </w:rPr>
            </w:pPr>
            <w:r>
              <w:rPr>
                <w:sz w:val="16"/>
              </w:rPr>
              <w:t>(van Rossum et al., 2011)</w:t>
            </w:r>
          </w:p>
        </w:tc>
        <w:tc>
          <w:tcPr>
            <w:tcW w:w="839" w:type="pct"/>
            <w:tcBorders>
              <w:top w:val="single" w:sz="4" w:space="0" w:color="auto"/>
              <w:bottom w:val="single" w:sz="4" w:space="0" w:color="auto"/>
            </w:tcBorders>
          </w:tcPr>
          <w:p w14:paraId="266E0F57" w14:textId="0ADC823C" w:rsidR="001A5B4D" w:rsidRPr="00D91B35" w:rsidRDefault="001A5B4D" w:rsidP="001A5B4D">
            <w:pPr>
              <w:pStyle w:val="Default"/>
              <w:rPr>
                <w:sz w:val="16"/>
                <w:szCs w:val="16"/>
              </w:rPr>
            </w:pPr>
            <w:r>
              <w:rPr>
                <w:sz w:val="16"/>
              </w:rPr>
              <w:t>Divas nesecīgas  24 stundu atcerēšanās anketas</w:t>
            </w:r>
          </w:p>
        </w:tc>
        <w:tc>
          <w:tcPr>
            <w:tcW w:w="196" w:type="pct"/>
            <w:tcBorders>
              <w:top w:val="single" w:sz="4" w:space="0" w:color="auto"/>
              <w:bottom w:val="single" w:sz="4" w:space="0" w:color="auto"/>
            </w:tcBorders>
            <w:shd w:val="clear" w:color="auto" w:fill="FFFFFF" w:themeFill="background1"/>
          </w:tcPr>
          <w:p w14:paraId="674F407D" w14:textId="0A4DED25" w:rsidR="001A5B4D" w:rsidRPr="00D91B35" w:rsidRDefault="001A5B4D" w:rsidP="001A5B4D">
            <w:pPr>
              <w:rPr>
                <w:rFonts w:ascii="Times New Roman" w:hAnsi="Times New Roman" w:cs="Times New Roman"/>
                <w:sz w:val="16"/>
                <w:szCs w:val="16"/>
              </w:rPr>
            </w:pPr>
            <w:r>
              <w:rPr>
                <w:rFonts w:ascii="Times New Roman" w:hAnsi="Times New Roman"/>
                <w:sz w:val="16"/>
              </w:rPr>
              <w:t>352</w:t>
            </w:r>
          </w:p>
        </w:tc>
        <w:tc>
          <w:tcPr>
            <w:tcW w:w="122" w:type="pct"/>
            <w:tcBorders>
              <w:top w:val="single" w:sz="4" w:space="0" w:color="auto"/>
              <w:bottom w:val="single" w:sz="4" w:space="0" w:color="auto"/>
            </w:tcBorders>
            <w:shd w:val="clear" w:color="auto" w:fill="FFFFFF" w:themeFill="background1"/>
          </w:tcPr>
          <w:p w14:paraId="6669EAFA" w14:textId="77777777" w:rsidR="001A5B4D" w:rsidRPr="00D91B35" w:rsidRDefault="001A5B4D" w:rsidP="001A5B4D">
            <w:pPr>
              <w:rPr>
                <w:rFonts w:ascii="Times New Roman" w:hAnsi="Times New Roman" w:cs="Times New Roman"/>
                <w:sz w:val="16"/>
                <w:szCs w:val="16"/>
              </w:rPr>
            </w:pPr>
          </w:p>
        </w:tc>
        <w:tc>
          <w:tcPr>
            <w:tcW w:w="183" w:type="pct"/>
            <w:tcBorders>
              <w:top w:val="single" w:sz="4" w:space="0" w:color="auto"/>
              <w:bottom w:val="single" w:sz="4" w:space="0" w:color="auto"/>
            </w:tcBorders>
            <w:shd w:val="clear" w:color="auto" w:fill="FFFFFF" w:themeFill="background1"/>
          </w:tcPr>
          <w:p w14:paraId="0868646C" w14:textId="042E1B2A" w:rsidR="001A5B4D" w:rsidRPr="00D91B35" w:rsidRDefault="001A5B4D" w:rsidP="001A5B4D">
            <w:pPr>
              <w:rPr>
                <w:rFonts w:ascii="Times New Roman" w:hAnsi="Times New Roman" w:cs="Times New Roman"/>
                <w:sz w:val="16"/>
                <w:szCs w:val="16"/>
              </w:rPr>
            </w:pPr>
            <w:r>
              <w:rPr>
                <w:rFonts w:ascii="Times New Roman" w:hAnsi="Times New Roman"/>
                <w:sz w:val="16"/>
              </w:rPr>
              <w:t>14</w:t>
            </w:r>
          </w:p>
        </w:tc>
        <w:tc>
          <w:tcPr>
            <w:tcW w:w="105" w:type="pct"/>
            <w:tcBorders>
              <w:top w:val="single" w:sz="4" w:space="0" w:color="auto"/>
              <w:bottom w:val="single" w:sz="4" w:space="0" w:color="auto"/>
            </w:tcBorders>
            <w:shd w:val="clear" w:color="auto" w:fill="FFFFFF" w:themeFill="background1"/>
          </w:tcPr>
          <w:p w14:paraId="27E1306B" w14:textId="77777777" w:rsidR="001A5B4D" w:rsidRPr="00D91B35" w:rsidRDefault="001A5B4D" w:rsidP="001A5B4D">
            <w:pPr>
              <w:rPr>
                <w:rFonts w:ascii="Times New Roman" w:hAnsi="Times New Roman" w:cs="Times New Roman"/>
                <w:sz w:val="16"/>
                <w:szCs w:val="16"/>
              </w:rPr>
            </w:pPr>
          </w:p>
        </w:tc>
        <w:tc>
          <w:tcPr>
            <w:tcW w:w="186" w:type="pct"/>
            <w:tcBorders>
              <w:top w:val="single" w:sz="4" w:space="0" w:color="auto"/>
              <w:bottom w:val="single" w:sz="4" w:space="0" w:color="auto"/>
            </w:tcBorders>
            <w:shd w:val="clear" w:color="auto" w:fill="FFFFFF" w:themeFill="background1"/>
          </w:tcPr>
          <w:p w14:paraId="050B40A8" w14:textId="5A85B6C0" w:rsidR="001A5B4D" w:rsidRPr="00D91B35" w:rsidRDefault="001A5B4D" w:rsidP="001A5B4D">
            <w:pPr>
              <w:rPr>
                <w:rFonts w:ascii="Times New Roman" w:hAnsi="Times New Roman" w:cs="Times New Roman"/>
                <w:sz w:val="16"/>
                <w:szCs w:val="16"/>
              </w:rPr>
            </w:pPr>
            <w:r>
              <w:rPr>
                <w:rFonts w:ascii="Times New Roman" w:hAnsi="Times New Roman"/>
                <w:sz w:val="16"/>
              </w:rPr>
              <w:t>18</w:t>
            </w:r>
          </w:p>
        </w:tc>
        <w:tc>
          <w:tcPr>
            <w:tcW w:w="609" w:type="pct"/>
            <w:tcBorders>
              <w:top w:val="single" w:sz="4" w:space="0" w:color="auto"/>
              <w:bottom w:val="single" w:sz="4" w:space="0" w:color="auto"/>
            </w:tcBorders>
            <w:shd w:val="clear" w:color="auto" w:fill="FFFFFF" w:themeFill="background1"/>
          </w:tcPr>
          <w:p w14:paraId="1BBC20F6" w14:textId="77777777" w:rsidR="001A5B4D" w:rsidRPr="00D91B35" w:rsidRDefault="001A5B4D" w:rsidP="001A5B4D">
            <w:pPr>
              <w:rPr>
                <w:rFonts w:ascii="Times New Roman" w:hAnsi="Times New Roman" w:cs="Times New Roman"/>
                <w:sz w:val="16"/>
                <w:szCs w:val="16"/>
              </w:rPr>
            </w:pPr>
          </w:p>
        </w:tc>
        <w:tc>
          <w:tcPr>
            <w:tcW w:w="237" w:type="pct"/>
            <w:tcBorders>
              <w:top w:val="single" w:sz="4" w:space="0" w:color="auto"/>
              <w:bottom w:val="single" w:sz="4" w:space="0" w:color="auto"/>
            </w:tcBorders>
            <w:shd w:val="clear" w:color="auto" w:fill="FFFFFF" w:themeFill="background1"/>
          </w:tcPr>
          <w:p w14:paraId="1B492C20" w14:textId="77777777" w:rsidR="001A5B4D" w:rsidRPr="00D91B35" w:rsidRDefault="001A5B4D" w:rsidP="001A5B4D">
            <w:pPr>
              <w:rPr>
                <w:rFonts w:ascii="Times New Roman" w:hAnsi="Times New Roman" w:cs="Times New Roman"/>
                <w:sz w:val="16"/>
                <w:szCs w:val="16"/>
              </w:rPr>
            </w:pPr>
          </w:p>
        </w:tc>
        <w:tc>
          <w:tcPr>
            <w:tcW w:w="251" w:type="pct"/>
            <w:tcBorders>
              <w:top w:val="single" w:sz="4" w:space="0" w:color="auto"/>
              <w:bottom w:val="single" w:sz="4" w:space="0" w:color="auto"/>
            </w:tcBorders>
            <w:shd w:val="clear" w:color="auto" w:fill="FFFFFF" w:themeFill="background1"/>
          </w:tcPr>
          <w:p w14:paraId="612E8849" w14:textId="4C05EEDA" w:rsidR="001A5B4D" w:rsidRPr="00D91B35" w:rsidRDefault="001A5B4D" w:rsidP="001A5B4D">
            <w:pPr>
              <w:rPr>
                <w:rFonts w:ascii="Times New Roman" w:hAnsi="Times New Roman" w:cs="Times New Roman"/>
                <w:sz w:val="16"/>
                <w:szCs w:val="16"/>
              </w:rPr>
            </w:pPr>
            <w:r>
              <w:rPr>
                <w:rFonts w:ascii="Times New Roman" w:hAnsi="Times New Roman"/>
                <w:sz w:val="16"/>
              </w:rPr>
              <w:t>1 010,0</w:t>
            </w:r>
          </w:p>
        </w:tc>
        <w:tc>
          <w:tcPr>
            <w:tcW w:w="237" w:type="pct"/>
            <w:tcBorders>
              <w:top w:val="single" w:sz="4" w:space="0" w:color="auto"/>
              <w:bottom w:val="single" w:sz="4" w:space="0" w:color="auto"/>
            </w:tcBorders>
            <w:shd w:val="clear" w:color="auto" w:fill="FFFFFF" w:themeFill="background1"/>
          </w:tcPr>
          <w:p w14:paraId="512F4F5B" w14:textId="77777777" w:rsidR="001A5B4D" w:rsidRPr="00D91B35" w:rsidRDefault="001A5B4D" w:rsidP="001A5B4D">
            <w:pPr>
              <w:rPr>
                <w:rFonts w:ascii="Times New Roman" w:hAnsi="Times New Roman" w:cs="Times New Roman"/>
                <w:sz w:val="16"/>
                <w:szCs w:val="16"/>
              </w:rPr>
            </w:pPr>
          </w:p>
        </w:tc>
        <w:tc>
          <w:tcPr>
            <w:tcW w:w="237" w:type="pct"/>
            <w:tcBorders>
              <w:top w:val="single" w:sz="4" w:space="0" w:color="auto"/>
              <w:bottom w:val="single" w:sz="4" w:space="0" w:color="auto"/>
            </w:tcBorders>
            <w:shd w:val="clear" w:color="auto" w:fill="FFFFFF" w:themeFill="background1"/>
          </w:tcPr>
          <w:p w14:paraId="1F04330C" w14:textId="77777777" w:rsidR="001A5B4D" w:rsidRPr="00D91B35" w:rsidRDefault="001A5B4D" w:rsidP="001A5B4D">
            <w:pPr>
              <w:rPr>
                <w:rFonts w:ascii="Times New Roman" w:hAnsi="Times New Roman" w:cs="Times New Roman"/>
                <w:sz w:val="16"/>
                <w:szCs w:val="16"/>
              </w:rPr>
            </w:pPr>
          </w:p>
        </w:tc>
        <w:tc>
          <w:tcPr>
            <w:tcW w:w="237" w:type="pct"/>
            <w:tcBorders>
              <w:top w:val="single" w:sz="4" w:space="0" w:color="auto"/>
              <w:bottom w:val="single" w:sz="4" w:space="0" w:color="auto"/>
            </w:tcBorders>
            <w:shd w:val="clear" w:color="auto" w:fill="FFFFFF" w:themeFill="background1"/>
          </w:tcPr>
          <w:p w14:paraId="7F2716CB" w14:textId="27317828" w:rsidR="001A5B4D" w:rsidRPr="00D91B35" w:rsidRDefault="001A5B4D" w:rsidP="001A5B4D">
            <w:pPr>
              <w:rPr>
                <w:rFonts w:ascii="Times New Roman" w:hAnsi="Times New Roman" w:cs="Times New Roman"/>
                <w:sz w:val="16"/>
                <w:szCs w:val="16"/>
              </w:rPr>
            </w:pPr>
            <w:r>
              <w:rPr>
                <w:rFonts w:ascii="Times New Roman" w:hAnsi="Times New Roman"/>
                <w:sz w:val="16"/>
              </w:rPr>
              <w:t>1 692,0</w:t>
            </w:r>
          </w:p>
        </w:tc>
        <w:tc>
          <w:tcPr>
            <w:tcW w:w="237" w:type="pct"/>
            <w:tcBorders>
              <w:top w:val="single" w:sz="4" w:space="0" w:color="auto"/>
              <w:bottom w:val="single" w:sz="4" w:space="0" w:color="auto"/>
            </w:tcBorders>
            <w:shd w:val="clear" w:color="auto" w:fill="FFFFFF" w:themeFill="background1"/>
          </w:tcPr>
          <w:p w14:paraId="19A255DF" w14:textId="77777777" w:rsidR="001A5B4D" w:rsidRPr="00D91B35" w:rsidRDefault="001A5B4D" w:rsidP="001A5B4D">
            <w:pPr>
              <w:rPr>
                <w:rFonts w:ascii="Times New Roman" w:hAnsi="Times New Roman" w:cs="Times New Roman"/>
                <w:sz w:val="16"/>
                <w:szCs w:val="16"/>
              </w:rPr>
            </w:pPr>
          </w:p>
        </w:tc>
      </w:tr>
      <w:tr w:rsidR="001A5B4D" w:rsidRPr="00D91B35" w14:paraId="35862CA3" w14:textId="77777777" w:rsidTr="008A656B">
        <w:tc>
          <w:tcPr>
            <w:tcW w:w="374" w:type="pct"/>
            <w:tcBorders>
              <w:top w:val="single" w:sz="4" w:space="0" w:color="auto"/>
            </w:tcBorders>
          </w:tcPr>
          <w:p w14:paraId="3CB05C2D" w14:textId="545424AF" w:rsidR="001A5B4D" w:rsidRPr="00D91B35" w:rsidRDefault="001A5B4D" w:rsidP="001A5B4D">
            <w:pPr>
              <w:rPr>
                <w:rFonts w:ascii="Times New Roman" w:hAnsi="Times New Roman" w:cs="Times New Roman"/>
                <w:b/>
                <w:bCs/>
                <w:sz w:val="16"/>
                <w:szCs w:val="16"/>
              </w:rPr>
            </w:pPr>
            <w:r>
              <w:rPr>
                <w:rFonts w:ascii="Times New Roman" w:hAnsi="Times New Roman"/>
                <w:b/>
                <w:sz w:val="16"/>
              </w:rPr>
              <w:t>Pārtika un bagātinātāji</w:t>
            </w:r>
          </w:p>
        </w:tc>
        <w:tc>
          <w:tcPr>
            <w:tcW w:w="231" w:type="pct"/>
            <w:tcBorders>
              <w:top w:val="single" w:sz="4" w:space="0" w:color="auto"/>
            </w:tcBorders>
          </w:tcPr>
          <w:p w14:paraId="54CD1173" w14:textId="530F306E" w:rsidR="001A5B4D" w:rsidRPr="00D91B35" w:rsidRDefault="001A5B4D" w:rsidP="001A5B4D">
            <w:pPr>
              <w:rPr>
                <w:rFonts w:ascii="Times New Roman" w:hAnsi="Times New Roman" w:cs="Times New Roman"/>
                <w:b/>
                <w:bCs/>
                <w:sz w:val="16"/>
                <w:szCs w:val="16"/>
              </w:rPr>
            </w:pPr>
            <w:r>
              <w:rPr>
                <w:rFonts w:ascii="Times New Roman" w:hAnsi="Times New Roman"/>
                <w:b/>
                <w:sz w:val="16"/>
              </w:rPr>
              <w:t>Zēni un meitenes</w:t>
            </w:r>
          </w:p>
        </w:tc>
        <w:tc>
          <w:tcPr>
            <w:tcW w:w="358" w:type="pct"/>
            <w:tcBorders>
              <w:top w:val="single" w:sz="4" w:space="0" w:color="auto"/>
            </w:tcBorders>
          </w:tcPr>
          <w:p w14:paraId="5A234038" w14:textId="69ECF08B" w:rsidR="001A5B4D" w:rsidRPr="00D91B35" w:rsidRDefault="001A5B4D" w:rsidP="001A5B4D">
            <w:pPr>
              <w:rPr>
                <w:rFonts w:ascii="Times New Roman" w:hAnsi="Times New Roman" w:cs="Times New Roman"/>
                <w:b/>
                <w:bCs/>
                <w:sz w:val="16"/>
                <w:szCs w:val="16"/>
              </w:rPr>
            </w:pPr>
            <w:r>
              <w:rPr>
                <w:rFonts w:ascii="Times New Roman" w:hAnsi="Times New Roman"/>
                <w:b/>
                <w:sz w:val="16"/>
              </w:rPr>
              <w:t>Vācija</w:t>
            </w:r>
          </w:p>
        </w:tc>
        <w:tc>
          <w:tcPr>
            <w:tcW w:w="359" w:type="pct"/>
            <w:tcBorders>
              <w:top w:val="single" w:sz="4" w:space="0" w:color="auto"/>
            </w:tcBorders>
          </w:tcPr>
          <w:p w14:paraId="15637D36" w14:textId="672B64FB" w:rsidR="001A5B4D" w:rsidRPr="00D91B35" w:rsidRDefault="001A5B4D" w:rsidP="001A5B4D">
            <w:pPr>
              <w:pStyle w:val="Default"/>
              <w:rPr>
                <w:sz w:val="16"/>
                <w:szCs w:val="16"/>
              </w:rPr>
            </w:pPr>
            <w:r>
              <w:rPr>
                <w:sz w:val="16"/>
              </w:rPr>
              <w:t>(Flynn et al., 2009)</w:t>
            </w:r>
          </w:p>
        </w:tc>
        <w:tc>
          <w:tcPr>
            <w:tcW w:w="839" w:type="pct"/>
            <w:tcBorders>
              <w:top w:val="single" w:sz="4" w:space="0" w:color="auto"/>
            </w:tcBorders>
          </w:tcPr>
          <w:p w14:paraId="24C7446E" w14:textId="32754653" w:rsidR="001A5B4D" w:rsidRPr="00D91B35" w:rsidRDefault="001A5B4D" w:rsidP="001A5B4D">
            <w:pPr>
              <w:rPr>
                <w:rFonts w:ascii="Times New Roman" w:hAnsi="Times New Roman" w:cs="Times New Roman"/>
                <w:sz w:val="16"/>
                <w:szCs w:val="16"/>
              </w:rPr>
            </w:pPr>
            <w:r>
              <w:rPr>
                <w:rFonts w:ascii="Times New Roman" w:hAnsi="Times New Roman"/>
                <w:sz w:val="16"/>
              </w:rPr>
              <w:t>3 dienu uztura pieraksts</w:t>
            </w:r>
          </w:p>
        </w:tc>
        <w:tc>
          <w:tcPr>
            <w:tcW w:w="196" w:type="pct"/>
            <w:tcBorders>
              <w:top w:val="single" w:sz="4" w:space="0" w:color="auto"/>
            </w:tcBorders>
            <w:shd w:val="clear" w:color="auto" w:fill="FFFFFF" w:themeFill="background1"/>
          </w:tcPr>
          <w:p w14:paraId="0B98F233" w14:textId="7A72F051" w:rsidR="001A5B4D" w:rsidRPr="00D91B35" w:rsidRDefault="001A5B4D" w:rsidP="001A5B4D">
            <w:pPr>
              <w:rPr>
                <w:rFonts w:ascii="Times New Roman" w:hAnsi="Times New Roman" w:cs="Times New Roman"/>
                <w:sz w:val="16"/>
                <w:szCs w:val="16"/>
              </w:rPr>
            </w:pPr>
            <w:r>
              <w:rPr>
                <w:rFonts w:ascii="Times New Roman" w:hAnsi="Times New Roman"/>
                <w:sz w:val="16"/>
              </w:rPr>
              <w:t>1 272</w:t>
            </w:r>
          </w:p>
        </w:tc>
        <w:tc>
          <w:tcPr>
            <w:tcW w:w="122" w:type="pct"/>
            <w:tcBorders>
              <w:top w:val="single" w:sz="4" w:space="0" w:color="auto"/>
            </w:tcBorders>
            <w:shd w:val="clear" w:color="auto" w:fill="FFFFFF" w:themeFill="background1"/>
          </w:tcPr>
          <w:p w14:paraId="059057E3" w14:textId="77777777" w:rsidR="001A5B4D" w:rsidRPr="00D91B35" w:rsidRDefault="001A5B4D" w:rsidP="001A5B4D">
            <w:pPr>
              <w:rPr>
                <w:rFonts w:ascii="Times New Roman" w:hAnsi="Times New Roman" w:cs="Times New Roman"/>
                <w:sz w:val="16"/>
                <w:szCs w:val="16"/>
              </w:rPr>
            </w:pPr>
          </w:p>
        </w:tc>
        <w:tc>
          <w:tcPr>
            <w:tcW w:w="183" w:type="pct"/>
            <w:tcBorders>
              <w:top w:val="single" w:sz="4" w:space="0" w:color="auto"/>
            </w:tcBorders>
            <w:shd w:val="clear" w:color="auto" w:fill="FFFFFF" w:themeFill="background1"/>
          </w:tcPr>
          <w:p w14:paraId="0D884C46" w14:textId="3858C8D1" w:rsidR="001A5B4D" w:rsidRPr="00D91B35" w:rsidRDefault="001A5B4D" w:rsidP="001A5B4D">
            <w:pPr>
              <w:rPr>
                <w:rFonts w:ascii="Times New Roman" w:hAnsi="Times New Roman" w:cs="Times New Roman"/>
                <w:sz w:val="16"/>
                <w:szCs w:val="16"/>
              </w:rPr>
            </w:pPr>
            <w:r>
              <w:rPr>
                <w:rFonts w:ascii="Times New Roman" w:hAnsi="Times New Roman"/>
                <w:sz w:val="16"/>
              </w:rPr>
              <w:t>12</w:t>
            </w:r>
          </w:p>
        </w:tc>
        <w:tc>
          <w:tcPr>
            <w:tcW w:w="105" w:type="pct"/>
            <w:tcBorders>
              <w:top w:val="single" w:sz="4" w:space="0" w:color="auto"/>
            </w:tcBorders>
            <w:shd w:val="clear" w:color="auto" w:fill="FFFFFF" w:themeFill="background1"/>
          </w:tcPr>
          <w:p w14:paraId="40E2E4BC" w14:textId="77777777" w:rsidR="001A5B4D" w:rsidRPr="00D91B35" w:rsidRDefault="001A5B4D" w:rsidP="001A5B4D">
            <w:pPr>
              <w:rPr>
                <w:rFonts w:ascii="Times New Roman" w:hAnsi="Times New Roman" w:cs="Times New Roman"/>
                <w:sz w:val="16"/>
                <w:szCs w:val="16"/>
              </w:rPr>
            </w:pPr>
          </w:p>
        </w:tc>
        <w:tc>
          <w:tcPr>
            <w:tcW w:w="186" w:type="pct"/>
            <w:tcBorders>
              <w:top w:val="single" w:sz="4" w:space="0" w:color="auto"/>
            </w:tcBorders>
            <w:shd w:val="clear" w:color="auto" w:fill="FFFFFF" w:themeFill="background1"/>
          </w:tcPr>
          <w:p w14:paraId="5B6DC8D3" w14:textId="2180A6E1" w:rsidR="001A5B4D" w:rsidRPr="00D91B35" w:rsidRDefault="001A5B4D" w:rsidP="001A5B4D">
            <w:pPr>
              <w:rPr>
                <w:rFonts w:ascii="Times New Roman" w:hAnsi="Times New Roman" w:cs="Times New Roman"/>
                <w:sz w:val="16"/>
                <w:szCs w:val="16"/>
              </w:rPr>
            </w:pPr>
            <w:r>
              <w:rPr>
                <w:rFonts w:ascii="Times New Roman" w:hAnsi="Times New Roman"/>
                <w:sz w:val="16"/>
              </w:rPr>
              <w:t>17</w:t>
            </w:r>
          </w:p>
        </w:tc>
        <w:tc>
          <w:tcPr>
            <w:tcW w:w="609" w:type="pct"/>
            <w:tcBorders>
              <w:top w:val="single" w:sz="4" w:space="0" w:color="auto"/>
            </w:tcBorders>
            <w:shd w:val="clear" w:color="auto" w:fill="FFFFFF" w:themeFill="background1"/>
          </w:tcPr>
          <w:p w14:paraId="1DBE4043" w14:textId="77777777" w:rsidR="001A5B4D" w:rsidRPr="00D91B35" w:rsidRDefault="001A5B4D" w:rsidP="001A5B4D">
            <w:pPr>
              <w:rPr>
                <w:rFonts w:ascii="Times New Roman" w:hAnsi="Times New Roman" w:cs="Times New Roman"/>
                <w:sz w:val="16"/>
                <w:szCs w:val="16"/>
              </w:rPr>
            </w:pPr>
          </w:p>
        </w:tc>
        <w:tc>
          <w:tcPr>
            <w:tcW w:w="237" w:type="pct"/>
            <w:tcBorders>
              <w:top w:val="single" w:sz="4" w:space="0" w:color="auto"/>
            </w:tcBorders>
            <w:shd w:val="clear" w:color="auto" w:fill="FFFFFF" w:themeFill="background1"/>
          </w:tcPr>
          <w:p w14:paraId="26B41C9D" w14:textId="724F6F8E" w:rsidR="001A5B4D" w:rsidRPr="00D91B35" w:rsidRDefault="001A5B4D" w:rsidP="001A5B4D">
            <w:pPr>
              <w:rPr>
                <w:rFonts w:ascii="Times New Roman" w:hAnsi="Times New Roman" w:cs="Times New Roman"/>
                <w:sz w:val="16"/>
                <w:szCs w:val="16"/>
              </w:rPr>
            </w:pPr>
            <w:r>
              <w:rPr>
                <w:rFonts w:ascii="Times New Roman" w:hAnsi="Times New Roman"/>
                <w:sz w:val="16"/>
              </w:rPr>
              <w:t>1 350,0</w:t>
            </w:r>
          </w:p>
        </w:tc>
        <w:tc>
          <w:tcPr>
            <w:tcW w:w="251" w:type="pct"/>
            <w:tcBorders>
              <w:top w:val="single" w:sz="4" w:space="0" w:color="auto"/>
            </w:tcBorders>
            <w:shd w:val="clear" w:color="auto" w:fill="FFFFFF" w:themeFill="background1"/>
          </w:tcPr>
          <w:p w14:paraId="66BA7771" w14:textId="05A58C51" w:rsidR="001A5B4D" w:rsidRPr="00D91B35" w:rsidRDefault="001A5B4D" w:rsidP="001A5B4D">
            <w:pPr>
              <w:rPr>
                <w:rFonts w:ascii="Times New Roman" w:hAnsi="Times New Roman" w:cs="Times New Roman"/>
                <w:sz w:val="16"/>
                <w:szCs w:val="16"/>
              </w:rPr>
            </w:pPr>
          </w:p>
        </w:tc>
        <w:tc>
          <w:tcPr>
            <w:tcW w:w="237" w:type="pct"/>
            <w:tcBorders>
              <w:top w:val="single" w:sz="4" w:space="0" w:color="auto"/>
            </w:tcBorders>
            <w:shd w:val="clear" w:color="auto" w:fill="FFFFFF" w:themeFill="background1"/>
          </w:tcPr>
          <w:p w14:paraId="1A852409" w14:textId="77777777" w:rsidR="001A5B4D" w:rsidRPr="00D91B35" w:rsidRDefault="001A5B4D" w:rsidP="001A5B4D">
            <w:pPr>
              <w:rPr>
                <w:rFonts w:ascii="Times New Roman" w:hAnsi="Times New Roman" w:cs="Times New Roman"/>
                <w:sz w:val="16"/>
                <w:szCs w:val="16"/>
              </w:rPr>
            </w:pPr>
          </w:p>
        </w:tc>
        <w:tc>
          <w:tcPr>
            <w:tcW w:w="237" w:type="pct"/>
            <w:tcBorders>
              <w:top w:val="single" w:sz="4" w:space="0" w:color="auto"/>
            </w:tcBorders>
            <w:shd w:val="clear" w:color="auto" w:fill="FFFFFF" w:themeFill="background1"/>
          </w:tcPr>
          <w:p w14:paraId="00C43C06" w14:textId="77777777" w:rsidR="001A5B4D" w:rsidRPr="00D91B35" w:rsidRDefault="001A5B4D" w:rsidP="001A5B4D">
            <w:pPr>
              <w:rPr>
                <w:rFonts w:ascii="Times New Roman" w:hAnsi="Times New Roman" w:cs="Times New Roman"/>
                <w:sz w:val="16"/>
                <w:szCs w:val="16"/>
              </w:rPr>
            </w:pPr>
          </w:p>
        </w:tc>
        <w:tc>
          <w:tcPr>
            <w:tcW w:w="237" w:type="pct"/>
            <w:tcBorders>
              <w:top w:val="single" w:sz="4" w:space="0" w:color="auto"/>
            </w:tcBorders>
            <w:shd w:val="clear" w:color="auto" w:fill="FFFFFF" w:themeFill="background1"/>
          </w:tcPr>
          <w:p w14:paraId="033F61FD" w14:textId="7F760850" w:rsidR="001A5B4D" w:rsidRPr="00D91B35" w:rsidRDefault="001A5B4D" w:rsidP="001A5B4D">
            <w:pPr>
              <w:rPr>
                <w:rFonts w:ascii="Times New Roman" w:hAnsi="Times New Roman" w:cs="Times New Roman"/>
                <w:sz w:val="16"/>
                <w:szCs w:val="16"/>
              </w:rPr>
            </w:pPr>
            <w:r>
              <w:rPr>
                <w:rFonts w:ascii="Times New Roman" w:hAnsi="Times New Roman"/>
                <w:sz w:val="16"/>
              </w:rPr>
              <w:t>1 422,0</w:t>
            </w:r>
          </w:p>
        </w:tc>
        <w:tc>
          <w:tcPr>
            <w:tcW w:w="237" w:type="pct"/>
            <w:tcBorders>
              <w:top w:val="single" w:sz="4" w:space="0" w:color="auto"/>
            </w:tcBorders>
            <w:shd w:val="clear" w:color="auto" w:fill="FFFFFF" w:themeFill="background1"/>
          </w:tcPr>
          <w:p w14:paraId="319ED60B" w14:textId="77777777" w:rsidR="001A5B4D" w:rsidRPr="00D91B35" w:rsidRDefault="001A5B4D" w:rsidP="001A5B4D">
            <w:pPr>
              <w:rPr>
                <w:rFonts w:ascii="Times New Roman" w:hAnsi="Times New Roman" w:cs="Times New Roman"/>
                <w:sz w:val="16"/>
                <w:szCs w:val="16"/>
              </w:rPr>
            </w:pPr>
          </w:p>
        </w:tc>
      </w:tr>
      <w:tr w:rsidR="001A5B4D" w:rsidRPr="00D91B35" w14:paraId="5BDA6A8D" w14:textId="77777777" w:rsidTr="008A656B">
        <w:tc>
          <w:tcPr>
            <w:tcW w:w="374" w:type="pct"/>
          </w:tcPr>
          <w:p w14:paraId="33973DD4" w14:textId="77777777" w:rsidR="001A5B4D" w:rsidRPr="00D91B35" w:rsidRDefault="001A5B4D" w:rsidP="001A5B4D">
            <w:pPr>
              <w:rPr>
                <w:rFonts w:ascii="Times New Roman" w:hAnsi="Times New Roman" w:cs="Times New Roman"/>
                <w:sz w:val="16"/>
                <w:szCs w:val="16"/>
              </w:rPr>
            </w:pPr>
          </w:p>
        </w:tc>
        <w:tc>
          <w:tcPr>
            <w:tcW w:w="231" w:type="pct"/>
          </w:tcPr>
          <w:p w14:paraId="4C2BC84E" w14:textId="77777777" w:rsidR="001A5B4D" w:rsidRPr="00D91B35" w:rsidRDefault="001A5B4D" w:rsidP="001A5B4D">
            <w:pPr>
              <w:rPr>
                <w:rFonts w:ascii="Times New Roman" w:hAnsi="Times New Roman" w:cs="Times New Roman"/>
                <w:sz w:val="16"/>
                <w:szCs w:val="16"/>
              </w:rPr>
            </w:pPr>
          </w:p>
        </w:tc>
        <w:tc>
          <w:tcPr>
            <w:tcW w:w="358" w:type="pct"/>
          </w:tcPr>
          <w:p w14:paraId="46B02D74" w14:textId="2AA84A1D" w:rsidR="001A5B4D" w:rsidRPr="00D91B35" w:rsidRDefault="001A5B4D" w:rsidP="001A5B4D">
            <w:pPr>
              <w:rPr>
                <w:rFonts w:ascii="Times New Roman" w:hAnsi="Times New Roman" w:cs="Times New Roman"/>
                <w:b/>
                <w:bCs/>
                <w:sz w:val="16"/>
                <w:szCs w:val="16"/>
              </w:rPr>
            </w:pPr>
          </w:p>
        </w:tc>
        <w:tc>
          <w:tcPr>
            <w:tcW w:w="359" w:type="pct"/>
          </w:tcPr>
          <w:p w14:paraId="6FCCA22A" w14:textId="77777777" w:rsidR="001A5B4D" w:rsidRPr="00D91B35" w:rsidRDefault="001A5B4D" w:rsidP="001A5B4D">
            <w:pPr>
              <w:rPr>
                <w:rFonts w:ascii="Times New Roman" w:hAnsi="Times New Roman" w:cs="Times New Roman"/>
                <w:sz w:val="16"/>
                <w:szCs w:val="16"/>
              </w:rPr>
            </w:pPr>
          </w:p>
        </w:tc>
        <w:tc>
          <w:tcPr>
            <w:tcW w:w="839" w:type="pct"/>
          </w:tcPr>
          <w:p w14:paraId="18761C19" w14:textId="1AAA8DDB" w:rsidR="001A5B4D" w:rsidRPr="00D91B35" w:rsidRDefault="001A5B4D" w:rsidP="001A5B4D">
            <w:pPr>
              <w:rPr>
                <w:rFonts w:ascii="Times New Roman" w:hAnsi="Times New Roman" w:cs="Times New Roman"/>
                <w:sz w:val="16"/>
                <w:szCs w:val="16"/>
              </w:rPr>
            </w:pPr>
          </w:p>
        </w:tc>
        <w:tc>
          <w:tcPr>
            <w:tcW w:w="196" w:type="pct"/>
            <w:shd w:val="clear" w:color="auto" w:fill="FFFFFF" w:themeFill="background1"/>
          </w:tcPr>
          <w:p w14:paraId="0620A1DC" w14:textId="67BC529B" w:rsidR="001A5B4D" w:rsidRPr="00D91B35" w:rsidRDefault="001A5B4D" w:rsidP="001A5B4D">
            <w:pPr>
              <w:rPr>
                <w:rFonts w:ascii="Times New Roman" w:hAnsi="Times New Roman" w:cs="Times New Roman"/>
                <w:sz w:val="16"/>
                <w:szCs w:val="16"/>
              </w:rPr>
            </w:pPr>
            <w:r>
              <w:rPr>
                <w:rFonts w:ascii="Times New Roman" w:hAnsi="Times New Roman"/>
                <w:sz w:val="16"/>
              </w:rPr>
              <w:t>1 272</w:t>
            </w:r>
          </w:p>
        </w:tc>
        <w:tc>
          <w:tcPr>
            <w:tcW w:w="122" w:type="pct"/>
            <w:shd w:val="clear" w:color="auto" w:fill="FFFFFF" w:themeFill="background1"/>
          </w:tcPr>
          <w:p w14:paraId="2CEE1FEF" w14:textId="77777777" w:rsidR="001A5B4D" w:rsidRPr="00D91B35" w:rsidRDefault="001A5B4D" w:rsidP="001A5B4D">
            <w:pPr>
              <w:rPr>
                <w:rFonts w:ascii="Times New Roman" w:hAnsi="Times New Roman" w:cs="Times New Roman"/>
                <w:sz w:val="16"/>
                <w:szCs w:val="16"/>
              </w:rPr>
            </w:pPr>
          </w:p>
        </w:tc>
        <w:tc>
          <w:tcPr>
            <w:tcW w:w="183" w:type="pct"/>
            <w:shd w:val="clear" w:color="auto" w:fill="FFFFFF" w:themeFill="background1"/>
          </w:tcPr>
          <w:p w14:paraId="464BD157" w14:textId="08E0E44B" w:rsidR="001A5B4D" w:rsidRPr="00D91B35" w:rsidRDefault="001A5B4D" w:rsidP="001A5B4D">
            <w:pPr>
              <w:rPr>
                <w:rFonts w:ascii="Times New Roman" w:hAnsi="Times New Roman" w:cs="Times New Roman"/>
                <w:sz w:val="16"/>
                <w:szCs w:val="16"/>
              </w:rPr>
            </w:pPr>
            <w:r>
              <w:rPr>
                <w:rFonts w:ascii="Times New Roman" w:hAnsi="Times New Roman"/>
                <w:sz w:val="16"/>
              </w:rPr>
              <w:t>12</w:t>
            </w:r>
          </w:p>
        </w:tc>
        <w:tc>
          <w:tcPr>
            <w:tcW w:w="105" w:type="pct"/>
            <w:shd w:val="clear" w:color="auto" w:fill="FFFFFF" w:themeFill="background1"/>
          </w:tcPr>
          <w:p w14:paraId="65AAD550" w14:textId="77777777" w:rsidR="001A5B4D" w:rsidRPr="00D91B35" w:rsidRDefault="001A5B4D" w:rsidP="001A5B4D">
            <w:pPr>
              <w:rPr>
                <w:rFonts w:ascii="Times New Roman" w:hAnsi="Times New Roman" w:cs="Times New Roman"/>
                <w:sz w:val="16"/>
                <w:szCs w:val="16"/>
              </w:rPr>
            </w:pPr>
          </w:p>
        </w:tc>
        <w:tc>
          <w:tcPr>
            <w:tcW w:w="186" w:type="pct"/>
            <w:shd w:val="clear" w:color="auto" w:fill="FFFFFF" w:themeFill="background1"/>
          </w:tcPr>
          <w:p w14:paraId="65C64EAE" w14:textId="0475015A" w:rsidR="001A5B4D" w:rsidRPr="00D91B35" w:rsidRDefault="001A5B4D" w:rsidP="001A5B4D">
            <w:pPr>
              <w:rPr>
                <w:rFonts w:ascii="Times New Roman" w:hAnsi="Times New Roman" w:cs="Times New Roman"/>
                <w:sz w:val="16"/>
                <w:szCs w:val="16"/>
              </w:rPr>
            </w:pPr>
            <w:r>
              <w:rPr>
                <w:rFonts w:ascii="Times New Roman" w:hAnsi="Times New Roman"/>
                <w:sz w:val="16"/>
              </w:rPr>
              <w:t>17</w:t>
            </w:r>
          </w:p>
        </w:tc>
        <w:tc>
          <w:tcPr>
            <w:tcW w:w="609" w:type="pct"/>
            <w:shd w:val="clear" w:color="auto" w:fill="FFFFFF" w:themeFill="background1"/>
          </w:tcPr>
          <w:p w14:paraId="03C54347" w14:textId="148274A1" w:rsidR="001A5B4D" w:rsidRPr="00D91B35" w:rsidRDefault="001A5B4D" w:rsidP="001A5B4D">
            <w:pPr>
              <w:pStyle w:val="Default"/>
              <w:rPr>
                <w:sz w:val="16"/>
                <w:szCs w:val="16"/>
              </w:rPr>
            </w:pPr>
            <w:r>
              <w:rPr>
                <w:sz w:val="16"/>
              </w:rPr>
              <w:t>Ieskaitot bagātinātu pārtiku</w:t>
            </w:r>
          </w:p>
        </w:tc>
        <w:tc>
          <w:tcPr>
            <w:tcW w:w="237" w:type="pct"/>
            <w:shd w:val="clear" w:color="auto" w:fill="FFFFFF" w:themeFill="background1"/>
          </w:tcPr>
          <w:p w14:paraId="41B2BB02" w14:textId="6C778AAD" w:rsidR="001A5B4D" w:rsidRPr="00D91B35" w:rsidRDefault="001A5B4D" w:rsidP="001A5B4D">
            <w:pPr>
              <w:rPr>
                <w:rFonts w:ascii="Times New Roman" w:hAnsi="Times New Roman" w:cs="Times New Roman"/>
                <w:sz w:val="16"/>
                <w:szCs w:val="16"/>
              </w:rPr>
            </w:pPr>
            <w:r>
              <w:rPr>
                <w:rFonts w:ascii="Times New Roman" w:hAnsi="Times New Roman"/>
                <w:sz w:val="16"/>
              </w:rPr>
              <w:t>1 396,0</w:t>
            </w:r>
          </w:p>
        </w:tc>
        <w:tc>
          <w:tcPr>
            <w:tcW w:w="251" w:type="pct"/>
            <w:shd w:val="clear" w:color="auto" w:fill="FFFFFF" w:themeFill="background1"/>
          </w:tcPr>
          <w:p w14:paraId="00BD08C2" w14:textId="77777777" w:rsidR="001A5B4D" w:rsidRPr="00D91B35" w:rsidRDefault="001A5B4D" w:rsidP="001A5B4D">
            <w:pPr>
              <w:rPr>
                <w:rFonts w:ascii="Times New Roman" w:hAnsi="Times New Roman" w:cs="Times New Roman"/>
                <w:sz w:val="16"/>
                <w:szCs w:val="16"/>
              </w:rPr>
            </w:pPr>
          </w:p>
        </w:tc>
        <w:tc>
          <w:tcPr>
            <w:tcW w:w="237" w:type="pct"/>
            <w:shd w:val="clear" w:color="auto" w:fill="FFFFFF" w:themeFill="background1"/>
          </w:tcPr>
          <w:p w14:paraId="6F05A376" w14:textId="77777777" w:rsidR="001A5B4D" w:rsidRPr="00D91B35" w:rsidRDefault="001A5B4D" w:rsidP="001A5B4D">
            <w:pPr>
              <w:rPr>
                <w:rFonts w:ascii="Times New Roman" w:hAnsi="Times New Roman" w:cs="Times New Roman"/>
                <w:sz w:val="16"/>
                <w:szCs w:val="16"/>
              </w:rPr>
            </w:pPr>
          </w:p>
        </w:tc>
        <w:tc>
          <w:tcPr>
            <w:tcW w:w="237" w:type="pct"/>
            <w:shd w:val="clear" w:color="auto" w:fill="FFFFFF" w:themeFill="background1"/>
          </w:tcPr>
          <w:p w14:paraId="465CCD6B" w14:textId="77777777" w:rsidR="001A5B4D" w:rsidRPr="00D91B35" w:rsidRDefault="001A5B4D" w:rsidP="001A5B4D">
            <w:pPr>
              <w:rPr>
                <w:rFonts w:ascii="Times New Roman" w:hAnsi="Times New Roman" w:cs="Times New Roman"/>
                <w:sz w:val="16"/>
                <w:szCs w:val="16"/>
              </w:rPr>
            </w:pPr>
          </w:p>
        </w:tc>
        <w:tc>
          <w:tcPr>
            <w:tcW w:w="237" w:type="pct"/>
            <w:shd w:val="clear" w:color="auto" w:fill="FFFFFF" w:themeFill="background1"/>
          </w:tcPr>
          <w:p w14:paraId="7141684C" w14:textId="4DBA840D" w:rsidR="001A5B4D" w:rsidRPr="00D91B35" w:rsidRDefault="001A5B4D" w:rsidP="001A5B4D">
            <w:pPr>
              <w:rPr>
                <w:rFonts w:ascii="Times New Roman" w:hAnsi="Times New Roman" w:cs="Times New Roman"/>
                <w:sz w:val="16"/>
                <w:szCs w:val="16"/>
              </w:rPr>
            </w:pPr>
            <w:r>
              <w:rPr>
                <w:rFonts w:ascii="Times New Roman" w:hAnsi="Times New Roman"/>
                <w:sz w:val="16"/>
              </w:rPr>
              <w:t>2 515,0</w:t>
            </w:r>
          </w:p>
        </w:tc>
        <w:tc>
          <w:tcPr>
            <w:tcW w:w="237" w:type="pct"/>
            <w:shd w:val="clear" w:color="auto" w:fill="FFFFFF" w:themeFill="background1"/>
          </w:tcPr>
          <w:p w14:paraId="754B110F" w14:textId="77777777" w:rsidR="001A5B4D" w:rsidRPr="00D91B35" w:rsidRDefault="001A5B4D" w:rsidP="001A5B4D">
            <w:pPr>
              <w:rPr>
                <w:rFonts w:ascii="Times New Roman" w:hAnsi="Times New Roman" w:cs="Times New Roman"/>
                <w:sz w:val="16"/>
                <w:szCs w:val="16"/>
              </w:rPr>
            </w:pPr>
          </w:p>
        </w:tc>
      </w:tr>
      <w:tr w:rsidR="001A5B4D" w:rsidRPr="00D91B35" w14:paraId="2ACFE297" w14:textId="77777777" w:rsidTr="008A656B">
        <w:tc>
          <w:tcPr>
            <w:tcW w:w="374" w:type="pct"/>
          </w:tcPr>
          <w:p w14:paraId="5ECEFED5" w14:textId="77777777" w:rsidR="001A5B4D" w:rsidRPr="00D91B35" w:rsidRDefault="001A5B4D" w:rsidP="001A5B4D">
            <w:pPr>
              <w:rPr>
                <w:rFonts w:ascii="Times New Roman" w:hAnsi="Times New Roman" w:cs="Times New Roman"/>
                <w:sz w:val="16"/>
                <w:szCs w:val="16"/>
              </w:rPr>
            </w:pPr>
          </w:p>
        </w:tc>
        <w:tc>
          <w:tcPr>
            <w:tcW w:w="231" w:type="pct"/>
          </w:tcPr>
          <w:p w14:paraId="46132D03" w14:textId="77777777" w:rsidR="001A5B4D" w:rsidRPr="00D91B35" w:rsidRDefault="001A5B4D" w:rsidP="001A5B4D">
            <w:pPr>
              <w:rPr>
                <w:rFonts w:ascii="Times New Roman" w:hAnsi="Times New Roman" w:cs="Times New Roman"/>
                <w:sz w:val="16"/>
                <w:szCs w:val="16"/>
              </w:rPr>
            </w:pPr>
          </w:p>
        </w:tc>
        <w:tc>
          <w:tcPr>
            <w:tcW w:w="358" w:type="pct"/>
          </w:tcPr>
          <w:p w14:paraId="68B29AB0" w14:textId="15300FE2" w:rsidR="001A5B4D" w:rsidRPr="00D91B35" w:rsidRDefault="001A5B4D" w:rsidP="001A5B4D">
            <w:pPr>
              <w:rPr>
                <w:rFonts w:ascii="Times New Roman" w:hAnsi="Times New Roman" w:cs="Times New Roman"/>
                <w:b/>
                <w:bCs/>
                <w:sz w:val="16"/>
                <w:szCs w:val="16"/>
              </w:rPr>
            </w:pPr>
            <w:r>
              <w:rPr>
                <w:rFonts w:ascii="Times New Roman" w:hAnsi="Times New Roman"/>
                <w:b/>
                <w:sz w:val="16"/>
              </w:rPr>
              <w:t>Īrija</w:t>
            </w:r>
          </w:p>
        </w:tc>
        <w:tc>
          <w:tcPr>
            <w:tcW w:w="359" w:type="pct"/>
          </w:tcPr>
          <w:p w14:paraId="26E54089" w14:textId="455B068E" w:rsidR="001A5B4D" w:rsidRPr="00D91B35" w:rsidRDefault="001A5B4D" w:rsidP="001A5B4D">
            <w:pPr>
              <w:pStyle w:val="Default"/>
              <w:rPr>
                <w:sz w:val="16"/>
                <w:szCs w:val="16"/>
              </w:rPr>
            </w:pPr>
            <w:r>
              <w:rPr>
                <w:sz w:val="16"/>
              </w:rPr>
              <w:t>(IUNA (Irish Universities Nutrition Alliance), 2011), b)</w:t>
            </w:r>
          </w:p>
        </w:tc>
        <w:tc>
          <w:tcPr>
            <w:tcW w:w="839" w:type="pct"/>
          </w:tcPr>
          <w:p w14:paraId="43E97F24" w14:textId="1C10C54E" w:rsidR="001A5B4D" w:rsidRPr="00D91B35" w:rsidRDefault="001A5B4D" w:rsidP="001A5B4D">
            <w:pPr>
              <w:rPr>
                <w:rFonts w:ascii="Times New Roman" w:hAnsi="Times New Roman" w:cs="Times New Roman"/>
                <w:sz w:val="16"/>
                <w:szCs w:val="16"/>
              </w:rPr>
            </w:pPr>
            <w:r>
              <w:rPr>
                <w:rFonts w:ascii="Times New Roman" w:hAnsi="Times New Roman"/>
                <w:sz w:val="16"/>
              </w:rPr>
              <w:t>7 dienu uztura pieraksts</w:t>
            </w:r>
          </w:p>
        </w:tc>
        <w:tc>
          <w:tcPr>
            <w:tcW w:w="196" w:type="pct"/>
            <w:shd w:val="clear" w:color="auto" w:fill="FFFFFF" w:themeFill="background1"/>
          </w:tcPr>
          <w:p w14:paraId="6FBF6AD5" w14:textId="7BA53529" w:rsidR="001A5B4D" w:rsidRPr="00D91B35" w:rsidRDefault="001A5B4D" w:rsidP="001A5B4D">
            <w:pPr>
              <w:rPr>
                <w:rFonts w:ascii="Times New Roman" w:hAnsi="Times New Roman" w:cs="Times New Roman"/>
                <w:sz w:val="16"/>
                <w:szCs w:val="16"/>
              </w:rPr>
            </w:pPr>
            <w:r>
              <w:rPr>
                <w:rFonts w:ascii="Times New Roman" w:hAnsi="Times New Roman"/>
                <w:sz w:val="16"/>
              </w:rPr>
              <w:t>441</w:t>
            </w:r>
          </w:p>
        </w:tc>
        <w:tc>
          <w:tcPr>
            <w:tcW w:w="122" w:type="pct"/>
            <w:shd w:val="clear" w:color="auto" w:fill="FFFFFF" w:themeFill="background1"/>
          </w:tcPr>
          <w:p w14:paraId="1D7256A8" w14:textId="77777777" w:rsidR="001A5B4D" w:rsidRPr="00D91B35" w:rsidRDefault="001A5B4D" w:rsidP="001A5B4D">
            <w:pPr>
              <w:rPr>
                <w:rFonts w:ascii="Times New Roman" w:hAnsi="Times New Roman" w:cs="Times New Roman"/>
                <w:sz w:val="16"/>
                <w:szCs w:val="16"/>
              </w:rPr>
            </w:pPr>
          </w:p>
        </w:tc>
        <w:tc>
          <w:tcPr>
            <w:tcW w:w="183" w:type="pct"/>
            <w:shd w:val="clear" w:color="auto" w:fill="FFFFFF" w:themeFill="background1"/>
          </w:tcPr>
          <w:p w14:paraId="46732673" w14:textId="1F1C6AF7" w:rsidR="001A5B4D" w:rsidRPr="00D91B35" w:rsidRDefault="001A5B4D" w:rsidP="001A5B4D">
            <w:pPr>
              <w:rPr>
                <w:rFonts w:ascii="Times New Roman" w:hAnsi="Times New Roman" w:cs="Times New Roman"/>
                <w:sz w:val="16"/>
                <w:szCs w:val="16"/>
              </w:rPr>
            </w:pPr>
            <w:r>
              <w:rPr>
                <w:rFonts w:ascii="Times New Roman" w:hAnsi="Times New Roman"/>
                <w:sz w:val="16"/>
              </w:rPr>
              <w:t>13</w:t>
            </w:r>
          </w:p>
        </w:tc>
        <w:tc>
          <w:tcPr>
            <w:tcW w:w="105" w:type="pct"/>
            <w:shd w:val="clear" w:color="auto" w:fill="FFFFFF" w:themeFill="background1"/>
          </w:tcPr>
          <w:p w14:paraId="4A96E531" w14:textId="77777777" w:rsidR="001A5B4D" w:rsidRPr="00D91B35" w:rsidRDefault="001A5B4D" w:rsidP="001A5B4D">
            <w:pPr>
              <w:rPr>
                <w:rFonts w:ascii="Times New Roman" w:hAnsi="Times New Roman" w:cs="Times New Roman"/>
                <w:sz w:val="16"/>
                <w:szCs w:val="16"/>
              </w:rPr>
            </w:pPr>
          </w:p>
        </w:tc>
        <w:tc>
          <w:tcPr>
            <w:tcW w:w="186" w:type="pct"/>
            <w:shd w:val="clear" w:color="auto" w:fill="FFFFFF" w:themeFill="background1"/>
          </w:tcPr>
          <w:p w14:paraId="19E3535B" w14:textId="75605907" w:rsidR="001A5B4D" w:rsidRPr="00D91B35" w:rsidRDefault="001A5B4D" w:rsidP="001A5B4D">
            <w:pPr>
              <w:rPr>
                <w:rFonts w:ascii="Times New Roman" w:hAnsi="Times New Roman" w:cs="Times New Roman"/>
                <w:sz w:val="16"/>
                <w:szCs w:val="16"/>
              </w:rPr>
            </w:pPr>
            <w:r>
              <w:rPr>
                <w:rFonts w:ascii="Times New Roman" w:hAnsi="Times New Roman"/>
                <w:sz w:val="16"/>
              </w:rPr>
              <w:t>17</w:t>
            </w:r>
          </w:p>
        </w:tc>
        <w:tc>
          <w:tcPr>
            <w:tcW w:w="609" w:type="pct"/>
            <w:shd w:val="clear" w:color="auto" w:fill="FFFFFF" w:themeFill="background1"/>
          </w:tcPr>
          <w:p w14:paraId="410199A2" w14:textId="77777777" w:rsidR="001A5B4D" w:rsidRPr="00D91B35" w:rsidRDefault="001A5B4D" w:rsidP="001A5B4D">
            <w:pPr>
              <w:rPr>
                <w:rFonts w:ascii="Times New Roman" w:hAnsi="Times New Roman" w:cs="Times New Roman"/>
                <w:sz w:val="16"/>
                <w:szCs w:val="16"/>
              </w:rPr>
            </w:pPr>
          </w:p>
        </w:tc>
        <w:tc>
          <w:tcPr>
            <w:tcW w:w="237" w:type="pct"/>
            <w:shd w:val="clear" w:color="auto" w:fill="FFFFFF" w:themeFill="background1"/>
          </w:tcPr>
          <w:p w14:paraId="756FB1F1" w14:textId="411004DC" w:rsidR="001A5B4D" w:rsidRPr="00D91B35" w:rsidRDefault="001A5B4D" w:rsidP="001A5B4D">
            <w:pPr>
              <w:rPr>
                <w:rFonts w:ascii="Times New Roman" w:hAnsi="Times New Roman" w:cs="Times New Roman"/>
                <w:sz w:val="16"/>
                <w:szCs w:val="16"/>
              </w:rPr>
            </w:pPr>
            <w:r>
              <w:rPr>
                <w:rFonts w:ascii="Times New Roman" w:hAnsi="Times New Roman"/>
                <w:sz w:val="16"/>
              </w:rPr>
              <w:t>906,0</w:t>
            </w:r>
          </w:p>
        </w:tc>
        <w:tc>
          <w:tcPr>
            <w:tcW w:w="251" w:type="pct"/>
            <w:shd w:val="clear" w:color="auto" w:fill="FFFFFF" w:themeFill="background1"/>
          </w:tcPr>
          <w:p w14:paraId="590A5F70" w14:textId="77777777" w:rsidR="001A5B4D" w:rsidRPr="00D91B35" w:rsidRDefault="001A5B4D" w:rsidP="001A5B4D">
            <w:pPr>
              <w:rPr>
                <w:rFonts w:ascii="Times New Roman" w:hAnsi="Times New Roman" w:cs="Times New Roman"/>
                <w:sz w:val="16"/>
                <w:szCs w:val="16"/>
              </w:rPr>
            </w:pPr>
          </w:p>
        </w:tc>
        <w:tc>
          <w:tcPr>
            <w:tcW w:w="237" w:type="pct"/>
            <w:shd w:val="clear" w:color="auto" w:fill="FFFFFF" w:themeFill="background1"/>
          </w:tcPr>
          <w:p w14:paraId="7DFC334F" w14:textId="77777777" w:rsidR="001A5B4D" w:rsidRPr="00D91B35" w:rsidRDefault="001A5B4D" w:rsidP="001A5B4D">
            <w:pPr>
              <w:rPr>
                <w:rFonts w:ascii="Times New Roman" w:hAnsi="Times New Roman" w:cs="Times New Roman"/>
                <w:sz w:val="16"/>
                <w:szCs w:val="16"/>
              </w:rPr>
            </w:pPr>
          </w:p>
        </w:tc>
        <w:tc>
          <w:tcPr>
            <w:tcW w:w="237" w:type="pct"/>
            <w:shd w:val="clear" w:color="auto" w:fill="FFFFFF" w:themeFill="background1"/>
          </w:tcPr>
          <w:p w14:paraId="4F4965EB" w14:textId="77777777" w:rsidR="001A5B4D" w:rsidRPr="00D91B35" w:rsidRDefault="001A5B4D" w:rsidP="001A5B4D">
            <w:pPr>
              <w:rPr>
                <w:rFonts w:ascii="Times New Roman" w:hAnsi="Times New Roman" w:cs="Times New Roman"/>
                <w:sz w:val="16"/>
                <w:szCs w:val="16"/>
              </w:rPr>
            </w:pPr>
          </w:p>
        </w:tc>
        <w:tc>
          <w:tcPr>
            <w:tcW w:w="237" w:type="pct"/>
            <w:shd w:val="clear" w:color="auto" w:fill="FFFFFF" w:themeFill="background1"/>
          </w:tcPr>
          <w:p w14:paraId="4DD7CAE7" w14:textId="6A5FE975" w:rsidR="001A5B4D" w:rsidRPr="00D91B35" w:rsidRDefault="001A5B4D" w:rsidP="001A5B4D">
            <w:pPr>
              <w:rPr>
                <w:rFonts w:ascii="Times New Roman" w:hAnsi="Times New Roman" w:cs="Times New Roman"/>
                <w:sz w:val="16"/>
                <w:szCs w:val="16"/>
              </w:rPr>
            </w:pPr>
            <w:r>
              <w:rPr>
                <w:rFonts w:ascii="Times New Roman" w:hAnsi="Times New Roman"/>
                <w:sz w:val="16"/>
              </w:rPr>
              <w:t>1 657,0</w:t>
            </w:r>
          </w:p>
        </w:tc>
        <w:tc>
          <w:tcPr>
            <w:tcW w:w="237" w:type="pct"/>
            <w:shd w:val="clear" w:color="auto" w:fill="FFFFFF" w:themeFill="background1"/>
          </w:tcPr>
          <w:p w14:paraId="6A8FD449" w14:textId="77777777" w:rsidR="001A5B4D" w:rsidRPr="00D91B35" w:rsidRDefault="001A5B4D" w:rsidP="001A5B4D">
            <w:pPr>
              <w:rPr>
                <w:rFonts w:ascii="Times New Roman" w:hAnsi="Times New Roman" w:cs="Times New Roman"/>
                <w:sz w:val="16"/>
                <w:szCs w:val="16"/>
              </w:rPr>
            </w:pPr>
          </w:p>
        </w:tc>
      </w:tr>
      <w:tr w:rsidR="001A5B4D" w:rsidRPr="00D91B35" w14:paraId="1D7727E9" w14:textId="77777777" w:rsidTr="008A656B">
        <w:tc>
          <w:tcPr>
            <w:tcW w:w="374" w:type="pct"/>
          </w:tcPr>
          <w:p w14:paraId="435BE264" w14:textId="77777777" w:rsidR="001A5B4D" w:rsidRPr="00D91B35" w:rsidRDefault="001A5B4D" w:rsidP="001A5B4D">
            <w:pPr>
              <w:rPr>
                <w:rFonts w:ascii="Times New Roman" w:hAnsi="Times New Roman" w:cs="Times New Roman"/>
                <w:sz w:val="16"/>
                <w:szCs w:val="16"/>
              </w:rPr>
            </w:pPr>
          </w:p>
        </w:tc>
        <w:tc>
          <w:tcPr>
            <w:tcW w:w="231" w:type="pct"/>
          </w:tcPr>
          <w:p w14:paraId="3708EE4B" w14:textId="77777777" w:rsidR="001A5B4D" w:rsidRPr="00D91B35" w:rsidRDefault="001A5B4D" w:rsidP="001A5B4D">
            <w:pPr>
              <w:rPr>
                <w:rFonts w:ascii="Times New Roman" w:hAnsi="Times New Roman" w:cs="Times New Roman"/>
                <w:sz w:val="16"/>
                <w:szCs w:val="16"/>
              </w:rPr>
            </w:pPr>
          </w:p>
        </w:tc>
        <w:tc>
          <w:tcPr>
            <w:tcW w:w="358" w:type="pct"/>
          </w:tcPr>
          <w:p w14:paraId="6CAA9686" w14:textId="1ABDEB34" w:rsidR="001A5B4D" w:rsidRPr="00D91B35" w:rsidRDefault="001A5B4D" w:rsidP="001A5B4D">
            <w:pPr>
              <w:rPr>
                <w:rFonts w:ascii="Times New Roman" w:hAnsi="Times New Roman" w:cs="Times New Roman"/>
                <w:b/>
                <w:bCs/>
                <w:sz w:val="16"/>
                <w:szCs w:val="16"/>
              </w:rPr>
            </w:pPr>
            <w:r>
              <w:rPr>
                <w:rFonts w:ascii="Times New Roman" w:hAnsi="Times New Roman"/>
                <w:b/>
                <w:sz w:val="16"/>
              </w:rPr>
              <w:t>Polija</w:t>
            </w:r>
          </w:p>
        </w:tc>
        <w:tc>
          <w:tcPr>
            <w:tcW w:w="359" w:type="pct"/>
          </w:tcPr>
          <w:p w14:paraId="675D865E" w14:textId="725B65D6" w:rsidR="001A5B4D" w:rsidRPr="00D91B35" w:rsidRDefault="001A5B4D" w:rsidP="001A5B4D">
            <w:pPr>
              <w:pStyle w:val="Default"/>
              <w:rPr>
                <w:sz w:val="16"/>
                <w:szCs w:val="16"/>
              </w:rPr>
            </w:pPr>
            <w:r>
              <w:rPr>
                <w:sz w:val="16"/>
              </w:rPr>
              <w:t>(Flynn et al., 2009)</w:t>
            </w:r>
          </w:p>
        </w:tc>
        <w:tc>
          <w:tcPr>
            <w:tcW w:w="839" w:type="pct"/>
          </w:tcPr>
          <w:p w14:paraId="09F8AF60" w14:textId="514107DE" w:rsidR="001A5B4D" w:rsidRPr="00D91B35" w:rsidRDefault="001A5B4D" w:rsidP="001A5B4D">
            <w:pPr>
              <w:rPr>
                <w:rFonts w:ascii="Times New Roman" w:hAnsi="Times New Roman" w:cs="Times New Roman"/>
                <w:sz w:val="16"/>
                <w:szCs w:val="16"/>
              </w:rPr>
            </w:pPr>
            <w:r>
              <w:rPr>
                <w:rFonts w:ascii="Times New Roman" w:hAnsi="Times New Roman"/>
                <w:sz w:val="16"/>
              </w:rPr>
              <w:t>24 stundu atcerēšanās anketa</w:t>
            </w:r>
          </w:p>
        </w:tc>
        <w:tc>
          <w:tcPr>
            <w:tcW w:w="196" w:type="pct"/>
            <w:shd w:val="clear" w:color="auto" w:fill="FFFFFF" w:themeFill="background1"/>
          </w:tcPr>
          <w:p w14:paraId="246CA695" w14:textId="787B2064" w:rsidR="001A5B4D" w:rsidRPr="00D91B35" w:rsidRDefault="001A5B4D" w:rsidP="001A5B4D">
            <w:pPr>
              <w:rPr>
                <w:rFonts w:ascii="Times New Roman" w:hAnsi="Times New Roman" w:cs="Times New Roman"/>
                <w:sz w:val="16"/>
                <w:szCs w:val="16"/>
              </w:rPr>
            </w:pPr>
            <w:r>
              <w:rPr>
                <w:rFonts w:ascii="Times New Roman" w:hAnsi="Times New Roman"/>
                <w:sz w:val="16"/>
              </w:rPr>
              <w:t>581</w:t>
            </w:r>
          </w:p>
        </w:tc>
        <w:tc>
          <w:tcPr>
            <w:tcW w:w="122" w:type="pct"/>
            <w:shd w:val="clear" w:color="auto" w:fill="FFFFFF" w:themeFill="background1"/>
          </w:tcPr>
          <w:p w14:paraId="773F5826" w14:textId="77777777" w:rsidR="001A5B4D" w:rsidRPr="00D91B35" w:rsidRDefault="001A5B4D" w:rsidP="001A5B4D">
            <w:pPr>
              <w:rPr>
                <w:rFonts w:ascii="Times New Roman" w:hAnsi="Times New Roman" w:cs="Times New Roman"/>
                <w:sz w:val="16"/>
                <w:szCs w:val="16"/>
              </w:rPr>
            </w:pPr>
          </w:p>
        </w:tc>
        <w:tc>
          <w:tcPr>
            <w:tcW w:w="183" w:type="pct"/>
            <w:shd w:val="clear" w:color="auto" w:fill="FFFFFF" w:themeFill="background1"/>
          </w:tcPr>
          <w:p w14:paraId="5425A895" w14:textId="5D6EDA70" w:rsidR="001A5B4D" w:rsidRPr="00D91B35" w:rsidRDefault="001A5B4D" w:rsidP="001A5B4D">
            <w:pPr>
              <w:rPr>
                <w:rFonts w:ascii="Times New Roman" w:hAnsi="Times New Roman" w:cs="Times New Roman"/>
                <w:sz w:val="16"/>
                <w:szCs w:val="16"/>
              </w:rPr>
            </w:pPr>
            <w:r>
              <w:rPr>
                <w:rFonts w:ascii="Times New Roman" w:hAnsi="Times New Roman"/>
                <w:sz w:val="16"/>
              </w:rPr>
              <w:t>11</w:t>
            </w:r>
          </w:p>
        </w:tc>
        <w:tc>
          <w:tcPr>
            <w:tcW w:w="105" w:type="pct"/>
            <w:shd w:val="clear" w:color="auto" w:fill="FFFFFF" w:themeFill="background1"/>
          </w:tcPr>
          <w:p w14:paraId="43C142DB" w14:textId="77777777" w:rsidR="001A5B4D" w:rsidRPr="00D91B35" w:rsidRDefault="001A5B4D" w:rsidP="001A5B4D">
            <w:pPr>
              <w:rPr>
                <w:rFonts w:ascii="Times New Roman" w:hAnsi="Times New Roman" w:cs="Times New Roman"/>
                <w:sz w:val="16"/>
                <w:szCs w:val="16"/>
              </w:rPr>
            </w:pPr>
          </w:p>
        </w:tc>
        <w:tc>
          <w:tcPr>
            <w:tcW w:w="186" w:type="pct"/>
            <w:shd w:val="clear" w:color="auto" w:fill="FFFFFF" w:themeFill="background1"/>
          </w:tcPr>
          <w:p w14:paraId="682EA685" w14:textId="33F12A62" w:rsidR="001A5B4D" w:rsidRPr="00D91B35" w:rsidRDefault="001A5B4D" w:rsidP="001A5B4D">
            <w:pPr>
              <w:rPr>
                <w:rFonts w:ascii="Times New Roman" w:hAnsi="Times New Roman" w:cs="Times New Roman"/>
                <w:sz w:val="16"/>
                <w:szCs w:val="16"/>
              </w:rPr>
            </w:pPr>
            <w:r>
              <w:rPr>
                <w:rFonts w:ascii="Times New Roman" w:hAnsi="Times New Roman"/>
                <w:sz w:val="16"/>
              </w:rPr>
              <w:t>17</w:t>
            </w:r>
          </w:p>
        </w:tc>
        <w:tc>
          <w:tcPr>
            <w:tcW w:w="609" w:type="pct"/>
            <w:shd w:val="clear" w:color="auto" w:fill="FFFFFF" w:themeFill="background1"/>
          </w:tcPr>
          <w:p w14:paraId="60B729C9" w14:textId="77777777" w:rsidR="001A5B4D" w:rsidRPr="00D91B35" w:rsidRDefault="001A5B4D" w:rsidP="001A5B4D">
            <w:pPr>
              <w:rPr>
                <w:rFonts w:ascii="Times New Roman" w:hAnsi="Times New Roman" w:cs="Times New Roman"/>
                <w:sz w:val="16"/>
                <w:szCs w:val="16"/>
              </w:rPr>
            </w:pPr>
          </w:p>
        </w:tc>
        <w:tc>
          <w:tcPr>
            <w:tcW w:w="237" w:type="pct"/>
            <w:shd w:val="clear" w:color="auto" w:fill="FFFFFF" w:themeFill="background1"/>
          </w:tcPr>
          <w:p w14:paraId="6DCAEC51" w14:textId="5C67F236" w:rsidR="001A5B4D" w:rsidRPr="00D91B35" w:rsidRDefault="001A5B4D" w:rsidP="001A5B4D">
            <w:pPr>
              <w:rPr>
                <w:rFonts w:ascii="Times New Roman" w:hAnsi="Times New Roman" w:cs="Times New Roman"/>
                <w:sz w:val="16"/>
                <w:szCs w:val="16"/>
              </w:rPr>
            </w:pPr>
            <w:r>
              <w:rPr>
                <w:rFonts w:ascii="Times New Roman" w:hAnsi="Times New Roman"/>
                <w:sz w:val="16"/>
              </w:rPr>
              <w:t>1 398,0</w:t>
            </w:r>
          </w:p>
        </w:tc>
        <w:tc>
          <w:tcPr>
            <w:tcW w:w="251" w:type="pct"/>
            <w:shd w:val="clear" w:color="auto" w:fill="FFFFFF" w:themeFill="background1"/>
          </w:tcPr>
          <w:p w14:paraId="1CD8D9A3" w14:textId="77777777" w:rsidR="001A5B4D" w:rsidRPr="00D91B35" w:rsidRDefault="001A5B4D" w:rsidP="001A5B4D">
            <w:pPr>
              <w:rPr>
                <w:rFonts w:ascii="Times New Roman" w:hAnsi="Times New Roman" w:cs="Times New Roman"/>
                <w:sz w:val="16"/>
                <w:szCs w:val="16"/>
              </w:rPr>
            </w:pPr>
          </w:p>
        </w:tc>
        <w:tc>
          <w:tcPr>
            <w:tcW w:w="237" w:type="pct"/>
            <w:shd w:val="clear" w:color="auto" w:fill="FFFFFF" w:themeFill="background1"/>
          </w:tcPr>
          <w:p w14:paraId="4621FF95" w14:textId="77777777" w:rsidR="001A5B4D" w:rsidRPr="00D91B35" w:rsidRDefault="001A5B4D" w:rsidP="001A5B4D">
            <w:pPr>
              <w:rPr>
                <w:rFonts w:ascii="Times New Roman" w:hAnsi="Times New Roman" w:cs="Times New Roman"/>
                <w:sz w:val="16"/>
                <w:szCs w:val="16"/>
              </w:rPr>
            </w:pPr>
          </w:p>
        </w:tc>
        <w:tc>
          <w:tcPr>
            <w:tcW w:w="237" w:type="pct"/>
            <w:shd w:val="clear" w:color="auto" w:fill="FFFFFF" w:themeFill="background1"/>
          </w:tcPr>
          <w:p w14:paraId="2156C7E7" w14:textId="77777777" w:rsidR="001A5B4D" w:rsidRPr="00D91B35" w:rsidRDefault="001A5B4D" w:rsidP="001A5B4D">
            <w:pPr>
              <w:rPr>
                <w:rFonts w:ascii="Times New Roman" w:hAnsi="Times New Roman" w:cs="Times New Roman"/>
                <w:sz w:val="16"/>
                <w:szCs w:val="16"/>
              </w:rPr>
            </w:pPr>
          </w:p>
        </w:tc>
        <w:tc>
          <w:tcPr>
            <w:tcW w:w="237" w:type="pct"/>
            <w:shd w:val="clear" w:color="auto" w:fill="FFFFFF" w:themeFill="background1"/>
          </w:tcPr>
          <w:p w14:paraId="193FBB6B" w14:textId="4120221F" w:rsidR="001A5B4D" w:rsidRPr="00D91B35" w:rsidRDefault="001A5B4D" w:rsidP="001A5B4D">
            <w:pPr>
              <w:rPr>
                <w:rFonts w:ascii="Times New Roman" w:hAnsi="Times New Roman" w:cs="Times New Roman"/>
                <w:sz w:val="16"/>
                <w:szCs w:val="16"/>
              </w:rPr>
            </w:pPr>
            <w:r>
              <w:rPr>
                <w:rFonts w:ascii="Times New Roman" w:hAnsi="Times New Roman"/>
                <w:sz w:val="16"/>
              </w:rPr>
              <w:t>2 975,0</w:t>
            </w:r>
          </w:p>
        </w:tc>
        <w:tc>
          <w:tcPr>
            <w:tcW w:w="237" w:type="pct"/>
            <w:shd w:val="clear" w:color="auto" w:fill="FFFFFF" w:themeFill="background1"/>
          </w:tcPr>
          <w:p w14:paraId="3D05AAD3" w14:textId="77777777" w:rsidR="001A5B4D" w:rsidRPr="00D91B35" w:rsidRDefault="001A5B4D" w:rsidP="001A5B4D">
            <w:pPr>
              <w:rPr>
                <w:rFonts w:ascii="Times New Roman" w:hAnsi="Times New Roman" w:cs="Times New Roman"/>
                <w:sz w:val="16"/>
                <w:szCs w:val="16"/>
              </w:rPr>
            </w:pPr>
          </w:p>
        </w:tc>
      </w:tr>
      <w:tr w:rsidR="001A5B4D" w:rsidRPr="00D91B35" w14:paraId="013B492A" w14:textId="77777777" w:rsidTr="008A656B">
        <w:tc>
          <w:tcPr>
            <w:tcW w:w="374" w:type="pct"/>
          </w:tcPr>
          <w:p w14:paraId="198C9283" w14:textId="77777777" w:rsidR="001A5B4D" w:rsidRPr="00D91B35" w:rsidRDefault="001A5B4D" w:rsidP="001A5B4D">
            <w:pPr>
              <w:rPr>
                <w:rFonts w:ascii="Times New Roman" w:hAnsi="Times New Roman" w:cs="Times New Roman"/>
                <w:sz w:val="16"/>
                <w:szCs w:val="16"/>
              </w:rPr>
            </w:pPr>
          </w:p>
        </w:tc>
        <w:tc>
          <w:tcPr>
            <w:tcW w:w="231" w:type="pct"/>
          </w:tcPr>
          <w:p w14:paraId="40DD6B5B" w14:textId="77777777" w:rsidR="001A5B4D" w:rsidRPr="00D91B35" w:rsidRDefault="001A5B4D" w:rsidP="001A5B4D">
            <w:pPr>
              <w:rPr>
                <w:rFonts w:ascii="Times New Roman" w:hAnsi="Times New Roman" w:cs="Times New Roman"/>
                <w:sz w:val="16"/>
                <w:szCs w:val="16"/>
              </w:rPr>
            </w:pPr>
          </w:p>
        </w:tc>
        <w:tc>
          <w:tcPr>
            <w:tcW w:w="358" w:type="pct"/>
          </w:tcPr>
          <w:p w14:paraId="096C4BA4" w14:textId="2490B5D2" w:rsidR="001A5B4D" w:rsidRPr="00D91B35" w:rsidRDefault="001A5B4D" w:rsidP="001A5B4D">
            <w:pPr>
              <w:rPr>
                <w:rFonts w:ascii="Times New Roman" w:hAnsi="Times New Roman" w:cs="Times New Roman"/>
                <w:b/>
                <w:bCs/>
                <w:sz w:val="16"/>
                <w:szCs w:val="16"/>
              </w:rPr>
            </w:pPr>
            <w:r>
              <w:rPr>
                <w:rFonts w:ascii="Times New Roman" w:hAnsi="Times New Roman"/>
                <w:b/>
                <w:sz w:val="16"/>
              </w:rPr>
              <w:t>Spānija</w:t>
            </w:r>
          </w:p>
        </w:tc>
        <w:tc>
          <w:tcPr>
            <w:tcW w:w="359" w:type="pct"/>
          </w:tcPr>
          <w:p w14:paraId="1A9E944B" w14:textId="290337CA" w:rsidR="001A5B4D" w:rsidRPr="00D91B35" w:rsidRDefault="001A5B4D" w:rsidP="001A5B4D">
            <w:pPr>
              <w:pStyle w:val="Default"/>
              <w:rPr>
                <w:sz w:val="16"/>
                <w:szCs w:val="16"/>
              </w:rPr>
            </w:pPr>
            <w:r>
              <w:rPr>
                <w:sz w:val="16"/>
              </w:rPr>
              <w:t>(Flynn et al., 2009)</w:t>
            </w:r>
          </w:p>
        </w:tc>
        <w:tc>
          <w:tcPr>
            <w:tcW w:w="839" w:type="pct"/>
          </w:tcPr>
          <w:p w14:paraId="50ABC02F" w14:textId="4798A7FF" w:rsidR="001A5B4D" w:rsidRPr="00D91B35" w:rsidRDefault="001A5B4D" w:rsidP="001A5B4D">
            <w:pPr>
              <w:pStyle w:val="Default"/>
              <w:rPr>
                <w:sz w:val="16"/>
                <w:szCs w:val="16"/>
              </w:rPr>
            </w:pPr>
            <w:r>
              <w:rPr>
                <w:sz w:val="16"/>
              </w:rPr>
              <w:t>24 stundu atcerēšanās anketa un aptauja pārtikas produktu lietošanas biežuma noteikšanai, vēl viens 24 stundu atcerēšanās anketa 25–30 % no izlases</w:t>
            </w:r>
          </w:p>
        </w:tc>
        <w:tc>
          <w:tcPr>
            <w:tcW w:w="196" w:type="pct"/>
            <w:shd w:val="clear" w:color="auto" w:fill="FFFFFF" w:themeFill="background1"/>
          </w:tcPr>
          <w:p w14:paraId="67F8BB17" w14:textId="0EFC15C9" w:rsidR="001A5B4D" w:rsidRPr="00D91B35" w:rsidRDefault="001A5B4D" w:rsidP="001A5B4D">
            <w:pPr>
              <w:rPr>
                <w:rFonts w:ascii="Times New Roman" w:hAnsi="Times New Roman" w:cs="Times New Roman"/>
                <w:sz w:val="16"/>
                <w:szCs w:val="16"/>
              </w:rPr>
            </w:pPr>
            <w:r>
              <w:rPr>
                <w:rFonts w:ascii="Times New Roman" w:hAnsi="Times New Roman"/>
                <w:sz w:val="16"/>
              </w:rPr>
              <w:t>1 137</w:t>
            </w:r>
          </w:p>
        </w:tc>
        <w:tc>
          <w:tcPr>
            <w:tcW w:w="122" w:type="pct"/>
            <w:shd w:val="clear" w:color="auto" w:fill="FFFFFF" w:themeFill="background1"/>
          </w:tcPr>
          <w:p w14:paraId="4C2E5066" w14:textId="77777777" w:rsidR="001A5B4D" w:rsidRPr="00D91B35" w:rsidRDefault="001A5B4D" w:rsidP="001A5B4D">
            <w:pPr>
              <w:rPr>
                <w:rFonts w:ascii="Times New Roman" w:hAnsi="Times New Roman" w:cs="Times New Roman"/>
                <w:sz w:val="16"/>
                <w:szCs w:val="16"/>
              </w:rPr>
            </w:pPr>
          </w:p>
        </w:tc>
        <w:tc>
          <w:tcPr>
            <w:tcW w:w="183" w:type="pct"/>
            <w:shd w:val="clear" w:color="auto" w:fill="FFFFFF" w:themeFill="background1"/>
          </w:tcPr>
          <w:p w14:paraId="27CF3A3D" w14:textId="36C62FDE" w:rsidR="001A5B4D" w:rsidRPr="00D91B35" w:rsidRDefault="001A5B4D" w:rsidP="001A5B4D">
            <w:pPr>
              <w:rPr>
                <w:rFonts w:ascii="Times New Roman" w:hAnsi="Times New Roman" w:cs="Times New Roman"/>
                <w:sz w:val="16"/>
                <w:szCs w:val="16"/>
              </w:rPr>
            </w:pPr>
            <w:r>
              <w:rPr>
                <w:rFonts w:ascii="Times New Roman" w:hAnsi="Times New Roman"/>
                <w:sz w:val="16"/>
              </w:rPr>
              <w:t>11</w:t>
            </w:r>
          </w:p>
        </w:tc>
        <w:tc>
          <w:tcPr>
            <w:tcW w:w="105" w:type="pct"/>
            <w:shd w:val="clear" w:color="auto" w:fill="FFFFFF" w:themeFill="background1"/>
          </w:tcPr>
          <w:p w14:paraId="53FA0030" w14:textId="77777777" w:rsidR="001A5B4D" w:rsidRPr="00D91B35" w:rsidRDefault="001A5B4D" w:rsidP="001A5B4D">
            <w:pPr>
              <w:rPr>
                <w:rFonts w:ascii="Times New Roman" w:hAnsi="Times New Roman" w:cs="Times New Roman"/>
                <w:sz w:val="16"/>
                <w:szCs w:val="16"/>
              </w:rPr>
            </w:pPr>
          </w:p>
        </w:tc>
        <w:tc>
          <w:tcPr>
            <w:tcW w:w="186" w:type="pct"/>
            <w:shd w:val="clear" w:color="auto" w:fill="FFFFFF" w:themeFill="background1"/>
          </w:tcPr>
          <w:p w14:paraId="38E61CF6" w14:textId="3204BFED" w:rsidR="001A5B4D" w:rsidRPr="00D91B35" w:rsidRDefault="001A5B4D" w:rsidP="001A5B4D">
            <w:pPr>
              <w:rPr>
                <w:rFonts w:ascii="Times New Roman" w:hAnsi="Times New Roman" w:cs="Times New Roman"/>
                <w:sz w:val="16"/>
                <w:szCs w:val="16"/>
              </w:rPr>
            </w:pPr>
            <w:r>
              <w:rPr>
                <w:rFonts w:ascii="Times New Roman" w:hAnsi="Times New Roman"/>
                <w:sz w:val="16"/>
              </w:rPr>
              <w:t>17</w:t>
            </w:r>
          </w:p>
        </w:tc>
        <w:tc>
          <w:tcPr>
            <w:tcW w:w="609" w:type="pct"/>
            <w:shd w:val="clear" w:color="auto" w:fill="FFFFFF" w:themeFill="background1"/>
          </w:tcPr>
          <w:p w14:paraId="6EF1D5F1" w14:textId="047E2A7B" w:rsidR="001A5B4D" w:rsidRPr="00D91B35" w:rsidRDefault="001A5B4D" w:rsidP="001A5B4D">
            <w:pPr>
              <w:pStyle w:val="Default"/>
              <w:rPr>
                <w:sz w:val="16"/>
                <w:szCs w:val="16"/>
              </w:rPr>
            </w:pPr>
            <w:r>
              <w:rPr>
                <w:sz w:val="16"/>
              </w:rPr>
              <w:t>Ieskaitot bagātinātu pārtiku</w:t>
            </w:r>
          </w:p>
        </w:tc>
        <w:tc>
          <w:tcPr>
            <w:tcW w:w="237" w:type="pct"/>
            <w:shd w:val="clear" w:color="auto" w:fill="FFFFFF" w:themeFill="background1"/>
          </w:tcPr>
          <w:p w14:paraId="4EA970D1" w14:textId="615C1999" w:rsidR="001A5B4D" w:rsidRPr="00D91B35" w:rsidRDefault="001A5B4D" w:rsidP="001A5B4D">
            <w:pPr>
              <w:rPr>
                <w:rFonts w:ascii="Times New Roman" w:hAnsi="Times New Roman" w:cs="Times New Roman"/>
                <w:sz w:val="16"/>
                <w:szCs w:val="16"/>
              </w:rPr>
            </w:pPr>
            <w:r>
              <w:rPr>
                <w:rFonts w:ascii="Times New Roman" w:hAnsi="Times New Roman"/>
                <w:sz w:val="16"/>
              </w:rPr>
              <w:t>900,0</w:t>
            </w:r>
          </w:p>
        </w:tc>
        <w:tc>
          <w:tcPr>
            <w:tcW w:w="251" w:type="pct"/>
            <w:shd w:val="clear" w:color="auto" w:fill="FFFFFF" w:themeFill="background1"/>
          </w:tcPr>
          <w:p w14:paraId="5559DBEA" w14:textId="77777777" w:rsidR="001A5B4D" w:rsidRPr="00D91B35" w:rsidRDefault="001A5B4D" w:rsidP="001A5B4D">
            <w:pPr>
              <w:rPr>
                <w:rFonts w:ascii="Times New Roman" w:hAnsi="Times New Roman" w:cs="Times New Roman"/>
                <w:sz w:val="16"/>
                <w:szCs w:val="16"/>
              </w:rPr>
            </w:pPr>
          </w:p>
        </w:tc>
        <w:tc>
          <w:tcPr>
            <w:tcW w:w="237" w:type="pct"/>
            <w:shd w:val="clear" w:color="auto" w:fill="FFFFFF" w:themeFill="background1"/>
          </w:tcPr>
          <w:p w14:paraId="73567F9D" w14:textId="77777777" w:rsidR="001A5B4D" w:rsidRPr="00D91B35" w:rsidRDefault="001A5B4D" w:rsidP="001A5B4D">
            <w:pPr>
              <w:rPr>
                <w:rFonts w:ascii="Times New Roman" w:hAnsi="Times New Roman" w:cs="Times New Roman"/>
                <w:sz w:val="16"/>
                <w:szCs w:val="16"/>
              </w:rPr>
            </w:pPr>
          </w:p>
        </w:tc>
        <w:tc>
          <w:tcPr>
            <w:tcW w:w="237" w:type="pct"/>
            <w:shd w:val="clear" w:color="auto" w:fill="FFFFFF" w:themeFill="background1"/>
          </w:tcPr>
          <w:p w14:paraId="586AA18B" w14:textId="77777777" w:rsidR="001A5B4D" w:rsidRPr="00D91B35" w:rsidRDefault="001A5B4D" w:rsidP="001A5B4D">
            <w:pPr>
              <w:rPr>
                <w:rFonts w:ascii="Times New Roman" w:hAnsi="Times New Roman" w:cs="Times New Roman"/>
                <w:sz w:val="16"/>
                <w:szCs w:val="16"/>
              </w:rPr>
            </w:pPr>
          </w:p>
        </w:tc>
        <w:tc>
          <w:tcPr>
            <w:tcW w:w="237" w:type="pct"/>
            <w:shd w:val="clear" w:color="auto" w:fill="FFFFFF" w:themeFill="background1"/>
          </w:tcPr>
          <w:p w14:paraId="0DC446EA" w14:textId="2651C1AB" w:rsidR="001A5B4D" w:rsidRPr="00D91B35" w:rsidRDefault="001A5B4D" w:rsidP="001A5B4D">
            <w:pPr>
              <w:rPr>
                <w:rFonts w:ascii="Times New Roman" w:hAnsi="Times New Roman" w:cs="Times New Roman"/>
                <w:sz w:val="16"/>
                <w:szCs w:val="16"/>
              </w:rPr>
            </w:pPr>
            <w:r>
              <w:rPr>
                <w:rFonts w:ascii="Times New Roman" w:hAnsi="Times New Roman"/>
                <w:sz w:val="16"/>
              </w:rPr>
              <w:t>1 267,0</w:t>
            </w:r>
          </w:p>
        </w:tc>
        <w:tc>
          <w:tcPr>
            <w:tcW w:w="237" w:type="pct"/>
            <w:shd w:val="clear" w:color="auto" w:fill="FFFFFF" w:themeFill="background1"/>
          </w:tcPr>
          <w:p w14:paraId="3DE12453" w14:textId="77777777" w:rsidR="001A5B4D" w:rsidRPr="00D91B35" w:rsidRDefault="001A5B4D" w:rsidP="001A5B4D">
            <w:pPr>
              <w:rPr>
                <w:rFonts w:ascii="Times New Roman" w:hAnsi="Times New Roman" w:cs="Times New Roman"/>
                <w:sz w:val="16"/>
                <w:szCs w:val="16"/>
              </w:rPr>
            </w:pPr>
          </w:p>
        </w:tc>
      </w:tr>
      <w:tr w:rsidR="001A5B4D" w:rsidRPr="00D91B35" w14:paraId="2645FE59" w14:textId="77777777" w:rsidTr="008A656B">
        <w:tc>
          <w:tcPr>
            <w:tcW w:w="374" w:type="pct"/>
          </w:tcPr>
          <w:p w14:paraId="68510CFC" w14:textId="77777777" w:rsidR="001A5B4D" w:rsidRPr="00D91B35" w:rsidRDefault="001A5B4D" w:rsidP="001A5B4D">
            <w:pPr>
              <w:rPr>
                <w:rFonts w:ascii="Times New Roman" w:hAnsi="Times New Roman" w:cs="Times New Roman"/>
                <w:sz w:val="16"/>
                <w:szCs w:val="16"/>
              </w:rPr>
            </w:pPr>
          </w:p>
        </w:tc>
        <w:tc>
          <w:tcPr>
            <w:tcW w:w="231" w:type="pct"/>
          </w:tcPr>
          <w:p w14:paraId="086BFEC9" w14:textId="77777777" w:rsidR="001A5B4D" w:rsidRPr="00D91B35" w:rsidRDefault="001A5B4D" w:rsidP="001A5B4D">
            <w:pPr>
              <w:rPr>
                <w:rFonts w:ascii="Times New Roman" w:hAnsi="Times New Roman" w:cs="Times New Roman"/>
                <w:sz w:val="16"/>
                <w:szCs w:val="16"/>
              </w:rPr>
            </w:pPr>
          </w:p>
        </w:tc>
        <w:tc>
          <w:tcPr>
            <w:tcW w:w="358" w:type="pct"/>
          </w:tcPr>
          <w:p w14:paraId="321A1354" w14:textId="304DBB0C" w:rsidR="001A5B4D" w:rsidRPr="00D91B35" w:rsidRDefault="001A5B4D" w:rsidP="001A5B4D">
            <w:pPr>
              <w:rPr>
                <w:rFonts w:ascii="Times New Roman" w:hAnsi="Times New Roman" w:cs="Times New Roman"/>
                <w:b/>
                <w:bCs/>
                <w:sz w:val="16"/>
                <w:szCs w:val="16"/>
              </w:rPr>
            </w:pPr>
            <w:r>
              <w:rPr>
                <w:rFonts w:ascii="Times New Roman" w:hAnsi="Times New Roman"/>
                <w:b/>
                <w:sz w:val="16"/>
              </w:rPr>
              <w:t>Apvienotā Karaliste</w:t>
            </w:r>
          </w:p>
        </w:tc>
        <w:tc>
          <w:tcPr>
            <w:tcW w:w="359" w:type="pct"/>
          </w:tcPr>
          <w:p w14:paraId="2D643ABC" w14:textId="48A01CDF" w:rsidR="001A5B4D" w:rsidRPr="00D91B35" w:rsidRDefault="001A5B4D" w:rsidP="001A5B4D">
            <w:pPr>
              <w:pStyle w:val="Default"/>
              <w:rPr>
                <w:sz w:val="16"/>
                <w:szCs w:val="16"/>
              </w:rPr>
            </w:pPr>
            <w:r>
              <w:rPr>
                <w:sz w:val="16"/>
              </w:rPr>
              <w:t>(Bates et al., 2011)</w:t>
            </w:r>
          </w:p>
        </w:tc>
        <w:tc>
          <w:tcPr>
            <w:tcW w:w="839" w:type="pct"/>
          </w:tcPr>
          <w:p w14:paraId="792E0121" w14:textId="62E2DA4F" w:rsidR="001A5B4D" w:rsidRPr="00D91B35" w:rsidRDefault="001A5B4D" w:rsidP="001A5B4D">
            <w:pPr>
              <w:rPr>
                <w:rFonts w:ascii="Times New Roman" w:hAnsi="Times New Roman" w:cs="Times New Roman"/>
                <w:sz w:val="16"/>
                <w:szCs w:val="16"/>
              </w:rPr>
            </w:pPr>
            <w:r>
              <w:rPr>
                <w:rFonts w:ascii="Times New Roman" w:hAnsi="Times New Roman"/>
                <w:sz w:val="16"/>
              </w:rPr>
              <w:t>4 dienu uztura dienasgrāmata</w:t>
            </w:r>
          </w:p>
        </w:tc>
        <w:tc>
          <w:tcPr>
            <w:tcW w:w="196" w:type="pct"/>
            <w:shd w:val="clear" w:color="auto" w:fill="FFFFFF" w:themeFill="background1"/>
          </w:tcPr>
          <w:p w14:paraId="74EE5016" w14:textId="5E1C1E1C" w:rsidR="001A5B4D" w:rsidRPr="00D91B35" w:rsidRDefault="001A5B4D" w:rsidP="001A5B4D">
            <w:pPr>
              <w:rPr>
                <w:rFonts w:ascii="Times New Roman" w:hAnsi="Times New Roman" w:cs="Times New Roman"/>
                <w:sz w:val="16"/>
                <w:szCs w:val="16"/>
              </w:rPr>
            </w:pPr>
            <w:r>
              <w:rPr>
                <w:rFonts w:ascii="Times New Roman" w:hAnsi="Times New Roman"/>
                <w:sz w:val="16"/>
              </w:rPr>
              <w:t>453</w:t>
            </w:r>
          </w:p>
        </w:tc>
        <w:tc>
          <w:tcPr>
            <w:tcW w:w="122" w:type="pct"/>
            <w:shd w:val="clear" w:color="auto" w:fill="FFFFFF" w:themeFill="background1"/>
          </w:tcPr>
          <w:p w14:paraId="75835AFE" w14:textId="77777777" w:rsidR="001A5B4D" w:rsidRPr="00D91B35" w:rsidRDefault="001A5B4D" w:rsidP="001A5B4D">
            <w:pPr>
              <w:rPr>
                <w:rFonts w:ascii="Times New Roman" w:hAnsi="Times New Roman" w:cs="Times New Roman"/>
                <w:sz w:val="16"/>
                <w:szCs w:val="16"/>
              </w:rPr>
            </w:pPr>
          </w:p>
        </w:tc>
        <w:tc>
          <w:tcPr>
            <w:tcW w:w="183" w:type="pct"/>
            <w:shd w:val="clear" w:color="auto" w:fill="FFFFFF" w:themeFill="background1"/>
          </w:tcPr>
          <w:p w14:paraId="4B46BDFB" w14:textId="34ED7934" w:rsidR="001A5B4D" w:rsidRPr="00D91B35" w:rsidRDefault="001A5B4D" w:rsidP="001A5B4D">
            <w:pPr>
              <w:rPr>
                <w:rFonts w:ascii="Times New Roman" w:hAnsi="Times New Roman" w:cs="Times New Roman"/>
                <w:sz w:val="16"/>
                <w:szCs w:val="16"/>
              </w:rPr>
            </w:pPr>
            <w:r>
              <w:rPr>
                <w:rFonts w:ascii="Times New Roman" w:hAnsi="Times New Roman"/>
                <w:sz w:val="16"/>
              </w:rPr>
              <w:t>11</w:t>
            </w:r>
          </w:p>
        </w:tc>
        <w:tc>
          <w:tcPr>
            <w:tcW w:w="105" w:type="pct"/>
            <w:shd w:val="clear" w:color="auto" w:fill="FFFFFF" w:themeFill="background1"/>
          </w:tcPr>
          <w:p w14:paraId="73F31BD3" w14:textId="77777777" w:rsidR="001A5B4D" w:rsidRPr="00D91B35" w:rsidRDefault="001A5B4D" w:rsidP="001A5B4D">
            <w:pPr>
              <w:rPr>
                <w:rFonts w:ascii="Times New Roman" w:hAnsi="Times New Roman" w:cs="Times New Roman"/>
                <w:sz w:val="16"/>
                <w:szCs w:val="16"/>
              </w:rPr>
            </w:pPr>
          </w:p>
        </w:tc>
        <w:tc>
          <w:tcPr>
            <w:tcW w:w="186" w:type="pct"/>
            <w:shd w:val="clear" w:color="auto" w:fill="FFFFFF" w:themeFill="background1"/>
          </w:tcPr>
          <w:p w14:paraId="507F5F18" w14:textId="6FC97A51" w:rsidR="001A5B4D" w:rsidRPr="00D91B35" w:rsidRDefault="001A5B4D" w:rsidP="001A5B4D">
            <w:pPr>
              <w:rPr>
                <w:rFonts w:ascii="Times New Roman" w:hAnsi="Times New Roman" w:cs="Times New Roman"/>
                <w:sz w:val="16"/>
                <w:szCs w:val="16"/>
              </w:rPr>
            </w:pPr>
            <w:r>
              <w:rPr>
                <w:rFonts w:ascii="Times New Roman" w:hAnsi="Times New Roman"/>
                <w:sz w:val="16"/>
              </w:rPr>
              <w:t>18</w:t>
            </w:r>
          </w:p>
        </w:tc>
        <w:tc>
          <w:tcPr>
            <w:tcW w:w="609" w:type="pct"/>
            <w:shd w:val="clear" w:color="auto" w:fill="FFFFFF" w:themeFill="background1"/>
          </w:tcPr>
          <w:p w14:paraId="416FF5DC" w14:textId="77777777" w:rsidR="001A5B4D" w:rsidRPr="00D91B35" w:rsidRDefault="001A5B4D" w:rsidP="001A5B4D">
            <w:pPr>
              <w:rPr>
                <w:rFonts w:ascii="Times New Roman" w:hAnsi="Times New Roman" w:cs="Times New Roman"/>
                <w:sz w:val="16"/>
                <w:szCs w:val="16"/>
              </w:rPr>
            </w:pPr>
          </w:p>
        </w:tc>
        <w:tc>
          <w:tcPr>
            <w:tcW w:w="237" w:type="pct"/>
            <w:shd w:val="clear" w:color="auto" w:fill="FFFFFF" w:themeFill="background1"/>
          </w:tcPr>
          <w:p w14:paraId="7F37C01A" w14:textId="3A39B7DB" w:rsidR="001A5B4D" w:rsidRPr="00D91B35" w:rsidRDefault="001A5B4D" w:rsidP="001A5B4D">
            <w:pPr>
              <w:rPr>
                <w:rFonts w:ascii="Times New Roman" w:hAnsi="Times New Roman" w:cs="Times New Roman"/>
                <w:sz w:val="16"/>
                <w:szCs w:val="16"/>
              </w:rPr>
            </w:pPr>
            <w:r>
              <w:rPr>
                <w:rFonts w:ascii="Times New Roman" w:hAnsi="Times New Roman"/>
                <w:sz w:val="16"/>
              </w:rPr>
              <w:t>786,0</w:t>
            </w:r>
          </w:p>
        </w:tc>
        <w:tc>
          <w:tcPr>
            <w:tcW w:w="251" w:type="pct"/>
            <w:shd w:val="clear" w:color="auto" w:fill="FFFFFF" w:themeFill="background1"/>
          </w:tcPr>
          <w:p w14:paraId="18D194B7" w14:textId="77777777" w:rsidR="001A5B4D" w:rsidRPr="00D91B35" w:rsidRDefault="001A5B4D" w:rsidP="001A5B4D">
            <w:pPr>
              <w:rPr>
                <w:rFonts w:ascii="Times New Roman" w:hAnsi="Times New Roman" w:cs="Times New Roman"/>
                <w:sz w:val="16"/>
                <w:szCs w:val="16"/>
              </w:rPr>
            </w:pPr>
          </w:p>
        </w:tc>
        <w:tc>
          <w:tcPr>
            <w:tcW w:w="237" w:type="pct"/>
            <w:shd w:val="clear" w:color="auto" w:fill="FFFFFF" w:themeFill="background1"/>
          </w:tcPr>
          <w:p w14:paraId="3B430048" w14:textId="77777777" w:rsidR="001A5B4D" w:rsidRPr="00D91B35" w:rsidRDefault="001A5B4D" w:rsidP="001A5B4D">
            <w:pPr>
              <w:rPr>
                <w:rFonts w:ascii="Times New Roman" w:hAnsi="Times New Roman" w:cs="Times New Roman"/>
                <w:sz w:val="16"/>
                <w:szCs w:val="16"/>
              </w:rPr>
            </w:pPr>
          </w:p>
        </w:tc>
        <w:tc>
          <w:tcPr>
            <w:tcW w:w="237" w:type="pct"/>
            <w:shd w:val="clear" w:color="auto" w:fill="FFFFFF" w:themeFill="background1"/>
          </w:tcPr>
          <w:p w14:paraId="146E8ECB" w14:textId="77777777" w:rsidR="001A5B4D" w:rsidRPr="00D91B35" w:rsidRDefault="001A5B4D" w:rsidP="001A5B4D">
            <w:pPr>
              <w:rPr>
                <w:rFonts w:ascii="Times New Roman" w:hAnsi="Times New Roman" w:cs="Times New Roman"/>
                <w:sz w:val="16"/>
                <w:szCs w:val="16"/>
              </w:rPr>
            </w:pPr>
          </w:p>
        </w:tc>
        <w:tc>
          <w:tcPr>
            <w:tcW w:w="237" w:type="pct"/>
            <w:shd w:val="clear" w:color="auto" w:fill="FFFFFF" w:themeFill="background1"/>
          </w:tcPr>
          <w:p w14:paraId="7068C3E8" w14:textId="77777777" w:rsidR="001A5B4D" w:rsidRPr="00D91B35" w:rsidRDefault="001A5B4D" w:rsidP="001A5B4D">
            <w:pPr>
              <w:rPr>
                <w:rFonts w:ascii="Times New Roman" w:hAnsi="Times New Roman" w:cs="Times New Roman"/>
                <w:sz w:val="16"/>
                <w:szCs w:val="16"/>
              </w:rPr>
            </w:pPr>
          </w:p>
        </w:tc>
        <w:tc>
          <w:tcPr>
            <w:tcW w:w="237" w:type="pct"/>
            <w:shd w:val="clear" w:color="auto" w:fill="FFFFFF" w:themeFill="background1"/>
          </w:tcPr>
          <w:p w14:paraId="7E308407" w14:textId="3605B729" w:rsidR="001A5B4D" w:rsidRPr="00D91B35" w:rsidRDefault="001A5B4D" w:rsidP="001A5B4D">
            <w:pPr>
              <w:rPr>
                <w:rFonts w:ascii="Times New Roman" w:hAnsi="Times New Roman" w:cs="Times New Roman"/>
                <w:sz w:val="16"/>
                <w:szCs w:val="16"/>
              </w:rPr>
            </w:pPr>
            <w:r>
              <w:rPr>
                <w:rFonts w:ascii="Times New Roman" w:hAnsi="Times New Roman"/>
                <w:sz w:val="16"/>
              </w:rPr>
              <w:t>1 522,0</w:t>
            </w:r>
          </w:p>
        </w:tc>
      </w:tr>
      <w:bookmarkEnd w:id="239"/>
    </w:tbl>
    <w:p w14:paraId="5C634A35" w14:textId="20533BA3" w:rsidR="00C53BB1" w:rsidRPr="00D91B35" w:rsidRDefault="00C53BB1" w:rsidP="0061660E">
      <w:pPr>
        <w:tabs>
          <w:tab w:val="left" w:pos="517"/>
        </w:tabs>
        <w:jc w:val="both"/>
        <w:rPr>
          <w:rFonts w:ascii="Times New Roman" w:eastAsia="Times New Roman" w:hAnsi="Times New Roman" w:cs="Times New Roman"/>
          <w:b/>
          <w:noProof/>
          <w:color w:val="000000" w:themeColor="text1"/>
          <w:sz w:val="24"/>
          <w:szCs w:val="18"/>
        </w:rPr>
        <w:sectPr w:rsidR="00C53BB1" w:rsidRPr="00D91B35" w:rsidSect="00D706FA">
          <w:headerReference w:type="default" r:id="rId17"/>
          <w:footerReference w:type="default" r:id="rId18"/>
          <w:pgSz w:w="16840" w:h="11910" w:orient="landscape" w:code="9"/>
          <w:pgMar w:top="1134" w:right="1134" w:bottom="1134" w:left="1701" w:header="567" w:footer="567" w:gutter="0"/>
          <w:cols w:space="720"/>
        </w:sectPr>
      </w:pPr>
    </w:p>
    <w:p w14:paraId="619EFAF9" w14:textId="77777777" w:rsidR="00562491" w:rsidRPr="00D91B35" w:rsidRDefault="00562491" w:rsidP="00E03EDE">
      <w:pPr>
        <w:jc w:val="both"/>
        <w:rPr>
          <w:rFonts w:ascii="Times New Roman" w:eastAsia="Times New Roman" w:hAnsi="Times New Roman" w:cs="Times New Roman"/>
          <w:bCs/>
          <w:noProof/>
          <w:color w:val="000000" w:themeColor="text1"/>
          <w:sz w:val="24"/>
          <w:szCs w:val="17"/>
        </w:rPr>
      </w:pPr>
    </w:p>
    <w:p w14:paraId="2B0F1FD0" w14:textId="77777777" w:rsidR="00562491" w:rsidRPr="00993AF1" w:rsidRDefault="00562491" w:rsidP="00993AF1">
      <w:pPr>
        <w:pStyle w:val="Virsraksts1"/>
        <w:tabs>
          <w:tab w:val="left" w:pos="726"/>
        </w:tabs>
        <w:ind w:left="0" w:firstLine="0"/>
        <w:jc w:val="both"/>
        <w:rPr>
          <w:color w:val="000000" w:themeColor="text1"/>
          <w:sz w:val="24"/>
        </w:rPr>
      </w:pPr>
      <w:bookmarkStart w:id="240" w:name="_Toc73454074"/>
      <w:r>
        <w:rPr>
          <w:color w:val="000000" w:themeColor="text1"/>
          <w:sz w:val="24"/>
        </w:rPr>
        <w:t>GLOSĀRIJS UN SAĪSINĀJUMI</w:t>
      </w:r>
      <w:bookmarkStart w:id="241" w:name="_bookmark185"/>
      <w:bookmarkEnd w:id="241"/>
      <w:bookmarkEnd w:id="240"/>
    </w:p>
    <w:p w14:paraId="7E4443FA" w14:textId="77777777" w:rsidR="00562491" w:rsidRPr="00D91B35" w:rsidRDefault="00562491" w:rsidP="00E03EDE">
      <w:pPr>
        <w:jc w:val="both"/>
        <w:rPr>
          <w:rFonts w:ascii="Times New Roman" w:eastAsia="Times New Roman" w:hAnsi="Times New Roman" w:cs="Times New Roman"/>
          <w:bCs/>
          <w:noProof/>
          <w:color w:val="000000" w:themeColor="text1"/>
          <w:sz w:val="24"/>
          <w:szCs w:val="21"/>
        </w:rPr>
      </w:pPr>
    </w:p>
    <w:p w14:paraId="5C01AFD3" w14:textId="77777777" w:rsidR="008A656B" w:rsidRDefault="00562491" w:rsidP="008A656B">
      <w:pPr>
        <w:pStyle w:val="Pamatteksts"/>
        <w:tabs>
          <w:tab w:val="left" w:pos="1985"/>
        </w:tabs>
        <w:spacing w:before="0"/>
        <w:ind w:left="0"/>
        <w:jc w:val="both"/>
        <w:rPr>
          <w:bCs/>
          <w:noProof/>
          <w:color w:val="000000" w:themeColor="text1"/>
          <w:sz w:val="24"/>
        </w:rPr>
      </w:pPr>
      <w:r>
        <w:rPr>
          <w:color w:val="000000" w:themeColor="text1"/>
          <w:sz w:val="24"/>
        </w:rPr>
        <w:t>1,25-(OH)2-D</w:t>
      </w:r>
      <w:r>
        <w:rPr>
          <w:color w:val="000000" w:themeColor="text1"/>
          <w:sz w:val="24"/>
        </w:rPr>
        <w:tab/>
        <w:t>1,25-dihidroksiholekalciferols</w:t>
      </w:r>
    </w:p>
    <w:p w14:paraId="47D4C8C4" w14:textId="77777777" w:rsidR="008A656B" w:rsidRDefault="008A656B" w:rsidP="008A656B">
      <w:pPr>
        <w:pStyle w:val="Pamatteksts"/>
        <w:tabs>
          <w:tab w:val="left" w:pos="1985"/>
        </w:tabs>
        <w:spacing w:before="0"/>
        <w:ind w:left="0"/>
        <w:jc w:val="both"/>
        <w:rPr>
          <w:bCs/>
          <w:noProof/>
          <w:color w:val="000000" w:themeColor="text1"/>
          <w:sz w:val="24"/>
        </w:rPr>
      </w:pPr>
    </w:p>
    <w:p w14:paraId="1BF0D0B9" w14:textId="0E9A12ED" w:rsidR="00562491" w:rsidRPr="00D91B35" w:rsidRDefault="00562491" w:rsidP="008A656B">
      <w:pPr>
        <w:pStyle w:val="Pamatteksts"/>
        <w:tabs>
          <w:tab w:val="left" w:pos="1985"/>
        </w:tabs>
        <w:spacing w:before="0"/>
        <w:ind w:left="0"/>
        <w:jc w:val="both"/>
        <w:rPr>
          <w:bCs/>
          <w:noProof/>
          <w:color w:val="000000" w:themeColor="text1"/>
          <w:sz w:val="24"/>
        </w:rPr>
      </w:pPr>
      <w:r>
        <w:rPr>
          <w:color w:val="000000" w:themeColor="text1"/>
          <w:sz w:val="24"/>
        </w:rPr>
        <w:t>25(OH)D</w:t>
      </w:r>
      <w:r>
        <w:rPr>
          <w:color w:val="000000" w:themeColor="text1"/>
          <w:sz w:val="24"/>
        </w:rPr>
        <w:tab/>
        <w:t>D 25-hidroksivitamīns</w:t>
      </w:r>
    </w:p>
    <w:p w14:paraId="2379B178" w14:textId="77777777" w:rsidR="008A656B" w:rsidRDefault="008A656B" w:rsidP="008A656B">
      <w:pPr>
        <w:pStyle w:val="Pamatteksts"/>
        <w:tabs>
          <w:tab w:val="left" w:pos="1985"/>
        </w:tabs>
        <w:spacing w:before="0"/>
        <w:ind w:left="0"/>
        <w:jc w:val="both"/>
        <w:rPr>
          <w:bCs/>
          <w:noProof/>
          <w:color w:val="000000" w:themeColor="text1"/>
          <w:sz w:val="24"/>
        </w:rPr>
      </w:pPr>
    </w:p>
    <w:p w14:paraId="00840946" w14:textId="47C31E99" w:rsidR="00562491" w:rsidRPr="00D91B35" w:rsidRDefault="00562491" w:rsidP="008A656B">
      <w:pPr>
        <w:pStyle w:val="Pamatteksts"/>
        <w:tabs>
          <w:tab w:val="left" w:pos="1985"/>
        </w:tabs>
        <w:spacing w:before="0"/>
        <w:ind w:left="0"/>
        <w:jc w:val="both"/>
        <w:rPr>
          <w:bCs/>
          <w:noProof/>
          <w:color w:val="000000" w:themeColor="text1"/>
          <w:sz w:val="24"/>
        </w:rPr>
      </w:pPr>
      <w:r>
        <w:rPr>
          <w:i/>
          <w:iCs/>
          <w:color w:val="000000" w:themeColor="text1"/>
          <w:sz w:val="24"/>
        </w:rPr>
        <w:t>AVC</w:t>
      </w:r>
      <w:r>
        <w:rPr>
          <w:color w:val="000000" w:themeColor="text1"/>
          <w:sz w:val="24"/>
        </w:rPr>
        <w:tab/>
        <w:t>aortas vārstuļu pārkaļķošanās</w:t>
      </w:r>
    </w:p>
    <w:p w14:paraId="64648184" w14:textId="77777777" w:rsidR="00562491" w:rsidRPr="00D91B35" w:rsidRDefault="00562491" w:rsidP="008A656B">
      <w:pPr>
        <w:tabs>
          <w:tab w:val="left" w:pos="1985"/>
        </w:tabs>
        <w:jc w:val="both"/>
        <w:rPr>
          <w:rFonts w:ascii="Times New Roman" w:eastAsia="Times New Roman" w:hAnsi="Times New Roman" w:cs="Times New Roman"/>
          <w:bCs/>
          <w:noProof/>
          <w:color w:val="000000" w:themeColor="text1"/>
          <w:sz w:val="24"/>
          <w:szCs w:val="21"/>
        </w:rPr>
      </w:pPr>
    </w:p>
    <w:p w14:paraId="7EC9A2E8" w14:textId="77777777" w:rsidR="00562491" w:rsidRPr="00D91B35" w:rsidRDefault="00562491" w:rsidP="008A656B">
      <w:pPr>
        <w:pStyle w:val="Pamatteksts"/>
        <w:tabs>
          <w:tab w:val="left" w:pos="1985"/>
        </w:tabs>
        <w:spacing w:before="0"/>
        <w:ind w:left="0"/>
        <w:jc w:val="both"/>
        <w:rPr>
          <w:bCs/>
          <w:noProof/>
          <w:color w:val="000000" w:themeColor="text1"/>
          <w:sz w:val="24"/>
        </w:rPr>
      </w:pPr>
      <w:r>
        <w:rPr>
          <w:color w:val="000000" w:themeColor="text1"/>
          <w:sz w:val="24"/>
        </w:rPr>
        <w:t>ĶMI</w:t>
      </w:r>
      <w:r>
        <w:rPr>
          <w:color w:val="000000" w:themeColor="text1"/>
          <w:sz w:val="24"/>
        </w:rPr>
        <w:tab/>
        <w:t>ķermeņa masas indekss</w:t>
      </w:r>
    </w:p>
    <w:p w14:paraId="187B908D" w14:textId="77777777" w:rsidR="00562491" w:rsidRPr="00D91B35" w:rsidRDefault="00562491" w:rsidP="008A656B">
      <w:pPr>
        <w:tabs>
          <w:tab w:val="left" w:pos="1985"/>
        </w:tabs>
        <w:jc w:val="both"/>
        <w:rPr>
          <w:rFonts w:ascii="Times New Roman" w:eastAsia="Times New Roman" w:hAnsi="Times New Roman" w:cs="Times New Roman"/>
          <w:bCs/>
          <w:noProof/>
          <w:color w:val="000000" w:themeColor="text1"/>
          <w:sz w:val="24"/>
          <w:szCs w:val="21"/>
        </w:rPr>
      </w:pPr>
    </w:p>
    <w:p w14:paraId="576524D9" w14:textId="77777777" w:rsidR="00562491" w:rsidRPr="00D91B35" w:rsidRDefault="00562491" w:rsidP="008A656B">
      <w:pPr>
        <w:pStyle w:val="Pamatteksts"/>
        <w:tabs>
          <w:tab w:val="left" w:pos="1985"/>
        </w:tabs>
        <w:spacing w:before="0"/>
        <w:ind w:left="0"/>
        <w:jc w:val="both"/>
        <w:rPr>
          <w:bCs/>
          <w:noProof/>
          <w:color w:val="000000" w:themeColor="text1"/>
          <w:sz w:val="24"/>
        </w:rPr>
      </w:pPr>
      <w:r>
        <w:rPr>
          <w:i/>
          <w:iCs/>
          <w:color w:val="000000" w:themeColor="text1"/>
          <w:sz w:val="24"/>
        </w:rPr>
        <w:t>CAC</w:t>
      </w:r>
      <w:r>
        <w:rPr>
          <w:color w:val="000000" w:themeColor="text1"/>
          <w:sz w:val="24"/>
        </w:rPr>
        <w:tab/>
        <w:t>koronāro artēriju pārkaļķošanās</w:t>
      </w:r>
    </w:p>
    <w:p w14:paraId="5E437870" w14:textId="77777777" w:rsidR="00562491" w:rsidRPr="00D91B35" w:rsidRDefault="00562491" w:rsidP="008A656B">
      <w:pPr>
        <w:tabs>
          <w:tab w:val="left" w:pos="1985"/>
        </w:tabs>
        <w:jc w:val="both"/>
        <w:rPr>
          <w:rFonts w:ascii="Times New Roman" w:eastAsia="Times New Roman" w:hAnsi="Times New Roman" w:cs="Times New Roman"/>
          <w:bCs/>
          <w:noProof/>
          <w:color w:val="000000" w:themeColor="text1"/>
          <w:sz w:val="24"/>
          <w:szCs w:val="21"/>
        </w:rPr>
      </w:pPr>
    </w:p>
    <w:p w14:paraId="5D705832" w14:textId="77777777" w:rsidR="00562491" w:rsidRPr="00D91B35" w:rsidRDefault="00562491" w:rsidP="008A656B">
      <w:pPr>
        <w:pStyle w:val="Pamatteksts"/>
        <w:tabs>
          <w:tab w:val="left" w:pos="1985"/>
        </w:tabs>
        <w:spacing w:before="0"/>
        <w:ind w:left="0"/>
        <w:jc w:val="both"/>
        <w:rPr>
          <w:bCs/>
          <w:noProof/>
          <w:color w:val="000000" w:themeColor="text1"/>
          <w:sz w:val="24"/>
        </w:rPr>
      </w:pPr>
      <w:r>
        <w:rPr>
          <w:color w:val="000000" w:themeColor="text1"/>
          <w:sz w:val="24"/>
        </w:rPr>
        <w:t>KAS</w:t>
      </w:r>
      <w:r>
        <w:rPr>
          <w:color w:val="000000" w:themeColor="text1"/>
          <w:sz w:val="24"/>
        </w:rPr>
        <w:tab/>
        <w:t>kalcija alkāliju sindroms</w:t>
      </w:r>
    </w:p>
    <w:p w14:paraId="39F46B81" w14:textId="77777777" w:rsidR="00562491" w:rsidRPr="00D91B35" w:rsidRDefault="00562491" w:rsidP="008A656B">
      <w:pPr>
        <w:tabs>
          <w:tab w:val="left" w:pos="1985"/>
        </w:tabs>
        <w:jc w:val="both"/>
        <w:rPr>
          <w:rFonts w:ascii="Times New Roman" w:eastAsia="Times New Roman" w:hAnsi="Times New Roman" w:cs="Times New Roman"/>
          <w:bCs/>
          <w:noProof/>
          <w:color w:val="000000" w:themeColor="text1"/>
          <w:sz w:val="24"/>
          <w:szCs w:val="21"/>
        </w:rPr>
      </w:pPr>
    </w:p>
    <w:p w14:paraId="70CCF892" w14:textId="77777777" w:rsidR="00562491" w:rsidRPr="00D91B35" w:rsidRDefault="00562491" w:rsidP="008A656B">
      <w:pPr>
        <w:pStyle w:val="Pamatteksts"/>
        <w:tabs>
          <w:tab w:val="left" w:pos="1985"/>
        </w:tabs>
        <w:spacing w:before="0"/>
        <w:ind w:left="0"/>
        <w:jc w:val="both"/>
        <w:rPr>
          <w:bCs/>
          <w:noProof/>
          <w:color w:val="000000" w:themeColor="text1"/>
          <w:sz w:val="24"/>
        </w:rPr>
      </w:pPr>
      <w:r>
        <w:rPr>
          <w:i/>
          <w:iCs/>
          <w:color w:val="000000" w:themeColor="text1"/>
          <w:sz w:val="24"/>
        </w:rPr>
        <w:t>CaSR</w:t>
      </w:r>
      <w:r>
        <w:rPr>
          <w:color w:val="000000" w:themeColor="text1"/>
          <w:sz w:val="24"/>
        </w:rPr>
        <w:tab/>
        <w:t>kalcija jutīgais receptors</w:t>
      </w:r>
    </w:p>
    <w:p w14:paraId="0268E889" w14:textId="77777777" w:rsidR="00562491" w:rsidRPr="00D91B35" w:rsidRDefault="00562491" w:rsidP="008A656B">
      <w:pPr>
        <w:tabs>
          <w:tab w:val="left" w:pos="1985"/>
        </w:tabs>
        <w:jc w:val="both"/>
        <w:rPr>
          <w:rFonts w:ascii="Times New Roman" w:eastAsia="Times New Roman" w:hAnsi="Times New Roman" w:cs="Times New Roman"/>
          <w:bCs/>
          <w:noProof/>
          <w:color w:val="000000" w:themeColor="text1"/>
          <w:sz w:val="24"/>
          <w:szCs w:val="21"/>
        </w:rPr>
      </w:pPr>
    </w:p>
    <w:p w14:paraId="0DAD8E0A" w14:textId="77777777" w:rsidR="00562491" w:rsidRPr="00D91B35" w:rsidRDefault="00562491" w:rsidP="008A656B">
      <w:pPr>
        <w:pStyle w:val="Pamatteksts"/>
        <w:tabs>
          <w:tab w:val="left" w:pos="1985"/>
        </w:tabs>
        <w:spacing w:before="0"/>
        <w:ind w:left="0"/>
        <w:jc w:val="both"/>
        <w:rPr>
          <w:bCs/>
          <w:noProof/>
          <w:color w:val="000000" w:themeColor="text1"/>
          <w:sz w:val="24"/>
        </w:rPr>
      </w:pPr>
      <w:r>
        <w:rPr>
          <w:color w:val="000000" w:themeColor="text1"/>
          <w:sz w:val="24"/>
        </w:rPr>
        <w:t>KSS</w:t>
      </w:r>
      <w:r>
        <w:rPr>
          <w:color w:val="000000" w:themeColor="text1"/>
          <w:sz w:val="24"/>
        </w:rPr>
        <w:tab/>
        <w:t>koronārā sirds slimība</w:t>
      </w:r>
    </w:p>
    <w:p w14:paraId="562EC6F0" w14:textId="77777777" w:rsidR="00562491" w:rsidRPr="00D91B35" w:rsidRDefault="00562491" w:rsidP="008A656B">
      <w:pPr>
        <w:tabs>
          <w:tab w:val="left" w:pos="1985"/>
        </w:tabs>
        <w:jc w:val="both"/>
        <w:rPr>
          <w:rFonts w:ascii="Times New Roman" w:eastAsia="Times New Roman" w:hAnsi="Times New Roman" w:cs="Times New Roman"/>
          <w:bCs/>
          <w:noProof/>
          <w:color w:val="000000" w:themeColor="text1"/>
          <w:sz w:val="24"/>
          <w:szCs w:val="21"/>
        </w:rPr>
      </w:pPr>
    </w:p>
    <w:p w14:paraId="5B92C399" w14:textId="77777777" w:rsidR="00562491" w:rsidRPr="00D91B35" w:rsidRDefault="00562491" w:rsidP="008A656B">
      <w:pPr>
        <w:pStyle w:val="Pamatteksts"/>
        <w:tabs>
          <w:tab w:val="left" w:pos="1985"/>
        </w:tabs>
        <w:spacing w:before="0"/>
        <w:ind w:left="0"/>
        <w:jc w:val="both"/>
        <w:rPr>
          <w:bCs/>
          <w:noProof/>
          <w:color w:val="000000" w:themeColor="text1"/>
          <w:sz w:val="24"/>
        </w:rPr>
      </w:pPr>
      <w:r>
        <w:rPr>
          <w:color w:val="000000" w:themeColor="text1"/>
          <w:sz w:val="24"/>
        </w:rPr>
        <w:t>TI</w:t>
      </w:r>
      <w:r>
        <w:rPr>
          <w:color w:val="000000" w:themeColor="text1"/>
          <w:sz w:val="24"/>
        </w:rPr>
        <w:tab/>
        <w:t>ticamības intervāls</w:t>
      </w:r>
    </w:p>
    <w:p w14:paraId="28669954" w14:textId="77777777" w:rsidR="00562491" w:rsidRPr="00D91B35" w:rsidRDefault="00562491" w:rsidP="008A656B">
      <w:pPr>
        <w:tabs>
          <w:tab w:val="left" w:pos="1985"/>
        </w:tabs>
        <w:jc w:val="both"/>
        <w:rPr>
          <w:rFonts w:ascii="Times New Roman" w:eastAsia="Times New Roman" w:hAnsi="Times New Roman" w:cs="Times New Roman"/>
          <w:bCs/>
          <w:noProof/>
          <w:color w:val="000000" w:themeColor="text1"/>
          <w:sz w:val="24"/>
          <w:szCs w:val="21"/>
        </w:rPr>
      </w:pPr>
    </w:p>
    <w:p w14:paraId="0314EFB4" w14:textId="77777777" w:rsidR="00562491" w:rsidRPr="00D91B35" w:rsidRDefault="00562491" w:rsidP="008A656B">
      <w:pPr>
        <w:pStyle w:val="Pamatteksts"/>
        <w:tabs>
          <w:tab w:val="left" w:pos="1985"/>
        </w:tabs>
        <w:spacing w:before="0"/>
        <w:ind w:left="0"/>
        <w:jc w:val="both"/>
        <w:rPr>
          <w:bCs/>
          <w:noProof/>
          <w:color w:val="000000" w:themeColor="text1"/>
          <w:sz w:val="24"/>
        </w:rPr>
      </w:pPr>
      <w:r>
        <w:rPr>
          <w:i/>
          <w:iCs/>
          <w:color w:val="000000" w:themeColor="text1"/>
          <w:sz w:val="24"/>
        </w:rPr>
        <w:t>CT</w:t>
      </w:r>
      <w:r>
        <w:rPr>
          <w:color w:val="000000" w:themeColor="text1"/>
          <w:sz w:val="24"/>
        </w:rPr>
        <w:tab/>
        <w:t>datortomogrāfija</w:t>
      </w:r>
    </w:p>
    <w:p w14:paraId="553C8B1B" w14:textId="77777777" w:rsidR="00562491" w:rsidRPr="00D91B35" w:rsidRDefault="00562491" w:rsidP="008A656B">
      <w:pPr>
        <w:tabs>
          <w:tab w:val="left" w:pos="1985"/>
        </w:tabs>
        <w:jc w:val="both"/>
        <w:rPr>
          <w:rFonts w:ascii="Times New Roman" w:eastAsia="Times New Roman" w:hAnsi="Times New Roman" w:cs="Times New Roman"/>
          <w:bCs/>
          <w:noProof/>
          <w:color w:val="000000" w:themeColor="text1"/>
          <w:sz w:val="24"/>
          <w:szCs w:val="21"/>
        </w:rPr>
      </w:pPr>
    </w:p>
    <w:p w14:paraId="0EB165ED" w14:textId="77777777" w:rsidR="00562491" w:rsidRPr="00D91B35" w:rsidRDefault="00562491" w:rsidP="008A656B">
      <w:pPr>
        <w:pStyle w:val="Pamatteksts"/>
        <w:tabs>
          <w:tab w:val="left" w:pos="1985"/>
        </w:tabs>
        <w:spacing w:before="0"/>
        <w:ind w:left="0"/>
        <w:jc w:val="both"/>
        <w:rPr>
          <w:bCs/>
          <w:noProof/>
          <w:color w:val="000000" w:themeColor="text1"/>
          <w:sz w:val="24"/>
        </w:rPr>
      </w:pPr>
      <w:r>
        <w:rPr>
          <w:color w:val="000000" w:themeColor="text1"/>
          <w:sz w:val="24"/>
        </w:rPr>
        <w:t>KV</w:t>
      </w:r>
      <w:r>
        <w:rPr>
          <w:color w:val="000000" w:themeColor="text1"/>
          <w:sz w:val="24"/>
        </w:rPr>
        <w:tab/>
        <w:t>kardiovaskulārs</w:t>
      </w:r>
    </w:p>
    <w:p w14:paraId="469FFAC8" w14:textId="77777777" w:rsidR="00562491" w:rsidRPr="00D91B35" w:rsidRDefault="00562491" w:rsidP="008A656B">
      <w:pPr>
        <w:tabs>
          <w:tab w:val="left" w:pos="1985"/>
        </w:tabs>
        <w:jc w:val="both"/>
        <w:rPr>
          <w:rFonts w:ascii="Times New Roman" w:eastAsia="Times New Roman" w:hAnsi="Times New Roman" w:cs="Times New Roman"/>
          <w:bCs/>
          <w:noProof/>
          <w:color w:val="000000" w:themeColor="text1"/>
          <w:sz w:val="24"/>
          <w:szCs w:val="21"/>
        </w:rPr>
      </w:pPr>
    </w:p>
    <w:p w14:paraId="0264A1A7" w14:textId="77777777" w:rsidR="00562491" w:rsidRPr="00D91B35" w:rsidRDefault="00562491" w:rsidP="008A656B">
      <w:pPr>
        <w:pStyle w:val="Pamatteksts"/>
        <w:tabs>
          <w:tab w:val="left" w:pos="1985"/>
        </w:tabs>
        <w:spacing w:before="0"/>
        <w:ind w:left="0"/>
        <w:jc w:val="both"/>
        <w:rPr>
          <w:bCs/>
          <w:noProof/>
          <w:color w:val="000000" w:themeColor="text1"/>
          <w:sz w:val="24"/>
        </w:rPr>
      </w:pPr>
      <w:r>
        <w:rPr>
          <w:color w:val="000000" w:themeColor="text1"/>
          <w:sz w:val="24"/>
        </w:rPr>
        <w:t>SAS</w:t>
      </w:r>
      <w:r>
        <w:rPr>
          <w:color w:val="000000" w:themeColor="text1"/>
          <w:sz w:val="24"/>
        </w:rPr>
        <w:tab/>
        <w:t>sirds un asinsvadu slimība</w:t>
      </w:r>
    </w:p>
    <w:p w14:paraId="699A32B9" w14:textId="77777777" w:rsidR="00562491" w:rsidRPr="00D91B35" w:rsidRDefault="00562491" w:rsidP="008A656B">
      <w:pPr>
        <w:tabs>
          <w:tab w:val="left" w:pos="1985"/>
        </w:tabs>
        <w:jc w:val="both"/>
        <w:rPr>
          <w:rFonts w:ascii="Times New Roman" w:eastAsia="Times New Roman" w:hAnsi="Times New Roman" w:cs="Times New Roman"/>
          <w:bCs/>
          <w:noProof/>
          <w:color w:val="000000" w:themeColor="text1"/>
          <w:sz w:val="24"/>
          <w:szCs w:val="21"/>
        </w:rPr>
      </w:pPr>
    </w:p>
    <w:p w14:paraId="5B98BFBF" w14:textId="77777777" w:rsidR="00562491" w:rsidRPr="00D91B35" w:rsidRDefault="00562491" w:rsidP="008A656B">
      <w:pPr>
        <w:pStyle w:val="Pamatteksts"/>
        <w:tabs>
          <w:tab w:val="left" w:pos="1985"/>
        </w:tabs>
        <w:spacing w:before="0"/>
        <w:ind w:left="0"/>
        <w:jc w:val="both"/>
        <w:rPr>
          <w:bCs/>
          <w:noProof/>
          <w:color w:val="000000" w:themeColor="text1"/>
          <w:sz w:val="24"/>
        </w:rPr>
      </w:pPr>
      <w:r>
        <w:rPr>
          <w:i/>
          <w:iCs/>
          <w:color w:val="000000" w:themeColor="text1"/>
          <w:sz w:val="24"/>
        </w:rPr>
        <w:t>CYP</w:t>
      </w:r>
      <w:r>
        <w:rPr>
          <w:color w:val="000000" w:themeColor="text1"/>
          <w:sz w:val="24"/>
        </w:rPr>
        <w:tab/>
        <w:t>citohroms</w:t>
      </w:r>
    </w:p>
    <w:p w14:paraId="0E00D962" w14:textId="77777777" w:rsidR="00562491" w:rsidRPr="00D91B35" w:rsidRDefault="00562491" w:rsidP="008A656B">
      <w:pPr>
        <w:tabs>
          <w:tab w:val="left" w:pos="1985"/>
        </w:tabs>
        <w:jc w:val="both"/>
        <w:rPr>
          <w:rFonts w:ascii="Times New Roman" w:eastAsia="Times New Roman" w:hAnsi="Times New Roman" w:cs="Times New Roman"/>
          <w:bCs/>
          <w:noProof/>
          <w:color w:val="000000" w:themeColor="text1"/>
          <w:sz w:val="24"/>
          <w:szCs w:val="21"/>
        </w:rPr>
      </w:pPr>
    </w:p>
    <w:p w14:paraId="2156EEF0" w14:textId="77777777" w:rsidR="008A656B" w:rsidRDefault="00562491" w:rsidP="008A656B">
      <w:pPr>
        <w:pStyle w:val="Pamatteksts"/>
        <w:tabs>
          <w:tab w:val="left" w:pos="1985"/>
        </w:tabs>
        <w:spacing w:before="0"/>
        <w:ind w:left="0"/>
        <w:jc w:val="both"/>
        <w:rPr>
          <w:bCs/>
          <w:noProof/>
          <w:color w:val="000000" w:themeColor="text1"/>
          <w:sz w:val="24"/>
        </w:rPr>
      </w:pPr>
      <w:r>
        <w:rPr>
          <w:i/>
          <w:iCs/>
          <w:color w:val="000000" w:themeColor="text1"/>
          <w:sz w:val="24"/>
        </w:rPr>
        <w:t>PEPIC</w:t>
      </w:r>
      <w:r>
        <w:rPr>
          <w:color w:val="000000" w:themeColor="text1"/>
          <w:sz w:val="24"/>
        </w:rPr>
        <w:tab/>
        <w:t>Eiropas prospektīvais pētījums par vēzi un uzturu</w:t>
      </w:r>
    </w:p>
    <w:p w14:paraId="26BE351D" w14:textId="77777777" w:rsidR="008A656B" w:rsidRDefault="008A656B" w:rsidP="008A656B">
      <w:pPr>
        <w:pStyle w:val="Pamatteksts"/>
        <w:tabs>
          <w:tab w:val="left" w:pos="1985"/>
        </w:tabs>
        <w:spacing w:before="0"/>
        <w:ind w:left="0"/>
        <w:jc w:val="both"/>
        <w:rPr>
          <w:bCs/>
          <w:noProof/>
          <w:color w:val="000000" w:themeColor="text1"/>
          <w:sz w:val="24"/>
        </w:rPr>
      </w:pPr>
    </w:p>
    <w:p w14:paraId="51A033A8" w14:textId="1F194023" w:rsidR="00562491" w:rsidRPr="00D91B35" w:rsidRDefault="00562491" w:rsidP="008A656B">
      <w:pPr>
        <w:pStyle w:val="Pamatteksts"/>
        <w:tabs>
          <w:tab w:val="left" w:pos="1985"/>
        </w:tabs>
        <w:spacing w:before="0"/>
        <w:ind w:left="0"/>
        <w:jc w:val="both"/>
        <w:rPr>
          <w:bCs/>
          <w:noProof/>
          <w:color w:val="000000" w:themeColor="text1"/>
          <w:sz w:val="24"/>
        </w:rPr>
      </w:pPr>
      <w:r>
        <w:rPr>
          <w:i/>
          <w:iCs/>
          <w:color w:val="000000" w:themeColor="text1"/>
          <w:sz w:val="24"/>
        </w:rPr>
        <w:t>FFQ</w:t>
      </w:r>
      <w:r>
        <w:rPr>
          <w:color w:val="000000" w:themeColor="text1"/>
          <w:sz w:val="24"/>
        </w:rPr>
        <w:tab/>
        <w:t>aptauja pārtikas produktu lietošanas biežuma noteikšanai</w:t>
      </w:r>
    </w:p>
    <w:p w14:paraId="60814415" w14:textId="77777777" w:rsidR="008A656B" w:rsidRDefault="008A656B" w:rsidP="008A656B">
      <w:pPr>
        <w:pStyle w:val="Pamatteksts"/>
        <w:tabs>
          <w:tab w:val="left" w:pos="1985"/>
        </w:tabs>
        <w:spacing w:before="0"/>
        <w:ind w:left="0"/>
        <w:jc w:val="both"/>
        <w:rPr>
          <w:bCs/>
          <w:noProof/>
          <w:color w:val="000000" w:themeColor="text1"/>
          <w:sz w:val="24"/>
        </w:rPr>
      </w:pPr>
    </w:p>
    <w:p w14:paraId="09EA9092" w14:textId="6A086E6D" w:rsidR="00562491" w:rsidRPr="00D91B35" w:rsidRDefault="00562491" w:rsidP="008A656B">
      <w:pPr>
        <w:pStyle w:val="Pamatteksts"/>
        <w:tabs>
          <w:tab w:val="left" w:pos="1985"/>
        </w:tabs>
        <w:spacing w:before="0"/>
        <w:ind w:left="0"/>
        <w:jc w:val="both"/>
        <w:rPr>
          <w:bCs/>
          <w:noProof/>
          <w:color w:val="000000" w:themeColor="text1"/>
          <w:sz w:val="24"/>
        </w:rPr>
      </w:pPr>
      <w:r>
        <w:rPr>
          <w:color w:val="000000" w:themeColor="text1"/>
          <w:sz w:val="24"/>
        </w:rPr>
        <w:t>RK</w:t>
      </w:r>
      <w:r>
        <w:rPr>
          <w:color w:val="000000" w:themeColor="text1"/>
          <w:sz w:val="24"/>
        </w:rPr>
        <w:tab/>
        <w:t>riska koeficients</w:t>
      </w:r>
    </w:p>
    <w:p w14:paraId="06B8F108" w14:textId="77777777" w:rsidR="00562491" w:rsidRPr="00D91B35" w:rsidRDefault="00562491" w:rsidP="008A656B">
      <w:pPr>
        <w:tabs>
          <w:tab w:val="left" w:pos="1985"/>
        </w:tabs>
        <w:jc w:val="both"/>
        <w:rPr>
          <w:rFonts w:ascii="Times New Roman" w:eastAsia="Times New Roman" w:hAnsi="Times New Roman" w:cs="Times New Roman"/>
          <w:bCs/>
          <w:noProof/>
          <w:color w:val="000000" w:themeColor="text1"/>
          <w:sz w:val="24"/>
          <w:szCs w:val="21"/>
        </w:rPr>
      </w:pPr>
    </w:p>
    <w:p w14:paraId="00037808" w14:textId="77777777" w:rsidR="00562491" w:rsidRPr="00D91B35" w:rsidRDefault="00562491" w:rsidP="008A656B">
      <w:pPr>
        <w:pStyle w:val="Pamatteksts"/>
        <w:tabs>
          <w:tab w:val="left" w:pos="1985"/>
        </w:tabs>
        <w:spacing w:before="0"/>
        <w:ind w:left="0"/>
        <w:jc w:val="both"/>
        <w:rPr>
          <w:bCs/>
          <w:noProof/>
          <w:color w:val="000000" w:themeColor="text1"/>
          <w:sz w:val="24"/>
        </w:rPr>
      </w:pPr>
      <w:r>
        <w:rPr>
          <w:i/>
          <w:iCs/>
          <w:color w:val="000000" w:themeColor="text1"/>
          <w:sz w:val="24"/>
        </w:rPr>
        <w:t>IoM</w:t>
      </w:r>
      <w:r>
        <w:rPr>
          <w:color w:val="000000" w:themeColor="text1"/>
          <w:sz w:val="24"/>
        </w:rPr>
        <w:tab/>
        <w:t>Medicīnas institūts</w:t>
      </w:r>
    </w:p>
    <w:p w14:paraId="20208042" w14:textId="77777777" w:rsidR="00562491" w:rsidRPr="00D91B35" w:rsidRDefault="00562491" w:rsidP="008A656B">
      <w:pPr>
        <w:tabs>
          <w:tab w:val="left" w:pos="1985"/>
        </w:tabs>
        <w:jc w:val="both"/>
        <w:rPr>
          <w:rFonts w:ascii="Times New Roman" w:eastAsia="Times New Roman" w:hAnsi="Times New Roman" w:cs="Times New Roman"/>
          <w:bCs/>
          <w:noProof/>
          <w:color w:val="000000" w:themeColor="text1"/>
          <w:sz w:val="24"/>
          <w:szCs w:val="21"/>
        </w:rPr>
      </w:pPr>
    </w:p>
    <w:p w14:paraId="19E5240B" w14:textId="77777777" w:rsidR="00562491" w:rsidRPr="00D91B35" w:rsidRDefault="00562491" w:rsidP="008A656B">
      <w:pPr>
        <w:pStyle w:val="Pamatteksts"/>
        <w:tabs>
          <w:tab w:val="left" w:pos="1985"/>
        </w:tabs>
        <w:spacing w:before="0"/>
        <w:ind w:left="0"/>
        <w:jc w:val="both"/>
        <w:rPr>
          <w:bCs/>
          <w:noProof/>
          <w:color w:val="000000" w:themeColor="text1"/>
          <w:sz w:val="24"/>
        </w:rPr>
      </w:pPr>
      <w:r>
        <w:rPr>
          <w:color w:val="000000" w:themeColor="text1"/>
          <w:sz w:val="24"/>
        </w:rPr>
        <w:t>SV</w:t>
      </w:r>
      <w:r>
        <w:rPr>
          <w:color w:val="000000" w:themeColor="text1"/>
          <w:sz w:val="24"/>
        </w:rPr>
        <w:tab/>
        <w:t>starptautiskā vienība</w:t>
      </w:r>
    </w:p>
    <w:p w14:paraId="06A486EA" w14:textId="77777777" w:rsidR="00562491" w:rsidRPr="00D91B35" w:rsidRDefault="00562491" w:rsidP="008A656B">
      <w:pPr>
        <w:tabs>
          <w:tab w:val="left" w:pos="1985"/>
        </w:tabs>
        <w:jc w:val="both"/>
        <w:rPr>
          <w:rFonts w:ascii="Times New Roman" w:eastAsia="Times New Roman" w:hAnsi="Times New Roman" w:cs="Times New Roman"/>
          <w:bCs/>
          <w:noProof/>
          <w:color w:val="000000" w:themeColor="text1"/>
          <w:sz w:val="24"/>
          <w:szCs w:val="21"/>
        </w:rPr>
      </w:pPr>
    </w:p>
    <w:p w14:paraId="70D870B8" w14:textId="77777777" w:rsidR="00562491" w:rsidRPr="00D91B35" w:rsidRDefault="00562491" w:rsidP="008A656B">
      <w:pPr>
        <w:pStyle w:val="Pamatteksts"/>
        <w:tabs>
          <w:tab w:val="left" w:pos="1985"/>
        </w:tabs>
        <w:spacing w:before="0"/>
        <w:ind w:left="0"/>
        <w:jc w:val="both"/>
        <w:rPr>
          <w:bCs/>
          <w:noProof/>
          <w:color w:val="000000" w:themeColor="text1"/>
          <w:sz w:val="24"/>
        </w:rPr>
      </w:pPr>
      <w:r>
        <w:rPr>
          <w:i/>
          <w:iCs/>
          <w:color w:val="000000" w:themeColor="text1"/>
          <w:sz w:val="24"/>
        </w:rPr>
        <w:t>JACC</w:t>
      </w:r>
      <w:r>
        <w:rPr>
          <w:color w:val="000000" w:themeColor="text1"/>
          <w:sz w:val="24"/>
        </w:rPr>
        <w:tab/>
        <w:t>Japānas sadarbības kohorta</w:t>
      </w:r>
    </w:p>
    <w:p w14:paraId="3A6943C2" w14:textId="77777777" w:rsidR="00562491" w:rsidRPr="00D91B35" w:rsidRDefault="00562491" w:rsidP="008A656B">
      <w:pPr>
        <w:tabs>
          <w:tab w:val="left" w:pos="1985"/>
        </w:tabs>
        <w:jc w:val="both"/>
        <w:rPr>
          <w:rFonts w:ascii="Times New Roman" w:eastAsia="Times New Roman" w:hAnsi="Times New Roman" w:cs="Times New Roman"/>
          <w:bCs/>
          <w:noProof/>
          <w:color w:val="000000" w:themeColor="text1"/>
          <w:sz w:val="24"/>
          <w:szCs w:val="21"/>
        </w:rPr>
      </w:pPr>
    </w:p>
    <w:p w14:paraId="7E2E99B7" w14:textId="77777777" w:rsidR="008A656B" w:rsidRDefault="00562491" w:rsidP="008A656B">
      <w:pPr>
        <w:pStyle w:val="Pamatteksts"/>
        <w:tabs>
          <w:tab w:val="left" w:pos="1985"/>
        </w:tabs>
        <w:spacing w:before="0"/>
        <w:ind w:left="0"/>
        <w:jc w:val="both"/>
        <w:rPr>
          <w:bCs/>
          <w:noProof/>
          <w:color w:val="000000" w:themeColor="text1"/>
          <w:sz w:val="24"/>
        </w:rPr>
      </w:pPr>
      <w:r>
        <w:rPr>
          <w:i/>
          <w:iCs/>
          <w:color w:val="000000" w:themeColor="text1"/>
          <w:sz w:val="24"/>
        </w:rPr>
        <w:t>LOAEL</w:t>
      </w:r>
      <w:r>
        <w:rPr>
          <w:color w:val="000000" w:themeColor="text1"/>
          <w:sz w:val="24"/>
        </w:rPr>
        <w:tab/>
        <w:t>niecīgākā nelabvēlīgā ietekme</w:t>
      </w:r>
    </w:p>
    <w:p w14:paraId="19EAC26E" w14:textId="77777777" w:rsidR="008A656B" w:rsidRDefault="008A656B" w:rsidP="008A656B">
      <w:pPr>
        <w:pStyle w:val="Pamatteksts"/>
        <w:tabs>
          <w:tab w:val="left" w:pos="1985"/>
        </w:tabs>
        <w:spacing w:before="0"/>
        <w:ind w:left="0"/>
        <w:jc w:val="both"/>
        <w:rPr>
          <w:bCs/>
          <w:noProof/>
          <w:color w:val="000000" w:themeColor="text1"/>
          <w:sz w:val="24"/>
        </w:rPr>
      </w:pPr>
    </w:p>
    <w:p w14:paraId="735943EA" w14:textId="5CCC050E" w:rsidR="00562491" w:rsidRPr="00D91B35" w:rsidRDefault="00562491" w:rsidP="008A656B">
      <w:pPr>
        <w:pStyle w:val="Pamatteksts"/>
        <w:tabs>
          <w:tab w:val="left" w:pos="1985"/>
        </w:tabs>
        <w:spacing w:before="0"/>
        <w:ind w:left="0"/>
        <w:jc w:val="both"/>
        <w:rPr>
          <w:bCs/>
          <w:noProof/>
          <w:color w:val="000000" w:themeColor="text1"/>
          <w:sz w:val="24"/>
        </w:rPr>
      </w:pPr>
      <w:r>
        <w:rPr>
          <w:color w:val="000000" w:themeColor="text1"/>
          <w:sz w:val="24"/>
        </w:rPr>
        <w:t>PAS</w:t>
      </w:r>
      <w:r>
        <w:rPr>
          <w:color w:val="000000" w:themeColor="text1"/>
          <w:sz w:val="24"/>
        </w:rPr>
        <w:tab/>
        <w:t>piena alkāliju sindroms</w:t>
      </w:r>
    </w:p>
    <w:p w14:paraId="33211525" w14:textId="77777777" w:rsidR="008A656B" w:rsidRDefault="008A656B" w:rsidP="008A656B">
      <w:pPr>
        <w:pStyle w:val="Pamatteksts"/>
        <w:tabs>
          <w:tab w:val="left" w:pos="1985"/>
        </w:tabs>
        <w:spacing w:before="0"/>
        <w:ind w:left="0"/>
        <w:jc w:val="both"/>
        <w:rPr>
          <w:bCs/>
          <w:noProof/>
          <w:color w:val="000000" w:themeColor="text1"/>
          <w:sz w:val="24"/>
        </w:rPr>
      </w:pPr>
    </w:p>
    <w:p w14:paraId="428F4B10" w14:textId="5E31AF5B" w:rsidR="00562491" w:rsidRPr="00D91B35" w:rsidRDefault="00562491" w:rsidP="008A656B">
      <w:pPr>
        <w:pStyle w:val="Pamatteksts"/>
        <w:tabs>
          <w:tab w:val="left" w:pos="1985"/>
        </w:tabs>
        <w:spacing w:before="0"/>
        <w:ind w:left="0"/>
        <w:jc w:val="both"/>
        <w:rPr>
          <w:bCs/>
          <w:noProof/>
          <w:color w:val="000000" w:themeColor="text1"/>
          <w:sz w:val="24"/>
        </w:rPr>
      </w:pPr>
      <w:r>
        <w:rPr>
          <w:i/>
          <w:iCs/>
          <w:color w:val="000000" w:themeColor="text1"/>
          <w:sz w:val="24"/>
        </w:rPr>
        <w:t>NCX1</w:t>
      </w:r>
      <w:r>
        <w:rPr>
          <w:color w:val="000000" w:themeColor="text1"/>
          <w:sz w:val="24"/>
        </w:rPr>
        <w:tab/>
        <w:t>Na/Ca pārnesējs 1</w:t>
      </w:r>
    </w:p>
    <w:p w14:paraId="0E3F83C0" w14:textId="77777777" w:rsidR="00562491" w:rsidRPr="00D91B35" w:rsidRDefault="00562491" w:rsidP="008A656B">
      <w:pPr>
        <w:tabs>
          <w:tab w:val="left" w:pos="1985"/>
        </w:tabs>
        <w:jc w:val="both"/>
        <w:rPr>
          <w:rFonts w:ascii="Times New Roman" w:eastAsia="Times New Roman" w:hAnsi="Times New Roman" w:cs="Times New Roman"/>
          <w:bCs/>
          <w:noProof/>
          <w:color w:val="000000" w:themeColor="text1"/>
          <w:sz w:val="24"/>
          <w:szCs w:val="21"/>
        </w:rPr>
      </w:pPr>
    </w:p>
    <w:p w14:paraId="73AE2948" w14:textId="77777777" w:rsidR="008A656B" w:rsidRDefault="00562491" w:rsidP="008A656B">
      <w:pPr>
        <w:pStyle w:val="Pamatteksts"/>
        <w:tabs>
          <w:tab w:val="left" w:pos="1985"/>
        </w:tabs>
        <w:spacing w:before="0"/>
        <w:ind w:left="0"/>
        <w:jc w:val="both"/>
        <w:rPr>
          <w:bCs/>
          <w:noProof/>
          <w:color w:val="000000" w:themeColor="text1"/>
          <w:sz w:val="24"/>
        </w:rPr>
      </w:pPr>
      <w:r>
        <w:rPr>
          <w:i/>
          <w:iCs/>
          <w:color w:val="000000" w:themeColor="text1"/>
          <w:sz w:val="24"/>
        </w:rPr>
        <w:t>NOAEL</w:t>
      </w:r>
      <w:r>
        <w:rPr>
          <w:color w:val="000000" w:themeColor="text1"/>
          <w:sz w:val="24"/>
        </w:rPr>
        <w:tab/>
        <w:t>nenovērojamās nelabvēlīgās ietekmes līmenis</w:t>
      </w:r>
    </w:p>
    <w:p w14:paraId="7AEEE075" w14:textId="77777777" w:rsidR="008A656B" w:rsidRDefault="008A656B" w:rsidP="008A656B">
      <w:pPr>
        <w:pStyle w:val="Pamatteksts"/>
        <w:tabs>
          <w:tab w:val="left" w:pos="1985"/>
        </w:tabs>
        <w:spacing w:before="0"/>
        <w:ind w:left="0"/>
        <w:jc w:val="both"/>
        <w:rPr>
          <w:bCs/>
          <w:noProof/>
          <w:color w:val="000000" w:themeColor="text1"/>
          <w:sz w:val="24"/>
        </w:rPr>
      </w:pPr>
    </w:p>
    <w:p w14:paraId="773243E2" w14:textId="77777777" w:rsidR="008A656B" w:rsidRDefault="00562491" w:rsidP="008A656B">
      <w:pPr>
        <w:pStyle w:val="Pamatteksts"/>
        <w:tabs>
          <w:tab w:val="left" w:pos="1985"/>
        </w:tabs>
        <w:spacing w:before="0"/>
        <w:ind w:left="0"/>
        <w:jc w:val="both"/>
        <w:rPr>
          <w:bCs/>
          <w:noProof/>
          <w:color w:val="000000" w:themeColor="text1"/>
          <w:sz w:val="24"/>
        </w:rPr>
      </w:pPr>
      <w:r>
        <w:rPr>
          <w:i/>
          <w:iCs/>
          <w:color w:val="000000" w:themeColor="text1"/>
          <w:sz w:val="24"/>
        </w:rPr>
        <w:t>OMIM</w:t>
      </w:r>
      <w:r>
        <w:rPr>
          <w:color w:val="000000" w:themeColor="text1"/>
          <w:sz w:val="24"/>
        </w:rPr>
        <w:tab/>
        <w:t>cilvēka ģenētisko marķieru tiešsaistes katalogs</w:t>
      </w:r>
    </w:p>
    <w:p w14:paraId="1C37E328" w14:textId="77777777" w:rsidR="008A656B" w:rsidRDefault="008A656B" w:rsidP="008A656B">
      <w:pPr>
        <w:pStyle w:val="Pamatteksts"/>
        <w:tabs>
          <w:tab w:val="left" w:pos="1985"/>
        </w:tabs>
        <w:spacing w:before="0"/>
        <w:ind w:left="0"/>
        <w:jc w:val="both"/>
        <w:rPr>
          <w:bCs/>
          <w:noProof/>
          <w:color w:val="000000" w:themeColor="text1"/>
          <w:sz w:val="24"/>
        </w:rPr>
      </w:pPr>
    </w:p>
    <w:p w14:paraId="35AE158C" w14:textId="5E6322B8" w:rsidR="00562491" w:rsidRPr="00D91B35" w:rsidRDefault="00562491" w:rsidP="008A656B">
      <w:pPr>
        <w:pStyle w:val="Pamatteksts"/>
        <w:tabs>
          <w:tab w:val="left" w:pos="1985"/>
        </w:tabs>
        <w:spacing w:before="0"/>
        <w:ind w:left="0"/>
        <w:jc w:val="both"/>
        <w:rPr>
          <w:bCs/>
          <w:noProof/>
          <w:color w:val="000000" w:themeColor="text1"/>
          <w:sz w:val="24"/>
        </w:rPr>
      </w:pPr>
      <w:r>
        <w:rPr>
          <w:i/>
          <w:iCs/>
          <w:color w:val="000000" w:themeColor="text1"/>
          <w:sz w:val="24"/>
        </w:rPr>
        <w:t>PMCA</w:t>
      </w:r>
      <w:r>
        <w:rPr>
          <w:color w:val="000000" w:themeColor="text1"/>
          <w:sz w:val="24"/>
        </w:rPr>
        <w:tab/>
        <w:t>plazmas membrānas Ca-ATPāze</w:t>
      </w:r>
    </w:p>
    <w:p w14:paraId="0364EDBB" w14:textId="77777777" w:rsidR="008A656B" w:rsidRDefault="008A656B" w:rsidP="008A656B">
      <w:pPr>
        <w:pStyle w:val="Pamatteksts"/>
        <w:tabs>
          <w:tab w:val="left" w:pos="1985"/>
        </w:tabs>
        <w:spacing w:before="0"/>
        <w:ind w:left="0"/>
        <w:jc w:val="both"/>
        <w:rPr>
          <w:bCs/>
          <w:noProof/>
          <w:color w:val="000000" w:themeColor="text1"/>
          <w:sz w:val="24"/>
        </w:rPr>
      </w:pPr>
    </w:p>
    <w:p w14:paraId="727D698F" w14:textId="2712481B" w:rsidR="00562491" w:rsidRPr="00D91B35" w:rsidRDefault="00562491" w:rsidP="008A656B">
      <w:pPr>
        <w:pStyle w:val="Pamatteksts"/>
        <w:tabs>
          <w:tab w:val="left" w:pos="1985"/>
        </w:tabs>
        <w:spacing w:before="0"/>
        <w:ind w:left="0"/>
        <w:jc w:val="both"/>
        <w:rPr>
          <w:bCs/>
          <w:noProof/>
          <w:color w:val="000000" w:themeColor="text1"/>
          <w:sz w:val="24"/>
        </w:rPr>
      </w:pPr>
      <w:r>
        <w:rPr>
          <w:color w:val="000000" w:themeColor="text1"/>
          <w:sz w:val="24"/>
        </w:rPr>
        <w:t>PTH</w:t>
      </w:r>
      <w:r>
        <w:rPr>
          <w:color w:val="000000" w:themeColor="text1"/>
          <w:sz w:val="24"/>
        </w:rPr>
        <w:tab/>
        <w:t>parathormons</w:t>
      </w:r>
    </w:p>
    <w:p w14:paraId="61391B21" w14:textId="77777777" w:rsidR="00562491" w:rsidRPr="00D91B35" w:rsidRDefault="00562491" w:rsidP="008A656B">
      <w:pPr>
        <w:tabs>
          <w:tab w:val="left" w:pos="1985"/>
        </w:tabs>
        <w:jc w:val="both"/>
        <w:rPr>
          <w:rFonts w:ascii="Times New Roman" w:eastAsia="Times New Roman" w:hAnsi="Times New Roman" w:cs="Times New Roman"/>
          <w:bCs/>
          <w:noProof/>
          <w:color w:val="000000" w:themeColor="text1"/>
          <w:sz w:val="24"/>
          <w:szCs w:val="15"/>
        </w:rPr>
      </w:pPr>
    </w:p>
    <w:p w14:paraId="66D29F3F" w14:textId="77777777" w:rsidR="00562491" w:rsidRPr="00D91B35" w:rsidRDefault="00562491" w:rsidP="008A656B">
      <w:pPr>
        <w:pStyle w:val="Pamatteksts"/>
        <w:tabs>
          <w:tab w:val="left" w:pos="1985"/>
        </w:tabs>
        <w:spacing w:before="0"/>
        <w:ind w:left="0"/>
        <w:jc w:val="both"/>
        <w:rPr>
          <w:bCs/>
          <w:noProof/>
          <w:color w:val="000000" w:themeColor="text1"/>
          <w:sz w:val="24"/>
        </w:rPr>
      </w:pPr>
      <w:r>
        <w:rPr>
          <w:color w:val="000000" w:themeColor="text1"/>
          <w:sz w:val="24"/>
        </w:rPr>
        <w:t>RKP</w:t>
      </w:r>
      <w:r>
        <w:rPr>
          <w:color w:val="000000" w:themeColor="text1"/>
          <w:sz w:val="24"/>
        </w:rPr>
        <w:tab/>
        <w:t>nejaušināts kontrolēts pētījums</w:t>
      </w:r>
    </w:p>
    <w:p w14:paraId="3934210F" w14:textId="77777777" w:rsidR="00562491" w:rsidRPr="00D91B35" w:rsidRDefault="00562491" w:rsidP="008A656B">
      <w:pPr>
        <w:tabs>
          <w:tab w:val="left" w:pos="1985"/>
        </w:tabs>
        <w:jc w:val="both"/>
        <w:rPr>
          <w:rFonts w:ascii="Times New Roman" w:eastAsia="Times New Roman" w:hAnsi="Times New Roman" w:cs="Times New Roman"/>
          <w:bCs/>
          <w:noProof/>
          <w:color w:val="000000" w:themeColor="text1"/>
          <w:sz w:val="24"/>
          <w:szCs w:val="21"/>
        </w:rPr>
      </w:pPr>
    </w:p>
    <w:p w14:paraId="1FE508E1" w14:textId="77777777" w:rsidR="00562491" w:rsidRPr="00D91B35" w:rsidRDefault="00562491" w:rsidP="008A656B">
      <w:pPr>
        <w:pStyle w:val="Pamatteksts"/>
        <w:tabs>
          <w:tab w:val="left" w:pos="1985"/>
        </w:tabs>
        <w:spacing w:before="0"/>
        <w:ind w:left="0"/>
        <w:jc w:val="both"/>
        <w:rPr>
          <w:bCs/>
          <w:noProof/>
          <w:color w:val="000000" w:themeColor="text1"/>
          <w:sz w:val="24"/>
        </w:rPr>
      </w:pPr>
      <w:r>
        <w:rPr>
          <w:color w:val="000000" w:themeColor="text1"/>
          <w:sz w:val="24"/>
        </w:rPr>
        <w:t>RR</w:t>
      </w:r>
      <w:r>
        <w:rPr>
          <w:color w:val="000000" w:themeColor="text1"/>
          <w:sz w:val="24"/>
        </w:rPr>
        <w:tab/>
        <w:t>relatīvais risks</w:t>
      </w:r>
    </w:p>
    <w:p w14:paraId="30925DB5" w14:textId="77777777" w:rsidR="00562491" w:rsidRPr="00D91B35" w:rsidRDefault="00562491" w:rsidP="008A656B">
      <w:pPr>
        <w:tabs>
          <w:tab w:val="left" w:pos="1985"/>
        </w:tabs>
        <w:jc w:val="both"/>
        <w:rPr>
          <w:rFonts w:ascii="Times New Roman" w:eastAsia="Times New Roman" w:hAnsi="Times New Roman" w:cs="Times New Roman"/>
          <w:bCs/>
          <w:noProof/>
          <w:color w:val="000000" w:themeColor="text1"/>
          <w:sz w:val="24"/>
          <w:szCs w:val="21"/>
        </w:rPr>
      </w:pPr>
    </w:p>
    <w:p w14:paraId="7A21A48B" w14:textId="77777777" w:rsidR="00562491" w:rsidRPr="00D91B35" w:rsidRDefault="00562491" w:rsidP="008A656B">
      <w:pPr>
        <w:pStyle w:val="Pamatteksts"/>
        <w:tabs>
          <w:tab w:val="left" w:pos="1985"/>
        </w:tabs>
        <w:spacing w:before="0"/>
        <w:ind w:left="0"/>
        <w:jc w:val="both"/>
        <w:rPr>
          <w:bCs/>
          <w:noProof/>
          <w:color w:val="000000" w:themeColor="text1"/>
          <w:sz w:val="24"/>
        </w:rPr>
      </w:pPr>
      <w:r>
        <w:rPr>
          <w:i/>
          <w:iCs/>
          <w:color w:val="000000" w:themeColor="text1"/>
          <w:sz w:val="24"/>
        </w:rPr>
        <w:t>SCF</w:t>
      </w:r>
      <w:r>
        <w:rPr>
          <w:color w:val="000000" w:themeColor="text1"/>
          <w:sz w:val="24"/>
        </w:rPr>
        <w:tab/>
        <w:t>Pārtikas zinātniskā komiteja</w:t>
      </w:r>
    </w:p>
    <w:p w14:paraId="77B266BF" w14:textId="77777777" w:rsidR="00562491" w:rsidRPr="00D91B35" w:rsidRDefault="00562491" w:rsidP="008A656B">
      <w:pPr>
        <w:tabs>
          <w:tab w:val="left" w:pos="1985"/>
        </w:tabs>
        <w:jc w:val="both"/>
        <w:rPr>
          <w:rFonts w:ascii="Times New Roman" w:eastAsia="Times New Roman" w:hAnsi="Times New Roman" w:cs="Times New Roman"/>
          <w:bCs/>
          <w:noProof/>
          <w:color w:val="000000" w:themeColor="text1"/>
          <w:sz w:val="24"/>
          <w:szCs w:val="21"/>
        </w:rPr>
      </w:pPr>
    </w:p>
    <w:p w14:paraId="64A4B976" w14:textId="77777777" w:rsidR="008A656B" w:rsidRDefault="00562491" w:rsidP="008A656B">
      <w:pPr>
        <w:pStyle w:val="Pamatteksts"/>
        <w:tabs>
          <w:tab w:val="left" w:pos="1985"/>
        </w:tabs>
        <w:spacing w:before="0"/>
        <w:ind w:left="0"/>
        <w:jc w:val="both"/>
        <w:rPr>
          <w:bCs/>
          <w:noProof/>
          <w:color w:val="000000" w:themeColor="text1"/>
          <w:sz w:val="24"/>
        </w:rPr>
      </w:pPr>
      <w:r>
        <w:rPr>
          <w:i/>
          <w:iCs/>
          <w:color w:val="000000" w:themeColor="text1"/>
          <w:sz w:val="24"/>
        </w:rPr>
        <w:t>TRPV</w:t>
      </w:r>
      <w:r>
        <w:rPr>
          <w:color w:val="000000" w:themeColor="text1"/>
          <w:sz w:val="24"/>
        </w:rPr>
        <w:tab/>
        <w:t>potenciāla atkarīgie vaniloīda kanālu receptori</w:t>
      </w:r>
    </w:p>
    <w:p w14:paraId="2A98298B" w14:textId="77777777" w:rsidR="008A656B" w:rsidRDefault="008A656B" w:rsidP="008A656B">
      <w:pPr>
        <w:pStyle w:val="Pamatteksts"/>
        <w:tabs>
          <w:tab w:val="left" w:pos="1985"/>
        </w:tabs>
        <w:spacing w:before="0"/>
        <w:ind w:left="0"/>
        <w:jc w:val="both"/>
        <w:rPr>
          <w:bCs/>
          <w:noProof/>
          <w:color w:val="000000" w:themeColor="text1"/>
          <w:sz w:val="24"/>
        </w:rPr>
      </w:pPr>
    </w:p>
    <w:p w14:paraId="121CB024" w14:textId="1E6BDA08" w:rsidR="00562491" w:rsidRPr="00D91B35" w:rsidRDefault="00562491" w:rsidP="008A656B">
      <w:pPr>
        <w:pStyle w:val="Pamatteksts"/>
        <w:tabs>
          <w:tab w:val="left" w:pos="1985"/>
        </w:tabs>
        <w:spacing w:before="0"/>
        <w:ind w:left="0"/>
        <w:jc w:val="both"/>
        <w:rPr>
          <w:bCs/>
          <w:noProof/>
          <w:color w:val="000000" w:themeColor="text1"/>
          <w:sz w:val="24"/>
        </w:rPr>
      </w:pPr>
      <w:r>
        <w:rPr>
          <w:color w:val="000000" w:themeColor="text1"/>
          <w:sz w:val="24"/>
        </w:rPr>
        <w:t>AD</w:t>
      </w:r>
      <w:r>
        <w:rPr>
          <w:color w:val="000000" w:themeColor="text1"/>
          <w:sz w:val="24"/>
        </w:rPr>
        <w:tab/>
        <w:t>pieļaujamais augstākais uzņemamais daudzums</w:t>
      </w:r>
    </w:p>
    <w:p w14:paraId="515AC4C8" w14:textId="77777777" w:rsidR="008A656B" w:rsidRDefault="008A656B" w:rsidP="008A656B">
      <w:pPr>
        <w:pStyle w:val="Pamatteksts"/>
        <w:tabs>
          <w:tab w:val="left" w:pos="1985"/>
        </w:tabs>
        <w:spacing w:before="0"/>
        <w:ind w:left="0"/>
        <w:jc w:val="both"/>
        <w:rPr>
          <w:bCs/>
          <w:noProof/>
          <w:color w:val="000000" w:themeColor="text1"/>
          <w:sz w:val="24"/>
        </w:rPr>
      </w:pPr>
    </w:p>
    <w:p w14:paraId="719E0734" w14:textId="2A7E7BA9" w:rsidR="00562491" w:rsidRPr="00D91B35" w:rsidRDefault="00562491" w:rsidP="008A656B">
      <w:pPr>
        <w:pStyle w:val="Pamatteksts"/>
        <w:tabs>
          <w:tab w:val="left" w:pos="1985"/>
        </w:tabs>
        <w:spacing w:before="0"/>
        <w:ind w:left="0"/>
        <w:jc w:val="both"/>
        <w:rPr>
          <w:bCs/>
          <w:noProof/>
          <w:color w:val="000000" w:themeColor="text1"/>
          <w:sz w:val="24"/>
        </w:rPr>
      </w:pPr>
      <w:r>
        <w:rPr>
          <w:i/>
          <w:iCs/>
          <w:color w:val="000000" w:themeColor="text1"/>
          <w:sz w:val="24"/>
        </w:rPr>
        <w:t>VDR</w:t>
      </w:r>
      <w:r>
        <w:rPr>
          <w:color w:val="000000" w:themeColor="text1"/>
          <w:sz w:val="24"/>
        </w:rPr>
        <w:tab/>
        <w:t>D vitamīna receptors</w:t>
      </w:r>
    </w:p>
    <w:p w14:paraId="56874396" w14:textId="77777777" w:rsidR="00562491" w:rsidRPr="00D91B35" w:rsidRDefault="00562491" w:rsidP="008A656B">
      <w:pPr>
        <w:tabs>
          <w:tab w:val="left" w:pos="1985"/>
        </w:tabs>
        <w:jc w:val="both"/>
        <w:rPr>
          <w:rFonts w:ascii="Times New Roman" w:eastAsia="Times New Roman" w:hAnsi="Times New Roman" w:cs="Times New Roman"/>
          <w:bCs/>
          <w:noProof/>
          <w:color w:val="000000" w:themeColor="text1"/>
          <w:sz w:val="24"/>
          <w:szCs w:val="21"/>
        </w:rPr>
      </w:pPr>
    </w:p>
    <w:p w14:paraId="3628594F" w14:textId="77777777" w:rsidR="008A656B" w:rsidRDefault="00562491" w:rsidP="008A656B">
      <w:pPr>
        <w:pStyle w:val="Pamatteksts"/>
        <w:tabs>
          <w:tab w:val="left" w:pos="1985"/>
        </w:tabs>
        <w:spacing w:before="0"/>
        <w:ind w:left="0"/>
        <w:jc w:val="both"/>
        <w:rPr>
          <w:bCs/>
          <w:noProof/>
          <w:color w:val="000000" w:themeColor="text1"/>
          <w:sz w:val="24"/>
        </w:rPr>
      </w:pPr>
      <w:r>
        <w:rPr>
          <w:i/>
          <w:iCs/>
          <w:color w:val="000000" w:themeColor="text1"/>
          <w:sz w:val="24"/>
        </w:rPr>
        <w:t>WCRF/AICR</w:t>
      </w:r>
      <w:r>
        <w:rPr>
          <w:color w:val="000000" w:themeColor="text1"/>
          <w:sz w:val="24"/>
        </w:rPr>
        <w:tab/>
        <w:t>Vēža izpētes fonds/Amerikas Vēža izpētes institūts</w:t>
      </w:r>
    </w:p>
    <w:p w14:paraId="4FF8FAB5" w14:textId="77777777" w:rsidR="008A656B" w:rsidRDefault="008A656B" w:rsidP="008A656B">
      <w:pPr>
        <w:pStyle w:val="Pamatteksts"/>
        <w:tabs>
          <w:tab w:val="left" w:pos="1985"/>
        </w:tabs>
        <w:spacing w:before="0"/>
        <w:ind w:left="0"/>
        <w:jc w:val="both"/>
        <w:rPr>
          <w:bCs/>
          <w:noProof/>
          <w:color w:val="000000" w:themeColor="text1"/>
          <w:sz w:val="24"/>
        </w:rPr>
      </w:pPr>
    </w:p>
    <w:p w14:paraId="1E38A856" w14:textId="44F6ED43" w:rsidR="00562491" w:rsidRPr="00D91B35" w:rsidRDefault="00562491" w:rsidP="008A656B">
      <w:pPr>
        <w:pStyle w:val="Pamatteksts"/>
        <w:tabs>
          <w:tab w:val="left" w:pos="1985"/>
        </w:tabs>
        <w:spacing w:before="0"/>
        <w:ind w:left="0"/>
        <w:jc w:val="both"/>
        <w:rPr>
          <w:bCs/>
          <w:noProof/>
          <w:color w:val="000000" w:themeColor="text1"/>
          <w:sz w:val="24"/>
        </w:rPr>
      </w:pPr>
      <w:r>
        <w:rPr>
          <w:i/>
          <w:iCs/>
          <w:color w:val="000000" w:themeColor="text1"/>
          <w:sz w:val="24"/>
        </w:rPr>
        <w:t>WHI</w:t>
      </w:r>
      <w:r>
        <w:rPr>
          <w:color w:val="000000" w:themeColor="text1"/>
          <w:sz w:val="24"/>
        </w:rPr>
        <w:tab/>
        <w:t>Sieviešu veselības iniciatīva</w:t>
      </w:r>
    </w:p>
    <w:p w14:paraId="44FA94E3" w14:textId="77777777" w:rsidR="002A5407" w:rsidRPr="00D91B35" w:rsidRDefault="002A5407">
      <w:pPr>
        <w:pStyle w:val="Pamatteksts"/>
        <w:tabs>
          <w:tab w:val="left" w:pos="1598"/>
        </w:tabs>
        <w:spacing w:before="0"/>
        <w:ind w:left="0"/>
        <w:jc w:val="both"/>
        <w:rPr>
          <w:bCs/>
          <w:noProof/>
          <w:color w:val="000000" w:themeColor="text1"/>
          <w:sz w:val="24"/>
        </w:rPr>
      </w:pPr>
    </w:p>
    <w:sectPr w:rsidR="002A5407" w:rsidRPr="00D91B35" w:rsidSect="00A97AA5">
      <w:headerReference w:type="default" r:id="rId19"/>
      <w:footerReference w:type="default" r:id="rId20"/>
      <w:pgSz w:w="11910" w:h="16840"/>
      <w:pgMar w:top="1219" w:right="1259" w:bottom="1077" w:left="125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57F5B" w14:textId="77777777" w:rsidR="00BE71C6" w:rsidRPr="00562491" w:rsidRDefault="00BE71C6">
      <w:pPr>
        <w:rPr>
          <w:noProof/>
        </w:rPr>
      </w:pPr>
      <w:r w:rsidRPr="00562491">
        <w:rPr>
          <w:noProof/>
        </w:rPr>
        <w:separator/>
      </w:r>
    </w:p>
  </w:endnote>
  <w:endnote w:type="continuationSeparator" w:id="0">
    <w:p w14:paraId="5E28FCC3" w14:textId="77777777" w:rsidR="00BE71C6" w:rsidRPr="00562491" w:rsidRDefault="00BE71C6">
      <w:pPr>
        <w:rPr>
          <w:noProof/>
        </w:rPr>
      </w:pPr>
      <w:r w:rsidRPr="00562491">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1C94D" w14:textId="77777777" w:rsidR="009C0F4D" w:rsidRPr="00D425CE" w:rsidRDefault="009C0F4D" w:rsidP="009C0F4D">
    <w:pPr>
      <w:pStyle w:val="Galvene"/>
      <w:tabs>
        <w:tab w:val="left" w:pos="9072"/>
      </w:tabs>
      <w:rPr>
        <w:rStyle w:val="Lappusesnumurs"/>
        <w:rFonts w:ascii="Times New Roman" w:hAnsi="Times New Roman" w:cs="Times New Roman"/>
        <w:sz w:val="20"/>
        <w:szCs w:val="18"/>
      </w:rPr>
    </w:pPr>
  </w:p>
  <w:p w14:paraId="55346DD5" w14:textId="77777777" w:rsidR="009C0F4D" w:rsidRPr="00D425CE" w:rsidRDefault="009C0F4D" w:rsidP="009C0F4D">
    <w:pPr>
      <w:pStyle w:val="Galvene"/>
      <w:tabs>
        <w:tab w:val="clear" w:pos="4513"/>
        <w:tab w:val="clear" w:pos="9026"/>
        <w:tab w:val="right" w:leader="underscore" w:pos="9072"/>
      </w:tabs>
      <w:rPr>
        <w:rStyle w:val="Lappusesnumurs"/>
        <w:rFonts w:ascii="Times New Roman" w:hAnsi="Times New Roman" w:cs="Times New Roman"/>
        <w:sz w:val="20"/>
        <w:szCs w:val="18"/>
      </w:rPr>
    </w:pPr>
    <w:r w:rsidRPr="00D425CE">
      <w:rPr>
        <w:rStyle w:val="Lappusesnumurs"/>
        <w:rFonts w:ascii="Times New Roman" w:hAnsi="Times New Roman" w:cs="Times New Roman"/>
        <w:sz w:val="20"/>
        <w:szCs w:val="18"/>
      </w:rPr>
      <w:tab/>
    </w:r>
  </w:p>
  <w:p w14:paraId="57665C92" w14:textId="77777777" w:rsidR="009C0F4D" w:rsidRPr="00D425CE" w:rsidRDefault="009C0F4D" w:rsidP="009C0F4D">
    <w:pPr>
      <w:pStyle w:val="Galvene"/>
      <w:tabs>
        <w:tab w:val="right" w:pos="9072"/>
      </w:tabs>
      <w:rPr>
        <w:rStyle w:val="Lappusesnumurs"/>
        <w:rFonts w:ascii="Times New Roman" w:hAnsi="Times New Roman" w:cs="Times New Roman"/>
        <w:sz w:val="20"/>
        <w:szCs w:val="18"/>
      </w:rPr>
    </w:pPr>
  </w:p>
  <w:p w14:paraId="1DD543A4" w14:textId="43AC14B3" w:rsidR="00BE71C6" w:rsidRPr="009C0F4D" w:rsidRDefault="009C0F4D" w:rsidP="009C0F4D">
    <w:pPr>
      <w:pStyle w:val="Kjene"/>
      <w:tabs>
        <w:tab w:val="clear" w:pos="4513"/>
        <w:tab w:val="clear" w:pos="9026"/>
        <w:tab w:val="center" w:pos="9072"/>
      </w:tabs>
      <w:rPr>
        <w:rFonts w:ascii="Times New Roman" w:hAnsi="Times New Roman" w:cs="Times New Roman"/>
        <w:sz w:val="20"/>
        <w:szCs w:val="18"/>
      </w:rPr>
    </w:pPr>
    <w:r w:rsidRPr="00D425CE">
      <w:rPr>
        <w:rFonts w:ascii="Times New Roman" w:hAnsi="Times New Roman" w:cs="Times New Roman"/>
        <w:noProof/>
        <w:sz w:val="20"/>
        <w:szCs w:val="18"/>
      </w:rPr>
      <w:t xml:space="preserve">Tulkojums </w:t>
    </w:r>
    <w:r w:rsidRPr="00D425CE">
      <w:rPr>
        <w:rFonts w:ascii="Times New Roman" w:hAnsi="Times New Roman" w:cs="Times New Roman"/>
        <w:noProof/>
        <w:sz w:val="20"/>
        <w:szCs w:val="18"/>
      </w:rPr>
      <w:fldChar w:fldCharType="begin"/>
    </w:r>
    <w:r w:rsidRPr="00D425CE">
      <w:rPr>
        <w:rFonts w:ascii="Times New Roman" w:hAnsi="Times New Roman" w:cs="Times New Roman"/>
        <w:noProof/>
        <w:sz w:val="20"/>
        <w:szCs w:val="18"/>
      </w:rPr>
      <w:instrText>symbol 211 \f "Symbol" \s 9</w:instrText>
    </w:r>
    <w:r w:rsidRPr="00D425CE">
      <w:rPr>
        <w:rFonts w:ascii="Times New Roman" w:hAnsi="Times New Roman" w:cs="Times New Roman"/>
        <w:noProof/>
        <w:sz w:val="20"/>
        <w:szCs w:val="18"/>
      </w:rPr>
      <w:fldChar w:fldCharType="separate"/>
    </w:r>
    <w:r w:rsidRPr="00D425CE">
      <w:rPr>
        <w:rFonts w:ascii="Times New Roman" w:hAnsi="Times New Roman" w:cs="Times New Roman"/>
        <w:noProof/>
        <w:sz w:val="20"/>
        <w:szCs w:val="18"/>
      </w:rPr>
      <w:t>Ó</w:t>
    </w:r>
    <w:r w:rsidRPr="00D425CE">
      <w:rPr>
        <w:rFonts w:ascii="Times New Roman" w:hAnsi="Times New Roman" w:cs="Times New Roman"/>
        <w:noProof/>
        <w:sz w:val="20"/>
        <w:szCs w:val="18"/>
      </w:rPr>
      <w:fldChar w:fldCharType="end"/>
    </w:r>
    <w:r w:rsidRPr="00D425CE">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1</w:t>
    </w:r>
    <w:r w:rsidRPr="00D425CE">
      <w:rPr>
        <w:rFonts w:ascii="Times New Roman" w:hAnsi="Times New Roman" w:cs="Times New Roman"/>
        <w:sz w:val="20"/>
        <w:szCs w:val="18"/>
      </w:rPr>
      <w:tab/>
    </w:r>
    <w:r w:rsidRPr="00D425CE">
      <w:rPr>
        <w:rStyle w:val="Lappusesnumurs"/>
        <w:rFonts w:ascii="Times New Roman" w:hAnsi="Times New Roman" w:cs="Times New Roman"/>
        <w:sz w:val="20"/>
        <w:szCs w:val="18"/>
      </w:rPr>
      <w:fldChar w:fldCharType="begin"/>
    </w:r>
    <w:r w:rsidRPr="00D425CE">
      <w:rPr>
        <w:rStyle w:val="Lappusesnumurs"/>
        <w:rFonts w:ascii="Times New Roman" w:hAnsi="Times New Roman" w:cs="Times New Roman"/>
        <w:sz w:val="20"/>
        <w:szCs w:val="18"/>
      </w:rPr>
      <w:instrText xml:space="preserve">page </w:instrText>
    </w:r>
    <w:r w:rsidRPr="00D425CE">
      <w:rPr>
        <w:rStyle w:val="Lappusesnumurs"/>
        <w:rFonts w:ascii="Times New Roman" w:hAnsi="Times New Roman" w:cs="Times New Roman"/>
        <w:sz w:val="20"/>
        <w:szCs w:val="18"/>
      </w:rPr>
      <w:fldChar w:fldCharType="separate"/>
    </w:r>
    <w:r>
      <w:rPr>
        <w:rStyle w:val="Lappusesnumurs"/>
        <w:rFonts w:ascii="Times New Roman" w:hAnsi="Times New Roman" w:cs="Times New Roman"/>
        <w:sz w:val="20"/>
        <w:szCs w:val="18"/>
      </w:rPr>
      <w:t>2</w:t>
    </w:r>
    <w:r w:rsidRPr="00D425CE">
      <w:rPr>
        <w:rStyle w:val="Lappusesnumurs"/>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43EAB" w14:textId="77777777" w:rsidR="000D051F" w:rsidRPr="00D425CE" w:rsidRDefault="000D051F" w:rsidP="000D051F">
    <w:pPr>
      <w:pStyle w:val="Galvene"/>
      <w:tabs>
        <w:tab w:val="left" w:pos="9072"/>
      </w:tabs>
      <w:rPr>
        <w:rStyle w:val="Lappusesnumurs"/>
        <w:rFonts w:ascii="Times New Roman" w:hAnsi="Times New Roman" w:cs="Times New Roman"/>
        <w:sz w:val="20"/>
        <w:szCs w:val="20"/>
      </w:rPr>
    </w:pPr>
    <w:bookmarkStart w:id="228" w:name="_Hlk496261764"/>
    <w:bookmarkStart w:id="229" w:name="_Hlk496261765"/>
    <w:bookmarkStart w:id="230" w:name="_Hlk496261766"/>
    <w:bookmarkStart w:id="231" w:name="_Hlk30491075"/>
    <w:bookmarkStart w:id="232" w:name="_Hlk30491076"/>
  </w:p>
  <w:p w14:paraId="0D150A3B" w14:textId="77777777" w:rsidR="000D051F" w:rsidRPr="00D425CE" w:rsidRDefault="000D051F" w:rsidP="000D051F">
    <w:pPr>
      <w:pStyle w:val="Galvene"/>
      <w:tabs>
        <w:tab w:val="clear" w:pos="4513"/>
        <w:tab w:val="clear" w:pos="9026"/>
        <w:tab w:val="left" w:leader="underscore" w:pos="9072"/>
      </w:tabs>
      <w:rPr>
        <w:rStyle w:val="Lappusesnumurs"/>
        <w:rFonts w:ascii="Times New Roman" w:hAnsi="Times New Roman" w:cs="Times New Roman"/>
        <w:sz w:val="20"/>
        <w:szCs w:val="20"/>
      </w:rPr>
    </w:pPr>
    <w:r w:rsidRPr="00D425CE">
      <w:rPr>
        <w:rStyle w:val="Lappusesnumurs"/>
        <w:rFonts w:ascii="Times New Roman" w:hAnsi="Times New Roman" w:cs="Times New Roman"/>
        <w:sz w:val="20"/>
        <w:szCs w:val="20"/>
      </w:rPr>
      <w:tab/>
    </w:r>
  </w:p>
  <w:p w14:paraId="7B362051" w14:textId="77777777" w:rsidR="000D051F" w:rsidRPr="00D425CE" w:rsidRDefault="000D051F" w:rsidP="000D051F">
    <w:pPr>
      <w:pStyle w:val="Galvene"/>
      <w:tabs>
        <w:tab w:val="left" w:pos="9072"/>
      </w:tabs>
      <w:rPr>
        <w:rStyle w:val="Lappusesnumurs"/>
        <w:rFonts w:ascii="Times New Roman" w:hAnsi="Times New Roman" w:cs="Times New Roman"/>
        <w:sz w:val="20"/>
        <w:szCs w:val="20"/>
      </w:rPr>
    </w:pPr>
  </w:p>
  <w:p w14:paraId="5CB91CAA" w14:textId="014B4FCB" w:rsidR="002506B0" w:rsidRPr="000D051F" w:rsidRDefault="000D051F">
    <w:pPr>
      <w:pStyle w:val="Kjene"/>
      <w:rPr>
        <w:rFonts w:ascii="Times New Roman" w:hAnsi="Times New Roman" w:cs="Times New Roman"/>
        <w:sz w:val="20"/>
        <w:szCs w:val="20"/>
      </w:rPr>
    </w:pPr>
    <w:r w:rsidRPr="00D425CE">
      <w:rPr>
        <w:rFonts w:ascii="Times New Roman" w:hAnsi="Times New Roman" w:cs="Times New Roman"/>
        <w:noProof/>
        <w:sz w:val="20"/>
        <w:szCs w:val="20"/>
      </w:rPr>
      <w:t xml:space="preserve">Tulkojums </w:t>
    </w:r>
    <w:r w:rsidRPr="00D425CE">
      <w:rPr>
        <w:rFonts w:ascii="Times New Roman" w:hAnsi="Times New Roman" w:cs="Times New Roman"/>
        <w:noProof/>
        <w:sz w:val="20"/>
        <w:szCs w:val="20"/>
      </w:rPr>
      <w:fldChar w:fldCharType="begin"/>
    </w:r>
    <w:r w:rsidRPr="00D425CE">
      <w:rPr>
        <w:rFonts w:ascii="Times New Roman" w:hAnsi="Times New Roman" w:cs="Times New Roman"/>
        <w:noProof/>
        <w:sz w:val="20"/>
        <w:szCs w:val="20"/>
      </w:rPr>
      <w:instrText>symbol 211 \f "Symbol" \s 9</w:instrText>
    </w:r>
    <w:r w:rsidRPr="00D425CE">
      <w:rPr>
        <w:rFonts w:ascii="Times New Roman" w:hAnsi="Times New Roman" w:cs="Times New Roman"/>
        <w:noProof/>
        <w:sz w:val="20"/>
        <w:szCs w:val="20"/>
      </w:rPr>
      <w:fldChar w:fldCharType="separate"/>
    </w:r>
    <w:r w:rsidRPr="00D425CE">
      <w:rPr>
        <w:rFonts w:ascii="Times New Roman" w:hAnsi="Times New Roman" w:cs="Times New Roman"/>
        <w:noProof/>
        <w:sz w:val="20"/>
        <w:szCs w:val="20"/>
      </w:rPr>
      <w:t>Ó</w:t>
    </w:r>
    <w:r w:rsidRPr="00D425CE">
      <w:rPr>
        <w:rFonts w:ascii="Times New Roman" w:hAnsi="Times New Roman" w:cs="Times New Roman"/>
        <w:noProof/>
        <w:sz w:val="20"/>
        <w:szCs w:val="20"/>
      </w:rPr>
      <w:fldChar w:fldCharType="end"/>
    </w:r>
    <w:r w:rsidRPr="00D425CE">
      <w:rPr>
        <w:rFonts w:ascii="Times New Roman" w:hAnsi="Times New Roman" w:cs="Times New Roman"/>
        <w:noProof/>
        <w:sz w:val="20"/>
        <w:szCs w:val="20"/>
      </w:rPr>
      <w:t xml:space="preserve"> Valsts valodas centrs, 20</w:t>
    </w:r>
    <w:bookmarkEnd w:id="228"/>
    <w:bookmarkEnd w:id="229"/>
    <w:bookmarkEnd w:id="230"/>
    <w:r w:rsidRPr="00D425CE">
      <w:rPr>
        <w:rFonts w:ascii="Times New Roman" w:hAnsi="Times New Roman" w:cs="Times New Roman"/>
        <w:noProof/>
        <w:sz w:val="20"/>
        <w:szCs w:val="20"/>
      </w:rPr>
      <w:t>2</w:t>
    </w:r>
    <w:bookmarkEnd w:id="231"/>
    <w:bookmarkEnd w:id="232"/>
    <w:r>
      <w:rPr>
        <w:rFonts w:ascii="Times New Roman" w:hAnsi="Times New Roman" w:cs="Times New Roman"/>
        <w:noProof/>
        <w:sz w:val="20"/>
        <w:szCs w:val="20"/>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06AEF" w14:textId="77777777" w:rsidR="00D706FA" w:rsidRPr="00D425CE" w:rsidRDefault="00D706FA" w:rsidP="00D706FA">
    <w:pPr>
      <w:pStyle w:val="Galvene"/>
      <w:tabs>
        <w:tab w:val="left" w:pos="9072"/>
      </w:tabs>
      <w:rPr>
        <w:rStyle w:val="Lappusesnumurs"/>
        <w:rFonts w:ascii="Times New Roman" w:hAnsi="Times New Roman" w:cs="Times New Roman"/>
        <w:sz w:val="20"/>
        <w:szCs w:val="18"/>
      </w:rPr>
    </w:pPr>
  </w:p>
  <w:p w14:paraId="3E22FFA2" w14:textId="77777777" w:rsidR="00D706FA" w:rsidRPr="00D425CE" w:rsidRDefault="00D706FA" w:rsidP="00D706FA">
    <w:pPr>
      <w:pStyle w:val="Galvene"/>
      <w:tabs>
        <w:tab w:val="clear" w:pos="4513"/>
        <w:tab w:val="clear" w:pos="9026"/>
        <w:tab w:val="right" w:leader="underscore" w:pos="14005"/>
      </w:tabs>
      <w:rPr>
        <w:rStyle w:val="Lappusesnumurs"/>
        <w:rFonts w:ascii="Times New Roman" w:hAnsi="Times New Roman" w:cs="Times New Roman"/>
        <w:sz w:val="20"/>
        <w:szCs w:val="18"/>
      </w:rPr>
    </w:pPr>
    <w:r w:rsidRPr="00D425CE">
      <w:rPr>
        <w:rStyle w:val="Lappusesnumurs"/>
        <w:rFonts w:ascii="Times New Roman" w:hAnsi="Times New Roman" w:cs="Times New Roman"/>
        <w:sz w:val="20"/>
        <w:szCs w:val="18"/>
      </w:rPr>
      <w:tab/>
    </w:r>
  </w:p>
  <w:p w14:paraId="5FB5B527" w14:textId="77777777" w:rsidR="00D706FA" w:rsidRPr="00D425CE" w:rsidRDefault="00D706FA" w:rsidP="00D706FA">
    <w:pPr>
      <w:pStyle w:val="Galvene"/>
      <w:tabs>
        <w:tab w:val="clear" w:pos="9026"/>
        <w:tab w:val="right" w:pos="10490"/>
        <w:tab w:val="right" w:pos="14005"/>
      </w:tabs>
      <w:rPr>
        <w:rStyle w:val="Lappusesnumurs"/>
        <w:rFonts w:ascii="Times New Roman" w:hAnsi="Times New Roman" w:cs="Times New Roman"/>
        <w:sz w:val="20"/>
        <w:szCs w:val="18"/>
      </w:rPr>
    </w:pPr>
  </w:p>
  <w:p w14:paraId="03512CE7" w14:textId="4632139E" w:rsidR="00BE71C6" w:rsidRPr="00D706FA" w:rsidRDefault="00D706FA" w:rsidP="00D706FA">
    <w:pPr>
      <w:pStyle w:val="Kjene"/>
      <w:tabs>
        <w:tab w:val="clear" w:pos="4513"/>
        <w:tab w:val="clear" w:pos="9026"/>
        <w:tab w:val="center" w:pos="14005"/>
      </w:tabs>
      <w:rPr>
        <w:rFonts w:ascii="Times New Roman" w:hAnsi="Times New Roman" w:cs="Times New Roman"/>
        <w:sz w:val="20"/>
        <w:szCs w:val="18"/>
      </w:rPr>
    </w:pPr>
    <w:r w:rsidRPr="00D425CE">
      <w:rPr>
        <w:rFonts w:ascii="Times New Roman" w:hAnsi="Times New Roman" w:cs="Times New Roman"/>
        <w:noProof/>
        <w:sz w:val="20"/>
        <w:szCs w:val="18"/>
      </w:rPr>
      <w:t xml:space="preserve">Tulkojums </w:t>
    </w:r>
    <w:r w:rsidRPr="00D425CE">
      <w:rPr>
        <w:rFonts w:ascii="Times New Roman" w:hAnsi="Times New Roman" w:cs="Times New Roman"/>
        <w:noProof/>
        <w:sz w:val="20"/>
        <w:szCs w:val="18"/>
      </w:rPr>
      <w:fldChar w:fldCharType="begin"/>
    </w:r>
    <w:r w:rsidRPr="00D425CE">
      <w:rPr>
        <w:rFonts w:ascii="Times New Roman" w:hAnsi="Times New Roman" w:cs="Times New Roman"/>
        <w:noProof/>
        <w:sz w:val="20"/>
        <w:szCs w:val="18"/>
      </w:rPr>
      <w:instrText>symbol 211 \f "Symbol" \s 9</w:instrText>
    </w:r>
    <w:r w:rsidRPr="00D425CE">
      <w:rPr>
        <w:rFonts w:ascii="Times New Roman" w:hAnsi="Times New Roman" w:cs="Times New Roman"/>
        <w:noProof/>
        <w:sz w:val="20"/>
        <w:szCs w:val="18"/>
      </w:rPr>
      <w:fldChar w:fldCharType="separate"/>
    </w:r>
    <w:r w:rsidRPr="00D425CE">
      <w:rPr>
        <w:rFonts w:ascii="Times New Roman" w:hAnsi="Times New Roman" w:cs="Times New Roman"/>
        <w:noProof/>
        <w:sz w:val="20"/>
        <w:szCs w:val="18"/>
      </w:rPr>
      <w:t>Ó</w:t>
    </w:r>
    <w:r w:rsidRPr="00D425CE">
      <w:rPr>
        <w:rFonts w:ascii="Times New Roman" w:hAnsi="Times New Roman" w:cs="Times New Roman"/>
        <w:noProof/>
        <w:sz w:val="20"/>
        <w:szCs w:val="18"/>
      </w:rPr>
      <w:fldChar w:fldCharType="end"/>
    </w:r>
    <w:r w:rsidRPr="00D425CE">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1</w:t>
    </w:r>
    <w:r w:rsidRPr="00D425CE">
      <w:rPr>
        <w:rFonts w:ascii="Times New Roman" w:hAnsi="Times New Roman" w:cs="Times New Roman"/>
        <w:sz w:val="20"/>
        <w:szCs w:val="18"/>
      </w:rPr>
      <w:tab/>
    </w:r>
    <w:r w:rsidRPr="00D425CE">
      <w:rPr>
        <w:rStyle w:val="Lappusesnumurs"/>
        <w:rFonts w:ascii="Times New Roman" w:hAnsi="Times New Roman" w:cs="Times New Roman"/>
        <w:sz w:val="20"/>
        <w:szCs w:val="18"/>
      </w:rPr>
      <w:fldChar w:fldCharType="begin"/>
    </w:r>
    <w:r w:rsidRPr="00D425CE">
      <w:rPr>
        <w:rStyle w:val="Lappusesnumurs"/>
        <w:rFonts w:ascii="Times New Roman" w:hAnsi="Times New Roman" w:cs="Times New Roman"/>
        <w:sz w:val="20"/>
        <w:szCs w:val="18"/>
      </w:rPr>
      <w:instrText xml:space="preserve">page </w:instrText>
    </w:r>
    <w:r w:rsidRPr="00D425CE">
      <w:rPr>
        <w:rStyle w:val="Lappusesnumurs"/>
        <w:rFonts w:ascii="Times New Roman" w:hAnsi="Times New Roman" w:cs="Times New Roman"/>
        <w:sz w:val="20"/>
        <w:szCs w:val="18"/>
      </w:rPr>
      <w:fldChar w:fldCharType="separate"/>
    </w:r>
    <w:r>
      <w:rPr>
        <w:rStyle w:val="Lappusesnumurs"/>
        <w:rFonts w:ascii="Times New Roman" w:hAnsi="Times New Roman" w:cs="Times New Roman"/>
        <w:sz w:val="20"/>
        <w:szCs w:val="18"/>
      </w:rPr>
      <w:t>33</w:t>
    </w:r>
    <w:r w:rsidRPr="00D425CE">
      <w:rPr>
        <w:rStyle w:val="Lappusesnumurs"/>
        <w:rFonts w:ascii="Times New Roman" w:hAnsi="Times New Roman" w:cs="Times New Roman"/>
        <w:sz w:val="20"/>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CC11C" w14:textId="77777777" w:rsidR="00AD28BD" w:rsidRPr="009D03DA" w:rsidRDefault="00AD28BD" w:rsidP="00AD28BD">
    <w:pPr>
      <w:pStyle w:val="Galvene"/>
      <w:tabs>
        <w:tab w:val="left" w:pos="9072"/>
      </w:tabs>
      <w:rPr>
        <w:rStyle w:val="Lappusesnumurs"/>
        <w:rFonts w:ascii="Times New Roman" w:hAnsi="Times New Roman" w:cs="Times New Roman"/>
        <w:sz w:val="20"/>
        <w:szCs w:val="18"/>
      </w:rPr>
    </w:pPr>
  </w:p>
  <w:p w14:paraId="15291D1A" w14:textId="77777777" w:rsidR="00AD28BD" w:rsidRPr="009D03DA" w:rsidRDefault="00AD28BD" w:rsidP="00AD28BD">
    <w:pPr>
      <w:pStyle w:val="Galvene"/>
      <w:tabs>
        <w:tab w:val="clear" w:pos="4513"/>
        <w:tab w:val="clear" w:pos="9026"/>
        <w:tab w:val="right" w:leader="underscore" w:pos="9072"/>
      </w:tabs>
      <w:rPr>
        <w:rStyle w:val="Lappusesnumurs"/>
        <w:rFonts w:ascii="Times New Roman" w:hAnsi="Times New Roman" w:cs="Times New Roman"/>
        <w:sz w:val="20"/>
        <w:szCs w:val="18"/>
      </w:rPr>
    </w:pPr>
    <w:r w:rsidRPr="009D03DA">
      <w:rPr>
        <w:rStyle w:val="Lappusesnumurs"/>
        <w:rFonts w:ascii="Times New Roman" w:hAnsi="Times New Roman" w:cs="Times New Roman"/>
        <w:sz w:val="20"/>
        <w:szCs w:val="18"/>
      </w:rPr>
      <w:tab/>
    </w:r>
  </w:p>
  <w:p w14:paraId="654E1E53" w14:textId="77777777" w:rsidR="00AD28BD" w:rsidRPr="009D03DA" w:rsidRDefault="00AD28BD" w:rsidP="00AD28BD">
    <w:pPr>
      <w:pStyle w:val="Galvene"/>
      <w:tabs>
        <w:tab w:val="right" w:pos="9072"/>
      </w:tabs>
      <w:rPr>
        <w:rStyle w:val="Lappusesnumurs"/>
        <w:rFonts w:ascii="Times New Roman" w:hAnsi="Times New Roman" w:cs="Times New Roman"/>
        <w:sz w:val="20"/>
        <w:szCs w:val="18"/>
      </w:rPr>
    </w:pPr>
  </w:p>
  <w:p w14:paraId="16BA7892" w14:textId="08FEB231" w:rsidR="00BE71C6" w:rsidRPr="00AD28BD" w:rsidRDefault="00AD28BD" w:rsidP="00AD28BD">
    <w:pPr>
      <w:pStyle w:val="Kjene"/>
      <w:tabs>
        <w:tab w:val="clear" w:pos="4513"/>
        <w:tab w:val="clear" w:pos="9026"/>
        <w:tab w:val="center" w:pos="9072"/>
      </w:tabs>
      <w:rPr>
        <w:rFonts w:ascii="Times New Roman" w:hAnsi="Times New Roman" w:cs="Times New Roman"/>
        <w:sz w:val="20"/>
        <w:szCs w:val="18"/>
      </w:rPr>
    </w:pPr>
    <w:r w:rsidRPr="009D03DA">
      <w:rPr>
        <w:rFonts w:ascii="Times New Roman" w:hAnsi="Times New Roman" w:cs="Times New Roman"/>
        <w:noProof/>
        <w:sz w:val="20"/>
        <w:szCs w:val="18"/>
      </w:rPr>
      <w:t xml:space="preserve">Tulkojums </w:t>
    </w:r>
    <w:r w:rsidRPr="009D03DA">
      <w:rPr>
        <w:rFonts w:ascii="Times New Roman" w:hAnsi="Times New Roman" w:cs="Times New Roman"/>
        <w:noProof/>
        <w:sz w:val="20"/>
        <w:szCs w:val="18"/>
      </w:rPr>
      <w:fldChar w:fldCharType="begin"/>
    </w:r>
    <w:r w:rsidRPr="009D03DA">
      <w:rPr>
        <w:rFonts w:ascii="Times New Roman" w:hAnsi="Times New Roman" w:cs="Times New Roman"/>
        <w:noProof/>
        <w:sz w:val="20"/>
        <w:szCs w:val="18"/>
      </w:rPr>
      <w:instrText>symbol 211 \f "Symbol" \s 9</w:instrText>
    </w:r>
    <w:r w:rsidRPr="009D03DA">
      <w:rPr>
        <w:rFonts w:ascii="Times New Roman" w:hAnsi="Times New Roman" w:cs="Times New Roman"/>
        <w:noProof/>
        <w:sz w:val="20"/>
        <w:szCs w:val="18"/>
      </w:rPr>
      <w:fldChar w:fldCharType="separate"/>
    </w:r>
    <w:r w:rsidRPr="009D03DA">
      <w:rPr>
        <w:rFonts w:ascii="Times New Roman" w:hAnsi="Times New Roman" w:cs="Times New Roman"/>
        <w:noProof/>
        <w:sz w:val="20"/>
        <w:szCs w:val="18"/>
      </w:rPr>
      <w:t>Ó</w:t>
    </w:r>
    <w:r w:rsidRPr="009D03DA">
      <w:rPr>
        <w:rFonts w:ascii="Times New Roman" w:hAnsi="Times New Roman" w:cs="Times New Roman"/>
        <w:noProof/>
        <w:sz w:val="20"/>
        <w:szCs w:val="18"/>
      </w:rPr>
      <w:fldChar w:fldCharType="end"/>
    </w:r>
    <w:r w:rsidRPr="009D03DA">
      <w:rPr>
        <w:rFonts w:ascii="Times New Roman" w:hAnsi="Times New Roman" w:cs="Times New Roman"/>
        <w:noProof/>
        <w:sz w:val="20"/>
        <w:szCs w:val="18"/>
      </w:rPr>
      <w:t xml:space="preserve"> Valsts valodas centrs, 202</w:t>
    </w:r>
    <w:r w:rsidR="00E9561A">
      <w:rPr>
        <w:rFonts w:ascii="Times New Roman" w:hAnsi="Times New Roman" w:cs="Times New Roman"/>
        <w:noProof/>
        <w:sz w:val="20"/>
        <w:szCs w:val="18"/>
      </w:rPr>
      <w:t>1</w:t>
    </w:r>
    <w:r w:rsidRPr="009D03DA">
      <w:rPr>
        <w:rFonts w:ascii="Times New Roman" w:hAnsi="Times New Roman" w:cs="Times New Roman"/>
        <w:sz w:val="20"/>
        <w:szCs w:val="18"/>
      </w:rPr>
      <w:tab/>
    </w:r>
    <w:r w:rsidRPr="009D03DA">
      <w:rPr>
        <w:rStyle w:val="Lappusesnumurs"/>
        <w:rFonts w:ascii="Times New Roman" w:hAnsi="Times New Roman" w:cs="Times New Roman"/>
        <w:sz w:val="20"/>
        <w:szCs w:val="18"/>
      </w:rPr>
      <w:fldChar w:fldCharType="begin"/>
    </w:r>
    <w:r w:rsidRPr="009D03DA">
      <w:rPr>
        <w:rStyle w:val="Lappusesnumurs"/>
        <w:rFonts w:ascii="Times New Roman" w:hAnsi="Times New Roman" w:cs="Times New Roman"/>
        <w:sz w:val="20"/>
        <w:szCs w:val="18"/>
      </w:rPr>
      <w:instrText xml:space="preserve">page </w:instrText>
    </w:r>
    <w:r w:rsidRPr="009D03DA">
      <w:rPr>
        <w:rStyle w:val="Lappusesnumurs"/>
        <w:rFonts w:ascii="Times New Roman" w:hAnsi="Times New Roman" w:cs="Times New Roman"/>
        <w:sz w:val="20"/>
        <w:szCs w:val="18"/>
      </w:rPr>
      <w:fldChar w:fldCharType="separate"/>
    </w:r>
    <w:r>
      <w:rPr>
        <w:rStyle w:val="Lappusesnumurs"/>
        <w:rFonts w:ascii="Times New Roman" w:hAnsi="Times New Roman" w:cs="Times New Roman"/>
        <w:sz w:val="20"/>
        <w:szCs w:val="18"/>
      </w:rPr>
      <w:t>50</w:t>
    </w:r>
    <w:r w:rsidRPr="009D03DA">
      <w:rPr>
        <w:rStyle w:val="Lappusesnumurs"/>
        <w:rFonts w:ascii="Times New Roman" w:hAnsi="Times New Roman" w:cs="Times New Roman"/>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0EACE" w14:textId="77777777" w:rsidR="00BE71C6" w:rsidRPr="00562491" w:rsidRDefault="00BE71C6">
      <w:pPr>
        <w:rPr>
          <w:noProof/>
        </w:rPr>
      </w:pPr>
      <w:r w:rsidRPr="00562491">
        <w:rPr>
          <w:noProof/>
        </w:rPr>
        <w:separator/>
      </w:r>
    </w:p>
  </w:footnote>
  <w:footnote w:type="continuationSeparator" w:id="0">
    <w:p w14:paraId="7DBE824A" w14:textId="77777777" w:rsidR="00BE71C6" w:rsidRPr="00562491" w:rsidRDefault="00BE71C6">
      <w:pPr>
        <w:rPr>
          <w:noProof/>
        </w:rPr>
      </w:pPr>
      <w:r w:rsidRPr="00562491">
        <w:rPr>
          <w:noProof/>
        </w:rPr>
        <w:continuationSeparator/>
      </w:r>
    </w:p>
  </w:footnote>
  <w:footnote w:id="1">
    <w:p w14:paraId="241F59D9" w14:textId="61C6ADE6" w:rsidR="00BE71C6" w:rsidRPr="00145AFC" w:rsidRDefault="00BE71C6" w:rsidP="008131C2">
      <w:pPr>
        <w:pStyle w:val="Default"/>
        <w:jc w:val="both"/>
        <w:rPr>
          <w:sz w:val="20"/>
          <w:szCs w:val="20"/>
        </w:rPr>
      </w:pPr>
      <w:r w:rsidRPr="00145AFC">
        <w:rPr>
          <w:rStyle w:val="Vresatsauce"/>
          <w:sz w:val="20"/>
          <w:szCs w:val="20"/>
        </w:rPr>
        <w:footnoteRef/>
      </w:r>
      <w:r w:rsidRPr="00145AFC">
        <w:rPr>
          <w:sz w:val="20"/>
          <w:szCs w:val="20"/>
        </w:rPr>
        <w:t> Saskaņā ar Eiropas Komisijas pieprasījumu 2012. gada 26. jūnijā pieņemtais jautājums Nr. EFSA-Q-2011-00956.</w:t>
      </w:r>
    </w:p>
  </w:footnote>
  <w:footnote w:id="2">
    <w:p w14:paraId="0BA3C158" w14:textId="6F1F7F82" w:rsidR="00BE71C6" w:rsidRPr="00145AFC" w:rsidRDefault="00BE71C6" w:rsidP="008131C2">
      <w:pPr>
        <w:pStyle w:val="Default"/>
        <w:jc w:val="both"/>
        <w:rPr>
          <w:sz w:val="20"/>
          <w:szCs w:val="20"/>
        </w:rPr>
      </w:pPr>
      <w:r w:rsidRPr="00145AFC">
        <w:rPr>
          <w:rStyle w:val="Vresatsauce"/>
          <w:sz w:val="20"/>
          <w:szCs w:val="20"/>
        </w:rPr>
        <w:footnoteRef/>
      </w:r>
      <w:r w:rsidRPr="00145AFC">
        <w:rPr>
          <w:sz w:val="20"/>
          <w:szCs w:val="20"/>
        </w:rPr>
        <w:t> Ekspertu grupas dalībnieki: Karlo Agostoni [</w:t>
      </w:r>
      <w:r w:rsidRPr="00145AFC">
        <w:rPr>
          <w:i/>
          <w:iCs/>
          <w:sz w:val="20"/>
          <w:szCs w:val="20"/>
        </w:rPr>
        <w:t>Carlo Agostoni</w:t>
      </w:r>
      <w:r w:rsidRPr="00145AFC">
        <w:rPr>
          <w:sz w:val="20"/>
          <w:szCs w:val="20"/>
        </w:rPr>
        <w:t>], Žans Luijs Bresons [</w:t>
      </w:r>
      <w:r w:rsidRPr="00145AFC">
        <w:rPr>
          <w:i/>
          <w:iCs/>
          <w:sz w:val="20"/>
          <w:szCs w:val="20"/>
        </w:rPr>
        <w:t>Jean-Louis Bresson</w:t>
      </w:r>
      <w:r w:rsidRPr="00145AFC">
        <w:rPr>
          <w:sz w:val="20"/>
          <w:szCs w:val="20"/>
        </w:rPr>
        <w:t>], Sūzena Fērvedera-Teita [</w:t>
      </w:r>
      <w:r w:rsidRPr="00145AFC">
        <w:rPr>
          <w:i/>
          <w:iCs/>
          <w:sz w:val="20"/>
          <w:szCs w:val="20"/>
        </w:rPr>
        <w:t>Susan Fairweather-Tait</w:t>
      </w:r>
      <w:r w:rsidRPr="00145AFC">
        <w:rPr>
          <w:sz w:val="20"/>
          <w:szCs w:val="20"/>
        </w:rPr>
        <w:t>], Elberts Flins [</w:t>
      </w:r>
      <w:r w:rsidRPr="00145AFC">
        <w:rPr>
          <w:i/>
          <w:iCs/>
          <w:sz w:val="20"/>
          <w:szCs w:val="20"/>
        </w:rPr>
        <w:t>Albert Flynn</w:t>
      </w:r>
      <w:r w:rsidRPr="00145AFC">
        <w:rPr>
          <w:sz w:val="20"/>
          <w:szCs w:val="20"/>
        </w:rPr>
        <w:t>], Inese Golija [</w:t>
      </w:r>
      <w:r w:rsidRPr="00145AFC">
        <w:rPr>
          <w:i/>
          <w:iCs/>
          <w:sz w:val="20"/>
          <w:szCs w:val="20"/>
        </w:rPr>
        <w:t>Ines Golly</w:t>
      </w:r>
      <w:r w:rsidRPr="00145AFC">
        <w:rPr>
          <w:sz w:val="20"/>
          <w:szCs w:val="20"/>
        </w:rPr>
        <w:t>], Hannu Korhonens [</w:t>
      </w:r>
      <w:r w:rsidRPr="00145AFC">
        <w:rPr>
          <w:i/>
          <w:iCs/>
          <w:sz w:val="20"/>
          <w:szCs w:val="20"/>
        </w:rPr>
        <w:t>Hannu Korhonen</w:t>
      </w:r>
      <w:r w:rsidRPr="00145AFC">
        <w:rPr>
          <w:sz w:val="20"/>
          <w:szCs w:val="20"/>
        </w:rPr>
        <w:t>], Pagona Lagiu [</w:t>
      </w:r>
      <w:r w:rsidRPr="00145AFC">
        <w:rPr>
          <w:i/>
          <w:iCs/>
          <w:sz w:val="20"/>
          <w:szCs w:val="20"/>
        </w:rPr>
        <w:t>Pagona Lagiou</w:t>
      </w:r>
      <w:r w:rsidRPr="00145AFC">
        <w:rPr>
          <w:sz w:val="20"/>
          <w:szCs w:val="20"/>
        </w:rPr>
        <w:t>], Martīnuss Lēvīkss [</w:t>
      </w:r>
      <w:r w:rsidRPr="00145AFC">
        <w:rPr>
          <w:i/>
          <w:iCs/>
          <w:sz w:val="20"/>
          <w:szCs w:val="20"/>
        </w:rPr>
        <w:t>Martinus Løvik</w:t>
      </w:r>
      <w:r w:rsidRPr="00145AFC">
        <w:rPr>
          <w:sz w:val="20"/>
          <w:szCs w:val="20"/>
        </w:rPr>
        <w:t>], Rosandžēla Marčelli [</w:t>
      </w:r>
      <w:r w:rsidRPr="00145AFC">
        <w:rPr>
          <w:i/>
          <w:iCs/>
          <w:sz w:val="20"/>
          <w:szCs w:val="20"/>
        </w:rPr>
        <w:t>Rosangela Marchelli</w:t>
      </w:r>
      <w:r w:rsidRPr="00145AFC">
        <w:rPr>
          <w:sz w:val="20"/>
          <w:szCs w:val="20"/>
        </w:rPr>
        <w:t>], Ambruāzs Martēns [</w:t>
      </w:r>
      <w:r w:rsidRPr="00145AFC">
        <w:rPr>
          <w:i/>
          <w:iCs/>
          <w:sz w:val="20"/>
          <w:szCs w:val="20"/>
        </w:rPr>
        <w:t>Ambroise Martin</w:t>
      </w:r>
      <w:r w:rsidRPr="00145AFC">
        <w:rPr>
          <w:sz w:val="20"/>
          <w:szCs w:val="20"/>
        </w:rPr>
        <w:t>], Bevans Moselejs [</w:t>
      </w:r>
      <w:r w:rsidRPr="00145AFC">
        <w:rPr>
          <w:i/>
          <w:iCs/>
          <w:sz w:val="20"/>
          <w:szCs w:val="20"/>
        </w:rPr>
        <w:t>Bevan Moseley</w:t>
      </w:r>
      <w:r w:rsidRPr="00145AFC">
        <w:rPr>
          <w:sz w:val="20"/>
          <w:szCs w:val="20"/>
        </w:rPr>
        <w:t>], Monika Neiheizera-Bertholda [</w:t>
      </w:r>
      <w:r w:rsidRPr="00145AFC">
        <w:rPr>
          <w:i/>
          <w:iCs/>
          <w:sz w:val="20"/>
          <w:szCs w:val="20"/>
        </w:rPr>
        <w:t>Monika Neuhäuser-Berthold</w:t>
      </w:r>
      <w:r w:rsidRPr="00145AFC">
        <w:rPr>
          <w:sz w:val="20"/>
          <w:szCs w:val="20"/>
        </w:rPr>
        <w:t>], Hildegarde Prirembela [</w:t>
      </w:r>
      <w:r w:rsidRPr="00145AFC">
        <w:rPr>
          <w:i/>
          <w:iCs/>
          <w:sz w:val="20"/>
          <w:szCs w:val="20"/>
        </w:rPr>
        <w:t>Hildegard Przyrembel</w:t>
      </w:r>
      <w:r w:rsidRPr="00145AFC">
        <w:rPr>
          <w:sz w:val="20"/>
          <w:szCs w:val="20"/>
        </w:rPr>
        <w:t>], Sepo Salminens [</w:t>
      </w:r>
      <w:r w:rsidRPr="00145AFC">
        <w:rPr>
          <w:i/>
          <w:iCs/>
          <w:sz w:val="20"/>
          <w:szCs w:val="20"/>
        </w:rPr>
        <w:t>Seppo Salminen</w:t>
      </w:r>
      <w:r w:rsidRPr="00145AFC">
        <w:rPr>
          <w:sz w:val="20"/>
          <w:szCs w:val="20"/>
        </w:rPr>
        <w:t>], Jolanda Sansa [</w:t>
      </w:r>
      <w:r w:rsidRPr="00145AFC">
        <w:rPr>
          <w:i/>
          <w:iCs/>
          <w:sz w:val="20"/>
          <w:szCs w:val="20"/>
        </w:rPr>
        <w:t>Yolanda Sanz</w:t>
      </w:r>
      <w:r w:rsidRPr="00145AFC">
        <w:rPr>
          <w:sz w:val="20"/>
          <w:szCs w:val="20"/>
        </w:rPr>
        <w:t>], Šons (Dž. Dž.) Streins [</w:t>
      </w:r>
      <w:r w:rsidRPr="00145AFC">
        <w:rPr>
          <w:i/>
          <w:iCs/>
          <w:sz w:val="20"/>
          <w:szCs w:val="20"/>
        </w:rPr>
        <w:t>Sean (J. J.)</w:t>
      </w:r>
      <w:r w:rsidRPr="00145AFC">
        <w:rPr>
          <w:sz w:val="20"/>
          <w:szCs w:val="20"/>
        </w:rPr>
        <w:t xml:space="preserve"> </w:t>
      </w:r>
      <w:r w:rsidRPr="00145AFC">
        <w:rPr>
          <w:i/>
          <w:iCs/>
          <w:sz w:val="20"/>
          <w:szCs w:val="20"/>
        </w:rPr>
        <w:t>Strain</w:t>
      </w:r>
      <w:r w:rsidRPr="00145AFC">
        <w:rPr>
          <w:sz w:val="20"/>
          <w:szCs w:val="20"/>
        </w:rPr>
        <w:t>], Štefans Štrobels [</w:t>
      </w:r>
      <w:r w:rsidRPr="00145AFC">
        <w:rPr>
          <w:i/>
          <w:iCs/>
          <w:sz w:val="20"/>
          <w:szCs w:val="20"/>
        </w:rPr>
        <w:t>Stephan Strobel</w:t>
      </w:r>
      <w:r w:rsidRPr="00145AFC">
        <w:rPr>
          <w:sz w:val="20"/>
          <w:szCs w:val="20"/>
        </w:rPr>
        <w:t>], Inge Tetena [</w:t>
      </w:r>
      <w:r w:rsidRPr="00145AFC">
        <w:rPr>
          <w:i/>
          <w:iCs/>
          <w:sz w:val="20"/>
          <w:szCs w:val="20"/>
        </w:rPr>
        <w:t>Inge Tetens</w:t>
      </w:r>
      <w:r w:rsidRPr="00145AFC">
        <w:rPr>
          <w:sz w:val="20"/>
          <w:szCs w:val="20"/>
        </w:rPr>
        <w:t>], Daniels Tomē [</w:t>
      </w:r>
      <w:r w:rsidRPr="00145AFC">
        <w:rPr>
          <w:i/>
          <w:iCs/>
          <w:sz w:val="20"/>
          <w:szCs w:val="20"/>
        </w:rPr>
        <w:t>Daniel Tomé</w:t>
      </w:r>
      <w:r w:rsidRPr="00145AFC">
        <w:rPr>
          <w:sz w:val="20"/>
          <w:szCs w:val="20"/>
        </w:rPr>
        <w:t>], Hendriks van Loverens [</w:t>
      </w:r>
      <w:r w:rsidRPr="00145AFC">
        <w:rPr>
          <w:i/>
          <w:iCs/>
          <w:sz w:val="20"/>
          <w:szCs w:val="20"/>
        </w:rPr>
        <w:t>Hendrik van Loveren</w:t>
      </w:r>
      <w:r w:rsidRPr="00145AFC">
        <w:rPr>
          <w:sz w:val="20"/>
          <w:szCs w:val="20"/>
        </w:rPr>
        <w:t>] un Hans Ferhāgens [</w:t>
      </w:r>
      <w:r w:rsidRPr="00145AFC">
        <w:rPr>
          <w:i/>
          <w:iCs/>
          <w:sz w:val="20"/>
          <w:szCs w:val="20"/>
        </w:rPr>
        <w:t>Hans Verhagen</w:t>
      </w:r>
      <w:r w:rsidRPr="00145AFC">
        <w:rPr>
          <w:sz w:val="20"/>
          <w:szCs w:val="20"/>
        </w:rPr>
        <w:t>]. Saziņai – nda@efsa.europa.eu</w:t>
      </w:r>
    </w:p>
  </w:footnote>
  <w:footnote w:id="3">
    <w:p w14:paraId="056844A7" w14:textId="51694B2A" w:rsidR="00BE71C6" w:rsidRPr="00145AFC" w:rsidRDefault="00BE71C6" w:rsidP="008131C2">
      <w:pPr>
        <w:pStyle w:val="Default"/>
        <w:jc w:val="both"/>
        <w:rPr>
          <w:sz w:val="20"/>
          <w:szCs w:val="20"/>
        </w:rPr>
      </w:pPr>
      <w:r w:rsidRPr="00145AFC">
        <w:rPr>
          <w:rStyle w:val="Vresatsauce"/>
          <w:sz w:val="20"/>
          <w:szCs w:val="20"/>
        </w:rPr>
        <w:footnoteRef/>
      </w:r>
      <w:r w:rsidRPr="00145AFC">
        <w:rPr>
          <w:sz w:val="20"/>
          <w:szCs w:val="20"/>
        </w:rPr>
        <w:t> Atzinība. Grupa vēlas pateikties Pieļaujamo augstāko uzņemamo uzturvielu daudzumu darba grupas dalībniekiem – Elbertam Flinam, Ambruāzam Martēnam, Hildegardei Prirembelai un Šonam (Dž. Dž.) Streinam – par šī zinātniskā atzinuma sagatavošanā ieguldīto darbu.</w:t>
      </w:r>
    </w:p>
    <w:p w14:paraId="4F756EBC" w14:textId="77777777" w:rsidR="00BE71C6" w:rsidRPr="00145AFC" w:rsidRDefault="00BE71C6" w:rsidP="008131C2">
      <w:pPr>
        <w:pStyle w:val="Default"/>
        <w:jc w:val="both"/>
        <w:rPr>
          <w:sz w:val="20"/>
          <w:szCs w:val="20"/>
        </w:rPr>
      </w:pPr>
    </w:p>
    <w:p w14:paraId="39730AC2" w14:textId="675FEBB8" w:rsidR="00BE71C6" w:rsidRPr="00145AFC" w:rsidRDefault="00BE71C6" w:rsidP="008131C2">
      <w:pPr>
        <w:pStyle w:val="Default"/>
        <w:jc w:val="both"/>
        <w:rPr>
          <w:sz w:val="20"/>
          <w:szCs w:val="20"/>
        </w:rPr>
      </w:pPr>
      <w:r w:rsidRPr="00145AFC">
        <w:rPr>
          <w:sz w:val="20"/>
          <w:szCs w:val="20"/>
        </w:rPr>
        <w:t xml:space="preserve">Atsaucēm: </w:t>
      </w:r>
      <w:r w:rsidRPr="00145AFC">
        <w:rPr>
          <w:b/>
          <w:bCs/>
          <w:i/>
          <w:iCs/>
          <w:sz w:val="20"/>
          <w:szCs w:val="20"/>
        </w:rPr>
        <w:t>EFSA</w:t>
      </w:r>
      <w:r w:rsidRPr="00145AFC">
        <w:rPr>
          <w:b/>
          <w:bCs/>
          <w:sz w:val="20"/>
          <w:szCs w:val="20"/>
        </w:rPr>
        <w:t xml:space="preserve"> Diētisko produktu, uztura un alerģiju zinātnes ekspertu grupa (</w:t>
      </w:r>
      <w:r w:rsidRPr="00145AFC">
        <w:rPr>
          <w:b/>
          <w:bCs/>
          <w:i/>
          <w:iCs/>
          <w:sz w:val="20"/>
          <w:szCs w:val="20"/>
        </w:rPr>
        <w:t>NDA</w:t>
      </w:r>
      <w:r w:rsidRPr="00145AFC">
        <w:rPr>
          <w:b/>
          <w:bCs/>
          <w:sz w:val="20"/>
          <w:szCs w:val="20"/>
        </w:rPr>
        <w:t>)</w:t>
      </w:r>
      <w:r w:rsidRPr="00145AFC">
        <w:rPr>
          <w:sz w:val="20"/>
          <w:szCs w:val="20"/>
        </w:rPr>
        <w:t xml:space="preserve">; Zinātniskais atzinums par pieļaujamo augstāko uzņemamo kalcija daudzumu. EFSA Journal 2012;10(7):2814. [44 lpp.] doi:10.2903/j.efsa.2012.2814. Pieejams tiešsaistē – </w:t>
      </w:r>
      <w:hyperlink r:id="rId1" w:history="1">
        <w:r w:rsidR="00395684" w:rsidRPr="00145AFC">
          <w:rPr>
            <w:rStyle w:val="Hipersaite"/>
            <w:sz w:val="20"/>
            <w:szCs w:val="20"/>
          </w:rPr>
          <w:t>www.efsa.europa.eu/efsajournal</w:t>
        </w:r>
      </w:hyperlink>
      <w:r w:rsidRPr="00145AFC">
        <w:rPr>
          <w:sz w:val="20"/>
          <w:szCs w:val="20"/>
        </w:rPr>
        <w:t>.</w:t>
      </w:r>
    </w:p>
    <w:p w14:paraId="7EDBA25E" w14:textId="7EAD41A0" w:rsidR="00395684" w:rsidRPr="00145AFC" w:rsidRDefault="00395684" w:rsidP="008131C2">
      <w:pPr>
        <w:pStyle w:val="Default"/>
        <w:jc w:val="both"/>
        <w:rPr>
          <w:sz w:val="20"/>
          <w:szCs w:val="20"/>
        </w:rPr>
      </w:pPr>
    </w:p>
    <w:p w14:paraId="54EB0931" w14:textId="77777777" w:rsidR="00191D70" w:rsidRPr="00145AFC" w:rsidRDefault="00191D70" w:rsidP="00191D70">
      <w:pPr>
        <w:jc w:val="both"/>
        <w:rPr>
          <w:rFonts w:ascii="Times New Roman" w:hAnsi="Times New Roman" w:cs="Times New Roman"/>
          <w:color w:val="000000"/>
          <w:sz w:val="20"/>
          <w:szCs w:val="20"/>
        </w:rPr>
      </w:pPr>
      <w:r w:rsidRPr="00145AFC">
        <w:rPr>
          <w:rFonts w:ascii="Times New Roman" w:hAnsi="Times New Roman" w:cs="Times New Roman"/>
          <w:sz w:val="20"/>
          <w:szCs w:val="20"/>
        </w:rPr>
        <w:t xml:space="preserve">Šā dokumenta tulkojumu veicis Valsts valodas centrs, un tas nav oficiāls </w:t>
      </w:r>
      <w:r w:rsidRPr="00145AFC">
        <w:rPr>
          <w:rFonts w:ascii="Times New Roman" w:hAnsi="Times New Roman" w:cs="Times New Roman"/>
          <w:i/>
          <w:iCs/>
          <w:sz w:val="20"/>
          <w:szCs w:val="20"/>
        </w:rPr>
        <w:t xml:space="preserve">EFSA </w:t>
      </w:r>
      <w:r w:rsidRPr="00145AFC">
        <w:rPr>
          <w:rFonts w:ascii="Times New Roman" w:hAnsi="Times New Roman" w:cs="Times New Roman"/>
          <w:sz w:val="20"/>
          <w:szCs w:val="20"/>
        </w:rPr>
        <w:t xml:space="preserve">tulkojums. Dokumenta autentiskais teksts ir apstiprināts angļu valodā un ir pieejams tīmekļa vietnē </w:t>
      </w:r>
      <w:hyperlink r:id="rId2" w:tgtFrame="_blank" w:history="1">
        <w:r w:rsidRPr="00145AFC">
          <w:rPr>
            <w:rStyle w:val="Hipersaite"/>
            <w:rFonts w:ascii="Times New Roman" w:hAnsi="Times New Roman" w:cs="Times New Roman"/>
            <w:sz w:val="20"/>
            <w:szCs w:val="20"/>
          </w:rPr>
          <w:t>Wiley Online</w:t>
        </w:r>
      </w:hyperlink>
      <w:r w:rsidRPr="00145AFC">
        <w:rPr>
          <w:rFonts w:ascii="Times New Roman" w:hAnsi="Times New Roman" w:cs="Times New Roman"/>
          <w:color w:val="000000"/>
          <w:sz w:val="20"/>
          <w:szCs w:val="20"/>
        </w:rPr>
        <w:t>.</w:t>
      </w:r>
    </w:p>
    <w:p w14:paraId="57BBA663" w14:textId="4168B507" w:rsidR="00191D70" w:rsidRDefault="00191D70" w:rsidP="008131C2">
      <w:pPr>
        <w:pStyle w:val="Default"/>
        <w:jc w:val="both"/>
        <w:rPr>
          <w:sz w:val="28"/>
          <w:szCs w:val="28"/>
        </w:rPr>
      </w:pPr>
    </w:p>
    <w:p w14:paraId="68F5A774" w14:textId="33260C25" w:rsidR="0058316C" w:rsidRPr="008131C2" w:rsidRDefault="0058316C" w:rsidP="008131C2">
      <w:pPr>
        <w:pStyle w:val="Default"/>
        <w:jc w:val="both"/>
        <w:rPr>
          <w:sz w:val="28"/>
          <w:szCs w:val="28"/>
        </w:rPr>
      </w:pPr>
      <w:r>
        <w:rPr>
          <w:color w:val="171795"/>
        </w:rPr>
        <w:t>© Eiropas Pārtikas nekaitīguma iestāde, 2012.</w:t>
      </w:r>
    </w:p>
  </w:footnote>
  <w:footnote w:id="4">
    <w:p w14:paraId="3B2284B1" w14:textId="4F79F9D0" w:rsidR="00BE71C6" w:rsidRPr="00A82DB9" w:rsidRDefault="00BE71C6" w:rsidP="00584CF2">
      <w:pPr>
        <w:pStyle w:val="Vresteksts"/>
        <w:jc w:val="both"/>
        <w:rPr>
          <w:rFonts w:ascii="Times New Roman" w:hAnsi="Times New Roman" w:cs="Times New Roman"/>
        </w:rPr>
      </w:pPr>
      <w:r>
        <w:rPr>
          <w:rStyle w:val="Vresatsauce"/>
          <w:rFonts w:ascii="Times New Roman" w:hAnsi="Times New Roman" w:cs="Times New Roman"/>
        </w:rPr>
        <w:footnoteRef/>
      </w:r>
      <w:r>
        <w:t> </w:t>
      </w:r>
      <w:r>
        <w:rPr>
          <w:rFonts w:ascii="Times New Roman" w:hAnsi="Times New Roman"/>
        </w:rPr>
        <w:t>Eiropas Parlamenta un Padomes 2006. gada 20. decembra Regula (EK) Nr. 1925/2006 par vitamīnu un minerālvielu, un dažu citu vielu pievienošanu pārtikai. OV L 404, 30.12.2006., 26.–38. lpp.</w:t>
      </w:r>
    </w:p>
  </w:footnote>
  <w:footnote w:id="5">
    <w:p w14:paraId="62F592D1" w14:textId="71665567" w:rsidR="00BE71C6" w:rsidRPr="00A82DB9" w:rsidRDefault="00BE71C6" w:rsidP="00584CF2">
      <w:pPr>
        <w:pStyle w:val="Vresteksts"/>
        <w:jc w:val="both"/>
      </w:pPr>
      <w:r>
        <w:rPr>
          <w:rStyle w:val="Vresatsauce"/>
          <w:rFonts w:ascii="Times New Roman" w:hAnsi="Times New Roman" w:cs="Times New Roman"/>
        </w:rPr>
        <w:footnoteRef/>
      </w:r>
      <w:r>
        <w:t> </w:t>
      </w:r>
      <w:r>
        <w:rPr>
          <w:rFonts w:ascii="Times New Roman" w:hAnsi="Times New Roman"/>
        </w:rPr>
        <w:t>Eiropas Parlamenta un Padomes 2002. gada 10. jūnija Direktīva 2002/46/EK par dalībvalstu tiesību aktu tuvināšanu attiecībā uz uztura bagātinātājiem. OV L 183, 12.07.2002., 51.–57. lpp.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0571D" w14:textId="77777777" w:rsidR="008C4952" w:rsidRPr="00D425CE" w:rsidRDefault="008C4952" w:rsidP="008C4952">
    <w:pPr>
      <w:pStyle w:val="Galvene"/>
      <w:rPr>
        <w:rStyle w:val="Lappusesnumurs"/>
        <w:rFonts w:ascii="Times New Roman" w:hAnsi="Times New Roman" w:cs="Times New Roman"/>
        <w:sz w:val="20"/>
        <w:szCs w:val="20"/>
      </w:rPr>
    </w:pPr>
    <w:bookmarkStart w:id="214" w:name="_Hlk496261784"/>
    <w:bookmarkStart w:id="215" w:name="_Hlk496261785"/>
    <w:bookmarkStart w:id="216" w:name="_Hlk496261786"/>
    <w:bookmarkStart w:id="217" w:name="_Hlk502757728"/>
    <w:bookmarkStart w:id="218" w:name="_Hlk502757729"/>
    <w:bookmarkStart w:id="219" w:name="_Hlk502757738"/>
    <w:bookmarkStart w:id="220" w:name="_Hlk502757739"/>
    <w:bookmarkStart w:id="221" w:name="_Hlk30491084"/>
    <w:bookmarkStart w:id="222" w:name="_Hlk30491085"/>
  </w:p>
  <w:p w14:paraId="1ECAA391" w14:textId="77777777" w:rsidR="008C4952" w:rsidRPr="00D425CE" w:rsidRDefault="008C4952" w:rsidP="008C4952">
    <w:pPr>
      <w:pStyle w:val="Galvene"/>
      <w:tabs>
        <w:tab w:val="clear" w:pos="4513"/>
        <w:tab w:val="clear" w:pos="9026"/>
        <w:tab w:val="right" w:leader="underscore" w:pos="9072"/>
      </w:tabs>
      <w:rPr>
        <w:rStyle w:val="Lappusesnumurs"/>
        <w:rFonts w:ascii="Times New Roman" w:hAnsi="Times New Roman" w:cs="Times New Roman"/>
        <w:sz w:val="20"/>
        <w:szCs w:val="20"/>
      </w:rPr>
    </w:pPr>
    <w:r w:rsidRPr="00D425CE">
      <w:rPr>
        <w:rStyle w:val="Lappusesnumurs"/>
        <w:rFonts w:ascii="Times New Roman" w:hAnsi="Times New Roman" w:cs="Times New Roman"/>
        <w:sz w:val="20"/>
        <w:szCs w:val="20"/>
      </w:rPr>
      <w:tab/>
    </w:r>
  </w:p>
  <w:bookmarkEnd w:id="214"/>
  <w:bookmarkEnd w:id="215"/>
  <w:bookmarkEnd w:id="216"/>
  <w:bookmarkEnd w:id="217"/>
  <w:bookmarkEnd w:id="218"/>
  <w:bookmarkEnd w:id="219"/>
  <w:bookmarkEnd w:id="220"/>
  <w:bookmarkEnd w:id="221"/>
  <w:bookmarkEnd w:id="222"/>
  <w:p w14:paraId="4165B42F" w14:textId="6F717F39" w:rsidR="00BE71C6" w:rsidRPr="00D706FA" w:rsidRDefault="00BE71C6" w:rsidP="008C4952">
    <w:pPr>
      <w:pStyle w:val="Galvene"/>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D9840" w14:textId="77777777" w:rsidR="002506B0" w:rsidRPr="00D425CE" w:rsidRDefault="002506B0" w:rsidP="002506B0">
    <w:pPr>
      <w:pBdr>
        <w:bottom w:val="single" w:sz="12" w:space="5" w:color="auto"/>
      </w:pBdr>
      <w:jc w:val="both"/>
      <w:rPr>
        <w:rFonts w:ascii="Times New Roman" w:hAnsi="Times New Roman" w:cs="Times New Roman"/>
        <w:spacing w:val="-2"/>
        <w:sz w:val="20"/>
        <w:szCs w:val="20"/>
      </w:rPr>
    </w:pPr>
    <w:bookmarkStart w:id="223" w:name="_Hlk496261745"/>
    <w:bookmarkStart w:id="224" w:name="_Hlk496261746"/>
    <w:bookmarkStart w:id="225" w:name="_Hlk496261747"/>
    <w:bookmarkStart w:id="226" w:name="_Hlk30491063"/>
    <w:bookmarkStart w:id="227" w:name="_Hlk30491064"/>
  </w:p>
  <w:bookmarkEnd w:id="223"/>
  <w:bookmarkEnd w:id="224"/>
  <w:bookmarkEnd w:id="225"/>
  <w:bookmarkEnd w:id="226"/>
  <w:bookmarkEnd w:id="227"/>
  <w:p w14:paraId="071697B6" w14:textId="77777777" w:rsidR="002506B0" w:rsidRPr="00D425CE" w:rsidRDefault="002506B0" w:rsidP="002506B0">
    <w:pPr>
      <w:pStyle w:val="Galvene"/>
      <w:jc w:val="both"/>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3212C" w14:textId="77777777" w:rsidR="00D706FA" w:rsidRPr="00D425CE" w:rsidRDefault="00D706FA" w:rsidP="00D706FA">
    <w:pPr>
      <w:pStyle w:val="Galvene"/>
      <w:rPr>
        <w:rStyle w:val="Lappusesnumurs"/>
        <w:rFonts w:ascii="Times New Roman" w:hAnsi="Times New Roman" w:cs="Times New Roman"/>
        <w:sz w:val="20"/>
        <w:szCs w:val="20"/>
      </w:rPr>
    </w:pPr>
  </w:p>
  <w:p w14:paraId="7ADC405D" w14:textId="77777777" w:rsidR="00D706FA" w:rsidRPr="00D425CE" w:rsidRDefault="00D706FA" w:rsidP="00D706FA">
    <w:pPr>
      <w:pStyle w:val="Galvene"/>
      <w:tabs>
        <w:tab w:val="clear" w:pos="4513"/>
        <w:tab w:val="clear" w:pos="9026"/>
        <w:tab w:val="right" w:leader="underscore" w:pos="14005"/>
      </w:tabs>
      <w:rPr>
        <w:rStyle w:val="Lappusesnumurs"/>
        <w:rFonts w:ascii="Times New Roman" w:hAnsi="Times New Roman" w:cs="Times New Roman"/>
        <w:sz w:val="20"/>
        <w:szCs w:val="20"/>
      </w:rPr>
    </w:pPr>
    <w:r w:rsidRPr="00D425CE">
      <w:rPr>
        <w:rStyle w:val="Lappusesnumurs"/>
        <w:rFonts w:ascii="Times New Roman" w:hAnsi="Times New Roman" w:cs="Times New Roman"/>
        <w:sz w:val="20"/>
        <w:szCs w:val="20"/>
      </w:rPr>
      <w:tab/>
    </w:r>
  </w:p>
  <w:p w14:paraId="6E9E3681" w14:textId="77777777" w:rsidR="00D706FA" w:rsidRPr="00D706FA" w:rsidRDefault="00D706FA" w:rsidP="00D706FA">
    <w:pPr>
      <w:pStyle w:val="Galvene"/>
      <w:rPr>
        <w:rFonts w:ascii="Times New Roman" w:hAnsi="Times New Roman" w:cs="Times New Roman"/>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01B7E" w14:textId="77777777" w:rsidR="00A97AA5" w:rsidRPr="009D03DA" w:rsidRDefault="00A97AA5" w:rsidP="00A97AA5">
    <w:pPr>
      <w:pStyle w:val="Galvene"/>
      <w:rPr>
        <w:rStyle w:val="Lappusesnumurs"/>
        <w:rFonts w:ascii="Times New Roman" w:hAnsi="Times New Roman" w:cs="Times New Roman"/>
        <w:sz w:val="20"/>
        <w:szCs w:val="20"/>
      </w:rPr>
    </w:pPr>
  </w:p>
  <w:p w14:paraId="005B9661" w14:textId="77777777" w:rsidR="00A97AA5" w:rsidRPr="009D03DA" w:rsidRDefault="00A97AA5" w:rsidP="00A97AA5">
    <w:pPr>
      <w:pStyle w:val="Galvene"/>
      <w:tabs>
        <w:tab w:val="clear" w:pos="4513"/>
        <w:tab w:val="clear" w:pos="9026"/>
        <w:tab w:val="right" w:leader="underscore" w:pos="9072"/>
      </w:tabs>
      <w:rPr>
        <w:rStyle w:val="Lappusesnumurs"/>
        <w:rFonts w:ascii="Times New Roman" w:hAnsi="Times New Roman" w:cs="Times New Roman"/>
        <w:sz w:val="20"/>
        <w:szCs w:val="20"/>
      </w:rPr>
    </w:pPr>
    <w:r w:rsidRPr="009D03DA">
      <w:rPr>
        <w:rStyle w:val="Lappusesnumurs"/>
        <w:rFonts w:ascii="Times New Roman" w:hAnsi="Times New Roman" w:cs="Times New Roman"/>
        <w:sz w:val="20"/>
        <w:szCs w:val="20"/>
      </w:rPr>
      <w:tab/>
    </w:r>
  </w:p>
  <w:p w14:paraId="1209757E" w14:textId="7D75E601" w:rsidR="00BE71C6" w:rsidRPr="00A97AA5" w:rsidRDefault="00BE71C6" w:rsidP="00A97AA5">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747FF"/>
    <w:multiLevelType w:val="hybridMultilevel"/>
    <w:tmpl w:val="6F963622"/>
    <w:lvl w:ilvl="0" w:tplc="3C9240E0">
      <w:start w:val="1"/>
      <w:numFmt w:val="upperLetter"/>
      <w:lvlText w:val="%1."/>
      <w:lvlJc w:val="left"/>
      <w:pPr>
        <w:ind w:left="516" w:hanging="359"/>
      </w:pPr>
      <w:rPr>
        <w:rFonts w:ascii="Times New Roman" w:eastAsia="Times New Roman" w:hAnsi="Times New Roman" w:hint="default"/>
        <w:b/>
        <w:bCs/>
        <w:spacing w:val="-2"/>
        <w:sz w:val="22"/>
        <w:szCs w:val="22"/>
      </w:rPr>
    </w:lvl>
    <w:lvl w:ilvl="1" w:tplc="27DEF3CA">
      <w:start w:val="1"/>
      <w:numFmt w:val="bullet"/>
      <w:lvlText w:val="•"/>
      <w:lvlJc w:val="left"/>
      <w:pPr>
        <w:ind w:left="1896" w:hanging="359"/>
      </w:pPr>
      <w:rPr>
        <w:rFonts w:hint="default"/>
      </w:rPr>
    </w:lvl>
    <w:lvl w:ilvl="2" w:tplc="3F94A36C">
      <w:start w:val="1"/>
      <w:numFmt w:val="bullet"/>
      <w:lvlText w:val="•"/>
      <w:lvlJc w:val="left"/>
      <w:pPr>
        <w:ind w:left="3276" w:hanging="359"/>
      </w:pPr>
      <w:rPr>
        <w:rFonts w:hint="default"/>
      </w:rPr>
    </w:lvl>
    <w:lvl w:ilvl="3" w:tplc="0748A560">
      <w:start w:val="1"/>
      <w:numFmt w:val="bullet"/>
      <w:lvlText w:val="•"/>
      <w:lvlJc w:val="left"/>
      <w:pPr>
        <w:ind w:left="4657" w:hanging="359"/>
      </w:pPr>
      <w:rPr>
        <w:rFonts w:hint="default"/>
      </w:rPr>
    </w:lvl>
    <w:lvl w:ilvl="4" w:tplc="FD125988">
      <w:start w:val="1"/>
      <w:numFmt w:val="bullet"/>
      <w:lvlText w:val="•"/>
      <w:lvlJc w:val="left"/>
      <w:pPr>
        <w:ind w:left="6037" w:hanging="359"/>
      </w:pPr>
      <w:rPr>
        <w:rFonts w:hint="default"/>
      </w:rPr>
    </w:lvl>
    <w:lvl w:ilvl="5" w:tplc="1814FA70">
      <w:start w:val="1"/>
      <w:numFmt w:val="bullet"/>
      <w:lvlText w:val="•"/>
      <w:lvlJc w:val="left"/>
      <w:pPr>
        <w:ind w:left="7417" w:hanging="359"/>
      </w:pPr>
      <w:rPr>
        <w:rFonts w:hint="default"/>
      </w:rPr>
    </w:lvl>
    <w:lvl w:ilvl="6" w:tplc="3F7ABA3A">
      <w:start w:val="1"/>
      <w:numFmt w:val="bullet"/>
      <w:lvlText w:val="•"/>
      <w:lvlJc w:val="left"/>
      <w:pPr>
        <w:ind w:left="8797" w:hanging="359"/>
      </w:pPr>
      <w:rPr>
        <w:rFonts w:hint="default"/>
      </w:rPr>
    </w:lvl>
    <w:lvl w:ilvl="7" w:tplc="E976D2B2">
      <w:start w:val="1"/>
      <w:numFmt w:val="bullet"/>
      <w:lvlText w:val="•"/>
      <w:lvlJc w:val="left"/>
      <w:pPr>
        <w:ind w:left="10177" w:hanging="359"/>
      </w:pPr>
      <w:rPr>
        <w:rFonts w:hint="default"/>
      </w:rPr>
    </w:lvl>
    <w:lvl w:ilvl="8" w:tplc="82C439CA">
      <w:start w:val="1"/>
      <w:numFmt w:val="bullet"/>
      <w:lvlText w:val="•"/>
      <w:lvlJc w:val="left"/>
      <w:pPr>
        <w:ind w:left="11558" w:hanging="359"/>
      </w:pPr>
      <w:rPr>
        <w:rFonts w:hint="default"/>
      </w:rPr>
    </w:lvl>
  </w:abstractNum>
  <w:abstractNum w:abstractNumId="1" w15:restartNumberingAfterBreak="0">
    <w:nsid w:val="3D1A46C6"/>
    <w:multiLevelType w:val="hybridMultilevel"/>
    <w:tmpl w:val="BACCC094"/>
    <w:lvl w:ilvl="0" w:tplc="9210F5DE">
      <w:start w:val="1"/>
      <w:numFmt w:val="decimal"/>
      <w:lvlText w:val="%1."/>
      <w:lvlJc w:val="left"/>
      <w:pPr>
        <w:ind w:left="725" w:hanging="567"/>
      </w:pPr>
      <w:rPr>
        <w:rFonts w:ascii="Times New Roman" w:eastAsia="Times New Roman" w:hAnsi="Times New Roman" w:hint="default"/>
        <w:b/>
        <w:bCs/>
        <w:sz w:val="22"/>
        <w:szCs w:val="22"/>
      </w:rPr>
    </w:lvl>
    <w:lvl w:ilvl="1" w:tplc="E72AF17C">
      <w:start w:val="1"/>
      <w:numFmt w:val="decimal"/>
      <w:lvlText w:val="%1.%2."/>
      <w:lvlJc w:val="left"/>
      <w:pPr>
        <w:ind w:left="953" w:hanging="795"/>
      </w:pPr>
      <w:rPr>
        <w:rFonts w:ascii="Times New Roman" w:eastAsia="Times New Roman" w:hAnsi="Times New Roman" w:hint="default"/>
        <w:b/>
        <w:bCs/>
        <w:sz w:val="22"/>
        <w:szCs w:val="22"/>
      </w:rPr>
    </w:lvl>
    <w:lvl w:ilvl="2" w:tplc="C4382C2E">
      <w:start w:val="1"/>
      <w:numFmt w:val="decimal"/>
      <w:lvlText w:val="%1.%2.%3."/>
      <w:lvlJc w:val="left"/>
      <w:pPr>
        <w:ind w:left="998" w:hanging="840"/>
      </w:pPr>
      <w:rPr>
        <w:rFonts w:ascii="Times New Roman" w:eastAsia="Times New Roman" w:hAnsi="Times New Roman" w:hint="default"/>
        <w:b/>
        <w:bCs/>
        <w:sz w:val="22"/>
        <w:szCs w:val="22"/>
      </w:rPr>
    </w:lvl>
    <w:lvl w:ilvl="3" w:tplc="2EB2C58C">
      <w:start w:val="1"/>
      <w:numFmt w:val="decimal"/>
      <w:lvlText w:val="%1.%2.%3.%4."/>
      <w:lvlJc w:val="left"/>
      <w:pPr>
        <w:ind w:left="998" w:hanging="840"/>
      </w:pPr>
      <w:rPr>
        <w:rFonts w:ascii="Times New Roman" w:eastAsia="Times New Roman" w:hAnsi="Times New Roman" w:hint="default"/>
        <w:sz w:val="22"/>
        <w:szCs w:val="22"/>
      </w:rPr>
    </w:lvl>
    <w:lvl w:ilvl="4" w:tplc="04267FDE">
      <w:start w:val="1"/>
      <w:numFmt w:val="bullet"/>
      <w:lvlText w:val="•"/>
      <w:lvlJc w:val="left"/>
      <w:pPr>
        <w:ind w:left="3095" w:hanging="840"/>
      </w:pPr>
      <w:rPr>
        <w:rFonts w:hint="default"/>
      </w:rPr>
    </w:lvl>
    <w:lvl w:ilvl="5" w:tplc="C7ACB400">
      <w:start w:val="1"/>
      <w:numFmt w:val="bullet"/>
      <w:lvlText w:val="•"/>
      <w:lvlJc w:val="left"/>
      <w:pPr>
        <w:ind w:left="4144" w:hanging="840"/>
      </w:pPr>
      <w:rPr>
        <w:rFonts w:hint="default"/>
      </w:rPr>
    </w:lvl>
    <w:lvl w:ilvl="6" w:tplc="1C5C7226">
      <w:start w:val="1"/>
      <w:numFmt w:val="bullet"/>
      <w:lvlText w:val="•"/>
      <w:lvlJc w:val="left"/>
      <w:pPr>
        <w:ind w:left="5192" w:hanging="840"/>
      </w:pPr>
      <w:rPr>
        <w:rFonts w:hint="default"/>
      </w:rPr>
    </w:lvl>
    <w:lvl w:ilvl="7" w:tplc="789464FA">
      <w:start w:val="1"/>
      <w:numFmt w:val="bullet"/>
      <w:lvlText w:val="•"/>
      <w:lvlJc w:val="left"/>
      <w:pPr>
        <w:ind w:left="6241" w:hanging="840"/>
      </w:pPr>
      <w:rPr>
        <w:rFonts w:hint="default"/>
      </w:rPr>
    </w:lvl>
    <w:lvl w:ilvl="8" w:tplc="664C0130">
      <w:start w:val="1"/>
      <w:numFmt w:val="bullet"/>
      <w:lvlText w:val="•"/>
      <w:lvlJc w:val="left"/>
      <w:pPr>
        <w:ind w:left="7289" w:hanging="840"/>
      </w:pPr>
      <w:rPr>
        <w:rFonts w:hint="default"/>
      </w:rPr>
    </w:lvl>
  </w:abstractNum>
  <w:abstractNum w:abstractNumId="2" w15:restartNumberingAfterBreak="0">
    <w:nsid w:val="4C7B5C18"/>
    <w:multiLevelType w:val="hybridMultilevel"/>
    <w:tmpl w:val="C316C88A"/>
    <w:lvl w:ilvl="0" w:tplc="E61C7DE4">
      <w:start w:val="1"/>
      <w:numFmt w:val="decimal"/>
      <w:lvlText w:val="%1."/>
      <w:lvlJc w:val="left"/>
      <w:pPr>
        <w:ind w:left="638" w:hanging="480"/>
      </w:pPr>
      <w:rPr>
        <w:rFonts w:ascii="Times New Roman" w:eastAsia="Times New Roman" w:hAnsi="Times New Roman" w:hint="default"/>
        <w:sz w:val="22"/>
        <w:szCs w:val="22"/>
      </w:rPr>
    </w:lvl>
    <w:lvl w:ilvl="1" w:tplc="0A2232E6">
      <w:start w:val="1"/>
      <w:numFmt w:val="decimal"/>
      <w:lvlText w:val="%1.%2."/>
      <w:lvlJc w:val="left"/>
      <w:pPr>
        <w:ind w:left="1118" w:hanging="720"/>
      </w:pPr>
      <w:rPr>
        <w:rFonts w:ascii="Times New Roman" w:eastAsia="Times New Roman" w:hAnsi="Times New Roman" w:hint="default"/>
        <w:sz w:val="22"/>
        <w:szCs w:val="22"/>
      </w:rPr>
    </w:lvl>
    <w:lvl w:ilvl="2" w:tplc="08A61514">
      <w:start w:val="1"/>
      <w:numFmt w:val="decimal"/>
      <w:lvlText w:val="%1.%2.%3."/>
      <w:lvlJc w:val="left"/>
      <w:pPr>
        <w:ind w:left="1358" w:hanging="720"/>
      </w:pPr>
      <w:rPr>
        <w:rFonts w:ascii="Times New Roman" w:eastAsia="Times New Roman" w:hAnsi="Times New Roman" w:hint="default"/>
        <w:sz w:val="22"/>
        <w:szCs w:val="22"/>
      </w:rPr>
    </w:lvl>
    <w:lvl w:ilvl="3" w:tplc="1A5A4130">
      <w:start w:val="1"/>
      <w:numFmt w:val="bullet"/>
      <w:lvlText w:val="•"/>
      <w:lvlJc w:val="left"/>
      <w:pPr>
        <w:ind w:left="2362" w:hanging="720"/>
      </w:pPr>
      <w:rPr>
        <w:rFonts w:hint="default"/>
      </w:rPr>
    </w:lvl>
    <w:lvl w:ilvl="4" w:tplc="338E5DEC">
      <w:start w:val="1"/>
      <w:numFmt w:val="bullet"/>
      <w:lvlText w:val="•"/>
      <w:lvlJc w:val="left"/>
      <w:pPr>
        <w:ind w:left="3365" w:hanging="720"/>
      </w:pPr>
      <w:rPr>
        <w:rFonts w:hint="default"/>
      </w:rPr>
    </w:lvl>
    <w:lvl w:ilvl="5" w:tplc="883A9786">
      <w:start w:val="1"/>
      <w:numFmt w:val="bullet"/>
      <w:lvlText w:val="•"/>
      <w:lvlJc w:val="left"/>
      <w:pPr>
        <w:ind w:left="4369" w:hanging="720"/>
      </w:pPr>
      <w:rPr>
        <w:rFonts w:hint="default"/>
      </w:rPr>
    </w:lvl>
    <w:lvl w:ilvl="6" w:tplc="9D3ECB6E">
      <w:start w:val="1"/>
      <w:numFmt w:val="bullet"/>
      <w:lvlText w:val="•"/>
      <w:lvlJc w:val="left"/>
      <w:pPr>
        <w:ind w:left="5372" w:hanging="720"/>
      </w:pPr>
      <w:rPr>
        <w:rFonts w:hint="default"/>
      </w:rPr>
    </w:lvl>
    <w:lvl w:ilvl="7" w:tplc="DF624492">
      <w:start w:val="1"/>
      <w:numFmt w:val="bullet"/>
      <w:lvlText w:val="•"/>
      <w:lvlJc w:val="left"/>
      <w:pPr>
        <w:ind w:left="6376" w:hanging="720"/>
      </w:pPr>
      <w:rPr>
        <w:rFonts w:hint="default"/>
      </w:rPr>
    </w:lvl>
    <w:lvl w:ilvl="8" w:tplc="191CB730">
      <w:start w:val="1"/>
      <w:numFmt w:val="bullet"/>
      <w:lvlText w:val="•"/>
      <w:lvlJc w:val="left"/>
      <w:pPr>
        <w:ind w:left="7379" w:hanging="720"/>
      </w:pPr>
      <w:rPr>
        <w:rFonts w:hint="default"/>
      </w:rPr>
    </w:lvl>
  </w:abstractNum>
  <w:abstractNum w:abstractNumId="3" w15:restartNumberingAfterBreak="0">
    <w:nsid w:val="62C43F49"/>
    <w:multiLevelType w:val="hybridMultilevel"/>
    <w:tmpl w:val="4E4C4FD4"/>
    <w:lvl w:ilvl="0" w:tplc="D5327A04">
      <w:start w:val="1"/>
      <w:numFmt w:val="upperLetter"/>
      <w:lvlText w:val="%1."/>
      <w:lvlJc w:val="left"/>
      <w:pPr>
        <w:ind w:left="638" w:hanging="480"/>
      </w:pPr>
      <w:rPr>
        <w:rFonts w:ascii="Times New Roman" w:eastAsia="Times New Roman" w:hAnsi="Times New Roman" w:hint="default"/>
        <w:spacing w:val="-1"/>
        <w:sz w:val="22"/>
        <w:szCs w:val="22"/>
      </w:rPr>
    </w:lvl>
    <w:lvl w:ilvl="1" w:tplc="718EBAD4">
      <w:start w:val="1"/>
      <w:numFmt w:val="bullet"/>
      <w:lvlText w:val="•"/>
      <w:lvlJc w:val="left"/>
      <w:pPr>
        <w:ind w:left="1513" w:hanging="480"/>
      </w:pPr>
      <w:rPr>
        <w:rFonts w:hint="default"/>
      </w:rPr>
    </w:lvl>
    <w:lvl w:ilvl="2" w:tplc="EA287E7E">
      <w:start w:val="1"/>
      <w:numFmt w:val="bullet"/>
      <w:lvlText w:val="•"/>
      <w:lvlJc w:val="left"/>
      <w:pPr>
        <w:ind w:left="2388" w:hanging="480"/>
      </w:pPr>
      <w:rPr>
        <w:rFonts w:hint="default"/>
      </w:rPr>
    </w:lvl>
    <w:lvl w:ilvl="3" w:tplc="16E22F08">
      <w:start w:val="1"/>
      <w:numFmt w:val="bullet"/>
      <w:lvlText w:val="•"/>
      <w:lvlJc w:val="left"/>
      <w:pPr>
        <w:ind w:left="3263" w:hanging="480"/>
      </w:pPr>
      <w:rPr>
        <w:rFonts w:hint="default"/>
      </w:rPr>
    </w:lvl>
    <w:lvl w:ilvl="4" w:tplc="AC1089C2">
      <w:start w:val="1"/>
      <w:numFmt w:val="bullet"/>
      <w:lvlText w:val="•"/>
      <w:lvlJc w:val="left"/>
      <w:pPr>
        <w:ind w:left="4137" w:hanging="480"/>
      </w:pPr>
      <w:rPr>
        <w:rFonts w:hint="default"/>
      </w:rPr>
    </w:lvl>
    <w:lvl w:ilvl="5" w:tplc="7D2C5F42">
      <w:start w:val="1"/>
      <w:numFmt w:val="bullet"/>
      <w:lvlText w:val="•"/>
      <w:lvlJc w:val="left"/>
      <w:pPr>
        <w:ind w:left="5012" w:hanging="480"/>
      </w:pPr>
      <w:rPr>
        <w:rFonts w:hint="default"/>
      </w:rPr>
    </w:lvl>
    <w:lvl w:ilvl="6" w:tplc="04080B56">
      <w:start w:val="1"/>
      <w:numFmt w:val="bullet"/>
      <w:lvlText w:val="•"/>
      <w:lvlJc w:val="left"/>
      <w:pPr>
        <w:ind w:left="5887" w:hanging="480"/>
      </w:pPr>
      <w:rPr>
        <w:rFonts w:hint="default"/>
      </w:rPr>
    </w:lvl>
    <w:lvl w:ilvl="7" w:tplc="5DB8E092">
      <w:start w:val="1"/>
      <w:numFmt w:val="bullet"/>
      <w:lvlText w:val="•"/>
      <w:lvlJc w:val="left"/>
      <w:pPr>
        <w:ind w:left="6762" w:hanging="480"/>
      </w:pPr>
      <w:rPr>
        <w:rFonts w:hint="default"/>
      </w:rPr>
    </w:lvl>
    <w:lvl w:ilvl="8" w:tplc="DE5CF35C">
      <w:start w:val="1"/>
      <w:numFmt w:val="bullet"/>
      <w:lvlText w:val="•"/>
      <w:lvlJc w:val="left"/>
      <w:pPr>
        <w:ind w:left="7636" w:hanging="480"/>
      </w:pPr>
      <w:rPr>
        <w:rFonts w:hint="default"/>
      </w:rPr>
    </w:lvl>
  </w:abstractNum>
  <w:abstractNum w:abstractNumId="4" w15:restartNumberingAfterBreak="0">
    <w:nsid w:val="78B228C4"/>
    <w:multiLevelType w:val="hybridMultilevel"/>
    <w:tmpl w:val="3562545A"/>
    <w:lvl w:ilvl="0" w:tplc="5DDC4CD2">
      <w:start w:val="1"/>
      <w:numFmt w:val="bullet"/>
      <w:lvlText w:val="-"/>
      <w:lvlJc w:val="left"/>
      <w:pPr>
        <w:ind w:left="878" w:hanging="360"/>
      </w:pPr>
      <w:rPr>
        <w:rFonts w:ascii="Times New Roman" w:eastAsia="Times New Roman" w:hAnsi="Times New Roman" w:hint="default"/>
        <w:sz w:val="22"/>
        <w:szCs w:val="22"/>
      </w:rPr>
    </w:lvl>
    <w:lvl w:ilvl="1" w:tplc="A6EC1D58">
      <w:start w:val="1"/>
      <w:numFmt w:val="bullet"/>
      <w:lvlText w:val="•"/>
      <w:lvlJc w:val="left"/>
      <w:pPr>
        <w:ind w:left="1725" w:hanging="360"/>
      </w:pPr>
      <w:rPr>
        <w:rFonts w:hint="default"/>
      </w:rPr>
    </w:lvl>
    <w:lvl w:ilvl="2" w:tplc="2F2C3880">
      <w:start w:val="1"/>
      <w:numFmt w:val="bullet"/>
      <w:lvlText w:val="•"/>
      <w:lvlJc w:val="left"/>
      <w:pPr>
        <w:ind w:left="2572" w:hanging="360"/>
      </w:pPr>
      <w:rPr>
        <w:rFonts w:hint="default"/>
      </w:rPr>
    </w:lvl>
    <w:lvl w:ilvl="3" w:tplc="FE2C8EEA">
      <w:start w:val="1"/>
      <w:numFmt w:val="bullet"/>
      <w:lvlText w:val="•"/>
      <w:lvlJc w:val="left"/>
      <w:pPr>
        <w:ind w:left="3419" w:hanging="360"/>
      </w:pPr>
      <w:rPr>
        <w:rFonts w:hint="default"/>
      </w:rPr>
    </w:lvl>
    <w:lvl w:ilvl="4" w:tplc="4274C102">
      <w:start w:val="1"/>
      <w:numFmt w:val="bullet"/>
      <w:lvlText w:val="•"/>
      <w:lvlJc w:val="left"/>
      <w:pPr>
        <w:ind w:left="4265" w:hanging="360"/>
      </w:pPr>
      <w:rPr>
        <w:rFonts w:hint="default"/>
      </w:rPr>
    </w:lvl>
    <w:lvl w:ilvl="5" w:tplc="0F08FCDC">
      <w:start w:val="1"/>
      <w:numFmt w:val="bullet"/>
      <w:lvlText w:val="•"/>
      <w:lvlJc w:val="left"/>
      <w:pPr>
        <w:ind w:left="5112" w:hanging="360"/>
      </w:pPr>
      <w:rPr>
        <w:rFonts w:hint="default"/>
      </w:rPr>
    </w:lvl>
    <w:lvl w:ilvl="6" w:tplc="1E40D3CA">
      <w:start w:val="1"/>
      <w:numFmt w:val="bullet"/>
      <w:lvlText w:val="•"/>
      <w:lvlJc w:val="left"/>
      <w:pPr>
        <w:ind w:left="5959" w:hanging="360"/>
      </w:pPr>
      <w:rPr>
        <w:rFonts w:hint="default"/>
      </w:rPr>
    </w:lvl>
    <w:lvl w:ilvl="7" w:tplc="7610BEF6">
      <w:start w:val="1"/>
      <w:numFmt w:val="bullet"/>
      <w:lvlText w:val="•"/>
      <w:lvlJc w:val="left"/>
      <w:pPr>
        <w:ind w:left="6806" w:hanging="360"/>
      </w:pPr>
      <w:rPr>
        <w:rFonts w:hint="default"/>
      </w:rPr>
    </w:lvl>
    <w:lvl w:ilvl="8" w:tplc="8B84C5FA">
      <w:start w:val="1"/>
      <w:numFmt w:val="bullet"/>
      <w:lvlText w:val="•"/>
      <w:lvlJc w:val="left"/>
      <w:pPr>
        <w:ind w:left="7652" w:hanging="360"/>
      </w:pPr>
      <w:rPr>
        <w:rFont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E63FF4"/>
    <w:rsid w:val="00000029"/>
    <w:rsid w:val="00076597"/>
    <w:rsid w:val="00077C40"/>
    <w:rsid w:val="000A57FE"/>
    <w:rsid w:val="000D051F"/>
    <w:rsid w:val="00145AFC"/>
    <w:rsid w:val="00161707"/>
    <w:rsid w:val="00191D70"/>
    <w:rsid w:val="0019644D"/>
    <w:rsid w:val="001A5B4D"/>
    <w:rsid w:val="001D2342"/>
    <w:rsid w:val="002506B0"/>
    <w:rsid w:val="002A1AC1"/>
    <w:rsid w:val="002A5407"/>
    <w:rsid w:val="002C18B4"/>
    <w:rsid w:val="002D7085"/>
    <w:rsid w:val="003062AD"/>
    <w:rsid w:val="003239A6"/>
    <w:rsid w:val="00387006"/>
    <w:rsid w:val="00395684"/>
    <w:rsid w:val="004269B3"/>
    <w:rsid w:val="00475886"/>
    <w:rsid w:val="00495D79"/>
    <w:rsid w:val="004C2B47"/>
    <w:rsid w:val="0052189B"/>
    <w:rsid w:val="00553551"/>
    <w:rsid w:val="00562491"/>
    <w:rsid w:val="00581A63"/>
    <w:rsid w:val="0058316C"/>
    <w:rsid w:val="00584974"/>
    <w:rsid w:val="00584CF2"/>
    <w:rsid w:val="00590F97"/>
    <w:rsid w:val="0060452C"/>
    <w:rsid w:val="0061660E"/>
    <w:rsid w:val="006454D7"/>
    <w:rsid w:val="0066450C"/>
    <w:rsid w:val="006D32DB"/>
    <w:rsid w:val="006E53D5"/>
    <w:rsid w:val="006F0A84"/>
    <w:rsid w:val="00723B3E"/>
    <w:rsid w:val="007409DE"/>
    <w:rsid w:val="0076568B"/>
    <w:rsid w:val="0076748E"/>
    <w:rsid w:val="00801323"/>
    <w:rsid w:val="008131C2"/>
    <w:rsid w:val="00832657"/>
    <w:rsid w:val="00886A1A"/>
    <w:rsid w:val="008A656B"/>
    <w:rsid w:val="008C4952"/>
    <w:rsid w:val="009100B3"/>
    <w:rsid w:val="00921DC3"/>
    <w:rsid w:val="00957A1D"/>
    <w:rsid w:val="00993AF1"/>
    <w:rsid w:val="009C0F4D"/>
    <w:rsid w:val="00A82DB9"/>
    <w:rsid w:val="00A97AA5"/>
    <w:rsid w:val="00AD28BD"/>
    <w:rsid w:val="00B21BBC"/>
    <w:rsid w:val="00B71487"/>
    <w:rsid w:val="00B97EF6"/>
    <w:rsid w:val="00BC30C8"/>
    <w:rsid w:val="00BE71C6"/>
    <w:rsid w:val="00C53BB1"/>
    <w:rsid w:val="00C70282"/>
    <w:rsid w:val="00C7777E"/>
    <w:rsid w:val="00CB5766"/>
    <w:rsid w:val="00CD1319"/>
    <w:rsid w:val="00D16AA2"/>
    <w:rsid w:val="00D3007D"/>
    <w:rsid w:val="00D706FA"/>
    <w:rsid w:val="00D913CA"/>
    <w:rsid w:val="00D91B35"/>
    <w:rsid w:val="00DA2011"/>
    <w:rsid w:val="00DC6850"/>
    <w:rsid w:val="00DD1110"/>
    <w:rsid w:val="00E03EDE"/>
    <w:rsid w:val="00E06132"/>
    <w:rsid w:val="00E46F88"/>
    <w:rsid w:val="00E63FF4"/>
    <w:rsid w:val="00E9561A"/>
    <w:rsid w:val="00EA3D93"/>
    <w:rsid w:val="00EC78C7"/>
    <w:rsid w:val="00EF063D"/>
    <w:rsid w:val="00F252DE"/>
    <w:rsid w:val="00FC49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A21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uiPriority w:val="9"/>
    <w:qFormat/>
    <w:pPr>
      <w:ind w:left="998" w:hanging="840"/>
      <w:outlineLvl w:val="0"/>
    </w:pPr>
    <w:rPr>
      <w:rFonts w:ascii="Times New Roman" w:eastAsia="Times New Roman" w:hAnsi="Times New Roman"/>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turs1">
    <w:name w:val="toc 1"/>
    <w:basedOn w:val="Parasts"/>
    <w:uiPriority w:val="39"/>
    <w:qFormat/>
    <w:pPr>
      <w:spacing w:before="6"/>
      <w:ind w:left="158"/>
    </w:pPr>
    <w:rPr>
      <w:rFonts w:ascii="Times New Roman" w:eastAsia="Times New Roman" w:hAnsi="Times New Roman"/>
    </w:rPr>
  </w:style>
  <w:style w:type="paragraph" w:styleId="Saturs2">
    <w:name w:val="toc 2"/>
    <w:basedOn w:val="Parasts"/>
    <w:uiPriority w:val="1"/>
    <w:qFormat/>
    <w:pPr>
      <w:spacing w:before="6"/>
      <w:ind w:left="1118" w:hanging="720"/>
    </w:pPr>
    <w:rPr>
      <w:rFonts w:ascii="Times New Roman" w:eastAsia="Times New Roman" w:hAnsi="Times New Roman"/>
    </w:rPr>
  </w:style>
  <w:style w:type="paragraph" w:styleId="Saturs3">
    <w:name w:val="toc 3"/>
    <w:basedOn w:val="Parasts"/>
    <w:uiPriority w:val="1"/>
    <w:qFormat/>
    <w:pPr>
      <w:spacing w:before="6"/>
      <w:ind w:left="1358" w:hanging="720"/>
    </w:pPr>
    <w:rPr>
      <w:rFonts w:ascii="Times New Roman" w:eastAsia="Times New Roman" w:hAnsi="Times New Roman"/>
    </w:rPr>
  </w:style>
  <w:style w:type="paragraph" w:styleId="Pamatteksts">
    <w:name w:val="Body Text"/>
    <w:basedOn w:val="Parasts"/>
    <w:uiPriority w:val="1"/>
    <w:qFormat/>
    <w:pPr>
      <w:spacing w:before="120"/>
      <w:ind w:left="158"/>
    </w:pPr>
    <w:rPr>
      <w:rFonts w:ascii="Times New Roman" w:eastAsia="Times New Roman" w:hAnsi="Times New Roman"/>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562491"/>
    <w:pPr>
      <w:tabs>
        <w:tab w:val="center" w:pos="4513"/>
        <w:tab w:val="right" w:pos="9026"/>
      </w:tabs>
    </w:pPr>
  </w:style>
  <w:style w:type="character" w:customStyle="1" w:styleId="GalveneRakstz">
    <w:name w:val="Galvene Rakstz."/>
    <w:basedOn w:val="Noklusjumarindkopasfonts"/>
    <w:link w:val="Galvene"/>
    <w:uiPriority w:val="99"/>
    <w:rsid w:val="00562491"/>
  </w:style>
  <w:style w:type="paragraph" w:styleId="Kjene">
    <w:name w:val="footer"/>
    <w:basedOn w:val="Parasts"/>
    <w:link w:val="KjeneRakstz"/>
    <w:unhideWhenUsed/>
    <w:rsid w:val="00562491"/>
    <w:pPr>
      <w:tabs>
        <w:tab w:val="center" w:pos="4513"/>
        <w:tab w:val="right" w:pos="9026"/>
      </w:tabs>
    </w:pPr>
  </w:style>
  <w:style w:type="character" w:customStyle="1" w:styleId="KjeneRakstz">
    <w:name w:val="Kājene Rakstz."/>
    <w:basedOn w:val="Noklusjumarindkopasfonts"/>
    <w:link w:val="Kjene"/>
    <w:uiPriority w:val="99"/>
    <w:rsid w:val="00562491"/>
  </w:style>
  <w:style w:type="paragraph" w:styleId="Vresteksts">
    <w:name w:val="footnote text"/>
    <w:basedOn w:val="Parasts"/>
    <w:link w:val="VrestekstsRakstz"/>
    <w:uiPriority w:val="99"/>
    <w:semiHidden/>
    <w:unhideWhenUsed/>
    <w:rsid w:val="008131C2"/>
    <w:rPr>
      <w:sz w:val="20"/>
      <w:szCs w:val="20"/>
    </w:rPr>
  </w:style>
  <w:style w:type="character" w:customStyle="1" w:styleId="VrestekstsRakstz">
    <w:name w:val="Vēres teksts Rakstz."/>
    <w:basedOn w:val="Noklusjumarindkopasfonts"/>
    <w:link w:val="Vresteksts"/>
    <w:uiPriority w:val="99"/>
    <w:semiHidden/>
    <w:rsid w:val="008131C2"/>
    <w:rPr>
      <w:sz w:val="20"/>
      <w:szCs w:val="20"/>
    </w:rPr>
  </w:style>
  <w:style w:type="character" w:styleId="Vresatsauce">
    <w:name w:val="footnote reference"/>
    <w:basedOn w:val="Noklusjumarindkopasfonts"/>
    <w:uiPriority w:val="99"/>
    <w:semiHidden/>
    <w:unhideWhenUsed/>
    <w:rsid w:val="008131C2"/>
    <w:rPr>
      <w:vertAlign w:val="superscript"/>
    </w:rPr>
  </w:style>
  <w:style w:type="paragraph" w:customStyle="1" w:styleId="Default">
    <w:name w:val="Default"/>
    <w:rsid w:val="008131C2"/>
    <w:pPr>
      <w:widowControl/>
      <w:autoSpaceDE w:val="0"/>
      <w:autoSpaceDN w:val="0"/>
      <w:adjustRightInd w:val="0"/>
    </w:pPr>
    <w:rPr>
      <w:rFonts w:ascii="Times New Roman" w:hAnsi="Times New Roman" w:cs="Times New Roman"/>
      <w:color w:val="000000"/>
      <w:sz w:val="24"/>
      <w:szCs w:val="24"/>
    </w:rPr>
  </w:style>
  <w:style w:type="table" w:styleId="Reatabula">
    <w:name w:val="Table Grid"/>
    <w:basedOn w:val="Parastatabula"/>
    <w:uiPriority w:val="39"/>
    <w:rsid w:val="00553551"/>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BE71C6"/>
    <w:rPr>
      <w:sz w:val="16"/>
      <w:szCs w:val="16"/>
    </w:rPr>
  </w:style>
  <w:style w:type="paragraph" w:styleId="Komentrateksts">
    <w:name w:val="annotation text"/>
    <w:basedOn w:val="Parasts"/>
    <w:link w:val="KomentratekstsRakstz"/>
    <w:uiPriority w:val="99"/>
    <w:semiHidden/>
    <w:unhideWhenUsed/>
    <w:rsid w:val="00BE71C6"/>
    <w:rPr>
      <w:sz w:val="20"/>
      <w:szCs w:val="20"/>
    </w:rPr>
  </w:style>
  <w:style w:type="character" w:customStyle="1" w:styleId="KomentratekstsRakstz">
    <w:name w:val="Komentāra teksts Rakstz."/>
    <w:basedOn w:val="Noklusjumarindkopasfonts"/>
    <w:link w:val="Komentrateksts"/>
    <w:uiPriority w:val="99"/>
    <w:semiHidden/>
    <w:rsid w:val="00BE71C6"/>
    <w:rPr>
      <w:sz w:val="20"/>
      <w:szCs w:val="20"/>
    </w:rPr>
  </w:style>
  <w:style w:type="paragraph" w:styleId="Komentratma">
    <w:name w:val="annotation subject"/>
    <w:basedOn w:val="Komentrateksts"/>
    <w:next w:val="Komentrateksts"/>
    <w:link w:val="KomentratmaRakstz"/>
    <w:uiPriority w:val="99"/>
    <w:semiHidden/>
    <w:unhideWhenUsed/>
    <w:rsid w:val="00BE71C6"/>
    <w:rPr>
      <w:b/>
      <w:bCs/>
    </w:rPr>
  </w:style>
  <w:style w:type="character" w:customStyle="1" w:styleId="KomentratmaRakstz">
    <w:name w:val="Komentāra tēma Rakstz."/>
    <w:basedOn w:val="KomentratekstsRakstz"/>
    <w:link w:val="Komentratma"/>
    <w:uiPriority w:val="99"/>
    <w:semiHidden/>
    <w:rsid w:val="00BE71C6"/>
    <w:rPr>
      <w:b/>
      <w:bCs/>
      <w:sz w:val="20"/>
      <w:szCs w:val="20"/>
    </w:rPr>
  </w:style>
  <w:style w:type="paragraph" w:styleId="Prskatjums">
    <w:name w:val="Revision"/>
    <w:hidden/>
    <w:uiPriority w:val="99"/>
    <w:semiHidden/>
    <w:rsid w:val="00BE71C6"/>
    <w:pPr>
      <w:widowControl/>
    </w:pPr>
  </w:style>
  <w:style w:type="paragraph" w:styleId="Balonteksts">
    <w:name w:val="Balloon Text"/>
    <w:basedOn w:val="Parasts"/>
    <w:link w:val="BalontekstsRakstz"/>
    <w:uiPriority w:val="99"/>
    <w:semiHidden/>
    <w:unhideWhenUsed/>
    <w:rsid w:val="00BE71C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E71C6"/>
    <w:rPr>
      <w:rFonts w:ascii="Segoe UI" w:hAnsi="Segoe UI" w:cs="Segoe UI"/>
      <w:sz w:val="18"/>
      <w:szCs w:val="18"/>
    </w:rPr>
  </w:style>
  <w:style w:type="character" w:styleId="Lappusesnumurs">
    <w:name w:val="page number"/>
    <w:basedOn w:val="Noklusjumarindkopasfonts"/>
    <w:semiHidden/>
    <w:rsid w:val="000D051F"/>
  </w:style>
  <w:style w:type="character" w:styleId="Hipersaite">
    <w:name w:val="Hyperlink"/>
    <w:basedOn w:val="Noklusjumarindkopasfonts"/>
    <w:uiPriority w:val="99"/>
    <w:unhideWhenUsed/>
    <w:rsid w:val="00395684"/>
    <w:rPr>
      <w:color w:val="0000FF" w:themeColor="hyperlink"/>
      <w:u w:val="single"/>
    </w:rPr>
  </w:style>
  <w:style w:type="character" w:styleId="Neatrisintapieminana">
    <w:name w:val="Unresolved Mention"/>
    <w:basedOn w:val="Noklusjumarindkopasfonts"/>
    <w:uiPriority w:val="99"/>
    <w:semiHidden/>
    <w:unhideWhenUsed/>
    <w:rsid w:val="00395684"/>
    <w:rPr>
      <w:color w:val="605E5C"/>
      <w:shd w:val="clear" w:color="auto" w:fill="E1DFDD"/>
    </w:rPr>
  </w:style>
  <w:style w:type="paragraph" w:styleId="Saturardtjavirsraksts">
    <w:name w:val="TOC Heading"/>
    <w:basedOn w:val="Virsraksts1"/>
    <w:next w:val="Parasts"/>
    <w:uiPriority w:val="39"/>
    <w:unhideWhenUsed/>
    <w:qFormat/>
    <w:rsid w:val="00C70282"/>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u-central-1.protection.sophos.com/?d=outlook.com&amp;u=aHR0cHM6Ly9ldXIwMy5zYWZlbGlua3MucHJvdGVjdGlvbi5vdXRsb29rLmNvbS8_dXJsPWh0dHBzJTNBJTJGJTJGZWZzYS5vbmxpbmVsaWJyYXJ5LndpbGV5LmNvbSUyRiZkYXRhPTA0JTdDMDElN0MlN0NlNmEwZTBhZDIxZTM0NjI2MDAwNzA4ZDhhMzU4NDA1YyU3QzQwNmExNzRiZTMxNTQ4YmRhYTBhY2RhZGRjNDQyNTBiJTdDMSU3QzAlN0M2Mzc0Mzg5NDY3MTcwMDI0ODUlN0NVbmtub3duJTdDVFdGcGJHWnNiM2Q4ZXlKV0lqb2lNQzR3TGpBd01EQWlMQ0pRSWpvaVYybHVNeklpTENKQlRpSTZJazFoYVd3aUxDSlhWQ0k2TW4wJTNEJTdDMTAwMCZzZGF0YT1BakwxOXhXZms2WlB2RElxNFBxc1NNZmFIQ05wdmJUaEltNU1NSWRLRTJRJTNEJnJlc2VydmVkPTA=&amp;i=NWZjZjllOTZmOTIxY2QwZTA1Mzk1OGJi&amp;t=QXYxTUNLRzNIMTM2T1hKUnFRZktWZDhXaHVCUWhta0I1UjI2VXRVZXcydz0=&amp;h=19a7bb3a46b84fb2a93c750d585260c5" TargetMode="External"/><Relationship Id="rId1" Type="http://schemas.openxmlformats.org/officeDocument/2006/relationships/hyperlink" Target="http://www.efsa.europa.eu/efsajour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3538C-C61F-4FC5-BB20-369B629D0B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68F49C-C527-44DB-8FFF-6FFDD53BDA69}">
  <ds:schemaRefs>
    <ds:schemaRef ds:uri="http://schemas.microsoft.com/sharepoint/v3/contenttype/forms"/>
  </ds:schemaRefs>
</ds:datastoreItem>
</file>

<file path=customXml/itemProps3.xml><?xml version="1.0" encoding="utf-8"?>
<ds:datastoreItem xmlns:ds="http://schemas.openxmlformats.org/officeDocument/2006/customXml" ds:itemID="{8FD369F7-F979-4C89-B406-2EC98AFB2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0BCDD6-678D-4B6D-B337-D788D2ED6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83684</Words>
  <Characters>47701</Characters>
  <Application>Microsoft Office Word</Application>
  <DocSecurity>0</DocSecurity>
  <Lines>397</Lines>
  <Paragraphs>262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lastModifiedBy/>
  <cp:revision>1</cp:revision>
  <dcterms:created xsi:type="dcterms:W3CDTF">2020-10-16T07:31:00Z</dcterms:created>
  <dcterms:modified xsi:type="dcterms:W3CDTF">2021-06-01T12:35:00Z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952600</vt:r8>
  </property>
  <property fmtid="{D5CDD505-2E9C-101B-9397-08002B2CF9AE}" pid="3" name="ContentTypeId">
    <vt:lpwstr>0x0101006747409639620A48BB08F713A1AC624B</vt:lpwstr>
  </property>
</Properties>
</file>