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DD84" w14:textId="77777777" w:rsidR="00B81C4F" w:rsidRPr="00B81C4F" w:rsidRDefault="00B81C4F" w:rsidP="00B81C4F">
      <w:pPr>
        <w:jc w:val="both"/>
        <w:rPr>
          <w:rFonts w:ascii="Times New Roman" w:eastAsia="Times New Roman" w:hAnsi="Times New Roman" w:cs="Times New Roman"/>
          <w:noProof/>
          <w:sz w:val="24"/>
          <w:szCs w:val="24"/>
          <w:lang w:val="en-US"/>
        </w:rPr>
      </w:pPr>
    </w:p>
    <w:p w14:paraId="5854EC84" w14:textId="77777777" w:rsidR="00B81C4F" w:rsidRPr="00B81C4F" w:rsidRDefault="00B81C4F" w:rsidP="00B81C4F">
      <w:pPr>
        <w:jc w:val="center"/>
        <w:rPr>
          <w:rFonts w:ascii="Times New Roman" w:eastAsia="Times New Roman" w:hAnsi="Times New Roman" w:cs="Times New Roman"/>
          <w:noProof/>
          <w:sz w:val="24"/>
          <w:szCs w:val="24"/>
          <w:lang w:val="en-US"/>
        </w:rPr>
      </w:pPr>
      <w:r w:rsidRPr="00B81C4F">
        <w:rPr>
          <w:rFonts w:ascii="Times New Roman" w:eastAsia="Times New Roman" w:hAnsi="Times New Roman" w:cs="Times New Roman"/>
          <w:noProof/>
          <w:sz w:val="24"/>
          <w:szCs w:val="24"/>
          <w:lang w:val="en-US"/>
        </w:rPr>
        <w:drawing>
          <wp:inline distT="0" distB="0" distL="0" distR="0" wp14:anchorId="2842A67C" wp14:editId="1FF9A8CF">
            <wp:extent cx="5760720" cy="566547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60720" cy="5665470"/>
                    </a:xfrm>
                    <a:prstGeom prst="rect">
                      <a:avLst/>
                    </a:prstGeom>
                  </pic:spPr>
                </pic:pic>
              </a:graphicData>
            </a:graphic>
          </wp:inline>
        </w:drawing>
      </w:r>
    </w:p>
    <w:p w14:paraId="4D025C71" w14:textId="77777777" w:rsidR="00B81C4F" w:rsidRPr="00B81C4F" w:rsidRDefault="00B81C4F" w:rsidP="00B81C4F">
      <w:pPr>
        <w:jc w:val="both"/>
        <w:rPr>
          <w:rFonts w:ascii="Times New Roman" w:eastAsia="Times New Roman" w:hAnsi="Times New Roman" w:cs="Times New Roman"/>
          <w:noProof/>
          <w:sz w:val="24"/>
          <w:szCs w:val="24"/>
          <w:lang w:val="en-US"/>
        </w:rPr>
      </w:pPr>
    </w:p>
    <w:p w14:paraId="6EA148BE"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3C709E3B" w14:textId="77777777" w:rsidR="00B81C4F" w:rsidRPr="00B81C4F" w:rsidRDefault="00B81C4F" w:rsidP="00B81C4F">
      <w:pPr>
        <w:jc w:val="both"/>
        <w:rPr>
          <w:rFonts w:ascii="Times New Roman" w:eastAsia="Arial Black" w:hAnsi="Times New Roman" w:cs="Times New Roman"/>
          <w:b/>
          <w:bCs/>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B81C4F" w:rsidRPr="00B81C4F" w14:paraId="229349A9" w14:textId="77777777" w:rsidTr="0094023C">
        <w:tc>
          <w:tcPr>
            <w:tcW w:w="5000" w:type="pct"/>
          </w:tcPr>
          <w:p w14:paraId="477304FD" w14:textId="77777777" w:rsidR="00B81C4F" w:rsidRPr="00B81C4F" w:rsidRDefault="00B81C4F" w:rsidP="0094023C">
            <w:pPr>
              <w:jc w:val="right"/>
              <w:rPr>
                <w:rFonts w:ascii="Times New Roman" w:eastAsia="Arial Black" w:hAnsi="Times New Roman" w:cs="Times New Roman"/>
                <w:b/>
                <w:bCs/>
                <w:noProof/>
                <w:sz w:val="24"/>
                <w:szCs w:val="24"/>
                <w:lang w:val="en-US"/>
              </w:rPr>
            </w:pPr>
            <w:r w:rsidRPr="00B81C4F">
              <w:rPr>
                <w:rFonts w:ascii="Times New Roman" w:eastAsia="Arial Black" w:hAnsi="Times New Roman" w:cs="Times New Roman"/>
                <w:b/>
                <w:bCs/>
                <w:noProof/>
                <w:sz w:val="24"/>
                <w:szCs w:val="24"/>
                <w:lang w:val="en-US"/>
              </w:rPr>
              <w:drawing>
                <wp:inline distT="0" distB="0" distL="0" distR="0" wp14:anchorId="47CDC4CC" wp14:editId="3C039768">
                  <wp:extent cx="2165036" cy="666750"/>
                  <wp:effectExtent l="0" t="0" r="0" b="0"/>
                  <wp:docPr id="1"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10;&#10;Description automatically generated"/>
                          <pic:cNvPicPr/>
                        </pic:nvPicPr>
                        <pic:blipFill>
                          <a:blip r:embed="rId11" cstate="print"/>
                          <a:stretch>
                            <a:fillRect/>
                          </a:stretch>
                        </pic:blipFill>
                        <pic:spPr>
                          <a:xfrm>
                            <a:off x="0" y="0"/>
                            <a:ext cx="2165036" cy="666750"/>
                          </a:xfrm>
                          <a:prstGeom prst="rect">
                            <a:avLst/>
                          </a:prstGeom>
                        </pic:spPr>
                      </pic:pic>
                    </a:graphicData>
                  </a:graphic>
                </wp:inline>
              </w:drawing>
            </w:r>
          </w:p>
        </w:tc>
      </w:tr>
      <w:tr w:rsidR="00B81C4F" w:rsidRPr="00B81C4F" w14:paraId="0E1A32D1" w14:textId="77777777" w:rsidTr="0094023C">
        <w:tc>
          <w:tcPr>
            <w:tcW w:w="5000" w:type="pct"/>
          </w:tcPr>
          <w:p w14:paraId="077D9384" w14:textId="77777777" w:rsidR="00B81C4F" w:rsidRPr="00B81C4F" w:rsidRDefault="00B81C4F" w:rsidP="0094023C">
            <w:pPr>
              <w:jc w:val="right"/>
              <w:rPr>
                <w:rFonts w:ascii="Times New Roman" w:hAnsi="Times New Roman"/>
                <w:b/>
                <w:noProof/>
                <w:sz w:val="24"/>
                <w:lang w:val="en-US"/>
              </w:rPr>
            </w:pPr>
            <w:r w:rsidRPr="00B81C4F">
              <w:rPr>
                <w:rFonts w:ascii="Times New Roman" w:hAnsi="Times New Roman"/>
                <w:b/>
                <w:noProof/>
                <w:sz w:val="24"/>
                <w:lang w:val="en-US"/>
              </w:rPr>
              <w:t>ESAO</w:t>
            </w:r>
          </w:p>
          <w:p w14:paraId="7790EE7D" w14:textId="77777777" w:rsidR="00B81C4F" w:rsidRPr="00B81C4F" w:rsidRDefault="00B81C4F" w:rsidP="0094023C">
            <w:pPr>
              <w:jc w:val="right"/>
              <w:rPr>
                <w:rFonts w:ascii="Times New Roman" w:hAnsi="Times New Roman"/>
                <w:b/>
                <w:noProof/>
                <w:sz w:val="20"/>
                <w:lang w:val="en-US"/>
              </w:rPr>
            </w:pPr>
            <w:r w:rsidRPr="00B81C4F">
              <w:rPr>
                <w:rFonts w:ascii="Times New Roman" w:hAnsi="Times New Roman"/>
                <w:b/>
                <w:noProof/>
                <w:sz w:val="20"/>
                <w:lang w:val="en-US"/>
              </w:rPr>
              <w:t>LABĀKA POLITIKA LABĀKAI DZĪVEI</w:t>
            </w:r>
          </w:p>
        </w:tc>
      </w:tr>
    </w:tbl>
    <w:p w14:paraId="1E1C23B7"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3892E844" w14:textId="77777777" w:rsidR="00B81C4F" w:rsidRPr="00B81C4F" w:rsidRDefault="00B81C4F" w:rsidP="00B81C4F">
      <w:pPr>
        <w:jc w:val="right"/>
        <w:rPr>
          <w:rFonts w:ascii="Times New Roman" w:eastAsia="Arial Black" w:hAnsi="Times New Roman" w:cs="Times New Roman"/>
          <w:noProof/>
          <w:sz w:val="24"/>
          <w:szCs w:val="24"/>
          <w:lang w:val="en-US"/>
        </w:rPr>
      </w:pPr>
    </w:p>
    <w:p w14:paraId="76E548CC" w14:textId="77777777" w:rsidR="00B81C4F" w:rsidRPr="00B81C4F" w:rsidRDefault="00B81C4F" w:rsidP="00B81C4F">
      <w:pPr>
        <w:rPr>
          <w:noProof/>
          <w:lang w:val="en-US"/>
        </w:rPr>
      </w:pPr>
      <w:r w:rsidRPr="00B81C4F">
        <w:rPr>
          <w:noProof/>
          <w:lang w:val="en-US"/>
        </w:rPr>
        <w:br w:type="page"/>
      </w:r>
    </w:p>
    <w:p w14:paraId="5526C0FB"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4AC63539"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30F4B5F5"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36F54136"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79D379D9"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40F673BE"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49C307E1"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5A1223FE" w14:textId="77777777" w:rsidR="00B81C4F" w:rsidRPr="00B81C4F" w:rsidRDefault="00B81C4F" w:rsidP="00B81C4F">
      <w:pPr>
        <w:jc w:val="both"/>
        <w:rPr>
          <w:rFonts w:ascii="Times New Roman" w:eastAsia="Arial Black" w:hAnsi="Times New Roman" w:cs="Times New Roman"/>
          <w:b/>
          <w:bCs/>
          <w:noProof/>
          <w:sz w:val="24"/>
          <w:szCs w:val="24"/>
          <w:lang w:val="en-US"/>
        </w:rPr>
      </w:pPr>
    </w:p>
    <w:p w14:paraId="04FBBEA3"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Par šā dokumenta publicēšanu atbildīgs ir ESAO ģenerālsekretārs. Šajā dokumentā reproducēti ESAO juridiskie instrumenti, un tajā var būt ietverti papildu materiāli. Papildu materiālos izteiktie uzskati un apgalvojumi ne vienmēr atspoguļo ESAO dalībvalstu oficiālos viedokļus.</w:t>
      </w:r>
    </w:p>
    <w:p w14:paraId="48CD3441" w14:textId="77777777" w:rsidR="00B81C4F" w:rsidRPr="00B81C4F" w:rsidRDefault="00B81C4F" w:rsidP="00B81C4F">
      <w:pPr>
        <w:jc w:val="both"/>
        <w:rPr>
          <w:rFonts w:ascii="Times New Roman" w:eastAsia="Arial" w:hAnsi="Times New Roman" w:cs="Times New Roman"/>
          <w:noProof/>
          <w:sz w:val="24"/>
          <w:szCs w:val="24"/>
          <w:lang w:val="en-US"/>
        </w:rPr>
      </w:pPr>
    </w:p>
    <w:p w14:paraId="035A6E92"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Ne šis dokuments, ne jebkādi tajā iekļautie dati un kartes nemaina nevienas teritorijas statusu vai suverenitāti pār šādu teritoriju, starptautiskās robežas un nevienas teritorijas, pilsētas vai apgabala nosaukumu.</w:t>
      </w:r>
    </w:p>
    <w:p w14:paraId="3F50790F" w14:textId="77777777" w:rsidR="00B81C4F" w:rsidRPr="00B81C4F" w:rsidRDefault="00B81C4F" w:rsidP="00B81C4F">
      <w:pPr>
        <w:jc w:val="both"/>
        <w:rPr>
          <w:rFonts w:ascii="Times New Roman" w:eastAsia="Arial" w:hAnsi="Times New Roman" w:cs="Times New Roman"/>
          <w:noProof/>
          <w:sz w:val="24"/>
          <w:szCs w:val="24"/>
          <w:lang w:val="en-US"/>
        </w:rPr>
      </w:pPr>
    </w:p>
    <w:p w14:paraId="0D40F9C3" w14:textId="77777777" w:rsidR="00B81C4F" w:rsidRPr="00B81C4F" w:rsidRDefault="00B81C4F" w:rsidP="00B81C4F">
      <w:pPr>
        <w:jc w:val="both"/>
        <w:rPr>
          <w:rFonts w:ascii="Times New Roman" w:eastAsia="Arial" w:hAnsi="Times New Roman" w:cs="Times New Roman"/>
          <w:noProof/>
          <w:sz w:val="24"/>
          <w:szCs w:val="24"/>
          <w:lang w:val="en-US"/>
        </w:rPr>
      </w:pPr>
    </w:p>
    <w:p w14:paraId="10BA61FE" w14:textId="77777777" w:rsidR="00B81C4F" w:rsidRPr="00B81C4F" w:rsidRDefault="00B81C4F" w:rsidP="00B81C4F">
      <w:pPr>
        <w:jc w:val="both"/>
        <w:rPr>
          <w:rFonts w:ascii="Times New Roman" w:eastAsia="Arial" w:hAnsi="Times New Roman" w:cs="Times New Roman"/>
          <w:noProof/>
          <w:sz w:val="24"/>
          <w:szCs w:val="24"/>
          <w:lang w:val="en-US"/>
        </w:rPr>
      </w:pPr>
    </w:p>
    <w:p w14:paraId="594E10EF" w14:textId="77777777" w:rsidR="00B81C4F" w:rsidRPr="00B81C4F" w:rsidRDefault="00B81C4F" w:rsidP="00B81C4F">
      <w:pPr>
        <w:jc w:val="both"/>
        <w:rPr>
          <w:rFonts w:ascii="Times New Roman" w:eastAsia="Arial" w:hAnsi="Times New Roman" w:cs="Times New Roman"/>
          <w:noProof/>
          <w:sz w:val="24"/>
          <w:szCs w:val="24"/>
          <w:lang w:val="en-US"/>
        </w:rPr>
      </w:pPr>
    </w:p>
    <w:p w14:paraId="22EC7B7D" w14:textId="77777777" w:rsidR="00B81C4F" w:rsidRPr="00B81C4F" w:rsidRDefault="00B81C4F" w:rsidP="00B81C4F">
      <w:pPr>
        <w:jc w:val="both"/>
        <w:rPr>
          <w:rFonts w:ascii="Times New Roman" w:eastAsia="Arial" w:hAnsi="Times New Roman" w:cs="Times New Roman"/>
          <w:noProof/>
          <w:sz w:val="24"/>
          <w:szCs w:val="24"/>
          <w:lang w:val="en-US"/>
        </w:rPr>
      </w:pPr>
    </w:p>
    <w:p w14:paraId="654A3C01" w14:textId="77777777" w:rsidR="00B81C4F" w:rsidRPr="00B81C4F" w:rsidRDefault="00B81C4F" w:rsidP="00B81C4F">
      <w:pPr>
        <w:jc w:val="both"/>
        <w:rPr>
          <w:rFonts w:ascii="Times New Roman" w:eastAsia="Arial" w:hAnsi="Times New Roman" w:cs="Times New Roman"/>
          <w:noProof/>
          <w:sz w:val="24"/>
          <w:szCs w:val="24"/>
          <w:lang w:val="en-US"/>
        </w:rPr>
      </w:pPr>
    </w:p>
    <w:p w14:paraId="6BECEB25" w14:textId="77777777" w:rsidR="00B81C4F" w:rsidRPr="00B81C4F" w:rsidRDefault="00B81C4F" w:rsidP="00B81C4F">
      <w:pPr>
        <w:jc w:val="both"/>
        <w:rPr>
          <w:rFonts w:ascii="Times New Roman" w:eastAsia="Arial" w:hAnsi="Times New Roman" w:cs="Times New Roman"/>
          <w:noProof/>
          <w:sz w:val="24"/>
          <w:szCs w:val="24"/>
          <w:lang w:val="en-US"/>
        </w:rPr>
      </w:pPr>
    </w:p>
    <w:p w14:paraId="7B05E326" w14:textId="77777777" w:rsidR="00B81C4F" w:rsidRPr="00B81C4F" w:rsidRDefault="00B81C4F" w:rsidP="00B81C4F">
      <w:pPr>
        <w:jc w:val="both"/>
        <w:rPr>
          <w:rFonts w:ascii="Times New Roman" w:eastAsia="Arial" w:hAnsi="Times New Roman" w:cs="Times New Roman"/>
          <w:noProof/>
          <w:sz w:val="24"/>
          <w:szCs w:val="24"/>
          <w:lang w:val="en-US"/>
        </w:rPr>
      </w:pPr>
    </w:p>
    <w:p w14:paraId="2BE81A9F" w14:textId="77777777" w:rsidR="00B81C4F" w:rsidRPr="00B81C4F" w:rsidRDefault="00B81C4F" w:rsidP="00B81C4F">
      <w:pPr>
        <w:jc w:val="both"/>
        <w:rPr>
          <w:rFonts w:ascii="Times New Roman" w:eastAsia="Arial" w:hAnsi="Times New Roman" w:cs="Times New Roman"/>
          <w:noProof/>
          <w:sz w:val="24"/>
          <w:szCs w:val="24"/>
          <w:lang w:val="en-US"/>
        </w:rPr>
      </w:pPr>
    </w:p>
    <w:p w14:paraId="02521C4F" w14:textId="77777777" w:rsidR="00B81C4F" w:rsidRPr="00B81C4F" w:rsidRDefault="00B81C4F" w:rsidP="00B81C4F">
      <w:pPr>
        <w:jc w:val="both"/>
        <w:rPr>
          <w:rFonts w:ascii="Times New Roman" w:eastAsia="Arial" w:hAnsi="Times New Roman" w:cs="Times New Roman"/>
          <w:noProof/>
          <w:sz w:val="24"/>
          <w:szCs w:val="24"/>
          <w:lang w:val="en-US"/>
        </w:rPr>
      </w:pPr>
    </w:p>
    <w:p w14:paraId="2314AE4F"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Lai piekļūtu ESAO juridisko instrumentu oficiālajiem un jaunākajiem tekstiem, kā arī citai saistītajai informācijai, lūdzam skatīt ESAO juridisko instrumentu krājumu, kas atrodams http://legalinstruments.oecd.org.</w:t>
      </w:r>
    </w:p>
    <w:p w14:paraId="6B6FDB99" w14:textId="77777777" w:rsidR="00B81C4F" w:rsidRPr="00B81C4F" w:rsidRDefault="00B81C4F" w:rsidP="00B81C4F">
      <w:pPr>
        <w:jc w:val="both"/>
        <w:rPr>
          <w:rFonts w:ascii="Times New Roman" w:eastAsia="Arial" w:hAnsi="Times New Roman" w:cs="Times New Roman"/>
          <w:noProof/>
          <w:sz w:val="24"/>
          <w:szCs w:val="24"/>
          <w:lang w:val="en-US"/>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B81C4F" w:rsidRPr="00B81C4F" w14:paraId="3424AAFF" w14:textId="77777777" w:rsidTr="0094023C">
        <w:tc>
          <w:tcPr>
            <w:tcW w:w="5000" w:type="pct"/>
          </w:tcPr>
          <w:p w14:paraId="3D4877B1" w14:textId="77777777" w:rsidR="00B81C4F" w:rsidRPr="00B81C4F" w:rsidRDefault="00B81C4F" w:rsidP="0094023C">
            <w:pPr>
              <w:jc w:val="both"/>
              <w:rPr>
                <w:rFonts w:ascii="Times New Roman" w:hAnsi="Times New Roman"/>
                <w:b/>
                <w:noProof/>
                <w:lang w:val="en-US"/>
              </w:rPr>
            </w:pPr>
            <w:r w:rsidRPr="00B81C4F">
              <w:rPr>
                <w:rFonts w:ascii="Times New Roman" w:hAnsi="Times New Roman"/>
                <w:b/>
                <w:noProof/>
                <w:lang w:val="en-US"/>
              </w:rPr>
              <w:t>Citējot šo dokumentu, lūdzam izmantot šādu atsauci:</w:t>
            </w:r>
          </w:p>
          <w:p w14:paraId="20248590" w14:textId="77777777" w:rsidR="00B81C4F" w:rsidRPr="00B81C4F" w:rsidRDefault="00B81C4F" w:rsidP="0094023C">
            <w:pPr>
              <w:jc w:val="both"/>
              <w:rPr>
                <w:rFonts w:ascii="Times New Roman" w:eastAsia="Arial" w:hAnsi="Times New Roman" w:cs="Times New Roman"/>
                <w:noProof/>
                <w:lang w:val="en-US"/>
              </w:rPr>
            </w:pPr>
            <w:r w:rsidRPr="00B81C4F">
              <w:rPr>
                <w:rFonts w:ascii="Times New Roman" w:hAnsi="Times New Roman"/>
                <w:noProof/>
                <w:lang w:val="en-US"/>
              </w:rPr>
              <w:t xml:space="preserve">“OECD, </w:t>
            </w:r>
            <w:r w:rsidRPr="00B81C4F">
              <w:rPr>
                <w:rFonts w:ascii="Times New Roman" w:hAnsi="Times New Roman"/>
                <w:i/>
                <w:noProof/>
                <w:lang w:val="en-US"/>
              </w:rPr>
              <w:t>Recommendation of the Council on Competitive Neutrality</w:t>
            </w:r>
            <w:r w:rsidRPr="00B81C4F">
              <w:rPr>
                <w:rFonts w:ascii="Times New Roman" w:hAnsi="Times New Roman"/>
                <w:noProof/>
                <w:lang w:val="en-US"/>
              </w:rPr>
              <w:t>,</w:t>
            </w:r>
            <w:r w:rsidRPr="00B81C4F">
              <w:rPr>
                <w:rFonts w:ascii="Times New Roman" w:hAnsi="Times New Roman"/>
                <w:i/>
                <w:noProof/>
                <w:lang w:val="en-US"/>
              </w:rPr>
              <w:t xml:space="preserve"> </w:t>
            </w:r>
            <w:r w:rsidRPr="00B81C4F">
              <w:rPr>
                <w:rFonts w:ascii="Times New Roman" w:hAnsi="Times New Roman"/>
                <w:noProof/>
                <w:lang w:val="en-US"/>
              </w:rPr>
              <w:t xml:space="preserve">OECD/LEGAL/0462” [ESAO </w:t>
            </w:r>
            <w:r w:rsidRPr="00B81C4F">
              <w:rPr>
                <w:rFonts w:ascii="Times New Roman" w:hAnsi="Times New Roman"/>
                <w:i/>
                <w:noProof/>
                <w:lang w:val="en-US"/>
              </w:rPr>
              <w:t>Padomes Rekomendācija par konkurences neitralitāti</w:t>
            </w:r>
            <w:r w:rsidRPr="00B81C4F">
              <w:rPr>
                <w:rFonts w:ascii="Times New Roman" w:hAnsi="Times New Roman"/>
                <w:noProof/>
                <w:lang w:val="en-US"/>
              </w:rPr>
              <w:t xml:space="preserve">, </w:t>
            </w:r>
            <w:r w:rsidRPr="00B81C4F">
              <w:rPr>
                <w:rFonts w:ascii="Times New Roman" w:hAnsi="Times New Roman"/>
                <w:i/>
                <w:noProof/>
                <w:lang w:val="en-US"/>
              </w:rPr>
              <w:t>OECD/LEGAL/0462</w:t>
            </w:r>
            <w:r w:rsidRPr="00B81C4F">
              <w:rPr>
                <w:rFonts w:ascii="Times New Roman" w:hAnsi="Times New Roman"/>
                <w:noProof/>
                <w:lang w:val="en-US"/>
              </w:rPr>
              <w:t>].</w:t>
            </w:r>
          </w:p>
        </w:tc>
      </w:tr>
    </w:tbl>
    <w:p w14:paraId="7DC0CFA0" w14:textId="77777777" w:rsidR="00B81C4F" w:rsidRPr="00B81C4F" w:rsidRDefault="00B81C4F" w:rsidP="00B81C4F">
      <w:pPr>
        <w:jc w:val="both"/>
        <w:rPr>
          <w:rFonts w:ascii="Times New Roman" w:eastAsia="Arial" w:hAnsi="Times New Roman" w:cs="Times New Roman"/>
          <w:noProof/>
          <w:sz w:val="24"/>
          <w:szCs w:val="24"/>
          <w:lang w:val="en-US"/>
        </w:rPr>
      </w:pPr>
    </w:p>
    <w:p w14:paraId="68EA28E8" w14:textId="77777777" w:rsidR="00B81C4F" w:rsidRPr="00B81C4F" w:rsidRDefault="00B81C4F" w:rsidP="00B81C4F">
      <w:pPr>
        <w:jc w:val="both"/>
        <w:rPr>
          <w:rFonts w:ascii="Times New Roman" w:eastAsia="Arial" w:hAnsi="Times New Roman" w:cs="Times New Roman"/>
          <w:noProof/>
          <w:sz w:val="24"/>
          <w:szCs w:val="24"/>
          <w:lang w:val="en-US"/>
        </w:rPr>
      </w:pPr>
    </w:p>
    <w:p w14:paraId="7A3028D1"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Sērija: ESAO juridiskie instrumenti</w:t>
      </w:r>
    </w:p>
    <w:p w14:paraId="249AC048" w14:textId="77777777" w:rsidR="00B81C4F" w:rsidRPr="00B81C4F" w:rsidRDefault="00B81C4F" w:rsidP="00B81C4F">
      <w:pPr>
        <w:jc w:val="both"/>
        <w:rPr>
          <w:rFonts w:ascii="Times New Roman" w:eastAsia="Arial" w:hAnsi="Times New Roman" w:cs="Times New Roman"/>
          <w:noProof/>
          <w:sz w:val="24"/>
          <w:szCs w:val="24"/>
          <w:lang w:val="en-US"/>
        </w:rPr>
      </w:pPr>
    </w:p>
    <w:p w14:paraId="5FCF426D" w14:textId="77777777" w:rsidR="00B81C4F" w:rsidRPr="00B81C4F" w:rsidRDefault="00B81C4F" w:rsidP="00B81C4F">
      <w:pPr>
        <w:jc w:val="both"/>
        <w:rPr>
          <w:rFonts w:ascii="Times New Roman" w:eastAsia="Arial" w:hAnsi="Times New Roman" w:cs="Times New Roman"/>
          <w:noProof/>
          <w:sz w:val="24"/>
          <w:szCs w:val="24"/>
          <w:lang w:val="en-US"/>
        </w:rPr>
      </w:pPr>
    </w:p>
    <w:p w14:paraId="2D34393F" w14:textId="77777777" w:rsidR="00B81C4F" w:rsidRPr="00B81C4F" w:rsidRDefault="00B81C4F" w:rsidP="00B81C4F">
      <w:pPr>
        <w:jc w:val="both"/>
        <w:rPr>
          <w:rFonts w:ascii="Times New Roman" w:eastAsia="Arial" w:hAnsi="Times New Roman" w:cs="Times New Roman"/>
          <w:noProof/>
          <w:sz w:val="24"/>
          <w:szCs w:val="24"/>
          <w:lang w:val="en-US"/>
        </w:rPr>
      </w:pPr>
      <w:r w:rsidRPr="00B81C4F">
        <w:rPr>
          <w:rFonts w:ascii="Times New Roman" w:hAnsi="Times New Roman"/>
          <w:b/>
          <w:noProof/>
          <w:sz w:val="24"/>
          <w:lang w:val="en-US"/>
        </w:rPr>
        <w:t xml:space="preserve">Izmantotās fotogrāfijas: </w:t>
      </w:r>
      <w:r w:rsidRPr="00B81C4F">
        <w:rPr>
          <w:rFonts w:ascii="Times New Roman" w:hAnsi="Times New Roman"/>
          <w:noProof/>
          <w:sz w:val="24"/>
          <w:lang w:val="en-US"/>
        </w:rPr>
        <w:t>© iStock / Andrijs Šips [</w:t>
      </w:r>
      <w:r w:rsidRPr="00B81C4F">
        <w:rPr>
          <w:rFonts w:ascii="Times New Roman" w:hAnsi="Times New Roman"/>
          <w:i/>
          <w:noProof/>
          <w:sz w:val="24"/>
          <w:lang w:val="en-US"/>
        </w:rPr>
        <w:t>Andrii Shyp</w:t>
      </w:r>
      <w:r w:rsidRPr="00B81C4F">
        <w:rPr>
          <w:rFonts w:ascii="Times New Roman" w:hAnsi="Times New Roman"/>
          <w:noProof/>
          <w:sz w:val="24"/>
          <w:lang w:val="en-US"/>
        </w:rPr>
        <w:t>]</w:t>
      </w:r>
    </w:p>
    <w:p w14:paraId="47850412" w14:textId="77777777" w:rsidR="00B81C4F" w:rsidRPr="00B81C4F" w:rsidRDefault="00B81C4F" w:rsidP="00B81C4F">
      <w:pPr>
        <w:jc w:val="both"/>
        <w:rPr>
          <w:rFonts w:ascii="Times New Roman" w:eastAsia="Arial" w:hAnsi="Times New Roman" w:cs="Times New Roman"/>
          <w:noProof/>
          <w:sz w:val="24"/>
          <w:szCs w:val="24"/>
          <w:lang w:val="en-US"/>
        </w:rPr>
      </w:pPr>
    </w:p>
    <w:p w14:paraId="54FA0CBE"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 ESAO 2021. gads</w:t>
      </w:r>
    </w:p>
    <w:p w14:paraId="17C7A593" w14:textId="77777777" w:rsidR="00B81C4F" w:rsidRPr="00B81C4F" w:rsidRDefault="00B81C4F" w:rsidP="00B81C4F">
      <w:pPr>
        <w:jc w:val="both"/>
        <w:rPr>
          <w:rFonts w:ascii="Times New Roman" w:eastAsia="Arial"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B81C4F" w:rsidRPr="00B81C4F" w14:paraId="2DECAA5F" w14:textId="77777777" w:rsidTr="0094023C">
        <w:tc>
          <w:tcPr>
            <w:tcW w:w="5000" w:type="pct"/>
          </w:tcPr>
          <w:p w14:paraId="6127B5FE" w14:textId="77777777" w:rsidR="00B81C4F" w:rsidRPr="00B81C4F" w:rsidRDefault="00B81C4F" w:rsidP="0094023C">
            <w:pPr>
              <w:jc w:val="both"/>
              <w:rPr>
                <w:rFonts w:ascii="Times New Roman" w:hAnsi="Times New Roman"/>
                <w:noProof/>
                <w:lang w:val="en-US"/>
              </w:rPr>
            </w:pPr>
            <w:r w:rsidRPr="00B81C4F">
              <w:rPr>
                <w:rFonts w:ascii="Times New Roman" w:hAnsi="Times New Roman"/>
                <w:noProof/>
                <w:lang w:val="en-US"/>
              </w:rPr>
              <w:t>Šis dokuments tiek nodrošināts bez maksas. To drīkst reproducēt un izplatīt bez maksas, nepieprasot nekādas turpmākas atļaujas, kamēr vien tas nekādā veidā netiek pārveidots. To nedrīkst pārdot.</w:t>
            </w:r>
          </w:p>
          <w:p w14:paraId="4B7DB6F3" w14:textId="77777777" w:rsidR="00B81C4F" w:rsidRPr="00B81C4F" w:rsidRDefault="00B81C4F" w:rsidP="0094023C">
            <w:pPr>
              <w:jc w:val="both"/>
              <w:rPr>
                <w:rFonts w:ascii="Times New Roman" w:eastAsia="Arial" w:hAnsi="Times New Roman" w:cs="Times New Roman"/>
                <w:noProof/>
                <w:lang w:val="en-US"/>
              </w:rPr>
            </w:pPr>
          </w:p>
          <w:p w14:paraId="30E074C6" w14:textId="77777777" w:rsidR="00B81C4F" w:rsidRPr="00B81C4F" w:rsidRDefault="00B81C4F" w:rsidP="0094023C">
            <w:pPr>
              <w:jc w:val="both"/>
              <w:rPr>
                <w:rFonts w:ascii="Times New Roman" w:hAnsi="Times New Roman"/>
                <w:i/>
                <w:noProof/>
                <w:lang w:val="en-US"/>
              </w:rPr>
            </w:pPr>
            <w:r w:rsidRPr="00B81C4F">
              <w:rPr>
                <w:rFonts w:ascii="Times New Roman" w:hAnsi="Times New Roman"/>
                <w:noProof/>
                <w:lang w:val="en-US"/>
              </w:rPr>
              <w:t xml:space="preserve">Šis dokuments ir pieejams abās ESAO oficiālajās valodās (angļu un franču valodā). To drīkst tulkot citās valodās, ja tulkojums tiek apzīmēts ar uzrakstu “neoficiāls tulkojums” un ietver šādu atrunu: </w:t>
            </w:r>
            <w:r w:rsidRPr="00B81C4F">
              <w:rPr>
                <w:rFonts w:ascii="Times New Roman" w:hAnsi="Times New Roman"/>
                <w:i/>
                <w:noProof/>
                <w:lang w:val="en-US"/>
              </w:rPr>
              <w:t>“Šo tulkojumu ir sagatavojis [TULKOJUMA AUTORA VĀRDS, UZVĀRDS], un tas ir paredzēts tikai informatīviem mērķiem, un ESAO nevar garantēt tā pareizību. Vienīgās oficiālās versijas ir teksti angļu un franču valodā, kas pieejami ESAO tīmekļa vietnē http://legalinstruments.oecd.org.”</w:t>
            </w:r>
          </w:p>
        </w:tc>
      </w:tr>
    </w:tbl>
    <w:p w14:paraId="6B50BB34" w14:textId="77777777" w:rsidR="00B81C4F" w:rsidRPr="00B81C4F" w:rsidRDefault="00B81C4F" w:rsidP="00B81C4F">
      <w:pPr>
        <w:rPr>
          <w:noProof/>
          <w:lang w:val="en-US"/>
        </w:rPr>
      </w:pPr>
      <w:r w:rsidRPr="00B81C4F">
        <w:rPr>
          <w:noProof/>
          <w:lang w:val="en-US"/>
        </w:rPr>
        <w:br w:type="page"/>
      </w:r>
    </w:p>
    <w:p w14:paraId="132A98AE" w14:textId="77777777" w:rsidR="00B81C4F" w:rsidRPr="00B81C4F" w:rsidRDefault="00B81C4F" w:rsidP="00B81C4F">
      <w:pPr>
        <w:jc w:val="both"/>
        <w:rPr>
          <w:rFonts w:ascii="Times New Roman" w:eastAsia="Arial" w:hAnsi="Times New Roman" w:cs="Times New Roman"/>
          <w:noProof/>
          <w:sz w:val="24"/>
          <w:szCs w:val="24"/>
          <w:lang w:val="en-US"/>
        </w:rPr>
      </w:pPr>
    </w:p>
    <w:p w14:paraId="642FF625" w14:textId="77777777" w:rsidR="00B81C4F" w:rsidRPr="00B81C4F" w:rsidRDefault="00B81C4F" w:rsidP="00B81C4F">
      <w:pPr>
        <w:pStyle w:val="Heading2"/>
        <w:spacing w:before="0"/>
        <w:ind w:left="0"/>
        <w:jc w:val="both"/>
        <w:rPr>
          <w:rFonts w:ascii="Times New Roman" w:hAnsi="Times New Roman"/>
          <w:noProof/>
          <w:color w:val="1E487C"/>
          <w:sz w:val="28"/>
          <w:lang w:val="en-US"/>
        </w:rPr>
      </w:pPr>
      <w:r w:rsidRPr="00B81C4F">
        <w:rPr>
          <w:rFonts w:ascii="Times New Roman" w:hAnsi="Times New Roman"/>
          <w:noProof/>
          <w:color w:val="1E487C"/>
          <w:sz w:val="28"/>
          <w:lang w:val="en-US"/>
        </w:rPr>
        <w:t>Vispārīga informācija</w:t>
      </w:r>
    </w:p>
    <w:p w14:paraId="1F02C65B" w14:textId="77777777" w:rsidR="00B81C4F" w:rsidRPr="00B81C4F" w:rsidRDefault="00B81C4F" w:rsidP="00B81C4F">
      <w:pPr>
        <w:jc w:val="both"/>
        <w:rPr>
          <w:rFonts w:ascii="Times New Roman" w:eastAsia="Arial" w:hAnsi="Times New Roman" w:cs="Times New Roman"/>
          <w:b/>
          <w:bCs/>
          <w:noProof/>
          <w:sz w:val="24"/>
          <w:szCs w:val="24"/>
          <w:lang w:val="en-US"/>
        </w:rPr>
      </w:pPr>
    </w:p>
    <w:p w14:paraId="48804D87"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Rekomendāciju par konkurences neitralitāti ESAO Padome ministru līmenī pieņēma 2021. gada 31. maijā pēc Konkurences komitejas priekšlikuma, konsultējoties ar Korporatīvās pārvaldības komiteju. Šajā rekomendācijā īstenotāji tiek aicināti nodrošināt līdzvērtīgus konkurences apstākļus gan starp valsts un privātajiem uzņēmumiem, gan starp dažādiem privātajiem uzņēmumiem.</w:t>
      </w:r>
    </w:p>
    <w:p w14:paraId="7D2AFDEB" w14:textId="77777777" w:rsidR="00B81C4F" w:rsidRPr="00B81C4F" w:rsidRDefault="00B81C4F" w:rsidP="00B81C4F">
      <w:pPr>
        <w:jc w:val="both"/>
        <w:rPr>
          <w:rFonts w:ascii="Times New Roman" w:eastAsia="Arial" w:hAnsi="Times New Roman" w:cs="Times New Roman"/>
          <w:noProof/>
          <w:sz w:val="24"/>
          <w:szCs w:val="24"/>
          <w:lang w:val="en-US"/>
        </w:rPr>
      </w:pPr>
    </w:p>
    <w:p w14:paraId="755C2451" w14:textId="77777777" w:rsidR="00B81C4F" w:rsidRPr="00B81C4F" w:rsidRDefault="00B81C4F" w:rsidP="00B81C4F">
      <w:pPr>
        <w:jc w:val="both"/>
        <w:rPr>
          <w:rFonts w:ascii="Times New Roman" w:hAnsi="Times New Roman"/>
          <w:b/>
          <w:i/>
          <w:noProof/>
          <w:sz w:val="24"/>
          <w:lang w:val="en-US"/>
        </w:rPr>
      </w:pPr>
      <w:r w:rsidRPr="00B81C4F">
        <w:rPr>
          <w:rFonts w:ascii="Times New Roman" w:hAnsi="Times New Roman"/>
          <w:b/>
          <w:i/>
          <w:noProof/>
          <w:sz w:val="24"/>
          <w:lang w:val="en-US"/>
        </w:rPr>
        <w:t>Rekomendācijas izstrādāšanas pamatojums</w:t>
      </w:r>
    </w:p>
    <w:p w14:paraId="6AEA32AE" w14:textId="77777777" w:rsidR="00B81C4F" w:rsidRPr="00B81C4F" w:rsidRDefault="00B81C4F" w:rsidP="00B81C4F">
      <w:pPr>
        <w:jc w:val="both"/>
        <w:rPr>
          <w:rFonts w:ascii="Times New Roman" w:eastAsia="Arial" w:hAnsi="Times New Roman" w:cs="Times New Roman"/>
          <w:b/>
          <w:bCs/>
          <w:i/>
          <w:noProof/>
          <w:sz w:val="24"/>
          <w:szCs w:val="24"/>
          <w:lang w:val="en-US"/>
        </w:rPr>
      </w:pPr>
    </w:p>
    <w:p w14:paraId="35A735C6" w14:textId="3B3EC5B6"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 xml:space="preserve">Līdzvērtīgu konkurences apstākļu radīšana ir nepieciešama, lai valstis varētu izmantot </w:t>
      </w:r>
      <w:r w:rsidRPr="00555F2B">
        <w:rPr>
          <w:rFonts w:ascii="Times New Roman" w:hAnsi="Times New Roman"/>
          <w:noProof/>
          <w:sz w:val="24"/>
          <w:lang w:val="en-US"/>
        </w:rPr>
        <w:t>konkurences priekšrocības, piemēram, zemākas cenas, labāku kvalitāti un lielāku ekonomisko izaugsmi. Tā palīdz nodrošināt visefektīvāko uzņēmumu attīstību gan iekšējā, gan starptautiskajā tirgū. Taču, ja valsts piešķir mākslīgas priekšrocības noteiktiem uzņēmumiem, tas var radīt vai samazināt salīdzinošās priekšrocības, tādējādi kropļojot konkurenci iekšējā un starptautiskajā tirgū. Šīs mākslīgās priekšrocības var tikt piešķirtas, pamatojoties uz tādiem kritērijiem kā uzņēmuma īpašumtiesības (piemēram, atkarībā no tā, vai tas ir valsts</w:t>
      </w:r>
      <w:r w:rsidRPr="00B81C4F">
        <w:rPr>
          <w:rFonts w:ascii="Times New Roman" w:hAnsi="Times New Roman"/>
          <w:noProof/>
          <w:sz w:val="24"/>
          <w:lang w:val="en-US"/>
        </w:rPr>
        <w:t xml:space="preserve"> uzņēmums), tā sabiedrisko pakalpojumu sniegšanas saistības un stāvoklis tirgū. Ņemot vērā to, ka valsts uzņēmumiem (VU) ir nozīmīga loma valsts politikas mērķu sasniegšanā, tie bieži vien gūst priekšrocības, ko tiem piešķīrusi valsts. Piemēram, tās var būt tādas normatīvās priekšrocības kā atbrīvojumi no noteiktām tiesiskajām prasībām vai tādas finansiālas priekšrocības kā aizdevumi ar atvieglotām procentu likmēm. Gadījumos, kad, lai sasniegtu primāro valsts politikas mērķi, ir nepieciešams noteikt izņēmumu, tam ir jābūt visiem skaidram un samērīgam, kā arī tas ir periodiski jāpārskata.</w:t>
      </w:r>
    </w:p>
    <w:p w14:paraId="6AC6AA72" w14:textId="77777777" w:rsidR="00B81C4F" w:rsidRPr="00B81C4F" w:rsidRDefault="00B81C4F" w:rsidP="00B81C4F">
      <w:pPr>
        <w:jc w:val="both"/>
        <w:rPr>
          <w:rFonts w:ascii="Times New Roman" w:eastAsia="Arial" w:hAnsi="Times New Roman" w:cs="Times New Roman"/>
          <w:noProof/>
          <w:sz w:val="24"/>
          <w:szCs w:val="24"/>
          <w:lang w:val="en-US"/>
        </w:rPr>
      </w:pPr>
    </w:p>
    <w:p w14:paraId="6285B61F"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Atzīstot šo jautājumu nozīmību, ESAO Ministru padomes 2017. gada sanāksmē tika identificēta nepieciešamība pievērsties valdības politikai, kura var radīt konkurences izkropļojumus. Šī rekomendācija tika iecerēta ar mērķi izvairīties no nepamatotu normatīvo un finansiālo priekšrocību piešķiršanas noteiktiem uzņēmumiem neatkarīgi no tā, vai tie ir privātie vai valsts uzņēmumi, tādējādi nodrošināt konkurences neitralitāti.</w:t>
      </w:r>
    </w:p>
    <w:p w14:paraId="3EA8B3E1" w14:textId="77777777" w:rsidR="00B81C4F" w:rsidRPr="00B81C4F" w:rsidRDefault="00B81C4F" w:rsidP="00B81C4F">
      <w:pPr>
        <w:jc w:val="both"/>
        <w:rPr>
          <w:rFonts w:ascii="Times New Roman" w:eastAsia="Arial" w:hAnsi="Times New Roman" w:cs="Times New Roman"/>
          <w:noProof/>
          <w:sz w:val="24"/>
          <w:szCs w:val="24"/>
          <w:lang w:val="en-US"/>
        </w:rPr>
      </w:pPr>
    </w:p>
    <w:p w14:paraId="690998CD" w14:textId="77777777" w:rsidR="00B81C4F" w:rsidRPr="00B81C4F" w:rsidRDefault="00B81C4F" w:rsidP="00B81C4F">
      <w:pPr>
        <w:jc w:val="both"/>
        <w:rPr>
          <w:rFonts w:ascii="Times New Roman" w:hAnsi="Times New Roman"/>
          <w:b/>
          <w:i/>
          <w:noProof/>
          <w:sz w:val="24"/>
          <w:lang w:val="en-US"/>
        </w:rPr>
      </w:pPr>
      <w:r w:rsidRPr="00B81C4F">
        <w:rPr>
          <w:rFonts w:ascii="Times New Roman" w:hAnsi="Times New Roman"/>
          <w:b/>
          <w:i/>
          <w:noProof/>
          <w:sz w:val="24"/>
          <w:lang w:val="en-US"/>
        </w:rPr>
        <w:t>ESAO darbs konkurences neitralitātes jomā un rekomendācijas izstrādāšanas process</w:t>
      </w:r>
    </w:p>
    <w:p w14:paraId="3037D70D" w14:textId="77777777" w:rsidR="00B81C4F" w:rsidRPr="00B81C4F" w:rsidRDefault="00B81C4F" w:rsidP="00B81C4F">
      <w:pPr>
        <w:jc w:val="both"/>
        <w:rPr>
          <w:rFonts w:ascii="Times New Roman" w:eastAsia="Arial" w:hAnsi="Times New Roman" w:cs="Times New Roman"/>
          <w:b/>
          <w:bCs/>
          <w:i/>
          <w:noProof/>
          <w:sz w:val="24"/>
          <w:szCs w:val="24"/>
          <w:lang w:val="en-US"/>
        </w:rPr>
      </w:pPr>
    </w:p>
    <w:p w14:paraId="6941DABF"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ESAO Konkurences komiteja kopš 2004. gada ir aplūkojusi konkurences neitralitātes jautājumu dažādos aspektos. Šis darbs 2012. gadā ietvēra sadarbību ar Korporatīvās pārvaldības komitejas Darba grupu valsts īpašumtiesību un privatizācijas prakses jautājumos, un šī darba rezultāts bija, piemēram, izvērtējuma veikšana, lai ievāktu informāciju par valsts praksi attiecībā uz VU konkurences neitralitātes jomā un ESAO konkurences neitralitātes standartu ievērošanu. Salīdzinoši nesen, proti, 2015. gadā, ESAO sagatavoja Konkurences neitralitātes izkropļojumu un pasākumu sarakstu, iedalot kategorijās dažādu veidu izkropļojumus, kas identificēti diskusijās, un konkurences neitralitātes instrumentus, kas konstatēti dažādās jurisdikcijās, tostarp attiecīgos ESAO standartus. Tie attiecās ne tikai uz VU konkurences neitralitāti, bet bija saistīti ar visu šo jautājumu loku.</w:t>
      </w:r>
    </w:p>
    <w:p w14:paraId="1E71C71A" w14:textId="77777777" w:rsidR="00B81C4F" w:rsidRPr="00B81C4F" w:rsidRDefault="00B81C4F" w:rsidP="00B81C4F">
      <w:pPr>
        <w:jc w:val="both"/>
        <w:rPr>
          <w:rFonts w:ascii="Times New Roman" w:eastAsia="Arial" w:hAnsi="Times New Roman" w:cs="Times New Roman"/>
          <w:noProof/>
          <w:sz w:val="24"/>
          <w:szCs w:val="24"/>
          <w:lang w:val="en-US"/>
        </w:rPr>
      </w:pPr>
    </w:p>
    <w:p w14:paraId="0DEFF1A3"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Pēc tam, kad Ministru padomes 2017. gada sanāksmē tika konstatēta nepieciešamība rīkoties, Konkurences komiteja, iesaistot savu 2. darba grupu par konkurences un regulējuma jautājumiem, 2019. gadā uzsāka šīs rekomendācijas izstrādāšanu. Izstrādāt rekomendāciju ir palīdzējis tas, ka ESAO ietvaros ir notikušas plašas apspriedes ar Korporatīvās pārvaldības komiteju un tās Darba grupu valsts īpašumtiesību un privatizācijas prakses jautājumos, kā arī Investīciju komiteju, Regulatīvās politikas komiteju,Tirdzniecības komiteju, Fiskālo lietu komiteju un Publiskās pārvaldības komiteju, kā arī attiecīgajām apakšstruktūrām.</w:t>
      </w:r>
    </w:p>
    <w:p w14:paraId="4915AEBD" w14:textId="77777777" w:rsidR="00B81C4F" w:rsidRPr="00B81C4F" w:rsidRDefault="00B81C4F" w:rsidP="00B81C4F">
      <w:pPr>
        <w:jc w:val="both"/>
        <w:rPr>
          <w:rFonts w:ascii="Times New Roman" w:eastAsia="Arial" w:hAnsi="Times New Roman" w:cs="Times New Roman"/>
          <w:noProof/>
          <w:sz w:val="24"/>
          <w:szCs w:val="24"/>
          <w:lang w:val="en-US"/>
        </w:rPr>
      </w:pPr>
    </w:p>
    <w:p w14:paraId="5FDD6F29" w14:textId="77777777" w:rsidR="00B81C4F" w:rsidRPr="00B81C4F" w:rsidRDefault="00B81C4F" w:rsidP="00B81C4F">
      <w:pPr>
        <w:jc w:val="both"/>
        <w:rPr>
          <w:rFonts w:ascii="Times New Roman" w:hAnsi="Times New Roman"/>
          <w:b/>
          <w:i/>
          <w:noProof/>
          <w:sz w:val="24"/>
          <w:lang w:val="en-US"/>
        </w:rPr>
      </w:pPr>
      <w:r w:rsidRPr="00B81C4F">
        <w:rPr>
          <w:rFonts w:ascii="Times New Roman" w:hAnsi="Times New Roman"/>
          <w:b/>
          <w:i/>
          <w:noProof/>
          <w:sz w:val="24"/>
          <w:lang w:val="en-US"/>
        </w:rPr>
        <w:t>Rekomendācijas darbības joma</w:t>
      </w:r>
    </w:p>
    <w:p w14:paraId="4CFE6451" w14:textId="77777777" w:rsidR="00B81C4F" w:rsidRPr="00B81C4F" w:rsidRDefault="00B81C4F" w:rsidP="00B81C4F">
      <w:pPr>
        <w:jc w:val="both"/>
        <w:rPr>
          <w:rFonts w:ascii="Times New Roman" w:eastAsia="Arial" w:hAnsi="Times New Roman" w:cs="Times New Roman"/>
          <w:b/>
          <w:bCs/>
          <w:i/>
          <w:noProof/>
          <w:sz w:val="24"/>
          <w:szCs w:val="24"/>
          <w:lang w:val="en-US"/>
        </w:rPr>
      </w:pPr>
    </w:p>
    <w:p w14:paraId="565B4AE5"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Šīs rekomendācijas mērķis ir nodrošināt līdzvērtīgus konkurences apstākļus gan starp valsts un privātajiem uzņēmumiem, gan starp dažādiem privātajiem uzņēmumiem.</w:t>
      </w:r>
    </w:p>
    <w:p w14:paraId="07551A5F" w14:textId="77777777" w:rsidR="00B81C4F" w:rsidRPr="00B81C4F" w:rsidRDefault="00B81C4F" w:rsidP="00B81C4F">
      <w:pPr>
        <w:jc w:val="both"/>
        <w:rPr>
          <w:rFonts w:ascii="Times New Roman" w:eastAsia="Arial" w:hAnsi="Times New Roman" w:cs="Times New Roman"/>
          <w:noProof/>
          <w:sz w:val="24"/>
          <w:szCs w:val="24"/>
          <w:lang w:val="en-US"/>
        </w:rPr>
      </w:pPr>
    </w:p>
    <w:p w14:paraId="66E1668E"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Rekomendācijā ir noteikts, ka īstenotājiem ir jānodrošina, lai noteikumi, kas tiek piemēroti to tirgos, būtu neitrāli. Piemēram, tiem ir jānodrošina konkurences neitralitāte, piemērojot konkurences un bankrota tiesību aktus, tādā veidā, lai uz konkurējošajiem uzņēmumiem attiektos līdzvērtīgi noteikumi neatkarīgi no tā, kāda ir to piederība, atrašanās vieta vai tiesiskais statuss. Turklāt īstenotājiem ir jānodrošina, lai konkurences darbībām tiktu piemērota vienāda normatīvā vide un lai uzņēmumi nebūtu atbildīgi par to tirgu regulēšanu, kuros tie konkurē.</w:t>
      </w:r>
    </w:p>
    <w:p w14:paraId="702850B1" w14:textId="77777777" w:rsidR="00B81C4F" w:rsidRPr="00B81C4F" w:rsidRDefault="00B81C4F" w:rsidP="00B81C4F">
      <w:pPr>
        <w:jc w:val="both"/>
        <w:rPr>
          <w:rFonts w:ascii="Times New Roman" w:eastAsia="Arial" w:hAnsi="Times New Roman" w:cs="Times New Roman"/>
          <w:noProof/>
          <w:sz w:val="24"/>
          <w:szCs w:val="24"/>
          <w:lang w:val="en-US"/>
        </w:rPr>
      </w:pPr>
    </w:p>
    <w:p w14:paraId="55AC80D9"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Šajā rekomendācijā īstenotāji tiek aicināti arī saglabāt konkurences neitralitāti, izstrādājot pasākumus, kas var uzlabot uzņēmuma darbības rezultātus tirgū un kropļot konkurenci. Piemēram, īstenotājiem ir jāizvairās piedāvāt nepamatotas priekšrocības, kas kropļo konkurenci un dažiem uzņēmumiem selektīvi sniedz lielākas priekšrocības nekā citiem uzņēmumiem.</w:t>
      </w:r>
    </w:p>
    <w:p w14:paraId="55D7EA0F" w14:textId="77777777" w:rsidR="00B81C4F" w:rsidRPr="00B81C4F" w:rsidRDefault="00B81C4F" w:rsidP="00B81C4F">
      <w:pPr>
        <w:jc w:val="both"/>
        <w:rPr>
          <w:rFonts w:ascii="Times New Roman" w:eastAsia="Arial" w:hAnsi="Times New Roman" w:cs="Times New Roman"/>
          <w:noProof/>
          <w:sz w:val="24"/>
          <w:szCs w:val="24"/>
          <w:lang w:val="en-US"/>
        </w:rPr>
      </w:pPr>
    </w:p>
    <w:p w14:paraId="573B2A7F" w14:textId="77777777" w:rsidR="00B81C4F" w:rsidRPr="00B81C4F" w:rsidRDefault="00B81C4F" w:rsidP="00B81C4F">
      <w:pPr>
        <w:jc w:val="both"/>
        <w:rPr>
          <w:rFonts w:ascii="Times New Roman" w:hAnsi="Times New Roman"/>
          <w:b/>
          <w:i/>
          <w:noProof/>
          <w:sz w:val="24"/>
          <w:lang w:val="en-US"/>
        </w:rPr>
      </w:pPr>
      <w:r w:rsidRPr="00B81C4F">
        <w:rPr>
          <w:rFonts w:ascii="Times New Roman" w:hAnsi="Times New Roman"/>
          <w:b/>
          <w:i/>
          <w:noProof/>
          <w:sz w:val="24"/>
          <w:lang w:val="en-US"/>
        </w:rPr>
        <w:t>Nākamie soļi</w:t>
      </w:r>
    </w:p>
    <w:p w14:paraId="13DA3D4E" w14:textId="77777777" w:rsidR="00B81C4F" w:rsidRPr="00B81C4F" w:rsidRDefault="00B81C4F" w:rsidP="00B81C4F">
      <w:pPr>
        <w:jc w:val="both"/>
        <w:rPr>
          <w:rFonts w:ascii="Times New Roman" w:eastAsia="Arial" w:hAnsi="Times New Roman" w:cs="Times New Roman"/>
          <w:b/>
          <w:bCs/>
          <w:i/>
          <w:noProof/>
          <w:sz w:val="24"/>
          <w:szCs w:val="24"/>
          <w:lang w:val="en-US"/>
        </w:rPr>
      </w:pPr>
    </w:p>
    <w:p w14:paraId="366E93C8"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Konkurences komiteja saziņā ar Korporatīvās pārvaldības komiteju uzraudzīs Rekomendācijas īstenošanu, piecus gadus pēc tās pieņemšanas sniegs ziņojumu Padomei un pēc tam – sniegs to vismaz reizi 10 gados. Turklāt ESAO turpinās pilnveidot attiecīgo analītisko darbu, rīkojot apaļā galda apspriedes, uzklausīšanu, seminārus un konferences.</w:t>
      </w:r>
    </w:p>
    <w:p w14:paraId="4B282D35" w14:textId="77777777" w:rsidR="00B81C4F" w:rsidRPr="00B81C4F" w:rsidRDefault="00B81C4F" w:rsidP="00B81C4F">
      <w:pPr>
        <w:jc w:val="both"/>
        <w:rPr>
          <w:rFonts w:ascii="Times New Roman" w:eastAsia="Arial" w:hAnsi="Times New Roman" w:cs="Times New Roman"/>
          <w:noProof/>
          <w:sz w:val="24"/>
          <w:szCs w:val="24"/>
          <w:lang w:val="en-US"/>
        </w:rPr>
      </w:pPr>
    </w:p>
    <w:p w14:paraId="5F5B2404" w14:textId="77777777" w:rsidR="00B81C4F" w:rsidRPr="00B81C4F" w:rsidRDefault="00B81C4F" w:rsidP="00B81C4F">
      <w:pPr>
        <w:jc w:val="both"/>
        <w:rPr>
          <w:rFonts w:ascii="Times New Roman" w:hAnsi="Times New Roman"/>
          <w:i/>
          <w:noProof/>
          <w:sz w:val="24"/>
          <w:lang w:val="en-US"/>
        </w:rPr>
      </w:pPr>
      <w:r w:rsidRPr="00B81C4F">
        <w:rPr>
          <w:rFonts w:ascii="Times New Roman" w:hAnsi="Times New Roman"/>
          <w:i/>
          <w:noProof/>
          <w:sz w:val="24"/>
          <w:lang w:val="en-US"/>
        </w:rPr>
        <w:t>Papildu informāciju lūdzam skat.: http://www.oecd.org/daf/competition/competitive- neutrality.htm.</w:t>
      </w:r>
    </w:p>
    <w:p w14:paraId="46819E85" w14:textId="77777777" w:rsidR="00B81C4F" w:rsidRPr="00B81C4F" w:rsidRDefault="00B81C4F" w:rsidP="00B81C4F">
      <w:pPr>
        <w:jc w:val="both"/>
        <w:rPr>
          <w:rFonts w:ascii="Times New Roman" w:eastAsia="Arial" w:hAnsi="Times New Roman" w:cs="Times New Roman"/>
          <w:i/>
          <w:noProof/>
          <w:sz w:val="24"/>
          <w:szCs w:val="24"/>
          <w:lang w:val="en-US"/>
        </w:rPr>
      </w:pPr>
    </w:p>
    <w:p w14:paraId="75AB31D3" w14:textId="77777777" w:rsidR="00B81C4F" w:rsidRPr="00B81C4F" w:rsidRDefault="00B81C4F" w:rsidP="00B81C4F">
      <w:pPr>
        <w:jc w:val="both"/>
        <w:rPr>
          <w:rFonts w:ascii="Times New Roman" w:hAnsi="Times New Roman"/>
          <w:i/>
          <w:noProof/>
          <w:sz w:val="24"/>
          <w:lang w:val="en-US"/>
        </w:rPr>
      </w:pPr>
      <w:r w:rsidRPr="00B81C4F">
        <w:rPr>
          <w:rFonts w:ascii="Times New Roman" w:hAnsi="Times New Roman"/>
          <w:i/>
          <w:noProof/>
          <w:sz w:val="24"/>
          <w:lang w:val="en-US"/>
        </w:rPr>
        <w:t>Kontaktinformācija: DAFCOMPContact@oecd.org.</w:t>
      </w:r>
    </w:p>
    <w:p w14:paraId="43A35FDE" w14:textId="77777777" w:rsidR="00B81C4F" w:rsidRPr="00B81C4F" w:rsidRDefault="00B81C4F" w:rsidP="00B81C4F">
      <w:pPr>
        <w:jc w:val="both"/>
        <w:rPr>
          <w:rFonts w:ascii="Times New Roman" w:eastAsia="Arial" w:hAnsi="Times New Roman" w:cs="Times New Roman"/>
          <w:noProof/>
          <w:sz w:val="24"/>
          <w:szCs w:val="24"/>
          <w:lang w:val="en-US"/>
        </w:rPr>
      </w:pPr>
    </w:p>
    <w:p w14:paraId="6DA196FF" w14:textId="77777777" w:rsidR="00B81C4F" w:rsidRPr="00B81C4F" w:rsidRDefault="00B81C4F" w:rsidP="00B81C4F">
      <w:pPr>
        <w:rPr>
          <w:noProof/>
          <w:lang w:val="en-US"/>
        </w:rPr>
      </w:pPr>
      <w:r w:rsidRPr="00B81C4F">
        <w:rPr>
          <w:noProof/>
          <w:lang w:val="en-US"/>
        </w:rPr>
        <w:br w:type="page"/>
      </w:r>
    </w:p>
    <w:p w14:paraId="6B2A9C2F" w14:textId="77777777" w:rsidR="00B81C4F" w:rsidRPr="00B81C4F" w:rsidRDefault="00B81C4F" w:rsidP="00B81C4F">
      <w:pPr>
        <w:jc w:val="both"/>
        <w:rPr>
          <w:rFonts w:ascii="Times New Roman" w:eastAsia="Arial" w:hAnsi="Times New Roman" w:cs="Times New Roman"/>
          <w:i/>
          <w:noProof/>
          <w:sz w:val="24"/>
          <w:szCs w:val="24"/>
          <w:lang w:val="en-US"/>
        </w:rPr>
      </w:pPr>
    </w:p>
    <w:p w14:paraId="5CB6B879" w14:textId="77777777" w:rsidR="00B81C4F" w:rsidRPr="00B81C4F" w:rsidRDefault="00B81C4F" w:rsidP="00B81C4F">
      <w:pPr>
        <w:pStyle w:val="Heading3"/>
        <w:ind w:left="0"/>
        <w:jc w:val="both"/>
        <w:rPr>
          <w:rFonts w:ascii="Times New Roman" w:hAnsi="Times New Roman"/>
          <w:noProof/>
          <w:sz w:val="24"/>
          <w:lang w:val="en-US"/>
        </w:rPr>
      </w:pPr>
      <w:r w:rsidRPr="00B81C4F">
        <w:rPr>
          <w:rFonts w:ascii="Times New Roman" w:hAnsi="Times New Roman"/>
          <w:noProof/>
          <w:sz w:val="24"/>
          <w:lang w:val="en-US"/>
        </w:rPr>
        <w:t>PADOME,</w:t>
      </w:r>
    </w:p>
    <w:p w14:paraId="68CFEE78" w14:textId="77777777" w:rsidR="00B81C4F" w:rsidRPr="00B81C4F" w:rsidRDefault="00B81C4F" w:rsidP="00B81C4F">
      <w:pPr>
        <w:jc w:val="both"/>
        <w:rPr>
          <w:rFonts w:ascii="Times New Roman" w:eastAsia="Arial" w:hAnsi="Times New Roman" w:cs="Times New Roman"/>
          <w:noProof/>
          <w:sz w:val="24"/>
          <w:szCs w:val="24"/>
          <w:lang w:val="en-US"/>
        </w:rPr>
      </w:pPr>
    </w:p>
    <w:p w14:paraId="0BFC5CBF" w14:textId="77777777" w:rsidR="00B81C4F" w:rsidRPr="00B81C4F" w:rsidRDefault="00B81C4F" w:rsidP="00B81C4F">
      <w:pPr>
        <w:pStyle w:val="BodyText"/>
        <w:ind w:left="0"/>
        <w:jc w:val="both"/>
        <w:rPr>
          <w:rFonts w:ascii="Times New Roman" w:hAnsi="Times New Roman"/>
          <w:noProof/>
          <w:sz w:val="24"/>
          <w:lang w:val="en-US"/>
        </w:rPr>
      </w:pPr>
      <w:r w:rsidRPr="00B81C4F">
        <w:rPr>
          <w:rFonts w:ascii="Times New Roman" w:hAnsi="Times New Roman"/>
          <w:b/>
          <w:noProof/>
          <w:sz w:val="24"/>
          <w:lang w:val="en-US"/>
        </w:rPr>
        <w:t xml:space="preserve">ŅEMOT VĒRĀ </w:t>
      </w:r>
      <w:r w:rsidRPr="00B81C4F">
        <w:rPr>
          <w:rFonts w:ascii="Times New Roman" w:hAnsi="Times New Roman"/>
          <w:noProof/>
          <w:sz w:val="24"/>
          <w:lang w:val="en-US"/>
        </w:rPr>
        <w:t>1960. gada 14. decembra Konvencijas par Ekonomiskās sadarbības un attīstības organizāciju 5. panta b) apakšpunktu;</w:t>
      </w:r>
    </w:p>
    <w:p w14:paraId="6B7EB51F" w14:textId="77777777" w:rsidR="00B81C4F" w:rsidRPr="00B81C4F" w:rsidRDefault="00B81C4F" w:rsidP="00B81C4F">
      <w:pPr>
        <w:jc w:val="both"/>
        <w:rPr>
          <w:rFonts w:ascii="Times New Roman" w:hAnsi="Times New Roman"/>
          <w:noProof/>
          <w:sz w:val="24"/>
          <w:lang w:val="en-US"/>
        </w:rPr>
      </w:pPr>
    </w:p>
    <w:p w14:paraId="76F746C4"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ŅEMOT VĒRĀ </w:t>
      </w:r>
      <w:r w:rsidRPr="00B81C4F">
        <w:rPr>
          <w:rFonts w:ascii="Times New Roman" w:hAnsi="Times New Roman"/>
          <w:noProof/>
          <w:sz w:val="24"/>
          <w:lang w:val="en-US"/>
        </w:rPr>
        <w:t>Padomes Ieteikumu attiecībā uz strukturālo nodalīšanu reglamentētajās nozarēs [</w:t>
      </w:r>
      <w:r w:rsidRPr="00B81C4F">
        <w:rPr>
          <w:rFonts w:ascii="Times New Roman" w:hAnsi="Times New Roman"/>
          <w:i/>
          <w:noProof/>
          <w:sz w:val="24"/>
          <w:lang w:val="en-US"/>
        </w:rPr>
        <w:t>OECD/LEGAL/0310</w:t>
      </w:r>
      <w:r w:rsidRPr="00B81C4F">
        <w:rPr>
          <w:rFonts w:ascii="Times New Roman" w:hAnsi="Times New Roman"/>
          <w:noProof/>
          <w:sz w:val="24"/>
          <w:lang w:val="en-US"/>
        </w:rPr>
        <w:t>], Padomes Rekomendāciju par reglamentējošo politiku un pārvaldību [</w:t>
      </w:r>
      <w:r w:rsidRPr="00B81C4F">
        <w:rPr>
          <w:rFonts w:ascii="Times New Roman" w:hAnsi="Times New Roman"/>
          <w:i/>
          <w:noProof/>
          <w:sz w:val="24"/>
          <w:lang w:val="en-US"/>
        </w:rPr>
        <w:t>OECD/LEGAL/0390</w:t>
      </w:r>
      <w:r w:rsidRPr="00B81C4F">
        <w:rPr>
          <w:rFonts w:ascii="Times New Roman" w:hAnsi="Times New Roman"/>
          <w:noProof/>
          <w:sz w:val="24"/>
          <w:lang w:val="en-US"/>
        </w:rPr>
        <w:t>], Padomes Ieteikumu attiecībā uz vadlīnijām par valsts uzņēmumu korporatīvo pārvaldību [</w:t>
      </w:r>
      <w:r w:rsidRPr="00B81C4F">
        <w:rPr>
          <w:rFonts w:ascii="Times New Roman" w:hAnsi="Times New Roman"/>
          <w:i/>
          <w:noProof/>
          <w:sz w:val="24"/>
          <w:lang w:val="en-US"/>
        </w:rPr>
        <w:t>OECD/LEGAL/0414</w:t>
      </w:r>
      <w:r w:rsidRPr="00B81C4F">
        <w:rPr>
          <w:rFonts w:ascii="Times New Roman" w:hAnsi="Times New Roman"/>
          <w:noProof/>
          <w:sz w:val="24"/>
          <w:lang w:val="en-US"/>
        </w:rPr>
        <w:t>] (turpmāk – “VU vadlīnijas”) un Padomes Ieteikumu par konkurences novērtēšanu [</w:t>
      </w:r>
      <w:r w:rsidRPr="00B81C4F">
        <w:rPr>
          <w:rFonts w:ascii="Times New Roman" w:hAnsi="Times New Roman"/>
          <w:i/>
          <w:noProof/>
          <w:sz w:val="24"/>
          <w:lang w:val="en-US"/>
        </w:rPr>
        <w:t>OECD/LEGAL/0455</w:t>
      </w:r>
      <w:r w:rsidRPr="00B81C4F">
        <w:rPr>
          <w:rFonts w:ascii="Times New Roman" w:hAnsi="Times New Roman"/>
          <w:noProof/>
          <w:sz w:val="24"/>
          <w:lang w:val="en-US"/>
        </w:rPr>
        <w:t>];</w:t>
      </w:r>
    </w:p>
    <w:p w14:paraId="0762CB9C" w14:textId="77777777" w:rsidR="00B81C4F" w:rsidRPr="00B81C4F" w:rsidRDefault="00B81C4F" w:rsidP="00B81C4F">
      <w:pPr>
        <w:jc w:val="both"/>
        <w:rPr>
          <w:rFonts w:ascii="Times New Roman" w:eastAsia="Arial" w:hAnsi="Times New Roman" w:cs="Times New Roman"/>
          <w:noProof/>
          <w:sz w:val="24"/>
          <w:szCs w:val="24"/>
          <w:lang w:val="en-US"/>
        </w:rPr>
      </w:pPr>
    </w:p>
    <w:p w14:paraId="7429E3A1"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ŅEMOT VĒRĀ </w:t>
      </w:r>
      <w:r w:rsidRPr="00B81C4F">
        <w:rPr>
          <w:rFonts w:ascii="Times New Roman" w:hAnsi="Times New Roman"/>
          <w:noProof/>
          <w:sz w:val="24"/>
          <w:lang w:val="en-US"/>
        </w:rPr>
        <w:t>Ministru padomes 2017. gada paziņojumu, kurā atzīta “nepieciešamība novērst tirgus nepilnības, kā arī nepieļaut valdības politiku un uzņēmējdarbības praksi, kas kropļo konkurenci, tostarp nepieļaut valsts atbalstu un subsidēšanu” [</w:t>
      </w:r>
      <w:r w:rsidRPr="00B81C4F">
        <w:rPr>
          <w:rFonts w:ascii="Times New Roman" w:hAnsi="Times New Roman"/>
          <w:i/>
          <w:noProof/>
          <w:sz w:val="24"/>
          <w:lang w:val="en-US"/>
        </w:rPr>
        <w:t>C/MIN(2017)9/FINAL</w:t>
      </w:r>
      <w:r w:rsidRPr="00B81C4F">
        <w:rPr>
          <w:rFonts w:ascii="Times New Roman" w:hAnsi="Times New Roman"/>
          <w:noProof/>
          <w:sz w:val="24"/>
          <w:lang w:val="en-US"/>
        </w:rPr>
        <w:t>];</w:t>
      </w:r>
    </w:p>
    <w:p w14:paraId="060E8E07" w14:textId="77777777" w:rsidR="00B81C4F" w:rsidRPr="00B81C4F" w:rsidRDefault="00B81C4F" w:rsidP="00B81C4F">
      <w:pPr>
        <w:jc w:val="both"/>
        <w:rPr>
          <w:rFonts w:ascii="Times New Roman" w:eastAsia="Arial" w:hAnsi="Times New Roman" w:cs="Times New Roman"/>
          <w:noProof/>
          <w:sz w:val="24"/>
          <w:szCs w:val="24"/>
          <w:lang w:val="en-US"/>
        </w:rPr>
      </w:pPr>
    </w:p>
    <w:p w14:paraId="776B63CD"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ATZĪSTOT</w:t>
      </w:r>
      <w:r w:rsidRPr="00B81C4F">
        <w:rPr>
          <w:rFonts w:ascii="Times New Roman" w:hAnsi="Times New Roman"/>
          <w:noProof/>
          <w:sz w:val="24"/>
          <w:lang w:val="en-US"/>
        </w:rPr>
        <w:t>, ka konkurence veicina efektivitāti, palīdzot nodrošināt to, ka patērētājiem piedāvātās preces un pakalpojumi labāk atbilst patērētāju vēlmēm, un sniedzot tādus labumus kā zemākas cenas, lielākas izvēles iespējas, labāka kvalitāte, inovācijas pieaugums un augstāka produktivitāte;</w:t>
      </w:r>
    </w:p>
    <w:p w14:paraId="6DE0B7B1" w14:textId="77777777" w:rsidR="00B81C4F" w:rsidRPr="00B81C4F" w:rsidRDefault="00B81C4F" w:rsidP="00B81C4F">
      <w:pPr>
        <w:jc w:val="both"/>
        <w:rPr>
          <w:rFonts w:ascii="Times New Roman" w:eastAsia="Arial" w:hAnsi="Times New Roman" w:cs="Times New Roman"/>
          <w:noProof/>
          <w:sz w:val="24"/>
          <w:szCs w:val="24"/>
          <w:lang w:val="en-US"/>
        </w:rPr>
      </w:pPr>
    </w:p>
    <w:p w14:paraId="60F3E3D4"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ATZĪSTOT</w:t>
      </w:r>
      <w:r w:rsidRPr="00B81C4F">
        <w:rPr>
          <w:rFonts w:ascii="Times New Roman" w:hAnsi="Times New Roman"/>
          <w:noProof/>
          <w:sz w:val="24"/>
          <w:lang w:val="en-US"/>
        </w:rPr>
        <w:t>, ka valdības darbības var kropļot konkurenci tirgū;</w:t>
      </w:r>
    </w:p>
    <w:p w14:paraId="077836D4" w14:textId="77777777" w:rsidR="00B81C4F" w:rsidRPr="00B81C4F" w:rsidRDefault="00B81C4F" w:rsidP="00B81C4F">
      <w:pPr>
        <w:jc w:val="both"/>
        <w:rPr>
          <w:rFonts w:ascii="Times New Roman" w:eastAsia="Arial" w:hAnsi="Times New Roman" w:cs="Times New Roman"/>
          <w:noProof/>
          <w:sz w:val="24"/>
          <w:szCs w:val="24"/>
          <w:lang w:val="en-US"/>
        </w:rPr>
      </w:pPr>
    </w:p>
    <w:p w14:paraId="29DC0B54"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ATZĪSTOT</w:t>
      </w:r>
      <w:r w:rsidRPr="00B81C4F">
        <w:rPr>
          <w:rFonts w:ascii="Times New Roman" w:hAnsi="Times New Roman"/>
          <w:noProof/>
          <w:sz w:val="24"/>
          <w:lang w:val="en-US"/>
        </w:rPr>
        <w:t>, ka, lai sasniegtu valsts politikas mērķus, noteiktos apstākļos būs nepieciešami izņēmumi attiecībā uz konkurences neitralitāti;</w:t>
      </w:r>
    </w:p>
    <w:p w14:paraId="79AB64B6" w14:textId="77777777" w:rsidR="00B81C4F" w:rsidRPr="00B81C4F" w:rsidRDefault="00B81C4F" w:rsidP="00B81C4F">
      <w:pPr>
        <w:jc w:val="both"/>
        <w:rPr>
          <w:rFonts w:ascii="Times New Roman" w:eastAsia="Arial" w:hAnsi="Times New Roman" w:cs="Times New Roman"/>
          <w:noProof/>
          <w:sz w:val="24"/>
          <w:szCs w:val="24"/>
          <w:lang w:val="en-US"/>
        </w:rPr>
      </w:pPr>
    </w:p>
    <w:p w14:paraId="3F439A18"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ATZĪSTOT</w:t>
      </w:r>
      <w:r w:rsidRPr="00B81C4F">
        <w:rPr>
          <w:rFonts w:ascii="Times New Roman" w:hAnsi="Times New Roman"/>
          <w:noProof/>
          <w:sz w:val="24"/>
          <w:lang w:val="en-US"/>
        </w:rPr>
        <w:t>, ka pārmērīgi konkurences ierobežojumi var izveidoties nejauši pat tad, ja attiecīgās valsts politikas mērķis nav jebkādā veidā ietekmēt konkurenci, un ka valsts politiku bieži vien var reformēt tā, lai tiktu veicināta konkurence, vienlaikus sasniedzot šīs politikas mērķus;</w:t>
      </w:r>
    </w:p>
    <w:p w14:paraId="1F7B6DDA" w14:textId="77777777" w:rsidR="00B81C4F" w:rsidRPr="00B81C4F" w:rsidRDefault="00B81C4F" w:rsidP="00B81C4F">
      <w:pPr>
        <w:jc w:val="both"/>
        <w:rPr>
          <w:rFonts w:ascii="Times New Roman" w:eastAsia="Arial" w:hAnsi="Times New Roman" w:cs="Times New Roman"/>
          <w:noProof/>
          <w:sz w:val="24"/>
          <w:szCs w:val="24"/>
          <w:lang w:val="en-US"/>
        </w:rPr>
      </w:pPr>
    </w:p>
    <w:p w14:paraId="5D320395"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ŅEMOT VĒRĀ </w:t>
      </w:r>
      <w:r w:rsidRPr="00B81C4F">
        <w:rPr>
          <w:rFonts w:ascii="Times New Roman" w:hAnsi="Times New Roman"/>
          <w:noProof/>
          <w:sz w:val="24"/>
          <w:lang w:val="en-US"/>
        </w:rPr>
        <w:t>to, ka tad, ja citi apstākļi ir līdzīgi, priekšroka jādod tādiem valsts politikas pasākumiem, kas mazāk kaitē konkurencei, nevis tādiem, kas rada lielāku kaitējumu konkurencei, ar nosacījumu, ka ar to palīdzību tiek sasniegti noteiktie mērķi;</w:t>
      </w:r>
    </w:p>
    <w:p w14:paraId="62C05E97" w14:textId="77777777" w:rsidR="00B81C4F" w:rsidRPr="00B81C4F" w:rsidRDefault="00B81C4F" w:rsidP="00B81C4F">
      <w:pPr>
        <w:jc w:val="both"/>
        <w:rPr>
          <w:rFonts w:ascii="Times New Roman" w:eastAsia="Arial" w:hAnsi="Times New Roman" w:cs="Times New Roman"/>
          <w:noProof/>
          <w:sz w:val="24"/>
          <w:szCs w:val="24"/>
          <w:lang w:val="en-US"/>
        </w:rPr>
      </w:pPr>
    </w:p>
    <w:p w14:paraId="08F9C38A" w14:textId="77777777" w:rsidR="00B81C4F" w:rsidRPr="00B81C4F" w:rsidRDefault="00B81C4F" w:rsidP="00B81C4F">
      <w:pPr>
        <w:pStyle w:val="BodyText"/>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ŅEMOT VĒRĀ </w:t>
      </w:r>
      <w:r w:rsidRPr="00B81C4F">
        <w:rPr>
          <w:rFonts w:ascii="Times New Roman" w:hAnsi="Times New Roman"/>
          <w:noProof/>
          <w:sz w:val="24"/>
          <w:lang w:val="en-US"/>
        </w:rPr>
        <w:t>to, ka valdības aizvien vairāk izstrādā instrumentus, lai novērstu kropļojumus saistībā ar konkurences neitralitāti;</w:t>
      </w:r>
    </w:p>
    <w:p w14:paraId="70CF4232" w14:textId="77777777" w:rsidR="00B81C4F" w:rsidRPr="00B81C4F" w:rsidRDefault="00B81C4F" w:rsidP="00B81C4F">
      <w:pPr>
        <w:jc w:val="both"/>
        <w:rPr>
          <w:rFonts w:ascii="Times New Roman" w:eastAsia="Arial" w:hAnsi="Times New Roman" w:cs="Times New Roman"/>
          <w:noProof/>
          <w:sz w:val="24"/>
          <w:szCs w:val="24"/>
          <w:lang w:val="en-US"/>
        </w:rPr>
      </w:pPr>
    </w:p>
    <w:p w14:paraId="5A2B79CA" w14:textId="77777777" w:rsidR="00B81C4F" w:rsidRPr="00B81C4F" w:rsidRDefault="00B81C4F" w:rsidP="00B81C4F">
      <w:pPr>
        <w:pStyle w:val="Heading3"/>
        <w:ind w:left="0"/>
        <w:jc w:val="both"/>
        <w:rPr>
          <w:rFonts w:ascii="Times New Roman" w:hAnsi="Times New Roman"/>
          <w:noProof/>
          <w:sz w:val="24"/>
          <w:lang w:val="en-US"/>
        </w:rPr>
      </w:pPr>
      <w:r w:rsidRPr="00B81C4F">
        <w:rPr>
          <w:rFonts w:ascii="Times New Roman" w:hAnsi="Times New Roman"/>
          <w:noProof/>
          <w:sz w:val="24"/>
          <w:lang w:val="en-US"/>
        </w:rPr>
        <w:t>pēc Konkurences komitejas priekšlikuma, konsultējoties ar Korporatīvās pārvaldības komiteju, īsteno turpmāk minētās darbības.</w:t>
      </w:r>
    </w:p>
    <w:p w14:paraId="50EC1D83" w14:textId="77777777" w:rsidR="00B81C4F" w:rsidRPr="00B81C4F" w:rsidRDefault="00B81C4F" w:rsidP="00B81C4F">
      <w:pPr>
        <w:jc w:val="both"/>
        <w:rPr>
          <w:rFonts w:ascii="Times New Roman" w:eastAsia="Arial" w:hAnsi="Times New Roman" w:cs="Times New Roman"/>
          <w:b/>
          <w:bCs/>
          <w:noProof/>
          <w:sz w:val="24"/>
          <w:szCs w:val="24"/>
          <w:lang w:val="en-US"/>
        </w:rPr>
      </w:pPr>
    </w:p>
    <w:p w14:paraId="0D351059"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I. VIENOJAS</w:t>
      </w:r>
      <w:r w:rsidRPr="00B81C4F">
        <w:rPr>
          <w:rFonts w:ascii="Times New Roman" w:hAnsi="Times New Roman"/>
          <w:noProof/>
          <w:sz w:val="24"/>
          <w:lang w:val="en-US"/>
        </w:rPr>
        <w:t>, ka šajā rekomendācijā tiek izmantotas turpmāk norādītās definīcijas.</w:t>
      </w:r>
    </w:p>
    <w:p w14:paraId="47C0CD12" w14:textId="77777777" w:rsidR="00B81C4F" w:rsidRPr="00B81C4F" w:rsidRDefault="00B81C4F" w:rsidP="00B81C4F">
      <w:pPr>
        <w:jc w:val="both"/>
        <w:rPr>
          <w:rFonts w:ascii="Times New Roman" w:eastAsia="Arial" w:hAnsi="Times New Roman" w:cs="Times New Roman"/>
          <w:noProof/>
          <w:sz w:val="24"/>
          <w:szCs w:val="24"/>
          <w:lang w:val="en-US"/>
        </w:rPr>
      </w:pPr>
    </w:p>
    <w:p w14:paraId="4A8801DB" w14:textId="77777777" w:rsidR="00B81C4F" w:rsidRPr="00B81C4F" w:rsidRDefault="00B81C4F" w:rsidP="00B81C4F">
      <w:pPr>
        <w:pStyle w:val="BodyText"/>
        <w:numPr>
          <w:ilvl w:val="1"/>
          <w:numId w:val="4"/>
        </w:numPr>
        <w:tabs>
          <w:tab w:val="left" w:pos="851"/>
        </w:tabs>
        <w:ind w:left="284" w:firstLine="0"/>
        <w:jc w:val="both"/>
        <w:rPr>
          <w:rFonts w:ascii="Times New Roman" w:hAnsi="Times New Roman"/>
          <w:noProof/>
          <w:sz w:val="24"/>
          <w:lang w:val="en-US"/>
        </w:rPr>
      </w:pPr>
      <w:r w:rsidRPr="00B81C4F">
        <w:rPr>
          <w:rFonts w:ascii="Times New Roman" w:hAnsi="Times New Roman"/>
          <w:noProof/>
          <w:sz w:val="24"/>
          <w:lang w:val="en-US"/>
        </w:rPr>
        <w:t>“Konkurences neitralitāte” – princips, saskaņā ar kuru visiem uzņēmumiem tiek nodrošināti līdzvērtīgi konkurences apstākļi attiecībā uz valsts īpašumtiesībām, regulējumu vai darbībām tirgū (tostarp valsts centrālajā, reģionālajā, federālajā, provinču, novadu vai pašvaldību līmenī).</w:t>
      </w:r>
    </w:p>
    <w:p w14:paraId="5EBC11FD" w14:textId="77777777" w:rsidR="00B81C4F" w:rsidRPr="00B81C4F" w:rsidRDefault="00B81C4F" w:rsidP="00B81C4F">
      <w:pPr>
        <w:pStyle w:val="BodyText"/>
        <w:numPr>
          <w:ilvl w:val="1"/>
          <w:numId w:val="4"/>
        </w:numPr>
        <w:tabs>
          <w:tab w:val="left" w:pos="851"/>
        </w:tabs>
        <w:ind w:left="284" w:firstLine="0"/>
        <w:jc w:val="both"/>
        <w:rPr>
          <w:rFonts w:ascii="Times New Roman" w:hAnsi="Times New Roman"/>
          <w:noProof/>
          <w:sz w:val="24"/>
          <w:lang w:val="en-US"/>
        </w:rPr>
      </w:pPr>
      <w:r w:rsidRPr="00B81C4F">
        <w:rPr>
          <w:rFonts w:ascii="Times New Roman" w:hAnsi="Times New Roman"/>
          <w:noProof/>
          <w:sz w:val="24"/>
          <w:lang w:val="en-US"/>
        </w:rPr>
        <w:t>“Uzņēmums” – jebkura struktūra, kas piedāvā preces vai pakalpojumus tirgū, neatkarīgi no tās tiesiskā statusa.</w:t>
      </w:r>
    </w:p>
    <w:p w14:paraId="700AF22C" w14:textId="77777777" w:rsidR="00B81C4F" w:rsidRPr="00B81C4F" w:rsidRDefault="00B81C4F" w:rsidP="00B81C4F">
      <w:pPr>
        <w:pStyle w:val="BodyText"/>
        <w:numPr>
          <w:ilvl w:val="1"/>
          <w:numId w:val="4"/>
        </w:numPr>
        <w:tabs>
          <w:tab w:val="left" w:pos="851"/>
        </w:tabs>
        <w:ind w:left="284" w:firstLine="0"/>
        <w:jc w:val="both"/>
        <w:rPr>
          <w:rFonts w:ascii="Times New Roman" w:hAnsi="Times New Roman"/>
          <w:noProof/>
          <w:sz w:val="24"/>
          <w:lang w:val="en-US"/>
        </w:rPr>
      </w:pPr>
      <w:r w:rsidRPr="00B81C4F">
        <w:rPr>
          <w:rFonts w:ascii="Times New Roman" w:hAnsi="Times New Roman"/>
          <w:noProof/>
          <w:sz w:val="24"/>
          <w:lang w:val="en-US"/>
        </w:rPr>
        <w:t>“Valsts uzņēmums” – valstīm ir atšķirīga pieeja attiecībā uz to institūciju loku, kuras tās uzskata par valsts uzņēmumiem. Saskaņā ar VU vadlīnijām jebkura korporatīvā struktūra, kura saskaņā ar valsts tiesību aktiem atzīta par uzņēmumu un kurā valsts īsteno īpašumtiesības vai kontroli, ir uzskatāma par VU. Šādu uzņēmumu skaitā ir akciju sabiedrības, sabiedrības ar ierobežotu atbildību un akciju komandītsabiedrības. Turklāt statūtsabiedrības, kuru juridiskās personas statuss ir noteikts īpašos tiesību aktos, ir uzskatāmas par VU, ja to darbības mērķis un darbības vai daļa no to darbībām ir galvenokārt ekonomiskas.</w:t>
      </w:r>
    </w:p>
    <w:p w14:paraId="6EF964F6" w14:textId="77777777" w:rsidR="00B81C4F" w:rsidRPr="00B81C4F" w:rsidRDefault="00B81C4F" w:rsidP="00B81C4F">
      <w:pPr>
        <w:pStyle w:val="BodyText"/>
        <w:numPr>
          <w:ilvl w:val="1"/>
          <w:numId w:val="4"/>
        </w:numPr>
        <w:tabs>
          <w:tab w:val="left" w:pos="851"/>
        </w:tabs>
        <w:ind w:left="284" w:firstLine="0"/>
        <w:jc w:val="both"/>
        <w:rPr>
          <w:rFonts w:ascii="Times New Roman" w:hAnsi="Times New Roman"/>
          <w:noProof/>
          <w:sz w:val="24"/>
          <w:lang w:val="en-US"/>
        </w:rPr>
      </w:pPr>
      <w:r w:rsidRPr="00B81C4F">
        <w:rPr>
          <w:rFonts w:ascii="Times New Roman" w:hAnsi="Times New Roman"/>
          <w:noProof/>
          <w:sz w:val="24"/>
          <w:lang w:val="en-US"/>
        </w:rPr>
        <w:t>“Īpašumtiesības un kontrole” – attiecībā uz valsts uzņēmumiem šī rekomendācija attiecas uz uzņēmumiem, kurus kontrolē valsts, kas ir vairuma balsstiesīgo akciju patiesais labuma guvējs vai kas citādā veidā īsteno līdzvērtīga līmeņa kontroli. Līdzvērtīga līmeņa kontroles piemēri ir gadījumi, kad juridiskie noteikumi vai uzņēmuma statūti nodrošina pastāvīgu valsts kontroli pār tādu uzņēmumu vai tā direktoru padomi, kurā valstij pieder mazākuma daļa. Daži robežgadījumi jāskata katrs atsevišķi, kā noteikts VU vadlīnijās.</w:t>
      </w:r>
    </w:p>
    <w:p w14:paraId="70A32F9E" w14:textId="77777777" w:rsidR="00B81C4F" w:rsidRPr="00B81C4F" w:rsidRDefault="00B81C4F" w:rsidP="00B81C4F">
      <w:pPr>
        <w:pStyle w:val="BodyText"/>
        <w:numPr>
          <w:ilvl w:val="1"/>
          <w:numId w:val="4"/>
        </w:numPr>
        <w:tabs>
          <w:tab w:val="left" w:pos="851"/>
        </w:tabs>
        <w:ind w:left="284" w:firstLine="0"/>
        <w:jc w:val="both"/>
        <w:rPr>
          <w:rFonts w:ascii="Times New Roman" w:hAnsi="Times New Roman"/>
          <w:noProof/>
          <w:sz w:val="24"/>
          <w:lang w:val="en-US"/>
        </w:rPr>
      </w:pPr>
      <w:r w:rsidRPr="00B81C4F">
        <w:rPr>
          <w:rFonts w:ascii="Times New Roman" w:hAnsi="Times New Roman"/>
          <w:noProof/>
          <w:sz w:val="24"/>
          <w:lang w:val="en-US"/>
        </w:rPr>
        <w:t>“Valsts politikas mērķi” – mērķi, kas kalpo sabiedrības interesēm attiecīgajā jurisdikcijā.</w:t>
      </w:r>
    </w:p>
    <w:p w14:paraId="3F66C326" w14:textId="77777777" w:rsidR="00B81C4F" w:rsidRPr="00B81C4F" w:rsidRDefault="00B81C4F" w:rsidP="00B81C4F">
      <w:pPr>
        <w:jc w:val="both"/>
        <w:rPr>
          <w:rFonts w:ascii="Times New Roman" w:eastAsia="Arial" w:hAnsi="Times New Roman" w:cs="Times New Roman"/>
          <w:noProof/>
          <w:sz w:val="24"/>
          <w:szCs w:val="24"/>
          <w:lang w:val="en-US"/>
        </w:rPr>
      </w:pPr>
    </w:p>
    <w:p w14:paraId="6459614B"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II. IESAKA </w:t>
      </w:r>
      <w:r w:rsidRPr="00B81C4F">
        <w:rPr>
          <w:rFonts w:ascii="Times New Roman" w:hAnsi="Times New Roman"/>
          <w:noProof/>
          <w:sz w:val="24"/>
          <w:lang w:val="en-US"/>
        </w:rPr>
        <w:t>dalībvalstīm un citām valstīm, kas nav dalībvalstis un īsteno šo rekomendāciju (turpmāk – “īstenotāji”), nodrošināt konkurences neitralitāti atbilstoši tam, kā noteikts turpmāk (ciktāl tas praktiski iespējams, ja vien saskaņā ar primārajiem valsts politikas mērķiem nav noteikts citādi).</w:t>
      </w:r>
    </w:p>
    <w:p w14:paraId="53F667F1" w14:textId="77777777" w:rsidR="00B81C4F" w:rsidRPr="00B81C4F" w:rsidRDefault="00B81C4F" w:rsidP="00B81C4F">
      <w:pPr>
        <w:jc w:val="both"/>
        <w:rPr>
          <w:rFonts w:ascii="Times New Roman" w:eastAsia="Arial" w:hAnsi="Times New Roman" w:cs="Times New Roman"/>
          <w:noProof/>
          <w:sz w:val="24"/>
          <w:szCs w:val="24"/>
          <w:lang w:val="en-US"/>
        </w:rPr>
      </w:pPr>
    </w:p>
    <w:p w14:paraId="2EFE5F65"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1. Jānodrošina, lai tiesiskais regulējums, kas piemērojams tirgiem, kuros pašreiz konkurē vai potenciāli var konkurēt uzņēmumi, būtu neitrāls un lai konkurence netiktu nepamatoti kavēta, ierobežota vai deformēta. Šajā nolūkā īstenotājiem ir jāīsteno turpmāk norādītie pasākumi.</w:t>
      </w:r>
    </w:p>
    <w:p w14:paraId="6F9E6D2C" w14:textId="77777777" w:rsidR="00B81C4F" w:rsidRPr="00B81C4F" w:rsidRDefault="00B81C4F" w:rsidP="00B81C4F">
      <w:pPr>
        <w:jc w:val="both"/>
        <w:rPr>
          <w:rFonts w:ascii="Times New Roman" w:eastAsia="Arial" w:hAnsi="Times New Roman" w:cs="Times New Roman"/>
          <w:noProof/>
          <w:sz w:val="24"/>
          <w:szCs w:val="24"/>
          <w:lang w:val="en-US"/>
        </w:rPr>
      </w:pPr>
    </w:p>
    <w:p w14:paraId="2BCF15C4"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a) Tiem attiecīgos gadījumos ir jāpieņem un jāpatur spēkā konkurencei neitrāli konkurences tiesību akti, kas ietver regulējumu pret konkurenci vērstai darbībai un apvienošanās kontrolei.</w:t>
      </w:r>
    </w:p>
    <w:p w14:paraId="4282BF85"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p>
    <w:p w14:paraId="2CFA1773"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b) Tiem ir jānodrošina konkurences neitralitāte, piemērojot konkurences un bankrota tiesību aktus, tādā veidā, lai uz konkurējošajiem uzņēmumiem attiektos līdzvērtīgi konkurences un bankrota noteikumi neatkarīgi no tā, kāda ir to piederība, atrašanās vieta vai tiesiskais statuss, un lai, piemērojot šos likumus, netiktu radīta diskriminācija starp valsts uzņēmumiem un to privātajiem konkurentiem vai arī starp dažādu veidu privātajiem uzņēmumiem. Tomēr, neraugoties uz to, kas minēts iepriekš, nevar izslēgt pasākumus, kuru mērķis ir nodrošināt konkurences neitralitāti.</w:t>
      </w:r>
    </w:p>
    <w:p w14:paraId="11627138"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p>
    <w:p w14:paraId="089E2E0A"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c) Tiem ir jānodrošina konkurences neitralitāte normatīvajā vidē. Īstenotājiem jo īpaši ir:</w:t>
      </w:r>
    </w:p>
    <w:p w14:paraId="3758EE0E"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p>
    <w:p w14:paraId="69B1604E" w14:textId="77777777" w:rsidR="00B81C4F" w:rsidRPr="00B81C4F" w:rsidRDefault="00B81C4F" w:rsidP="00B81C4F">
      <w:pPr>
        <w:pStyle w:val="BodyText"/>
        <w:tabs>
          <w:tab w:val="left" w:pos="1870"/>
        </w:tabs>
        <w:ind w:left="284"/>
        <w:jc w:val="both"/>
        <w:rPr>
          <w:rFonts w:ascii="Times New Roman" w:hAnsi="Times New Roman"/>
          <w:noProof/>
          <w:sz w:val="24"/>
          <w:lang w:val="en-US"/>
        </w:rPr>
      </w:pPr>
      <w:r w:rsidRPr="00B81C4F">
        <w:rPr>
          <w:rFonts w:ascii="Times New Roman" w:hAnsi="Times New Roman"/>
          <w:noProof/>
          <w:sz w:val="24"/>
          <w:lang w:val="en-US"/>
        </w:rPr>
        <w:t>i) jānosaka vienāda normatīvā vide konkurences darbībām, kā arī jāpiemēro noteikumi, nosakot vienādas prasības, atbilstošus termiņus un līdzvērtīgu atklātību attiecībā uz visiem pašreizējiem vai potenciālajiem tirgus dalībniekiem;</w:t>
      </w:r>
    </w:p>
    <w:p w14:paraId="54C88CA4" w14:textId="77777777" w:rsidR="00B81C4F" w:rsidRPr="00B81C4F" w:rsidRDefault="00B81C4F" w:rsidP="00B81C4F">
      <w:pPr>
        <w:pStyle w:val="BodyText"/>
        <w:tabs>
          <w:tab w:val="left" w:pos="1870"/>
        </w:tabs>
        <w:ind w:left="284"/>
        <w:jc w:val="both"/>
        <w:rPr>
          <w:rFonts w:ascii="Times New Roman" w:hAnsi="Times New Roman"/>
          <w:noProof/>
          <w:sz w:val="24"/>
          <w:lang w:val="en-US"/>
        </w:rPr>
      </w:pPr>
      <w:r w:rsidRPr="00B81C4F">
        <w:rPr>
          <w:rFonts w:ascii="Times New Roman" w:hAnsi="Times New Roman"/>
          <w:noProof/>
          <w:sz w:val="24"/>
          <w:lang w:val="en-US"/>
        </w:rPr>
        <w:t>ii) jānodrošina, lai uzņēmumiem, neskatoties uz to, kāda ir to piederība, atrašanās vieta vai tiesiskais statuss, nebūtu galvenā atbildība par tā(-o) tirgus(-u) regulēšanu, kurā(-os) tie pašreiz konkurē vai potenciāli var konkurēt (it īpaši attiecībā uz ienākšanu tirgū vai esošo tirgus dalībnieku darbības paplašināšanu);</w:t>
      </w:r>
    </w:p>
    <w:p w14:paraId="2CC85688" w14:textId="77777777" w:rsidR="00B81C4F" w:rsidRPr="00B81C4F" w:rsidRDefault="00B81C4F" w:rsidP="00B81C4F">
      <w:pPr>
        <w:pStyle w:val="BodyText"/>
        <w:tabs>
          <w:tab w:val="left" w:pos="1870"/>
        </w:tabs>
        <w:ind w:left="284"/>
        <w:jc w:val="both"/>
        <w:rPr>
          <w:rFonts w:ascii="Times New Roman" w:hAnsi="Times New Roman"/>
          <w:noProof/>
          <w:sz w:val="24"/>
          <w:lang w:val="en-US"/>
        </w:rPr>
      </w:pPr>
      <w:r w:rsidRPr="00B81C4F">
        <w:rPr>
          <w:rFonts w:ascii="Times New Roman" w:hAnsi="Times New Roman"/>
          <w:noProof/>
          <w:sz w:val="24"/>
          <w:lang w:val="en-US"/>
        </w:rPr>
        <w:t>iii) jāveic konkurences novērtēšana, identificējot un pārskatot ierosinātos noteikumus, kas pārmērīgi ierobežo konkurenci.</w:t>
      </w:r>
    </w:p>
    <w:p w14:paraId="1CAC68EA"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p>
    <w:p w14:paraId="1D4193C1"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d) Tiem ir jārada atklāti, godīgi, nediskriminējoši un pārskatāmi konkurences apstākļi valsts iepirkuma procesos, lai nodrošinātu, ka nevienam uzņēmumam neatkarīgi no tā, kāda ir tā piederība, valstspiederība vai tiesiskais statuss, netiktu piešķirtas nepamatotas priekšrocības.</w:t>
      </w:r>
    </w:p>
    <w:p w14:paraId="77CE162C" w14:textId="77777777" w:rsidR="00B81C4F" w:rsidRPr="00B81C4F" w:rsidRDefault="00B81C4F" w:rsidP="00B81C4F">
      <w:pPr>
        <w:jc w:val="both"/>
        <w:rPr>
          <w:rFonts w:ascii="Times New Roman" w:hAnsi="Times New Roman" w:cs="Times New Roman"/>
          <w:noProof/>
          <w:sz w:val="24"/>
          <w:szCs w:val="24"/>
          <w:lang w:val="en-US"/>
        </w:rPr>
      </w:pPr>
    </w:p>
    <w:p w14:paraId="383585A1"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2. Jāsaglabā konkurences neitralitāte, izstrādājot pasākumus, kas var uzlabot uzņēmuma darbības rezultātus tirgū un kropļot konkurenci. Šajā nolūkā īstenotājiem ir jāīsteno turpmāk norādītie pasākumi.</w:t>
      </w:r>
    </w:p>
    <w:p w14:paraId="78543DD6" w14:textId="77777777" w:rsidR="00B81C4F" w:rsidRPr="00B81C4F" w:rsidRDefault="00B81C4F" w:rsidP="00B81C4F">
      <w:pPr>
        <w:jc w:val="both"/>
        <w:rPr>
          <w:rFonts w:ascii="Times New Roman" w:eastAsia="Arial" w:hAnsi="Times New Roman" w:cs="Times New Roman"/>
          <w:noProof/>
          <w:sz w:val="24"/>
          <w:szCs w:val="24"/>
          <w:lang w:val="en-US"/>
        </w:rPr>
      </w:pPr>
    </w:p>
    <w:p w14:paraId="52D53E77"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a) Tiem ir jāizvairās piedāvāt nepamatotas priekšrocības, kas kropļo konkurenci un dažiem uzņēmumiem selektīvi sniedz lielākas priekšrocības nekā citiem uzņēmumiem. Šādu priekšrocību piemēri ir aizdevumi, aizdevuma garantijas un valsts investīcijas kapitālā saskaņā ar tādiem nosacījumiem, kas neatbilst tirgus principiem, kā arī labvēlīgs nodokļu režīms, dotācijas un preces vai pakalpojumi, ko valdības nodrošina par izdevīgām cenām. Gadījumos, kad, lai sasniegtu primāro valsts politikas mērķi, ir nepieciešams noteikt izņēmumu, tam ir jābūt visiem skaidram un samērīgam, kā arī tas ir periodiski jāpārskata. Tiek atzīts, ka attiecībā uz valsts uzņēmumiem var tikt piemēroti stingrāki īpašie noteikumi, kas ierobežo valdības atbalsta sniegšanu šādām struktūrām.</w:t>
      </w:r>
    </w:p>
    <w:p w14:paraId="59CA41A8"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p>
    <w:p w14:paraId="3F45AF7C"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b) Tiem ir jāierobežo kompensācija par jebkurām sabiedrisko pakalpojumu sniegšanas saistībām, kas noteiktas uzņēmumam, tā, lai tā būtu atbilstoša un proporcionāla pakalpojumu vērtībai. Īstenotājiem jo īpaši ir:</w:t>
      </w:r>
    </w:p>
    <w:p w14:paraId="6F69FFA3"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p>
    <w:p w14:paraId="5080F704" w14:textId="77777777" w:rsidR="00B81C4F" w:rsidRPr="00B81C4F" w:rsidRDefault="00B81C4F" w:rsidP="00B81C4F">
      <w:pPr>
        <w:pStyle w:val="BodyText"/>
        <w:tabs>
          <w:tab w:val="left" w:pos="1870"/>
        </w:tabs>
        <w:ind w:left="284"/>
        <w:jc w:val="both"/>
        <w:rPr>
          <w:rFonts w:ascii="Times New Roman" w:hAnsi="Times New Roman"/>
          <w:noProof/>
          <w:sz w:val="24"/>
          <w:lang w:val="en-US"/>
        </w:rPr>
      </w:pPr>
      <w:r w:rsidRPr="00B81C4F">
        <w:rPr>
          <w:rFonts w:ascii="Times New Roman" w:hAnsi="Times New Roman"/>
          <w:noProof/>
          <w:sz w:val="24"/>
          <w:lang w:val="en-US"/>
        </w:rPr>
        <w:t>i) pārskatāmi un konkrēti jāidentificē jebkuras sabiedrisko pakalpojumu sniegšanas saistības, kas noteiktas uzņēmumam;</w:t>
      </w:r>
    </w:p>
    <w:p w14:paraId="7E913662" w14:textId="77777777" w:rsidR="00B81C4F" w:rsidRPr="00B81C4F" w:rsidRDefault="00B81C4F" w:rsidP="00B81C4F">
      <w:pPr>
        <w:pStyle w:val="BodyText"/>
        <w:tabs>
          <w:tab w:val="left" w:pos="1870"/>
        </w:tabs>
        <w:ind w:left="284"/>
        <w:jc w:val="both"/>
        <w:rPr>
          <w:rFonts w:ascii="Times New Roman" w:hAnsi="Times New Roman"/>
          <w:noProof/>
          <w:sz w:val="24"/>
          <w:lang w:val="en-US"/>
        </w:rPr>
      </w:pPr>
      <w:r w:rsidRPr="00B81C4F">
        <w:rPr>
          <w:rFonts w:ascii="Times New Roman" w:hAnsi="Times New Roman"/>
          <w:noProof/>
          <w:sz w:val="24"/>
          <w:lang w:val="en-US"/>
        </w:rPr>
        <w:t>ii) jānosaka augsti atklātības, kontu nošķiršanas un informācijas izpaušanas standarti uzņēmumiem, kuriem ir sabiedrisko pakalpojumu sniegšanas saistības,   attiecībā uz to izmaksu un ieņēmumu struktūrām, lai nodrošinātu, ka kompensācija, kas tiek izmaksāta uzņēmumiem par sabiedrisko pakalpojumu sniegšanas saistību izpildi, netiek izmantota, lai piešķirtu šķērssubsīdijas attiecībā uz preču vai pakalpojumu piedāvāšanu citā tirgū;</w:t>
      </w:r>
    </w:p>
    <w:p w14:paraId="23E036F4" w14:textId="77777777" w:rsidR="00B81C4F" w:rsidRPr="00B81C4F" w:rsidRDefault="00B81C4F" w:rsidP="00B81C4F">
      <w:pPr>
        <w:pStyle w:val="BodyText"/>
        <w:tabs>
          <w:tab w:val="left" w:pos="1870"/>
        </w:tabs>
        <w:ind w:left="284"/>
        <w:jc w:val="both"/>
        <w:rPr>
          <w:rFonts w:ascii="Times New Roman" w:hAnsi="Times New Roman"/>
          <w:noProof/>
          <w:sz w:val="24"/>
          <w:lang w:val="en-US"/>
        </w:rPr>
      </w:pPr>
      <w:r w:rsidRPr="00B81C4F">
        <w:rPr>
          <w:rFonts w:ascii="Times New Roman" w:hAnsi="Times New Roman"/>
          <w:noProof/>
          <w:sz w:val="24"/>
          <w:lang w:val="en-US"/>
        </w:rPr>
        <w:t>iii) jānosaka vai jānodrošina neatkarīga pārraudzība un uzraudzība, lai nodrošinātu, ka atlīdzība par sabiedrisko pakalpojumu sniegšanas saistību izpildi tiek aprēķināta, pamatojoties uz skaidriem mērķiem un uzdevumiem, kā arī pamatojoties uz izmaksām, kas ir faktiski radušās, tostarp kapitāla izmaksām.</w:t>
      </w:r>
    </w:p>
    <w:p w14:paraId="6BA8F11A"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p>
    <w:p w14:paraId="4B3650B4"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r w:rsidRPr="00B81C4F">
        <w:rPr>
          <w:rFonts w:ascii="Times New Roman" w:hAnsi="Times New Roman"/>
          <w:noProof/>
          <w:sz w:val="24"/>
          <w:lang w:val="en-US"/>
        </w:rPr>
        <w:t>c) Tiem ir jāpieņem valsts uzņēmumu struktūras un pārvaldības noteikumi, kas tiem nesniedz nepamatotas priekšrocības, kuras kropļo konkurenci. Īstenotājiem jo īpaši jācenšas panākt savas politikas atbilstību Padomes Ieteikumam attiecībā uz vadlīnijām par valsts uzņēmumu korporatīvo pārvaldību [</w:t>
      </w:r>
      <w:r w:rsidRPr="00B81C4F">
        <w:rPr>
          <w:rFonts w:ascii="Times New Roman" w:hAnsi="Times New Roman"/>
          <w:i/>
          <w:noProof/>
          <w:sz w:val="24"/>
          <w:lang w:val="en-US"/>
        </w:rPr>
        <w:t>OECD/LEGAL/0414</w:t>
      </w:r>
      <w:r w:rsidRPr="00B81C4F">
        <w:rPr>
          <w:rFonts w:ascii="Times New Roman" w:hAnsi="Times New Roman"/>
          <w:noProof/>
          <w:sz w:val="24"/>
          <w:lang w:val="en-US"/>
        </w:rPr>
        <w:t>] un Padomes Ieteikumam attiecībā uz strukturālo nodalīšanu reglamentētajās nozarēs [</w:t>
      </w:r>
      <w:r w:rsidRPr="00B81C4F">
        <w:rPr>
          <w:rFonts w:ascii="Times New Roman" w:hAnsi="Times New Roman"/>
          <w:i/>
          <w:noProof/>
          <w:sz w:val="24"/>
          <w:lang w:val="en-US"/>
        </w:rPr>
        <w:t>OECD/LEGAL/0310</w:t>
      </w:r>
      <w:r w:rsidRPr="00B81C4F">
        <w:rPr>
          <w:rFonts w:ascii="Times New Roman" w:hAnsi="Times New Roman"/>
          <w:noProof/>
          <w:sz w:val="24"/>
          <w:lang w:val="en-US"/>
        </w:rPr>
        <w:t>].</w:t>
      </w:r>
    </w:p>
    <w:p w14:paraId="7DC2F6B5" w14:textId="77777777" w:rsidR="00B81C4F" w:rsidRPr="00B81C4F" w:rsidRDefault="00B81C4F" w:rsidP="00B81C4F">
      <w:pPr>
        <w:jc w:val="both"/>
        <w:rPr>
          <w:rFonts w:ascii="Times New Roman" w:eastAsia="Arial" w:hAnsi="Times New Roman" w:cs="Times New Roman"/>
          <w:noProof/>
          <w:sz w:val="24"/>
          <w:szCs w:val="24"/>
          <w:lang w:val="en-US"/>
        </w:rPr>
      </w:pPr>
    </w:p>
    <w:p w14:paraId="3B7F7E7B"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3. Jāveic pasākumi, lai izveidotu piemērotus atbildības mehānismus, lai atbalstītu un uzraudzītu šajā rekomendācijā izklāstīto principu īstenošanu.</w:t>
      </w:r>
    </w:p>
    <w:p w14:paraId="252410EC" w14:textId="77777777" w:rsidR="00B81C4F" w:rsidRPr="00B81C4F" w:rsidRDefault="00B81C4F" w:rsidP="00B81C4F">
      <w:pPr>
        <w:jc w:val="both"/>
        <w:rPr>
          <w:rFonts w:ascii="Times New Roman" w:eastAsia="Arial" w:hAnsi="Times New Roman" w:cs="Times New Roman"/>
          <w:noProof/>
          <w:sz w:val="24"/>
          <w:szCs w:val="24"/>
          <w:lang w:val="en-US"/>
        </w:rPr>
      </w:pPr>
    </w:p>
    <w:p w14:paraId="73A9F836"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III. AICINA </w:t>
      </w:r>
      <w:r w:rsidRPr="00B81C4F">
        <w:rPr>
          <w:rFonts w:ascii="Times New Roman" w:hAnsi="Times New Roman"/>
          <w:noProof/>
          <w:sz w:val="24"/>
          <w:lang w:val="en-US"/>
        </w:rPr>
        <w:t>ģenerālsekretāru un īstenotājus izplatīt šo rekomendāciju, it īpaši regulatoru, plašākas konkurences uzraudzības iestāžu kopienas un citu attiecīgo politikas veidotāju vidū.</w:t>
      </w:r>
    </w:p>
    <w:p w14:paraId="5AA41E96" w14:textId="77777777" w:rsidR="00B81C4F" w:rsidRPr="00B81C4F" w:rsidRDefault="00B81C4F" w:rsidP="00B81C4F">
      <w:pPr>
        <w:jc w:val="both"/>
        <w:rPr>
          <w:rFonts w:ascii="Times New Roman" w:eastAsia="Arial" w:hAnsi="Times New Roman" w:cs="Times New Roman"/>
          <w:noProof/>
          <w:sz w:val="24"/>
          <w:szCs w:val="24"/>
          <w:lang w:val="en-US"/>
        </w:rPr>
      </w:pPr>
    </w:p>
    <w:p w14:paraId="65363AC7"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IV. AICINA </w:t>
      </w:r>
      <w:r w:rsidRPr="00B81C4F">
        <w:rPr>
          <w:rFonts w:ascii="Times New Roman" w:hAnsi="Times New Roman"/>
          <w:noProof/>
          <w:sz w:val="24"/>
          <w:lang w:val="en-US"/>
        </w:rPr>
        <w:t>valstis, kas nav īstenotāji, pienācīgi ņemt vērā un īstenot šo rekomendāciju.</w:t>
      </w:r>
    </w:p>
    <w:p w14:paraId="6C79DFC6" w14:textId="77777777" w:rsidR="00B81C4F" w:rsidRPr="00B81C4F" w:rsidRDefault="00B81C4F" w:rsidP="00B81C4F">
      <w:pPr>
        <w:jc w:val="both"/>
        <w:rPr>
          <w:rFonts w:ascii="Times New Roman" w:eastAsia="Arial" w:hAnsi="Times New Roman" w:cs="Times New Roman"/>
          <w:noProof/>
          <w:sz w:val="24"/>
          <w:szCs w:val="24"/>
          <w:lang w:val="en-US"/>
        </w:rPr>
      </w:pPr>
    </w:p>
    <w:p w14:paraId="1A8A95F5" w14:textId="77777777" w:rsidR="00B81C4F" w:rsidRPr="00B81C4F" w:rsidRDefault="00B81C4F" w:rsidP="00B81C4F">
      <w:pPr>
        <w:pStyle w:val="BodyText"/>
        <w:tabs>
          <w:tab w:val="left" w:pos="1303"/>
        </w:tabs>
        <w:ind w:left="0"/>
        <w:jc w:val="both"/>
        <w:rPr>
          <w:rFonts w:ascii="Times New Roman" w:hAnsi="Times New Roman" w:cs="Times New Roman"/>
          <w:noProof/>
          <w:sz w:val="24"/>
          <w:szCs w:val="24"/>
          <w:lang w:val="en-US"/>
        </w:rPr>
      </w:pPr>
      <w:r w:rsidRPr="00B81C4F">
        <w:rPr>
          <w:rFonts w:ascii="Times New Roman" w:hAnsi="Times New Roman"/>
          <w:b/>
          <w:noProof/>
          <w:sz w:val="24"/>
          <w:lang w:val="en-US"/>
        </w:rPr>
        <w:t xml:space="preserve">V. UZDOD </w:t>
      </w:r>
      <w:r w:rsidRPr="00B81C4F">
        <w:rPr>
          <w:rFonts w:ascii="Times New Roman" w:hAnsi="Times New Roman"/>
          <w:noProof/>
          <w:sz w:val="24"/>
          <w:lang w:val="en-US"/>
        </w:rPr>
        <w:t>Konkurences komitejai saziņā ar Korporatīvās pārvaldības komiteju:</w:t>
      </w:r>
    </w:p>
    <w:p w14:paraId="51A7A88D" w14:textId="77777777" w:rsidR="00B81C4F" w:rsidRPr="00B81C4F" w:rsidRDefault="00B81C4F" w:rsidP="00B81C4F">
      <w:pPr>
        <w:jc w:val="both"/>
        <w:rPr>
          <w:rFonts w:ascii="Times New Roman" w:eastAsia="Arial" w:hAnsi="Times New Roman" w:cs="Times New Roman"/>
          <w:noProof/>
          <w:sz w:val="24"/>
          <w:szCs w:val="24"/>
          <w:lang w:val="en-US"/>
        </w:rPr>
      </w:pPr>
    </w:p>
    <w:p w14:paraId="27FA0D2E"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a) izstrādāt metodisko līdzekli, lai palīdzētu īstenotājiem īstenot šo rekomendāciju;</w:t>
      </w:r>
    </w:p>
    <w:p w14:paraId="3ED85D07" w14:textId="77777777" w:rsidR="00B81C4F" w:rsidRPr="00B81C4F" w:rsidRDefault="00B81C4F" w:rsidP="00B81C4F">
      <w:pPr>
        <w:pStyle w:val="BodyText"/>
        <w:tabs>
          <w:tab w:val="left" w:pos="1303"/>
        </w:tabs>
        <w:ind w:left="0"/>
        <w:jc w:val="both"/>
        <w:rPr>
          <w:rFonts w:ascii="Times New Roman" w:hAnsi="Times New Roman"/>
          <w:noProof/>
          <w:sz w:val="24"/>
          <w:lang w:val="en-US"/>
        </w:rPr>
      </w:pPr>
    </w:p>
    <w:p w14:paraId="0D759BAE"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b) nodrošināt forumu pieredzes apmaiņai saistībā ar šo rekomendāciju;</w:t>
      </w:r>
    </w:p>
    <w:p w14:paraId="73E21649" w14:textId="77777777" w:rsidR="00B81C4F" w:rsidRPr="00B81C4F" w:rsidRDefault="00B81C4F" w:rsidP="00B81C4F">
      <w:pPr>
        <w:pStyle w:val="BodyText"/>
        <w:tabs>
          <w:tab w:val="left" w:pos="1303"/>
        </w:tabs>
        <w:ind w:left="0"/>
        <w:jc w:val="both"/>
        <w:rPr>
          <w:rFonts w:ascii="Times New Roman" w:hAnsi="Times New Roman"/>
          <w:noProof/>
          <w:sz w:val="24"/>
          <w:lang w:val="en-US"/>
        </w:rPr>
      </w:pPr>
    </w:p>
    <w:p w14:paraId="437DD193" w14:textId="77777777" w:rsidR="00B81C4F" w:rsidRPr="00B81C4F" w:rsidRDefault="00B81C4F" w:rsidP="00B81C4F">
      <w:pPr>
        <w:pStyle w:val="BodyText"/>
        <w:tabs>
          <w:tab w:val="left" w:pos="1303"/>
        </w:tabs>
        <w:ind w:left="0"/>
        <w:jc w:val="both"/>
        <w:rPr>
          <w:rFonts w:ascii="Times New Roman" w:hAnsi="Times New Roman"/>
          <w:noProof/>
          <w:sz w:val="24"/>
          <w:lang w:val="en-US"/>
        </w:rPr>
      </w:pPr>
      <w:r w:rsidRPr="00B81C4F">
        <w:rPr>
          <w:rFonts w:ascii="Times New Roman" w:hAnsi="Times New Roman"/>
          <w:noProof/>
          <w:sz w:val="24"/>
          <w:lang w:val="en-US"/>
        </w:rPr>
        <w:t>c) uzraudzīt šīs rekomendācijas īstenošanu un ziņot par to Padomei ne vēlāk kā pēc pieciem gadiem pēc tās pieņemšanas un pēc tam – ne retāk kā ik pēc desmit gadiem.</w:t>
      </w:r>
    </w:p>
    <w:p w14:paraId="4CDDD356" w14:textId="77777777" w:rsidR="00B81C4F" w:rsidRPr="00B81C4F" w:rsidRDefault="00B81C4F" w:rsidP="00B81C4F">
      <w:pPr>
        <w:rPr>
          <w:noProof/>
          <w:lang w:val="en-US"/>
        </w:rPr>
      </w:pPr>
      <w:r w:rsidRPr="00B81C4F">
        <w:rPr>
          <w:noProof/>
          <w:lang w:val="en-US"/>
        </w:rPr>
        <w:br w:type="page"/>
      </w:r>
    </w:p>
    <w:p w14:paraId="75016966" w14:textId="77777777" w:rsidR="00B81C4F" w:rsidRPr="00B81C4F" w:rsidRDefault="00B81C4F" w:rsidP="00B81C4F">
      <w:pPr>
        <w:jc w:val="both"/>
        <w:rPr>
          <w:rFonts w:ascii="Times New Roman" w:hAnsi="Times New Roman" w:cs="Times New Roman"/>
          <w:noProof/>
          <w:sz w:val="24"/>
          <w:szCs w:val="24"/>
          <w:lang w:val="en-US"/>
        </w:rPr>
      </w:pPr>
    </w:p>
    <w:p w14:paraId="5235621E" w14:textId="77777777" w:rsidR="00B81C4F" w:rsidRPr="00B81C4F" w:rsidRDefault="00B81C4F" w:rsidP="00B81C4F">
      <w:pPr>
        <w:pStyle w:val="Heading2"/>
        <w:spacing w:before="0"/>
        <w:ind w:left="0"/>
        <w:jc w:val="both"/>
        <w:rPr>
          <w:rFonts w:ascii="Times New Roman" w:hAnsi="Times New Roman"/>
          <w:noProof/>
          <w:color w:val="1F4679"/>
          <w:sz w:val="28"/>
          <w:lang w:val="en-US"/>
        </w:rPr>
      </w:pPr>
      <w:r w:rsidRPr="00B81C4F">
        <w:rPr>
          <w:rFonts w:ascii="Times New Roman" w:hAnsi="Times New Roman"/>
          <w:noProof/>
          <w:color w:val="1F4679"/>
          <w:sz w:val="28"/>
          <w:lang w:val="en-US"/>
        </w:rPr>
        <w:t>Par ESAO</w:t>
      </w:r>
      <w:bookmarkStart w:id="0" w:name="About_the_OECD"/>
      <w:bookmarkEnd w:id="0"/>
    </w:p>
    <w:p w14:paraId="650200AC" w14:textId="77777777" w:rsidR="00B81C4F" w:rsidRPr="00B81C4F" w:rsidRDefault="00B81C4F" w:rsidP="00B81C4F">
      <w:pPr>
        <w:jc w:val="both"/>
        <w:rPr>
          <w:rFonts w:ascii="Times New Roman" w:eastAsia="Arial" w:hAnsi="Times New Roman" w:cs="Times New Roman"/>
          <w:b/>
          <w:bCs/>
          <w:noProof/>
          <w:sz w:val="24"/>
          <w:szCs w:val="24"/>
          <w:lang w:val="en-US"/>
        </w:rPr>
      </w:pPr>
    </w:p>
    <w:p w14:paraId="18E0B648"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Ekonomiskās sadarbības un attīstības organizācija (ESAO) ir unikāls forums, kurā valstis kopīgi meklē risinājumus ekonomiskiem, sociāliem un vides izaicinājumiem, ko rada globalizācija. ESAO arī velta ļoti daudz pūļu tam, lai sekmētu izpratni par jaunām parādībām un problēmām, piemēram, par korporatīvo pārvaldību, informācijas ekonomiku un izaicinājumiem, ko rada iedzīvotāju novecošana, un lai palīdzētu valdībām reaģēt uz šīm pārmaiņām. Šī organizācija nodrošina vidi, kurā valstis var salīdzināt politikas jomā gūto pieredzi, risināt kopīgas problēmas, noteikt paraugprakses piemērus un strādāt, lai saskaņotu politiku valsts un starptautiskā līmenī.</w:t>
      </w:r>
    </w:p>
    <w:p w14:paraId="7FBD9BEE" w14:textId="77777777" w:rsidR="00B81C4F" w:rsidRPr="00B81C4F" w:rsidRDefault="00B81C4F" w:rsidP="00B81C4F">
      <w:pPr>
        <w:jc w:val="both"/>
        <w:rPr>
          <w:rFonts w:ascii="Times New Roman" w:eastAsia="Arial" w:hAnsi="Times New Roman" w:cs="Times New Roman"/>
          <w:noProof/>
          <w:sz w:val="24"/>
          <w:szCs w:val="24"/>
          <w:lang w:val="en-US"/>
        </w:rPr>
      </w:pPr>
    </w:p>
    <w:p w14:paraId="2813E702"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ESAO dalībvalstis ir: Amerikas Savienotās Valstis, Apvienotā Karaliste, Austrālija, Austrija, Beļģija, Čehijas Republika, Čīle, Dānija, Francija, Grieķija, Igaunija, Islande, Itālija, Izraēla, Īrija, Japāna, Jaunzēlande, Kanāda, Kolumbija, Koreja, Kostarika, Latvija, Lietuva, Luksemburga, Meksika, Nīderlande, Norvēģija, Polija, Portugāle, Slovākijas Republika, Slovēnija, Somija, Spānija, Šveice, Turcija, Ungārija, Vācija un Zviedrija. Eiropas Savienība piedalās ESAO darbā.</w:t>
      </w:r>
    </w:p>
    <w:p w14:paraId="1E9200C9" w14:textId="77777777" w:rsidR="00B81C4F" w:rsidRPr="00B81C4F" w:rsidRDefault="00B81C4F" w:rsidP="00B81C4F">
      <w:pPr>
        <w:jc w:val="both"/>
        <w:rPr>
          <w:rFonts w:ascii="Times New Roman" w:eastAsia="Arial" w:hAnsi="Times New Roman" w:cs="Times New Roman"/>
          <w:noProof/>
          <w:sz w:val="24"/>
          <w:szCs w:val="24"/>
          <w:lang w:val="en-US"/>
        </w:rPr>
      </w:pPr>
    </w:p>
    <w:p w14:paraId="6234D651" w14:textId="77777777" w:rsidR="00B81C4F" w:rsidRPr="00B81C4F" w:rsidRDefault="00B81C4F" w:rsidP="00B81C4F">
      <w:pPr>
        <w:pStyle w:val="Heading2"/>
        <w:spacing w:before="0"/>
        <w:ind w:left="0"/>
        <w:jc w:val="both"/>
        <w:rPr>
          <w:rFonts w:ascii="Times New Roman" w:hAnsi="Times New Roman"/>
          <w:noProof/>
          <w:color w:val="1F4679"/>
          <w:sz w:val="28"/>
          <w:lang w:val="en-US"/>
        </w:rPr>
      </w:pPr>
      <w:r w:rsidRPr="00B81C4F">
        <w:rPr>
          <w:rFonts w:ascii="Times New Roman" w:hAnsi="Times New Roman"/>
          <w:noProof/>
          <w:color w:val="1F4679"/>
          <w:sz w:val="28"/>
          <w:lang w:val="en-US"/>
        </w:rPr>
        <w:t>ESAO juridiskie instrumenti</w:t>
      </w:r>
      <w:bookmarkStart w:id="1" w:name="OECD_Legal_Instruments"/>
      <w:bookmarkEnd w:id="1"/>
    </w:p>
    <w:p w14:paraId="200EBD37" w14:textId="77777777" w:rsidR="00B81C4F" w:rsidRPr="00B81C4F" w:rsidRDefault="00B81C4F" w:rsidP="00B81C4F">
      <w:pPr>
        <w:jc w:val="both"/>
        <w:rPr>
          <w:rFonts w:ascii="Times New Roman" w:eastAsia="Arial" w:hAnsi="Times New Roman" w:cs="Times New Roman"/>
          <w:b/>
          <w:bCs/>
          <w:noProof/>
          <w:sz w:val="24"/>
          <w:szCs w:val="24"/>
          <w:lang w:val="en-US"/>
        </w:rPr>
      </w:pPr>
    </w:p>
    <w:p w14:paraId="707DAE03"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Kopš ESAO izveidošanas 1961. gadā tās ietvaros ir izstrādāti aptuveni 460 būtiski juridiskie instrumenti. Tie ir ESAO akti (t. i., lēmumi un rekomendācijas, ko saskaņā ar ESAO Konvenciju pieņēmusi ESAO Padome) un citi juridiskie instrumenti, kas izstrādāti ESAO ietvaros (piemēram, deklarācijas, starptautiskie nolīgumi).</w:t>
      </w:r>
    </w:p>
    <w:p w14:paraId="20898A6D" w14:textId="77777777" w:rsidR="00B81C4F" w:rsidRPr="00B81C4F" w:rsidRDefault="00B81C4F" w:rsidP="00B81C4F">
      <w:pPr>
        <w:jc w:val="both"/>
        <w:rPr>
          <w:rFonts w:ascii="Times New Roman" w:eastAsia="Arial" w:hAnsi="Times New Roman" w:cs="Times New Roman"/>
          <w:noProof/>
          <w:sz w:val="24"/>
          <w:szCs w:val="24"/>
          <w:lang w:val="en-US"/>
        </w:rPr>
      </w:pPr>
    </w:p>
    <w:p w14:paraId="57902946" w14:textId="77777777" w:rsidR="00B81C4F" w:rsidRPr="00B81C4F" w:rsidRDefault="00B81C4F" w:rsidP="00B81C4F">
      <w:pPr>
        <w:jc w:val="both"/>
        <w:rPr>
          <w:rFonts w:ascii="Times New Roman" w:hAnsi="Times New Roman"/>
          <w:noProof/>
          <w:sz w:val="24"/>
          <w:lang w:val="en-US"/>
        </w:rPr>
      </w:pPr>
      <w:r w:rsidRPr="00B81C4F">
        <w:rPr>
          <w:rFonts w:ascii="Times New Roman" w:hAnsi="Times New Roman"/>
          <w:noProof/>
          <w:sz w:val="24"/>
          <w:lang w:val="en-US"/>
        </w:rPr>
        <w:t>Visi būtiskie ESAO juridiskie instrumenti – gan spēkā esošie, gan atceltie – ir uzskaitīti ESAO juridisko instrumentu tiešsaistes krājumā. Tie tiek grupēti piecās kategorijās.</w:t>
      </w:r>
    </w:p>
    <w:p w14:paraId="508C4CAD" w14:textId="77777777" w:rsidR="00B81C4F" w:rsidRPr="00B81C4F" w:rsidRDefault="00B81C4F" w:rsidP="00B81C4F">
      <w:pPr>
        <w:jc w:val="both"/>
        <w:rPr>
          <w:rFonts w:ascii="Times New Roman" w:eastAsia="Arial" w:hAnsi="Times New Roman" w:cs="Times New Roman"/>
          <w:noProof/>
          <w:sz w:val="24"/>
          <w:szCs w:val="24"/>
          <w:lang w:val="en-US"/>
        </w:rPr>
      </w:pPr>
    </w:p>
    <w:p w14:paraId="3166786B" w14:textId="77777777" w:rsidR="00B81C4F" w:rsidRPr="00B81C4F" w:rsidRDefault="00B81C4F" w:rsidP="00B81C4F">
      <w:pPr>
        <w:numPr>
          <w:ilvl w:val="0"/>
          <w:numId w:val="1"/>
        </w:numPr>
        <w:tabs>
          <w:tab w:val="left" w:pos="851"/>
        </w:tabs>
        <w:ind w:left="284" w:firstLine="0"/>
        <w:jc w:val="both"/>
        <w:rPr>
          <w:rFonts w:ascii="Times New Roman" w:hAnsi="Times New Roman"/>
          <w:noProof/>
          <w:sz w:val="24"/>
          <w:lang w:val="en-US"/>
        </w:rPr>
      </w:pPr>
      <w:r w:rsidRPr="00B81C4F">
        <w:rPr>
          <w:rFonts w:ascii="Times New Roman" w:hAnsi="Times New Roman"/>
          <w:b/>
          <w:noProof/>
          <w:sz w:val="24"/>
          <w:lang w:val="en-US"/>
        </w:rPr>
        <w:t xml:space="preserve">Lēmumus </w:t>
      </w:r>
      <w:r w:rsidRPr="00B81C4F">
        <w:rPr>
          <w:rFonts w:ascii="Times New Roman" w:hAnsi="Times New Roman"/>
          <w:noProof/>
          <w:sz w:val="24"/>
          <w:lang w:val="en-US"/>
        </w:rPr>
        <w:t>pieņem Padome, un tie ir juridiski saistoši visām dalībvalstīm, izņemot tās, kas to pieņemšanas laikā ir atturējušās no balsošanas. Tajos noteiktas īpašas tiesības un pienākumi, un tajos var būt ietverti uzraudzības mehānismi.</w:t>
      </w:r>
    </w:p>
    <w:p w14:paraId="4326661B" w14:textId="77777777" w:rsidR="00B81C4F" w:rsidRPr="00B81C4F" w:rsidRDefault="00B81C4F" w:rsidP="00B81C4F">
      <w:pPr>
        <w:tabs>
          <w:tab w:val="left" w:pos="851"/>
        </w:tabs>
        <w:ind w:left="284"/>
        <w:jc w:val="both"/>
        <w:rPr>
          <w:rFonts w:ascii="Times New Roman" w:hAnsi="Times New Roman"/>
          <w:noProof/>
          <w:sz w:val="24"/>
          <w:lang w:val="en-US"/>
        </w:rPr>
      </w:pPr>
    </w:p>
    <w:p w14:paraId="3327ED5B" w14:textId="77777777" w:rsidR="00B81C4F" w:rsidRPr="00B81C4F" w:rsidRDefault="00B81C4F" w:rsidP="00B81C4F">
      <w:pPr>
        <w:numPr>
          <w:ilvl w:val="0"/>
          <w:numId w:val="1"/>
        </w:numPr>
        <w:tabs>
          <w:tab w:val="left" w:pos="851"/>
        </w:tabs>
        <w:ind w:left="284" w:firstLine="0"/>
        <w:jc w:val="both"/>
        <w:rPr>
          <w:rFonts w:ascii="Times New Roman" w:hAnsi="Times New Roman"/>
          <w:noProof/>
          <w:sz w:val="24"/>
          <w:lang w:val="en-US"/>
        </w:rPr>
      </w:pPr>
      <w:r w:rsidRPr="00B81C4F">
        <w:rPr>
          <w:rFonts w:ascii="Times New Roman" w:hAnsi="Times New Roman"/>
          <w:b/>
          <w:noProof/>
          <w:sz w:val="24"/>
          <w:lang w:val="en-US"/>
        </w:rPr>
        <w:t xml:space="preserve">Rekomendācijas </w:t>
      </w:r>
      <w:r w:rsidRPr="00B81C4F">
        <w:rPr>
          <w:rFonts w:ascii="Times New Roman" w:hAnsi="Times New Roman"/>
          <w:noProof/>
          <w:sz w:val="24"/>
          <w:lang w:val="en-US"/>
        </w:rPr>
        <w:t>pieņem Padome, un tās nav juridiski saistošas. Tajās atspoguļota politiska apņemšanās ievērot tajās ietvertos principus, un saskaņā ar tām tiek sagaidīts, ka īstenotāji darīs visu iespējamo, lai tos īstenotu.</w:t>
      </w:r>
    </w:p>
    <w:p w14:paraId="1DC983D8" w14:textId="77777777" w:rsidR="00B81C4F" w:rsidRPr="00B81C4F" w:rsidRDefault="00B81C4F" w:rsidP="00B81C4F">
      <w:pPr>
        <w:tabs>
          <w:tab w:val="left" w:pos="851"/>
        </w:tabs>
        <w:ind w:left="284"/>
        <w:jc w:val="both"/>
        <w:rPr>
          <w:rFonts w:ascii="Times New Roman" w:hAnsi="Times New Roman"/>
          <w:noProof/>
          <w:sz w:val="24"/>
          <w:lang w:val="en-US"/>
        </w:rPr>
      </w:pPr>
    </w:p>
    <w:p w14:paraId="56D3A965" w14:textId="77777777" w:rsidR="00B81C4F" w:rsidRPr="00B81C4F" w:rsidRDefault="00B81C4F" w:rsidP="00B81C4F">
      <w:pPr>
        <w:numPr>
          <w:ilvl w:val="0"/>
          <w:numId w:val="1"/>
        </w:numPr>
        <w:tabs>
          <w:tab w:val="left" w:pos="851"/>
        </w:tabs>
        <w:ind w:left="284" w:firstLine="0"/>
        <w:jc w:val="both"/>
        <w:rPr>
          <w:rFonts w:ascii="Times New Roman" w:hAnsi="Times New Roman"/>
          <w:noProof/>
          <w:sz w:val="24"/>
          <w:lang w:val="en-US"/>
        </w:rPr>
      </w:pPr>
      <w:r w:rsidRPr="00B81C4F">
        <w:rPr>
          <w:rFonts w:ascii="Times New Roman" w:hAnsi="Times New Roman"/>
          <w:b/>
          <w:noProof/>
          <w:sz w:val="24"/>
          <w:lang w:val="en-US"/>
        </w:rPr>
        <w:t xml:space="preserve">Būtiskus apkopojošos dokumentus </w:t>
      </w:r>
      <w:r w:rsidRPr="00B81C4F">
        <w:rPr>
          <w:rFonts w:ascii="Times New Roman" w:hAnsi="Times New Roman"/>
          <w:noProof/>
          <w:sz w:val="24"/>
          <w:lang w:val="en-US"/>
        </w:rPr>
        <w:t>pieņem atsevišķi sarakstā ietvertie īstenotāji, nevis ESAO institūcija, un tie ir pieņemti ministru līmeņa, augsta līmeņa vai cita veida sanāksmes rezultātā Organizācijas ietvaros. Parasti tajos noteikti vispārējie principi vai ilgtermiņa mērķi, un tie ir oficiāli.</w:t>
      </w:r>
    </w:p>
    <w:p w14:paraId="11165CD0" w14:textId="77777777" w:rsidR="00B81C4F" w:rsidRPr="00B81C4F" w:rsidRDefault="00B81C4F" w:rsidP="00B81C4F">
      <w:pPr>
        <w:tabs>
          <w:tab w:val="left" w:pos="851"/>
        </w:tabs>
        <w:ind w:left="284"/>
        <w:jc w:val="both"/>
        <w:rPr>
          <w:rFonts w:ascii="Times New Roman" w:hAnsi="Times New Roman"/>
          <w:noProof/>
          <w:sz w:val="24"/>
          <w:lang w:val="en-US"/>
        </w:rPr>
      </w:pPr>
    </w:p>
    <w:p w14:paraId="21F3583A" w14:textId="77777777" w:rsidR="00B81C4F" w:rsidRPr="00B81C4F" w:rsidRDefault="00B81C4F" w:rsidP="00B81C4F">
      <w:pPr>
        <w:numPr>
          <w:ilvl w:val="0"/>
          <w:numId w:val="1"/>
        </w:numPr>
        <w:tabs>
          <w:tab w:val="left" w:pos="851"/>
        </w:tabs>
        <w:ind w:left="284" w:firstLine="0"/>
        <w:jc w:val="both"/>
        <w:rPr>
          <w:rFonts w:ascii="Times New Roman" w:hAnsi="Times New Roman"/>
          <w:noProof/>
          <w:sz w:val="24"/>
          <w:lang w:val="en-US"/>
        </w:rPr>
      </w:pPr>
      <w:r w:rsidRPr="00B81C4F">
        <w:rPr>
          <w:rFonts w:ascii="Times New Roman" w:hAnsi="Times New Roman"/>
          <w:b/>
          <w:noProof/>
          <w:sz w:val="24"/>
          <w:lang w:val="en-US"/>
        </w:rPr>
        <w:t xml:space="preserve">Starptautiskie nolīgumi </w:t>
      </w:r>
      <w:r w:rsidRPr="00B81C4F">
        <w:rPr>
          <w:rFonts w:ascii="Times New Roman" w:hAnsi="Times New Roman"/>
          <w:noProof/>
          <w:sz w:val="24"/>
          <w:lang w:val="en-US"/>
        </w:rPr>
        <w:t>tiek apspriesti un noslēgti Organizācijas ietvaros. Tie pusēm ir juridiski saistoši.</w:t>
      </w:r>
    </w:p>
    <w:p w14:paraId="0F8C798C" w14:textId="77777777" w:rsidR="00B81C4F" w:rsidRPr="00B81C4F" w:rsidRDefault="00B81C4F" w:rsidP="00B81C4F">
      <w:pPr>
        <w:tabs>
          <w:tab w:val="left" w:pos="851"/>
        </w:tabs>
        <w:ind w:left="284"/>
        <w:jc w:val="both"/>
        <w:rPr>
          <w:rFonts w:ascii="Times New Roman" w:hAnsi="Times New Roman"/>
          <w:noProof/>
          <w:sz w:val="24"/>
          <w:lang w:val="en-US"/>
        </w:rPr>
      </w:pPr>
    </w:p>
    <w:p w14:paraId="1B1FA67C" w14:textId="77777777" w:rsidR="00B81C4F" w:rsidRPr="00B81C4F" w:rsidRDefault="00B81C4F" w:rsidP="00B81C4F">
      <w:pPr>
        <w:numPr>
          <w:ilvl w:val="0"/>
          <w:numId w:val="1"/>
        </w:numPr>
        <w:tabs>
          <w:tab w:val="left" w:pos="851"/>
        </w:tabs>
        <w:ind w:left="284" w:firstLine="0"/>
        <w:jc w:val="both"/>
        <w:rPr>
          <w:rFonts w:ascii="Times New Roman" w:eastAsia="Arial" w:hAnsi="Times New Roman" w:cs="Times New Roman"/>
          <w:noProof/>
          <w:sz w:val="24"/>
          <w:szCs w:val="24"/>
          <w:lang w:val="en-US"/>
        </w:rPr>
      </w:pPr>
      <w:r w:rsidRPr="00B81C4F">
        <w:rPr>
          <w:rFonts w:ascii="Times New Roman" w:hAnsi="Times New Roman"/>
          <w:b/>
          <w:noProof/>
          <w:sz w:val="24"/>
          <w:lang w:val="en-US"/>
        </w:rPr>
        <w:t>Vienošanās, saprašanās un citi instrumenti</w:t>
      </w:r>
      <w:r w:rsidRPr="00B81C4F">
        <w:rPr>
          <w:rFonts w:ascii="Times New Roman" w:hAnsi="Times New Roman"/>
          <w:noProof/>
          <w:sz w:val="24"/>
          <w:lang w:val="en-US"/>
        </w:rPr>
        <w:t>. Laika gaitā ESAO ietvaros ir izstrādāti vairāki būtiski citu veidu juridiskie instrumenti, piemēram, Vienošanās par oficiāli atbalstītiem eksporta kredītiem, Starptautiskā saprašanās par jūras transporta principiem un Attīstības palīdzības komitejas (</w:t>
      </w:r>
      <w:r w:rsidRPr="00B81C4F">
        <w:rPr>
          <w:rFonts w:ascii="Times New Roman" w:hAnsi="Times New Roman"/>
          <w:i/>
          <w:iCs/>
          <w:noProof/>
          <w:sz w:val="24"/>
          <w:lang w:val="en-US"/>
        </w:rPr>
        <w:t>DAC</w:t>
      </w:r>
      <w:r w:rsidRPr="00B81C4F">
        <w:rPr>
          <w:rFonts w:ascii="Times New Roman" w:hAnsi="Times New Roman"/>
          <w:noProof/>
          <w:sz w:val="24"/>
          <w:lang w:val="en-US"/>
        </w:rPr>
        <w:t>) rekomendācijas.</w:t>
      </w:r>
    </w:p>
    <w:sectPr w:rsidR="00B81C4F" w:rsidRPr="00B81C4F" w:rsidSect="005D1FC8">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B3B48" w14:textId="77777777" w:rsidR="00FC0726" w:rsidRPr="00B81C4F" w:rsidRDefault="00FC0726">
      <w:pPr>
        <w:rPr>
          <w:noProof/>
          <w:lang w:val="en-US"/>
        </w:rPr>
      </w:pPr>
      <w:r w:rsidRPr="00B81C4F">
        <w:rPr>
          <w:noProof/>
          <w:lang w:val="en-US"/>
        </w:rPr>
        <w:separator/>
      </w:r>
    </w:p>
  </w:endnote>
  <w:endnote w:type="continuationSeparator" w:id="0">
    <w:p w14:paraId="3BD04EE4" w14:textId="77777777" w:rsidR="00FC0726" w:rsidRPr="00B81C4F" w:rsidRDefault="00FC0726">
      <w:pPr>
        <w:rPr>
          <w:noProof/>
          <w:lang w:val="en-US"/>
        </w:rPr>
      </w:pPr>
      <w:r w:rsidRPr="00B81C4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5391" w14:textId="77777777" w:rsidR="00B81C4F" w:rsidRDefault="00B8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8E92" w14:textId="77777777" w:rsidR="00352BCD" w:rsidRPr="00B81C4F" w:rsidRDefault="00352BCD" w:rsidP="00352BCD">
    <w:pPr>
      <w:pStyle w:val="Header"/>
      <w:tabs>
        <w:tab w:val="left" w:pos="9072"/>
      </w:tabs>
      <w:jc w:val="both"/>
      <w:rPr>
        <w:rStyle w:val="PageNumber"/>
        <w:rFonts w:ascii="Times New Roman" w:hAnsi="Times New Roman" w:cs="Times New Roman"/>
        <w:noProof/>
        <w:sz w:val="20"/>
        <w:szCs w:val="20"/>
        <w:lang w:val="en-US"/>
      </w:rPr>
    </w:pPr>
  </w:p>
  <w:p w14:paraId="4B374530" w14:textId="77777777" w:rsidR="00352BCD" w:rsidRPr="00B81C4F" w:rsidRDefault="00352BCD" w:rsidP="00352BCD">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B81C4F">
      <w:rPr>
        <w:rFonts w:ascii="Times New Roman" w:hAnsi="Times New Roman" w:cs="Times New Roman"/>
        <w:noProof/>
        <w:sz w:val="20"/>
        <w:szCs w:val="20"/>
        <w:lang w:val="en-US"/>
      </w:rPr>
      <w:tab/>
    </w:r>
  </w:p>
  <w:p w14:paraId="22662D96" w14:textId="77777777" w:rsidR="00352BCD" w:rsidRPr="00B81C4F" w:rsidRDefault="00352BCD" w:rsidP="00352BCD">
    <w:pPr>
      <w:pStyle w:val="Header"/>
      <w:tabs>
        <w:tab w:val="right" w:pos="9072"/>
      </w:tabs>
      <w:jc w:val="both"/>
      <w:rPr>
        <w:rStyle w:val="PageNumber"/>
        <w:rFonts w:ascii="Times New Roman" w:hAnsi="Times New Roman" w:cs="Times New Roman"/>
        <w:noProof/>
        <w:sz w:val="20"/>
        <w:szCs w:val="20"/>
        <w:lang w:val="en-US"/>
      </w:rPr>
    </w:pPr>
  </w:p>
  <w:p w14:paraId="44EFA397" w14:textId="77777777" w:rsidR="00352BCD" w:rsidRPr="00B81C4F" w:rsidRDefault="00352BCD" w:rsidP="00352BCD">
    <w:pPr>
      <w:pStyle w:val="Footer"/>
      <w:tabs>
        <w:tab w:val="clear" w:pos="4513"/>
        <w:tab w:val="clear" w:pos="9026"/>
        <w:tab w:val="center" w:pos="9072"/>
      </w:tabs>
      <w:jc w:val="both"/>
      <w:rPr>
        <w:rFonts w:ascii="Times New Roman" w:hAnsi="Times New Roman" w:cs="Times New Roman"/>
        <w:noProof/>
        <w:sz w:val="20"/>
        <w:szCs w:val="20"/>
        <w:lang w:val="en-US"/>
      </w:rPr>
    </w:pPr>
    <w:r w:rsidRPr="00B81C4F">
      <w:rPr>
        <w:rFonts w:ascii="Times New Roman" w:hAnsi="Times New Roman" w:cs="Times New Roman"/>
        <w:noProof/>
        <w:sz w:val="20"/>
        <w:szCs w:val="20"/>
        <w:lang w:val="en-US"/>
      </w:rPr>
      <w:t xml:space="preserve">Tulkojums </w:t>
    </w:r>
    <w:r w:rsidRPr="00B81C4F">
      <w:rPr>
        <w:rFonts w:ascii="Times New Roman" w:hAnsi="Times New Roman" w:cs="Times New Roman"/>
        <w:noProof/>
        <w:sz w:val="20"/>
        <w:szCs w:val="20"/>
        <w:lang w:val="en-US"/>
      </w:rPr>
      <w:fldChar w:fldCharType="begin"/>
    </w:r>
    <w:r w:rsidRPr="00B81C4F">
      <w:rPr>
        <w:rFonts w:ascii="Times New Roman" w:hAnsi="Times New Roman" w:cs="Times New Roman"/>
        <w:noProof/>
        <w:sz w:val="20"/>
        <w:szCs w:val="20"/>
        <w:lang w:val="en-US"/>
      </w:rPr>
      <w:instrText>symbol 211 \f "Symbol" \s 9</w:instrText>
    </w:r>
    <w:r w:rsidRPr="00B81C4F">
      <w:rPr>
        <w:rFonts w:ascii="Times New Roman" w:hAnsi="Times New Roman" w:cs="Times New Roman"/>
        <w:noProof/>
        <w:sz w:val="20"/>
        <w:szCs w:val="20"/>
        <w:lang w:val="en-US"/>
      </w:rPr>
      <w:fldChar w:fldCharType="separate"/>
    </w:r>
    <w:r w:rsidRPr="00B81C4F">
      <w:rPr>
        <w:rFonts w:ascii="Times New Roman" w:hAnsi="Times New Roman" w:cs="Times New Roman"/>
        <w:noProof/>
        <w:sz w:val="20"/>
        <w:szCs w:val="20"/>
        <w:lang w:val="en-US"/>
      </w:rPr>
      <w:t>Ó</w:t>
    </w:r>
    <w:r w:rsidRPr="00B81C4F">
      <w:rPr>
        <w:rFonts w:ascii="Times New Roman" w:hAnsi="Times New Roman" w:cs="Times New Roman"/>
        <w:noProof/>
        <w:sz w:val="20"/>
        <w:szCs w:val="20"/>
        <w:lang w:val="en-US"/>
      </w:rPr>
      <w:fldChar w:fldCharType="end"/>
    </w:r>
    <w:r w:rsidRPr="00B81C4F">
      <w:rPr>
        <w:rFonts w:ascii="Times New Roman" w:hAnsi="Times New Roman" w:cs="Times New Roman"/>
        <w:noProof/>
        <w:sz w:val="20"/>
        <w:szCs w:val="20"/>
        <w:lang w:val="en-US"/>
      </w:rPr>
      <w:t xml:space="preserve"> Valsts valodas centrs, 2022</w:t>
    </w:r>
    <w:r w:rsidRPr="00B81C4F">
      <w:rPr>
        <w:rFonts w:ascii="Times New Roman" w:hAnsi="Times New Roman" w:cs="Times New Roman"/>
        <w:noProof/>
        <w:sz w:val="20"/>
        <w:szCs w:val="20"/>
        <w:lang w:val="en-US"/>
      </w:rPr>
      <w:tab/>
    </w:r>
    <w:r w:rsidRPr="00B81C4F">
      <w:rPr>
        <w:rStyle w:val="PageNumber"/>
        <w:rFonts w:ascii="Times New Roman" w:hAnsi="Times New Roman" w:cs="Times New Roman"/>
        <w:noProof/>
        <w:sz w:val="20"/>
        <w:szCs w:val="20"/>
        <w:lang w:val="en-US"/>
      </w:rPr>
      <w:fldChar w:fldCharType="begin"/>
    </w:r>
    <w:r w:rsidRPr="00B81C4F">
      <w:rPr>
        <w:rStyle w:val="PageNumber"/>
        <w:rFonts w:ascii="Times New Roman" w:hAnsi="Times New Roman" w:cs="Times New Roman"/>
        <w:noProof/>
        <w:sz w:val="20"/>
        <w:szCs w:val="20"/>
        <w:lang w:val="en-US"/>
      </w:rPr>
      <w:instrText xml:space="preserve">page </w:instrText>
    </w:r>
    <w:r w:rsidRPr="00B81C4F">
      <w:rPr>
        <w:rStyle w:val="PageNumber"/>
        <w:rFonts w:ascii="Times New Roman" w:hAnsi="Times New Roman" w:cs="Times New Roman"/>
        <w:noProof/>
        <w:sz w:val="20"/>
        <w:szCs w:val="20"/>
        <w:lang w:val="en-US"/>
      </w:rPr>
      <w:fldChar w:fldCharType="separate"/>
    </w:r>
    <w:r w:rsidRPr="00B81C4F">
      <w:rPr>
        <w:rStyle w:val="PageNumber"/>
        <w:rFonts w:ascii="Times New Roman" w:hAnsi="Times New Roman" w:cs="Times New Roman"/>
        <w:noProof/>
        <w:sz w:val="20"/>
        <w:szCs w:val="20"/>
        <w:lang w:val="en-US"/>
      </w:rPr>
      <w:t>2</w:t>
    </w:r>
    <w:r w:rsidRPr="00B81C4F">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BF48" w14:textId="77777777" w:rsidR="006A7A50" w:rsidRPr="00B81C4F" w:rsidRDefault="006A7A50" w:rsidP="006A7A50">
    <w:pPr>
      <w:pStyle w:val="Header"/>
      <w:tabs>
        <w:tab w:val="left" w:pos="9072"/>
      </w:tabs>
      <w:jc w:val="both"/>
      <w:rPr>
        <w:rStyle w:val="PageNumber"/>
        <w:rFonts w:ascii="Times New Roman" w:hAnsi="Times New Roman"/>
        <w:noProof/>
        <w:sz w:val="20"/>
        <w:szCs w:val="18"/>
        <w:lang w:val="en-US"/>
      </w:rPr>
    </w:pPr>
    <w:bookmarkStart w:id="16" w:name="_Hlk496261764"/>
    <w:bookmarkStart w:id="17" w:name="_Hlk496261765"/>
    <w:bookmarkStart w:id="18" w:name="_Hlk496261766"/>
    <w:bookmarkStart w:id="19" w:name="_Hlk30491075"/>
    <w:bookmarkStart w:id="20" w:name="_Hlk30491076"/>
  </w:p>
  <w:p w14:paraId="56D9EBDF" w14:textId="77777777" w:rsidR="006A7A50" w:rsidRPr="00B81C4F" w:rsidRDefault="006A7A50" w:rsidP="006A7A50">
    <w:pPr>
      <w:pStyle w:val="Header"/>
      <w:tabs>
        <w:tab w:val="clear" w:pos="4513"/>
        <w:tab w:val="clear" w:pos="9026"/>
        <w:tab w:val="left" w:leader="underscore" w:pos="9072"/>
      </w:tabs>
      <w:jc w:val="both"/>
      <w:rPr>
        <w:rFonts w:ascii="Times New Roman" w:hAnsi="Times New Roman"/>
        <w:noProof/>
        <w:sz w:val="20"/>
        <w:szCs w:val="18"/>
        <w:lang w:val="en-US"/>
      </w:rPr>
    </w:pPr>
    <w:r w:rsidRPr="00B81C4F">
      <w:rPr>
        <w:rFonts w:ascii="Times New Roman" w:hAnsi="Times New Roman"/>
        <w:noProof/>
        <w:sz w:val="20"/>
        <w:szCs w:val="18"/>
        <w:lang w:val="en-US"/>
      </w:rPr>
      <w:tab/>
    </w:r>
  </w:p>
  <w:p w14:paraId="013AA521" w14:textId="77777777" w:rsidR="006A7A50" w:rsidRPr="00B81C4F" w:rsidRDefault="006A7A50" w:rsidP="006A7A50">
    <w:pPr>
      <w:pStyle w:val="Header"/>
      <w:tabs>
        <w:tab w:val="left" w:pos="9072"/>
      </w:tabs>
      <w:jc w:val="both"/>
      <w:rPr>
        <w:rStyle w:val="PageNumber"/>
        <w:rFonts w:ascii="Times New Roman" w:hAnsi="Times New Roman"/>
        <w:noProof/>
        <w:sz w:val="20"/>
        <w:szCs w:val="18"/>
        <w:lang w:val="en-US"/>
      </w:rPr>
    </w:pPr>
  </w:p>
  <w:p w14:paraId="41DD91AB" w14:textId="77777777" w:rsidR="006A7A50" w:rsidRPr="00B81C4F" w:rsidRDefault="006A7A50" w:rsidP="006A7A50">
    <w:pPr>
      <w:pStyle w:val="Footer"/>
      <w:jc w:val="both"/>
      <w:rPr>
        <w:rFonts w:ascii="Times New Roman" w:hAnsi="Times New Roman"/>
        <w:noProof/>
        <w:sz w:val="20"/>
        <w:szCs w:val="18"/>
        <w:lang w:val="en-US"/>
      </w:rPr>
    </w:pPr>
    <w:r w:rsidRPr="00B81C4F">
      <w:rPr>
        <w:rFonts w:ascii="Times New Roman" w:hAnsi="Times New Roman"/>
        <w:noProof/>
        <w:sz w:val="20"/>
        <w:szCs w:val="18"/>
        <w:lang w:val="en-US"/>
      </w:rPr>
      <w:t xml:space="preserve">Tulkojums </w:t>
    </w:r>
    <w:r w:rsidRPr="00B81C4F">
      <w:rPr>
        <w:rFonts w:ascii="Times New Roman" w:hAnsi="Times New Roman"/>
        <w:noProof/>
        <w:sz w:val="20"/>
        <w:szCs w:val="18"/>
        <w:lang w:val="en-US"/>
      </w:rPr>
      <w:fldChar w:fldCharType="begin"/>
    </w:r>
    <w:r w:rsidRPr="00B81C4F">
      <w:rPr>
        <w:rFonts w:ascii="Times New Roman" w:hAnsi="Times New Roman"/>
        <w:noProof/>
        <w:sz w:val="20"/>
        <w:szCs w:val="18"/>
        <w:lang w:val="en-US"/>
      </w:rPr>
      <w:instrText>symbol 211 \f "Symbol" \s 9</w:instrText>
    </w:r>
    <w:r w:rsidRPr="00B81C4F">
      <w:rPr>
        <w:rFonts w:ascii="Times New Roman" w:hAnsi="Times New Roman"/>
        <w:noProof/>
        <w:sz w:val="20"/>
        <w:szCs w:val="18"/>
        <w:lang w:val="en-US"/>
      </w:rPr>
      <w:fldChar w:fldCharType="separate"/>
    </w:r>
    <w:r w:rsidRPr="00B81C4F">
      <w:rPr>
        <w:rFonts w:ascii="Times New Roman" w:hAnsi="Times New Roman"/>
        <w:noProof/>
        <w:sz w:val="20"/>
        <w:szCs w:val="18"/>
        <w:lang w:val="en-US"/>
      </w:rPr>
      <w:t>Ó</w:t>
    </w:r>
    <w:r w:rsidRPr="00B81C4F">
      <w:rPr>
        <w:rFonts w:ascii="Times New Roman" w:hAnsi="Times New Roman"/>
        <w:noProof/>
        <w:sz w:val="20"/>
        <w:szCs w:val="18"/>
        <w:lang w:val="en-US"/>
      </w:rPr>
      <w:fldChar w:fldCharType="end"/>
    </w:r>
    <w:r w:rsidRPr="00B81C4F">
      <w:rPr>
        <w:rFonts w:ascii="Times New Roman" w:hAnsi="Times New Roman"/>
        <w:noProof/>
        <w:sz w:val="20"/>
        <w:szCs w:val="18"/>
        <w:lang w:val="en-US"/>
      </w:rPr>
      <w:t xml:space="preserve"> Valsts valodas centrs, 20</w:t>
    </w:r>
    <w:bookmarkEnd w:id="16"/>
    <w:bookmarkEnd w:id="17"/>
    <w:bookmarkEnd w:id="18"/>
    <w:r w:rsidRPr="00B81C4F">
      <w:rPr>
        <w:rFonts w:ascii="Times New Roman" w:hAnsi="Times New Roman"/>
        <w:noProof/>
        <w:sz w:val="20"/>
        <w:szCs w:val="18"/>
        <w:lang w:val="en-US"/>
      </w:rPr>
      <w:t>2</w:t>
    </w:r>
    <w:bookmarkEnd w:id="19"/>
    <w:bookmarkEnd w:id="20"/>
    <w:r w:rsidRPr="00B81C4F">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40DF" w14:textId="77777777" w:rsidR="00FC0726" w:rsidRPr="00B81C4F" w:rsidRDefault="00FC0726">
      <w:pPr>
        <w:rPr>
          <w:noProof/>
          <w:lang w:val="en-US"/>
        </w:rPr>
      </w:pPr>
      <w:r w:rsidRPr="00B81C4F">
        <w:rPr>
          <w:noProof/>
          <w:lang w:val="en-US"/>
        </w:rPr>
        <w:separator/>
      </w:r>
    </w:p>
  </w:footnote>
  <w:footnote w:type="continuationSeparator" w:id="0">
    <w:p w14:paraId="2F75D6AD" w14:textId="77777777" w:rsidR="00FC0726" w:rsidRPr="00B81C4F" w:rsidRDefault="00FC0726">
      <w:pPr>
        <w:rPr>
          <w:noProof/>
          <w:lang w:val="en-US"/>
        </w:rPr>
      </w:pPr>
      <w:r w:rsidRPr="00B81C4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9A33" w14:textId="77777777" w:rsidR="001B7A13" w:rsidRPr="0037020F" w:rsidRDefault="001B7A13">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6B64" w14:textId="77777777" w:rsidR="007D4882" w:rsidRPr="00B81C4F" w:rsidRDefault="007D4882" w:rsidP="007D4882">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4022C6C7" w14:textId="77777777" w:rsidR="007D4882" w:rsidRPr="00B81C4F" w:rsidRDefault="007D4882" w:rsidP="007D4882">
    <w:pPr>
      <w:pStyle w:val="Header"/>
      <w:tabs>
        <w:tab w:val="clear" w:pos="4513"/>
        <w:tab w:val="clear" w:pos="9026"/>
        <w:tab w:val="right" w:leader="underscore" w:pos="9072"/>
      </w:tabs>
      <w:rPr>
        <w:rFonts w:ascii="Times New Roman" w:hAnsi="Times New Roman" w:cs="Times New Roman"/>
        <w:noProof/>
        <w:sz w:val="20"/>
        <w:szCs w:val="20"/>
        <w:lang w:val="en-US"/>
      </w:rPr>
    </w:pPr>
    <w:r w:rsidRPr="00B81C4F">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p w14:paraId="113085E8" w14:textId="77777777" w:rsidR="007D4882" w:rsidRPr="00B81C4F" w:rsidRDefault="007D4882" w:rsidP="007D4882">
    <w:pPr>
      <w:pStyle w:val="Header"/>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B382" w14:textId="77777777" w:rsidR="00DB206F" w:rsidRPr="00B81C4F" w:rsidRDefault="00DB206F" w:rsidP="00DB206F">
    <w:pPr>
      <w:pBdr>
        <w:bottom w:val="single" w:sz="12" w:space="5" w:color="auto"/>
      </w:pBdr>
      <w:rPr>
        <w:rFonts w:ascii="Times New Roman" w:hAnsi="Times New Roman" w:cs="Times New Roman"/>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49073C72" w14:textId="77777777" w:rsidR="00DB206F" w:rsidRPr="00B81C4F" w:rsidRDefault="00DB206F" w:rsidP="00DB206F">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6DD"/>
    <w:multiLevelType w:val="hybridMultilevel"/>
    <w:tmpl w:val="DBE0E3BE"/>
    <w:lvl w:ilvl="0" w:tplc="A300E85A">
      <w:start w:val="1"/>
      <w:numFmt w:val="bullet"/>
      <w:lvlText w:val=""/>
      <w:lvlJc w:val="left"/>
      <w:pPr>
        <w:ind w:left="852" w:hanging="711"/>
      </w:pPr>
      <w:rPr>
        <w:rFonts w:ascii="Symbol" w:eastAsia="Symbol" w:hAnsi="Symbol" w:hint="default"/>
        <w:w w:val="95"/>
        <w:sz w:val="20"/>
        <w:szCs w:val="20"/>
      </w:rPr>
    </w:lvl>
    <w:lvl w:ilvl="1" w:tplc="5D18FF56">
      <w:start w:val="1"/>
      <w:numFmt w:val="bullet"/>
      <w:lvlText w:val="•"/>
      <w:lvlJc w:val="left"/>
      <w:pPr>
        <w:ind w:left="1705" w:hanging="711"/>
      </w:pPr>
      <w:rPr>
        <w:rFonts w:hint="default"/>
      </w:rPr>
    </w:lvl>
    <w:lvl w:ilvl="2" w:tplc="3DB2201A">
      <w:start w:val="1"/>
      <w:numFmt w:val="bullet"/>
      <w:lvlText w:val="•"/>
      <w:lvlJc w:val="left"/>
      <w:pPr>
        <w:ind w:left="2558" w:hanging="711"/>
      </w:pPr>
      <w:rPr>
        <w:rFonts w:hint="default"/>
      </w:rPr>
    </w:lvl>
    <w:lvl w:ilvl="3" w:tplc="E018A3CC">
      <w:start w:val="1"/>
      <w:numFmt w:val="bullet"/>
      <w:lvlText w:val="•"/>
      <w:lvlJc w:val="left"/>
      <w:pPr>
        <w:ind w:left="3410" w:hanging="711"/>
      </w:pPr>
      <w:rPr>
        <w:rFonts w:hint="default"/>
      </w:rPr>
    </w:lvl>
    <w:lvl w:ilvl="4" w:tplc="4446B2D6">
      <w:start w:val="1"/>
      <w:numFmt w:val="bullet"/>
      <w:lvlText w:val="•"/>
      <w:lvlJc w:val="left"/>
      <w:pPr>
        <w:ind w:left="4263" w:hanging="711"/>
      </w:pPr>
      <w:rPr>
        <w:rFonts w:hint="default"/>
      </w:rPr>
    </w:lvl>
    <w:lvl w:ilvl="5" w:tplc="349A5D66">
      <w:start w:val="1"/>
      <w:numFmt w:val="bullet"/>
      <w:lvlText w:val="•"/>
      <w:lvlJc w:val="left"/>
      <w:pPr>
        <w:ind w:left="5116" w:hanging="711"/>
      </w:pPr>
      <w:rPr>
        <w:rFonts w:hint="default"/>
      </w:rPr>
    </w:lvl>
    <w:lvl w:ilvl="6" w:tplc="6832B686">
      <w:start w:val="1"/>
      <w:numFmt w:val="bullet"/>
      <w:lvlText w:val="•"/>
      <w:lvlJc w:val="left"/>
      <w:pPr>
        <w:ind w:left="5969" w:hanging="711"/>
      </w:pPr>
      <w:rPr>
        <w:rFonts w:hint="default"/>
      </w:rPr>
    </w:lvl>
    <w:lvl w:ilvl="7" w:tplc="C852A1FC">
      <w:start w:val="1"/>
      <w:numFmt w:val="bullet"/>
      <w:lvlText w:val="•"/>
      <w:lvlJc w:val="left"/>
      <w:pPr>
        <w:ind w:left="6821" w:hanging="711"/>
      </w:pPr>
      <w:rPr>
        <w:rFonts w:hint="default"/>
      </w:rPr>
    </w:lvl>
    <w:lvl w:ilvl="8" w:tplc="AA02A300">
      <w:start w:val="1"/>
      <w:numFmt w:val="bullet"/>
      <w:lvlText w:val="•"/>
      <w:lvlJc w:val="left"/>
      <w:pPr>
        <w:ind w:left="7674" w:hanging="711"/>
      </w:pPr>
      <w:rPr>
        <w:rFonts w:hint="default"/>
      </w:rPr>
    </w:lvl>
  </w:abstractNum>
  <w:abstractNum w:abstractNumId="1" w15:restartNumberingAfterBreak="0">
    <w:nsid w:val="378064F4"/>
    <w:multiLevelType w:val="hybridMultilevel"/>
    <w:tmpl w:val="3C2A7C7C"/>
    <w:lvl w:ilvl="0" w:tplc="452AED34">
      <w:start w:val="1"/>
      <w:numFmt w:val="upperRoman"/>
      <w:lvlText w:val="%1."/>
      <w:lvlJc w:val="left"/>
      <w:pPr>
        <w:ind w:left="450" w:hanging="853"/>
      </w:pPr>
      <w:rPr>
        <w:rFonts w:ascii="Arial" w:eastAsia="Arial" w:hAnsi="Arial" w:hint="default"/>
        <w:b/>
        <w:bCs/>
        <w:spacing w:val="1"/>
        <w:sz w:val="22"/>
        <w:szCs w:val="22"/>
      </w:rPr>
    </w:lvl>
    <w:lvl w:ilvl="1" w:tplc="65086AA6">
      <w:start w:val="1"/>
      <w:numFmt w:val="bullet"/>
      <w:lvlText w:val="●"/>
      <w:lvlJc w:val="left"/>
      <w:pPr>
        <w:ind w:left="1302" w:hanging="569"/>
      </w:pPr>
      <w:rPr>
        <w:rFonts w:ascii="Calibri" w:eastAsia="Calibri" w:hAnsi="Calibri" w:hint="default"/>
        <w:sz w:val="22"/>
        <w:szCs w:val="22"/>
      </w:rPr>
    </w:lvl>
    <w:lvl w:ilvl="2" w:tplc="F77A995A">
      <w:start w:val="1"/>
      <w:numFmt w:val="bullet"/>
      <w:lvlText w:val="•"/>
      <w:lvlJc w:val="left"/>
      <w:pPr>
        <w:ind w:left="2320" w:hanging="569"/>
      </w:pPr>
      <w:rPr>
        <w:rFonts w:hint="default"/>
      </w:rPr>
    </w:lvl>
    <w:lvl w:ilvl="3" w:tplc="90208A76">
      <w:start w:val="1"/>
      <w:numFmt w:val="bullet"/>
      <w:lvlText w:val="•"/>
      <w:lvlJc w:val="left"/>
      <w:pPr>
        <w:ind w:left="3339" w:hanging="569"/>
      </w:pPr>
      <w:rPr>
        <w:rFonts w:hint="default"/>
      </w:rPr>
    </w:lvl>
    <w:lvl w:ilvl="4" w:tplc="4606A84E">
      <w:start w:val="1"/>
      <w:numFmt w:val="bullet"/>
      <w:lvlText w:val="•"/>
      <w:lvlJc w:val="left"/>
      <w:pPr>
        <w:ind w:left="4357" w:hanging="569"/>
      </w:pPr>
      <w:rPr>
        <w:rFonts w:hint="default"/>
      </w:rPr>
    </w:lvl>
    <w:lvl w:ilvl="5" w:tplc="35B860F6">
      <w:start w:val="1"/>
      <w:numFmt w:val="bullet"/>
      <w:lvlText w:val="•"/>
      <w:lvlJc w:val="left"/>
      <w:pPr>
        <w:ind w:left="5375" w:hanging="569"/>
      </w:pPr>
      <w:rPr>
        <w:rFonts w:hint="default"/>
      </w:rPr>
    </w:lvl>
    <w:lvl w:ilvl="6" w:tplc="3A5C4B9E">
      <w:start w:val="1"/>
      <w:numFmt w:val="bullet"/>
      <w:lvlText w:val="•"/>
      <w:lvlJc w:val="left"/>
      <w:pPr>
        <w:ind w:left="6393" w:hanging="569"/>
      </w:pPr>
      <w:rPr>
        <w:rFonts w:hint="default"/>
      </w:rPr>
    </w:lvl>
    <w:lvl w:ilvl="7" w:tplc="5268C86E">
      <w:start w:val="1"/>
      <w:numFmt w:val="bullet"/>
      <w:lvlText w:val="•"/>
      <w:lvlJc w:val="left"/>
      <w:pPr>
        <w:ind w:left="7411" w:hanging="569"/>
      </w:pPr>
      <w:rPr>
        <w:rFonts w:hint="default"/>
      </w:rPr>
    </w:lvl>
    <w:lvl w:ilvl="8" w:tplc="C72ECCE0">
      <w:start w:val="1"/>
      <w:numFmt w:val="bullet"/>
      <w:lvlText w:val="•"/>
      <w:lvlJc w:val="left"/>
      <w:pPr>
        <w:ind w:left="8430" w:hanging="569"/>
      </w:pPr>
      <w:rPr>
        <w:rFonts w:hint="default"/>
      </w:rPr>
    </w:lvl>
  </w:abstractNum>
  <w:abstractNum w:abstractNumId="2" w15:restartNumberingAfterBreak="0">
    <w:nsid w:val="70553B58"/>
    <w:multiLevelType w:val="hybridMultilevel"/>
    <w:tmpl w:val="AFEC70EA"/>
    <w:lvl w:ilvl="0" w:tplc="3F668686">
      <w:start w:val="1"/>
      <w:numFmt w:val="decimal"/>
      <w:lvlText w:val="%1."/>
      <w:lvlJc w:val="left"/>
      <w:pPr>
        <w:ind w:left="450" w:hanging="853"/>
      </w:pPr>
      <w:rPr>
        <w:rFonts w:ascii="Arial" w:eastAsia="Arial" w:hAnsi="Arial" w:hint="default"/>
        <w:spacing w:val="-1"/>
        <w:sz w:val="22"/>
        <w:szCs w:val="22"/>
      </w:rPr>
    </w:lvl>
    <w:lvl w:ilvl="1" w:tplc="2B6A0B46">
      <w:start w:val="1"/>
      <w:numFmt w:val="lowerLetter"/>
      <w:lvlText w:val="%2)"/>
      <w:lvlJc w:val="left"/>
      <w:pPr>
        <w:ind w:left="1302" w:hanging="569"/>
      </w:pPr>
      <w:rPr>
        <w:rFonts w:ascii="Arial" w:eastAsia="Arial" w:hAnsi="Arial" w:hint="default"/>
        <w:spacing w:val="-1"/>
        <w:sz w:val="22"/>
        <w:szCs w:val="22"/>
      </w:rPr>
    </w:lvl>
    <w:lvl w:ilvl="2" w:tplc="F04AE982">
      <w:start w:val="1"/>
      <w:numFmt w:val="lowerRoman"/>
      <w:lvlText w:val="%3."/>
      <w:lvlJc w:val="left"/>
      <w:pPr>
        <w:ind w:left="1869" w:hanging="567"/>
      </w:pPr>
      <w:rPr>
        <w:rFonts w:ascii="Arial" w:eastAsia="Arial" w:hAnsi="Arial" w:hint="default"/>
        <w:spacing w:val="-2"/>
        <w:sz w:val="22"/>
        <w:szCs w:val="22"/>
      </w:rPr>
    </w:lvl>
    <w:lvl w:ilvl="3" w:tplc="B0BCBE14">
      <w:start w:val="1"/>
      <w:numFmt w:val="bullet"/>
      <w:lvlText w:val="•"/>
      <w:lvlJc w:val="left"/>
      <w:pPr>
        <w:ind w:left="2943" w:hanging="567"/>
      </w:pPr>
      <w:rPr>
        <w:rFonts w:hint="default"/>
      </w:rPr>
    </w:lvl>
    <w:lvl w:ilvl="4" w:tplc="AC5EFC36">
      <w:start w:val="1"/>
      <w:numFmt w:val="bullet"/>
      <w:lvlText w:val="•"/>
      <w:lvlJc w:val="left"/>
      <w:pPr>
        <w:ind w:left="4018" w:hanging="567"/>
      </w:pPr>
      <w:rPr>
        <w:rFonts w:hint="default"/>
      </w:rPr>
    </w:lvl>
    <w:lvl w:ilvl="5" w:tplc="3B5A4DA6">
      <w:start w:val="1"/>
      <w:numFmt w:val="bullet"/>
      <w:lvlText w:val="•"/>
      <w:lvlJc w:val="left"/>
      <w:pPr>
        <w:ind w:left="5093" w:hanging="567"/>
      </w:pPr>
      <w:rPr>
        <w:rFonts w:hint="default"/>
      </w:rPr>
    </w:lvl>
    <w:lvl w:ilvl="6" w:tplc="6E5E8C46">
      <w:start w:val="1"/>
      <w:numFmt w:val="bullet"/>
      <w:lvlText w:val="•"/>
      <w:lvlJc w:val="left"/>
      <w:pPr>
        <w:ind w:left="6167" w:hanging="567"/>
      </w:pPr>
      <w:rPr>
        <w:rFonts w:hint="default"/>
      </w:rPr>
    </w:lvl>
    <w:lvl w:ilvl="7" w:tplc="BD86423A">
      <w:start w:val="1"/>
      <w:numFmt w:val="bullet"/>
      <w:lvlText w:val="•"/>
      <w:lvlJc w:val="left"/>
      <w:pPr>
        <w:ind w:left="7242" w:hanging="567"/>
      </w:pPr>
      <w:rPr>
        <w:rFonts w:hint="default"/>
      </w:rPr>
    </w:lvl>
    <w:lvl w:ilvl="8" w:tplc="1DAEFB2C">
      <w:start w:val="1"/>
      <w:numFmt w:val="bullet"/>
      <w:lvlText w:val="•"/>
      <w:lvlJc w:val="left"/>
      <w:pPr>
        <w:ind w:left="8317" w:hanging="567"/>
      </w:pPr>
      <w:rPr>
        <w:rFonts w:hint="default"/>
      </w:rPr>
    </w:lvl>
  </w:abstractNum>
  <w:abstractNum w:abstractNumId="3" w15:restartNumberingAfterBreak="0">
    <w:nsid w:val="720C7E09"/>
    <w:multiLevelType w:val="hybridMultilevel"/>
    <w:tmpl w:val="E5709D86"/>
    <w:lvl w:ilvl="0" w:tplc="B1B0632E">
      <w:start w:val="1"/>
      <w:numFmt w:val="lowerLetter"/>
      <w:lvlText w:val="%1)"/>
      <w:lvlJc w:val="left"/>
      <w:pPr>
        <w:ind w:left="1302" w:hanging="569"/>
      </w:pPr>
      <w:rPr>
        <w:rFonts w:ascii="Arial" w:eastAsia="Arial" w:hAnsi="Arial" w:hint="default"/>
        <w:spacing w:val="-1"/>
        <w:sz w:val="22"/>
        <w:szCs w:val="22"/>
      </w:rPr>
    </w:lvl>
    <w:lvl w:ilvl="1" w:tplc="72F82C2A">
      <w:start w:val="1"/>
      <w:numFmt w:val="bullet"/>
      <w:lvlText w:val="•"/>
      <w:lvlJc w:val="left"/>
      <w:pPr>
        <w:ind w:left="2219" w:hanging="569"/>
      </w:pPr>
      <w:rPr>
        <w:rFonts w:hint="default"/>
      </w:rPr>
    </w:lvl>
    <w:lvl w:ilvl="2" w:tplc="B19E7040">
      <w:start w:val="1"/>
      <w:numFmt w:val="bullet"/>
      <w:lvlText w:val="•"/>
      <w:lvlJc w:val="left"/>
      <w:pPr>
        <w:ind w:left="3135" w:hanging="569"/>
      </w:pPr>
      <w:rPr>
        <w:rFonts w:hint="default"/>
      </w:rPr>
    </w:lvl>
    <w:lvl w:ilvl="3" w:tplc="A3683D2E">
      <w:start w:val="1"/>
      <w:numFmt w:val="bullet"/>
      <w:lvlText w:val="•"/>
      <w:lvlJc w:val="left"/>
      <w:pPr>
        <w:ind w:left="4051" w:hanging="569"/>
      </w:pPr>
      <w:rPr>
        <w:rFonts w:hint="default"/>
      </w:rPr>
    </w:lvl>
    <w:lvl w:ilvl="4" w:tplc="A2088F0C">
      <w:start w:val="1"/>
      <w:numFmt w:val="bullet"/>
      <w:lvlText w:val="•"/>
      <w:lvlJc w:val="left"/>
      <w:pPr>
        <w:ind w:left="4968" w:hanging="569"/>
      </w:pPr>
      <w:rPr>
        <w:rFonts w:hint="default"/>
      </w:rPr>
    </w:lvl>
    <w:lvl w:ilvl="5" w:tplc="60C4ABE2">
      <w:start w:val="1"/>
      <w:numFmt w:val="bullet"/>
      <w:lvlText w:val="•"/>
      <w:lvlJc w:val="left"/>
      <w:pPr>
        <w:ind w:left="5884" w:hanging="569"/>
      </w:pPr>
      <w:rPr>
        <w:rFonts w:hint="default"/>
      </w:rPr>
    </w:lvl>
    <w:lvl w:ilvl="6" w:tplc="AD204956">
      <w:start w:val="1"/>
      <w:numFmt w:val="bullet"/>
      <w:lvlText w:val="•"/>
      <w:lvlJc w:val="left"/>
      <w:pPr>
        <w:ind w:left="6800" w:hanging="569"/>
      </w:pPr>
      <w:rPr>
        <w:rFonts w:hint="default"/>
      </w:rPr>
    </w:lvl>
    <w:lvl w:ilvl="7" w:tplc="D73CDA3C">
      <w:start w:val="1"/>
      <w:numFmt w:val="bullet"/>
      <w:lvlText w:val="•"/>
      <w:lvlJc w:val="left"/>
      <w:pPr>
        <w:ind w:left="7717" w:hanging="569"/>
      </w:pPr>
      <w:rPr>
        <w:rFonts w:hint="default"/>
      </w:rPr>
    </w:lvl>
    <w:lvl w:ilvl="8" w:tplc="B4F25776">
      <w:start w:val="1"/>
      <w:numFmt w:val="bullet"/>
      <w:lvlText w:val="•"/>
      <w:lvlJc w:val="left"/>
      <w:pPr>
        <w:ind w:left="8633" w:hanging="569"/>
      </w:pPr>
      <w:rPr>
        <w:rFonts w:hint="default"/>
      </w:rPr>
    </w:lvl>
  </w:abstractNum>
  <w:num w:numId="1" w16cid:durableId="445586329">
    <w:abstractNumId w:val="0"/>
  </w:num>
  <w:num w:numId="2" w16cid:durableId="1562328195">
    <w:abstractNumId w:val="3"/>
  </w:num>
  <w:num w:numId="3" w16cid:durableId="1923491679">
    <w:abstractNumId w:val="2"/>
  </w:num>
  <w:num w:numId="4" w16cid:durableId="1660575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B7A13"/>
    <w:rsid w:val="00035945"/>
    <w:rsid w:val="000D3E40"/>
    <w:rsid w:val="00171D1A"/>
    <w:rsid w:val="00190EFF"/>
    <w:rsid w:val="001B574C"/>
    <w:rsid w:val="001B7A13"/>
    <w:rsid w:val="001E5535"/>
    <w:rsid w:val="0026586C"/>
    <w:rsid w:val="00286777"/>
    <w:rsid w:val="0029040E"/>
    <w:rsid w:val="002D358C"/>
    <w:rsid w:val="00352BCD"/>
    <w:rsid w:val="00363F8E"/>
    <w:rsid w:val="0037020F"/>
    <w:rsid w:val="003A60F7"/>
    <w:rsid w:val="003B4449"/>
    <w:rsid w:val="0049575E"/>
    <w:rsid w:val="004B25B4"/>
    <w:rsid w:val="00555F2B"/>
    <w:rsid w:val="005D1FC8"/>
    <w:rsid w:val="0065598A"/>
    <w:rsid w:val="006809FD"/>
    <w:rsid w:val="006A7A50"/>
    <w:rsid w:val="006E0A2A"/>
    <w:rsid w:val="007269B0"/>
    <w:rsid w:val="007D4882"/>
    <w:rsid w:val="007F1311"/>
    <w:rsid w:val="00827DFD"/>
    <w:rsid w:val="0085169F"/>
    <w:rsid w:val="008711C4"/>
    <w:rsid w:val="008741B3"/>
    <w:rsid w:val="00A43AFE"/>
    <w:rsid w:val="00AC2FCC"/>
    <w:rsid w:val="00B06F68"/>
    <w:rsid w:val="00B300D5"/>
    <w:rsid w:val="00B81C4F"/>
    <w:rsid w:val="00BD6C22"/>
    <w:rsid w:val="00C005C7"/>
    <w:rsid w:val="00C205DE"/>
    <w:rsid w:val="00DB206F"/>
    <w:rsid w:val="00E235D3"/>
    <w:rsid w:val="00E316CA"/>
    <w:rsid w:val="00F3356B"/>
    <w:rsid w:val="00F91DE2"/>
    <w:rsid w:val="00F95B6E"/>
    <w:rsid w:val="00FC07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6"/>
      <w:ind w:left="2580"/>
      <w:outlineLvl w:val="0"/>
    </w:pPr>
    <w:rPr>
      <w:rFonts w:ascii="Arial" w:eastAsia="Arial" w:hAnsi="Arial"/>
      <w:sz w:val="40"/>
      <w:szCs w:val="40"/>
    </w:rPr>
  </w:style>
  <w:style w:type="paragraph" w:styleId="Heading2">
    <w:name w:val="heading 2"/>
    <w:basedOn w:val="Normal"/>
    <w:uiPriority w:val="9"/>
    <w:unhideWhenUsed/>
    <w:qFormat/>
    <w:pPr>
      <w:spacing w:before="53"/>
      <w:ind w:left="116"/>
      <w:outlineLvl w:val="1"/>
    </w:pPr>
    <w:rPr>
      <w:rFonts w:ascii="Arial" w:eastAsia="Arial" w:hAnsi="Arial"/>
      <w:b/>
      <w:bCs/>
      <w:sz w:val="24"/>
      <w:szCs w:val="24"/>
    </w:rPr>
  </w:style>
  <w:style w:type="paragraph" w:styleId="Heading3">
    <w:name w:val="heading 3"/>
    <w:basedOn w:val="Normal"/>
    <w:uiPriority w:val="9"/>
    <w:unhideWhenUsed/>
    <w:qFormat/>
    <w:pPr>
      <w:ind w:left="450"/>
      <w:outlineLvl w:val="2"/>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7020F"/>
    <w:pPr>
      <w:tabs>
        <w:tab w:val="center" w:pos="4513"/>
        <w:tab w:val="right" w:pos="9026"/>
      </w:tabs>
    </w:pPr>
  </w:style>
  <w:style w:type="character" w:customStyle="1" w:styleId="HeaderChar">
    <w:name w:val="Header Char"/>
    <w:basedOn w:val="DefaultParagraphFont"/>
    <w:link w:val="Header"/>
    <w:rsid w:val="0037020F"/>
  </w:style>
  <w:style w:type="paragraph" w:styleId="Footer">
    <w:name w:val="footer"/>
    <w:basedOn w:val="Normal"/>
    <w:link w:val="FooterChar"/>
    <w:unhideWhenUsed/>
    <w:rsid w:val="0037020F"/>
    <w:pPr>
      <w:tabs>
        <w:tab w:val="center" w:pos="4513"/>
        <w:tab w:val="right" w:pos="9026"/>
      </w:tabs>
    </w:pPr>
  </w:style>
  <w:style w:type="character" w:customStyle="1" w:styleId="FooterChar">
    <w:name w:val="Footer Char"/>
    <w:basedOn w:val="DefaultParagraphFont"/>
    <w:link w:val="Footer"/>
    <w:rsid w:val="0037020F"/>
  </w:style>
  <w:style w:type="table" w:styleId="TableGrid">
    <w:name w:val="Table Grid"/>
    <w:basedOn w:val="TableNormal"/>
    <w:uiPriority w:val="39"/>
    <w:rsid w:val="00E31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A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32004-D44E-4B22-8ED5-468B217DA2DC}">
  <ds:schemaRefs>
    <ds:schemaRef ds:uri="http://schemas.microsoft.com/sharepoint/v3/contenttype/forms"/>
  </ds:schemaRefs>
</ds:datastoreItem>
</file>

<file path=customXml/itemProps2.xml><?xml version="1.0" encoding="utf-8"?>
<ds:datastoreItem xmlns:ds="http://schemas.openxmlformats.org/officeDocument/2006/customXml" ds:itemID="{19D4A1F0-5482-4B01-8D10-4A0E5DB5CC14}"/>
</file>

<file path=customXml/itemProps3.xml><?xml version="1.0" encoding="utf-8"?>
<ds:datastoreItem xmlns:ds="http://schemas.openxmlformats.org/officeDocument/2006/customXml" ds:itemID="{AC34232E-ADA5-44BF-A244-F886D599FC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12353</Words>
  <Characters>7042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2022-01-13T06:25:00Z</dcterms:created>
  <dcterms:modified xsi:type="dcterms:W3CDTF">2022-04-14T11:49:00Z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