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70F7" w14:textId="77777777" w:rsidR="00B5534A" w:rsidRPr="00B5534A" w:rsidRDefault="00B5534A" w:rsidP="00B5534A">
      <w:pPr>
        <w:jc w:val="both"/>
        <w:rPr>
          <w:rFonts w:ascii="Times New Roman" w:eastAsia="Times New Roman" w:hAnsi="Times New Roman" w:cs="Times New Roman"/>
          <w:noProof/>
          <w:sz w:val="24"/>
          <w:szCs w:val="24"/>
          <w:lang w:val="en-US"/>
        </w:rPr>
      </w:pPr>
    </w:p>
    <w:p w14:paraId="29F1A27A" w14:textId="7F272E36" w:rsidR="00B5534A" w:rsidRPr="00B5534A" w:rsidRDefault="00CF05D8" w:rsidP="00B5534A">
      <w:pPr>
        <w:jc w:val="center"/>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drawing>
          <wp:inline distT="0" distB="0" distL="0" distR="0" wp14:anchorId="1D24D77D" wp14:editId="0E99FE2E">
            <wp:extent cx="5760720" cy="5656580"/>
            <wp:effectExtent l="0" t="0" r="0" b="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60720" cy="5656580"/>
                    </a:xfrm>
                    <a:prstGeom prst="rect">
                      <a:avLst/>
                    </a:prstGeom>
                  </pic:spPr>
                </pic:pic>
              </a:graphicData>
            </a:graphic>
          </wp:inline>
        </w:drawing>
      </w:r>
    </w:p>
    <w:p w14:paraId="35F2E7A1" w14:textId="77777777" w:rsidR="00B5534A" w:rsidRPr="00B5534A" w:rsidRDefault="00B5534A" w:rsidP="00B5534A">
      <w:pPr>
        <w:jc w:val="both"/>
        <w:rPr>
          <w:rFonts w:ascii="Times New Roman" w:eastAsia="Times New Roman" w:hAnsi="Times New Roman" w:cs="Times New Roman"/>
          <w:noProof/>
          <w:sz w:val="24"/>
          <w:szCs w:val="24"/>
          <w:lang w:val="en-US"/>
        </w:rPr>
      </w:pPr>
    </w:p>
    <w:p w14:paraId="42ACE600" w14:textId="77777777" w:rsidR="00B5534A" w:rsidRPr="00B5534A" w:rsidRDefault="00B5534A" w:rsidP="00B5534A">
      <w:pPr>
        <w:jc w:val="both"/>
        <w:rPr>
          <w:rFonts w:ascii="Times New Roman" w:eastAsia="Times New Roman" w:hAnsi="Times New Roman" w:cs="Times New Roman"/>
          <w:noProof/>
          <w:sz w:val="24"/>
          <w:szCs w:val="24"/>
          <w:lang w:val="en-US"/>
        </w:rPr>
      </w:pPr>
    </w:p>
    <w:p w14:paraId="7E007805" w14:textId="77777777" w:rsidR="00B5534A" w:rsidRPr="00B5534A" w:rsidRDefault="00B5534A" w:rsidP="00B5534A">
      <w:pPr>
        <w:jc w:val="both"/>
        <w:rPr>
          <w:rFonts w:ascii="Times New Roman" w:eastAsia="Times New Roman" w:hAnsi="Times New Roman" w:cs="Times New Roman"/>
          <w:noProof/>
          <w:sz w:val="24"/>
          <w:szCs w:val="24"/>
          <w:lang w:val="en-US"/>
        </w:rPr>
      </w:pPr>
    </w:p>
    <w:p w14:paraId="730958D7" w14:textId="77777777" w:rsidR="00B5534A" w:rsidRPr="00B5534A" w:rsidRDefault="00B5534A" w:rsidP="00B5534A">
      <w:pPr>
        <w:jc w:val="right"/>
        <w:rPr>
          <w:rFonts w:ascii="Times New Roman" w:eastAsia="Arial Black" w:hAnsi="Times New Roman" w:cs="Times New Roman"/>
          <w:b/>
          <w:bCs/>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B5534A" w:rsidRPr="00B5534A" w14:paraId="0FEDA66B" w14:textId="77777777" w:rsidTr="00AC788C">
        <w:tc>
          <w:tcPr>
            <w:tcW w:w="5000" w:type="pct"/>
          </w:tcPr>
          <w:p w14:paraId="48A22837" w14:textId="77777777" w:rsidR="00B5534A" w:rsidRPr="00B5534A" w:rsidRDefault="00B5534A" w:rsidP="00AC788C">
            <w:pPr>
              <w:jc w:val="right"/>
              <w:rPr>
                <w:rFonts w:ascii="Times New Roman" w:eastAsia="Arial Black" w:hAnsi="Times New Roman" w:cs="Times New Roman"/>
                <w:b/>
                <w:bCs/>
                <w:noProof/>
                <w:sz w:val="24"/>
                <w:szCs w:val="24"/>
                <w:lang w:val="en-US"/>
              </w:rPr>
            </w:pPr>
            <w:r w:rsidRPr="00B5534A">
              <w:rPr>
                <w:rFonts w:ascii="Times New Roman" w:eastAsia="Arial Black" w:hAnsi="Times New Roman" w:cs="Times New Roman"/>
                <w:b/>
                <w:bCs/>
                <w:noProof/>
                <w:sz w:val="24"/>
                <w:szCs w:val="24"/>
                <w:lang w:val="en-US"/>
              </w:rPr>
              <w:drawing>
                <wp:inline distT="0" distB="0" distL="0" distR="0" wp14:anchorId="22BD8313" wp14:editId="5B5A24A7">
                  <wp:extent cx="2165036" cy="666750"/>
                  <wp:effectExtent l="0" t="0" r="0" b="0"/>
                  <wp:docPr id="3"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10;&#10;Description automatically generated"/>
                          <pic:cNvPicPr/>
                        </pic:nvPicPr>
                        <pic:blipFill>
                          <a:blip r:embed="rId11" cstate="print"/>
                          <a:stretch>
                            <a:fillRect/>
                          </a:stretch>
                        </pic:blipFill>
                        <pic:spPr>
                          <a:xfrm>
                            <a:off x="0" y="0"/>
                            <a:ext cx="2165036" cy="666750"/>
                          </a:xfrm>
                          <a:prstGeom prst="rect">
                            <a:avLst/>
                          </a:prstGeom>
                        </pic:spPr>
                      </pic:pic>
                    </a:graphicData>
                  </a:graphic>
                </wp:inline>
              </w:drawing>
            </w:r>
          </w:p>
        </w:tc>
      </w:tr>
      <w:tr w:rsidR="00B5534A" w:rsidRPr="00B5534A" w14:paraId="7EFEFC8B" w14:textId="77777777" w:rsidTr="00AC788C">
        <w:tc>
          <w:tcPr>
            <w:tcW w:w="5000" w:type="pct"/>
          </w:tcPr>
          <w:p w14:paraId="2B160195" w14:textId="77777777" w:rsidR="00B5534A" w:rsidRPr="00B5534A" w:rsidRDefault="00B5534A" w:rsidP="00AC788C">
            <w:pPr>
              <w:jc w:val="right"/>
              <w:rPr>
                <w:rFonts w:ascii="Times New Roman" w:hAnsi="Times New Roman"/>
                <w:b/>
                <w:noProof/>
                <w:sz w:val="24"/>
                <w:lang w:val="en-US"/>
              </w:rPr>
            </w:pPr>
            <w:r w:rsidRPr="00B5534A">
              <w:rPr>
                <w:rFonts w:ascii="Times New Roman" w:hAnsi="Times New Roman"/>
                <w:b/>
                <w:noProof/>
                <w:sz w:val="24"/>
                <w:lang w:val="en-US"/>
              </w:rPr>
              <w:t>ESAO</w:t>
            </w:r>
          </w:p>
          <w:p w14:paraId="06477924" w14:textId="77777777" w:rsidR="00B5534A" w:rsidRPr="00B5534A" w:rsidRDefault="00B5534A" w:rsidP="00AC788C">
            <w:pPr>
              <w:jc w:val="right"/>
              <w:rPr>
                <w:rFonts w:ascii="Times New Roman" w:hAnsi="Times New Roman"/>
                <w:b/>
                <w:noProof/>
                <w:sz w:val="20"/>
                <w:lang w:val="en-US"/>
              </w:rPr>
            </w:pPr>
            <w:r w:rsidRPr="00B5534A">
              <w:rPr>
                <w:rFonts w:ascii="Times New Roman" w:hAnsi="Times New Roman"/>
                <w:b/>
                <w:noProof/>
                <w:sz w:val="20"/>
                <w:lang w:val="en-US"/>
              </w:rPr>
              <w:t>LABĀKA POLITIKA LABĀKAI DZĪVEI</w:t>
            </w:r>
          </w:p>
        </w:tc>
      </w:tr>
    </w:tbl>
    <w:p w14:paraId="172B4F9E" w14:textId="77777777" w:rsidR="00B5534A" w:rsidRPr="00B5534A" w:rsidRDefault="00B5534A" w:rsidP="00B5534A">
      <w:pPr>
        <w:rPr>
          <w:noProof/>
          <w:lang w:val="en-US"/>
        </w:rPr>
      </w:pPr>
      <w:r w:rsidRPr="00B5534A">
        <w:rPr>
          <w:noProof/>
          <w:lang w:val="en-US"/>
        </w:rPr>
        <w:br w:type="page"/>
      </w:r>
    </w:p>
    <w:p w14:paraId="739A2242" w14:textId="77777777" w:rsidR="00B5534A" w:rsidRPr="00B5534A" w:rsidRDefault="00B5534A" w:rsidP="00B5534A">
      <w:pPr>
        <w:jc w:val="both"/>
        <w:rPr>
          <w:rFonts w:ascii="Times New Roman" w:eastAsia="Arial Black" w:hAnsi="Times New Roman" w:cs="Times New Roman"/>
          <w:noProof/>
          <w:sz w:val="24"/>
          <w:szCs w:val="24"/>
          <w:lang w:val="en-US"/>
        </w:rPr>
      </w:pPr>
    </w:p>
    <w:p w14:paraId="7B213137" w14:textId="77777777" w:rsidR="00B5534A" w:rsidRPr="00B5534A" w:rsidRDefault="00B5534A" w:rsidP="00B5534A">
      <w:pPr>
        <w:jc w:val="both"/>
        <w:rPr>
          <w:rFonts w:ascii="Times New Roman" w:eastAsia="Times New Roman" w:hAnsi="Times New Roman" w:cs="Times New Roman"/>
          <w:noProof/>
          <w:sz w:val="24"/>
          <w:szCs w:val="24"/>
          <w:lang w:val="en-US"/>
        </w:rPr>
      </w:pPr>
    </w:p>
    <w:p w14:paraId="4369F2E8" w14:textId="77777777" w:rsidR="00B5534A" w:rsidRPr="00B5534A" w:rsidRDefault="00B5534A" w:rsidP="00B5534A">
      <w:pPr>
        <w:jc w:val="both"/>
        <w:rPr>
          <w:rFonts w:ascii="Times New Roman" w:eastAsia="Times New Roman" w:hAnsi="Times New Roman" w:cs="Times New Roman"/>
          <w:noProof/>
          <w:sz w:val="24"/>
          <w:szCs w:val="24"/>
          <w:lang w:val="en-US"/>
        </w:rPr>
      </w:pPr>
    </w:p>
    <w:p w14:paraId="529885B9" w14:textId="77777777" w:rsidR="00B5534A" w:rsidRPr="00B5534A" w:rsidRDefault="00B5534A" w:rsidP="00B5534A">
      <w:pPr>
        <w:jc w:val="both"/>
        <w:rPr>
          <w:rFonts w:ascii="Times New Roman" w:eastAsia="Arial Black" w:hAnsi="Times New Roman" w:cs="Times New Roman"/>
          <w:noProof/>
          <w:sz w:val="24"/>
          <w:szCs w:val="24"/>
          <w:lang w:val="en-US"/>
        </w:rPr>
      </w:pPr>
    </w:p>
    <w:p w14:paraId="404EE313" w14:textId="77777777" w:rsidR="00B5534A" w:rsidRPr="00B5534A" w:rsidRDefault="00B5534A" w:rsidP="00B5534A">
      <w:pPr>
        <w:jc w:val="both"/>
        <w:rPr>
          <w:rFonts w:ascii="Times New Roman" w:eastAsia="Arial Black" w:hAnsi="Times New Roman" w:cs="Times New Roman"/>
          <w:noProof/>
          <w:sz w:val="24"/>
          <w:szCs w:val="24"/>
          <w:lang w:val="en-US"/>
        </w:rPr>
      </w:pPr>
    </w:p>
    <w:p w14:paraId="2D6A13B7" w14:textId="77777777" w:rsidR="00B5534A" w:rsidRPr="00B5534A" w:rsidRDefault="00B5534A" w:rsidP="00B5534A">
      <w:pPr>
        <w:jc w:val="both"/>
        <w:rPr>
          <w:rFonts w:ascii="Times New Roman" w:eastAsia="Arial Black" w:hAnsi="Times New Roman" w:cs="Times New Roman"/>
          <w:noProof/>
          <w:sz w:val="24"/>
          <w:szCs w:val="24"/>
          <w:lang w:val="en-US"/>
        </w:rPr>
      </w:pPr>
    </w:p>
    <w:p w14:paraId="598315B7" w14:textId="77777777" w:rsidR="00B5534A" w:rsidRPr="00B5534A" w:rsidRDefault="00B5534A" w:rsidP="00B5534A">
      <w:pPr>
        <w:jc w:val="both"/>
        <w:rPr>
          <w:rFonts w:ascii="Times New Roman" w:eastAsia="Arial Black" w:hAnsi="Times New Roman" w:cs="Times New Roman"/>
          <w:noProof/>
          <w:sz w:val="24"/>
          <w:szCs w:val="24"/>
          <w:lang w:val="en-US"/>
        </w:rPr>
      </w:pPr>
    </w:p>
    <w:p w14:paraId="14E4FD34" w14:textId="77777777" w:rsidR="00B5534A" w:rsidRPr="00B5534A" w:rsidRDefault="00B5534A" w:rsidP="00B5534A">
      <w:pPr>
        <w:jc w:val="both"/>
        <w:rPr>
          <w:rFonts w:ascii="Times New Roman" w:hAnsi="Times New Roman"/>
          <w:noProof/>
          <w:sz w:val="24"/>
          <w:lang w:val="en-US"/>
        </w:rPr>
      </w:pPr>
      <w:r w:rsidRPr="00B5534A">
        <w:rPr>
          <w:rFonts w:ascii="Times New Roman" w:hAnsi="Times New Roman"/>
          <w:noProof/>
          <w:sz w:val="24"/>
          <w:lang w:val="en-US"/>
        </w:rPr>
        <w:t>Par šā dokumenta publicēšanu atbildīgs ir ESAO ģenerālsekretārs. Šajā dokumentā reproducēti ESAO juridiskie instrumenti, un tajā var būt ietverti papildu materiāli. Papildu materiālos izteiktie uzskati un apgalvojumi ne vienmēr atspoguļo ESAO dalībvalstu oficiālos viedokļus.</w:t>
      </w:r>
    </w:p>
    <w:p w14:paraId="2FD260B3" w14:textId="77777777" w:rsidR="00B5534A" w:rsidRPr="00B5534A" w:rsidRDefault="00B5534A" w:rsidP="00B5534A">
      <w:pPr>
        <w:jc w:val="both"/>
        <w:rPr>
          <w:rFonts w:ascii="Times New Roman" w:eastAsia="Arial" w:hAnsi="Times New Roman" w:cs="Times New Roman"/>
          <w:noProof/>
          <w:sz w:val="24"/>
          <w:szCs w:val="24"/>
          <w:lang w:val="en-US"/>
        </w:rPr>
      </w:pPr>
    </w:p>
    <w:p w14:paraId="34D47E55" w14:textId="77777777" w:rsidR="00B5534A" w:rsidRPr="00B5534A" w:rsidRDefault="00B5534A" w:rsidP="00B5534A">
      <w:pPr>
        <w:jc w:val="both"/>
        <w:rPr>
          <w:rFonts w:ascii="Times New Roman" w:hAnsi="Times New Roman"/>
          <w:noProof/>
          <w:sz w:val="24"/>
          <w:lang w:val="en-US"/>
        </w:rPr>
      </w:pPr>
      <w:r w:rsidRPr="00B5534A">
        <w:rPr>
          <w:rFonts w:ascii="Times New Roman" w:hAnsi="Times New Roman"/>
          <w:noProof/>
          <w:sz w:val="24"/>
          <w:lang w:val="en-US"/>
        </w:rPr>
        <w:t>Ne šis dokuments, ne jebkādi tajā iekļautie dati un kartes nemaina nevienas teritorijas statusu vai suverenitāti pār šādu teritoriju, starptautiskās robežas un nevienas teritorijas, pilsētas vai apgabala nosaukumu.</w:t>
      </w:r>
    </w:p>
    <w:p w14:paraId="56FF4B69" w14:textId="77777777" w:rsidR="00B5534A" w:rsidRPr="00B5534A" w:rsidRDefault="00B5534A" w:rsidP="00B5534A">
      <w:pPr>
        <w:jc w:val="both"/>
        <w:rPr>
          <w:rFonts w:ascii="Times New Roman" w:eastAsia="Arial" w:hAnsi="Times New Roman" w:cs="Times New Roman"/>
          <w:noProof/>
          <w:sz w:val="24"/>
          <w:szCs w:val="24"/>
          <w:lang w:val="en-US"/>
        </w:rPr>
      </w:pPr>
    </w:p>
    <w:p w14:paraId="1AFCCE64" w14:textId="77777777" w:rsidR="00B5534A" w:rsidRPr="00B5534A" w:rsidRDefault="00B5534A" w:rsidP="00B5534A">
      <w:pPr>
        <w:jc w:val="both"/>
        <w:rPr>
          <w:rFonts w:ascii="Times New Roman" w:eastAsia="Arial" w:hAnsi="Times New Roman" w:cs="Times New Roman"/>
          <w:noProof/>
          <w:sz w:val="24"/>
          <w:szCs w:val="24"/>
          <w:lang w:val="en-US"/>
        </w:rPr>
      </w:pPr>
    </w:p>
    <w:p w14:paraId="6F86A499" w14:textId="77777777" w:rsidR="00B5534A" w:rsidRPr="00B5534A" w:rsidRDefault="00B5534A" w:rsidP="00B5534A">
      <w:pPr>
        <w:jc w:val="both"/>
        <w:rPr>
          <w:rFonts w:ascii="Times New Roman" w:eastAsia="Arial" w:hAnsi="Times New Roman" w:cs="Times New Roman"/>
          <w:noProof/>
          <w:sz w:val="24"/>
          <w:szCs w:val="24"/>
          <w:lang w:val="en-US"/>
        </w:rPr>
      </w:pPr>
    </w:p>
    <w:p w14:paraId="1B656C5B" w14:textId="77777777" w:rsidR="00B5534A" w:rsidRPr="00B5534A" w:rsidRDefault="00B5534A" w:rsidP="00B5534A">
      <w:pPr>
        <w:jc w:val="both"/>
        <w:rPr>
          <w:rFonts w:ascii="Times New Roman" w:eastAsia="Arial" w:hAnsi="Times New Roman" w:cs="Times New Roman"/>
          <w:noProof/>
          <w:sz w:val="24"/>
          <w:szCs w:val="24"/>
          <w:lang w:val="en-US"/>
        </w:rPr>
      </w:pPr>
    </w:p>
    <w:p w14:paraId="1CFAB2C2" w14:textId="77777777" w:rsidR="00B5534A" w:rsidRPr="00B5534A" w:rsidRDefault="00B5534A" w:rsidP="00B5534A">
      <w:pPr>
        <w:jc w:val="both"/>
        <w:rPr>
          <w:rFonts w:ascii="Times New Roman" w:eastAsia="Arial" w:hAnsi="Times New Roman" w:cs="Times New Roman"/>
          <w:noProof/>
          <w:sz w:val="24"/>
          <w:szCs w:val="24"/>
          <w:lang w:val="en-US"/>
        </w:rPr>
      </w:pPr>
    </w:p>
    <w:p w14:paraId="58A86BD4" w14:textId="77777777" w:rsidR="00B5534A" w:rsidRPr="00B5534A" w:rsidRDefault="00B5534A" w:rsidP="00B5534A">
      <w:pPr>
        <w:jc w:val="both"/>
        <w:rPr>
          <w:rFonts w:ascii="Times New Roman" w:eastAsia="Arial" w:hAnsi="Times New Roman" w:cs="Times New Roman"/>
          <w:noProof/>
          <w:sz w:val="24"/>
          <w:szCs w:val="24"/>
          <w:lang w:val="en-US"/>
        </w:rPr>
      </w:pPr>
    </w:p>
    <w:p w14:paraId="503D9C6D" w14:textId="77777777" w:rsidR="00B5534A" w:rsidRPr="00B5534A" w:rsidRDefault="00B5534A" w:rsidP="00B5534A">
      <w:pPr>
        <w:jc w:val="both"/>
        <w:rPr>
          <w:rFonts w:ascii="Times New Roman" w:eastAsia="Arial" w:hAnsi="Times New Roman" w:cs="Times New Roman"/>
          <w:noProof/>
          <w:sz w:val="24"/>
          <w:szCs w:val="24"/>
          <w:lang w:val="en-US"/>
        </w:rPr>
      </w:pPr>
    </w:p>
    <w:p w14:paraId="66A6D777" w14:textId="77777777" w:rsidR="00B5534A" w:rsidRPr="00B5534A" w:rsidRDefault="00B5534A" w:rsidP="00B5534A">
      <w:pPr>
        <w:jc w:val="both"/>
        <w:rPr>
          <w:rFonts w:ascii="Times New Roman" w:eastAsia="Arial" w:hAnsi="Times New Roman" w:cs="Times New Roman"/>
          <w:noProof/>
          <w:sz w:val="24"/>
          <w:szCs w:val="24"/>
          <w:lang w:val="en-US"/>
        </w:rPr>
      </w:pPr>
    </w:p>
    <w:p w14:paraId="29A4D037" w14:textId="77777777" w:rsidR="00B5534A" w:rsidRPr="00B5534A" w:rsidRDefault="00B5534A" w:rsidP="00B5534A">
      <w:pPr>
        <w:jc w:val="both"/>
        <w:rPr>
          <w:rFonts w:ascii="Times New Roman" w:eastAsia="Arial" w:hAnsi="Times New Roman" w:cs="Times New Roman"/>
          <w:noProof/>
          <w:sz w:val="24"/>
          <w:szCs w:val="24"/>
          <w:lang w:val="en-US"/>
        </w:rPr>
      </w:pPr>
    </w:p>
    <w:p w14:paraId="32D49B9B" w14:textId="77777777" w:rsidR="00B5534A" w:rsidRPr="00B5534A" w:rsidRDefault="00B5534A" w:rsidP="00B5534A">
      <w:pPr>
        <w:jc w:val="both"/>
        <w:rPr>
          <w:rFonts w:ascii="Times New Roman" w:eastAsia="Arial" w:hAnsi="Times New Roman" w:cs="Times New Roman"/>
          <w:noProof/>
          <w:sz w:val="24"/>
          <w:szCs w:val="24"/>
          <w:lang w:val="en-US"/>
        </w:rPr>
      </w:pPr>
    </w:p>
    <w:p w14:paraId="21626A0B" w14:textId="77777777" w:rsidR="00B5534A" w:rsidRPr="00B5534A" w:rsidRDefault="00B5534A" w:rsidP="00B5534A">
      <w:pPr>
        <w:jc w:val="both"/>
        <w:rPr>
          <w:rFonts w:ascii="Times New Roman" w:hAnsi="Times New Roman"/>
          <w:noProof/>
          <w:sz w:val="24"/>
          <w:lang w:val="en-US"/>
        </w:rPr>
      </w:pPr>
      <w:r w:rsidRPr="00B5534A">
        <w:rPr>
          <w:rFonts w:ascii="Times New Roman" w:hAnsi="Times New Roman"/>
          <w:noProof/>
          <w:sz w:val="24"/>
          <w:lang w:val="en-US"/>
        </w:rPr>
        <w:t>Lai piekļūtu ESAO juridisko instrumentu oficiālajiem un jaunākajiem tekstiem, kā arī citai saistītajai informācijai, lūdzam skatīt ESAO juridisko instrumentu krājumu, kas atrodams http://legalinstruments.oecd.org.</w:t>
      </w:r>
    </w:p>
    <w:p w14:paraId="578AEE94" w14:textId="77777777" w:rsidR="00B5534A" w:rsidRPr="00B5534A" w:rsidRDefault="00B5534A" w:rsidP="00B5534A">
      <w:pPr>
        <w:jc w:val="both"/>
        <w:rPr>
          <w:rFonts w:ascii="Times New Roman" w:eastAsia="Arial"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B5534A" w:rsidRPr="00B5534A" w14:paraId="6118F0AB" w14:textId="77777777" w:rsidTr="00AC788C">
        <w:tc>
          <w:tcPr>
            <w:tcW w:w="5000" w:type="pct"/>
          </w:tcPr>
          <w:p w14:paraId="07EF81A8" w14:textId="77777777" w:rsidR="00B5534A" w:rsidRPr="00B5534A" w:rsidRDefault="00B5534A" w:rsidP="00AC788C">
            <w:pPr>
              <w:spacing w:before="1"/>
              <w:rPr>
                <w:rFonts w:ascii="Times New Roman" w:hAnsi="Times New Roman"/>
                <w:b/>
                <w:noProof/>
                <w:lang w:val="en-US"/>
              </w:rPr>
            </w:pPr>
            <w:r w:rsidRPr="00B5534A">
              <w:rPr>
                <w:rFonts w:ascii="Times New Roman" w:hAnsi="Times New Roman"/>
                <w:b/>
                <w:noProof/>
                <w:lang w:val="en-US"/>
              </w:rPr>
              <w:t>Citējot šo dokumentu, lūdzam izmantot šādu atsauci:</w:t>
            </w:r>
          </w:p>
          <w:p w14:paraId="0A4DAE00" w14:textId="0F814951" w:rsidR="00B5534A" w:rsidRPr="00B5534A" w:rsidRDefault="00B5534A" w:rsidP="00AC788C">
            <w:pPr>
              <w:spacing w:before="8" w:line="243" w:lineRule="auto"/>
              <w:ind w:right="1"/>
              <w:rPr>
                <w:rFonts w:ascii="Arial" w:eastAsia="Arial" w:hAnsi="Arial" w:cs="Arial"/>
                <w:noProof/>
                <w:sz w:val="18"/>
                <w:szCs w:val="18"/>
                <w:lang w:val="en-US"/>
              </w:rPr>
            </w:pPr>
            <w:r w:rsidRPr="00B5534A">
              <w:rPr>
                <w:rFonts w:ascii="Times New Roman" w:hAnsi="Times New Roman"/>
                <w:noProof/>
                <w:lang w:val="en-US"/>
              </w:rPr>
              <w:t xml:space="preserve">“OECD, </w:t>
            </w:r>
            <w:r w:rsidRPr="00B5534A">
              <w:rPr>
                <w:rFonts w:ascii="Times New Roman" w:hAnsi="Times New Roman"/>
                <w:i/>
                <w:noProof/>
                <w:lang w:val="en-US"/>
              </w:rPr>
              <w:t>Recommendation of the Council on Transparency and Procedural Fairness in Competition Law Enforcement</w:t>
            </w:r>
            <w:r w:rsidRPr="00B5534A">
              <w:rPr>
                <w:rFonts w:ascii="Times New Roman" w:hAnsi="Times New Roman"/>
                <w:noProof/>
                <w:lang w:val="en-US"/>
              </w:rPr>
              <w:t xml:space="preserve">, OECD/LEGAL/0465” [ESAO </w:t>
            </w:r>
            <w:r w:rsidRPr="00B5534A">
              <w:rPr>
                <w:rFonts w:ascii="Times New Roman" w:hAnsi="Times New Roman"/>
                <w:i/>
                <w:noProof/>
                <w:lang w:val="en-US"/>
              </w:rPr>
              <w:t xml:space="preserve">Padomes Rekomendācija par konkurences tiesību aktu piemērošanas pārskatāmību un </w:t>
            </w:r>
            <w:r w:rsidR="002B116A" w:rsidRPr="002B116A">
              <w:rPr>
                <w:rFonts w:ascii="Times New Roman" w:hAnsi="Times New Roman"/>
                <w:i/>
                <w:noProof/>
                <w:lang w:val="en-US"/>
              </w:rPr>
              <w:t xml:space="preserve">procesuālo </w:t>
            </w:r>
            <w:r w:rsidRPr="00B5534A">
              <w:rPr>
                <w:rFonts w:ascii="Times New Roman" w:hAnsi="Times New Roman"/>
                <w:i/>
                <w:noProof/>
                <w:lang w:val="en-US"/>
              </w:rPr>
              <w:t>taisnīgumu</w:t>
            </w:r>
            <w:r w:rsidRPr="00B5534A">
              <w:rPr>
                <w:rFonts w:ascii="Times New Roman" w:hAnsi="Times New Roman"/>
                <w:noProof/>
                <w:lang w:val="en-US"/>
              </w:rPr>
              <w:t xml:space="preserve">, </w:t>
            </w:r>
            <w:r w:rsidRPr="00B5534A">
              <w:rPr>
                <w:rFonts w:ascii="Times New Roman" w:hAnsi="Times New Roman"/>
                <w:i/>
                <w:noProof/>
                <w:lang w:val="en-US"/>
              </w:rPr>
              <w:t>OECD/LEGAL/0465</w:t>
            </w:r>
            <w:r w:rsidRPr="00B5534A">
              <w:rPr>
                <w:rFonts w:ascii="Times New Roman" w:hAnsi="Times New Roman"/>
                <w:noProof/>
                <w:lang w:val="en-US"/>
              </w:rPr>
              <w:t>].</w:t>
            </w:r>
          </w:p>
        </w:tc>
      </w:tr>
    </w:tbl>
    <w:p w14:paraId="14D5B294" w14:textId="77777777" w:rsidR="00B5534A" w:rsidRPr="00B5534A" w:rsidRDefault="00B5534A" w:rsidP="00B5534A">
      <w:pPr>
        <w:jc w:val="both"/>
        <w:rPr>
          <w:rFonts w:ascii="Times New Roman" w:eastAsia="Arial" w:hAnsi="Times New Roman" w:cs="Times New Roman"/>
          <w:noProof/>
          <w:sz w:val="24"/>
          <w:szCs w:val="24"/>
          <w:lang w:val="en-US"/>
        </w:rPr>
      </w:pPr>
    </w:p>
    <w:p w14:paraId="6530A52A" w14:textId="77777777" w:rsidR="00B5534A" w:rsidRPr="00B5534A" w:rsidRDefault="00B5534A" w:rsidP="00B5534A">
      <w:pPr>
        <w:jc w:val="both"/>
        <w:rPr>
          <w:rFonts w:ascii="Times New Roman" w:hAnsi="Times New Roman"/>
          <w:noProof/>
          <w:sz w:val="24"/>
          <w:lang w:val="en-US"/>
        </w:rPr>
      </w:pPr>
      <w:r w:rsidRPr="00B5534A">
        <w:rPr>
          <w:rFonts w:ascii="Times New Roman" w:hAnsi="Times New Roman"/>
          <w:noProof/>
          <w:sz w:val="24"/>
          <w:lang w:val="en-US"/>
        </w:rPr>
        <w:t>Sērija: ESAO juridiskie instrumenti</w:t>
      </w:r>
    </w:p>
    <w:p w14:paraId="163D2E74" w14:textId="77777777" w:rsidR="00B5534A" w:rsidRPr="00B5534A" w:rsidRDefault="00B5534A" w:rsidP="00B5534A">
      <w:pPr>
        <w:jc w:val="both"/>
        <w:rPr>
          <w:rFonts w:ascii="Times New Roman" w:eastAsia="Arial" w:hAnsi="Times New Roman" w:cs="Times New Roman"/>
          <w:noProof/>
          <w:sz w:val="24"/>
          <w:szCs w:val="24"/>
          <w:lang w:val="en-US"/>
        </w:rPr>
      </w:pPr>
    </w:p>
    <w:p w14:paraId="442BC4B9" w14:textId="77777777" w:rsidR="00B5534A" w:rsidRPr="00B5534A" w:rsidRDefault="00B5534A" w:rsidP="00B5534A">
      <w:pPr>
        <w:jc w:val="both"/>
        <w:rPr>
          <w:rFonts w:ascii="Times New Roman" w:eastAsia="Arial" w:hAnsi="Times New Roman" w:cs="Times New Roman"/>
          <w:noProof/>
          <w:sz w:val="24"/>
          <w:szCs w:val="24"/>
          <w:lang w:val="en-US"/>
        </w:rPr>
      </w:pPr>
    </w:p>
    <w:p w14:paraId="5E26C9F7" w14:textId="77777777" w:rsidR="00B5534A" w:rsidRPr="00B5534A" w:rsidRDefault="00B5534A" w:rsidP="00B5534A">
      <w:pPr>
        <w:jc w:val="both"/>
        <w:rPr>
          <w:rFonts w:ascii="Times New Roman" w:eastAsia="Arial" w:hAnsi="Times New Roman" w:cs="Times New Roman"/>
          <w:noProof/>
          <w:sz w:val="24"/>
          <w:szCs w:val="24"/>
          <w:lang w:val="en-US"/>
        </w:rPr>
      </w:pPr>
    </w:p>
    <w:p w14:paraId="111F03FE" w14:textId="77777777" w:rsidR="00B5534A" w:rsidRPr="00B5534A" w:rsidRDefault="00B5534A" w:rsidP="00B5534A">
      <w:pPr>
        <w:jc w:val="both"/>
        <w:rPr>
          <w:rFonts w:ascii="Times New Roman" w:eastAsia="Arial" w:hAnsi="Times New Roman" w:cs="Times New Roman"/>
          <w:noProof/>
          <w:sz w:val="24"/>
          <w:szCs w:val="24"/>
          <w:lang w:val="en-US"/>
        </w:rPr>
      </w:pPr>
      <w:r w:rsidRPr="00B5534A">
        <w:rPr>
          <w:rFonts w:ascii="Times New Roman" w:hAnsi="Times New Roman"/>
          <w:b/>
          <w:noProof/>
          <w:sz w:val="24"/>
          <w:lang w:val="en-US"/>
        </w:rPr>
        <w:t xml:space="preserve">Izmantotās fotogrāfijas: </w:t>
      </w:r>
      <w:r w:rsidRPr="00B5534A">
        <w:rPr>
          <w:rFonts w:ascii="Times New Roman" w:hAnsi="Times New Roman"/>
          <w:noProof/>
          <w:sz w:val="24"/>
          <w:lang w:val="en-US"/>
        </w:rPr>
        <w:t>© TarapongS / iStock</w:t>
      </w:r>
    </w:p>
    <w:p w14:paraId="6DE8D307" w14:textId="77777777" w:rsidR="00B5534A" w:rsidRPr="00B5534A" w:rsidRDefault="00B5534A" w:rsidP="00B5534A">
      <w:pPr>
        <w:jc w:val="both"/>
        <w:rPr>
          <w:rFonts w:ascii="Times New Roman" w:eastAsia="Arial" w:hAnsi="Times New Roman" w:cs="Times New Roman"/>
          <w:noProof/>
          <w:sz w:val="24"/>
          <w:szCs w:val="24"/>
          <w:lang w:val="en-US"/>
        </w:rPr>
      </w:pPr>
    </w:p>
    <w:p w14:paraId="17F4B6BF" w14:textId="77777777" w:rsidR="00B5534A" w:rsidRPr="00B5534A" w:rsidRDefault="00B5534A" w:rsidP="00B5534A">
      <w:pPr>
        <w:jc w:val="both"/>
        <w:rPr>
          <w:rFonts w:ascii="Times New Roman" w:hAnsi="Times New Roman"/>
          <w:noProof/>
          <w:sz w:val="24"/>
          <w:lang w:val="en-US"/>
        </w:rPr>
      </w:pPr>
      <w:r w:rsidRPr="00B5534A">
        <w:rPr>
          <w:rFonts w:ascii="Times New Roman" w:hAnsi="Times New Roman"/>
          <w:noProof/>
          <w:sz w:val="24"/>
          <w:lang w:val="en-US"/>
        </w:rPr>
        <w:t>© ESAO 2021. gads</w:t>
      </w:r>
    </w:p>
    <w:p w14:paraId="221372F6" w14:textId="77777777" w:rsidR="00B5534A" w:rsidRPr="00B5534A" w:rsidRDefault="00B5534A" w:rsidP="00B5534A">
      <w:pPr>
        <w:jc w:val="both"/>
        <w:rPr>
          <w:rFonts w:ascii="Times New Roman" w:eastAsia="Arial" w:hAnsi="Times New Roman" w:cs="Times New Roman"/>
          <w:noProof/>
          <w:sz w:val="24"/>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B5534A" w:rsidRPr="00B5534A" w14:paraId="4053EC75" w14:textId="77777777" w:rsidTr="00AC788C">
        <w:tc>
          <w:tcPr>
            <w:tcW w:w="9288" w:type="dxa"/>
          </w:tcPr>
          <w:p w14:paraId="5F2E1C56" w14:textId="77777777" w:rsidR="00B5534A" w:rsidRPr="00B5534A" w:rsidRDefault="00B5534A" w:rsidP="00AC788C">
            <w:pPr>
              <w:jc w:val="both"/>
              <w:rPr>
                <w:rFonts w:ascii="Times New Roman" w:hAnsi="Times New Roman"/>
                <w:noProof/>
                <w:lang w:val="en-US"/>
              </w:rPr>
            </w:pPr>
            <w:r w:rsidRPr="00B5534A">
              <w:rPr>
                <w:rFonts w:ascii="Times New Roman" w:hAnsi="Times New Roman"/>
                <w:noProof/>
                <w:lang w:val="en-US"/>
              </w:rPr>
              <w:t>Šis dokuments tiek nodrošināts bez maksas. To drīkst reproducēt un izplatīt bez maksas, nepieprasot nekādas turpmākas atļaujas, kamēr vien tas nekādā veidā netiek pārveidots. To nedrīkst pārdot.</w:t>
            </w:r>
          </w:p>
          <w:p w14:paraId="0701E856" w14:textId="77777777" w:rsidR="00B5534A" w:rsidRPr="00B5534A" w:rsidRDefault="00B5534A" w:rsidP="00AC788C">
            <w:pPr>
              <w:jc w:val="both"/>
              <w:rPr>
                <w:rFonts w:ascii="Times New Roman" w:eastAsia="Arial" w:hAnsi="Times New Roman" w:cs="Times New Roman"/>
                <w:noProof/>
                <w:lang w:val="en-US"/>
              </w:rPr>
            </w:pPr>
          </w:p>
          <w:p w14:paraId="6F3ADD97" w14:textId="77777777" w:rsidR="00B5534A" w:rsidRPr="00B5534A" w:rsidRDefault="00B5534A" w:rsidP="00AC788C">
            <w:pPr>
              <w:jc w:val="both"/>
              <w:rPr>
                <w:rFonts w:ascii="Times New Roman" w:hAnsi="Times New Roman"/>
                <w:i/>
                <w:noProof/>
                <w:lang w:val="en-US"/>
              </w:rPr>
            </w:pPr>
            <w:r w:rsidRPr="00B5534A">
              <w:rPr>
                <w:rFonts w:ascii="Times New Roman" w:hAnsi="Times New Roman"/>
                <w:noProof/>
                <w:lang w:val="en-US"/>
              </w:rPr>
              <w:t xml:space="preserve">Šis dokuments ir pieejams abās ESAO oficiālajās valodās (angļu un franču valodā). To drīkst tulkot citās valodās, ja tulkojums tiek apzīmēts ar uzrakstu “neoficiāls tulkojums” un ietver šādu atrunu: </w:t>
            </w:r>
            <w:r w:rsidRPr="00B5534A">
              <w:rPr>
                <w:rFonts w:ascii="Times New Roman" w:hAnsi="Times New Roman"/>
                <w:i/>
                <w:noProof/>
                <w:lang w:val="en-US"/>
              </w:rPr>
              <w:t>“Šo tulkojumu ir sagatavojis [TULKOJUMA AUTORA VĀRDS, UZVĀRDS], un tas ir paredzēts tikai informatīviem mērķiem, un ESAO nevar garantēt tā pareizību. Vienīgās oficiālās versijas ir teksti angļu un franču valodā, kas pieejami ESAO tīmekļa vietnē http://legalinstruments.oecd.org.”</w:t>
            </w:r>
          </w:p>
        </w:tc>
      </w:tr>
    </w:tbl>
    <w:p w14:paraId="6EA30F0E" w14:textId="77777777" w:rsidR="00B5534A" w:rsidRPr="00B5534A" w:rsidRDefault="00B5534A" w:rsidP="00B5534A">
      <w:pPr>
        <w:rPr>
          <w:noProof/>
          <w:lang w:val="en-US"/>
        </w:rPr>
      </w:pPr>
      <w:r w:rsidRPr="00B5534A">
        <w:rPr>
          <w:noProof/>
          <w:lang w:val="en-US"/>
        </w:rPr>
        <w:br w:type="page"/>
      </w:r>
    </w:p>
    <w:p w14:paraId="00858207" w14:textId="77777777" w:rsidR="00B5534A" w:rsidRPr="00B5534A" w:rsidRDefault="00B5534A" w:rsidP="00B5534A">
      <w:pPr>
        <w:jc w:val="both"/>
        <w:rPr>
          <w:rFonts w:ascii="Times New Roman" w:eastAsia="Arial" w:hAnsi="Times New Roman" w:cs="Times New Roman"/>
          <w:i/>
          <w:noProof/>
          <w:sz w:val="24"/>
          <w:szCs w:val="24"/>
          <w:lang w:val="en-US"/>
        </w:rPr>
      </w:pPr>
    </w:p>
    <w:p w14:paraId="1CD9F66D" w14:textId="77777777" w:rsidR="00B5534A" w:rsidRPr="00B5534A" w:rsidRDefault="00B5534A" w:rsidP="00B5534A">
      <w:pPr>
        <w:jc w:val="both"/>
        <w:rPr>
          <w:rFonts w:ascii="Times New Roman" w:hAnsi="Times New Roman"/>
          <w:b/>
          <w:noProof/>
          <w:color w:val="1E487C"/>
          <w:sz w:val="28"/>
          <w:lang w:val="en-US"/>
        </w:rPr>
      </w:pPr>
      <w:r w:rsidRPr="00B5534A">
        <w:rPr>
          <w:rFonts w:ascii="Times New Roman" w:hAnsi="Times New Roman"/>
          <w:b/>
          <w:noProof/>
          <w:color w:val="1E487C"/>
          <w:sz w:val="28"/>
          <w:lang w:val="en-US"/>
        </w:rPr>
        <w:t>Vispārīga informācija</w:t>
      </w:r>
    </w:p>
    <w:p w14:paraId="70CF69B2" w14:textId="77777777" w:rsidR="00B5534A" w:rsidRPr="00B5534A" w:rsidRDefault="00B5534A" w:rsidP="00B5534A">
      <w:pPr>
        <w:jc w:val="both"/>
        <w:rPr>
          <w:rFonts w:ascii="Times New Roman" w:eastAsia="Arial" w:hAnsi="Times New Roman" w:cs="Times New Roman"/>
          <w:b/>
          <w:bCs/>
          <w:noProof/>
          <w:sz w:val="24"/>
          <w:szCs w:val="24"/>
          <w:lang w:val="en-US"/>
        </w:rPr>
      </w:pPr>
    </w:p>
    <w:p w14:paraId="6016BC8C" w14:textId="54448356"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 xml:space="preserve">Rekomendāciju par konkurences tiesību aktu piemērošanas pārskatāmību un </w:t>
      </w:r>
      <w:r w:rsidR="005D536C" w:rsidRPr="005D536C">
        <w:rPr>
          <w:rFonts w:ascii="Times New Roman" w:hAnsi="Times New Roman"/>
          <w:noProof/>
          <w:sz w:val="24"/>
          <w:lang w:val="en-US"/>
        </w:rPr>
        <w:t xml:space="preserve">procesuālo </w:t>
      </w:r>
      <w:r w:rsidRPr="00B5534A">
        <w:rPr>
          <w:rFonts w:ascii="Times New Roman" w:hAnsi="Times New Roman"/>
          <w:noProof/>
          <w:sz w:val="24"/>
          <w:lang w:val="en-US"/>
        </w:rPr>
        <w:t>taisnīgumu (turpmāk – “Rekomendācija”) 2021. gada 6. oktobrī pieņēma ESAO Padome pēc Konkurences komitejas priekšlikuma.</w:t>
      </w:r>
    </w:p>
    <w:p w14:paraId="634C3839" w14:textId="77777777" w:rsidR="00B5534A" w:rsidRPr="00B5534A" w:rsidRDefault="00B5534A" w:rsidP="00B5534A">
      <w:pPr>
        <w:jc w:val="both"/>
        <w:rPr>
          <w:rFonts w:ascii="Times New Roman" w:eastAsia="Arial" w:hAnsi="Times New Roman" w:cs="Times New Roman"/>
          <w:noProof/>
          <w:sz w:val="24"/>
          <w:szCs w:val="24"/>
          <w:lang w:val="en-US"/>
        </w:rPr>
      </w:pPr>
    </w:p>
    <w:p w14:paraId="7E15DC16" w14:textId="77046609"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 xml:space="preserve">Šajā rekomendācijā noteikti kopīgi konkurences tiesību aktu pārskatāmas un godīgas piemērošanas standarti. Tās mērķis ir nodrošināt objektīvu un </w:t>
      </w:r>
      <w:r w:rsidR="005D536C" w:rsidRPr="005D536C">
        <w:rPr>
          <w:rFonts w:ascii="Times New Roman" w:hAnsi="Times New Roman"/>
          <w:noProof/>
          <w:sz w:val="24"/>
          <w:lang w:val="en-US"/>
        </w:rPr>
        <w:t xml:space="preserve">saprātīgu </w:t>
      </w:r>
      <w:r w:rsidRPr="00B5534A">
        <w:rPr>
          <w:rFonts w:ascii="Times New Roman" w:hAnsi="Times New Roman"/>
          <w:noProof/>
          <w:sz w:val="24"/>
          <w:lang w:val="en-US"/>
        </w:rPr>
        <w:t>attieksmi pret pusēm, attiecībā pret kurām tiek veikta izmeklēšana, un to aizstāvības tiesību īstenošanu. Tās mērķis ir arī uzlabot piemērošanas lēmumu precizitāti un efektivitāti.</w:t>
      </w:r>
    </w:p>
    <w:p w14:paraId="27A94216" w14:textId="77777777" w:rsidR="00B5534A" w:rsidRPr="00B5534A" w:rsidRDefault="00B5534A" w:rsidP="00B5534A">
      <w:pPr>
        <w:jc w:val="both"/>
        <w:rPr>
          <w:rFonts w:ascii="Times New Roman" w:eastAsia="Arial" w:hAnsi="Times New Roman" w:cs="Times New Roman"/>
          <w:noProof/>
          <w:sz w:val="24"/>
          <w:szCs w:val="24"/>
          <w:lang w:val="en-US"/>
        </w:rPr>
      </w:pPr>
    </w:p>
    <w:p w14:paraId="235916D8" w14:textId="2FFA9754" w:rsidR="00B5534A" w:rsidRPr="00B5534A" w:rsidRDefault="00B5534A" w:rsidP="00B5534A">
      <w:pPr>
        <w:pStyle w:val="Heading4"/>
        <w:ind w:left="0"/>
        <w:jc w:val="both"/>
        <w:rPr>
          <w:rFonts w:ascii="Times New Roman" w:hAnsi="Times New Roman"/>
          <w:noProof/>
          <w:sz w:val="24"/>
          <w:lang w:val="en-US"/>
        </w:rPr>
      </w:pPr>
      <w:r w:rsidRPr="00B5534A">
        <w:rPr>
          <w:rFonts w:ascii="Times New Roman" w:hAnsi="Times New Roman"/>
          <w:noProof/>
          <w:sz w:val="24"/>
          <w:lang w:val="en-US"/>
        </w:rPr>
        <w:t xml:space="preserve">ESAO darbs attiecībā uz konkurences tiesību aktu piemērošanas pārskatāmību un </w:t>
      </w:r>
      <w:r w:rsidR="005D536C" w:rsidRPr="005D536C">
        <w:rPr>
          <w:rFonts w:ascii="Times New Roman" w:hAnsi="Times New Roman"/>
          <w:noProof/>
          <w:sz w:val="24"/>
          <w:lang w:val="en-US"/>
        </w:rPr>
        <w:t xml:space="preserve">procesuālo </w:t>
      </w:r>
      <w:r w:rsidRPr="00B5534A">
        <w:rPr>
          <w:rFonts w:ascii="Times New Roman" w:hAnsi="Times New Roman"/>
          <w:noProof/>
          <w:sz w:val="24"/>
          <w:lang w:val="en-US"/>
        </w:rPr>
        <w:t>taisnīgumu un nepieciešamība izstrādāt rekomendāciju</w:t>
      </w:r>
    </w:p>
    <w:p w14:paraId="2BCE0F92" w14:textId="77777777" w:rsidR="00B5534A" w:rsidRPr="00B5534A" w:rsidRDefault="00B5534A" w:rsidP="00B5534A">
      <w:pPr>
        <w:jc w:val="both"/>
        <w:rPr>
          <w:rFonts w:ascii="Times New Roman" w:eastAsia="Arial" w:hAnsi="Times New Roman" w:cs="Times New Roman"/>
          <w:b/>
          <w:bCs/>
          <w:i/>
          <w:noProof/>
          <w:sz w:val="24"/>
          <w:szCs w:val="24"/>
          <w:lang w:val="en-US"/>
        </w:rPr>
      </w:pPr>
    </w:p>
    <w:p w14:paraId="1B38293C" w14:textId="32B464A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 xml:space="preserve">Jautājumus par konkurences tiesību aktu piemērošanas pārskatāmību un </w:t>
      </w:r>
      <w:r w:rsidR="00635F52" w:rsidRPr="00635F52">
        <w:rPr>
          <w:rFonts w:ascii="Times New Roman" w:hAnsi="Times New Roman"/>
          <w:noProof/>
          <w:sz w:val="24"/>
          <w:lang w:val="en-US"/>
        </w:rPr>
        <w:t xml:space="preserve">procesuālo </w:t>
      </w:r>
      <w:r w:rsidRPr="00B5534A">
        <w:rPr>
          <w:rFonts w:ascii="Times New Roman" w:hAnsi="Times New Roman"/>
          <w:noProof/>
          <w:sz w:val="24"/>
          <w:lang w:val="en-US"/>
        </w:rPr>
        <w:t>taisnīgumu Konkurences komiteja ir aplūkojusi dažādos aspektos kopš 2011. gada. Padome ir arī atzinusi pārskatāmības un godīguma standartu nozīmi vairākos ESAO juridiskajos instrumentos, kas attiecas uz konkurences tiesību aktu piemērošanu (skat. “saistītos juridiskos instrumentus”).</w:t>
      </w:r>
    </w:p>
    <w:p w14:paraId="5492AA6D" w14:textId="77777777" w:rsidR="00B5534A" w:rsidRPr="00B5534A" w:rsidRDefault="00B5534A" w:rsidP="00B5534A">
      <w:pPr>
        <w:jc w:val="both"/>
        <w:rPr>
          <w:rFonts w:ascii="Times New Roman" w:eastAsia="Arial" w:hAnsi="Times New Roman" w:cs="Times New Roman"/>
          <w:noProof/>
          <w:sz w:val="24"/>
          <w:szCs w:val="24"/>
          <w:lang w:val="en-US"/>
        </w:rPr>
      </w:pPr>
    </w:p>
    <w:p w14:paraId="19A10A51"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Veicot ESAO analītisko darbu, tika konstatēts, ka ir nepieciešami minimālie konkurences tiesību aktu piemērošanas principi, kas ir universāli piemērojami, neatkarīgi no tā, ka dažādās jurisdikcijās ir tiesiskas, kultūras un institucionālas atšķirības. Konkurences tiesību aktu piemērošanas procesam ir jābūt godīgam, prognozējamam un pārskatāmam, tajā apvienojot efektīvus noteikumus, objektīvas un neatkarīgas institūcijas un labu praksi. To par tādu ir jāuzskata skartajām un ieinteresētajām pusēm, kā arī pilsoņiem, šādā veidā nodrošinot sabiedrības uzticēšanos tiesībaizsardzības procesam. Ja piemērošanas procesā ir trūkumi, tas var diskreditēt izmeklēšanu, kaitēt pušu tiesībām, traucēt efektīvi piemērot konkurences tiesību aktus un iedragāt sabiedrības uzticēšanos.</w:t>
      </w:r>
    </w:p>
    <w:p w14:paraId="52157C6C" w14:textId="77777777" w:rsidR="00B5534A" w:rsidRPr="00B5534A" w:rsidRDefault="00B5534A" w:rsidP="00B5534A">
      <w:pPr>
        <w:jc w:val="both"/>
        <w:rPr>
          <w:rFonts w:ascii="Times New Roman" w:eastAsia="Arial" w:hAnsi="Times New Roman" w:cs="Times New Roman"/>
          <w:noProof/>
          <w:sz w:val="24"/>
          <w:szCs w:val="24"/>
          <w:lang w:val="en-US"/>
        </w:rPr>
      </w:pPr>
    </w:p>
    <w:p w14:paraId="1D532184" w14:textId="471346B6"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 xml:space="preserve">Darbs ar šo jautājumu ESAO ir pastiprinājies kopš 2019. gada, diskusijās par pārskatāmību un </w:t>
      </w:r>
      <w:r w:rsidR="00635F52" w:rsidRPr="00635F52">
        <w:rPr>
          <w:rFonts w:ascii="Times New Roman" w:hAnsi="Times New Roman"/>
          <w:noProof/>
          <w:sz w:val="24"/>
          <w:lang w:val="en-US"/>
        </w:rPr>
        <w:t xml:space="preserve">procesuālo </w:t>
      </w:r>
      <w:r w:rsidRPr="00B5534A">
        <w:rPr>
          <w:rFonts w:ascii="Times New Roman" w:hAnsi="Times New Roman"/>
          <w:noProof/>
          <w:sz w:val="24"/>
          <w:lang w:val="en-US"/>
        </w:rPr>
        <w:t>taisnīgumu pievēršot uzmanību tam, ka ir nepieciešami kopīgi konkurences tiesību aktu piemērošanas principi. Šā darba galvenais rezultāts ir šī rekomendācija.</w:t>
      </w:r>
    </w:p>
    <w:p w14:paraId="1939761C" w14:textId="77777777" w:rsidR="00B5534A" w:rsidRPr="00B5534A" w:rsidRDefault="00B5534A" w:rsidP="00B5534A">
      <w:pPr>
        <w:jc w:val="both"/>
        <w:rPr>
          <w:rFonts w:ascii="Times New Roman" w:eastAsia="Arial" w:hAnsi="Times New Roman" w:cs="Times New Roman"/>
          <w:noProof/>
          <w:sz w:val="24"/>
          <w:szCs w:val="24"/>
          <w:lang w:val="en-US"/>
        </w:rPr>
      </w:pPr>
    </w:p>
    <w:p w14:paraId="4C74C9A4" w14:textId="77777777" w:rsidR="00B5534A" w:rsidRPr="00B5534A" w:rsidRDefault="00B5534A" w:rsidP="00B5534A">
      <w:pPr>
        <w:pStyle w:val="Heading4"/>
        <w:ind w:left="0"/>
        <w:jc w:val="both"/>
        <w:rPr>
          <w:rFonts w:ascii="Times New Roman" w:hAnsi="Times New Roman"/>
          <w:noProof/>
          <w:sz w:val="24"/>
          <w:lang w:val="en-US"/>
        </w:rPr>
      </w:pPr>
      <w:r w:rsidRPr="00B5534A">
        <w:rPr>
          <w:rFonts w:ascii="Times New Roman" w:hAnsi="Times New Roman"/>
          <w:noProof/>
          <w:sz w:val="24"/>
          <w:lang w:val="en-US"/>
        </w:rPr>
        <w:t>Rekomendācijas izstrādāšanas process</w:t>
      </w:r>
    </w:p>
    <w:p w14:paraId="37687EA2" w14:textId="77777777" w:rsidR="00B5534A" w:rsidRPr="00B5534A" w:rsidRDefault="00B5534A" w:rsidP="00B5534A">
      <w:pPr>
        <w:jc w:val="both"/>
        <w:rPr>
          <w:rFonts w:ascii="Times New Roman" w:eastAsia="Arial" w:hAnsi="Times New Roman" w:cs="Times New Roman"/>
          <w:b/>
          <w:bCs/>
          <w:i/>
          <w:noProof/>
          <w:sz w:val="24"/>
          <w:szCs w:val="24"/>
          <w:lang w:val="en-US"/>
        </w:rPr>
      </w:pPr>
    </w:p>
    <w:p w14:paraId="3ECECF77" w14:textId="205F52AD"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 xml:space="preserve">Konkurences komiteja izvēlējās pārskatāmību un </w:t>
      </w:r>
      <w:r w:rsidR="00635F52" w:rsidRPr="00635F52">
        <w:rPr>
          <w:rFonts w:ascii="Times New Roman" w:hAnsi="Times New Roman"/>
          <w:noProof/>
          <w:sz w:val="24"/>
          <w:lang w:val="en-US"/>
        </w:rPr>
        <w:t xml:space="preserve">procesuālo </w:t>
      </w:r>
      <w:r w:rsidRPr="00B5534A">
        <w:rPr>
          <w:rFonts w:ascii="Times New Roman" w:hAnsi="Times New Roman"/>
          <w:noProof/>
          <w:sz w:val="24"/>
          <w:lang w:val="en-US"/>
        </w:rPr>
        <w:t>taisnīgumu par vienu no ilgtermiņa tēmām savai 2019.–2020. gada darba un budžeta programmai divu gadu periodam. Rezultātā Konkurences komitejas 3. darba grupa par sadarbības un piemērošanas jautājumiem sāka rīkot apaļā galda diskusijas par šo jautājumu un izstrādāt šo rekomendāciju.</w:t>
      </w:r>
    </w:p>
    <w:p w14:paraId="1EF9CE11" w14:textId="77777777" w:rsidR="00B5534A" w:rsidRPr="00B5534A" w:rsidRDefault="00B5534A" w:rsidP="00B5534A">
      <w:pPr>
        <w:jc w:val="both"/>
        <w:rPr>
          <w:rFonts w:ascii="Times New Roman" w:eastAsia="Arial" w:hAnsi="Times New Roman" w:cs="Times New Roman"/>
          <w:noProof/>
          <w:sz w:val="24"/>
          <w:szCs w:val="24"/>
          <w:lang w:val="en-US"/>
        </w:rPr>
      </w:pPr>
    </w:p>
    <w:p w14:paraId="706320BD"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Rekomendācija tika pieņemta pēc 2 gadus ilga konsultāciju procesa. Šajā procesā noderīgi bija Starptautiskā konkurences iestāžu tīkla, “</w:t>
      </w:r>
      <w:r w:rsidRPr="00B5534A">
        <w:rPr>
          <w:rFonts w:ascii="Times New Roman" w:hAnsi="Times New Roman"/>
          <w:i/>
          <w:noProof/>
          <w:sz w:val="24"/>
          <w:lang w:val="en-US"/>
        </w:rPr>
        <w:t>Business at OECD</w:t>
      </w:r>
      <w:r w:rsidRPr="00B5534A">
        <w:rPr>
          <w:rFonts w:ascii="Times New Roman" w:hAnsi="Times New Roman"/>
          <w:noProof/>
          <w:sz w:val="24"/>
          <w:lang w:val="en-US"/>
        </w:rPr>
        <w:t>” (</w:t>
      </w:r>
      <w:r w:rsidRPr="00B5534A">
        <w:rPr>
          <w:rFonts w:ascii="Times New Roman" w:hAnsi="Times New Roman"/>
          <w:i/>
          <w:noProof/>
          <w:sz w:val="24"/>
          <w:lang w:val="en-US"/>
        </w:rPr>
        <w:t>BIAC</w:t>
      </w:r>
      <w:r w:rsidRPr="00B5534A">
        <w:rPr>
          <w:rFonts w:ascii="Times New Roman" w:hAnsi="Times New Roman"/>
          <w:noProof/>
          <w:sz w:val="24"/>
          <w:lang w:val="en-US"/>
        </w:rPr>
        <w:t>), Starptautiskās advokātu asociācijas, STP Konkurences komisijas, Apvienoto Nāciju Organizācijas Tirdzniecības un attīstības konferences, Pasaules Bankas un Pasaules Tirdzniecības organizācijas viedokļi. Ekonomisko regulatoru tīkls – ESAO Regulatīvās politikas komitejas apakšstruktūra – sniedza komentārus.</w:t>
      </w:r>
    </w:p>
    <w:p w14:paraId="25EBE634" w14:textId="77777777" w:rsidR="00B5534A" w:rsidRPr="00B5534A" w:rsidRDefault="00B5534A" w:rsidP="00B5534A">
      <w:pPr>
        <w:jc w:val="both"/>
        <w:rPr>
          <w:rFonts w:ascii="Times New Roman" w:hAnsi="Times New Roman"/>
          <w:noProof/>
          <w:sz w:val="24"/>
          <w:lang w:val="en-US"/>
        </w:rPr>
      </w:pPr>
    </w:p>
    <w:p w14:paraId="65EB0FF6" w14:textId="77777777" w:rsidR="00B5534A" w:rsidRPr="00B5534A" w:rsidRDefault="00B5534A" w:rsidP="00B5534A">
      <w:pPr>
        <w:pStyle w:val="Heading4"/>
        <w:keepNext/>
        <w:keepLines/>
        <w:ind w:left="0"/>
        <w:jc w:val="both"/>
        <w:rPr>
          <w:rFonts w:ascii="Times New Roman" w:hAnsi="Times New Roman"/>
          <w:noProof/>
          <w:sz w:val="24"/>
          <w:lang w:val="en-US"/>
        </w:rPr>
      </w:pPr>
      <w:r w:rsidRPr="00B5534A">
        <w:rPr>
          <w:rFonts w:ascii="Times New Roman" w:hAnsi="Times New Roman"/>
          <w:noProof/>
          <w:sz w:val="24"/>
          <w:lang w:val="en-US"/>
        </w:rPr>
        <w:lastRenderedPageBreak/>
        <w:t>Rekomendācijas darbības joma</w:t>
      </w:r>
    </w:p>
    <w:p w14:paraId="05D03D9E" w14:textId="77777777" w:rsidR="00B5534A" w:rsidRPr="00B5534A" w:rsidRDefault="00B5534A" w:rsidP="00B5534A">
      <w:pPr>
        <w:keepNext/>
        <w:keepLines/>
        <w:jc w:val="both"/>
        <w:rPr>
          <w:rFonts w:ascii="Times New Roman" w:eastAsia="Arial" w:hAnsi="Times New Roman" w:cs="Times New Roman"/>
          <w:b/>
          <w:bCs/>
          <w:i/>
          <w:noProof/>
          <w:sz w:val="24"/>
          <w:szCs w:val="24"/>
          <w:lang w:val="en-US"/>
        </w:rPr>
      </w:pPr>
    </w:p>
    <w:p w14:paraId="20D8836F" w14:textId="17E80D84" w:rsidR="00B5534A" w:rsidRPr="00B5534A" w:rsidRDefault="00B5534A" w:rsidP="00B5534A">
      <w:pPr>
        <w:pStyle w:val="BodyText"/>
        <w:keepNext/>
        <w:keepLines/>
        <w:ind w:left="0" w:firstLine="0"/>
        <w:jc w:val="both"/>
        <w:rPr>
          <w:rFonts w:ascii="Times New Roman" w:hAnsi="Times New Roman"/>
          <w:noProof/>
          <w:sz w:val="24"/>
          <w:lang w:val="en-US"/>
        </w:rPr>
      </w:pPr>
      <w:r w:rsidRPr="00B5534A">
        <w:rPr>
          <w:rFonts w:ascii="Times New Roman" w:hAnsi="Times New Roman"/>
          <w:noProof/>
          <w:sz w:val="24"/>
          <w:lang w:val="en-US"/>
        </w:rPr>
        <w:t xml:space="preserve">Rekomendācijā noteikti principi, pamatojoties uz kuriem dalībvalstis un citas valstis, kas nav dalībvalstis un īsteno šo rekomendāciju (kopā dēvētas par “īstenotājiem”), var izstrādāt un novērtēt savu konkurences tiesību piemērošanas sistēmu un veikt politikas reformas. Šie principi ir šādi: pārskatāmība un paredzamība; neatkarība, objektivitāte un profesionālisms; nediskriminācija un proporcionaliāte; savlaicīgums; jēgpilna iesaistīšanās; konfidenciālas informācijas un </w:t>
      </w:r>
      <w:r w:rsidR="00D43550" w:rsidRPr="00D43550">
        <w:rPr>
          <w:rFonts w:ascii="Times New Roman" w:hAnsi="Times New Roman"/>
          <w:noProof/>
          <w:sz w:val="24"/>
          <w:lang w:val="en-US"/>
        </w:rPr>
        <w:t>juridiskās privilēģijas aizsardzība; pārskatīšana tiesā.</w:t>
      </w:r>
    </w:p>
    <w:p w14:paraId="2D36F32C" w14:textId="77777777" w:rsidR="00B5534A" w:rsidRPr="00B5534A" w:rsidRDefault="00B5534A" w:rsidP="00B5534A">
      <w:pPr>
        <w:jc w:val="both"/>
        <w:rPr>
          <w:rFonts w:ascii="Times New Roman" w:eastAsia="Arial" w:hAnsi="Times New Roman" w:cs="Times New Roman"/>
          <w:noProof/>
          <w:sz w:val="24"/>
          <w:szCs w:val="24"/>
          <w:lang w:val="en-US"/>
        </w:rPr>
      </w:pPr>
    </w:p>
    <w:p w14:paraId="301B9B27"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Rekomendācija nostiprina citus starptautiskos standartus, kas paredzēti konkurences iestādēm, padarot tos par valdībām paredzētām augstāka līmeņa politikas rekomendācijām un gūstot valdību atbalstu to īstenošanā. Tas ir elastīgs instruments, kuru paredzēts piemērot saskaņā ar īstenotāju tiesisko regulējumu un institucionālo sistēmu.</w:t>
      </w:r>
    </w:p>
    <w:p w14:paraId="2E1BFB8A" w14:textId="77777777" w:rsidR="00B5534A" w:rsidRPr="00B5534A" w:rsidRDefault="00B5534A" w:rsidP="00B5534A">
      <w:pPr>
        <w:jc w:val="both"/>
        <w:rPr>
          <w:rFonts w:ascii="Times New Roman" w:eastAsia="Arial" w:hAnsi="Times New Roman" w:cs="Times New Roman"/>
          <w:noProof/>
          <w:sz w:val="24"/>
          <w:szCs w:val="24"/>
          <w:lang w:val="en-US"/>
        </w:rPr>
      </w:pPr>
    </w:p>
    <w:p w14:paraId="028DA4D8" w14:textId="77777777" w:rsidR="00B5534A" w:rsidRPr="00B5534A" w:rsidRDefault="00B5534A" w:rsidP="00B5534A">
      <w:pPr>
        <w:pStyle w:val="Heading4"/>
        <w:ind w:left="0"/>
        <w:jc w:val="both"/>
        <w:rPr>
          <w:rFonts w:ascii="Times New Roman" w:hAnsi="Times New Roman"/>
          <w:noProof/>
          <w:sz w:val="24"/>
          <w:lang w:val="en-US"/>
        </w:rPr>
      </w:pPr>
      <w:r w:rsidRPr="00B5534A">
        <w:rPr>
          <w:rFonts w:ascii="Times New Roman" w:hAnsi="Times New Roman"/>
          <w:noProof/>
          <w:sz w:val="24"/>
          <w:lang w:val="en-US"/>
        </w:rPr>
        <w:t>Nākamie soļi</w:t>
      </w:r>
    </w:p>
    <w:p w14:paraId="0EF99F6E" w14:textId="77777777" w:rsidR="00B5534A" w:rsidRPr="00B5534A" w:rsidRDefault="00B5534A" w:rsidP="00B5534A">
      <w:pPr>
        <w:jc w:val="both"/>
        <w:rPr>
          <w:rFonts w:ascii="Times New Roman" w:eastAsia="Arial" w:hAnsi="Times New Roman" w:cs="Times New Roman"/>
          <w:b/>
          <w:bCs/>
          <w:i/>
          <w:noProof/>
          <w:sz w:val="24"/>
          <w:szCs w:val="24"/>
          <w:lang w:val="en-US"/>
        </w:rPr>
      </w:pPr>
    </w:p>
    <w:p w14:paraId="1965F1D8"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Konkurences komiteja uzraudzīs Rekomendācijas īstenošanu un ziņos Padomei piecus gadus pēc tās pieņemšanas un pēc tam – ne retāk kā ik pēc 10 gadiem. Tā apsvērs arī īstenošanas metodiskā līdzekļa izstrādi. Līdztekus tam sekretariāts turpinās pilnveidot attiecīgo analītisko darbu, rīkojot apaļā galda diskusijas, seminārus un konferences.</w:t>
      </w:r>
    </w:p>
    <w:p w14:paraId="76FB9C65" w14:textId="77777777" w:rsidR="00B5534A" w:rsidRPr="00B5534A" w:rsidRDefault="00B5534A" w:rsidP="00B5534A">
      <w:pPr>
        <w:jc w:val="both"/>
        <w:rPr>
          <w:rFonts w:ascii="Times New Roman" w:eastAsia="Arial" w:hAnsi="Times New Roman" w:cs="Times New Roman"/>
          <w:noProof/>
          <w:sz w:val="24"/>
          <w:szCs w:val="24"/>
          <w:lang w:val="en-US"/>
        </w:rPr>
      </w:pPr>
    </w:p>
    <w:p w14:paraId="2DABBFFC" w14:textId="77777777" w:rsidR="00B5534A" w:rsidRPr="00B5534A" w:rsidRDefault="00B5534A" w:rsidP="00B5534A">
      <w:pPr>
        <w:jc w:val="both"/>
        <w:rPr>
          <w:rFonts w:ascii="Times New Roman" w:eastAsia="Arial" w:hAnsi="Times New Roman" w:cs="Times New Roman"/>
          <w:noProof/>
          <w:sz w:val="24"/>
          <w:szCs w:val="24"/>
          <w:lang w:val="en-US"/>
        </w:rPr>
      </w:pPr>
    </w:p>
    <w:p w14:paraId="30F0F29A" w14:textId="77777777" w:rsidR="00B5534A" w:rsidRPr="00B5534A" w:rsidRDefault="00B5534A" w:rsidP="00B5534A">
      <w:pPr>
        <w:jc w:val="both"/>
        <w:rPr>
          <w:rFonts w:ascii="Times New Roman" w:hAnsi="Times New Roman"/>
          <w:i/>
          <w:noProof/>
          <w:sz w:val="24"/>
          <w:lang w:val="en-US"/>
        </w:rPr>
      </w:pPr>
      <w:r w:rsidRPr="00B5534A">
        <w:rPr>
          <w:rFonts w:ascii="Times New Roman" w:hAnsi="Times New Roman"/>
          <w:i/>
          <w:noProof/>
          <w:sz w:val="24"/>
          <w:lang w:val="en-US"/>
        </w:rPr>
        <w:t>Papildu informācija pieejama šādā tīmekļa vietnē: www.oecd.org/daf/competition/transparency-and­procedural- fairness-in-competition-law-enforcement.htm.</w:t>
      </w:r>
    </w:p>
    <w:p w14:paraId="2697BF6F" w14:textId="77777777" w:rsidR="00B5534A" w:rsidRPr="00B5534A" w:rsidRDefault="00B5534A" w:rsidP="00B5534A">
      <w:pPr>
        <w:jc w:val="both"/>
        <w:rPr>
          <w:rFonts w:ascii="Times New Roman" w:eastAsia="Arial" w:hAnsi="Times New Roman" w:cs="Times New Roman"/>
          <w:i/>
          <w:noProof/>
          <w:sz w:val="24"/>
          <w:szCs w:val="24"/>
          <w:lang w:val="en-US"/>
        </w:rPr>
      </w:pPr>
    </w:p>
    <w:p w14:paraId="2697D5B9" w14:textId="77777777" w:rsidR="00B5534A" w:rsidRPr="00B5534A" w:rsidRDefault="00B5534A" w:rsidP="00B5534A">
      <w:pPr>
        <w:jc w:val="both"/>
        <w:rPr>
          <w:rFonts w:ascii="Times New Roman" w:hAnsi="Times New Roman"/>
          <w:i/>
          <w:noProof/>
          <w:sz w:val="24"/>
          <w:lang w:val="en-US"/>
        </w:rPr>
      </w:pPr>
      <w:r w:rsidRPr="00B5534A">
        <w:rPr>
          <w:rFonts w:ascii="Times New Roman" w:hAnsi="Times New Roman"/>
          <w:i/>
          <w:noProof/>
          <w:sz w:val="24"/>
          <w:lang w:val="en-US"/>
        </w:rPr>
        <w:t>Kontaktinformācija: DAFCOMPContact@oecd.org.</w:t>
      </w:r>
    </w:p>
    <w:p w14:paraId="29EEF03A" w14:textId="77777777" w:rsidR="00B5534A" w:rsidRPr="00B5534A" w:rsidRDefault="00B5534A" w:rsidP="00B5534A">
      <w:pPr>
        <w:rPr>
          <w:noProof/>
          <w:lang w:val="en-US"/>
        </w:rPr>
      </w:pPr>
      <w:r w:rsidRPr="00B5534A">
        <w:rPr>
          <w:noProof/>
          <w:lang w:val="en-US"/>
        </w:rPr>
        <w:br w:type="page"/>
      </w:r>
    </w:p>
    <w:p w14:paraId="4E82A8A0" w14:textId="77777777" w:rsidR="00B5534A" w:rsidRPr="00B5534A" w:rsidRDefault="00B5534A" w:rsidP="00B5534A">
      <w:pPr>
        <w:jc w:val="both"/>
        <w:rPr>
          <w:rFonts w:ascii="Times New Roman" w:eastAsia="Arial" w:hAnsi="Times New Roman" w:cs="Times New Roman"/>
          <w:i/>
          <w:noProof/>
          <w:sz w:val="24"/>
          <w:szCs w:val="24"/>
          <w:lang w:val="en-US"/>
        </w:rPr>
      </w:pPr>
    </w:p>
    <w:p w14:paraId="058BEDE0" w14:textId="77777777" w:rsidR="00B5534A" w:rsidRPr="00B5534A" w:rsidRDefault="00B5534A" w:rsidP="00B5534A">
      <w:pPr>
        <w:jc w:val="both"/>
        <w:rPr>
          <w:rFonts w:ascii="Times New Roman" w:eastAsia="Arial" w:hAnsi="Times New Roman" w:cs="Times New Roman"/>
          <w:noProof/>
          <w:sz w:val="24"/>
          <w:szCs w:val="24"/>
          <w:lang w:val="en-US"/>
        </w:rPr>
      </w:pPr>
      <w:r w:rsidRPr="00B5534A">
        <w:rPr>
          <w:rFonts w:ascii="Times New Roman" w:hAnsi="Times New Roman"/>
          <w:b/>
          <w:bCs/>
          <w:noProof/>
          <w:sz w:val="24"/>
          <w:lang w:val="en-US"/>
        </w:rPr>
        <w:t>PADOME</w:t>
      </w:r>
      <w:r w:rsidRPr="00B5534A">
        <w:rPr>
          <w:rFonts w:ascii="Times New Roman" w:hAnsi="Times New Roman"/>
          <w:noProof/>
          <w:sz w:val="24"/>
          <w:lang w:val="en-US"/>
        </w:rPr>
        <w:t>,</w:t>
      </w:r>
    </w:p>
    <w:p w14:paraId="6431657E" w14:textId="77777777" w:rsidR="00B5534A" w:rsidRPr="00B5534A" w:rsidRDefault="00B5534A" w:rsidP="00B5534A">
      <w:pPr>
        <w:jc w:val="both"/>
        <w:rPr>
          <w:rFonts w:ascii="Times New Roman" w:eastAsia="Arial" w:hAnsi="Times New Roman" w:cs="Times New Roman"/>
          <w:noProof/>
          <w:sz w:val="24"/>
          <w:szCs w:val="24"/>
          <w:lang w:val="en-US"/>
        </w:rPr>
      </w:pPr>
    </w:p>
    <w:p w14:paraId="560F78AD"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b/>
          <w:noProof/>
          <w:sz w:val="24"/>
          <w:lang w:val="en-US"/>
        </w:rPr>
        <w:t xml:space="preserve">ŅEMOT VĒRĀ </w:t>
      </w:r>
      <w:r w:rsidRPr="00B5534A">
        <w:rPr>
          <w:rFonts w:ascii="Times New Roman" w:hAnsi="Times New Roman"/>
          <w:noProof/>
          <w:sz w:val="24"/>
          <w:lang w:val="en-US"/>
        </w:rPr>
        <w:t>1960. gada 14. decembra Konvencijas par Ekonomiskās sadarbības un attīstības organizāciju 5. panta b) apakšpunktu;</w:t>
      </w:r>
    </w:p>
    <w:p w14:paraId="2A955FE3" w14:textId="77777777" w:rsidR="00B5534A" w:rsidRPr="00B5534A" w:rsidRDefault="00B5534A" w:rsidP="00B5534A">
      <w:pPr>
        <w:jc w:val="both"/>
        <w:rPr>
          <w:rFonts w:ascii="Times New Roman" w:hAnsi="Times New Roman"/>
          <w:noProof/>
          <w:sz w:val="24"/>
          <w:lang w:val="en-US"/>
        </w:rPr>
      </w:pPr>
    </w:p>
    <w:p w14:paraId="3F8C558A" w14:textId="6BFC60A5"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ŅEMOT VĒRĀ </w:t>
      </w:r>
      <w:r w:rsidRPr="00B5534A">
        <w:rPr>
          <w:rFonts w:ascii="Times New Roman" w:hAnsi="Times New Roman"/>
          <w:noProof/>
          <w:sz w:val="24"/>
          <w:lang w:val="en-US"/>
        </w:rPr>
        <w:t xml:space="preserve">Padomes Rekomendāciju par apvienošanos </w:t>
      </w:r>
      <w:r w:rsidR="003309C4" w:rsidRPr="003309C4">
        <w:rPr>
          <w:rFonts w:ascii="Times New Roman" w:hAnsi="Times New Roman"/>
          <w:noProof/>
          <w:sz w:val="24"/>
          <w:lang w:val="en-US"/>
        </w:rPr>
        <w:t xml:space="preserve">pārskatīšanu </w:t>
      </w:r>
      <w:r w:rsidRPr="00B5534A">
        <w:rPr>
          <w:rFonts w:ascii="Times New Roman" w:hAnsi="Times New Roman"/>
          <w:noProof/>
          <w:sz w:val="24"/>
          <w:lang w:val="en-US"/>
        </w:rPr>
        <w:t>[</w:t>
      </w:r>
      <w:r w:rsidRPr="00B5534A">
        <w:rPr>
          <w:rFonts w:ascii="Times New Roman" w:hAnsi="Times New Roman"/>
          <w:i/>
          <w:noProof/>
          <w:sz w:val="24"/>
          <w:lang w:val="en-US"/>
        </w:rPr>
        <w:t>OECD/LEGAL/0333</w:t>
      </w:r>
      <w:r w:rsidRPr="00B5534A">
        <w:rPr>
          <w:rFonts w:ascii="Times New Roman" w:hAnsi="Times New Roman"/>
          <w:noProof/>
          <w:sz w:val="24"/>
          <w:lang w:val="en-US"/>
        </w:rPr>
        <w:t>], Padomes Rekomendāciju par starptautisko sadarbību konkurences lietu izmeklēšanā un tiesas procesos [</w:t>
      </w:r>
      <w:r w:rsidRPr="00B5534A">
        <w:rPr>
          <w:rFonts w:ascii="Times New Roman" w:hAnsi="Times New Roman"/>
          <w:i/>
          <w:noProof/>
          <w:sz w:val="24"/>
          <w:lang w:val="en-US"/>
        </w:rPr>
        <w:t>OECD/LEGAL/0408</w:t>
      </w:r>
      <w:r w:rsidRPr="00B5534A">
        <w:rPr>
          <w:rFonts w:ascii="Times New Roman" w:hAnsi="Times New Roman"/>
          <w:noProof/>
          <w:sz w:val="24"/>
          <w:lang w:val="en-US"/>
        </w:rPr>
        <w:t xml:space="preserve">] un Padomes Rekomendāciju par efektīvu rīcību pret </w:t>
      </w:r>
      <w:r w:rsidR="007B61F5" w:rsidRPr="007B61F5">
        <w:rPr>
          <w:rFonts w:ascii="Times New Roman" w:hAnsi="Times New Roman"/>
          <w:noProof/>
          <w:sz w:val="24"/>
          <w:lang w:val="en-US"/>
        </w:rPr>
        <w:t xml:space="preserve">smagākajiem karteļa gadījumiem </w:t>
      </w:r>
      <w:r w:rsidRPr="00B5534A">
        <w:rPr>
          <w:rFonts w:ascii="Times New Roman" w:hAnsi="Times New Roman"/>
          <w:noProof/>
          <w:sz w:val="24"/>
          <w:lang w:val="en-US"/>
        </w:rPr>
        <w:t>[</w:t>
      </w:r>
      <w:r w:rsidRPr="00B5534A">
        <w:rPr>
          <w:rFonts w:ascii="Times New Roman" w:hAnsi="Times New Roman"/>
          <w:i/>
          <w:noProof/>
          <w:sz w:val="24"/>
          <w:lang w:val="en-US"/>
        </w:rPr>
        <w:t>OECD/LEGAL/0452</w:t>
      </w:r>
      <w:r w:rsidRPr="00B5534A">
        <w:rPr>
          <w:rFonts w:ascii="Times New Roman" w:hAnsi="Times New Roman"/>
          <w:noProof/>
          <w:sz w:val="24"/>
          <w:lang w:val="en-US"/>
        </w:rPr>
        <w:t>];</w:t>
      </w:r>
    </w:p>
    <w:p w14:paraId="05BA7351" w14:textId="77777777" w:rsidR="00B5534A" w:rsidRPr="00B5534A" w:rsidRDefault="00B5534A" w:rsidP="00B5534A">
      <w:pPr>
        <w:jc w:val="both"/>
        <w:rPr>
          <w:rFonts w:ascii="Times New Roman" w:eastAsia="Arial" w:hAnsi="Times New Roman" w:cs="Times New Roman"/>
          <w:noProof/>
          <w:sz w:val="24"/>
          <w:szCs w:val="24"/>
          <w:lang w:val="en-US"/>
        </w:rPr>
      </w:pPr>
    </w:p>
    <w:p w14:paraId="5CE69848" w14:textId="63344DE4"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ŅEMOT VĒRĀ </w:t>
      </w:r>
      <w:r w:rsidRPr="00B5534A">
        <w:rPr>
          <w:rFonts w:ascii="Times New Roman" w:hAnsi="Times New Roman"/>
          <w:noProof/>
          <w:sz w:val="24"/>
          <w:lang w:val="en-US"/>
        </w:rPr>
        <w:t xml:space="preserve">darbu attiecībā uz pārskatāmību un </w:t>
      </w:r>
      <w:r w:rsidR="002B05F1" w:rsidRPr="002B05F1">
        <w:rPr>
          <w:rFonts w:ascii="Times New Roman" w:hAnsi="Times New Roman"/>
          <w:noProof/>
          <w:sz w:val="24"/>
          <w:lang w:val="en-US"/>
        </w:rPr>
        <w:t xml:space="preserve">procesuālo </w:t>
      </w:r>
      <w:r w:rsidRPr="00B5534A">
        <w:rPr>
          <w:rFonts w:ascii="Times New Roman" w:hAnsi="Times New Roman"/>
          <w:noProof/>
          <w:sz w:val="24"/>
          <w:lang w:val="en-US"/>
        </w:rPr>
        <w:t>taisnīgumu konkurences tiesību aktu piemērošanas jomā citos starptautiskajos forumos, tostarp Starptautiskajā konkurences iestāžu tīklā;</w:t>
      </w:r>
    </w:p>
    <w:p w14:paraId="156CE24B" w14:textId="77777777" w:rsidR="00B5534A" w:rsidRPr="00B5534A" w:rsidRDefault="00B5534A" w:rsidP="00B5534A">
      <w:pPr>
        <w:jc w:val="both"/>
        <w:rPr>
          <w:rFonts w:ascii="Times New Roman" w:eastAsia="Arial" w:hAnsi="Times New Roman" w:cs="Times New Roman"/>
          <w:noProof/>
          <w:sz w:val="24"/>
          <w:szCs w:val="24"/>
          <w:lang w:val="en-US"/>
        </w:rPr>
      </w:pPr>
    </w:p>
    <w:p w14:paraId="0D320C73" w14:textId="7A49E536"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ŅEMOT VĒRĀ </w:t>
      </w:r>
      <w:r w:rsidRPr="00B5534A">
        <w:rPr>
          <w:rFonts w:ascii="Times New Roman" w:hAnsi="Times New Roman"/>
          <w:noProof/>
          <w:sz w:val="24"/>
          <w:lang w:val="en-US"/>
        </w:rPr>
        <w:t xml:space="preserve">to, ka pārskatāmība un </w:t>
      </w:r>
      <w:r w:rsidR="002B05F1" w:rsidRPr="002B05F1">
        <w:rPr>
          <w:rFonts w:ascii="Times New Roman" w:hAnsi="Times New Roman"/>
          <w:noProof/>
          <w:sz w:val="24"/>
          <w:lang w:val="en-US"/>
        </w:rPr>
        <w:t xml:space="preserve">procesuālais </w:t>
      </w:r>
      <w:r w:rsidRPr="00B5534A">
        <w:rPr>
          <w:rFonts w:ascii="Times New Roman" w:hAnsi="Times New Roman"/>
          <w:noProof/>
          <w:sz w:val="24"/>
          <w:lang w:val="en-US"/>
        </w:rPr>
        <w:t>taisnīgums ir svarīgi elementi, lai varētu efektīvi un taisnīgi piemērot konkurences tiesību aktus, un ir nepieciešams, lai nodrošinātu tiesiskumu, pienācīgi ņemot vērā arī piemērošanas efektivitāti;</w:t>
      </w:r>
    </w:p>
    <w:p w14:paraId="541449E7" w14:textId="77777777" w:rsidR="00B5534A" w:rsidRPr="00B5534A" w:rsidRDefault="00B5534A" w:rsidP="00B5534A">
      <w:pPr>
        <w:jc w:val="both"/>
        <w:rPr>
          <w:rFonts w:ascii="Times New Roman" w:eastAsia="Arial" w:hAnsi="Times New Roman" w:cs="Times New Roman"/>
          <w:noProof/>
          <w:sz w:val="24"/>
          <w:szCs w:val="24"/>
          <w:lang w:val="en-US"/>
        </w:rPr>
      </w:pPr>
    </w:p>
    <w:p w14:paraId="2964109D" w14:textId="7490B566"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ŅEMOT VĒRĀ </w:t>
      </w:r>
      <w:r w:rsidRPr="00B5534A">
        <w:rPr>
          <w:rFonts w:ascii="Times New Roman" w:hAnsi="Times New Roman"/>
          <w:noProof/>
          <w:sz w:val="24"/>
          <w:lang w:val="en-US"/>
        </w:rPr>
        <w:t xml:space="preserve">ilggadējo Konkurences komitejas darbu attiecībā uz pārskatāmību un </w:t>
      </w:r>
      <w:r w:rsidR="00D225FB" w:rsidRPr="00D225FB">
        <w:rPr>
          <w:rFonts w:ascii="Times New Roman" w:hAnsi="Times New Roman"/>
          <w:noProof/>
          <w:sz w:val="24"/>
          <w:lang w:val="en-US"/>
        </w:rPr>
        <w:t>procesuālo taisnīgumu konkurences tiesību aktu piemērošanas jomā, kas uzskatāmi parāda, ka pastāv minimālie pārskatāmības un procesuālā taisnīguma standarti, kuri ir universāli piemērojami;</w:t>
      </w:r>
    </w:p>
    <w:p w14:paraId="7EDE2DE0" w14:textId="77777777" w:rsidR="00B5534A" w:rsidRPr="00B5534A" w:rsidRDefault="00B5534A" w:rsidP="00B5534A">
      <w:pPr>
        <w:jc w:val="both"/>
        <w:rPr>
          <w:rFonts w:ascii="Times New Roman" w:eastAsia="Arial" w:hAnsi="Times New Roman" w:cs="Times New Roman"/>
          <w:noProof/>
          <w:sz w:val="24"/>
          <w:szCs w:val="24"/>
          <w:lang w:val="en-US"/>
        </w:rPr>
      </w:pPr>
    </w:p>
    <w:p w14:paraId="2C92D839" w14:textId="3E4FEA60"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ŅEMOT VĒRĀ </w:t>
      </w:r>
      <w:r w:rsidRPr="00B5534A">
        <w:rPr>
          <w:rFonts w:ascii="Times New Roman" w:hAnsi="Times New Roman"/>
          <w:noProof/>
          <w:sz w:val="24"/>
          <w:lang w:val="en-US"/>
        </w:rPr>
        <w:t xml:space="preserve">to, cik svarīgi dalībvalstīm un citām valstīm, kas nav dalībvalstis un īsteno šo rekomendāciju (turpmāk – “īstenotāji”), ir vienoties par pārskatāmības un </w:t>
      </w:r>
      <w:r w:rsidR="00D225FB" w:rsidRPr="00D225FB">
        <w:rPr>
          <w:rFonts w:ascii="Times New Roman" w:hAnsi="Times New Roman"/>
          <w:noProof/>
          <w:sz w:val="24"/>
          <w:lang w:val="en-US"/>
        </w:rPr>
        <w:t xml:space="preserve">procesuālā </w:t>
      </w:r>
      <w:r w:rsidRPr="00B5534A">
        <w:rPr>
          <w:rFonts w:ascii="Times New Roman" w:hAnsi="Times New Roman"/>
          <w:noProof/>
          <w:sz w:val="24"/>
          <w:lang w:val="en-US"/>
        </w:rPr>
        <w:t>taisnīguma standartiem konkurences tiesību aktu piemērošanā, lai varētu sekmēt valdību atbalstu to īstenošanā;</w:t>
      </w:r>
    </w:p>
    <w:p w14:paraId="187DC146" w14:textId="77777777" w:rsidR="00B5534A" w:rsidRPr="00B5534A" w:rsidRDefault="00B5534A" w:rsidP="00B5534A">
      <w:pPr>
        <w:jc w:val="both"/>
        <w:rPr>
          <w:rFonts w:ascii="Times New Roman" w:eastAsia="Arial" w:hAnsi="Times New Roman" w:cs="Times New Roman"/>
          <w:noProof/>
          <w:sz w:val="24"/>
          <w:szCs w:val="24"/>
          <w:lang w:val="en-US"/>
        </w:rPr>
      </w:pPr>
    </w:p>
    <w:p w14:paraId="2B6C679B" w14:textId="77777777"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ATZĪSTOT </w:t>
      </w:r>
      <w:r w:rsidRPr="00B5534A">
        <w:rPr>
          <w:rFonts w:ascii="Times New Roman" w:hAnsi="Times New Roman"/>
          <w:noProof/>
          <w:sz w:val="24"/>
          <w:lang w:val="en-US"/>
        </w:rPr>
        <w:t>to, ka konkurences tiesību aktu piemērošanai ir jābūt godīgai, prognozējamai un pārskatāmai, un to, ka ieinteresētajām pusēm un sabiedrībai šis process ir par tādu jāuzskata, kā arī to, ka šim procesam ir nepieciešami efektīvi noteikumi, objektīvas un neatkarīgas institūcijas un laba prakse;</w:t>
      </w:r>
    </w:p>
    <w:p w14:paraId="78CF8297" w14:textId="77777777" w:rsidR="00B5534A" w:rsidRPr="00B5534A" w:rsidRDefault="00B5534A" w:rsidP="00B5534A">
      <w:pPr>
        <w:jc w:val="both"/>
        <w:rPr>
          <w:rFonts w:ascii="Times New Roman" w:eastAsia="Arial" w:hAnsi="Times New Roman" w:cs="Times New Roman"/>
          <w:noProof/>
          <w:sz w:val="24"/>
          <w:szCs w:val="24"/>
          <w:lang w:val="en-US"/>
        </w:rPr>
      </w:pPr>
    </w:p>
    <w:p w14:paraId="4BD1E087" w14:textId="77777777"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ATZĪSTOT</w:t>
      </w:r>
      <w:r w:rsidRPr="00B5534A">
        <w:rPr>
          <w:rFonts w:ascii="Times New Roman" w:hAnsi="Times New Roman"/>
          <w:noProof/>
          <w:sz w:val="24"/>
          <w:lang w:val="en-US"/>
        </w:rPr>
        <w:t>, ka pušu un trešo pušu sadarbība un iesaistīšanās ir galvenie faktori, kas veicina godīgu, efektīvu un rezultatīvu izmeklēšanu;</w:t>
      </w:r>
    </w:p>
    <w:p w14:paraId="4D9F76AE" w14:textId="77777777" w:rsidR="00B5534A" w:rsidRPr="00B5534A" w:rsidRDefault="00B5534A" w:rsidP="00B5534A">
      <w:pPr>
        <w:jc w:val="both"/>
        <w:rPr>
          <w:rFonts w:ascii="Times New Roman" w:eastAsia="Arial" w:hAnsi="Times New Roman" w:cs="Times New Roman"/>
          <w:noProof/>
          <w:sz w:val="24"/>
          <w:szCs w:val="24"/>
          <w:lang w:val="en-US"/>
        </w:rPr>
      </w:pPr>
    </w:p>
    <w:p w14:paraId="7998D0AB" w14:textId="77777777" w:rsidR="00B5534A" w:rsidRPr="00B5534A" w:rsidRDefault="00B5534A" w:rsidP="00B5534A">
      <w:pPr>
        <w:pStyle w:val="BodyText"/>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ATZĪSTOT</w:t>
      </w:r>
      <w:r w:rsidRPr="00B5534A">
        <w:rPr>
          <w:rFonts w:ascii="Times New Roman" w:hAnsi="Times New Roman"/>
          <w:noProof/>
          <w:sz w:val="24"/>
          <w:lang w:val="en-US"/>
        </w:rPr>
        <w:t>, ka īstenotājiem ir atšķirīgi tiesiskie regulējumi un institucionālās sistēmas, kuru ietvaros tie īstenos šo rekomendāciju,</w:t>
      </w:r>
    </w:p>
    <w:p w14:paraId="768A19B1" w14:textId="77777777" w:rsidR="00B5534A" w:rsidRPr="00B5534A" w:rsidRDefault="00B5534A" w:rsidP="00B5534A">
      <w:pPr>
        <w:jc w:val="both"/>
        <w:rPr>
          <w:rFonts w:ascii="Times New Roman" w:eastAsia="Arial" w:hAnsi="Times New Roman" w:cs="Times New Roman"/>
          <w:noProof/>
          <w:sz w:val="24"/>
          <w:szCs w:val="24"/>
          <w:lang w:val="en-US"/>
        </w:rPr>
      </w:pPr>
    </w:p>
    <w:p w14:paraId="2B0898F5" w14:textId="77777777" w:rsidR="00B5534A" w:rsidRPr="00B5534A" w:rsidRDefault="00B5534A" w:rsidP="00B5534A">
      <w:pPr>
        <w:pStyle w:val="Heading3"/>
        <w:ind w:left="0"/>
        <w:jc w:val="both"/>
        <w:rPr>
          <w:rFonts w:ascii="Times New Roman" w:hAnsi="Times New Roman"/>
          <w:noProof/>
          <w:sz w:val="24"/>
          <w:lang w:val="en-US"/>
        </w:rPr>
      </w:pPr>
      <w:r w:rsidRPr="00B5534A">
        <w:rPr>
          <w:rFonts w:ascii="Times New Roman" w:hAnsi="Times New Roman"/>
          <w:noProof/>
          <w:sz w:val="24"/>
          <w:lang w:val="en-US"/>
        </w:rPr>
        <w:t>pēc Konkurences komitejas priekšlikuma īsteno turpmāk minētās darbības.</w:t>
      </w:r>
    </w:p>
    <w:p w14:paraId="03E0BA03" w14:textId="77777777" w:rsidR="00B5534A" w:rsidRPr="00B5534A" w:rsidRDefault="00B5534A" w:rsidP="00B5534A">
      <w:pPr>
        <w:jc w:val="both"/>
        <w:rPr>
          <w:rFonts w:ascii="Times New Roman" w:eastAsia="Arial" w:hAnsi="Times New Roman" w:cs="Times New Roman"/>
          <w:b/>
          <w:bCs/>
          <w:noProof/>
          <w:sz w:val="24"/>
          <w:szCs w:val="24"/>
          <w:lang w:val="en-US"/>
        </w:rPr>
      </w:pPr>
    </w:p>
    <w:p w14:paraId="5F4CB1BF" w14:textId="77777777" w:rsidR="00B5534A" w:rsidRPr="00B5534A" w:rsidRDefault="00B5534A" w:rsidP="00B5534A">
      <w:pPr>
        <w:pStyle w:val="BodyText"/>
        <w:tabs>
          <w:tab w:val="left" w:pos="1301"/>
        </w:tabs>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I. VIENOJAS</w:t>
      </w:r>
      <w:r w:rsidRPr="00B5534A">
        <w:rPr>
          <w:rFonts w:ascii="Times New Roman" w:hAnsi="Times New Roman"/>
          <w:noProof/>
          <w:sz w:val="24"/>
          <w:lang w:val="en-US"/>
        </w:rPr>
        <w:t>, ka šajā rekomendācijā tiek izmantotas turpmāk norādītās definīcijas.</w:t>
      </w:r>
    </w:p>
    <w:p w14:paraId="1C4BD01E" w14:textId="77777777" w:rsidR="00B5534A" w:rsidRPr="00B5534A" w:rsidRDefault="00B5534A" w:rsidP="00B5534A">
      <w:pPr>
        <w:jc w:val="both"/>
        <w:rPr>
          <w:rFonts w:ascii="Times New Roman" w:eastAsia="Arial" w:hAnsi="Times New Roman" w:cs="Times New Roman"/>
          <w:noProof/>
          <w:sz w:val="24"/>
          <w:szCs w:val="24"/>
          <w:lang w:val="en-US"/>
        </w:rPr>
      </w:pPr>
    </w:p>
    <w:p w14:paraId="237BDFAC" w14:textId="77777777" w:rsidR="00B5534A" w:rsidRPr="00B5534A" w:rsidRDefault="00B5534A" w:rsidP="00B5534A">
      <w:pPr>
        <w:numPr>
          <w:ilvl w:val="1"/>
          <w:numId w:val="4"/>
        </w:numPr>
        <w:tabs>
          <w:tab w:val="left" w:pos="851"/>
        </w:tabs>
        <w:ind w:left="284" w:firstLine="0"/>
        <w:jc w:val="both"/>
        <w:rPr>
          <w:rFonts w:ascii="Times New Roman" w:eastAsia="Arial" w:hAnsi="Times New Roman" w:cs="Times New Roman"/>
          <w:noProof/>
          <w:sz w:val="24"/>
          <w:szCs w:val="24"/>
          <w:lang w:val="en-US"/>
        </w:rPr>
      </w:pPr>
      <w:r w:rsidRPr="00B5534A">
        <w:rPr>
          <w:rFonts w:ascii="Times New Roman" w:hAnsi="Times New Roman"/>
          <w:b/>
          <w:noProof/>
          <w:sz w:val="24"/>
          <w:lang w:val="en-US"/>
        </w:rPr>
        <w:t xml:space="preserve">Konkurences tiesību aktu piemērošana </w:t>
      </w:r>
      <w:r w:rsidRPr="00B5534A">
        <w:rPr>
          <w:rFonts w:ascii="Times New Roman" w:hAnsi="Times New Roman"/>
          <w:noProof/>
          <w:sz w:val="24"/>
          <w:lang w:val="en-US"/>
        </w:rPr>
        <w:t>ir visas izmeklēšanas, apsūdzības vai lēmumu pieņemšanas</w:t>
      </w:r>
    </w:p>
    <w:p w14:paraId="62409BFB" w14:textId="77777777" w:rsidR="00B5534A" w:rsidRPr="00B5534A" w:rsidRDefault="00B5534A" w:rsidP="00B5534A">
      <w:pPr>
        <w:pStyle w:val="BodyText"/>
        <w:tabs>
          <w:tab w:val="left" w:pos="851"/>
        </w:tabs>
        <w:ind w:left="284" w:firstLine="0"/>
        <w:jc w:val="both"/>
        <w:rPr>
          <w:rFonts w:ascii="Times New Roman" w:hAnsi="Times New Roman"/>
          <w:noProof/>
          <w:sz w:val="24"/>
          <w:lang w:val="en-US"/>
        </w:rPr>
      </w:pPr>
      <w:r w:rsidRPr="00B5534A">
        <w:rPr>
          <w:rFonts w:ascii="Times New Roman" w:hAnsi="Times New Roman"/>
          <w:noProof/>
          <w:sz w:val="24"/>
          <w:lang w:val="en-US"/>
        </w:rPr>
        <w:t>darbības, ko veic īstenotāju iestādes, kas ir tiesīgas piemērot konkurences tiesību aktus.</w:t>
      </w:r>
    </w:p>
    <w:p w14:paraId="63ACC57F" w14:textId="55CE83C5" w:rsidR="00B5534A" w:rsidRPr="00B5534A" w:rsidRDefault="00B5534A" w:rsidP="00B5534A">
      <w:pPr>
        <w:pStyle w:val="BodyText"/>
        <w:numPr>
          <w:ilvl w:val="1"/>
          <w:numId w:val="4"/>
        </w:numPr>
        <w:tabs>
          <w:tab w:val="left" w:pos="851"/>
        </w:tabs>
        <w:ind w:left="284"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Lēmums </w:t>
      </w:r>
      <w:r w:rsidRPr="00B5534A">
        <w:rPr>
          <w:rFonts w:ascii="Times New Roman" w:hAnsi="Times New Roman"/>
          <w:noProof/>
          <w:sz w:val="24"/>
          <w:lang w:val="en-US"/>
        </w:rPr>
        <w:t xml:space="preserve">ir izpildāms administratīvs lēmums un tiesas </w:t>
      </w:r>
      <w:r w:rsidR="00363E47" w:rsidRPr="00363E47">
        <w:rPr>
          <w:rFonts w:ascii="Times New Roman" w:hAnsi="Times New Roman"/>
          <w:noProof/>
          <w:sz w:val="24"/>
          <w:lang w:val="en-US"/>
        </w:rPr>
        <w:t xml:space="preserve">rīkojums </w:t>
      </w:r>
      <w:r w:rsidRPr="00B5534A">
        <w:rPr>
          <w:rFonts w:ascii="Times New Roman" w:hAnsi="Times New Roman"/>
          <w:noProof/>
          <w:sz w:val="24"/>
          <w:lang w:val="en-US"/>
        </w:rPr>
        <w:t>vai spriedums.</w:t>
      </w:r>
    </w:p>
    <w:p w14:paraId="762186C1" w14:textId="77777777" w:rsidR="00B5534A" w:rsidRPr="00B5534A" w:rsidRDefault="00B5534A" w:rsidP="00B5534A">
      <w:pPr>
        <w:pStyle w:val="BodyText"/>
        <w:numPr>
          <w:ilvl w:val="1"/>
          <w:numId w:val="4"/>
        </w:numPr>
        <w:tabs>
          <w:tab w:val="left" w:pos="851"/>
        </w:tabs>
        <w:ind w:left="284"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Konfidenciāla informācija </w:t>
      </w:r>
      <w:r w:rsidRPr="00B5534A">
        <w:rPr>
          <w:rFonts w:ascii="Times New Roman" w:hAnsi="Times New Roman"/>
          <w:noProof/>
          <w:sz w:val="24"/>
          <w:lang w:val="en-US"/>
        </w:rPr>
        <w:t>ir komercnoslēpumi un cita sensitīva informācija, kā arī jebkura cita informācija, kas tiek uzskatīta par konfidenciālu saskaņā ar piemērojamajiem tiesību aktiem.</w:t>
      </w:r>
    </w:p>
    <w:p w14:paraId="7F3B9059" w14:textId="77777777" w:rsidR="00B5534A" w:rsidRPr="00B5534A" w:rsidRDefault="00B5534A" w:rsidP="00B5534A">
      <w:pPr>
        <w:jc w:val="both"/>
        <w:rPr>
          <w:rFonts w:ascii="Times New Roman" w:eastAsia="Arial" w:hAnsi="Times New Roman" w:cs="Times New Roman"/>
          <w:noProof/>
          <w:sz w:val="24"/>
          <w:szCs w:val="24"/>
          <w:lang w:val="en-US"/>
        </w:rPr>
      </w:pPr>
    </w:p>
    <w:p w14:paraId="2B1D9873" w14:textId="77777777" w:rsidR="00B5534A" w:rsidRPr="00B5534A" w:rsidRDefault="00B5534A" w:rsidP="00B5534A">
      <w:pPr>
        <w:pStyle w:val="BodyText"/>
        <w:tabs>
          <w:tab w:val="left" w:pos="1301"/>
        </w:tabs>
        <w:ind w:left="0" w:firstLine="0"/>
        <w:jc w:val="both"/>
        <w:rPr>
          <w:rFonts w:ascii="Times New Roman" w:hAnsi="Times New Roman"/>
          <w:noProof/>
          <w:sz w:val="24"/>
          <w:lang w:val="en-US"/>
        </w:rPr>
      </w:pPr>
      <w:r w:rsidRPr="00B5534A">
        <w:rPr>
          <w:rFonts w:ascii="Times New Roman" w:hAnsi="Times New Roman"/>
          <w:b/>
          <w:noProof/>
          <w:sz w:val="24"/>
          <w:lang w:val="en-US"/>
        </w:rPr>
        <w:t xml:space="preserve">II. IESAKA </w:t>
      </w:r>
      <w:r w:rsidRPr="00B5534A">
        <w:rPr>
          <w:rFonts w:ascii="Times New Roman" w:hAnsi="Times New Roman"/>
          <w:noProof/>
          <w:sz w:val="24"/>
          <w:lang w:val="en-US"/>
        </w:rPr>
        <w:t>īstenotājiem izveidot skaidru tiesisko regulējumu konkurences tiesību aktu piemērošanai, nodrošinot skaidri definētus un publiski pieejamus konkurences likumus un noteikumus, kā arī normas, politiku vai norādījumus attiecībā uz konfidenciālas informācijas identifikāciju un apstrādi, kā arī nosakot pusēm un trešām pusēm taisnīgas un skaidras tiesības un pienākumus. Šajā nolūkā īstenotājiem ir jāveic turpmāk norādītās darbības.</w:t>
      </w:r>
    </w:p>
    <w:p w14:paraId="296E3FD5" w14:textId="77777777" w:rsidR="00B5534A" w:rsidRPr="00B5534A" w:rsidRDefault="00B5534A" w:rsidP="00B5534A">
      <w:pPr>
        <w:jc w:val="both"/>
        <w:rPr>
          <w:rFonts w:ascii="Times New Roman" w:hAnsi="Times New Roman"/>
          <w:noProof/>
          <w:sz w:val="24"/>
          <w:lang w:val="en-US"/>
        </w:rPr>
      </w:pPr>
    </w:p>
    <w:p w14:paraId="05938FDF" w14:textId="77777777" w:rsidR="00B5534A" w:rsidRPr="00B5534A" w:rsidRDefault="00B5534A" w:rsidP="00B5534A">
      <w:pPr>
        <w:pStyle w:val="Heading3"/>
        <w:tabs>
          <w:tab w:val="left" w:pos="1301"/>
        </w:tabs>
        <w:ind w:left="0"/>
        <w:jc w:val="both"/>
        <w:rPr>
          <w:rFonts w:ascii="Times New Roman" w:hAnsi="Times New Roman" w:cs="Times New Roman"/>
          <w:b w:val="0"/>
          <w:bCs w:val="0"/>
          <w:noProof/>
          <w:sz w:val="24"/>
          <w:szCs w:val="24"/>
          <w:lang w:val="en-US"/>
        </w:rPr>
      </w:pPr>
      <w:r w:rsidRPr="00B5534A">
        <w:rPr>
          <w:rFonts w:ascii="Times New Roman" w:hAnsi="Times New Roman"/>
          <w:b w:val="0"/>
          <w:noProof/>
          <w:sz w:val="24"/>
          <w:lang w:val="en-US"/>
        </w:rPr>
        <w:t xml:space="preserve">1. </w:t>
      </w:r>
      <w:r w:rsidRPr="00B5534A">
        <w:rPr>
          <w:rFonts w:ascii="Times New Roman" w:hAnsi="Times New Roman"/>
          <w:noProof/>
          <w:sz w:val="24"/>
          <w:lang w:val="en-US"/>
        </w:rPr>
        <w:t>Jānodrošina, lai konkurences tiesību aktu piemērošana būtu pārskatāma un prognozējama</w:t>
      </w:r>
      <w:r w:rsidRPr="00B5534A">
        <w:rPr>
          <w:rFonts w:ascii="Times New Roman" w:hAnsi="Times New Roman"/>
          <w:b w:val="0"/>
          <w:noProof/>
          <w:sz w:val="24"/>
          <w:lang w:val="en-US"/>
        </w:rPr>
        <w:t>:</w:t>
      </w:r>
    </w:p>
    <w:p w14:paraId="0903080D" w14:textId="77777777" w:rsidR="00B5534A" w:rsidRPr="00B5534A" w:rsidRDefault="00B5534A" w:rsidP="00B5534A">
      <w:pPr>
        <w:jc w:val="both"/>
        <w:rPr>
          <w:rFonts w:ascii="Times New Roman" w:eastAsia="Arial" w:hAnsi="Times New Roman" w:cs="Times New Roman"/>
          <w:noProof/>
          <w:sz w:val="24"/>
          <w:szCs w:val="24"/>
          <w:lang w:val="en-US"/>
        </w:rPr>
      </w:pPr>
    </w:p>
    <w:p w14:paraId="54588A60" w14:textId="6E039B1A"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a) nodrošinot, lai būtu publiski pieejams to </w:t>
      </w:r>
      <w:r w:rsidR="00013A14" w:rsidRPr="00013A14">
        <w:rPr>
          <w:rFonts w:ascii="Times New Roman" w:hAnsi="Times New Roman"/>
          <w:noProof/>
          <w:sz w:val="24"/>
          <w:lang w:val="en-US"/>
        </w:rPr>
        <w:t>konkurences iestāžu tiesiskais regulējums un procedūras, kā arī piemērojamās procedūras un termiņi pieteikumu iesniegšanai, lai varētu pārskatīt lēmumus tiesā;</w:t>
      </w:r>
    </w:p>
    <w:p w14:paraId="63C172CB"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0F5DC17F" w14:textId="15EA6E81"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b) publicējot faktus, tiesisko pamatu un sankcijas, kas saistītas ar lēmumiem, </w:t>
      </w:r>
      <w:r w:rsidR="001C13E9" w:rsidRPr="001C13E9">
        <w:rPr>
          <w:rFonts w:ascii="Times New Roman" w:hAnsi="Times New Roman"/>
          <w:noProof/>
          <w:sz w:val="24"/>
          <w:lang w:val="en-US"/>
        </w:rPr>
        <w:t>tostarp izlīguma noslēgšanu (ievērojot konfidenciālas informācijas aizsardzības prasības);</w:t>
      </w:r>
    </w:p>
    <w:p w14:paraId="1AD4E042"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73AC0383" w14:textId="0345F5E2"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c) sekmējot konkurences </w:t>
      </w:r>
      <w:r w:rsidR="001C13E9" w:rsidRPr="001C13E9">
        <w:rPr>
          <w:rFonts w:ascii="Times New Roman" w:hAnsi="Times New Roman"/>
          <w:noProof/>
          <w:sz w:val="24"/>
          <w:lang w:val="en-US"/>
        </w:rPr>
        <w:t xml:space="preserve">iestāžu </w:t>
      </w:r>
      <w:r w:rsidRPr="00B5534A">
        <w:rPr>
          <w:rFonts w:ascii="Times New Roman" w:hAnsi="Times New Roman"/>
          <w:noProof/>
          <w:sz w:val="24"/>
          <w:lang w:val="en-US"/>
        </w:rPr>
        <w:t>prioritāšu attiecībā uz piemērošanu pārskatāmību;</w:t>
      </w:r>
    </w:p>
    <w:p w14:paraId="290FB9FE"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5B5F136C" w14:textId="7A3135B0"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d) atbalstot labākās prakses īstenošanu attiecībā uz starptautisko konkurences tiesību aktu piemērošanas pārskatāmību un </w:t>
      </w:r>
      <w:r w:rsidR="001C13E9" w:rsidRPr="001C13E9">
        <w:rPr>
          <w:rFonts w:ascii="Times New Roman" w:hAnsi="Times New Roman"/>
          <w:noProof/>
          <w:sz w:val="24"/>
          <w:lang w:val="en-US"/>
        </w:rPr>
        <w:t xml:space="preserve">procesuālo </w:t>
      </w:r>
      <w:r w:rsidRPr="00B5534A">
        <w:rPr>
          <w:rFonts w:ascii="Times New Roman" w:hAnsi="Times New Roman"/>
          <w:noProof/>
          <w:sz w:val="24"/>
          <w:lang w:val="en-US"/>
        </w:rPr>
        <w:t>taisnīgumu.</w:t>
      </w:r>
    </w:p>
    <w:p w14:paraId="69790161" w14:textId="77777777" w:rsidR="00B5534A" w:rsidRPr="00B5534A" w:rsidRDefault="00B5534A" w:rsidP="00B5534A">
      <w:pPr>
        <w:jc w:val="both"/>
        <w:rPr>
          <w:rFonts w:ascii="Times New Roman" w:eastAsia="Arial" w:hAnsi="Times New Roman" w:cs="Times New Roman"/>
          <w:noProof/>
          <w:sz w:val="24"/>
          <w:szCs w:val="24"/>
          <w:lang w:val="en-US"/>
        </w:rPr>
      </w:pPr>
    </w:p>
    <w:p w14:paraId="6236DCB3" w14:textId="77777777" w:rsidR="00B5534A" w:rsidRPr="00B5534A" w:rsidRDefault="00B5534A" w:rsidP="00B5534A">
      <w:pPr>
        <w:pStyle w:val="Heading3"/>
        <w:tabs>
          <w:tab w:val="left" w:pos="1301"/>
        </w:tabs>
        <w:ind w:left="0"/>
        <w:jc w:val="both"/>
        <w:rPr>
          <w:rFonts w:ascii="Times New Roman" w:hAnsi="Times New Roman" w:cs="Times New Roman"/>
          <w:b w:val="0"/>
          <w:bCs w:val="0"/>
          <w:noProof/>
          <w:sz w:val="24"/>
          <w:szCs w:val="24"/>
          <w:lang w:val="en-US"/>
        </w:rPr>
      </w:pPr>
      <w:r w:rsidRPr="00B5534A">
        <w:rPr>
          <w:rFonts w:ascii="Times New Roman" w:hAnsi="Times New Roman"/>
          <w:b w:val="0"/>
          <w:noProof/>
          <w:sz w:val="24"/>
          <w:lang w:val="en-US"/>
        </w:rPr>
        <w:t xml:space="preserve">2. </w:t>
      </w:r>
      <w:r w:rsidRPr="00B5534A">
        <w:rPr>
          <w:rFonts w:ascii="Times New Roman" w:hAnsi="Times New Roman"/>
          <w:noProof/>
          <w:sz w:val="24"/>
          <w:lang w:val="en-US"/>
        </w:rPr>
        <w:t>Jānodrošina, lai konkurences tiesību aktu piemērošana būtu neatkarīga, objektīva un profesionāla</w:t>
      </w:r>
      <w:r w:rsidRPr="00B5534A">
        <w:rPr>
          <w:rFonts w:ascii="Times New Roman" w:hAnsi="Times New Roman"/>
          <w:b w:val="0"/>
          <w:noProof/>
          <w:sz w:val="24"/>
          <w:lang w:val="en-US"/>
        </w:rPr>
        <w:t>:</w:t>
      </w:r>
    </w:p>
    <w:p w14:paraId="6DBD9F88" w14:textId="77777777" w:rsidR="00B5534A" w:rsidRPr="00B5534A" w:rsidRDefault="00B5534A" w:rsidP="00B5534A">
      <w:pPr>
        <w:jc w:val="both"/>
        <w:rPr>
          <w:rFonts w:ascii="Times New Roman" w:eastAsia="Arial" w:hAnsi="Times New Roman" w:cs="Times New Roman"/>
          <w:noProof/>
          <w:sz w:val="24"/>
          <w:szCs w:val="24"/>
          <w:lang w:val="en-US"/>
        </w:rPr>
      </w:pPr>
    </w:p>
    <w:p w14:paraId="1E9E22D0" w14:textId="2FCE74E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a) garantējot, ka konkurences tiesību aktu piemērošanu veic atbildīgas valsts iestādes, kuras ir neatkarīgas, t. i., brīvas no politiskas iejaukšanās vai spiediena, un kuras interpretē, piemēro un </w:t>
      </w:r>
      <w:r w:rsidR="002A09FF" w:rsidRPr="002A09FF">
        <w:rPr>
          <w:rFonts w:ascii="Times New Roman" w:hAnsi="Times New Roman"/>
          <w:noProof/>
          <w:sz w:val="24"/>
          <w:lang w:val="en-US"/>
        </w:rPr>
        <w:t xml:space="preserve">īsteno </w:t>
      </w:r>
      <w:r w:rsidRPr="00B5534A">
        <w:rPr>
          <w:rFonts w:ascii="Times New Roman" w:hAnsi="Times New Roman"/>
          <w:noProof/>
          <w:sz w:val="24"/>
          <w:lang w:val="en-US"/>
        </w:rPr>
        <w:t>konkurences tiesību aktus, pamatojoties uz attiecīgiem juridiskiem un ekonomiskiem argumentiem, kuru pamatā ir pārdomāti konkurences politikas principi;</w:t>
      </w:r>
    </w:p>
    <w:p w14:paraId="33AA4986"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26D369DB" w14:textId="35219C11"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b) nodrošinot, ka konkurences </w:t>
      </w:r>
      <w:r w:rsidR="002A09FF" w:rsidRPr="002A09FF">
        <w:rPr>
          <w:rFonts w:ascii="Times New Roman" w:hAnsi="Times New Roman"/>
          <w:noProof/>
          <w:sz w:val="24"/>
          <w:lang w:val="en-US"/>
        </w:rPr>
        <w:t xml:space="preserve">iestādes </w:t>
      </w:r>
      <w:r w:rsidRPr="00B5534A">
        <w:rPr>
          <w:rFonts w:ascii="Times New Roman" w:hAnsi="Times New Roman"/>
          <w:noProof/>
          <w:sz w:val="24"/>
          <w:lang w:val="en-US"/>
        </w:rPr>
        <w:t>un tiesas pienācīgi ņem vērā visu attiecīgo informāciju un pierādījumus, ko tās iegūst;</w:t>
      </w:r>
    </w:p>
    <w:p w14:paraId="1790B7AD"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25E31568" w14:textId="7A37BC2A"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c) pieņemot skaidrus un pārskatāmus noteikumus, lai novērstu, identificētu un izskatītu jebkādus būtiskus interešu konfliktus, kādi ir konkurences </w:t>
      </w:r>
      <w:r w:rsidR="002A09FF" w:rsidRPr="002A09FF">
        <w:rPr>
          <w:rFonts w:ascii="Times New Roman" w:hAnsi="Times New Roman"/>
          <w:noProof/>
          <w:sz w:val="24"/>
          <w:lang w:val="en-US"/>
        </w:rPr>
        <w:t xml:space="preserve">iestādei </w:t>
      </w:r>
      <w:r w:rsidRPr="00B5534A">
        <w:rPr>
          <w:rFonts w:ascii="Times New Roman" w:hAnsi="Times New Roman"/>
          <w:noProof/>
          <w:sz w:val="24"/>
          <w:lang w:val="en-US"/>
        </w:rPr>
        <w:t>un tiesu amatpersonām, kas iesaistītas konkurences tiesību aktu piemērošanā;</w:t>
      </w:r>
    </w:p>
    <w:p w14:paraId="13B8FB0B"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3A839AAE" w14:textId="4AADEB2A"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d) nodrošinot, ka konkurences </w:t>
      </w:r>
      <w:r w:rsidR="002A09FF" w:rsidRPr="002A09FF">
        <w:rPr>
          <w:rFonts w:ascii="Times New Roman" w:hAnsi="Times New Roman"/>
          <w:noProof/>
          <w:sz w:val="24"/>
          <w:lang w:val="en-US"/>
        </w:rPr>
        <w:t xml:space="preserve">iestādēm </w:t>
      </w:r>
      <w:r w:rsidRPr="00B5534A">
        <w:rPr>
          <w:rFonts w:ascii="Times New Roman" w:hAnsi="Times New Roman"/>
          <w:noProof/>
          <w:sz w:val="24"/>
          <w:lang w:val="en-US"/>
        </w:rPr>
        <w:t>ir pietiekami cilvēkresursi, finanšu līdzekļi un īstenošanas resursi, kā arī speciālās zināšanas konkurences tiesībās, ekonomikā vai citās saistītajās nozarēs, lai varētu efektīvi veikt savus pienākumus;</w:t>
      </w:r>
    </w:p>
    <w:p w14:paraId="65D1DC33"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3EF98C4F"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e) uzturot amatpersonu pienākumus glabāt dienesta noslēpumu attiecībā uz informāciju, kas saņemta, pildot darba pienākumus;</w:t>
      </w:r>
    </w:p>
    <w:p w14:paraId="06888F3D"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3FEBD726" w14:textId="16CE987A"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f) nodrošinot piemērotus izmeklēšanas un sadarbības instrumentus konkurences </w:t>
      </w:r>
      <w:r w:rsidR="00F34DA1" w:rsidRPr="00F34DA1">
        <w:rPr>
          <w:rFonts w:ascii="Times New Roman" w:hAnsi="Times New Roman"/>
          <w:noProof/>
          <w:sz w:val="24"/>
          <w:lang w:val="en-US"/>
        </w:rPr>
        <w:t>iestādēm</w:t>
      </w:r>
      <w:r w:rsidRPr="00B5534A">
        <w:rPr>
          <w:rFonts w:ascii="Times New Roman" w:hAnsi="Times New Roman"/>
          <w:noProof/>
          <w:sz w:val="24"/>
          <w:lang w:val="en-US"/>
        </w:rPr>
        <w:t>, lai varētu efektīvi piemērot konkurences tiesību aktus.</w:t>
      </w:r>
    </w:p>
    <w:p w14:paraId="55A9AB4A" w14:textId="77777777" w:rsidR="00B5534A" w:rsidRPr="00B5534A" w:rsidRDefault="00B5534A" w:rsidP="00B5534A">
      <w:pPr>
        <w:jc w:val="both"/>
        <w:rPr>
          <w:rFonts w:ascii="Times New Roman" w:eastAsia="Arial" w:hAnsi="Times New Roman" w:cs="Times New Roman"/>
          <w:noProof/>
          <w:sz w:val="24"/>
          <w:szCs w:val="24"/>
          <w:lang w:val="en-US"/>
        </w:rPr>
      </w:pPr>
    </w:p>
    <w:p w14:paraId="691D1198" w14:textId="77777777" w:rsidR="00B5534A" w:rsidRPr="00B5534A" w:rsidRDefault="00B5534A" w:rsidP="00B5534A">
      <w:pPr>
        <w:pStyle w:val="Heading3"/>
        <w:keepNext/>
        <w:keepLines/>
        <w:tabs>
          <w:tab w:val="left" w:pos="1301"/>
        </w:tabs>
        <w:ind w:left="0"/>
        <w:jc w:val="both"/>
        <w:rPr>
          <w:rFonts w:ascii="Times New Roman" w:hAnsi="Times New Roman" w:cs="Times New Roman"/>
          <w:b w:val="0"/>
          <w:bCs w:val="0"/>
          <w:noProof/>
          <w:sz w:val="24"/>
          <w:szCs w:val="24"/>
          <w:lang w:val="en-US"/>
        </w:rPr>
      </w:pPr>
      <w:r w:rsidRPr="00B5534A">
        <w:rPr>
          <w:rFonts w:ascii="Times New Roman" w:hAnsi="Times New Roman"/>
          <w:b w:val="0"/>
          <w:noProof/>
          <w:sz w:val="24"/>
          <w:lang w:val="en-US"/>
        </w:rPr>
        <w:lastRenderedPageBreak/>
        <w:t xml:space="preserve">3. </w:t>
      </w:r>
      <w:r w:rsidRPr="00B5534A">
        <w:rPr>
          <w:rFonts w:ascii="Times New Roman" w:hAnsi="Times New Roman"/>
          <w:noProof/>
          <w:sz w:val="24"/>
          <w:lang w:val="en-US"/>
        </w:rPr>
        <w:t>Jānodrošina, lai konkurences tiesību akti tiktu piemēroti bez diskriminācijas, samērīgi un konsekventi visos līdzīgos gadījumos</w:t>
      </w:r>
      <w:r w:rsidRPr="00B5534A">
        <w:rPr>
          <w:rFonts w:ascii="Times New Roman" w:hAnsi="Times New Roman"/>
          <w:b w:val="0"/>
          <w:noProof/>
          <w:sz w:val="24"/>
          <w:lang w:val="en-US"/>
        </w:rPr>
        <w:t>, jo īpaši:</w:t>
      </w:r>
    </w:p>
    <w:p w14:paraId="1B38DAA6" w14:textId="77777777" w:rsidR="00B5534A" w:rsidRPr="00B5534A" w:rsidRDefault="00B5534A" w:rsidP="00B5534A">
      <w:pPr>
        <w:keepNext/>
        <w:keepLines/>
        <w:jc w:val="both"/>
        <w:rPr>
          <w:rFonts w:ascii="Times New Roman" w:eastAsia="Arial" w:hAnsi="Times New Roman" w:cs="Times New Roman"/>
          <w:noProof/>
          <w:sz w:val="24"/>
          <w:szCs w:val="24"/>
          <w:lang w:val="en-US"/>
        </w:rPr>
      </w:pPr>
    </w:p>
    <w:p w14:paraId="6F28D164" w14:textId="0E5D48BA" w:rsidR="00B5534A" w:rsidRPr="00B5534A" w:rsidRDefault="00B5534A" w:rsidP="00B5534A">
      <w:pPr>
        <w:pStyle w:val="BodyText"/>
        <w:keepNext/>
        <w:keepLines/>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a) piemērojot konkurences tiesību aktus </w:t>
      </w:r>
      <w:r w:rsidR="00F34DA1" w:rsidRPr="00F34DA1">
        <w:rPr>
          <w:rFonts w:ascii="Times New Roman" w:hAnsi="Times New Roman"/>
          <w:noProof/>
          <w:sz w:val="24"/>
          <w:lang w:val="en-US"/>
        </w:rPr>
        <w:t>saprātīgi</w:t>
      </w:r>
      <w:r w:rsidRPr="00B5534A">
        <w:rPr>
          <w:rFonts w:ascii="Times New Roman" w:hAnsi="Times New Roman"/>
          <w:noProof/>
          <w:sz w:val="24"/>
          <w:lang w:val="en-US"/>
        </w:rPr>
        <w:t>, konsekventi un bez diskriminācijas, tostarp neatkarīgi no tā, kāda ir to pušu valstspiederība un īpašumtiesības, attiecībā uz kurām tiek veikta izmeklēšana;</w:t>
      </w:r>
    </w:p>
    <w:p w14:paraId="0BF5E749"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73B69C08" w14:textId="1EB74B7F"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b) pielāgojot izmeklēšanu atbilstoši katras lietas nopietnībai un specifikai, kā arī izvairoties no nevajadzīgu izmaksu un apgrūtinājumu radīšanas pusēm un trešām pusēm vai konkurences </w:t>
      </w:r>
      <w:r w:rsidR="002803C6" w:rsidRPr="002803C6">
        <w:rPr>
          <w:rFonts w:ascii="Times New Roman" w:hAnsi="Times New Roman"/>
          <w:noProof/>
          <w:sz w:val="24"/>
          <w:lang w:val="en-US"/>
        </w:rPr>
        <w:t>iestādei</w:t>
      </w:r>
      <w:r w:rsidRPr="00B5534A">
        <w:rPr>
          <w:rFonts w:ascii="Times New Roman" w:hAnsi="Times New Roman"/>
          <w:noProof/>
          <w:sz w:val="24"/>
          <w:lang w:val="en-US"/>
        </w:rPr>
        <w:t>;</w:t>
      </w:r>
    </w:p>
    <w:p w14:paraId="3F8CC7CE"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16DA0F11" w14:textId="2E8B7823"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c) pieņemot vienotus noteikumus un vadlīnijas attiecībā uz konkurences tiesību aktu piemērošanas procesuālajām darbībām, piemēram, informācijas pieprasījumiem, </w:t>
      </w:r>
      <w:r w:rsidR="008732E7" w:rsidRPr="008732E7">
        <w:rPr>
          <w:rFonts w:ascii="Times New Roman" w:hAnsi="Times New Roman"/>
          <w:noProof/>
          <w:sz w:val="24"/>
          <w:lang w:val="en-US"/>
        </w:rPr>
        <w:t xml:space="preserve">pārbaudēm </w:t>
      </w:r>
      <w:r w:rsidR="002803C6" w:rsidRPr="002803C6">
        <w:rPr>
          <w:rFonts w:ascii="Times New Roman" w:hAnsi="Times New Roman"/>
          <w:noProof/>
          <w:sz w:val="24"/>
          <w:lang w:val="en-US"/>
        </w:rPr>
        <w:t>un mutvārdu paskaidrojumiem (iztaujāšanai), un nodrošinot, lai šīs darbības nebūtu ārpus izmeklēšanas jomas;</w:t>
      </w:r>
    </w:p>
    <w:p w14:paraId="4680C1DD"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549A0816"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d) izmantojot iekšējos aizsardzības pasākumus attiecībā uz procesuālajām darbībām, lai nodrošinātu likumīgumu, proporcionaliāti un konsekvenci;</w:t>
      </w:r>
    </w:p>
    <w:p w14:paraId="343514CD"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736BCA05"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e) galvenajos posmos novērtējot izmeklēšanas gaitu un izlemjot, vai turpināt lietas izskatīšanu vai to izbeigt;</w:t>
      </w:r>
    </w:p>
    <w:p w14:paraId="093221F3"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634D0BC4"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f) nodrošinot objektīvu lēmumu pieņemšanu, ko īsteno, veicot faktisko apstākļu un pierādījumu rūpīgu pārbaudi, kā arī izmantojot iekšējo savstarpējā līdzsvara un atsvara sistēmu attiecībā uz novērtējumiem un lēmumiem;</w:t>
      </w:r>
    </w:p>
    <w:p w14:paraId="1DC949A7"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4E1B5147" w14:textId="275B1B78"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g) nodrošinot, ka saziņa starp lēmumu pieņēmēju (piemēram, attiecīgos gadījumos – konkurences </w:t>
      </w:r>
      <w:r w:rsidR="00B64A86" w:rsidRPr="00B64A86">
        <w:rPr>
          <w:rFonts w:ascii="Times New Roman" w:hAnsi="Times New Roman"/>
          <w:noProof/>
          <w:sz w:val="24"/>
          <w:lang w:val="en-US"/>
        </w:rPr>
        <w:t xml:space="preserve">iestādi </w:t>
      </w:r>
      <w:r w:rsidRPr="00B5534A">
        <w:rPr>
          <w:rFonts w:ascii="Times New Roman" w:hAnsi="Times New Roman"/>
          <w:noProof/>
          <w:sz w:val="24"/>
          <w:lang w:val="en-US"/>
        </w:rPr>
        <w:t>vai tiesu) un pusēm, kā arī trešām pusēm notiek rakstveidā vai, ja saziņa ir mutiska, tā, ciktāl tas ir iespējams, tiek reģistrēta rakstiskā protokolā, kas ir daļa no lietas materiāliem vai dokumentiem.</w:t>
      </w:r>
    </w:p>
    <w:p w14:paraId="0909E0D2" w14:textId="77777777" w:rsidR="00B5534A" w:rsidRPr="00B5534A" w:rsidRDefault="00B5534A" w:rsidP="00B5534A">
      <w:pPr>
        <w:jc w:val="both"/>
        <w:rPr>
          <w:rFonts w:ascii="Times New Roman" w:hAnsi="Times New Roman" w:cs="Times New Roman"/>
          <w:noProof/>
          <w:sz w:val="24"/>
          <w:szCs w:val="24"/>
          <w:lang w:val="en-US"/>
        </w:rPr>
      </w:pPr>
    </w:p>
    <w:p w14:paraId="5B028B77" w14:textId="77777777" w:rsidR="00B5534A" w:rsidRPr="00B5534A" w:rsidRDefault="00B5534A" w:rsidP="00B5534A">
      <w:pPr>
        <w:pStyle w:val="Heading3"/>
        <w:tabs>
          <w:tab w:val="left" w:pos="1301"/>
        </w:tabs>
        <w:ind w:left="0"/>
        <w:jc w:val="both"/>
        <w:rPr>
          <w:rFonts w:ascii="Times New Roman" w:hAnsi="Times New Roman" w:cs="Times New Roman"/>
          <w:b w:val="0"/>
          <w:bCs w:val="0"/>
          <w:noProof/>
          <w:sz w:val="24"/>
          <w:szCs w:val="24"/>
          <w:lang w:val="en-US"/>
        </w:rPr>
      </w:pPr>
      <w:r w:rsidRPr="00B5534A">
        <w:rPr>
          <w:rFonts w:ascii="Times New Roman" w:hAnsi="Times New Roman"/>
          <w:b w:val="0"/>
          <w:noProof/>
          <w:sz w:val="24"/>
          <w:lang w:val="en-US"/>
        </w:rPr>
        <w:t xml:space="preserve">4. </w:t>
      </w:r>
      <w:r w:rsidRPr="00B5534A">
        <w:rPr>
          <w:rFonts w:ascii="Times New Roman" w:hAnsi="Times New Roman"/>
          <w:noProof/>
          <w:sz w:val="24"/>
          <w:lang w:val="en-US"/>
        </w:rPr>
        <w:t>Jānodrošina, lai konkurences tiesību akti tiktu piemēroti savlaicīgi</w:t>
      </w:r>
      <w:r w:rsidRPr="00B5534A">
        <w:rPr>
          <w:rFonts w:ascii="Times New Roman" w:hAnsi="Times New Roman"/>
          <w:b w:val="0"/>
          <w:noProof/>
          <w:sz w:val="24"/>
          <w:lang w:val="en-US"/>
        </w:rPr>
        <w:t>:</w:t>
      </w:r>
    </w:p>
    <w:p w14:paraId="0BAD3065" w14:textId="77777777" w:rsidR="00B5534A" w:rsidRPr="00B5534A" w:rsidRDefault="00B5534A" w:rsidP="00B5534A">
      <w:pPr>
        <w:jc w:val="both"/>
        <w:rPr>
          <w:rFonts w:ascii="Times New Roman" w:eastAsia="Arial" w:hAnsi="Times New Roman" w:cs="Times New Roman"/>
          <w:noProof/>
          <w:sz w:val="24"/>
          <w:szCs w:val="24"/>
          <w:lang w:val="en-US"/>
        </w:rPr>
      </w:pPr>
    </w:p>
    <w:p w14:paraId="0E265635" w14:textId="2D32211B"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a) noslēdzot konkurences tiesību aktu piemērošanu saprātīgā termiņā, ko īsteno, ņemot vērā lietas specifiku un sarežģītību, kā arī efektīvi izmantojot konkurences </w:t>
      </w:r>
      <w:r w:rsidR="00B64A86" w:rsidRPr="00B64A86">
        <w:rPr>
          <w:rFonts w:ascii="Times New Roman" w:hAnsi="Times New Roman"/>
          <w:noProof/>
          <w:sz w:val="24"/>
          <w:lang w:val="en-US"/>
        </w:rPr>
        <w:t xml:space="preserve">iestādes </w:t>
      </w:r>
      <w:r w:rsidRPr="00B5534A">
        <w:rPr>
          <w:rFonts w:ascii="Times New Roman" w:hAnsi="Times New Roman"/>
          <w:noProof/>
          <w:sz w:val="24"/>
          <w:lang w:val="en-US"/>
        </w:rPr>
        <w:t>resursus;</w:t>
      </w:r>
    </w:p>
    <w:p w14:paraId="6FC5D59D"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13A0E83E" w14:textId="65EC3276"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b) nosakot un ievērojot tiesību aktu noteikumus vai konkurences </w:t>
      </w:r>
      <w:r w:rsidR="00B64A86" w:rsidRPr="00B64A86">
        <w:rPr>
          <w:rFonts w:ascii="Times New Roman" w:hAnsi="Times New Roman"/>
          <w:noProof/>
          <w:sz w:val="24"/>
          <w:lang w:val="en-US"/>
        </w:rPr>
        <w:t xml:space="preserve">iestādes </w:t>
      </w:r>
      <w:r w:rsidRPr="00B5534A">
        <w:rPr>
          <w:rFonts w:ascii="Times New Roman" w:hAnsi="Times New Roman"/>
          <w:noProof/>
          <w:sz w:val="24"/>
          <w:lang w:val="en-US"/>
        </w:rPr>
        <w:t>vadlīnijas vai attiecīgos gadījumos nosakot iekšējos mērķus attiecībā uz termiņiem vai procesuālo darbību ilgumu, ko īsteno, ņemot vērā lietas specifiku un sarežģītību;</w:t>
      </w:r>
    </w:p>
    <w:p w14:paraId="1EFA3DE9"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0125CDA5" w14:textId="54D9874B"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c) nodrošinot, lai konkurences </w:t>
      </w:r>
      <w:r w:rsidR="00B64A86" w:rsidRPr="00B64A86">
        <w:rPr>
          <w:rFonts w:ascii="Times New Roman" w:hAnsi="Times New Roman"/>
          <w:noProof/>
          <w:sz w:val="24"/>
          <w:lang w:val="en-US"/>
        </w:rPr>
        <w:t>iestādēm, pusēm un trešām pusēm būtu pieejams saprātīgs laika posms savu darbību un atbilžu sagatavošanai;</w:t>
      </w:r>
    </w:p>
    <w:p w14:paraId="224ED6AF"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458EC3B4"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d) veicinot pušu sadarbību, lai izvairītos no kavēšanās, jo puses vai trešo pušu izvēles vai darbības var ietekmēt izmeklēšanas laika noteikšanu.</w:t>
      </w:r>
    </w:p>
    <w:p w14:paraId="10F6A45A" w14:textId="77777777" w:rsidR="00B5534A" w:rsidRPr="00B5534A" w:rsidRDefault="00B5534A" w:rsidP="00B5534A">
      <w:pPr>
        <w:jc w:val="both"/>
        <w:rPr>
          <w:rFonts w:ascii="Times New Roman" w:eastAsia="Arial" w:hAnsi="Times New Roman" w:cs="Times New Roman"/>
          <w:noProof/>
          <w:sz w:val="24"/>
          <w:szCs w:val="24"/>
          <w:lang w:val="en-US"/>
        </w:rPr>
      </w:pPr>
    </w:p>
    <w:p w14:paraId="610BC54B" w14:textId="77777777" w:rsidR="00B5534A" w:rsidRPr="00B5534A" w:rsidRDefault="00B5534A" w:rsidP="00B5534A">
      <w:pPr>
        <w:tabs>
          <w:tab w:val="left" w:pos="1301"/>
        </w:tabs>
        <w:jc w:val="both"/>
        <w:rPr>
          <w:rFonts w:ascii="Times New Roman" w:eastAsia="Arial" w:hAnsi="Times New Roman" w:cs="Times New Roman"/>
          <w:noProof/>
          <w:sz w:val="24"/>
          <w:szCs w:val="24"/>
          <w:lang w:val="en-US"/>
        </w:rPr>
      </w:pPr>
      <w:r w:rsidRPr="00B5534A">
        <w:rPr>
          <w:rFonts w:ascii="Times New Roman" w:hAnsi="Times New Roman"/>
          <w:noProof/>
          <w:sz w:val="24"/>
          <w:lang w:val="en-US"/>
        </w:rPr>
        <w:t xml:space="preserve">5. </w:t>
      </w:r>
      <w:r w:rsidRPr="00B5534A">
        <w:rPr>
          <w:rFonts w:ascii="Times New Roman" w:hAnsi="Times New Roman"/>
          <w:b/>
          <w:noProof/>
          <w:sz w:val="24"/>
          <w:lang w:val="en-US"/>
        </w:rPr>
        <w:t>Jāinformē puses un jāpiedāvā tām iespējas jēgpilni iesaistīties konkurences tiesību aktu piemērošanas procesā</w:t>
      </w:r>
      <w:r w:rsidRPr="00B5534A">
        <w:rPr>
          <w:rFonts w:ascii="Times New Roman" w:hAnsi="Times New Roman"/>
          <w:noProof/>
          <w:sz w:val="24"/>
          <w:lang w:val="en-US"/>
        </w:rPr>
        <w:t>, pienācīgi ņemot vērā izmeklēšanas efektivitāti:</w:t>
      </w:r>
    </w:p>
    <w:p w14:paraId="1B9CBBB8" w14:textId="77777777" w:rsidR="00B5534A" w:rsidRPr="00B5534A" w:rsidRDefault="00B5534A" w:rsidP="00B5534A">
      <w:pPr>
        <w:jc w:val="both"/>
        <w:rPr>
          <w:rFonts w:ascii="Times New Roman" w:eastAsia="Arial" w:hAnsi="Times New Roman" w:cs="Times New Roman"/>
          <w:noProof/>
          <w:sz w:val="24"/>
          <w:szCs w:val="24"/>
          <w:lang w:val="en-US"/>
        </w:rPr>
      </w:pPr>
    </w:p>
    <w:p w14:paraId="66DA43C7"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a) nodrošinot, ka pusēm, tiklīdz tas ir iespējams un juridiski pieļaujams, tiek rakstveidā paziņots par izmeklēšanas uzsākšanu un tās tiesisko pamatu un priekšmetu, ciktāl tas </w:t>
      </w:r>
      <w:r w:rsidRPr="00B5534A">
        <w:rPr>
          <w:rFonts w:ascii="Times New Roman" w:hAnsi="Times New Roman"/>
          <w:noProof/>
          <w:sz w:val="24"/>
          <w:lang w:val="en-US"/>
        </w:rPr>
        <w:lastRenderedPageBreak/>
        <w:t>nemazina izmeklēšanas efektivitāti;</w:t>
      </w:r>
    </w:p>
    <w:p w14:paraId="5E672380"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35C9C928" w14:textId="5C834A3C"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b) izskaidrojot pusēm faktisko un tiesisko pamatu, </w:t>
      </w:r>
      <w:r w:rsidR="0049542F" w:rsidRPr="0049542F">
        <w:rPr>
          <w:rFonts w:ascii="Times New Roman" w:hAnsi="Times New Roman"/>
          <w:noProof/>
          <w:sz w:val="24"/>
          <w:lang w:val="en-US"/>
        </w:rPr>
        <w:t>bažas par konkurenci un izmeklēšanas statusu, tiklīdz tas ir pamatoti iespējams un atbilstoši konkurences tiesību aktu piemērošanas procesā;</w:t>
      </w:r>
    </w:p>
    <w:p w14:paraId="1936CD57"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667032DB" w14:textId="0D5D152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c) nodrošinot, ka neviens konkurences </w:t>
      </w:r>
      <w:r w:rsidR="0049542F" w:rsidRPr="0049542F">
        <w:rPr>
          <w:rFonts w:ascii="Times New Roman" w:hAnsi="Times New Roman"/>
          <w:noProof/>
          <w:sz w:val="24"/>
          <w:lang w:val="en-US"/>
        </w:rPr>
        <w:t>iestādes publisks paziņojums par izmeklēšanas uzsākšanu un publikācija par iebildumiem, kas izvirzīti pret pusēm, netiek pasniegta kā lēmums par attiecīgo lietu;</w:t>
      </w:r>
    </w:p>
    <w:p w14:paraId="795BFADC"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58B3BB10" w14:textId="5FEFD04F" w:rsidR="00B5534A" w:rsidRPr="00B5534A" w:rsidRDefault="005F5A70" w:rsidP="00B5534A">
      <w:pPr>
        <w:pStyle w:val="BodyText"/>
        <w:tabs>
          <w:tab w:val="left" w:pos="1303"/>
        </w:tabs>
        <w:ind w:left="0" w:firstLine="0"/>
        <w:jc w:val="both"/>
        <w:rPr>
          <w:rFonts w:ascii="Times New Roman" w:hAnsi="Times New Roman"/>
          <w:noProof/>
          <w:sz w:val="24"/>
          <w:lang w:val="en-US"/>
        </w:rPr>
      </w:pPr>
      <w:r w:rsidRPr="005F5A70">
        <w:rPr>
          <w:rFonts w:ascii="Times New Roman" w:hAnsi="Times New Roman"/>
          <w:noProof/>
          <w:sz w:val="24"/>
          <w:lang w:val="en-US"/>
        </w:rPr>
        <w:t>d) sniedzot pusēm iespēju pienācīgā apmērā</w:t>
      </w:r>
      <w:r>
        <w:rPr>
          <w:rFonts w:ascii="Times New Roman" w:hAnsi="Times New Roman"/>
          <w:noProof/>
          <w:sz w:val="24"/>
          <w:lang w:val="en-US"/>
        </w:rPr>
        <w:t xml:space="preserve"> </w:t>
      </w:r>
      <w:r w:rsidR="00B5534A" w:rsidRPr="00B5534A">
        <w:rPr>
          <w:rFonts w:ascii="Times New Roman" w:hAnsi="Times New Roman"/>
          <w:noProof/>
          <w:sz w:val="24"/>
          <w:lang w:val="en-US"/>
        </w:rPr>
        <w:t xml:space="preserve">ar pārstāvja starpniecību paust viedokļus par jautājumiem par lietas būtību un procedūras jautājumiem saskaņā ar piemērojamajiem tiesību aktiem, noteikumiem vai vadlīnijām; tas ietver arī iespēju bez pietiekama iemesla nenoraidīt pušu lūgumus par to, lai pārstāvību nodrošinātu to izraudzīts </w:t>
      </w:r>
      <w:r w:rsidR="00DC46B4" w:rsidRPr="00DC46B4">
        <w:rPr>
          <w:rFonts w:ascii="Times New Roman" w:hAnsi="Times New Roman"/>
          <w:noProof/>
          <w:sz w:val="24"/>
          <w:lang w:val="en-US"/>
        </w:rPr>
        <w:t>juridiskās palīdzības sniedzējs;</w:t>
      </w:r>
    </w:p>
    <w:p w14:paraId="021C3972"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0FD47BB8" w14:textId="5DEC79A4"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e) nodrošinot pusēm galvenajos posmos jēgpilnas iespējas apspriest ar konkurences </w:t>
      </w:r>
      <w:r w:rsidR="00DC46B4" w:rsidRPr="00DC46B4">
        <w:rPr>
          <w:rFonts w:ascii="Times New Roman" w:hAnsi="Times New Roman"/>
          <w:noProof/>
          <w:sz w:val="24"/>
          <w:lang w:val="en-US"/>
        </w:rPr>
        <w:t>iestādi</w:t>
      </w:r>
      <w:r w:rsidR="00DC46B4">
        <w:rPr>
          <w:rFonts w:ascii="Times New Roman" w:hAnsi="Times New Roman"/>
          <w:noProof/>
          <w:sz w:val="24"/>
          <w:lang w:val="en-US"/>
        </w:rPr>
        <w:t xml:space="preserve"> </w:t>
      </w:r>
      <w:r w:rsidRPr="00B5534A">
        <w:rPr>
          <w:rFonts w:ascii="Times New Roman" w:hAnsi="Times New Roman"/>
          <w:noProof/>
          <w:sz w:val="24"/>
          <w:lang w:val="en-US"/>
        </w:rPr>
        <w:t>izmeklēšanas faktiskos apstākļus, gaitu un procesuālās darbības, kā arī attiecīgo juridisko un ekonomisko argumentāciju;</w:t>
      </w:r>
    </w:p>
    <w:p w14:paraId="659B0940"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07BED111"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f) dodot pusēm pienācīgas aizstāvības iespēju pirms galīgā lēmuma pieņemšanas; tam ir jāietver šādas darbības:</w:t>
      </w:r>
    </w:p>
    <w:p w14:paraId="3E673378"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182E6893" w14:textId="31A88A64" w:rsidR="00B5534A" w:rsidRPr="00B5534A" w:rsidRDefault="00B5534A" w:rsidP="00B5534A">
      <w:pPr>
        <w:pStyle w:val="BodyText"/>
        <w:tabs>
          <w:tab w:val="left" w:pos="1870"/>
        </w:tabs>
        <w:ind w:left="567" w:firstLine="0"/>
        <w:jc w:val="both"/>
        <w:rPr>
          <w:rFonts w:ascii="Times New Roman" w:hAnsi="Times New Roman"/>
          <w:noProof/>
          <w:sz w:val="24"/>
          <w:lang w:val="en-US"/>
        </w:rPr>
      </w:pPr>
      <w:r w:rsidRPr="00B5534A">
        <w:rPr>
          <w:rFonts w:ascii="Times New Roman" w:hAnsi="Times New Roman"/>
          <w:noProof/>
          <w:sz w:val="24"/>
          <w:lang w:val="en-US"/>
        </w:rPr>
        <w:t xml:space="preserve">i) jāinformē puses par </w:t>
      </w:r>
      <w:r w:rsidR="00E808C9" w:rsidRPr="00E808C9">
        <w:rPr>
          <w:rFonts w:ascii="Times New Roman" w:hAnsi="Times New Roman"/>
          <w:noProof/>
          <w:sz w:val="24"/>
          <w:lang w:val="en-US"/>
        </w:rPr>
        <w:t>iebildumiem, kas pret tām izvirzīti, un jāpiešķir tām piekļuve attiecīgajiem pierādījumiem, kurus savākusi konkurences iestāde vai tiesa vai kuri tai iesniegti (ievērojot konfidenciālās un privileģētās informācijas aizsardzības prasības);</w:t>
      </w:r>
    </w:p>
    <w:p w14:paraId="476E8B0C" w14:textId="7C4DC17D" w:rsidR="00B5534A" w:rsidRPr="00B5534A" w:rsidRDefault="00B5534A" w:rsidP="00B5534A">
      <w:pPr>
        <w:pStyle w:val="BodyText"/>
        <w:tabs>
          <w:tab w:val="left" w:pos="1870"/>
        </w:tabs>
        <w:ind w:left="567" w:firstLine="0"/>
        <w:jc w:val="both"/>
        <w:rPr>
          <w:rFonts w:ascii="Times New Roman" w:hAnsi="Times New Roman"/>
          <w:noProof/>
          <w:sz w:val="24"/>
          <w:lang w:val="en-US"/>
        </w:rPr>
      </w:pPr>
      <w:r w:rsidRPr="00B5534A">
        <w:rPr>
          <w:rFonts w:ascii="Times New Roman" w:hAnsi="Times New Roman"/>
          <w:noProof/>
          <w:sz w:val="24"/>
          <w:lang w:val="en-US"/>
        </w:rPr>
        <w:t xml:space="preserve">ii) jānodrošina pusēm jēgpilna iespēja sniegt pilnīgu atbildi uz izvirzītajiem </w:t>
      </w:r>
      <w:r w:rsidR="00E808C9" w:rsidRPr="00E808C9">
        <w:rPr>
          <w:rFonts w:ascii="Times New Roman" w:hAnsi="Times New Roman"/>
          <w:noProof/>
          <w:sz w:val="24"/>
          <w:lang w:val="en-US"/>
        </w:rPr>
        <w:t xml:space="preserve">iebildumiem </w:t>
      </w:r>
      <w:r w:rsidRPr="00B5534A">
        <w:rPr>
          <w:rFonts w:ascii="Times New Roman" w:hAnsi="Times New Roman"/>
          <w:noProof/>
          <w:sz w:val="24"/>
          <w:lang w:val="en-US"/>
        </w:rPr>
        <w:t>un iesniegt pierādījumus, kas apstiprina to argumentus, galvenajiem lēmumu pieņēmējiem;</w:t>
      </w:r>
    </w:p>
    <w:p w14:paraId="76D91550" w14:textId="77777777" w:rsidR="00B5534A" w:rsidRPr="00B5534A" w:rsidRDefault="00B5534A" w:rsidP="00B5534A">
      <w:pPr>
        <w:pStyle w:val="BodyText"/>
        <w:tabs>
          <w:tab w:val="left" w:pos="1303"/>
        </w:tabs>
        <w:ind w:left="284" w:firstLine="0"/>
        <w:jc w:val="both"/>
        <w:rPr>
          <w:rFonts w:ascii="Times New Roman" w:hAnsi="Times New Roman" w:cs="Times New Roman"/>
          <w:noProof/>
          <w:sz w:val="24"/>
          <w:szCs w:val="24"/>
          <w:lang w:val="en-US"/>
        </w:rPr>
      </w:pPr>
    </w:p>
    <w:p w14:paraId="0113829F"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g) ievērojot pušu attiecīgās tiesības neliecināt pret sevi;</w:t>
      </w:r>
    </w:p>
    <w:p w14:paraId="6486B83F"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1F57225B"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h) pirms galīgā lēmuma pieņemšanas ņemot vērā to trešo pušu viedokļus, kurām attiecīgajā lietā ir likumīgās intereses.</w:t>
      </w:r>
    </w:p>
    <w:p w14:paraId="6CCDB75A" w14:textId="77777777" w:rsidR="00B5534A" w:rsidRPr="00B5534A" w:rsidRDefault="00B5534A" w:rsidP="00B5534A">
      <w:pPr>
        <w:jc w:val="both"/>
        <w:rPr>
          <w:rFonts w:ascii="Times New Roman" w:eastAsia="Arial" w:hAnsi="Times New Roman" w:cs="Times New Roman"/>
          <w:noProof/>
          <w:sz w:val="24"/>
          <w:szCs w:val="24"/>
          <w:lang w:val="en-US"/>
        </w:rPr>
      </w:pPr>
    </w:p>
    <w:p w14:paraId="2AFFDDAD" w14:textId="3F3290D1" w:rsidR="00B5534A" w:rsidRPr="00B5534A" w:rsidRDefault="00B5534A" w:rsidP="00B5534A">
      <w:pPr>
        <w:tabs>
          <w:tab w:val="left" w:pos="1301"/>
        </w:tabs>
        <w:jc w:val="both"/>
        <w:rPr>
          <w:rFonts w:ascii="Times New Roman" w:eastAsia="Arial" w:hAnsi="Times New Roman" w:cs="Times New Roman"/>
          <w:noProof/>
          <w:sz w:val="24"/>
          <w:szCs w:val="24"/>
          <w:lang w:val="en-US"/>
        </w:rPr>
      </w:pPr>
      <w:r w:rsidRPr="00B5534A">
        <w:rPr>
          <w:rFonts w:ascii="Times New Roman" w:hAnsi="Times New Roman"/>
          <w:noProof/>
          <w:sz w:val="24"/>
          <w:lang w:val="en-US"/>
        </w:rPr>
        <w:t xml:space="preserve">6. </w:t>
      </w:r>
      <w:r w:rsidRPr="00B5534A">
        <w:rPr>
          <w:rFonts w:ascii="Times New Roman" w:hAnsi="Times New Roman"/>
          <w:b/>
          <w:noProof/>
          <w:sz w:val="24"/>
          <w:lang w:val="en-US"/>
        </w:rPr>
        <w:t xml:space="preserve">Jāaizsargā konfidenciālā un </w:t>
      </w:r>
      <w:r w:rsidR="0022082C" w:rsidRPr="0022082C">
        <w:rPr>
          <w:rFonts w:ascii="Times New Roman" w:hAnsi="Times New Roman"/>
          <w:b/>
          <w:noProof/>
          <w:sz w:val="24"/>
          <w:lang w:val="en-US"/>
        </w:rPr>
        <w:t xml:space="preserve">privileģētā </w:t>
      </w:r>
      <w:r w:rsidRPr="00B5534A">
        <w:rPr>
          <w:rFonts w:ascii="Times New Roman" w:hAnsi="Times New Roman"/>
          <w:b/>
          <w:noProof/>
          <w:sz w:val="24"/>
          <w:lang w:val="en-US"/>
        </w:rPr>
        <w:t>informācija</w:t>
      </w:r>
      <w:r w:rsidRPr="00B5534A">
        <w:rPr>
          <w:rFonts w:ascii="Times New Roman" w:hAnsi="Times New Roman"/>
          <w:noProof/>
          <w:sz w:val="24"/>
          <w:lang w:val="en-US"/>
        </w:rPr>
        <w:t>, ņemot vērā aizstāvības tiesības un citas juridiskās tiesības, kā arī sabiedrības intereses attiecībā uz konkurences tiesību aktu pārskatāmu un efektīvu piemērošanu, jo īpaši:</w:t>
      </w:r>
    </w:p>
    <w:p w14:paraId="34E7F191" w14:textId="77777777" w:rsidR="00B5534A" w:rsidRPr="00B5534A" w:rsidRDefault="00B5534A" w:rsidP="00B5534A">
      <w:pPr>
        <w:jc w:val="both"/>
        <w:rPr>
          <w:rFonts w:ascii="Times New Roman" w:eastAsia="Arial" w:hAnsi="Times New Roman" w:cs="Times New Roman"/>
          <w:noProof/>
          <w:sz w:val="24"/>
          <w:szCs w:val="24"/>
          <w:lang w:val="en-US"/>
        </w:rPr>
      </w:pPr>
    </w:p>
    <w:p w14:paraId="412B1899" w14:textId="46AE9285"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a) nodrošinot, ka konkurences </w:t>
      </w:r>
      <w:r w:rsidR="0022082C" w:rsidRPr="0022082C">
        <w:rPr>
          <w:rFonts w:ascii="Times New Roman" w:hAnsi="Times New Roman"/>
          <w:noProof/>
          <w:sz w:val="24"/>
          <w:lang w:val="en-US"/>
        </w:rPr>
        <w:t xml:space="preserve">iestādes </w:t>
      </w:r>
      <w:r w:rsidRPr="00B5534A">
        <w:rPr>
          <w:rFonts w:ascii="Times New Roman" w:hAnsi="Times New Roman"/>
          <w:noProof/>
          <w:sz w:val="24"/>
          <w:lang w:val="en-US"/>
        </w:rPr>
        <w:t>pienācīgi aizsargā pret to rīcībā esošas konfidenciālas informācijas nelikumīgu izpaušanu, un</w:t>
      </w:r>
    </w:p>
    <w:p w14:paraId="2D5B8604"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2B311887" w14:textId="64B0E42B"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b) apsverot tādas politikas izstrādi, atjaunināšanu vai stiprināšanu, kas attiecas uz konfidenciālu paziņojumu apmaiņu starp advokātiem un klientiem, kā arī ievērojot </w:t>
      </w:r>
      <w:r w:rsidR="0022082C" w:rsidRPr="0022082C">
        <w:rPr>
          <w:rFonts w:ascii="Times New Roman" w:hAnsi="Times New Roman"/>
          <w:noProof/>
          <w:sz w:val="24"/>
          <w:lang w:val="en-US"/>
        </w:rPr>
        <w:t xml:space="preserve"> piemērojamās juridiskās privilēģijas.</w:t>
      </w:r>
    </w:p>
    <w:p w14:paraId="1586BB0D" w14:textId="77777777" w:rsidR="00B5534A" w:rsidRPr="00B5534A" w:rsidRDefault="00B5534A" w:rsidP="00B5534A">
      <w:pPr>
        <w:jc w:val="both"/>
        <w:rPr>
          <w:rFonts w:ascii="Times New Roman" w:hAnsi="Times New Roman" w:cs="Times New Roman"/>
          <w:noProof/>
          <w:sz w:val="24"/>
          <w:szCs w:val="24"/>
          <w:lang w:val="en-US"/>
        </w:rPr>
      </w:pPr>
    </w:p>
    <w:p w14:paraId="6CC2AA8D" w14:textId="462CF364" w:rsidR="00B5534A" w:rsidRPr="00B5534A" w:rsidRDefault="00B5534A" w:rsidP="00B5534A">
      <w:pPr>
        <w:pStyle w:val="BodyText"/>
        <w:tabs>
          <w:tab w:val="left" w:pos="1301"/>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7. </w:t>
      </w:r>
      <w:r w:rsidRPr="00B5534A">
        <w:rPr>
          <w:rFonts w:ascii="Times New Roman" w:hAnsi="Times New Roman"/>
          <w:b/>
          <w:noProof/>
          <w:sz w:val="24"/>
          <w:lang w:val="en-US"/>
        </w:rPr>
        <w:t xml:space="preserve">Jānodrošina piekļuve objektīvam </w:t>
      </w:r>
      <w:r w:rsidR="0022082C">
        <w:rPr>
          <w:rFonts w:ascii="Times New Roman" w:hAnsi="Times New Roman"/>
          <w:b/>
          <w:noProof/>
          <w:sz w:val="24"/>
          <w:lang w:val="en-US"/>
        </w:rPr>
        <w:t>pār</w:t>
      </w:r>
      <w:r w:rsidRPr="00B5534A">
        <w:rPr>
          <w:rFonts w:ascii="Times New Roman" w:hAnsi="Times New Roman"/>
          <w:b/>
          <w:noProof/>
          <w:sz w:val="24"/>
          <w:lang w:val="en-US"/>
        </w:rPr>
        <w:t>skatīšanas procesam</w:t>
      </w:r>
      <w:r w:rsidRPr="00B5534A">
        <w:rPr>
          <w:rFonts w:ascii="Times New Roman" w:hAnsi="Times New Roman"/>
          <w:noProof/>
          <w:sz w:val="24"/>
          <w:lang w:val="en-US"/>
        </w:rPr>
        <w:t xml:space="preserve">, ko īsteno neatkarīga un no konkurences </w:t>
      </w:r>
      <w:r w:rsidR="00C33A78" w:rsidRPr="00C33A78">
        <w:rPr>
          <w:rFonts w:ascii="Times New Roman" w:hAnsi="Times New Roman"/>
          <w:noProof/>
          <w:sz w:val="24"/>
          <w:lang w:val="en-US"/>
        </w:rPr>
        <w:t>iestādes nodalīta strīdu izšķiršanas institūcija (t. i., tiesa, šķīrējtiesa vai apelācijas institūcija), izskatot lēmumus, tostarp obligātus procesuālus starplēmumus.</w:t>
      </w:r>
      <w:r w:rsidRPr="00B5534A">
        <w:rPr>
          <w:rFonts w:ascii="Times New Roman" w:hAnsi="Times New Roman"/>
          <w:noProof/>
          <w:sz w:val="24"/>
          <w:lang w:val="en-US"/>
        </w:rPr>
        <w:t xml:space="preserve"> Šajā nolūkā īstenotājiem ir:</w:t>
      </w:r>
    </w:p>
    <w:p w14:paraId="0315D258" w14:textId="77777777" w:rsidR="00B5534A" w:rsidRPr="00B5534A" w:rsidRDefault="00B5534A" w:rsidP="00B5534A">
      <w:pPr>
        <w:jc w:val="both"/>
        <w:rPr>
          <w:rFonts w:ascii="Times New Roman" w:hAnsi="Times New Roman"/>
          <w:noProof/>
          <w:sz w:val="24"/>
          <w:lang w:val="en-US"/>
        </w:rPr>
      </w:pPr>
    </w:p>
    <w:p w14:paraId="77333BD4" w14:textId="3083FCBD"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a) jānodrošina iespēja tiesām veikt faktisko apstākļu un pierādījumu, kā arī konkurences </w:t>
      </w:r>
      <w:r w:rsidR="000329F7" w:rsidRPr="000329F7">
        <w:rPr>
          <w:rFonts w:ascii="Times New Roman" w:hAnsi="Times New Roman"/>
          <w:noProof/>
          <w:sz w:val="24"/>
          <w:lang w:val="en-US"/>
        </w:rPr>
        <w:lastRenderedPageBreak/>
        <w:t>iestādes pieņemto lēmumu pamatotības pārbaudi;</w:t>
      </w:r>
    </w:p>
    <w:p w14:paraId="038B2743"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0C6DE778" w14:textId="28EB6574"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b) jānosaka, ka visiem lēmumiem ir jābūt rakstveidā, jābalstās tikai uz dokumentāli apstiprinātiem faktiem un attiecīgos gadījumos jāietver informācija par konstatētajiem faktiem, </w:t>
      </w:r>
      <w:r w:rsidR="00D742D2" w:rsidRPr="00D742D2">
        <w:rPr>
          <w:rFonts w:ascii="Times New Roman" w:hAnsi="Times New Roman"/>
          <w:noProof/>
          <w:sz w:val="24"/>
          <w:lang w:val="en-US"/>
        </w:rPr>
        <w:t>slēdzienu par piemērojamajām tiesību normām un attiecīgajām sankcijām;</w:t>
      </w:r>
    </w:p>
    <w:p w14:paraId="6F55ADEC"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44FE33F1" w14:textId="0D7C0896"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 xml:space="preserve">c) jācenšas </w:t>
      </w:r>
      <w:r w:rsidR="00D742D2">
        <w:rPr>
          <w:rFonts w:ascii="Times New Roman" w:hAnsi="Times New Roman"/>
          <w:noProof/>
          <w:sz w:val="24"/>
          <w:lang w:val="en-US"/>
        </w:rPr>
        <w:t>pār</w:t>
      </w:r>
      <w:r w:rsidRPr="00B5534A">
        <w:rPr>
          <w:rFonts w:ascii="Times New Roman" w:hAnsi="Times New Roman"/>
          <w:noProof/>
          <w:sz w:val="24"/>
          <w:lang w:val="en-US"/>
        </w:rPr>
        <w:t>skatīšanu pabeigt saprātīgā termiņā, ņemot vērā lietas specifiku un sarežģītību.</w:t>
      </w:r>
    </w:p>
    <w:p w14:paraId="671B6C1B" w14:textId="77777777" w:rsidR="00B5534A" w:rsidRPr="00B5534A" w:rsidRDefault="00B5534A" w:rsidP="00B5534A">
      <w:pPr>
        <w:jc w:val="both"/>
        <w:rPr>
          <w:rFonts w:ascii="Times New Roman" w:eastAsia="Arial" w:hAnsi="Times New Roman" w:cs="Times New Roman"/>
          <w:noProof/>
          <w:sz w:val="24"/>
          <w:szCs w:val="24"/>
          <w:lang w:val="en-US"/>
        </w:rPr>
      </w:pPr>
    </w:p>
    <w:p w14:paraId="220F338F" w14:textId="026627A4" w:rsidR="00B5534A" w:rsidRPr="00B5534A" w:rsidRDefault="00B5534A" w:rsidP="00B5534A">
      <w:pPr>
        <w:pStyle w:val="BodyText"/>
        <w:tabs>
          <w:tab w:val="left" w:pos="1301"/>
        </w:tabs>
        <w:ind w:left="0" w:firstLine="0"/>
        <w:jc w:val="both"/>
        <w:rPr>
          <w:rFonts w:ascii="Times New Roman" w:hAnsi="Times New Roman" w:cs="Times New Roman"/>
          <w:noProof/>
          <w:sz w:val="24"/>
          <w:szCs w:val="24"/>
          <w:lang w:val="en-US"/>
        </w:rPr>
      </w:pPr>
      <w:r w:rsidRPr="00B5534A">
        <w:rPr>
          <w:rFonts w:ascii="Times New Roman" w:hAnsi="Times New Roman"/>
          <w:noProof/>
          <w:sz w:val="24"/>
          <w:lang w:val="en-US"/>
        </w:rPr>
        <w:t xml:space="preserve">8. </w:t>
      </w:r>
      <w:r w:rsidRPr="00B5534A">
        <w:rPr>
          <w:rFonts w:ascii="Times New Roman" w:hAnsi="Times New Roman"/>
          <w:b/>
          <w:noProof/>
          <w:sz w:val="24"/>
          <w:lang w:val="en-US"/>
        </w:rPr>
        <w:t xml:space="preserve">Periodiski jāpārskata </w:t>
      </w:r>
      <w:r w:rsidRPr="00B5534A">
        <w:rPr>
          <w:rFonts w:ascii="Times New Roman" w:hAnsi="Times New Roman"/>
          <w:noProof/>
          <w:sz w:val="24"/>
          <w:lang w:val="en-US"/>
        </w:rPr>
        <w:t xml:space="preserve">savs tiesiskais regulējums, valsts politika un konkurences </w:t>
      </w:r>
      <w:r w:rsidR="00ED73CC" w:rsidRPr="00ED73CC">
        <w:rPr>
          <w:rFonts w:ascii="Times New Roman" w:hAnsi="Times New Roman"/>
          <w:noProof/>
          <w:sz w:val="24"/>
          <w:lang w:val="en-US"/>
        </w:rPr>
        <w:t xml:space="preserve">iestādes </w:t>
      </w:r>
      <w:r w:rsidRPr="00B5534A">
        <w:rPr>
          <w:rFonts w:ascii="Times New Roman" w:hAnsi="Times New Roman"/>
          <w:noProof/>
          <w:sz w:val="24"/>
          <w:lang w:val="en-US"/>
        </w:rPr>
        <w:t>noteikumi, procedūras un vadlīnijas, lai nodrošinātu, ka tās atbilst šai rekomendācijai, uzlabotu īstenošanas sistēmas un censtos nodrošināt labākas prakses konverģenci.</w:t>
      </w:r>
    </w:p>
    <w:p w14:paraId="3C39B011" w14:textId="77777777" w:rsidR="00B5534A" w:rsidRPr="00B5534A" w:rsidRDefault="00B5534A" w:rsidP="00B5534A">
      <w:pPr>
        <w:jc w:val="both"/>
        <w:rPr>
          <w:rFonts w:ascii="Times New Roman" w:eastAsia="Arial" w:hAnsi="Times New Roman" w:cs="Times New Roman"/>
          <w:noProof/>
          <w:sz w:val="24"/>
          <w:szCs w:val="24"/>
          <w:lang w:val="en-US"/>
        </w:rPr>
      </w:pPr>
    </w:p>
    <w:p w14:paraId="0C246215" w14:textId="77777777" w:rsidR="00B5534A" w:rsidRPr="00B5534A" w:rsidRDefault="00B5534A" w:rsidP="00B5534A">
      <w:pPr>
        <w:pStyle w:val="BodyText"/>
        <w:tabs>
          <w:tab w:val="left" w:pos="1301"/>
        </w:tabs>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III. </w:t>
      </w:r>
      <w:r w:rsidRPr="00B5534A">
        <w:rPr>
          <w:rFonts w:ascii="Times New Roman" w:hAnsi="Times New Roman"/>
          <w:b/>
          <w:bCs/>
          <w:noProof/>
          <w:sz w:val="24"/>
          <w:lang w:val="en-US"/>
        </w:rPr>
        <w:t xml:space="preserve">AICINA </w:t>
      </w:r>
      <w:r w:rsidRPr="00B5534A">
        <w:rPr>
          <w:rFonts w:ascii="Times New Roman" w:hAnsi="Times New Roman"/>
          <w:noProof/>
          <w:sz w:val="24"/>
          <w:lang w:val="en-US"/>
        </w:rPr>
        <w:t>ģenerālsekretāru un īstenotājus izplatīt šo rekomendāciju.</w:t>
      </w:r>
    </w:p>
    <w:p w14:paraId="6AD3744D" w14:textId="77777777" w:rsidR="00B5534A" w:rsidRPr="00B5534A" w:rsidRDefault="00B5534A" w:rsidP="00B5534A">
      <w:pPr>
        <w:jc w:val="both"/>
        <w:rPr>
          <w:rFonts w:ascii="Times New Roman" w:eastAsia="Arial" w:hAnsi="Times New Roman" w:cs="Times New Roman"/>
          <w:noProof/>
          <w:sz w:val="24"/>
          <w:szCs w:val="24"/>
          <w:lang w:val="en-US"/>
        </w:rPr>
      </w:pPr>
    </w:p>
    <w:p w14:paraId="4D21A269" w14:textId="6CB408D4" w:rsidR="00B5534A" w:rsidRPr="00B5534A" w:rsidRDefault="00B5534A" w:rsidP="00B5534A">
      <w:pPr>
        <w:pStyle w:val="BodyText"/>
        <w:tabs>
          <w:tab w:val="left" w:pos="1301"/>
        </w:tabs>
        <w:ind w:left="0"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 xml:space="preserve">IV. AICINA </w:t>
      </w:r>
      <w:r w:rsidRPr="00B5534A">
        <w:rPr>
          <w:rFonts w:ascii="Times New Roman" w:hAnsi="Times New Roman"/>
          <w:noProof/>
          <w:sz w:val="24"/>
          <w:lang w:val="en-US"/>
        </w:rPr>
        <w:t xml:space="preserve">valstis, kas nav īstenotāji, pienācīgi ņemt vērā un </w:t>
      </w:r>
      <w:r w:rsidR="00A545A4" w:rsidRPr="00A545A4">
        <w:rPr>
          <w:rFonts w:ascii="Times New Roman" w:hAnsi="Times New Roman"/>
          <w:noProof/>
          <w:sz w:val="24"/>
          <w:lang w:val="en-US"/>
        </w:rPr>
        <w:t>stingri ievērot šo rekomendāciju.</w:t>
      </w:r>
    </w:p>
    <w:p w14:paraId="1E607A7A" w14:textId="77777777" w:rsidR="00B5534A" w:rsidRPr="00B5534A" w:rsidRDefault="00B5534A" w:rsidP="00B5534A">
      <w:pPr>
        <w:jc w:val="both"/>
        <w:rPr>
          <w:rFonts w:ascii="Times New Roman" w:eastAsia="Arial" w:hAnsi="Times New Roman" w:cs="Times New Roman"/>
          <w:noProof/>
          <w:sz w:val="24"/>
          <w:szCs w:val="24"/>
          <w:lang w:val="en-US"/>
        </w:rPr>
      </w:pPr>
    </w:p>
    <w:p w14:paraId="7647561C" w14:textId="77777777" w:rsidR="00B5534A" w:rsidRPr="00B5534A" w:rsidRDefault="00B5534A" w:rsidP="00B5534A">
      <w:pPr>
        <w:tabs>
          <w:tab w:val="left" w:pos="1301"/>
        </w:tabs>
        <w:jc w:val="both"/>
        <w:rPr>
          <w:rFonts w:ascii="Times New Roman" w:eastAsia="Arial" w:hAnsi="Times New Roman" w:cs="Times New Roman"/>
          <w:noProof/>
          <w:sz w:val="24"/>
          <w:szCs w:val="24"/>
          <w:lang w:val="en-US"/>
        </w:rPr>
      </w:pPr>
      <w:r w:rsidRPr="00B5534A">
        <w:rPr>
          <w:rFonts w:ascii="Times New Roman" w:hAnsi="Times New Roman"/>
          <w:b/>
          <w:noProof/>
          <w:sz w:val="24"/>
          <w:lang w:val="en-US"/>
        </w:rPr>
        <w:t xml:space="preserve">V. UZDOD </w:t>
      </w:r>
      <w:r w:rsidRPr="00B5534A">
        <w:rPr>
          <w:rFonts w:ascii="Times New Roman" w:hAnsi="Times New Roman"/>
          <w:noProof/>
          <w:sz w:val="24"/>
          <w:lang w:val="en-US"/>
        </w:rPr>
        <w:t>Konkurences komitejai:</w:t>
      </w:r>
    </w:p>
    <w:p w14:paraId="29BF6E6E" w14:textId="77777777" w:rsidR="00B5534A" w:rsidRPr="00B5534A" w:rsidRDefault="00B5534A" w:rsidP="00B5534A">
      <w:pPr>
        <w:jc w:val="both"/>
        <w:rPr>
          <w:rFonts w:ascii="Times New Roman" w:eastAsia="Arial" w:hAnsi="Times New Roman" w:cs="Times New Roman"/>
          <w:noProof/>
          <w:sz w:val="24"/>
          <w:szCs w:val="24"/>
          <w:lang w:val="en-US"/>
        </w:rPr>
      </w:pPr>
    </w:p>
    <w:p w14:paraId="2FFC27FC"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a) nodrošināt forumu informācijas un pieredzes apmaiņai attiecībā uz šīs rekomendācijas īstenošanu un veikt brīvprātīgas salīdzinošās pārbaudes;</w:t>
      </w:r>
    </w:p>
    <w:p w14:paraId="7796C6F6"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6E5BB217"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b) apsvērt iespēju izstrādāt metodisko līdzekli, lai palīdzētu īstenotājiem īstenot šo rekomendāciju;</w:t>
      </w:r>
    </w:p>
    <w:p w14:paraId="4ECC1DC2" w14:textId="77777777" w:rsidR="00B5534A" w:rsidRPr="00B5534A" w:rsidRDefault="00B5534A" w:rsidP="00B5534A">
      <w:pPr>
        <w:pStyle w:val="BodyText"/>
        <w:tabs>
          <w:tab w:val="left" w:pos="1303"/>
        </w:tabs>
        <w:ind w:left="0" w:firstLine="0"/>
        <w:jc w:val="both"/>
        <w:rPr>
          <w:rFonts w:ascii="Times New Roman" w:hAnsi="Times New Roman" w:cs="Times New Roman"/>
          <w:noProof/>
          <w:sz w:val="24"/>
          <w:szCs w:val="24"/>
          <w:lang w:val="en-US"/>
        </w:rPr>
      </w:pPr>
    </w:p>
    <w:p w14:paraId="079E69A1" w14:textId="77777777" w:rsidR="00B5534A" w:rsidRPr="00B5534A" w:rsidRDefault="00B5534A" w:rsidP="00B5534A">
      <w:pPr>
        <w:pStyle w:val="BodyText"/>
        <w:tabs>
          <w:tab w:val="left" w:pos="1303"/>
        </w:tabs>
        <w:ind w:left="0" w:firstLine="0"/>
        <w:jc w:val="both"/>
        <w:rPr>
          <w:rFonts w:ascii="Times New Roman" w:hAnsi="Times New Roman"/>
          <w:noProof/>
          <w:sz w:val="24"/>
          <w:lang w:val="en-US"/>
        </w:rPr>
      </w:pPr>
      <w:r w:rsidRPr="00B5534A">
        <w:rPr>
          <w:rFonts w:ascii="Times New Roman" w:hAnsi="Times New Roman"/>
          <w:noProof/>
          <w:sz w:val="24"/>
          <w:lang w:val="en-US"/>
        </w:rPr>
        <w:t>c) ziņot Padomei par šīs rekomendācijas īstenošanu, izplatīšanu un turpmāko atbilstību ne vēlāk kā pēc pieciem gadiem pēc tās pieņemšanas un pēc tam – ne retāk kā ik pēc desmit gadiem.</w:t>
      </w:r>
    </w:p>
    <w:p w14:paraId="63470A45" w14:textId="77777777" w:rsidR="00B5534A" w:rsidRPr="00B5534A" w:rsidRDefault="00B5534A" w:rsidP="00B5534A">
      <w:pPr>
        <w:rPr>
          <w:noProof/>
          <w:lang w:val="en-US"/>
        </w:rPr>
      </w:pPr>
      <w:r w:rsidRPr="00B5534A">
        <w:rPr>
          <w:noProof/>
          <w:lang w:val="en-US"/>
        </w:rPr>
        <w:br w:type="page"/>
      </w:r>
    </w:p>
    <w:p w14:paraId="3761EF87" w14:textId="77777777" w:rsidR="00B5534A" w:rsidRPr="00B5534A" w:rsidRDefault="00B5534A" w:rsidP="00B5534A">
      <w:pPr>
        <w:jc w:val="both"/>
        <w:rPr>
          <w:rFonts w:ascii="Times New Roman" w:hAnsi="Times New Roman" w:cs="Times New Roman"/>
          <w:noProof/>
          <w:sz w:val="24"/>
          <w:szCs w:val="24"/>
          <w:lang w:val="en-US"/>
        </w:rPr>
      </w:pPr>
    </w:p>
    <w:p w14:paraId="432EEE8D" w14:textId="77777777" w:rsidR="00B5534A" w:rsidRPr="00B5534A" w:rsidRDefault="00B5534A" w:rsidP="00B5534A">
      <w:pPr>
        <w:pStyle w:val="Heading2"/>
        <w:spacing w:before="0"/>
        <w:ind w:left="0"/>
        <w:jc w:val="both"/>
        <w:rPr>
          <w:rFonts w:ascii="Times New Roman" w:hAnsi="Times New Roman"/>
          <w:noProof/>
          <w:color w:val="1F4679"/>
          <w:sz w:val="28"/>
          <w:lang w:val="en-US"/>
        </w:rPr>
      </w:pPr>
      <w:r w:rsidRPr="00B5534A">
        <w:rPr>
          <w:rFonts w:ascii="Times New Roman" w:hAnsi="Times New Roman"/>
          <w:noProof/>
          <w:color w:val="1F4679"/>
          <w:sz w:val="28"/>
          <w:lang w:val="en-US"/>
        </w:rPr>
        <w:t>Par ESAO</w:t>
      </w:r>
      <w:bookmarkStart w:id="0" w:name="About_the_OECD"/>
      <w:bookmarkEnd w:id="0"/>
    </w:p>
    <w:p w14:paraId="7A826F43" w14:textId="77777777" w:rsidR="00B5534A" w:rsidRPr="00B5534A" w:rsidRDefault="00B5534A" w:rsidP="00B5534A">
      <w:pPr>
        <w:jc w:val="both"/>
        <w:rPr>
          <w:rFonts w:ascii="Times New Roman" w:eastAsia="Arial" w:hAnsi="Times New Roman" w:cs="Times New Roman"/>
          <w:b/>
          <w:bCs/>
          <w:noProof/>
          <w:sz w:val="24"/>
          <w:szCs w:val="24"/>
          <w:lang w:val="en-US"/>
        </w:rPr>
      </w:pPr>
    </w:p>
    <w:p w14:paraId="78F34796"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Ekonomiskās sadarbības un attīstības organizācija (ESAO) ir unikāls forums, kurā valstis kopīgi meklē risinājumus ekonomiskiem, sociāliem un vides izaicinājumiem, ko rada globalizācija. ESAO arī velta ļoti daudz pūļu tam, lai sekmētu izpratni par jaunām parādībām un problēmām, piemēram, par korporatīvo pārvaldību, informācijas ekonomiku un izaicinājumiem, ko rada iedzīvotāju novecošana, un palīdzētu valdībām reaģēt uz šīm pārmaiņām. Šī organizācija nodrošina vidi, kurā valstis var salīdzināt politikas jomā gūto pieredzi, risināt kopīgas problēmas, noteikt paraugprakses piemērus un strādāt, lai saskaņotu politiku valsts un starptautiskā līmenī.</w:t>
      </w:r>
    </w:p>
    <w:p w14:paraId="280E3536" w14:textId="77777777" w:rsidR="00B5534A" w:rsidRPr="00B5534A" w:rsidRDefault="00B5534A" w:rsidP="00B5534A">
      <w:pPr>
        <w:jc w:val="both"/>
        <w:rPr>
          <w:rFonts w:ascii="Times New Roman" w:eastAsia="Arial" w:hAnsi="Times New Roman" w:cs="Times New Roman"/>
          <w:noProof/>
          <w:sz w:val="24"/>
          <w:szCs w:val="24"/>
          <w:lang w:val="en-US"/>
        </w:rPr>
      </w:pPr>
    </w:p>
    <w:p w14:paraId="441C2BDD"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ESAO dalībvalstis ir: Amerikas Savienotās Valstis, Apvienotā Karaliste, Austrālija, Austrija, Beļģija, Čehijas Republika, Čīle, Dānija, Francija, Grieķija, Igaunija, Islande, Itālija, Izraēla, Īrija, Japāna, Jaunzēlande, Kanāda, Kolumbija, Koreja, Kostarika, Latvija, Lietuva, Luksemburga, Meksika, Nīderlande, Norvēģija, Polija, Portugāle, Slovākijas Republika, Slovēnija, Somija, Spānija, Šveice, Turcija, Ungārija, Vācija un Zviedrija. Eiropas Savienība piedalās ESAO darbā.</w:t>
      </w:r>
    </w:p>
    <w:p w14:paraId="07CB8F8F" w14:textId="77777777" w:rsidR="00B5534A" w:rsidRPr="00B5534A" w:rsidRDefault="00B5534A" w:rsidP="00B5534A">
      <w:pPr>
        <w:jc w:val="both"/>
        <w:rPr>
          <w:rFonts w:ascii="Times New Roman" w:eastAsia="Arial" w:hAnsi="Times New Roman" w:cs="Times New Roman"/>
          <w:noProof/>
          <w:sz w:val="24"/>
          <w:szCs w:val="24"/>
          <w:lang w:val="en-US"/>
        </w:rPr>
      </w:pPr>
    </w:p>
    <w:p w14:paraId="274F255C" w14:textId="77777777" w:rsidR="00B5534A" w:rsidRPr="00B5534A" w:rsidRDefault="00B5534A" w:rsidP="00B5534A">
      <w:pPr>
        <w:pStyle w:val="Heading2"/>
        <w:spacing w:before="0"/>
        <w:ind w:left="0"/>
        <w:jc w:val="both"/>
        <w:rPr>
          <w:rFonts w:ascii="Times New Roman" w:hAnsi="Times New Roman"/>
          <w:noProof/>
          <w:color w:val="1F4679"/>
          <w:sz w:val="28"/>
          <w:lang w:val="en-US"/>
        </w:rPr>
      </w:pPr>
      <w:r w:rsidRPr="00B5534A">
        <w:rPr>
          <w:rFonts w:ascii="Times New Roman" w:hAnsi="Times New Roman"/>
          <w:noProof/>
          <w:color w:val="1F4679"/>
          <w:sz w:val="28"/>
          <w:lang w:val="en-US"/>
        </w:rPr>
        <w:t>ESAO juridiskie instrumenti</w:t>
      </w:r>
      <w:bookmarkStart w:id="1" w:name="OECD_Legal_Instruments"/>
      <w:bookmarkEnd w:id="1"/>
    </w:p>
    <w:p w14:paraId="22590E0B" w14:textId="77777777" w:rsidR="00B5534A" w:rsidRPr="00B5534A" w:rsidRDefault="00B5534A" w:rsidP="00B5534A">
      <w:pPr>
        <w:jc w:val="both"/>
        <w:rPr>
          <w:rFonts w:ascii="Times New Roman" w:eastAsia="Arial" w:hAnsi="Times New Roman" w:cs="Times New Roman"/>
          <w:b/>
          <w:bCs/>
          <w:noProof/>
          <w:sz w:val="24"/>
          <w:szCs w:val="24"/>
          <w:lang w:val="en-US"/>
        </w:rPr>
      </w:pPr>
    </w:p>
    <w:p w14:paraId="4D7C8ABF"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Kopš ESAO izveidošanas 1961. gadā tās ietvaros ir izstrādāti aptuveni 460 būtiski juridiskie instrumenti. Tie ir ESAO akti (t. i., lēmumi un rekomendācijas, ko saskaņā ar ESAO Konvenciju pieņēmusi ESAO Padome) un citi juridiskie instrumenti, kas izstrādāti ESAO ietvaros (piemēram, deklarācijas, starptautiskie nolīgumi).</w:t>
      </w:r>
    </w:p>
    <w:p w14:paraId="3DE3978E" w14:textId="77777777" w:rsidR="00B5534A" w:rsidRPr="00B5534A" w:rsidRDefault="00B5534A" w:rsidP="00B5534A">
      <w:pPr>
        <w:jc w:val="both"/>
        <w:rPr>
          <w:rFonts w:ascii="Times New Roman" w:eastAsia="Arial" w:hAnsi="Times New Roman" w:cs="Times New Roman"/>
          <w:noProof/>
          <w:sz w:val="24"/>
          <w:szCs w:val="24"/>
          <w:lang w:val="en-US"/>
        </w:rPr>
      </w:pPr>
    </w:p>
    <w:p w14:paraId="5F39F814" w14:textId="77777777" w:rsidR="00B5534A" w:rsidRPr="00B5534A" w:rsidRDefault="00B5534A" w:rsidP="00B5534A">
      <w:pPr>
        <w:pStyle w:val="BodyText"/>
        <w:ind w:left="0" w:firstLine="0"/>
        <w:jc w:val="both"/>
        <w:rPr>
          <w:rFonts w:ascii="Times New Roman" w:hAnsi="Times New Roman"/>
          <w:noProof/>
          <w:sz w:val="24"/>
          <w:lang w:val="en-US"/>
        </w:rPr>
      </w:pPr>
      <w:r w:rsidRPr="00B5534A">
        <w:rPr>
          <w:rFonts w:ascii="Times New Roman" w:hAnsi="Times New Roman"/>
          <w:noProof/>
          <w:sz w:val="24"/>
          <w:lang w:val="en-US"/>
        </w:rPr>
        <w:t>Visi būtiskie ESAO juridiskie instrumenti – gan spēkā esošie, gan atceltie – ir uzskaitīti ESAO juridisko instrumentu tiešsaistes krājumā. Tie tiek grupēti piecās kategorijās.</w:t>
      </w:r>
    </w:p>
    <w:p w14:paraId="4DEEFAC5" w14:textId="77777777" w:rsidR="00B5534A" w:rsidRPr="00B5534A" w:rsidRDefault="00B5534A" w:rsidP="00B5534A">
      <w:pPr>
        <w:jc w:val="both"/>
        <w:rPr>
          <w:rFonts w:ascii="Times New Roman" w:eastAsia="Arial" w:hAnsi="Times New Roman" w:cs="Times New Roman"/>
          <w:noProof/>
          <w:sz w:val="24"/>
          <w:szCs w:val="24"/>
          <w:lang w:val="en-US"/>
        </w:rPr>
      </w:pPr>
    </w:p>
    <w:p w14:paraId="641739CC" w14:textId="77777777" w:rsidR="00B5534A" w:rsidRPr="00B5534A" w:rsidRDefault="00B5534A" w:rsidP="00B5534A">
      <w:pPr>
        <w:pStyle w:val="BodyText"/>
        <w:numPr>
          <w:ilvl w:val="0"/>
          <w:numId w:val="1"/>
        </w:numPr>
        <w:tabs>
          <w:tab w:val="left" w:pos="853"/>
        </w:tabs>
        <w:ind w:left="284" w:firstLine="0"/>
        <w:jc w:val="both"/>
        <w:rPr>
          <w:rFonts w:ascii="Times New Roman" w:hAnsi="Times New Roman"/>
          <w:noProof/>
          <w:sz w:val="24"/>
          <w:lang w:val="en-US"/>
        </w:rPr>
      </w:pPr>
      <w:r w:rsidRPr="00B5534A">
        <w:rPr>
          <w:rFonts w:ascii="Times New Roman" w:hAnsi="Times New Roman"/>
          <w:b/>
          <w:noProof/>
          <w:sz w:val="24"/>
          <w:lang w:val="en-US"/>
        </w:rPr>
        <w:t xml:space="preserve">Lēmumus </w:t>
      </w:r>
      <w:r w:rsidRPr="00B5534A">
        <w:rPr>
          <w:rFonts w:ascii="Times New Roman" w:hAnsi="Times New Roman"/>
          <w:noProof/>
          <w:sz w:val="24"/>
          <w:lang w:val="en-US"/>
        </w:rPr>
        <w:t>pieņem Padome, un tie ir juridiski saistoši visām dalībvalstīm, izņemot tās, kas to pieņemšanas laikā ir atturējušās no balsošanas. Tajos noteiktas īpašas tiesības un pienākumi, un tajos var būt ietverti uzraudzības mehānismi.</w:t>
      </w:r>
    </w:p>
    <w:p w14:paraId="6A1125F7" w14:textId="77777777" w:rsidR="00B5534A" w:rsidRPr="00B5534A" w:rsidRDefault="00B5534A" w:rsidP="00B5534A">
      <w:pPr>
        <w:tabs>
          <w:tab w:val="left" w:pos="853"/>
        </w:tabs>
        <w:ind w:left="284"/>
        <w:jc w:val="both"/>
        <w:rPr>
          <w:rFonts w:ascii="Times New Roman" w:hAnsi="Times New Roman"/>
          <w:noProof/>
          <w:sz w:val="24"/>
          <w:lang w:val="en-US"/>
        </w:rPr>
      </w:pPr>
    </w:p>
    <w:p w14:paraId="2EEA7349" w14:textId="77777777" w:rsidR="00B5534A" w:rsidRPr="00B5534A" w:rsidRDefault="00B5534A" w:rsidP="00B5534A">
      <w:pPr>
        <w:pStyle w:val="BodyText"/>
        <w:numPr>
          <w:ilvl w:val="0"/>
          <w:numId w:val="1"/>
        </w:numPr>
        <w:tabs>
          <w:tab w:val="left" w:pos="853"/>
        </w:tabs>
        <w:ind w:left="284" w:firstLine="0"/>
        <w:jc w:val="both"/>
        <w:rPr>
          <w:rFonts w:ascii="Times New Roman" w:hAnsi="Times New Roman"/>
          <w:noProof/>
          <w:sz w:val="24"/>
          <w:lang w:val="en-US"/>
        </w:rPr>
      </w:pPr>
      <w:r w:rsidRPr="00B5534A">
        <w:rPr>
          <w:rFonts w:ascii="Times New Roman" w:hAnsi="Times New Roman"/>
          <w:b/>
          <w:noProof/>
          <w:sz w:val="24"/>
          <w:lang w:val="en-US"/>
        </w:rPr>
        <w:t xml:space="preserve">Rekomendācijas </w:t>
      </w:r>
      <w:r w:rsidRPr="00B5534A">
        <w:rPr>
          <w:rFonts w:ascii="Times New Roman" w:hAnsi="Times New Roman"/>
          <w:noProof/>
          <w:sz w:val="24"/>
          <w:lang w:val="en-US"/>
        </w:rPr>
        <w:t>pieņem Padome, un tās nav juridiski saistošas. Tajās atspoguļota politiska apņemšanās ievērot tajās ietvertos principus, un saskaņā ar tām tiek sagaidīts, ka īstenotāji darīs visu iespējamo, lai tās īstenotu.</w:t>
      </w:r>
    </w:p>
    <w:p w14:paraId="73558957" w14:textId="77777777" w:rsidR="00B5534A" w:rsidRPr="00B5534A" w:rsidRDefault="00B5534A" w:rsidP="00B5534A">
      <w:pPr>
        <w:tabs>
          <w:tab w:val="left" w:pos="853"/>
        </w:tabs>
        <w:ind w:left="284"/>
        <w:jc w:val="both"/>
        <w:rPr>
          <w:rFonts w:ascii="Times New Roman" w:hAnsi="Times New Roman"/>
          <w:noProof/>
          <w:sz w:val="24"/>
          <w:lang w:val="en-US"/>
        </w:rPr>
      </w:pPr>
    </w:p>
    <w:p w14:paraId="3382B5EF" w14:textId="77777777" w:rsidR="00B5534A" w:rsidRPr="00B5534A" w:rsidRDefault="00B5534A" w:rsidP="00B5534A">
      <w:pPr>
        <w:pStyle w:val="BodyText"/>
        <w:numPr>
          <w:ilvl w:val="0"/>
          <w:numId w:val="1"/>
        </w:numPr>
        <w:tabs>
          <w:tab w:val="left" w:pos="853"/>
        </w:tabs>
        <w:ind w:left="284" w:firstLine="0"/>
        <w:jc w:val="both"/>
        <w:rPr>
          <w:rFonts w:ascii="Times New Roman" w:hAnsi="Times New Roman"/>
          <w:noProof/>
          <w:sz w:val="24"/>
          <w:lang w:val="en-US"/>
        </w:rPr>
      </w:pPr>
      <w:r w:rsidRPr="00B5534A">
        <w:rPr>
          <w:rFonts w:ascii="Times New Roman" w:hAnsi="Times New Roman"/>
          <w:b/>
          <w:noProof/>
          <w:sz w:val="24"/>
          <w:lang w:val="en-US"/>
        </w:rPr>
        <w:t xml:space="preserve">Būtiskus apkopojošos dokumentus </w:t>
      </w:r>
      <w:r w:rsidRPr="00B5534A">
        <w:rPr>
          <w:rFonts w:ascii="Times New Roman" w:hAnsi="Times New Roman"/>
          <w:noProof/>
          <w:sz w:val="24"/>
          <w:lang w:val="en-US"/>
        </w:rPr>
        <w:t>pieņem atsevišķi sarakstā ietvertie īstenotāji, nevis ESAO institūcija, un tie ir pieņemti ministru līmeņa, augsta līmeņa vai cita veida sanāksmes rezultātā Organizācijas ietvaros. Parasti tajos noteikti vispārējie principi vai ilgtermiņa mērķi, un tie ir oficiāli.</w:t>
      </w:r>
    </w:p>
    <w:p w14:paraId="388A57E2" w14:textId="77777777" w:rsidR="00B5534A" w:rsidRPr="00B5534A" w:rsidRDefault="00B5534A" w:rsidP="00B5534A">
      <w:pPr>
        <w:tabs>
          <w:tab w:val="left" w:pos="853"/>
        </w:tabs>
        <w:ind w:left="284"/>
        <w:jc w:val="both"/>
        <w:rPr>
          <w:rFonts w:ascii="Times New Roman" w:hAnsi="Times New Roman"/>
          <w:noProof/>
          <w:sz w:val="24"/>
          <w:lang w:val="en-US"/>
        </w:rPr>
      </w:pPr>
    </w:p>
    <w:p w14:paraId="2E5A4C93" w14:textId="77777777" w:rsidR="00B5534A" w:rsidRPr="00B5534A" w:rsidRDefault="00B5534A" w:rsidP="00B5534A">
      <w:pPr>
        <w:pStyle w:val="BodyText"/>
        <w:numPr>
          <w:ilvl w:val="0"/>
          <w:numId w:val="1"/>
        </w:numPr>
        <w:tabs>
          <w:tab w:val="left" w:pos="853"/>
        </w:tabs>
        <w:ind w:left="284" w:firstLine="0"/>
        <w:jc w:val="both"/>
        <w:rPr>
          <w:rFonts w:ascii="Times New Roman" w:hAnsi="Times New Roman"/>
          <w:noProof/>
          <w:sz w:val="24"/>
          <w:lang w:val="en-US"/>
        </w:rPr>
      </w:pPr>
      <w:r w:rsidRPr="00B5534A">
        <w:rPr>
          <w:rFonts w:ascii="Times New Roman" w:hAnsi="Times New Roman"/>
          <w:b/>
          <w:noProof/>
          <w:sz w:val="24"/>
          <w:lang w:val="en-US"/>
        </w:rPr>
        <w:t xml:space="preserve">Starptautiskie nolīgumi </w:t>
      </w:r>
      <w:r w:rsidRPr="00B5534A">
        <w:rPr>
          <w:rFonts w:ascii="Times New Roman" w:hAnsi="Times New Roman"/>
          <w:noProof/>
          <w:sz w:val="24"/>
          <w:lang w:val="en-US"/>
        </w:rPr>
        <w:t>tiek apspriesti un noslēgti Organizācijas ietvaros. Tie pusēm ir juridiski saistoši.</w:t>
      </w:r>
    </w:p>
    <w:p w14:paraId="59386437" w14:textId="77777777" w:rsidR="00B5534A" w:rsidRPr="00B5534A" w:rsidRDefault="00B5534A" w:rsidP="00B5534A">
      <w:pPr>
        <w:tabs>
          <w:tab w:val="left" w:pos="853"/>
        </w:tabs>
        <w:ind w:left="284"/>
        <w:jc w:val="both"/>
        <w:rPr>
          <w:rFonts w:ascii="Times New Roman" w:hAnsi="Times New Roman"/>
          <w:noProof/>
          <w:sz w:val="24"/>
          <w:lang w:val="en-US"/>
        </w:rPr>
      </w:pPr>
    </w:p>
    <w:p w14:paraId="63697063" w14:textId="77777777" w:rsidR="00B5534A" w:rsidRPr="00B5534A" w:rsidRDefault="00B5534A" w:rsidP="00B5534A">
      <w:pPr>
        <w:pStyle w:val="BodyText"/>
        <w:numPr>
          <w:ilvl w:val="0"/>
          <w:numId w:val="1"/>
        </w:numPr>
        <w:tabs>
          <w:tab w:val="left" w:pos="853"/>
        </w:tabs>
        <w:ind w:left="284" w:firstLine="0"/>
        <w:jc w:val="both"/>
        <w:rPr>
          <w:rFonts w:ascii="Times New Roman" w:hAnsi="Times New Roman" w:cs="Times New Roman"/>
          <w:noProof/>
          <w:sz w:val="24"/>
          <w:szCs w:val="24"/>
          <w:lang w:val="en-US"/>
        </w:rPr>
      </w:pPr>
      <w:r w:rsidRPr="00B5534A">
        <w:rPr>
          <w:rFonts w:ascii="Times New Roman" w:hAnsi="Times New Roman"/>
          <w:b/>
          <w:noProof/>
          <w:sz w:val="24"/>
          <w:lang w:val="en-US"/>
        </w:rPr>
        <w:t>Vienošanās, saprašanās un citi instrumenti</w:t>
      </w:r>
      <w:r w:rsidRPr="00B5534A">
        <w:rPr>
          <w:rFonts w:ascii="Times New Roman" w:hAnsi="Times New Roman"/>
          <w:noProof/>
          <w:sz w:val="24"/>
          <w:lang w:val="en-US"/>
        </w:rPr>
        <w:t>. Laika gaitā ESAO ietvaros ir izstrādāti vairāki būtiski citu veidu juridiskie instrumenti, piemēram, Vienošanās par oficiāli atbalstītiem eksporta kredītiem, Starptautiskā saprašanās par jūras transporta principiem un Attīstības palīdzības komitejas (</w:t>
      </w:r>
      <w:r w:rsidRPr="00B5534A">
        <w:rPr>
          <w:rFonts w:ascii="Times New Roman" w:hAnsi="Times New Roman"/>
          <w:i/>
          <w:noProof/>
          <w:sz w:val="24"/>
          <w:lang w:val="en-US"/>
        </w:rPr>
        <w:t>DAC</w:t>
      </w:r>
      <w:r w:rsidRPr="00B5534A">
        <w:rPr>
          <w:rFonts w:ascii="Times New Roman" w:hAnsi="Times New Roman"/>
          <w:noProof/>
          <w:sz w:val="24"/>
          <w:lang w:val="en-US"/>
        </w:rPr>
        <w:t>) rekomendācijas.</w:t>
      </w:r>
    </w:p>
    <w:sectPr w:rsidR="00B5534A" w:rsidRPr="00B5534A" w:rsidSect="003E71A8">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817F" w14:textId="77777777" w:rsidR="008F61D3" w:rsidRPr="00B5534A" w:rsidRDefault="008F61D3">
      <w:pPr>
        <w:rPr>
          <w:noProof/>
          <w:lang w:val="en-US"/>
        </w:rPr>
      </w:pPr>
      <w:r w:rsidRPr="00B5534A">
        <w:rPr>
          <w:noProof/>
          <w:lang w:val="en-US"/>
        </w:rPr>
        <w:separator/>
      </w:r>
    </w:p>
  </w:endnote>
  <w:endnote w:type="continuationSeparator" w:id="0">
    <w:p w14:paraId="4BBE6541" w14:textId="77777777" w:rsidR="008F61D3" w:rsidRPr="00B5534A" w:rsidRDefault="008F61D3">
      <w:pPr>
        <w:rPr>
          <w:noProof/>
          <w:lang w:val="en-US"/>
        </w:rPr>
      </w:pPr>
      <w:r w:rsidRPr="00B553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0A5E" w14:textId="77777777" w:rsidR="00B5534A" w:rsidRDefault="00B55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0E75" w14:textId="77777777" w:rsidR="003D226E" w:rsidRPr="00B5534A" w:rsidRDefault="003D226E" w:rsidP="003D226E">
    <w:pPr>
      <w:pStyle w:val="Header"/>
      <w:tabs>
        <w:tab w:val="left" w:pos="9072"/>
      </w:tabs>
      <w:jc w:val="both"/>
      <w:rPr>
        <w:rStyle w:val="PageNumber"/>
        <w:rFonts w:ascii="Times New Roman" w:hAnsi="Times New Roman" w:cs="Times New Roman"/>
        <w:noProof/>
        <w:sz w:val="20"/>
        <w:szCs w:val="20"/>
        <w:lang w:val="en-US"/>
      </w:rPr>
    </w:pPr>
  </w:p>
  <w:p w14:paraId="18DA4CAA" w14:textId="77777777" w:rsidR="003D226E" w:rsidRPr="00B5534A" w:rsidRDefault="003D226E" w:rsidP="003D226E">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B5534A">
      <w:rPr>
        <w:rFonts w:ascii="Times New Roman" w:hAnsi="Times New Roman" w:cs="Times New Roman"/>
        <w:noProof/>
        <w:sz w:val="20"/>
        <w:szCs w:val="20"/>
        <w:lang w:val="en-US"/>
      </w:rPr>
      <w:tab/>
    </w:r>
  </w:p>
  <w:p w14:paraId="09BBC50B" w14:textId="77777777" w:rsidR="003D226E" w:rsidRPr="00B5534A" w:rsidRDefault="003D226E" w:rsidP="003D226E">
    <w:pPr>
      <w:pStyle w:val="Header"/>
      <w:tabs>
        <w:tab w:val="right" w:pos="9072"/>
      </w:tabs>
      <w:jc w:val="both"/>
      <w:rPr>
        <w:rStyle w:val="PageNumber"/>
        <w:rFonts w:ascii="Times New Roman" w:hAnsi="Times New Roman" w:cs="Times New Roman"/>
        <w:noProof/>
        <w:sz w:val="20"/>
        <w:szCs w:val="20"/>
        <w:lang w:val="en-US"/>
      </w:rPr>
    </w:pPr>
  </w:p>
  <w:p w14:paraId="0382DBB7" w14:textId="77777777" w:rsidR="003D226E" w:rsidRPr="00B5534A" w:rsidRDefault="003D226E" w:rsidP="003D226E">
    <w:pPr>
      <w:pStyle w:val="Footer"/>
      <w:tabs>
        <w:tab w:val="clear" w:pos="4513"/>
        <w:tab w:val="clear" w:pos="9026"/>
        <w:tab w:val="center" w:pos="9072"/>
      </w:tabs>
      <w:jc w:val="both"/>
      <w:rPr>
        <w:rFonts w:ascii="Times New Roman" w:hAnsi="Times New Roman" w:cs="Times New Roman"/>
        <w:noProof/>
        <w:sz w:val="20"/>
        <w:szCs w:val="20"/>
        <w:lang w:val="en-US"/>
      </w:rPr>
    </w:pPr>
    <w:r w:rsidRPr="00B5534A">
      <w:rPr>
        <w:rFonts w:ascii="Times New Roman" w:hAnsi="Times New Roman" w:cs="Times New Roman"/>
        <w:noProof/>
        <w:sz w:val="20"/>
        <w:szCs w:val="20"/>
        <w:lang w:val="en-US"/>
      </w:rPr>
      <w:t xml:space="preserve">Tulkojums </w:t>
    </w:r>
    <w:r w:rsidRPr="00B5534A">
      <w:rPr>
        <w:rFonts w:ascii="Times New Roman" w:hAnsi="Times New Roman" w:cs="Times New Roman"/>
        <w:noProof/>
        <w:sz w:val="20"/>
        <w:szCs w:val="20"/>
        <w:lang w:val="en-US"/>
      </w:rPr>
      <w:fldChar w:fldCharType="begin"/>
    </w:r>
    <w:r w:rsidRPr="00B5534A">
      <w:rPr>
        <w:rFonts w:ascii="Times New Roman" w:hAnsi="Times New Roman" w:cs="Times New Roman"/>
        <w:noProof/>
        <w:sz w:val="20"/>
        <w:szCs w:val="20"/>
        <w:lang w:val="en-US"/>
      </w:rPr>
      <w:instrText>symbol 211 \f "Symbol" \s 9</w:instrText>
    </w:r>
    <w:r w:rsidRPr="00B5534A">
      <w:rPr>
        <w:rFonts w:ascii="Times New Roman" w:hAnsi="Times New Roman" w:cs="Times New Roman"/>
        <w:noProof/>
        <w:sz w:val="20"/>
        <w:szCs w:val="20"/>
        <w:lang w:val="en-US"/>
      </w:rPr>
      <w:fldChar w:fldCharType="separate"/>
    </w:r>
    <w:r w:rsidRPr="00B5534A">
      <w:rPr>
        <w:rFonts w:ascii="Times New Roman" w:hAnsi="Times New Roman" w:cs="Times New Roman"/>
        <w:noProof/>
        <w:sz w:val="20"/>
        <w:szCs w:val="20"/>
        <w:lang w:val="en-US"/>
      </w:rPr>
      <w:t>Ó</w:t>
    </w:r>
    <w:r w:rsidRPr="00B5534A">
      <w:rPr>
        <w:rFonts w:ascii="Times New Roman" w:hAnsi="Times New Roman" w:cs="Times New Roman"/>
        <w:noProof/>
        <w:sz w:val="20"/>
        <w:szCs w:val="20"/>
        <w:lang w:val="en-US"/>
      </w:rPr>
      <w:fldChar w:fldCharType="end"/>
    </w:r>
    <w:r w:rsidRPr="00B5534A">
      <w:rPr>
        <w:rFonts w:ascii="Times New Roman" w:hAnsi="Times New Roman" w:cs="Times New Roman"/>
        <w:noProof/>
        <w:sz w:val="20"/>
        <w:szCs w:val="20"/>
        <w:lang w:val="en-US"/>
      </w:rPr>
      <w:t xml:space="preserve"> Valsts valodas centrs, 2022</w:t>
    </w:r>
    <w:r w:rsidRPr="00B5534A">
      <w:rPr>
        <w:rFonts w:ascii="Times New Roman" w:hAnsi="Times New Roman" w:cs="Times New Roman"/>
        <w:noProof/>
        <w:sz w:val="20"/>
        <w:szCs w:val="20"/>
        <w:lang w:val="en-US"/>
      </w:rPr>
      <w:tab/>
    </w:r>
    <w:r w:rsidRPr="00B5534A">
      <w:rPr>
        <w:rStyle w:val="PageNumber"/>
        <w:rFonts w:ascii="Times New Roman" w:hAnsi="Times New Roman" w:cs="Times New Roman"/>
        <w:noProof/>
        <w:sz w:val="20"/>
        <w:szCs w:val="20"/>
        <w:lang w:val="en-US"/>
      </w:rPr>
      <w:fldChar w:fldCharType="begin"/>
    </w:r>
    <w:r w:rsidRPr="00B5534A">
      <w:rPr>
        <w:rStyle w:val="PageNumber"/>
        <w:rFonts w:ascii="Times New Roman" w:hAnsi="Times New Roman" w:cs="Times New Roman"/>
        <w:noProof/>
        <w:sz w:val="20"/>
        <w:szCs w:val="20"/>
        <w:lang w:val="en-US"/>
      </w:rPr>
      <w:instrText xml:space="preserve">page </w:instrText>
    </w:r>
    <w:r w:rsidRPr="00B5534A">
      <w:rPr>
        <w:rStyle w:val="PageNumber"/>
        <w:rFonts w:ascii="Times New Roman" w:hAnsi="Times New Roman" w:cs="Times New Roman"/>
        <w:noProof/>
        <w:sz w:val="20"/>
        <w:szCs w:val="20"/>
        <w:lang w:val="en-US"/>
      </w:rPr>
      <w:fldChar w:fldCharType="separate"/>
    </w:r>
    <w:r w:rsidRPr="00B5534A">
      <w:rPr>
        <w:rStyle w:val="PageNumber"/>
        <w:rFonts w:ascii="Times New Roman" w:hAnsi="Times New Roman" w:cs="Times New Roman"/>
        <w:noProof/>
        <w:sz w:val="20"/>
        <w:szCs w:val="20"/>
        <w:lang w:val="en-US"/>
      </w:rPr>
      <w:t>2</w:t>
    </w:r>
    <w:r w:rsidRPr="00B5534A">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997" w14:textId="77777777" w:rsidR="00DC6F18" w:rsidRPr="00B5534A" w:rsidRDefault="00DC6F18" w:rsidP="00DC6F18">
    <w:pPr>
      <w:pStyle w:val="Header"/>
      <w:tabs>
        <w:tab w:val="left" w:pos="9072"/>
      </w:tabs>
      <w:jc w:val="both"/>
      <w:rPr>
        <w:rStyle w:val="PageNumber"/>
        <w:rFonts w:ascii="Times New Roman" w:hAnsi="Times New Roman"/>
        <w:noProof/>
        <w:sz w:val="20"/>
        <w:szCs w:val="18"/>
        <w:lang w:val="en-US"/>
      </w:rPr>
    </w:pPr>
    <w:bookmarkStart w:id="16" w:name="_Hlk496261764"/>
    <w:bookmarkStart w:id="17" w:name="_Hlk496261765"/>
    <w:bookmarkStart w:id="18" w:name="_Hlk496261766"/>
    <w:bookmarkStart w:id="19" w:name="_Hlk30491075"/>
    <w:bookmarkStart w:id="20" w:name="_Hlk30491076"/>
  </w:p>
  <w:p w14:paraId="3DF80132" w14:textId="77777777" w:rsidR="00DC6F18" w:rsidRPr="00B5534A" w:rsidRDefault="00DC6F18" w:rsidP="00DC6F18">
    <w:pPr>
      <w:pStyle w:val="Header"/>
      <w:tabs>
        <w:tab w:val="clear" w:pos="4513"/>
        <w:tab w:val="clear" w:pos="9026"/>
        <w:tab w:val="left" w:leader="underscore" w:pos="9072"/>
      </w:tabs>
      <w:jc w:val="both"/>
      <w:rPr>
        <w:rFonts w:ascii="Times New Roman" w:hAnsi="Times New Roman"/>
        <w:noProof/>
        <w:sz w:val="20"/>
        <w:szCs w:val="18"/>
        <w:lang w:val="en-US"/>
      </w:rPr>
    </w:pPr>
    <w:r w:rsidRPr="00B5534A">
      <w:rPr>
        <w:rFonts w:ascii="Times New Roman" w:hAnsi="Times New Roman"/>
        <w:noProof/>
        <w:sz w:val="20"/>
        <w:szCs w:val="18"/>
        <w:lang w:val="en-US"/>
      </w:rPr>
      <w:tab/>
    </w:r>
  </w:p>
  <w:p w14:paraId="6E529EBF" w14:textId="77777777" w:rsidR="00DC6F18" w:rsidRPr="00B5534A" w:rsidRDefault="00DC6F18" w:rsidP="00DC6F18">
    <w:pPr>
      <w:pStyle w:val="Header"/>
      <w:tabs>
        <w:tab w:val="left" w:pos="9072"/>
      </w:tabs>
      <w:jc w:val="both"/>
      <w:rPr>
        <w:rStyle w:val="PageNumber"/>
        <w:rFonts w:ascii="Times New Roman" w:hAnsi="Times New Roman"/>
        <w:noProof/>
        <w:sz w:val="20"/>
        <w:szCs w:val="18"/>
        <w:lang w:val="en-US"/>
      </w:rPr>
    </w:pPr>
  </w:p>
  <w:p w14:paraId="72A0FF71" w14:textId="77777777" w:rsidR="00DC6F18" w:rsidRPr="00B5534A" w:rsidRDefault="00DC6F18" w:rsidP="00DC6F18">
    <w:pPr>
      <w:pStyle w:val="Footer"/>
      <w:jc w:val="both"/>
      <w:rPr>
        <w:rFonts w:ascii="Times New Roman" w:hAnsi="Times New Roman"/>
        <w:noProof/>
        <w:sz w:val="20"/>
        <w:szCs w:val="18"/>
        <w:lang w:val="en-US"/>
      </w:rPr>
    </w:pPr>
    <w:r w:rsidRPr="00B5534A">
      <w:rPr>
        <w:rFonts w:ascii="Times New Roman" w:hAnsi="Times New Roman"/>
        <w:noProof/>
        <w:sz w:val="20"/>
        <w:szCs w:val="18"/>
        <w:lang w:val="en-US"/>
      </w:rPr>
      <w:t xml:space="preserve">Tulkojums </w:t>
    </w:r>
    <w:r w:rsidRPr="00B5534A">
      <w:rPr>
        <w:rFonts w:ascii="Times New Roman" w:hAnsi="Times New Roman"/>
        <w:noProof/>
        <w:sz w:val="20"/>
        <w:szCs w:val="18"/>
        <w:lang w:val="en-US"/>
      </w:rPr>
      <w:fldChar w:fldCharType="begin"/>
    </w:r>
    <w:r w:rsidRPr="00B5534A">
      <w:rPr>
        <w:rFonts w:ascii="Times New Roman" w:hAnsi="Times New Roman"/>
        <w:noProof/>
        <w:sz w:val="20"/>
        <w:szCs w:val="18"/>
        <w:lang w:val="en-US"/>
      </w:rPr>
      <w:instrText>symbol 211 \f "Symbol" \s 9</w:instrText>
    </w:r>
    <w:r w:rsidRPr="00B5534A">
      <w:rPr>
        <w:rFonts w:ascii="Times New Roman" w:hAnsi="Times New Roman"/>
        <w:noProof/>
        <w:sz w:val="20"/>
        <w:szCs w:val="18"/>
        <w:lang w:val="en-US"/>
      </w:rPr>
      <w:fldChar w:fldCharType="separate"/>
    </w:r>
    <w:r w:rsidRPr="00B5534A">
      <w:rPr>
        <w:rFonts w:ascii="Times New Roman" w:hAnsi="Times New Roman"/>
        <w:noProof/>
        <w:sz w:val="20"/>
        <w:szCs w:val="18"/>
        <w:lang w:val="en-US"/>
      </w:rPr>
      <w:t>Ó</w:t>
    </w:r>
    <w:r w:rsidRPr="00B5534A">
      <w:rPr>
        <w:rFonts w:ascii="Times New Roman" w:hAnsi="Times New Roman"/>
        <w:noProof/>
        <w:sz w:val="20"/>
        <w:szCs w:val="18"/>
        <w:lang w:val="en-US"/>
      </w:rPr>
      <w:fldChar w:fldCharType="end"/>
    </w:r>
    <w:r w:rsidRPr="00B5534A">
      <w:rPr>
        <w:rFonts w:ascii="Times New Roman" w:hAnsi="Times New Roman"/>
        <w:noProof/>
        <w:sz w:val="20"/>
        <w:szCs w:val="18"/>
        <w:lang w:val="en-US"/>
      </w:rPr>
      <w:t xml:space="preserve"> Valsts valodas centrs, 20</w:t>
    </w:r>
    <w:bookmarkEnd w:id="16"/>
    <w:bookmarkEnd w:id="17"/>
    <w:bookmarkEnd w:id="18"/>
    <w:r w:rsidRPr="00B5534A">
      <w:rPr>
        <w:rFonts w:ascii="Times New Roman" w:hAnsi="Times New Roman"/>
        <w:noProof/>
        <w:sz w:val="20"/>
        <w:szCs w:val="18"/>
        <w:lang w:val="en-US"/>
      </w:rPr>
      <w:t>2</w:t>
    </w:r>
    <w:bookmarkEnd w:id="19"/>
    <w:bookmarkEnd w:id="20"/>
    <w:r w:rsidRPr="00B5534A">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D3FA" w14:textId="77777777" w:rsidR="008F61D3" w:rsidRPr="00B5534A" w:rsidRDefault="008F61D3">
      <w:pPr>
        <w:rPr>
          <w:noProof/>
          <w:lang w:val="en-US"/>
        </w:rPr>
      </w:pPr>
      <w:r w:rsidRPr="00B5534A">
        <w:rPr>
          <w:noProof/>
          <w:lang w:val="en-US"/>
        </w:rPr>
        <w:separator/>
      </w:r>
    </w:p>
  </w:footnote>
  <w:footnote w:type="continuationSeparator" w:id="0">
    <w:p w14:paraId="37DD9874" w14:textId="77777777" w:rsidR="008F61D3" w:rsidRPr="00B5534A" w:rsidRDefault="008F61D3">
      <w:pPr>
        <w:rPr>
          <w:noProof/>
          <w:lang w:val="en-US"/>
        </w:rPr>
      </w:pPr>
      <w:r w:rsidRPr="00B5534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0591" w14:textId="77777777" w:rsidR="00B5534A" w:rsidRDefault="00B55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2163" w14:textId="77777777" w:rsidR="001517ED" w:rsidRPr="00B5534A" w:rsidRDefault="001517ED" w:rsidP="001517ED">
    <w:pPr>
      <w:pStyle w:val="Header"/>
      <w:rPr>
        <w:rStyle w:val="PageNumber"/>
        <w:rFonts w:ascii="Times New Roman" w:hAnsi="Times New Roman" w:cs="Times New Roman"/>
        <w:noProof/>
        <w:sz w:val="20"/>
        <w:szCs w:val="20"/>
        <w:lang w:val="en-US"/>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p>
  <w:p w14:paraId="3F77926E" w14:textId="77777777" w:rsidR="001517ED" w:rsidRPr="00B5534A" w:rsidRDefault="001517ED" w:rsidP="001517ED">
    <w:pPr>
      <w:pStyle w:val="Header"/>
      <w:tabs>
        <w:tab w:val="clear" w:pos="4513"/>
        <w:tab w:val="clear" w:pos="9026"/>
        <w:tab w:val="right" w:leader="underscore" w:pos="9072"/>
      </w:tabs>
      <w:rPr>
        <w:rFonts w:ascii="Times New Roman" w:hAnsi="Times New Roman" w:cs="Times New Roman"/>
        <w:noProof/>
        <w:sz w:val="20"/>
        <w:szCs w:val="20"/>
        <w:lang w:val="en-US"/>
      </w:rPr>
    </w:pPr>
    <w:r w:rsidRPr="00B5534A">
      <w:rPr>
        <w:rFonts w:ascii="Times New Roman" w:hAnsi="Times New Roman" w:cs="Times New Roman"/>
        <w:noProof/>
        <w:sz w:val="20"/>
        <w:szCs w:val="20"/>
        <w:lang w:val="en-US"/>
      </w:rPr>
      <w:tab/>
    </w:r>
  </w:p>
  <w:bookmarkEnd w:id="2"/>
  <w:bookmarkEnd w:id="3"/>
  <w:bookmarkEnd w:id="4"/>
  <w:bookmarkEnd w:id="5"/>
  <w:bookmarkEnd w:id="6"/>
  <w:bookmarkEnd w:id="7"/>
  <w:bookmarkEnd w:id="8"/>
  <w:bookmarkEnd w:id="9"/>
  <w:bookmarkEnd w:id="10"/>
  <w:p w14:paraId="69395A07" w14:textId="77777777" w:rsidR="001517ED" w:rsidRPr="00B5534A" w:rsidRDefault="001517ED" w:rsidP="001517ED">
    <w:pPr>
      <w:pStyle w:val="Header"/>
      <w:rPr>
        <w:rFonts w:ascii="Times New Roman" w:hAnsi="Times New Roman" w:cs="Times New Roman"/>
        <w:noProof/>
        <w:sz w:val="20"/>
        <w:szCs w:val="20"/>
        <w:lang w:val="en-US"/>
      </w:rPr>
    </w:pPr>
  </w:p>
  <w:p w14:paraId="400736DF" w14:textId="77777777" w:rsidR="003F1B19" w:rsidRPr="00B5534A" w:rsidRDefault="003F1B19">
    <w:pPr>
      <w:spacing w:line="14" w:lineRule="auto"/>
      <w:rPr>
        <w:noProof/>
        <w:sz w:val="2"/>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DD" w14:textId="77777777" w:rsidR="00F66353" w:rsidRPr="00B5534A" w:rsidRDefault="00F66353" w:rsidP="00F66353">
    <w:pPr>
      <w:pBdr>
        <w:bottom w:val="single" w:sz="12" w:space="5" w:color="auto"/>
      </w:pBdr>
      <w:rPr>
        <w:rFonts w:ascii="Times New Roman" w:hAnsi="Times New Roman" w:cs="Times New Roman"/>
        <w:noProof/>
        <w:sz w:val="20"/>
        <w:szCs w:val="20"/>
        <w:lang w:val="en-US"/>
      </w:rPr>
    </w:pPr>
    <w:bookmarkStart w:id="11" w:name="_Hlk496261745"/>
    <w:bookmarkStart w:id="12" w:name="_Hlk496261746"/>
    <w:bookmarkStart w:id="13" w:name="_Hlk496261747"/>
    <w:bookmarkStart w:id="14" w:name="_Hlk30491063"/>
    <w:bookmarkStart w:id="15" w:name="_Hlk30491064"/>
  </w:p>
  <w:bookmarkEnd w:id="11"/>
  <w:bookmarkEnd w:id="12"/>
  <w:bookmarkEnd w:id="13"/>
  <w:bookmarkEnd w:id="14"/>
  <w:bookmarkEnd w:id="15"/>
  <w:p w14:paraId="0E240BC4" w14:textId="77777777" w:rsidR="00F66353" w:rsidRPr="00B5534A" w:rsidRDefault="00F66353" w:rsidP="00F66353">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333C"/>
    <w:multiLevelType w:val="hybridMultilevel"/>
    <w:tmpl w:val="74F45404"/>
    <w:lvl w:ilvl="0" w:tplc="976A2758">
      <w:start w:val="1"/>
      <w:numFmt w:val="lowerLetter"/>
      <w:lvlText w:val="%1)"/>
      <w:lvlJc w:val="left"/>
      <w:pPr>
        <w:ind w:left="1302" w:hanging="569"/>
      </w:pPr>
      <w:rPr>
        <w:rFonts w:ascii="Arial" w:eastAsia="Arial" w:hAnsi="Arial" w:hint="default"/>
        <w:spacing w:val="-1"/>
        <w:w w:val="99"/>
        <w:sz w:val="20"/>
        <w:szCs w:val="20"/>
      </w:rPr>
    </w:lvl>
    <w:lvl w:ilvl="1" w:tplc="DA3A902A">
      <w:start w:val="1"/>
      <w:numFmt w:val="bullet"/>
      <w:lvlText w:val="•"/>
      <w:lvlJc w:val="left"/>
      <w:pPr>
        <w:ind w:left="2219" w:hanging="569"/>
      </w:pPr>
      <w:rPr>
        <w:rFonts w:hint="default"/>
      </w:rPr>
    </w:lvl>
    <w:lvl w:ilvl="2" w:tplc="1B76C240">
      <w:start w:val="1"/>
      <w:numFmt w:val="bullet"/>
      <w:lvlText w:val="•"/>
      <w:lvlJc w:val="left"/>
      <w:pPr>
        <w:ind w:left="3135" w:hanging="569"/>
      </w:pPr>
      <w:rPr>
        <w:rFonts w:hint="default"/>
      </w:rPr>
    </w:lvl>
    <w:lvl w:ilvl="3" w:tplc="A566BD14">
      <w:start w:val="1"/>
      <w:numFmt w:val="bullet"/>
      <w:lvlText w:val="•"/>
      <w:lvlJc w:val="left"/>
      <w:pPr>
        <w:ind w:left="4051" w:hanging="569"/>
      </w:pPr>
      <w:rPr>
        <w:rFonts w:hint="default"/>
      </w:rPr>
    </w:lvl>
    <w:lvl w:ilvl="4" w:tplc="32D0D3A4">
      <w:start w:val="1"/>
      <w:numFmt w:val="bullet"/>
      <w:lvlText w:val="•"/>
      <w:lvlJc w:val="left"/>
      <w:pPr>
        <w:ind w:left="4968" w:hanging="569"/>
      </w:pPr>
      <w:rPr>
        <w:rFonts w:hint="default"/>
      </w:rPr>
    </w:lvl>
    <w:lvl w:ilvl="5" w:tplc="CD8614AC">
      <w:start w:val="1"/>
      <w:numFmt w:val="bullet"/>
      <w:lvlText w:val="•"/>
      <w:lvlJc w:val="left"/>
      <w:pPr>
        <w:ind w:left="5884" w:hanging="569"/>
      </w:pPr>
      <w:rPr>
        <w:rFonts w:hint="default"/>
      </w:rPr>
    </w:lvl>
    <w:lvl w:ilvl="6" w:tplc="58BCA646">
      <w:start w:val="1"/>
      <w:numFmt w:val="bullet"/>
      <w:lvlText w:val="•"/>
      <w:lvlJc w:val="left"/>
      <w:pPr>
        <w:ind w:left="6800" w:hanging="569"/>
      </w:pPr>
      <w:rPr>
        <w:rFonts w:hint="default"/>
      </w:rPr>
    </w:lvl>
    <w:lvl w:ilvl="7" w:tplc="4314D128">
      <w:start w:val="1"/>
      <w:numFmt w:val="bullet"/>
      <w:lvlText w:val="•"/>
      <w:lvlJc w:val="left"/>
      <w:pPr>
        <w:ind w:left="7717" w:hanging="569"/>
      </w:pPr>
      <w:rPr>
        <w:rFonts w:hint="default"/>
      </w:rPr>
    </w:lvl>
    <w:lvl w:ilvl="8" w:tplc="A52AF02E">
      <w:start w:val="1"/>
      <w:numFmt w:val="bullet"/>
      <w:lvlText w:val="•"/>
      <w:lvlJc w:val="left"/>
      <w:pPr>
        <w:ind w:left="8633" w:hanging="569"/>
      </w:pPr>
      <w:rPr>
        <w:rFonts w:hint="default"/>
      </w:rPr>
    </w:lvl>
  </w:abstractNum>
  <w:abstractNum w:abstractNumId="1" w15:restartNumberingAfterBreak="0">
    <w:nsid w:val="5335613D"/>
    <w:multiLevelType w:val="hybridMultilevel"/>
    <w:tmpl w:val="4E7423D6"/>
    <w:lvl w:ilvl="0" w:tplc="1B5E396C">
      <w:start w:val="1"/>
      <w:numFmt w:val="upperRoman"/>
      <w:lvlText w:val="%1."/>
      <w:lvlJc w:val="left"/>
      <w:pPr>
        <w:ind w:left="450" w:hanging="850"/>
      </w:pPr>
      <w:rPr>
        <w:rFonts w:ascii="Arial" w:eastAsia="Arial" w:hAnsi="Arial" w:hint="default"/>
        <w:b/>
        <w:bCs/>
        <w:spacing w:val="-1"/>
        <w:w w:val="99"/>
        <w:sz w:val="20"/>
        <w:szCs w:val="20"/>
      </w:rPr>
    </w:lvl>
    <w:lvl w:ilvl="1" w:tplc="500C67AA">
      <w:start w:val="1"/>
      <w:numFmt w:val="bullet"/>
      <w:lvlText w:val="●"/>
      <w:lvlJc w:val="left"/>
      <w:pPr>
        <w:ind w:left="1302" w:hanging="569"/>
      </w:pPr>
      <w:rPr>
        <w:rFonts w:ascii="Calibri" w:eastAsia="Calibri" w:hAnsi="Calibri" w:hint="default"/>
        <w:w w:val="99"/>
        <w:sz w:val="20"/>
        <w:szCs w:val="20"/>
      </w:rPr>
    </w:lvl>
    <w:lvl w:ilvl="2" w:tplc="492475DA">
      <w:start w:val="1"/>
      <w:numFmt w:val="bullet"/>
      <w:lvlText w:val="•"/>
      <w:lvlJc w:val="left"/>
      <w:pPr>
        <w:ind w:left="2320" w:hanging="569"/>
      </w:pPr>
      <w:rPr>
        <w:rFonts w:hint="default"/>
      </w:rPr>
    </w:lvl>
    <w:lvl w:ilvl="3" w:tplc="9CEEDB84">
      <w:start w:val="1"/>
      <w:numFmt w:val="bullet"/>
      <w:lvlText w:val="•"/>
      <w:lvlJc w:val="left"/>
      <w:pPr>
        <w:ind w:left="3339" w:hanging="569"/>
      </w:pPr>
      <w:rPr>
        <w:rFonts w:hint="default"/>
      </w:rPr>
    </w:lvl>
    <w:lvl w:ilvl="4" w:tplc="CF8EFA30">
      <w:start w:val="1"/>
      <w:numFmt w:val="bullet"/>
      <w:lvlText w:val="•"/>
      <w:lvlJc w:val="left"/>
      <w:pPr>
        <w:ind w:left="4357" w:hanging="569"/>
      </w:pPr>
      <w:rPr>
        <w:rFonts w:hint="default"/>
      </w:rPr>
    </w:lvl>
    <w:lvl w:ilvl="5" w:tplc="B90ED710">
      <w:start w:val="1"/>
      <w:numFmt w:val="bullet"/>
      <w:lvlText w:val="•"/>
      <w:lvlJc w:val="left"/>
      <w:pPr>
        <w:ind w:left="5375" w:hanging="569"/>
      </w:pPr>
      <w:rPr>
        <w:rFonts w:hint="default"/>
      </w:rPr>
    </w:lvl>
    <w:lvl w:ilvl="6" w:tplc="11540A8A">
      <w:start w:val="1"/>
      <w:numFmt w:val="bullet"/>
      <w:lvlText w:val="•"/>
      <w:lvlJc w:val="left"/>
      <w:pPr>
        <w:ind w:left="6393" w:hanging="569"/>
      </w:pPr>
      <w:rPr>
        <w:rFonts w:hint="default"/>
      </w:rPr>
    </w:lvl>
    <w:lvl w:ilvl="7" w:tplc="CC58D112">
      <w:start w:val="1"/>
      <w:numFmt w:val="bullet"/>
      <w:lvlText w:val="•"/>
      <w:lvlJc w:val="left"/>
      <w:pPr>
        <w:ind w:left="7411" w:hanging="569"/>
      </w:pPr>
      <w:rPr>
        <w:rFonts w:hint="default"/>
      </w:rPr>
    </w:lvl>
    <w:lvl w:ilvl="8" w:tplc="190C6A74">
      <w:start w:val="1"/>
      <w:numFmt w:val="bullet"/>
      <w:lvlText w:val="•"/>
      <w:lvlJc w:val="left"/>
      <w:pPr>
        <w:ind w:left="8430" w:hanging="569"/>
      </w:pPr>
      <w:rPr>
        <w:rFonts w:hint="default"/>
      </w:rPr>
    </w:lvl>
  </w:abstractNum>
  <w:abstractNum w:abstractNumId="2" w15:restartNumberingAfterBreak="0">
    <w:nsid w:val="5C130B0E"/>
    <w:multiLevelType w:val="hybridMultilevel"/>
    <w:tmpl w:val="95CC1BF4"/>
    <w:lvl w:ilvl="0" w:tplc="C50E6348">
      <w:start w:val="1"/>
      <w:numFmt w:val="decimal"/>
      <w:lvlText w:val="%1."/>
      <w:lvlJc w:val="left"/>
      <w:pPr>
        <w:ind w:left="450" w:hanging="850"/>
      </w:pPr>
      <w:rPr>
        <w:rFonts w:ascii="Arial" w:eastAsia="Arial" w:hAnsi="Arial" w:hint="default"/>
        <w:spacing w:val="-1"/>
        <w:w w:val="99"/>
        <w:sz w:val="20"/>
        <w:szCs w:val="20"/>
      </w:rPr>
    </w:lvl>
    <w:lvl w:ilvl="1" w:tplc="50565BCA">
      <w:start w:val="1"/>
      <w:numFmt w:val="lowerLetter"/>
      <w:lvlText w:val="%2)"/>
      <w:lvlJc w:val="left"/>
      <w:pPr>
        <w:ind w:left="1302" w:hanging="569"/>
      </w:pPr>
      <w:rPr>
        <w:rFonts w:ascii="Arial" w:eastAsia="Arial" w:hAnsi="Arial" w:hint="default"/>
        <w:spacing w:val="-1"/>
        <w:w w:val="99"/>
        <w:sz w:val="20"/>
        <w:szCs w:val="20"/>
      </w:rPr>
    </w:lvl>
    <w:lvl w:ilvl="2" w:tplc="B504D5EC">
      <w:start w:val="1"/>
      <w:numFmt w:val="lowerRoman"/>
      <w:lvlText w:val="%3."/>
      <w:lvlJc w:val="left"/>
      <w:pPr>
        <w:ind w:left="1869" w:hanging="567"/>
      </w:pPr>
      <w:rPr>
        <w:rFonts w:ascii="Arial" w:eastAsia="Arial" w:hAnsi="Arial" w:hint="default"/>
        <w:spacing w:val="-2"/>
        <w:w w:val="99"/>
        <w:sz w:val="20"/>
        <w:szCs w:val="20"/>
      </w:rPr>
    </w:lvl>
    <w:lvl w:ilvl="3" w:tplc="5D1443D4">
      <w:start w:val="1"/>
      <w:numFmt w:val="bullet"/>
      <w:lvlText w:val="•"/>
      <w:lvlJc w:val="left"/>
      <w:pPr>
        <w:ind w:left="2943" w:hanging="567"/>
      </w:pPr>
      <w:rPr>
        <w:rFonts w:hint="default"/>
      </w:rPr>
    </w:lvl>
    <w:lvl w:ilvl="4" w:tplc="76283748">
      <w:start w:val="1"/>
      <w:numFmt w:val="bullet"/>
      <w:lvlText w:val="•"/>
      <w:lvlJc w:val="left"/>
      <w:pPr>
        <w:ind w:left="4018" w:hanging="567"/>
      </w:pPr>
      <w:rPr>
        <w:rFonts w:hint="default"/>
      </w:rPr>
    </w:lvl>
    <w:lvl w:ilvl="5" w:tplc="40125C1A">
      <w:start w:val="1"/>
      <w:numFmt w:val="bullet"/>
      <w:lvlText w:val="•"/>
      <w:lvlJc w:val="left"/>
      <w:pPr>
        <w:ind w:left="5093" w:hanging="567"/>
      </w:pPr>
      <w:rPr>
        <w:rFonts w:hint="default"/>
      </w:rPr>
    </w:lvl>
    <w:lvl w:ilvl="6" w:tplc="C21C3B96">
      <w:start w:val="1"/>
      <w:numFmt w:val="bullet"/>
      <w:lvlText w:val="•"/>
      <w:lvlJc w:val="left"/>
      <w:pPr>
        <w:ind w:left="6167" w:hanging="567"/>
      </w:pPr>
      <w:rPr>
        <w:rFonts w:hint="default"/>
      </w:rPr>
    </w:lvl>
    <w:lvl w:ilvl="7" w:tplc="792E4AD0">
      <w:start w:val="1"/>
      <w:numFmt w:val="bullet"/>
      <w:lvlText w:val="•"/>
      <w:lvlJc w:val="left"/>
      <w:pPr>
        <w:ind w:left="7242" w:hanging="567"/>
      </w:pPr>
      <w:rPr>
        <w:rFonts w:hint="default"/>
      </w:rPr>
    </w:lvl>
    <w:lvl w:ilvl="8" w:tplc="773CCDB8">
      <w:start w:val="1"/>
      <w:numFmt w:val="bullet"/>
      <w:lvlText w:val="•"/>
      <w:lvlJc w:val="left"/>
      <w:pPr>
        <w:ind w:left="8317" w:hanging="567"/>
      </w:pPr>
      <w:rPr>
        <w:rFonts w:hint="default"/>
      </w:rPr>
    </w:lvl>
  </w:abstractNum>
  <w:abstractNum w:abstractNumId="3" w15:restartNumberingAfterBreak="0">
    <w:nsid w:val="6FA4337E"/>
    <w:multiLevelType w:val="hybridMultilevel"/>
    <w:tmpl w:val="29B8C262"/>
    <w:lvl w:ilvl="0" w:tplc="C64E1F50">
      <w:start w:val="1"/>
      <w:numFmt w:val="bullet"/>
      <w:lvlText w:val=""/>
      <w:lvlJc w:val="left"/>
      <w:pPr>
        <w:ind w:left="852" w:hanging="711"/>
      </w:pPr>
      <w:rPr>
        <w:rFonts w:ascii="Symbol" w:eastAsia="Symbol" w:hAnsi="Symbol" w:hint="default"/>
        <w:w w:val="95"/>
        <w:sz w:val="20"/>
        <w:szCs w:val="20"/>
      </w:rPr>
    </w:lvl>
    <w:lvl w:ilvl="1" w:tplc="974CEBDE">
      <w:start w:val="1"/>
      <w:numFmt w:val="bullet"/>
      <w:lvlText w:val="•"/>
      <w:lvlJc w:val="left"/>
      <w:pPr>
        <w:ind w:left="1705" w:hanging="711"/>
      </w:pPr>
      <w:rPr>
        <w:rFonts w:hint="default"/>
      </w:rPr>
    </w:lvl>
    <w:lvl w:ilvl="2" w:tplc="5EF0A886">
      <w:start w:val="1"/>
      <w:numFmt w:val="bullet"/>
      <w:lvlText w:val="•"/>
      <w:lvlJc w:val="left"/>
      <w:pPr>
        <w:ind w:left="2558" w:hanging="711"/>
      </w:pPr>
      <w:rPr>
        <w:rFonts w:hint="default"/>
      </w:rPr>
    </w:lvl>
    <w:lvl w:ilvl="3" w:tplc="C04A8328">
      <w:start w:val="1"/>
      <w:numFmt w:val="bullet"/>
      <w:lvlText w:val="•"/>
      <w:lvlJc w:val="left"/>
      <w:pPr>
        <w:ind w:left="3410" w:hanging="711"/>
      </w:pPr>
      <w:rPr>
        <w:rFonts w:hint="default"/>
      </w:rPr>
    </w:lvl>
    <w:lvl w:ilvl="4" w:tplc="2F9A936C">
      <w:start w:val="1"/>
      <w:numFmt w:val="bullet"/>
      <w:lvlText w:val="•"/>
      <w:lvlJc w:val="left"/>
      <w:pPr>
        <w:ind w:left="4263" w:hanging="711"/>
      </w:pPr>
      <w:rPr>
        <w:rFonts w:hint="default"/>
      </w:rPr>
    </w:lvl>
    <w:lvl w:ilvl="5" w:tplc="13922ADC">
      <w:start w:val="1"/>
      <w:numFmt w:val="bullet"/>
      <w:lvlText w:val="•"/>
      <w:lvlJc w:val="left"/>
      <w:pPr>
        <w:ind w:left="5116" w:hanging="711"/>
      </w:pPr>
      <w:rPr>
        <w:rFonts w:hint="default"/>
      </w:rPr>
    </w:lvl>
    <w:lvl w:ilvl="6" w:tplc="C4E8966A">
      <w:start w:val="1"/>
      <w:numFmt w:val="bullet"/>
      <w:lvlText w:val="•"/>
      <w:lvlJc w:val="left"/>
      <w:pPr>
        <w:ind w:left="5969" w:hanging="711"/>
      </w:pPr>
      <w:rPr>
        <w:rFonts w:hint="default"/>
      </w:rPr>
    </w:lvl>
    <w:lvl w:ilvl="7" w:tplc="F350D434">
      <w:start w:val="1"/>
      <w:numFmt w:val="bullet"/>
      <w:lvlText w:val="•"/>
      <w:lvlJc w:val="left"/>
      <w:pPr>
        <w:ind w:left="6821" w:hanging="711"/>
      </w:pPr>
      <w:rPr>
        <w:rFonts w:hint="default"/>
      </w:rPr>
    </w:lvl>
    <w:lvl w:ilvl="8" w:tplc="7C0C3BA4">
      <w:start w:val="1"/>
      <w:numFmt w:val="bullet"/>
      <w:lvlText w:val="•"/>
      <w:lvlJc w:val="left"/>
      <w:pPr>
        <w:ind w:left="7674" w:hanging="711"/>
      </w:pPr>
      <w:rPr>
        <w:rFonts w:hint="default"/>
      </w:rPr>
    </w:lvl>
  </w:abstractNum>
  <w:num w:numId="1" w16cid:durableId="1585842616">
    <w:abstractNumId w:val="3"/>
  </w:num>
  <w:num w:numId="2" w16cid:durableId="486897703">
    <w:abstractNumId w:val="0"/>
  </w:num>
  <w:num w:numId="3" w16cid:durableId="1984308149">
    <w:abstractNumId w:val="2"/>
  </w:num>
  <w:num w:numId="4" w16cid:durableId="618684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F1B19"/>
    <w:rsid w:val="00013A14"/>
    <w:rsid w:val="000329F7"/>
    <w:rsid w:val="000C32BB"/>
    <w:rsid w:val="000E36FD"/>
    <w:rsid w:val="001517ED"/>
    <w:rsid w:val="001C13E9"/>
    <w:rsid w:val="001D3B01"/>
    <w:rsid w:val="0022082C"/>
    <w:rsid w:val="0027467D"/>
    <w:rsid w:val="002803C6"/>
    <w:rsid w:val="0029393A"/>
    <w:rsid w:val="002A09FF"/>
    <w:rsid w:val="002B05F1"/>
    <w:rsid w:val="002B116A"/>
    <w:rsid w:val="002D47FD"/>
    <w:rsid w:val="003309C4"/>
    <w:rsid w:val="00341E37"/>
    <w:rsid w:val="00363E47"/>
    <w:rsid w:val="003D226E"/>
    <w:rsid w:val="003E71A8"/>
    <w:rsid w:val="003F1B19"/>
    <w:rsid w:val="003F7D8E"/>
    <w:rsid w:val="004837CD"/>
    <w:rsid w:val="0049542F"/>
    <w:rsid w:val="00512EE8"/>
    <w:rsid w:val="005A23F4"/>
    <w:rsid w:val="005B40E7"/>
    <w:rsid w:val="005D536C"/>
    <w:rsid w:val="005F5A70"/>
    <w:rsid w:val="00635F52"/>
    <w:rsid w:val="00690FE7"/>
    <w:rsid w:val="006D66DB"/>
    <w:rsid w:val="007361D2"/>
    <w:rsid w:val="007559D3"/>
    <w:rsid w:val="00786CDB"/>
    <w:rsid w:val="007B61F5"/>
    <w:rsid w:val="008732E7"/>
    <w:rsid w:val="00887AF3"/>
    <w:rsid w:val="00887E56"/>
    <w:rsid w:val="008A4619"/>
    <w:rsid w:val="008B15F3"/>
    <w:rsid w:val="008B2464"/>
    <w:rsid w:val="008D38F4"/>
    <w:rsid w:val="008F61D3"/>
    <w:rsid w:val="00923B3A"/>
    <w:rsid w:val="009D2268"/>
    <w:rsid w:val="00A400AD"/>
    <w:rsid w:val="00A545A4"/>
    <w:rsid w:val="00AA5C69"/>
    <w:rsid w:val="00B30596"/>
    <w:rsid w:val="00B5534A"/>
    <w:rsid w:val="00B64A86"/>
    <w:rsid w:val="00BD4BE8"/>
    <w:rsid w:val="00BF6EF0"/>
    <w:rsid w:val="00C33A78"/>
    <w:rsid w:val="00C33FE1"/>
    <w:rsid w:val="00C64F01"/>
    <w:rsid w:val="00CF05D8"/>
    <w:rsid w:val="00D00DC9"/>
    <w:rsid w:val="00D225FB"/>
    <w:rsid w:val="00D43550"/>
    <w:rsid w:val="00D742D2"/>
    <w:rsid w:val="00DC46B4"/>
    <w:rsid w:val="00DC67CB"/>
    <w:rsid w:val="00DC6F18"/>
    <w:rsid w:val="00DF19A1"/>
    <w:rsid w:val="00E808C9"/>
    <w:rsid w:val="00ED73CC"/>
    <w:rsid w:val="00EF3D05"/>
    <w:rsid w:val="00F34DA1"/>
    <w:rsid w:val="00F640FB"/>
    <w:rsid w:val="00F66353"/>
    <w:rsid w:val="00FC42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7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
      <w:ind w:left="1613" w:hanging="581"/>
      <w:outlineLvl w:val="0"/>
    </w:pPr>
    <w:rPr>
      <w:rFonts w:ascii="Arial" w:eastAsia="Arial" w:hAnsi="Arial"/>
      <w:sz w:val="40"/>
      <w:szCs w:val="40"/>
    </w:rPr>
  </w:style>
  <w:style w:type="paragraph" w:styleId="Heading2">
    <w:name w:val="heading 2"/>
    <w:basedOn w:val="Normal"/>
    <w:uiPriority w:val="9"/>
    <w:unhideWhenUsed/>
    <w:qFormat/>
    <w:pPr>
      <w:spacing w:before="53"/>
      <w:ind w:left="116"/>
      <w:outlineLvl w:val="1"/>
    </w:pPr>
    <w:rPr>
      <w:rFonts w:ascii="Arial" w:eastAsia="Arial" w:hAnsi="Arial"/>
      <w:b/>
      <w:bCs/>
      <w:sz w:val="24"/>
      <w:szCs w:val="24"/>
    </w:rPr>
  </w:style>
  <w:style w:type="paragraph" w:styleId="Heading3">
    <w:name w:val="heading 3"/>
    <w:basedOn w:val="Normal"/>
    <w:uiPriority w:val="9"/>
    <w:unhideWhenUsed/>
    <w:qFormat/>
    <w:pPr>
      <w:ind w:left="450"/>
      <w:outlineLvl w:val="2"/>
    </w:pPr>
    <w:rPr>
      <w:rFonts w:ascii="Arial" w:eastAsia="Arial" w:hAnsi="Arial"/>
      <w:b/>
      <w:bCs/>
      <w:sz w:val="20"/>
      <w:szCs w:val="20"/>
    </w:rPr>
  </w:style>
  <w:style w:type="paragraph" w:styleId="Heading4">
    <w:name w:val="heading 4"/>
    <w:basedOn w:val="Normal"/>
    <w:uiPriority w:val="9"/>
    <w:unhideWhenUsed/>
    <w:qFormat/>
    <w:pPr>
      <w:ind w:left="797"/>
      <w:outlineLvl w:val="3"/>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2" w:hanging="56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A5C69"/>
    <w:pPr>
      <w:tabs>
        <w:tab w:val="center" w:pos="4513"/>
        <w:tab w:val="right" w:pos="9026"/>
      </w:tabs>
    </w:pPr>
  </w:style>
  <w:style w:type="character" w:customStyle="1" w:styleId="HeaderChar">
    <w:name w:val="Header Char"/>
    <w:basedOn w:val="DefaultParagraphFont"/>
    <w:link w:val="Header"/>
    <w:rsid w:val="00AA5C69"/>
  </w:style>
  <w:style w:type="paragraph" w:styleId="Footer">
    <w:name w:val="footer"/>
    <w:basedOn w:val="Normal"/>
    <w:link w:val="FooterChar"/>
    <w:unhideWhenUsed/>
    <w:rsid w:val="00AA5C69"/>
    <w:pPr>
      <w:tabs>
        <w:tab w:val="center" w:pos="4513"/>
        <w:tab w:val="right" w:pos="9026"/>
      </w:tabs>
    </w:pPr>
  </w:style>
  <w:style w:type="character" w:customStyle="1" w:styleId="FooterChar">
    <w:name w:val="Footer Char"/>
    <w:basedOn w:val="DefaultParagraphFont"/>
    <w:link w:val="Footer"/>
    <w:rsid w:val="00AA5C69"/>
  </w:style>
  <w:style w:type="table" w:styleId="TableGrid">
    <w:name w:val="Table Grid"/>
    <w:basedOn w:val="TableNormal"/>
    <w:uiPriority w:val="39"/>
    <w:rsid w:val="0075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C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B83AB-7B27-4045-A428-F10856750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D3749-58BF-4E8B-8322-4EB3AC29C9F5}">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036B8FA1-DE68-4FA8-98E9-54383DEDB7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13358</Words>
  <Characters>7615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2022-01-14T13:25:00Z</dcterms:created>
  <dcterms:modified xsi:type="dcterms:W3CDTF">2022-08-05T07:55:00Z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