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6DB1" w14:textId="77777777" w:rsidR="00DF6274" w:rsidRDefault="00DF6274" w:rsidP="00630C73">
      <w:pPr>
        <w:shd w:val="clear" w:color="auto" w:fill="FFFFFF"/>
        <w:spacing w:after="0" w:line="240" w:lineRule="auto"/>
        <w:jc w:val="both"/>
        <w:rPr>
          <w:rFonts w:ascii="Times New Roman" w:hAnsi="Times New Roman"/>
          <w:b/>
          <w:bCs/>
          <w:sz w:val="24"/>
          <w:szCs w:val="20"/>
        </w:rPr>
      </w:pPr>
    </w:p>
    <w:p w14:paraId="2DC18D9D" w14:textId="4DEE36A0" w:rsidR="004D4C2C" w:rsidRDefault="00630C73" w:rsidP="00630C73">
      <w:pPr>
        <w:shd w:val="clear" w:color="auto" w:fill="FFFFFF"/>
        <w:spacing w:after="0" w:line="240" w:lineRule="auto"/>
        <w:jc w:val="both"/>
        <w:rPr>
          <w:rFonts w:ascii="Times New Roman" w:hAnsi="Times New Roman"/>
          <w:b/>
          <w:bCs/>
          <w:sz w:val="24"/>
          <w:szCs w:val="20"/>
        </w:rPr>
      </w:pPr>
      <w:r>
        <w:rPr>
          <w:rFonts w:ascii="Times New Roman" w:hAnsi="Times New Roman"/>
          <w:b/>
          <w:bCs/>
          <w:sz w:val="24"/>
          <w:szCs w:val="20"/>
        </w:rPr>
        <w:t>Ministru komitejas Ieteikums CM/Rec(2012)5</w:t>
      </w:r>
    </w:p>
    <w:p w14:paraId="23FB61FC" w14:textId="77777777" w:rsidR="004D4C2C" w:rsidRDefault="00630C73" w:rsidP="00630C73">
      <w:pPr>
        <w:shd w:val="clear" w:color="auto" w:fill="FFFFFF"/>
        <w:spacing w:after="0" w:line="240" w:lineRule="auto"/>
        <w:jc w:val="both"/>
        <w:rPr>
          <w:rFonts w:ascii="Times New Roman" w:hAnsi="Times New Roman"/>
          <w:b/>
          <w:bCs/>
          <w:sz w:val="24"/>
          <w:szCs w:val="20"/>
        </w:rPr>
      </w:pPr>
      <w:r>
        <w:rPr>
          <w:rFonts w:ascii="Times New Roman" w:hAnsi="Times New Roman"/>
          <w:b/>
          <w:bCs/>
          <w:sz w:val="24"/>
          <w:szCs w:val="20"/>
        </w:rPr>
        <w:t>dalībvalstīm par Eiropas ieslodzījuma vietu</w:t>
      </w:r>
    </w:p>
    <w:p w14:paraId="75A2E068" w14:textId="5ECAC52E" w:rsidR="00630C73" w:rsidRDefault="00630C73" w:rsidP="00630C73">
      <w:pPr>
        <w:shd w:val="clear" w:color="auto" w:fill="FFFFFF"/>
        <w:spacing w:after="0" w:line="240" w:lineRule="auto"/>
        <w:jc w:val="both"/>
        <w:rPr>
          <w:rFonts w:ascii="Times New Roman" w:eastAsia="Times New Roman" w:hAnsi="Times New Roman" w:cs="Helvetica"/>
          <w:b/>
          <w:bCs/>
          <w:noProof/>
          <w:sz w:val="24"/>
          <w:szCs w:val="20"/>
        </w:rPr>
      </w:pPr>
      <w:r>
        <w:rPr>
          <w:rFonts w:ascii="Times New Roman" w:hAnsi="Times New Roman"/>
          <w:b/>
          <w:bCs/>
          <w:sz w:val="24"/>
          <w:szCs w:val="20"/>
        </w:rPr>
        <w:t>darbinieku ētikas kodeksu</w:t>
      </w:r>
    </w:p>
    <w:p w14:paraId="52289F5E" w14:textId="77777777" w:rsidR="00433AA1" w:rsidRPr="004D4C2C" w:rsidRDefault="00433AA1" w:rsidP="00630C73">
      <w:pPr>
        <w:shd w:val="clear" w:color="auto" w:fill="FFFFFF"/>
        <w:spacing w:after="0" w:line="240" w:lineRule="auto"/>
        <w:jc w:val="both"/>
        <w:rPr>
          <w:rFonts w:ascii="Times New Roman" w:eastAsia="Times New Roman" w:hAnsi="Times New Roman" w:cs="Helvetica"/>
          <w:b/>
          <w:bCs/>
          <w:noProof/>
          <w:sz w:val="24"/>
          <w:szCs w:val="20"/>
          <w:lang w:eastAsia="lv-LV"/>
        </w:rPr>
      </w:pPr>
    </w:p>
    <w:p w14:paraId="38C8034F" w14:textId="77777777" w:rsidR="004D4C2C" w:rsidRDefault="00630C73" w:rsidP="00630C73">
      <w:pPr>
        <w:shd w:val="clear" w:color="auto" w:fill="FFFFFF"/>
        <w:spacing w:after="0" w:line="240" w:lineRule="auto"/>
        <w:jc w:val="both"/>
        <w:rPr>
          <w:rFonts w:ascii="Times New Roman" w:hAnsi="Times New Roman"/>
          <w:i/>
          <w:iCs/>
          <w:sz w:val="24"/>
          <w:szCs w:val="20"/>
        </w:rPr>
      </w:pPr>
      <w:r>
        <w:rPr>
          <w:rFonts w:ascii="Times New Roman" w:hAnsi="Times New Roman"/>
          <w:i/>
          <w:iCs/>
          <w:sz w:val="24"/>
          <w:szCs w:val="20"/>
        </w:rPr>
        <w:t>(Pieņēmusi Ministru komiteja ministru vietnieku 1140. sanāksmē</w:t>
      </w:r>
    </w:p>
    <w:p w14:paraId="0487F071" w14:textId="32BDDCAF" w:rsidR="00630C73" w:rsidRDefault="00630C73" w:rsidP="00630C73">
      <w:pPr>
        <w:shd w:val="clear" w:color="auto" w:fill="FFFFFF"/>
        <w:spacing w:after="0" w:line="240" w:lineRule="auto"/>
        <w:jc w:val="both"/>
        <w:rPr>
          <w:rFonts w:ascii="Times New Roman" w:eastAsia="Times New Roman" w:hAnsi="Times New Roman" w:cs="Helvetica"/>
          <w:i/>
          <w:iCs/>
          <w:noProof/>
          <w:sz w:val="24"/>
          <w:szCs w:val="20"/>
        </w:rPr>
      </w:pPr>
      <w:r>
        <w:rPr>
          <w:rFonts w:ascii="Times New Roman" w:hAnsi="Times New Roman"/>
          <w:i/>
          <w:iCs/>
          <w:sz w:val="24"/>
          <w:szCs w:val="20"/>
        </w:rPr>
        <w:t>2012. gada 12. aprīlī)</w:t>
      </w:r>
    </w:p>
    <w:p w14:paraId="7BC55316" w14:textId="462709C6" w:rsidR="00433AA1" w:rsidRDefault="00433AA1" w:rsidP="00630C73">
      <w:pPr>
        <w:shd w:val="clear" w:color="auto" w:fill="FFFFFF"/>
        <w:spacing w:after="0" w:line="240" w:lineRule="auto"/>
        <w:jc w:val="both"/>
        <w:rPr>
          <w:rFonts w:ascii="Times New Roman" w:eastAsia="Times New Roman" w:hAnsi="Times New Roman" w:cs="Helvetica"/>
          <w:i/>
          <w:iCs/>
          <w:noProof/>
          <w:sz w:val="24"/>
          <w:szCs w:val="20"/>
          <w:lang w:val="en-US" w:eastAsia="lv-LV"/>
        </w:rPr>
      </w:pPr>
    </w:p>
    <w:p w14:paraId="62AECF0A" w14:textId="77777777" w:rsidR="00DF6274" w:rsidRPr="00630C73" w:rsidRDefault="00DF6274" w:rsidP="00630C73">
      <w:pPr>
        <w:shd w:val="clear" w:color="auto" w:fill="FFFFFF"/>
        <w:spacing w:after="0" w:line="240" w:lineRule="auto"/>
        <w:jc w:val="both"/>
        <w:rPr>
          <w:rFonts w:ascii="Times New Roman" w:eastAsia="Times New Roman" w:hAnsi="Times New Roman" w:cs="Helvetica"/>
          <w:i/>
          <w:iCs/>
          <w:noProof/>
          <w:sz w:val="24"/>
          <w:szCs w:val="20"/>
          <w:lang w:val="en-US" w:eastAsia="lv-LV"/>
        </w:rPr>
      </w:pPr>
    </w:p>
    <w:p w14:paraId="6E1FDFDC" w14:textId="5C115E10"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xml:space="preserve">Ministru komiteja, ievērojot Eiropas Padomes Statūtu 15. panta </w:t>
      </w:r>
      <w:r>
        <w:rPr>
          <w:rFonts w:ascii="Times New Roman" w:hAnsi="Times New Roman"/>
          <w:i/>
          <w:iCs/>
          <w:sz w:val="24"/>
          <w:szCs w:val="20"/>
        </w:rPr>
        <w:t>b)</w:t>
      </w:r>
      <w:r>
        <w:rPr>
          <w:rFonts w:ascii="Times New Roman" w:hAnsi="Times New Roman"/>
          <w:sz w:val="24"/>
          <w:szCs w:val="20"/>
        </w:rPr>
        <w:t> punkta noteikumus;</w:t>
      </w:r>
    </w:p>
    <w:p w14:paraId="21527B62"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57DBFFB2" w14:textId="745423D5"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atgādinot, ka Eiropas Padomes mērķis ir panākt lielāku vienotību starp dalībvalstīm;</w:t>
      </w:r>
    </w:p>
    <w:p w14:paraId="5AEF9C49"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2DED2469" w14:textId="354B8ABD"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paturot prātā, ka arī Eiropas Padomes mērķis ir veicināt tiesiskumu, kas ir visu patieso demokrātiju pamats;</w:t>
      </w:r>
    </w:p>
    <w:p w14:paraId="2E1655EB"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7D9A9453" w14:textId="29EAE95F"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uzskatot, ka krimināltiesību sistēmai ir izšķiroša loma tiesiskuma aizsardzībā un ka ieslodzījuma vietu personālam šajā sistēmā ir būtiska loma;</w:t>
      </w:r>
    </w:p>
    <w:p w14:paraId="3407A28D"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2E393F98" w14:textId="23F3C82D"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ņemot vērā Eiropas Cilvēktiesību konvenciju (ELS Nr. 5) un Eiropas Cilvēktiesību tiesas praksi;</w:t>
      </w:r>
    </w:p>
    <w:p w14:paraId="5A532EBA"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65498568" w14:textId="4434813E"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ņemot vērā arī darbu, ko veic Eiropas Komiteja spīdzināšanas un necilvēcīgas vai pazemojošas rīcības vai soda novēršanai, un pirmām kārtām šīs komitejas izstrādātos standartus, kas izklāstīti tās pārskata ziņojumos;</w:t>
      </w:r>
    </w:p>
    <w:p w14:paraId="2D4F020A"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508FC2CB" w14:textId="4B0DFD4B"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vēlreiz apliecinot, ka nevienam nedrīkst atņemt brīvību, izņemot gadījumus, kad brīvības atņemšana ir galējais līdzeklis un tā notiek procesuālajā kārtībā;</w:t>
      </w:r>
    </w:p>
    <w:p w14:paraId="72BB00E8"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3630C1AF" w14:textId="0B1EBC3F"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uzsverot to, ka brīvības atņemšanas sodu piemērošanā un attieksmē pret ieslodzītajiem ir jāievēro drošības, drošuma un kārtības prasības, vienlaikus nodrošinot arī tādus ieslodzījuma apstākļus, kas neaizskar cilvēka cieņu un piedāvā ieslodzītajiem jēgpilnas profesionālās darbības un rehabilitācijas programmas, tādējādi sagatavojot viņus reintegrācijai sabiedrībā;</w:t>
      </w:r>
    </w:p>
    <w:p w14:paraId="35286905" w14:textId="77777777" w:rsidR="00433AA1" w:rsidRPr="000F66E7" w:rsidRDefault="00433AA1"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07832B8C" w14:textId="594700B6"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xml:space="preserve">uzskatot, ka ir svarīgi, lai Eiropas Padomes dalībvalstis </w:t>
      </w:r>
      <w:r w:rsidR="00F25AD1">
        <w:rPr>
          <w:rFonts w:ascii="Times New Roman" w:hAnsi="Times New Roman"/>
          <w:sz w:val="24"/>
          <w:szCs w:val="20"/>
        </w:rPr>
        <w:t>attiecībā uz</w:t>
      </w:r>
      <w:r>
        <w:rPr>
          <w:rFonts w:ascii="Times New Roman" w:hAnsi="Times New Roman"/>
          <w:sz w:val="24"/>
          <w:szCs w:val="20"/>
        </w:rPr>
        <w:t xml:space="preserve"> ieslodzījuma vietu politiku arī turpmāk ievērotu kopīgus principus un tos atjauninātu;</w:t>
      </w:r>
    </w:p>
    <w:p w14:paraId="5F48B144"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4E2A4C96" w14:textId="02C576B7"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turklāt uzskatot, ka šādu kopīgu principu ievērošana veicinās starptautisko sadarbību šajā jomā;</w:t>
      </w:r>
    </w:p>
    <w:p w14:paraId="6C680B5E"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47C8EF35" w14:textId="6E88FA87"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ņemot vērā, ka vairāku ieslodzījumu vietu pārvaldes mērķu sasniegšana ir atkarīga no sabiedrības iesaistīšanās un sadarbības un ka ieslodzījumu vietu pārvaldes efektivitāte ir atkarīga no valsts atbalsta;</w:t>
      </w:r>
    </w:p>
    <w:p w14:paraId="17FFF4AC"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028DA07F" w14:textId="515A260D"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apzinoties nozīmīgās sociālās pārmaiņas, kas pēdējo divdesmit gadu laikā Eiropā rosinājušas arī ievērojamas izmaiņas kriminālsodu jomā;</w:t>
      </w:r>
    </w:p>
    <w:p w14:paraId="0A72AA13"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0E52CC41" w14:textId="6BF35D36"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vēlreiz apstiprinot Eiropas Padomes Ministru komitejas ieteikumos ietvertos standartus, kas attiecas uz kriminālsodu politiku un praksi, un jo īpaši:</w:t>
      </w:r>
    </w:p>
    <w:p w14:paraId="724BD74D"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1972A239" w14:textId="0C931B8C"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Rec(89)12 par izglītību ieslodzījuma vietās;</w:t>
      </w:r>
    </w:p>
    <w:p w14:paraId="3A2293B8"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5DC62F8F" w14:textId="628F9A62"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lastRenderedPageBreak/>
        <w:t>- Ieteikumu Rec(93)6 par penitenciārajiem un kriminoloģiskajiem aspektiem, kas attiecas uz transmisīvo slimību, tostarp AIDS, un ar tām saistīto veselības problēmu kontroli ieslodzījuma vietās;</w:t>
      </w:r>
    </w:p>
    <w:p w14:paraId="4F76EA2C"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171B6C66" w14:textId="5B89C5D2"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Rec(97)12 par sodu un piespiedu līdzekļu izpildes personālu;</w:t>
      </w:r>
    </w:p>
    <w:p w14:paraId="18562082"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121A4AAB" w14:textId="20026E81"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Rec(98)7 par ieslodzījuma vietā sniegtās veselības aprūpes ētiskajiem un organizatoriskajiem aspektiem;</w:t>
      </w:r>
    </w:p>
    <w:p w14:paraId="51751853"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15AF2BC9" w14:textId="3B29E64E"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Rec(99)22 par pārapdzīvotību brīvības atņemšanas iestādēs un ieslodzīto skaita palielināšanos;</w:t>
      </w:r>
    </w:p>
    <w:p w14:paraId="04BD94FE"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7C2F7131" w14:textId="143307C4"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Rec(2003)22 par nosacītu pirmstermiņa atbrīvošanu (atbrīvošanu ar nosacījumu);</w:t>
      </w:r>
    </w:p>
    <w:p w14:paraId="1F08D52D"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43166753" w14:textId="78097CE2"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Rec(2003)23 par cietuma administrācijas izturēšanos pret uz mūžu ieslodzītajiem un ilgtermiņa ieslodzītajiem;</w:t>
      </w:r>
    </w:p>
    <w:p w14:paraId="257454D2"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4D86C52D" w14:textId="30E6E88E"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Rec(2006)2 par Eiropas cietumu noteikumiem;</w:t>
      </w:r>
    </w:p>
    <w:p w14:paraId="03C00C87"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46472A03" w14:textId="7AE6CFD5"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Rec(2006)13 par apcietinājuma piemērošanu, apstākļiem, kādos to piemēro, un drošības pasākumiem pret tā ļaunprātīgu izmantošanu;</w:t>
      </w:r>
    </w:p>
    <w:p w14:paraId="0827A0F5"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332386B0" w14:textId="79AD4B1D"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Ieteikumu CM/Rec(2008)11 par Eiropas noteikumiem attiecībā uz nepilngadīgajiem likumpārkāpējiem, kuriem tiek piemēroti sodi vai piespiedu līdzekļi;</w:t>
      </w:r>
    </w:p>
    <w:p w14:paraId="5ACED98F"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74F2E05B" w14:textId="4C7D372A"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paturot prātā Apvienoto Nāciju Organizācijas Tiesībsargājošo iestāžu ierēdņu rīcības kodeksu, Apvienoto Nāciju Organizācijas Minimālos standartnoteikumus par izturēšanos pret ieslodzītajiem un Apvienoto Nāciju Organizācijas Minimālos standartnoteikumus par izturēšanos pret ieslodzītajām sievietēm un piespiedu līdzekļiem, kas nav saistīti ar brīvības atņemšanu un ko piemēro attiecībā uz likumpārkāpējām sievietēm (Bangkokas noteikumi);</w:t>
      </w:r>
    </w:p>
    <w:p w14:paraId="7ABA1587"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2495FBC5" w14:textId="058A46CC"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xml:space="preserve">ņemot vērā nepieciešamību ieteikt kopīgus Eiropas principus un vadlīnijas par ieslodzījuma vietu darbinieku vispārējiem mērķiem, darbības rezultātiem un </w:t>
      </w:r>
      <w:r w:rsidR="003B477F">
        <w:rPr>
          <w:rFonts w:ascii="Times New Roman" w:hAnsi="Times New Roman"/>
          <w:sz w:val="24"/>
          <w:szCs w:val="20"/>
        </w:rPr>
        <w:t>atbildīgumu</w:t>
      </w:r>
      <w:r>
        <w:rPr>
          <w:rFonts w:ascii="Times New Roman" w:hAnsi="Times New Roman"/>
          <w:sz w:val="24"/>
          <w:szCs w:val="20"/>
        </w:rPr>
        <w:t>, lai aizsargātu personu drošību un tiesības demokrātiskās sabiedrībās, kurās valda tiesiskums;</w:t>
      </w:r>
    </w:p>
    <w:p w14:paraId="4E88E2FE"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28E88005" w14:textId="7479175E"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iesaka dalībvalstu valdībām savos iekšējos tiesību aktos, praksē un ieslodzījuma vietu darbinieku rīcības kodeksos vadīties pēc principiem, kas izklāstīti šim ieteikumam pievienotajā Eiropas ieslodzījuma vietu darbinieku ētikas kodeksa paraugā un kas jālasa kopā ar Eiropas cietumu noteikumiem;</w:t>
      </w:r>
    </w:p>
    <w:p w14:paraId="64825CF8"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7A841648" w14:textId="78357E9E"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turklāt iesaka dalībvalstu valdībām pēc iespējas plašāk izplatīt šo tekstu un uz tā balstītos ētikas kodeksus un pārraudzīt, kā attiecīgās struktūras tos īsteno.</w:t>
      </w:r>
    </w:p>
    <w:p w14:paraId="37475C26" w14:textId="3AA2E45D" w:rsidR="00125DA5"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161F9E27" w14:textId="77777777" w:rsidR="00DF6274" w:rsidRPr="000F66E7" w:rsidRDefault="00DF6274"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3857B986" w14:textId="47A6F53F" w:rsidR="00630C73" w:rsidRDefault="00630C73" w:rsidP="00DF6274">
      <w:pPr>
        <w:keepNext/>
        <w:shd w:val="clear" w:color="auto" w:fill="FFFFFF"/>
        <w:spacing w:after="0" w:line="240" w:lineRule="auto"/>
        <w:jc w:val="both"/>
        <w:rPr>
          <w:rFonts w:ascii="Times New Roman" w:eastAsia="Times New Roman" w:hAnsi="Times New Roman" w:cs="Helvetica"/>
          <w:i/>
          <w:iCs/>
          <w:noProof/>
          <w:sz w:val="24"/>
          <w:szCs w:val="20"/>
        </w:rPr>
      </w:pPr>
      <w:r>
        <w:rPr>
          <w:rFonts w:ascii="Times New Roman" w:hAnsi="Times New Roman"/>
          <w:i/>
          <w:iCs/>
          <w:sz w:val="24"/>
          <w:szCs w:val="20"/>
        </w:rPr>
        <w:lastRenderedPageBreak/>
        <w:t>Ieteikuma CM/Rec(2012)5 papildinājums</w:t>
      </w:r>
    </w:p>
    <w:p w14:paraId="6B1B4AC0" w14:textId="77777777" w:rsidR="00125DA5" w:rsidRPr="000F66E7" w:rsidRDefault="00125DA5" w:rsidP="00DF6274">
      <w:pPr>
        <w:keepNext/>
        <w:shd w:val="clear" w:color="auto" w:fill="FFFFFF"/>
        <w:spacing w:after="0" w:line="240" w:lineRule="auto"/>
        <w:jc w:val="both"/>
        <w:rPr>
          <w:rFonts w:ascii="Times New Roman" w:eastAsia="Times New Roman" w:hAnsi="Times New Roman" w:cs="Helvetica"/>
          <w:noProof/>
          <w:sz w:val="24"/>
          <w:szCs w:val="20"/>
          <w:lang w:val="fi-FI" w:eastAsia="lv-LV"/>
        </w:rPr>
      </w:pPr>
    </w:p>
    <w:p w14:paraId="18751CC7" w14:textId="110F91ED" w:rsidR="00630C73" w:rsidRDefault="00630C73" w:rsidP="00DF6274">
      <w:pPr>
        <w:keepNext/>
        <w:shd w:val="clear" w:color="auto" w:fill="FFFFFF"/>
        <w:spacing w:after="0" w:line="240" w:lineRule="auto"/>
        <w:jc w:val="both"/>
        <w:rPr>
          <w:rFonts w:ascii="Times New Roman" w:eastAsia="Times New Roman" w:hAnsi="Times New Roman" w:cs="Helvetica"/>
          <w:b/>
          <w:bCs/>
          <w:noProof/>
          <w:sz w:val="24"/>
          <w:szCs w:val="20"/>
        </w:rPr>
      </w:pPr>
      <w:r>
        <w:rPr>
          <w:rFonts w:ascii="Times New Roman" w:hAnsi="Times New Roman"/>
          <w:b/>
          <w:bCs/>
          <w:sz w:val="24"/>
          <w:szCs w:val="20"/>
        </w:rPr>
        <w:t>I. Kodeksa piemērošanas jomas definīcija</w:t>
      </w:r>
    </w:p>
    <w:p w14:paraId="1D5DF369" w14:textId="77777777" w:rsidR="00125DA5" w:rsidRPr="000F66E7" w:rsidRDefault="00125DA5" w:rsidP="00DF6274">
      <w:pPr>
        <w:keepNext/>
        <w:shd w:val="clear" w:color="auto" w:fill="FFFFFF"/>
        <w:spacing w:after="0" w:line="240" w:lineRule="auto"/>
        <w:jc w:val="both"/>
        <w:rPr>
          <w:rFonts w:ascii="Times New Roman" w:eastAsia="Times New Roman" w:hAnsi="Times New Roman" w:cs="Helvetica"/>
          <w:b/>
          <w:bCs/>
          <w:noProof/>
          <w:sz w:val="24"/>
          <w:szCs w:val="20"/>
          <w:lang w:val="fi-FI" w:eastAsia="lv-LV"/>
        </w:rPr>
      </w:pPr>
    </w:p>
    <w:p w14:paraId="5FDDC2A0" w14:textId="05387AB6" w:rsidR="00630C73" w:rsidRDefault="00630C73" w:rsidP="00DF6274">
      <w:pPr>
        <w:keepNext/>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Šis kodekss attiecas uz ieslodzījuma vietu darbiniekiem visos hierarhijas līmeņos.</w:t>
      </w:r>
    </w:p>
    <w:p w14:paraId="62C84140" w14:textId="77777777" w:rsidR="00125DA5" w:rsidRPr="000F66E7" w:rsidRDefault="00125DA5" w:rsidP="00DF6274">
      <w:pPr>
        <w:keepNext/>
        <w:shd w:val="clear" w:color="auto" w:fill="FFFFFF"/>
        <w:spacing w:after="0" w:line="240" w:lineRule="auto"/>
        <w:jc w:val="both"/>
        <w:rPr>
          <w:rFonts w:ascii="Times New Roman" w:eastAsia="Times New Roman" w:hAnsi="Times New Roman" w:cs="Helvetica"/>
          <w:noProof/>
          <w:sz w:val="24"/>
          <w:szCs w:val="20"/>
          <w:lang w:val="fi-FI" w:eastAsia="lv-LV"/>
        </w:rPr>
      </w:pPr>
    </w:p>
    <w:p w14:paraId="59806724" w14:textId="377C29BD" w:rsidR="00630C73" w:rsidRDefault="00630C73" w:rsidP="00DF6274">
      <w:pPr>
        <w:keepNext/>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Šajā kodeksā termins “ieslodzījuma vieta” ir izmantots attiecībā uz iestādi, kas paredzēta tādu personu turēšanai, kuras saskaņā ar tiesu iestādes lēmumu ir apcietinātas vai kurām ir atņemta brīvība pēc notiesāšanas.</w:t>
      </w:r>
    </w:p>
    <w:p w14:paraId="315A0A4F"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2E01A2F3" w14:textId="664A3996" w:rsid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Šā kodeksa noteikumi nav jāinterpretē tā, ka tie aizliedz piemērot jebkādus attiecīgos starptautiskos cilvēktiesību instrumentus un standartus, jo īpaši Eiropas cietumu noteikumus, kā arī citus profesionālos ētikas kodeksus, kas piemērojami specializētu darbinieku grupām.</w:t>
      </w:r>
    </w:p>
    <w:p w14:paraId="489014DF"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0FD51A13" w14:textId="4A0D3EBB" w:rsidR="00630C73" w:rsidRPr="00630C73" w:rsidRDefault="00630C73" w:rsidP="00630C73">
      <w:pPr>
        <w:shd w:val="clear" w:color="auto" w:fill="FFFFFF"/>
        <w:spacing w:after="0" w:line="240" w:lineRule="auto"/>
        <w:jc w:val="both"/>
        <w:rPr>
          <w:rFonts w:ascii="Times New Roman" w:eastAsia="Times New Roman" w:hAnsi="Times New Roman" w:cs="Helvetica"/>
          <w:b/>
          <w:bCs/>
          <w:noProof/>
          <w:sz w:val="24"/>
          <w:szCs w:val="20"/>
        </w:rPr>
      </w:pPr>
      <w:r>
        <w:rPr>
          <w:rFonts w:ascii="Times New Roman" w:hAnsi="Times New Roman"/>
          <w:b/>
          <w:bCs/>
          <w:sz w:val="24"/>
          <w:szCs w:val="20"/>
        </w:rPr>
        <w:t>II. Ieslodzījuma vietu darbinieku mērķi</w:t>
      </w:r>
    </w:p>
    <w:p w14:paraId="1B9654C7"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7D55FD8D" w14:textId="5A7D7FA2"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 Ieslodzījuma vietu darbinieku galvenie mērķi demokrātiskā tiesiskajā sabiedrībā ir šādi:</w:t>
      </w:r>
    </w:p>
    <w:p w14:paraId="1B8EAEEC" w14:textId="77777777" w:rsidR="00125DA5" w:rsidRPr="000F66E7" w:rsidRDefault="00125DA5"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66ED0255" w14:textId="713F117C"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veikt visus savus pienākumus saskaņā ar valsts tiesību aktiem un starptautiskajiem standartiem;</w:t>
      </w:r>
    </w:p>
    <w:p w14:paraId="3EBF2383"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2D7F5750" w14:textId="465179EC"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aizsargāt un ievērot personu pamattiesības un brīvības, kas jo īpaši nostiprinātas Eiropas Cilvēktiesību konvencijā;</w:t>
      </w:r>
    </w:p>
    <w:p w14:paraId="42AE7ED2"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09456923" w14:textId="5CEB1155"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nodrošināt, lai visi ieslodzītie būtu drošībā un tiktu turēti apstākļos, kas atbilst attiecīgajiem starptautiskajiem standartiem, jo īpaši Eiropas cietumu noteikumiem;</w:t>
      </w:r>
      <w:r w:rsidR="00BF5D85" w:rsidRPr="00A72D03">
        <w:rPr>
          <w:rStyle w:val="FootnoteReference"/>
          <w:rFonts w:ascii="Times New Roman" w:eastAsia="Times New Roman" w:hAnsi="Times New Roman" w:cs="Helvetica"/>
          <w:noProof/>
          <w:sz w:val="24"/>
          <w:szCs w:val="20"/>
          <w:vertAlign w:val="superscript"/>
          <w:lang w:val="en-US" w:eastAsia="lv-LV"/>
        </w:rPr>
        <w:footnoteReference w:id="1"/>
      </w:r>
    </w:p>
    <w:p w14:paraId="3BB53A50"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46DF2BB9" w14:textId="3B44065F"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ievērot un aizsargāt sabiedrības tiesības tikt pasargātai no noziedzīgas darbības;</w:t>
      </w:r>
    </w:p>
    <w:p w14:paraId="12E83C31"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7A9D2109" w14:textId="328AD3B3"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 veicināt ieslodzīto sociālo reintegrāciju pēc atbrīvošanas, nodrošinot viņiem iespēju pozitīvi izmantot laiku ieslodzījuma vietā.</w:t>
      </w:r>
    </w:p>
    <w:p w14:paraId="7DE096BA"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b/>
          <w:bCs/>
          <w:noProof/>
          <w:sz w:val="24"/>
          <w:szCs w:val="20"/>
          <w:lang w:val="fi-FI" w:eastAsia="lv-LV"/>
        </w:rPr>
      </w:pPr>
    </w:p>
    <w:p w14:paraId="79094563" w14:textId="7259E62F" w:rsidR="00630C73" w:rsidRPr="00630C73" w:rsidRDefault="00630C73" w:rsidP="00630C73">
      <w:pPr>
        <w:shd w:val="clear" w:color="auto" w:fill="FFFFFF"/>
        <w:spacing w:after="0" w:line="240" w:lineRule="auto"/>
        <w:jc w:val="both"/>
        <w:rPr>
          <w:rFonts w:ascii="Times New Roman" w:eastAsia="Times New Roman" w:hAnsi="Times New Roman" w:cs="Helvetica"/>
          <w:b/>
          <w:bCs/>
          <w:noProof/>
          <w:sz w:val="24"/>
          <w:szCs w:val="20"/>
        </w:rPr>
      </w:pPr>
      <w:r>
        <w:rPr>
          <w:rFonts w:ascii="Times New Roman" w:hAnsi="Times New Roman"/>
          <w:b/>
          <w:bCs/>
          <w:sz w:val="24"/>
          <w:szCs w:val="20"/>
        </w:rPr>
        <w:t>III. Ieslodzījuma vietu darbinieki un kriminālās tiesvedības sistēma</w:t>
      </w:r>
    </w:p>
    <w:p w14:paraId="15F82049"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73B7CF30" w14:textId="2C034EF0"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 Ieslodzījuma vietu darbiniekiem attiecībā uz ieslodzītajiem ir atšķirīgas funkcijas un pienākumi nekā policijai, militārpersonām, prokuratūrai un tiesu iestādēm.</w:t>
      </w:r>
    </w:p>
    <w:p w14:paraId="73764B94" w14:textId="77777777" w:rsidR="00630C73" w:rsidRPr="000F66E7" w:rsidRDefault="00630C73"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6EF74F91" w14:textId="3B565D4F"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3. Ieslodzījuma vietu personāls pienācīgi sadarbojas ar attiecīgajām kriminālās tiesvedības sistēmas institūcijām, tostarp ar probācijas dienestiem, ja tādi pastāv.</w:t>
      </w:r>
    </w:p>
    <w:p w14:paraId="46F32236"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b/>
          <w:bCs/>
          <w:noProof/>
          <w:sz w:val="24"/>
          <w:szCs w:val="20"/>
          <w:lang w:val="fi-FI" w:eastAsia="lv-LV"/>
        </w:rPr>
      </w:pPr>
    </w:p>
    <w:p w14:paraId="20B46065" w14:textId="6AFB54DA" w:rsidR="00630C73" w:rsidRPr="00630C73" w:rsidRDefault="00630C73" w:rsidP="00630C73">
      <w:pPr>
        <w:shd w:val="clear" w:color="auto" w:fill="FFFFFF"/>
        <w:spacing w:after="0" w:line="240" w:lineRule="auto"/>
        <w:jc w:val="both"/>
        <w:rPr>
          <w:rFonts w:ascii="Times New Roman" w:eastAsia="Times New Roman" w:hAnsi="Times New Roman" w:cs="Helvetica"/>
          <w:b/>
          <w:bCs/>
          <w:noProof/>
          <w:sz w:val="24"/>
          <w:szCs w:val="20"/>
        </w:rPr>
      </w:pPr>
      <w:r>
        <w:rPr>
          <w:rFonts w:ascii="Times New Roman" w:hAnsi="Times New Roman"/>
          <w:b/>
          <w:bCs/>
          <w:sz w:val="24"/>
          <w:szCs w:val="20"/>
        </w:rPr>
        <w:t>IV. Vadlīnijas par ieslodzījuma vietu darbinieku rīcību</w:t>
      </w:r>
    </w:p>
    <w:p w14:paraId="1F772513"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b/>
          <w:bCs/>
          <w:i/>
          <w:iCs/>
          <w:noProof/>
          <w:sz w:val="24"/>
          <w:szCs w:val="20"/>
          <w:lang w:val="fi-FI" w:eastAsia="lv-LV"/>
        </w:rPr>
      </w:pPr>
    </w:p>
    <w:p w14:paraId="42E2B9C4" w14:textId="629707EC" w:rsidR="00630C73" w:rsidRPr="00630C73" w:rsidRDefault="00630C73" w:rsidP="00630C73">
      <w:pPr>
        <w:shd w:val="clear" w:color="auto" w:fill="FFFFFF"/>
        <w:spacing w:after="0" w:line="240" w:lineRule="auto"/>
        <w:jc w:val="both"/>
        <w:rPr>
          <w:rFonts w:ascii="Times New Roman" w:eastAsia="Times New Roman" w:hAnsi="Times New Roman" w:cs="Helvetica"/>
          <w:b/>
          <w:bCs/>
          <w:i/>
          <w:iCs/>
          <w:noProof/>
          <w:sz w:val="24"/>
          <w:szCs w:val="20"/>
        </w:rPr>
      </w:pPr>
      <w:r>
        <w:rPr>
          <w:rFonts w:ascii="Times New Roman" w:hAnsi="Times New Roman"/>
          <w:b/>
          <w:bCs/>
          <w:i/>
          <w:iCs/>
          <w:sz w:val="24"/>
          <w:szCs w:val="20"/>
        </w:rPr>
        <w:t xml:space="preserve">A. </w:t>
      </w:r>
      <w:r w:rsidR="003B477F">
        <w:rPr>
          <w:rFonts w:ascii="Times New Roman" w:hAnsi="Times New Roman"/>
          <w:b/>
          <w:bCs/>
          <w:i/>
          <w:iCs/>
          <w:sz w:val="24"/>
          <w:szCs w:val="20"/>
        </w:rPr>
        <w:t>Atbildīgums</w:t>
      </w:r>
    </w:p>
    <w:p w14:paraId="096E09FA"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64CEBBD3" w14:textId="38D61EF2"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4. Visos līmeņos ieslodzījuma vietu darbinieki ir personīgi atbildīgi par savām darbībām, bezdarbību vai rīkojumiem padotajiem un uzņemas atbildību par to sekām; darbinieki vienmēr iepriekš pārliecinās par savu iecerēto darbību likumību.</w:t>
      </w:r>
    </w:p>
    <w:p w14:paraId="48CE5155" w14:textId="77777777" w:rsidR="0002025D" w:rsidRPr="000F66E7" w:rsidRDefault="0002025D" w:rsidP="00630C73">
      <w:pPr>
        <w:shd w:val="clear" w:color="auto" w:fill="FFFFFF"/>
        <w:spacing w:after="0" w:line="240" w:lineRule="auto"/>
        <w:jc w:val="both"/>
        <w:rPr>
          <w:rFonts w:ascii="Times New Roman" w:eastAsia="Times New Roman" w:hAnsi="Times New Roman" w:cs="Arial"/>
          <w:b/>
          <w:bCs/>
          <w:i/>
          <w:iCs/>
          <w:noProof/>
          <w:sz w:val="24"/>
          <w:szCs w:val="20"/>
          <w:lang w:val="fi-FI" w:eastAsia="lv-LV"/>
        </w:rPr>
      </w:pPr>
    </w:p>
    <w:p w14:paraId="289C2E64" w14:textId="5D816A0D" w:rsidR="00630C73" w:rsidRPr="00630C73" w:rsidRDefault="00630C73" w:rsidP="00630C73">
      <w:pPr>
        <w:shd w:val="clear" w:color="auto" w:fill="FFFFFF"/>
        <w:spacing w:after="0" w:line="240" w:lineRule="auto"/>
        <w:jc w:val="both"/>
        <w:rPr>
          <w:rFonts w:ascii="Times New Roman" w:eastAsia="Times New Roman" w:hAnsi="Times New Roman" w:cs="Arial"/>
          <w:b/>
          <w:bCs/>
          <w:i/>
          <w:iCs/>
          <w:noProof/>
          <w:sz w:val="24"/>
          <w:szCs w:val="20"/>
        </w:rPr>
      </w:pPr>
      <w:r>
        <w:rPr>
          <w:rFonts w:ascii="Times New Roman" w:hAnsi="Times New Roman"/>
          <w:b/>
          <w:bCs/>
          <w:i/>
          <w:iCs/>
          <w:sz w:val="24"/>
          <w:szCs w:val="20"/>
        </w:rPr>
        <w:lastRenderedPageBreak/>
        <w:t>B. Godprātīgums</w:t>
      </w:r>
    </w:p>
    <w:p w14:paraId="2D6DD9E4"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3241FFC1" w14:textId="2E131733"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5. Ieslodzījuma vietu personāls uztur un veicina augstus personiskā godīguma un godprātīguma standartus.</w:t>
      </w:r>
    </w:p>
    <w:p w14:paraId="219D82EA"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13BEB685" w14:textId="6A4CDBEA"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6. Ieslodzījuma vietu darbinieki cenšas uzturēt pozitīvas profesionālās attiecības ar ieslodzītajiem un viņu ģimenes locekļiem.</w:t>
      </w:r>
    </w:p>
    <w:p w14:paraId="429D7A06"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val="fi-FI" w:eastAsia="lv-LV"/>
        </w:rPr>
      </w:pPr>
    </w:p>
    <w:p w14:paraId="166CBA53" w14:textId="32B41BDB"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7. Ieslodzījuma vietu darbinieki rūpējas par to, lai viņu privātās, finansiālās vai citas intereses nebūtu pretrunā viņu amatam. Visu ieslodzījuma vietu darbinieku pienākums ir izvairīties no šādiem interešu konfliktiem un šaubu gadījumā lūgt padomu.</w:t>
      </w:r>
    </w:p>
    <w:p w14:paraId="0F90E382"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6434C9DB" w14:textId="2E5F0D60"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8. Ieslodzījuma vietu darbinieki iestājas pret jebkuriem korupcijas veidiem ieslodzījumu vietu pārvaldē. Viņi par jebkādu korupciju ieslodzījumu vietu pārvaldē informē augstākstāvošas amatpersonas un citas attiecīgās struktūras.</w:t>
      </w:r>
    </w:p>
    <w:p w14:paraId="1C811A51"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5830D03E" w14:textId="5ED7EBE2"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9. Ieslodzījuma vietu darbinieki pilda visus juridiskos norādījumus, ko pienācīgi devušas augstākstāvošas amatpersonas, bet viņu pienākums ir atturēties no jebkādu tādu norādījumu pildīšanas, kas nopietni un acīmredzami pārkāpj tiesību aktus, un ziņot par šādiem norādījumiem, nebaidoties no sankcijām.</w:t>
      </w:r>
    </w:p>
    <w:p w14:paraId="3A4F1A2D"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b/>
          <w:bCs/>
          <w:i/>
          <w:iCs/>
          <w:noProof/>
          <w:sz w:val="24"/>
          <w:szCs w:val="20"/>
          <w:lang w:eastAsia="lv-LV"/>
        </w:rPr>
      </w:pPr>
    </w:p>
    <w:p w14:paraId="63B1B3C3" w14:textId="1FDB4768" w:rsidR="00630C73" w:rsidRPr="00630C73" w:rsidRDefault="00630C73" w:rsidP="00630C73">
      <w:pPr>
        <w:shd w:val="clear" w:color="auto" w:fill="FFFFFF"/>
        <w:spacing w:after="0" w:line="240" w:lineRule="auto"/>
        <w:jc w:val="both"/>
        <w:rPr>
          <w:rFonts w:ascii="Times New Roman" w:eastAsia="Times New Roman" w:hAnsi="Times New Roman" w:cs="Helvetica"/>
          <w:b/>
          <w:bCs/>
          <w:i/>
          <w:iCs/>
          <w:noProof/>
          <w:sz w:val="24"/>
          <w:szCs w:val="20"/>
        </w:rPr>
      </w:pPr>
      <w:r>
        <w:rPr>
          <w:rFonts w:ascii="Times New Roman" w:hAnsi="Times New Roman"/>
          <w:b/>
          <w:bCs/>
          <w:i/>
          <w:iCs/>
          <w:sz w:val="24"/>
          <w:szCs w:val="20"/>
        </w:rPr>
        <w:t>C. Cilvēka cieņas ievērošana un aizsardzība</w:t>
      </w:r>
    </w:p>
    <w:p w14:paraId="6ED8DC0E"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334A267E" w14:textId="07AC0F6F"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10. Ieslodzījuma vietu darbinieki vienmēr ievēro un aizsargā ikvienas personas tiesības uz dzīvību.</w:t>
      </w:r>
    </w:p>
    <w:p w14:paraId="70ECDCCE"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3EB383C5" w14:textId="107EF0E9"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11. Veicot ikdienas uzdevumus, ieslodzījuma vietu darbinieki ievēro un aizsargā cilvēka cieņu, kā arī uztur un aizsargā visu personu cilvēktiesības.</w:t>
      </w:r>
    </w:p>
    <w:p w14:paraId="25F958EF"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07D2E7CC" w14:textId="49DFB396"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12. Ieslodzījuma vietas darbinieki nekādā gadījumā nedrīkst izraisīt, provocēt un pieļaut spīdzināšanu, kā arī citādu necilvēcīgu vai pazemojošu izturēšanos vai sodīšanu, arī tad, ja rīkojumu par to ir devusi augstākstāvoša amatpersona.</w:t>
      </w:r>
    </w:p>
    <w:p w14:paraId="43A8C71C"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41133EAC" w14:textId="69D5A1B0"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13. Ieslodzījuma vietu darbinieki ciena un aizsargā visu ieslodzīto fizisko, seksuālo un garīgo integritāti, tostarp aizsargā ieslodzītos pret citu ieslodzīto vai citu personu uzbrukumiem.</w:t>
      </w:r>
    </w:p>
    <w:p w14:paraId="0E0C0BAF" w14:textId="77777777" w:rsidR="00630C73" w:rsidRPr="000F66E7" w:rsidRDefault="00630C73"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42643418" w14:textId="63237DD1"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14. Ieslodzījuma vietu darbinieki vienmēr pieklājīgi un ar cieņu izturas pret ieslodzītajiem, kolēģiem un jebkurām citām personām, kas ienāk ieslodzījuma vietā.</w:t>
      </w:r>
    </w:p>
    <w:p w14:paraId="2DAC2649"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192F44A7" w14:textId="3CEB65C6"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15. Ieslodzījuma vietu darbinieki iejaucas personas tiesībās uz privātumu tikai tad, ja tas ir absolūti nepieciešams, un tikai leģitīma mērķa sasniegšanai.</w:t>
      </w:r>
    </w:p>
    <w:p w14:paraId="7A8BAF5D" w14:textId="77777777" w:rsidR="00630C73" w:rsidRPr="000F66E7" w:rsidRDefault="00630C73" w:rsidP="00630C73">
      <w:pPr>
        <w:shd w:val="clear" w:color="auto" w:fill="FFFFFF"/>
        <w:spacing w:after="0" w:line="240" w:lineRule="auto"/>
        <w:jc w:val="both"/>
        <w:rPr>
          <w:rFonts w:ascii="Times New Roman" w:eastAsia="Times New Roman" w:hAnsi="Times New Roman" w:cs="Helvetica"/>
          <w:b/>
          <w:bCs/>
          <w:i/>
          <w:iCs/>
          <w:noProof/>
          <w:sz w:val="24"/>
          <w:szCs w:val="20"/>
          <w:lang w:eastAsia="lv-LV"/>
        </w:rPr>
      </w:pPr>
    </w:p>
    <w:p w14:paraId="7ADB3A48" w14:textId="2DD99D70"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16. Ieslodzījuma vietas darbinieki neizmanto pret ieslodzītajiem spēku, izņemot gadījumus, kad tas tiek darīts pašaizsardzības nolūkos, vai tad, ja notiek bēgšanas mēģinājums vai arī aktīva vai pasīva fiziska pretošanās likumīgam rīkojumam; spēka izmantošana vienmēr ir galējais līdzeklis.</w:t>
      </w:r>
    </w:p>
    <w:p w14:paraId="47F2FE9B"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4757C3EF" w14:textId="404591B1"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17. Ieslodzījuma vietu darbinieki veic pārmeklēšanu tikai tad, kad tas ir absolūti nepieciešams, un šajā procesā nepazemo ieslodzītos.</w:t>
      </w:r>
    </w:p>
    <w:p w14:paraId="34DD335A"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0D047155" w14:textId="501E48D7"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lastRenderedPageBreak/>
        <w:t>18. Ieslodzījuma vietu darbinieki speciālos līdzekļus izmanto tikai tā, kā paredzēts Eiropas cietumu noteikumu 68. pantā. Jo īpaši viņi šos līdzekļus nekad nepiemēro sievietēm dzemdību laikā un uzreiz pēc dzemdībām.</w:t>
      </w:r>
    </w:p>
    <w:p w14:paraId="38A84F81" w14:textId="77777777" w:rsidR="0002025D" w:rsidRPr="000F66E7" w:rsidRDefault="0002025D" w:rsidP="00630C73">
      <w:pPr>
        <w:shd w:val="clear" w:color="auto" w:fill="FFFFFF"/>
        <w:spacing w:after="0" w:line="240" w:lineRule="auto"/>
        <w:jc w:val="both"/>
        <w:rPr>
          <w:rFonts w:ascii="Times New Roman" w:eastAsia="Times New Roman" w:hAnsi="Times New Roman" w:cs="Arial"/>
          <w:b/>
          <w:bCs/>
          <w:i/>
          <w:iCs/>
          <w:noProof/>
          <w:sz w:val="24"/>
          <w:szCs w:val="20"/>
          <w:lang w:eastAsia="lv-LV"/>
        </w:rPr>
      </w:pPr>
    </w:p>
    <w:p w14:paraId="7E7C849F" w14:textId="2507D5F8" w:rsidR="00630C73" w:rsidRPr="00630C73" w:rsidRDefault="00630C73" w:rsidP="00630C73">
      <w:pPr>
        <w:shd w:val="clear" w:color="auto" w:fill="FFFFFF"/>
        <w:spacing w:after="0" w:line="240" w:lineRule="auto"/>
        <w:jc w:val="both"/>
        <w:rPr>
          <w:rFonts w:ascii="Times New Roman" w:eastAsia="Times New Roman" w:hAnsi="Times New Roman" w:cs="Arial"/>
          <w:b/>
          <w:bCs/>
          <w:i/>
          <w:iCs/>
          <w:noProof/>
          <w:sz w:val="24"/>
          <w:szCs w:val="20"/>
        </w:rPr>
      </w:pPr>
      <w:r>
        <w:rPr>
          <w:rFonts w:ascii="Times New Roman" w:hAnsi="Times New Roman"/>
          <w:b/>
          <w:bCs/>
          <w:i/>
          <w:iCs/>
          <w:sz w:val="24"/>
          <w:szCs w:val="20"/>
        </w:rPr>
        <w:t>D. Aprūpe un palīdzība</w:t>
      </w:r>
    </w:p>
    <w:p w14:paraId="6B36F2CB"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09F8B131" w14:textId="2BFEDB7C"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19. Ieslodzījuma vietu darbinieki ar iejūtību attiecas pret tādu personu kā, piemēram, nepilngadīgo, sieviešu, mazākumtautību pārstāvju, ārvalstu pilsoņu, vecāka gadagājuma cilvēku un ieslodzīto invalīdu, kā arī visu to ieslodzīto īpašajām vajadzībām, kuri varētu būt neaizsargāti citu iemeslu dēļ, un dara visu iespējamo, lai apmierinātu viņu vajadzības.</w:t>
      </w:r>
    </w:p>
    <w:p w14:paraId="381A4370"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24B247CB" w14:textId="360D5247"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20. Ieslodzījuma vietu darbinieki nodrošina pilnīgu apcietinājumā esošo personu veselības aizsardzību un jo īpaši nekavējoties sniedz medicīnisko palīdzību, kad vien tas ir nepieciešams.</w:t>
      </w:r>
    </w:p>
    <w:p w14:paraId="45D03B31"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667909EA" w14:textId="6299EAC4"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21. Ieslodzījuma vietu darbinieki gādā par personu drošību, higiēnu un atbilstošu uzturu laikā, kad šīs personas atrodas apcietinājumā. Viņi dara visu iespējamo, lai apstākļi ieslodzījuma vietā atbilstu attiecīgo starptautisko standartu, jo īpaši Eiropas cietumu noteikumu, prasībām.</w:t>
      </w:r>
    </w:p>
    <w:p w14:paraId="02ABDB4C"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4C7E47AC" w14:textId="607BA668"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22. Ieslodzījuma vietu personāls cenšas veicināt ieslodzīto sociālo reintegrāciju, izmantojot konstruktīvu darbību, individuālas mijiedarbības un palīdzības programmu.</w:t>
      </w:r>
    </w:p>
    <w:p w14:paraId="63379E6B" w14:textId="77777777" w:rsidR="0002025D" w:rsidRPr="000F66E7" w:rsidRDefault="0002025D" w:rsidP="00630C73">
      <w:pPr>
        <w:shd w:val="clear" w:color="auto" w:fill="FFFFFF"/>
        <w:spacing w:after="0" w:line="240" w:lineRule="auto"/>
        <w:jc w:val="both"/>
        <w:rPr>
          <w:rFonts w:ascii="Times New Roman" w:eastAsia="Times New Roman" w:hAnsi="Times New Roman" w:cs="Arial"/>
          <w:b/>
          <w:bCs/>
          <w:i/>
          <w:iCs/>
          <w:noProof/>
          <w:sz w:val="24"/>
          <w:szCs w:val="20"/>
          <w:lang w:eastAsia="lv-LV"/>
        </w:rPr>
      </w:pPr>
    </w:p>
    <w:p w14:paraId="23908061" w14:textId="16089B39" w:rsidR="00630C73" w:rsidRPr="00630C73" w:rsidRDefault="00630C73" w:rsidP="00630C73">
      <w:pPr>
        <w:shd w:val="clear" w:color="auto" w:fill="FFFFFF"/>
        <w:spacing w:after="0" w:line="240" w:lineRule="auto"/>
        <w:jc w:val="both"/>
        <w:rPr>
          <w:rFonts w:ascii="Times New Roman" w:eastAsia="Times New Roman" w:hAnsi="Times New Roman" w:cs="Arial"/>
          <w:b/>
          <w:bCs/>
          <w:i/>
          <w:iCs/>
          <w:noProof/>
          <w:sz w:val="24"/>
          <w:szCs w:val="20"/>
        </w:rPr>
      </w:pPr>
      <w:r>
        <w:rPr>
          <w:rFonts w:ascii="Times New Roman" w:hAnsi="Times New Roman"/>
          <w:b/>
          <w:bCs/>
          <w:i/>
          <w:iCs/>
          <w:sz w:val="24"/>
          <w:szCs w:val="20"/>
        </w:rPr>
        <w:t>E. Taisnīgums, objektivitāte un nediskriminēšana</w:t>
      </w:r>
    </w:p>
    <w:p w14:paraId="1774B4EE" w14:textId="77777777" w:rsidR="0002025D" w:rsidRPr="000F66E7" w:rsidRDefault="0002025D"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7999DC7B" w14:textId="67C54F01"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23. Ieslodzījuma vietu darbinieki ievēro plurālismu un daudzveidību un nediskriminē nevienu ieslodzīto, pamatojoties uz viņa dzimumu, vecumu, rasi, ādas krāsu, valodu, reliģiju, politiskajiem vai citiem uzskatiem, nacionālo vai sociālo izcelsmi, saistību ar mazākumtautību, īpašumtiesībām, dzimšanas vai citu statusu vai tā nodarījuma veidu, kuru šis ieslodzītais ir vai var būt izdarījis. Ieslodzījuma vietu darbinieki pievērš īpašu uzmanību 29. noteikuma prasībām Eiropas cietumu noteikumos.</w:t>
      </w:r>
    </w:p>
    <w:p w14:paraId="54A30642"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1EAC5352" w14:textId="519ED01F"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24. Ieslodzījuma vietu darbinieki pilnībā ņem vērā vajadzību apstrīdēt un apkarot rasismu un ksenofobiju, kā arī veicināt dzimumam piemērotu attieksmi un novērst jebkāda veida seksuālu uzmākšanos gan citiem darbiniekiem, gan ieslodzītajiem.</w:t>
      </w:r>
    </w:p>
    <w:p w14:paraId="1DF2CB31"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54053559" w14:textId="0D33F962"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25. Ieslodzījuma vietu darbinieki savus pienākumus veic godīgi, objektīvi un konsekventi.</w:t>
      </w:r>
    </w:p>
    <w:p w14:paraId="26A3D362"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66DC78E3" w14:textId="0669DF2F"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26. Ieslodzījuma vietu darbinieki ievēro to ieslodzīto nevainīguma prezumpciju, kurus tiesa nav atzinusi par vainīgiem vai notiesājusi.</w:t>
      </w:r>
    </w:p>
    <w:p w14:paraId="40F60F8F"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33168956" w14:textId="03D6F684"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27. Ieslodzījuma vietu darbinieki piemēro objektīvas un taisnīgas disciplinārās procedūras saskaņā ar Eiropas cietumu noteikumiem.</w:t>
      </w:r>
      <w:r w:rsidR="005002EA" w:rsidRPr="00A72D03">
        <w:rPr>
          <w:rStyle w:val="FootnoteReference"/>
          <w:rFonts w:ascii="Times New Roman" w:eastAsia="Times New Roman" w:hAnsi="Times New Roman" w:cs="Helvetica"/>
          <w:noProof/>
          <w:sz w:val="24"/>
          <w:szCs w:val="20"/>
          <w:vertAlign w:val="superscript"/>
          <w:lang w:val="en-US" w:eastAsia="lv-LV"/>
        </w:rPr>
        <w:footnoteReference w:id="2"/>
      </w:r>
      <w:r>
        <w:rPr>
          <w:rFonts w:ascii="Times New Roman" w:hAnsi="Times New Roman"/>
          <w:sz w:val="24"/>
          <w:szCs w:val="20"/>
        </w:rPr>
        <w:t xml:space="preserve"> Turklāt tas ievēro principu, ka ieslodzītos, kas apsūdzēti disciplinārpārkāpumā, uzskata par nevainīgiem, līdz viņu vaina nav pierādīta.</w:t>
      </w:r>
    </w:p>
    <w:p w14:paraId="68902780" w14:textId="77777777" w:rsidR="00604C1A" w:rsidRPr="000F66E7" w:rsidRDefault="00604C1A" w:rsidP="00630C73">
      <w:pPr>
        <w:shd w:val="clear" w:color="auto" w:fill="FFFFFF"/>
        <w:spacing w:after="0" w:line="240" w:lineRule="auto"/>
        <w:jc w:val="both"/>
        <w:rPr>
          <w:rFonts w:ascii="Times New Roman" w:eastAsia="Times New Roman" w:hAnsi="Times New Roman" w:cs="Arial"/>
          <w:b/>
          <w:bCs/>
          <w:i/>
          <w:iCs/>
          <w:noProof/>
          <w:sz w:val="24"/>
          <w:szCs w:val="20"/>
          <w:lang w:eastAsia="lv-LV"/>
        </w:rPr>
      </w:pPr>
    </w:p>
    <w:p w14:paraId="029F7F2A" w14:textId="3ABFBBB0" w:rsidR="00630C73" w:rsidRPr="00630C73" w:rsidRDefault="00630C73" w:rsidP="00630C73">
      <w:pPr>
        <w:shd w:val="clear" w:color="auto" w:fill="FFFFFF"/>
        <w:spacing w:after="0" w:line="240" w:lineRule="auto"/>
        <w:jc w:val="both"/>
        <w:rPr>
          <w:rFonts w:ascii="Times New Roman" w:eastAsia="Times New Roman" w:hAnsi="Times New Roman" w:cs="Arial"/>
          <w:b/>
          <w:bCs/>
          <w:i/>
          <w:iCs/>
          <w:noProof/>
          <w:sz w:val="24"/>
          <w:szCs w:val="20"/>
        </w:rPr>
      </w:pPr>
      <w:r>
        <w:rPr>
          <w:rFonts w:ascii="Times New Roman" w:hAnsi="Times New Roman"/>
          <w:b/>
          <w:bCs/>
          <w:i/>
          <w:iCs/>
          <w:sz w:val="24"/>
          <w:szCs w:val="20"/>
        </w:rPr>
        <w:t>F. Sadarbība</w:t>
      </w:r>
    </w:p>
    <w:p w14:paraId="59EB73FA"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3BDE1658" w14:textId="7D484E29"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28. Ieslodzījuma vietu darbinieki nodrošina, ka ieslodzītie visā ieslodzījuma laikā var izmantot savas tiesības uz regulāru un pietiekamu piekļuvi saviem advokātiem un ģimenēm.</w:t>
      </w:r>
    </w:p>
    <w:p w14:paraId="321F5CE4"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520C0EA1" w14:textId="1B8B4F07"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lastRenderedPageBreak/>
        <w:t xml:space="preserve">29. Ieslodzījuma vietu darbinieki atvieglo sadarbību ar tām valsts vai nevalstiskajām organizācijām un </w:t>
      </w:r>
      <w:r w:rsidR="00875C1B">
        <w:rPr>
          <w:rFonts w:ascii="Times New Roman" w:hAnsi="Times New Roman"/>
          <w:sz w:val="24"/>
          <w:szCs w:val="20"/>
        </w:rPr>
        <w:t>sabiedrības</w:t>
      </w:r>
      <w:r>
        <w:rPr>
          <w:rFonts w:ascii="Times New Roman" w:hAnsi="Times New Roman"/>
          <w:sz w:val="24"/>
          <w:szCs w:val="20"/>
        </w:rPr>
        <w:t xml:space="preserve"> grupām, kas strādā ar mērķi nodrošināt ieslodzīto labklājību.</w:t>
      </w:r>
    </w:p>
    <w:p w14:paraId="1A0AF10E"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339A0D1B" w14:textId="783B67D3"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30. Ieslodzījuma vietu darbinieki veicina sadarbības, atbalsta, savstarpējas uzticēšanās un sapratnes garu kolēģu vidū.</w:t>
      </w:r>
    </w:p>
    <w:p w14:paraId="7B200F03"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b/>
          <w:bCs/>
          <w:noProof/>
          <w:sz w:val="24"/>
          <w:szCs w:val="20"/>
          <w:lang w:eastAsia="lv-LV"/>
        </w:rPr>
      </w:pPr>
    </w:p>
    <w:p w14:paraId="37F59DC0" w14:textId="30CE730A" w:rsidR="00630C73" w:rsidRPr="00630C73" w:rsidRDefault="00630C73" w:rsidP="00630C73">
      <w:pPr>
        <w:shd w:val="clear" w:color="auto" w:fill="FFFFFF"/>
        <w:spacing w:after="0" w:line="240" w:lineRule="auto"/>
        <w:jc w:val="both"/>
        <w:rPr>
          <w:rFonts w:ascii="Times New Roman" w:eastAsia="Times New Roman" w:hAnsi="Times New Roman" w:cs="Helvetica"/>
          <w:b/>
          <w:bCs/>
          <w:i/>
          <w:iCs/>
          <w:noProof/>
          <w:sz w:val="24"/>
          <w:szCs w:val="20"/>
        </w:rPr>
      </w:pPr>
      <w:r>
        <w:rPr>
          <w:rFonts w:ascii="Times New Roman" w:hAnsi="Times New Roman"/>
          <w:b/>
          <w:bCs/>
          <w:sz w:val="24"/>
          <w:szCs w:val="20"/>
        </w:rPr>
        <w:t xml:space="preserve">G. </w:t>
      </w:r>
      <w:r>
        <w:rPr>
          <w:rFonts w:ascii="Times New Roman" w:hAnsi="Times New Roman"/>
          <w:b/>
          <w:bCs/>
          <w:i/>
          <w:iCs/>
          <w:sz w:val="24"/>
          <w:szCs w:val="20"/>
        </w:rPr>
        <w:t>Konfidencialitāte un datu aizsardzība</w:t>
      </w:r>
    </w:p>
    <w:p w14:paraId="7338006D"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64B19987" w14:textId="17ECD1C4"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31. Tiek saglabāta ieslodzījuma vietu darbinieku rīcībā esošās konfidenciālās informācijas konfidencialitāte, ja vien pienākuma izpildes vai taisnīguma vajadzību dēļ nav absolūti nepieciešama citāda rīcība.</w:t>
      </w:r>
    </w:p>
    <w:p w14:paraId="1C21E566"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0C5BB486" w14:textId="46754697"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32. Īpaša uzmanība jāpievērš pienākumam ievērot medicīniskās konfidencialitātes principus.</w:t>
      </w:r>
    </w:p>
    <w:p w14:paraId="17F37772"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35294269" w14:textId="5B6A4C06"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33. Personas datu vākšana, glabāšana un izmantošana ieslodzījuma vietu darbiniekiem jāveic saskaņā ar datu aizsardzības principiem un jo īpaši tikai tiktāl, ciktāl tas nepieciešams likumīgu, leģitīmu un konkrētu mērķu sasniegšanai.</w:t>
      </w:r>
    </w:p>
    <w:p w14:paraId="383DE1C8"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b/>
          <w:bCs/>
          <w:noProof/>
          <w:sz w:val="24"/>
          <w:szCs w:val="20"/>
          <w:lang w:eastAsia="lv-LV"/>
        </w:rPr>
      </w:pPr>
    </w:p>
    <w:p w14:paraId="0AE585CC" w14:textId="723A0E27" w:rsidR="00630C73" w:rsidRPr="00630C73" w:rsidRDefault="00630C73" w:rsidP="00630C73">
      <w:pPr>
        <w:shd w:val="clear" w:color="auto" w:fill="FFFFFF"/>
        <w:spacing w:after="0" w:line="240" w:lineRule="auto"/>
        <w:jc w:val="both"/>
        <w:rPr>
          <w:rFonts w:ascii="Times New Roman" w:eastAsia="Times New Roman" w:hAnsi="Times New Roman" w:cs="Helvetica"/>
          <w:b/>
          <w:bCs/>
          <w:noProof/>
          <w:sz w:val="24"/>
          <w:szCs w:val="20"/>
        </w:rPr>
      </w:pPr>
      <w:r>
        <w:rPr>
          <w:rFonts w:ascii="Times New Roman" w:hAnsi="Times New Roman"/>
          <w:b/>
          <w:bCs/>
          <w:sz w:val="24"/>
          <w:szCs w:val="20"/>
        </w:rPr>
        <w:t>V. Vispārējie noteikumi</w:t>
      </w:r>
    </w:p>
    <w:p w14:paraId="0D1F3AB5"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224A99CF" w14:textId="390B99FC"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34. Ieslodzījuma vietu darbinieki ievēro šo kodeksu. Turklāt viņi pēc iespējas novērš jebkādus šā kodeksa pārkāpumus un stingri iestājas pret tiem.</w:t>
      </w:r>
    </w:p>
    <w:p w14:paraId="02EB1D79" w14:textId="77777777"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22FB649B" w14:textId="021BE349" w:rsidR="00630C73" w:rsidRPr="00630C73" w:rsidRDefault="00630C73" w:rsidP="00630C73">
      <w:pPr>
        <w:shd w:val="clear" w:color="auto" w:fill="FFFFFF"/>
        <w:spacing w:after="0" w:line="240" w:lineRule="auto"/>
        <w:jc w:val="both"/>
        <w:rPr>
          <w:rFonts w:ascii="Times New Roman" w:eastAsia="Times New Roman" w:hAnsi="Times New Roman" w:cs="Helvetica"/>
          <w:noProof/>
          <w:sz w:val="24"/>
          <w:szCs w:val="20"/>
        </w:rPr>
      </w:pPr>
      <w:r>
        <w:rPr>
          <w:rFonts w:ascii="Times New Roman" w:hAnsi="Times New Roman"/>
          <w:sz w:val="24"/>
          <w:szCs w:val="20"/>
        </w:rPr>
        <w:t>35. Ja ieslodzījuma vietu darbiniekiem ir pamats uzskatīt, ka ir noticis vai notiks šā kodeksa pārkāpums, viņi par šo jautājumu ziņo augstākstāvošajām amatpersonām un nepieciešamības gadījumā citām kompetentajām iestādēm.</w:t>
      </w:r>
    </w:p>
    <w:p w14:paraId="7F9EDA22" w14:textId="10D6560C" w:rsidR="00630C73" w:rsidRPr="000F66E7" w:rsidRDefault="00630C73" w:rsidP="00630C73">
      <w:pPr>
        <w:shd w:val="clear" w:color="auto" w:fill="FFFFFF"/>
        <w:spacing w:after="0" w:line="240" w:lineRule="auto"/>
        <w:jc w:val="both"/>
        <w:rPr>
          <w:rFonts w:ascii="Times New Roman" w:eastAsia="Times New Roman" w:hAnsi="Times New Roman" w:cs="Helvetica"/>
          <w:noProof/>
          <w:sz w:val="24"/>
          <w:szCs w:val="20"/>
          <w:lang w:eastAsia="lv-LV"/>
        </w:rPr>
      </w:pPr>
    </w:p>
    <w:p w14:paraId="09AFBF7C" w14:textId="36519B95" w:rsidR="00604C1A" w:rsidRPr="000F66E7" w:rsidRDefault="00604C1A" w:rsidP="00630C73">
      <w:pPr>
        <w:shd w:val="clear" w:color="auto" w:fill="FFFFFF"/>
        <w:spacing w:after="0" w:line="240" w:lineRule="auto"/>
        <w:jc w:val="both"/>
        <w:rPr>
          <w:rFonts w:ascii="Times New Roman" w:eastAsia="Times New Roman" w:hAnsi="Times New Roman" w:cs="Helvetica"/>
          <w:noProof/>
          <w:sz w:val="24"/>
          <w:szCs w:val="20"/>
          <w:lang w:eastAsia="lv-LV"/>
        </w:rPr>
      </w:pPr>
    </w:p>
    <w:sectPr w:rsidR="00604C1A" w:rsidRPr="000F66E7" w:rsidSect="00630C73">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AD72" w14:textId="77777777" w:rsidR="00B45FD0" w:rsidRPr="00630C73" w:rsidRDefault="00B45FD0" w:rsidP="001E1028">
      <w:pPr>
        <w:spacing w:after="0" w:line="240" w:lineRule="auto"/>
        <w:rPr>
          <w:noProof/>
          <w:lang w:val="en-US"/>
        </w:rPr>
      </w:pPr>
      <w:r w:rsidRPr="00630C73">
        <w:rPr>
          <w:noProof/>
          <w:lang w:val="en-US"/>
        </w:rPr>
        <w:separator/>
      </w:r>
    </w:p>
  </w:endnote>
  <w:endnote w:type="continuationSeparator" w:id="0">
    <w:p w14:paraId="7F650276" w14:textId="77777777" w:rsidR="00B45FD0" w:rsidRPr="00630C73" w:rsidRDefault="00B45FD0" w:rsidP="001E1028">
      <w:pPr>
        <w:spacing w:after="0" w:line="240" w:lineRule="auto"/>
        <w:rPr>
          <w:noProof/>
          <w:lang w:val="en-US"/>
        </w:rPr>
      </w:pPr>
      <w:r w:rsidRPr="00630C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643F" w14:textId="77777777" w:rsidR="003E47FA" w:rsidRPr="003E47FA" w:rsidRDefault="003E47FA" w:rsidP="003E47FA">
    <w:pPr>
      <w:pStyle w:val="Header"/>
      <w:tabs>
        <w:tab w:val="left" w:pos="9072"/>
      </w:tabs>
      <w:jc w:val="both"/>
      <w:rPr>
        <w:rStyle w:val="PageNumber"/>
        <w:rFonts w:ascii="Times New Roman" w:hAnsi="Times New Roman" w:cs="Times New Roman"/>
        <w:sz w:val="20"/>
        <w:szCs w:val="20"/>
      </w:rPr>
    </w:pPr>
  </w:p>
  <w:p w14:paraId="67F59E59" w14:textId="77777777" w:rsidR="003E47FA" w:rsidRPr="003E47FA" w:rsidRDefault="003E47FA" w:rsidP="003E47FA">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54C8B7E3" w14:textId="77777777" w:rsidR="003E47FA" w:rsidRPr="003E47FA" w:rsidRDefault="003E47FA" w:rsidP="003E47FA">
    <w:pPr>
      <w:pStyle w:val="Header"/>
      <w:tabs>
        <w:tab w:val="right" w:pos="9072"/>
      </w:tabs>
      <w:jc w:val="both"/>
      <w:rPr>
        <w:rStyle w:val="PageNumber"/>
        <w:rFonts w:ascii="Times New Roman" w:hAnsi="Times New Roman" w:cs="Times New Roman"/>
        <w:sz w:val="20"/>
        <w:szCs w:val="20"/>
      </w:rPr>
    </w:pPr>
  </w:p>
  <w:p w14:paraId="33436D76" w14:textId="77777777" w:rsidR="003E47FA" w:rsidRPr="003E47FA" w:rsidRDefault="003E47FA" w:rsidP="003E47FA">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sidRPr="003E47FA">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ECC" w14:textId="77777777" w:rsidR="003F25D0" w:rsidRPr="003F25D0" w:rsidRDefault="003F25D0" w:rsidP="003F25D0">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2DAC0B95" w14:textId="77777777" w:rsidR="003F25D0" w:rsidRPr="003F25D0" w:rsidRDefault="003F25D0" w:rsidP="003F25D0">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3C4513F1" w14:textId="77777777" w:rsidR="003F25D0" w:rsidRPr="003F25D0" w:rsidRDefault="003F25D0" w:rsidP="003F25D0">
    <w:pPr>
      <w:pStyle w:val="Header"/>
      <w:tabs>
        <w:tab w:val="left" w:pos="9072"/>
      </w:tabs>
      <w:jc w:val="both"/>
      <w:rPr>
        <w:rStyle w:val="PageNumber"/>
        <w:rFonts w:ascii="Times New Roman" w:hAnsi="Times New Roman"/>
        <w:sz w:val="20"/>
        <w:szCs w:val="18"/>
      </w:rPr>
    </w:pPr>
  </w:p>
  <w:p w14:paraId="411AE2F6" w14:textId="77777777" w:rsidR="003F25D0" w:rsidRPr="003F25D0" w:rsidRDefault="003F25D0" w:rsidP="003F25D0">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ED8E" w14:textId="77777777" w:rsidR="00B45FD0" w:rsidRPr="00630C73" w:rsidRDefault="00B45FD0" w:rsidP="001E1028">
      <w:pPr>
        <w:spacing w:after="0" w:line="240" w:lineRule="auto"/>
        <w:rPr>
          <w:noProof/>
          <w:lang w:val="en-US"/>
        </w:rPr>
      </w:pPr>
      <w:r w:rsidRPr="00630C73">
        <w:rPr>
          <w:noProof/>
          <w:lang w:val="en-US"/>
        </w:rPr>
        <w:separator/>
      </w:r>
    </w:p>
  </w:footnote>
  <w:footnote w:type="continuationSeparator" w:id="0">
    <w:p w14:paraId="386D9AF5" w14:textId="77777777" w:rsidR="00B45FD0" w:rsidRPr="00630C73" w:rsidRDefault="00B45FD0" w:rsidP="001E1028">
      <w:pPr>
        <w:spacing w:after="0" w:line="240" w:lineRule="auto"/>
        <w:rPr>
          <w:noProof/>
          <w:lang w:val="en-US"/>
        </w:rPr>
      </w:pPr>
      <w:r w:rsidRPr="00630C73">
        <w:rPr>
          <w:noProof/>
          <w:lang w:val="en-US"/>
        </w:rPr>
        <w:continuationSeparator/>
      </w:r>
    </w:p>
  </w:footnote>
  <w:footnote w:id="1">
    <w:p w14:paraId="4104DC25" w14:textId="09E3CA0C" w:rsidR="00BF5D85" w:rsidRPr="000019F6" w:rsidRDefault="00BF5D85" w:rsidP="00BF5D85">
      <w:pPr>
        <w:shd w:val="clear" w:color="auto" w:fill="FFFFFF"/>
        <w:spacing w:after="0" w:line="240" w:lineRule="auto"/>
        <w:jc w:val="both"/>
        <w:rPr>
          <w:rFonts w:ascii="Times New Roman" w:eastAsia="Times New Roman" w:hAnsi="Times New Roman" w:cs="Times New Roman"/>
          <w:noProof/>
          <w:sz w:val="20"/>
          <w:szCs w:val="20"/>
        </w:rPr>
      </w:pPr>
      <w:r w:rsidRPr="00A72D03">
        <w:rPr>
          <w:rStyle w:val="FootnoteReference"/>
          <w:rFonts w:ascii="Times New Roman" w:hAnsi="Times New Roman" w:cs="Times New Roman"/>
          <w:sz w:val="20"/>
          <w:szCs w:val="20"/>
          <w:vertAlign w:val="superscript"/>
        </w:rPr>
        <w:footnoteRef/>
      </w:r>
      <w:r w:rsidRPr="00A72D03">
        <w:rPr>
          <w:rFonts w:ascii="Times New Roman" w:hAnsi="Times New Roman" w:cs="Times New Roman"/>
          <w:sz w:val="20"/>
          <w:szCs w:val="20"/>
          <w:vertAlign w:val="superscript"/>
        </w:rPr>
        <w:t xml:space="preserve"> </w:t>
      </w:r>
      <w:r w:rsidRPr="000019F6">
        <w:rPr>
          <w:rFonts w:ascii="Times New Roman" w:hAnsi="Times New Roman" w:cs="Times New Roman"/>
          <w:sz w:val="20"/>
          <w:szCs w:val="20"/>
        </w:rPr>
        <w:t>Ministru komitejas Ieteikums Rec(2006)2 dalībvalstīm par Eiropas cietumu noteikumiem (ko Ministru komiteja pieņēmusi 2006. gada 11. janvārī ministru vietnieku 952. sanāksmē).</w:t>
      </w:r>
    </w:p>
  </w:footnote>
  <w:footnote w:id="2">
    <w:p w14:paraId="68BBC57F" w14:textId="00C858EF" w:rsidR="005002EA" w:rsidRPr="000019F6" w:rsidRDefault="005002EA" w:rsidP="005002EA">
      <w:pPr>
        <w:shd w:val="clear" w:color="auto" w:fill="FFFFFF"/>
        <w:spacing w:after="0" w:line="240" w:lineRule="auto"/>
        <w:jc w:val="both"/>
        <w:rPr>
          <w:rFonts w:ascii="Times New Roman" w:eastAsia="Times New Roman" w:hAnsi="Times New Roman" w:cs="Times New Roman"/>
          <w:noProof/>
          <w:sz w:val="20"/>
          <w:szCs w:val="20"/>
        </w:rPr>
      </w:pPr>
      <w:r w:rsidRPr="00A72D03">
        <w:rPr>
          <w:rStyle w:val="FootnoteReference"/>
          <w:rFonts w:ascii="Times New Roman" w:hAnsi="Times New Roman" w:cs="Times New Roman"/>
          <w:sz w:val="20"/>
          <w:szCs w:val="20"/>
          <w:vertAlign w:val="superscript"/>
        </w:rPr>
        <w:footnoteRef/>
      </w:r>
      <w:r w:rsidRPr="00A72D03">
        <w:rPr>
          <w:rFonts w:ascii="Times New Roman" w:hAnsi="Times New Roman" w:cs="Times New Roman"/>
          <w:sz w:val="20"/>
          <w:szCs w:val="20"/>
          <w:vertAlign w:val="superscript"/>
        </w:rPr>
        <w:t xml:space="preserve"> </w:t>
      </w:r>
      <w:r w:rsidRPr="000019F6">
        <w:rPr>
          <w:rFonts w:ascii="Times New Roman" w:hAnsi="Times New Roman" w:cs="Times New Roman"/>
          <w:sz w:val="20"/>
          <w:szCs w:val="20"/>
        </w:rPr>
        <w:t>56.–63. noteikums.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2429" w14:textId="77777777" w:rsidR="0075517C" w:rsidRPr="0075517C" w:rsidRDefault="0075517C" w:rsidP="0075517C">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0242131" w14:textId="77777777" w:rsidR="0075517C" w:rsidRPr="0075517C" w:rsidRDefault="0075517C" w:rsidP="0075517C">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651A4F02" w14:textId="77777777" w:rsidR="0075517C" w:rsidRPr="0075517C" w:rsidRDefault="0075517C" w:rsidP="0075517C">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1091" w14:textId="77777777" w:rsidR="000F66E7" w:rsidRPr="000F66E7" w:rsidRDefault="000F66E7" w:rsidP="000F66E7">
    <w:pPr>
      <w:pBdr>
        <w:bottom w:val="single" w:sz="12" w:space="5" w:color="auto"/>
      </w:pBdr>
      <w:spacing w:after="0" w:line="240" w:lineRule="auto"/>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4A291B2" w14:textId="77777777" w:rsidR="000F66E7" w:rsidRPr="000F66E7" w:rsidRDefault="000F66E7" w:rsidP="000F66E7">
    <w:pPr>
      <w:pStyle w:val="Head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23"/>
    <w:rsid w:val="000019F6"/>
    <w:rsid w:val="0002025D"/>
    <w:rsid w:val="000F66E7"/>
    <w:rsid w:val="00125DA5"/>
    <w:rsid w:val="001E1028"/>
    <w:rsid w:val="003B477F"/>
    <w:rsid w:val="003E1851"/>
    <w:rsid w:val="003E47FA"/>
    <w:rsid w:val="003F25D0"/>
    <w:rsid w:val="00433AA1"/>
    <w:rsid w:val="00491912"/>
    <w:rsid w:val="004D4C2C"/>
    <w:rsid w:val="005002EA"/>
    <w:rsid w:val="00604C1A"/>
    <w:rsid w:val="00630C73"/>
    <w:rsid w:val="00722F23"/>
    <w:rsid w:val="0075517C"/>
    <w:rsid w:val="00875C1B"/>
    <w:rsid w:val="00A72D03"/>
    <w:rsid w:val="00B45FD0"/>
    <w:rsid w:val="00BF5D85"/>
    <w:rsid w:val="00DD5845"/>
    <w:rsid w:val="00DF6274"/>
    <w:rsid w:val="00F25A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80D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3E1851"/>
    <w:pPr>
      <w:spacing w:before="100" w:beforeAutospacing="1" w:after="100" w:afterAutospacing="1"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E1851"/>
    <w:rPr>
      <w:rFonts w:ascii="Times New Roman" w:eastAsia="Times New Roman" w:hAnsi="Times New Roman" w:cs="Times New Roman"/>
      <w:b/>
      <w:bCs/>
      <w:sz w:val="15"/>
      <w:szCs w:val="15"/>
      <w:lang w:eastAsia="lv-LV"/>
    </w:rPr>
  </w:style>
  <w:style w:type="character" w:styleId="Strong">
    <w:name w:val="Strong"/>
    <w:basedOn w:val="DefaultParagraphFont"/>
    <w:uiPriority w:val="22"/>
    <w:qFormat/>
    <w:rsid w:val="003E1851"/>
    <w:rPr>
      <w:b/>
      <w:bCs/>
    </w:rPr>
  </w:style>
  <w:style w:type="character" w:styleId="Hyperlink">
    <w:name w:val="Hyperlink"/>
    <w:basedOn w:val="DefaultParagraphFont"/>
    <w:uiPriority w:val="99"/>
    <w:semiHidden/>
    <w:unhideWhenUsed/>
    <w:rsid w:val="003E1851"/>
    <w:rPr>
      <w:color w:val="0000FF"/>
      <w:u w:val="single"/>
    </w:rPr>
  </w:style>
  <w:style w:type="character" w:styleId="Emphasis">
    <w:name w:val="Emphasis"/>
    <w:basedOn w:val="DefaultParagraphFont"/>
    <w:uiPriority w:val="20"/>
    <w:qFormat/>
    <w:rsid w:val="003E1851"/>
    <w:rPr>
      <w:i/>
      <w:iCs/>
    </w:rPr>
  </w:style>
  <w:style w:type="character" w:styleId="FootnoteReference">
    <w:name w:val="footnote reference"/>
    <w:basedOn w:val="DefaultParagraphFont"/>
    <w:uiPriority w:val="99"/>
    <w:semiHidden/>
    <w:unhideWhenUsed/>
    <w:rsid w:val="003E1851"/>
  </w:style>
  <w:style w:type="paragraph" w:styleId="ListParagraph">
    <w:name w:val="List Paragraph"/>
    <w:basedOn w:val="Normal"/>
    <w:uiPriority w:val="34"/>
    <w:qFormat/>
    <w:rsid w:val="003E18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3E18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otnoteTextChar">
    <w:name w:val="Footnote Text Char"/>
    <w:basedOn w:val="DefaultParagraphFont"/>
    <w:link w:val="FootnoteText"/>
    <w:uiPriority w:val="99"/>
    <w:semiHidden/>
    <w:rsid w:val="003E1851"/>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1E1028"/>
    <w:pPr>
      <w:tabs>
        <w:tab w:val="center" w:pos="4513"/>
        <w:tab w:val="right" w:pos="9026"/>
      </w:tabs>
      <w:spacing w:after="0" w:line="240" w:lineRule="auto"/>
    </w:pPr>
  </w:style>
  <w:style w:type="character" w:customStyle="1" w:styleId="HeaderChar">
    <w:name w:val="Header Char"/>
    <w:basedOn w:val="DefaultParagraphFont"/>
    <w:link w:val="Header"/>
    <w:rsid w:val="001E1028"/>
  </w:style>
  <w:style w:type="paragraph" w:styleId="Footer">
    <w:name w:val="footer"/>
    <w:basedOn w:val="Normal"/>
    <w:link w:val="FooterChar"/>
    <w:unhideWhenUsed/>
    <w:rsid w:val="001E1028"/>
    <w:pPr>
      <w:tabs>
        <w:tab w:val="center" w:pos="4513"/>
        <w:tab w:val="right" w:pos="9026"/>
      </w:tabs>
      <w:spacing w:after="0" w:line="240" w:lineRule="auto"/>
    </w:pPr>
  </w:style>
  <w:style w:type="character" w:customStyle="1" w:styleId="FooterChar">
    <w:name w:val="Footer Char"/>
    <w:basedOn w:val="DefaultParagraphFont"/>
    <w:link w:val="Footer"/>
    <w:rsid w:val="001E1028"/>
  </w:style>
  <w:style w:type="character" w:styleId="PageNumber">
    <w:name w:val="page number"/>
    <w:basedOn w:val="DefaultParagraphFont"/>
    <w:semiHidden/>
    <w:rsid w:val="003F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53161">
      <w:bodyDiv w:val="1"/>
      <w:marLeft w:val="0"/>
      <w:marRight w:val="0"/>
      <w:marTop w:val="0"/>
      <w:marBottom w:val="0"/>
      <w:divBdr>
        <w:top w:val="none" w:sz="0" w:space="0" w:color="auto"/>
        <w:left w:val="none" w:sz="0" w:space="0" w:color="auto"/>
        <w:bottom w:val="none" w:sz="0" w:space="0" w:color="auto"/>
        <w:right w:val="none" w:sz="0" w:space="0" w:color="auto"/>
      </w:divBdr>
      <w:divsChild>
        <w:div w:id="1867792463">
          <w:marLeft w:val="0"/>
          <w:marRight w:val="0"/>
          <w:marTop w:val="0"/>
          <w:marBottom w:val="0"/>
          <w:divBdr>
            <w:top w:val="none" w:sz="0" w:space="0" w:color="auto"/>
            <w:left w:val="none" w:sz="0" w:space="0" w:color="auto"/>
            <w:bottom w:val="none" w:sz="0" w:space="0" w:color="auto"/>
            <w:right w:val="none" w:sz="0" w:space="0" w:color="auto"/>
          </w:divBdr>
        </w:div>
        <w:div w:id="1334795637">
          <w:marLeft w:val="0"/>
          <w:marRight w:val="0"/>
          <w:marTop w:val="0"/>
          <w:marBottom w:val="0"/>
          <w:divBdr>
            <w:top w:val="none" w:sz="0" w:space="0" w:color="auto"/>
            <w:left w:val="none" w:sz="0" w:space="0" w:color="auto"/>
            <w:bottom w:val="none" w:sz="0" w:space="0" w:color="auto"/>
            <w:right w:val="none" w:sz="0" w:space="0" w:color="auto"/>
          </w:divBdr>
          <w:divsChild>
            <w:div w:id="785848171">
              <w:marLeft w:val="0"/>
              <w:marRight w:val="0"/>
              <w:marTop w:val="0"/>
              <w:marBottom w:val="0"/>
              <w:divBdr>
                <w:top w:val="none" w:sz="0" w:space="0" w:color="auto"/>
                <w:left w:val="none" w:sz="0" w:space="0" w:color="auto"/>
                <w:bottom w:val="none" w:sz="0" w:space="0" w:color="auto"/>
                <w:right w:val="none" w:sz="0" w:space="0" w:color="auto"/>
              </w:divBdr>
            </w:div>
            <w:div w:id="17031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FAB83-552C-47ED-BF40-50921604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93847-B963-4223-B587-D73AC847886E}">
  <ds:schemaRefs>
    <ds:schemaRef ds:uri="http://schemas.openxmlformats.org/officeDocument/2006/bibliography"/>
  </ds:schemaRefs>
</ds:datastoreItem>
</file>

<file path=customXml/itemProps3.xml><?xml version="1.0" encoding="utf-8"?>
<ds:datastoreItem xmlns:ds="http://schemas.openxmlformats.org/officeDocument/2006/customXml" ds:itemID="{F1D6F4D0-6331-4267-A0DE-261F9AA8B275}">
  <ds:schemaRefs>
    <ds:schemaRef ds:uri="http://schemas.microsoft.com/sharepoint/v3/contenttype/forms"/>
  </ds:schemaRefs>
</ds:datastoreItem>
</file>

<file path=customXml/itemProps4.xml><?xml version="1.0" encoding="utf-8"?>
<ds:datastoreItem xmlns:ds="http://schemas.openxmlformats.org/officeDocument/2006/customXml" ds:itemID="{EBAD09F8-3901-4794-A023-957FBACE2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8349</Words>
  <Characters>4760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2021-03-31T07:28:00Z</dcterms:created>
  <dcterms:modified xsi:type="dcterms:W3CDTF">2021-06-07T13:36:00Z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