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6014" w14:textId="1E091FEC" w:rsidR="00803C00" w:rsidRPr="001E1BF5" w:rsidRDefault="00803C00" w:rsidP="001E1BF5">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1"/>
        <w:gridCol w:w="2267"/>
        <w:gridCol w:w="2580"/>
      </w:tblGrid>
      <w:tr w:rsidR="006C020C" w14:paraId="25FFAFCB" w14:textId="77777777" w:rsidTr="00E56623">
        <w:tc>
          <w:tcPr>
            <w:tcW w:w="2345" w:type="pct"/>
            <w:tcBorders>
              <w:right w:val="single" w:sz="24" w:space="0" w:color="1F497D" w:themeColor="text2"/>
            </w:tcBorders>
          </w:tcPr>
          <w:p w14:paraId="16DE7DE2" w14:textId="77777777" w:rsidR="006C020C" w:rsidRDefault="006C020C" w:rsidP="001E1BF5">
            <w:pPr>
              <w:jc w:val="both"/>
              <w:rPr>
                <w:rFonts w:ascii="Times New Roman" w:eastAsia="Times New Roman" w:hAnsi="Times New Roman" w:cs="Times New Roman"/>
                <w:noProof/>
                <w:sz w:val="24"/>
                <w:szCs w:val="24"/>
              </w:rPr>
            </w:pPr>
          </w:p>
        </w:tc>
        <w:tc>
          <w:tcPr>
            <w:tcW w:w="1242" w:type="pct"/>
            <w:tcBorders>
              <w:left w:val="single" w:sz="24" w:space="0" w:color="1F497D" w:themeColor="text2"/>
            </w:tcBorders>
          </w:tcPr>
          <w:p w14:paraId="0B525C4C" w14:textId="77777777" w:rsidR="006C020C" w:rsidRDefault="006C020C" w:rsidP="00E56623">
            <w:pPr>
              <w:ind w:left="257"/>
              <w:jc w:val="both"/>
              <w:rPr>
                <w:rFonts w:ascii="Times New Roman" w:eastAsia="Times New Roman" w:hAnsi="Times New Roman" w:cs="Times New Roman"/>
                <w:noProof/>
                <w:sz w:val="24"/>
                <w:szCs w:val="24"/>
              </w:rPr>
            </w:pPr>
            <w:r>
              <w:rPr>
                <w:rFonts w:ascii="Times New Roman" w:hAnsi="Times New Roman"/>
                <w:sz w:val="24"/>
              </w:rPr>
              <w:t>MINISTRU KOMITEJA</w:t>
            </w:r>
          </w:p>
          <w:p w14:paraId="0C27D272" w14:textId="77777777" w:rsidR="008A572D" w:rsidRDefault="008A572D" w:rsidP="00E56623">
            <w:pPr>
              <w:ind w:left="257"/>
              <w:jc w:val="both"/>
              <w:rPr>
                <w:rFonts w:ascii="Times New Roman" w:eastAsia="Times New Roman" w:hAnsi="Times New Roman" w:cs="Times New Roman"/>
                <w:noProof/>
                <w:sz w:val="24"/>
                <w:szCs w:val="24"/>
              </w:rPr>
            </w:pPr>
          </w:p>
          <w:p w14:paraId="708FFFAB" w14:textId="409E18BD" w:rsidR="00F85143" w:rsidRDefault="00F85143" w:rsidP="00E56623">
            <w:pPr>
              <w:ind w:left="257"/>
              <w:rPr>
                <w:rFonts w:ascii="Times New Roman" w:eastAsia="Times New Roman" w:hAnsi="Times New Roman" w:cs="Times New Roman"/>
                <w:noProof/>
                <w:sz w:val="24"/>
                <w:szCs w:val="24"/>
              </w:rPr>
            </w:pPr>
            <w:r>
              <w:rPr>
                <w:rFonts w:ascii="Times New Roman" w:hAnsi="Times New Roman"/>
                <w:i/>
                <w:iCs/>
                <w:sz w:val="24"/>
              </w:rPr>
              <w:t>COMITÉ DES MINISTRES</w:t>
            </w:r>
          </w:p>
        </w:tc>
        <w:tc>
          <w:tcPr>
            <w:tcW w:w="1413" w:type="pct"/>
          </w:tcPr>
          <w:p w14:paraId="1B45BA24" w14:textId="77777777" w:rsidR="006C020C" w:rsidRPr="008A572D" w:rsidRDefault="00F85143" w:rsidP="008A572D">
            <w:pPr>
              <w:jc w:val="center"/>
              <w:rPr>
                <w:rFonts w:ascii="Times New Roman" w:eastAsia="Times New Roman" w:hAnsi="Times New Roman" w:cs="Times New Roman"/>
                <w:noProof/>
                <w:sz w:val="20"/>
                <w:szCs w:val="20"/>
              </w:rPr>
            </w:pPr>
            <w:r>
              <w:rPr>
                <w:rFonts w:ascii="Times New Roman" w:hAnsi="Times New Roman"/>
                <w:sz w:val="20"/>
              </w:rPr>
              <w:t>EIROPAS PADOME</w:t>
            </w:r>
          </w:p>
          <w:p w14:paraId="4DE51243" w14:textId="22170DF9" w:rsidR="00F85143" w:rsidRDefault="008A572D" w:rsidP="008A572D">
            <w:pPr>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97FCD31" wp14:editId="3854C09B">
                  <wp:extent cx="937683" cy="5730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49956" cy="580528"/>
                          </a:xfrm>
                          <a:prstGeom prst="rect">
                            <a:avLst/>
                          </a:prstGeom>
                        </pic:spPr>
                      </pic:pic>
                    </a:graphicData>
                  </a:graphic>
                </wp:inline>
              </w:drawing>
            </w:r>
          </w:p>
          <w:p w14:paraId="5F5048A4" w14:textId="0C5B29A4" w:rsidR="00F85143" w:rsidRDefault="00F85143" w:rsidP="008A572D">
            <w:pPr>
              <w:jc w:val="center"/>
              <w:rPr>
                <w:rFonts w:ascii="Times New Roman" w:eastAsia="Times New Roman" w:hAnsi="Times New Roman" w:cs="Times New Roman"/>
                <w:noProof/>
                <w:sz w:val="24"/>
                <w:szCs w:val="24"/>
              </w:rPr>
            </w:pPr>
            <w:r>
              <w:rPr>
                <w:rFonts w:ascii="Times New Roman" w:hAnsi="Times New Roman"/>
                <w:i/>
                <w:iCs/>
                <w:sz w:val="20"/>
              </w:rPr>
              <w:t>CONSEIL DE L’EUROPE</w:t>
            </w:r>
          </w:p>
        </w:tc>
      </w:tr>
    </w:tbl>
    <w:p w14:paraId="570BBFEC" w14:textId="77777777" w:rsidR="00803C00" w:rsidRPr="001E1BF5" w:rsidRDefault="00803C00" w:rsidP="001E1BF5">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62"/>
        <w:gridCol w:w="2410"/>
        <w:gridCol w:w="1844"/>
        <w:gridCol w:w="2012"/>
      </w:tblGrid>
      <w:tr w:rsidR="007B25B9" w14:paraId="49E5A2F5" w14:textId="77777777" w:rsidTr="00CF1081">
        <w:tc>
          <w:tcPr>
            <w:tcW w:w="1568" w:type="pct"/>
            <w:tcBorders>
              <w:bottom w:val="nil"/>
            </w:tcBorders>
          </w:tcPr>
          <w:p w14:paraId="2ED8F786" w14:textId="7E867854" w:rsidR="007B25B9" w:rsidRDefault="007B25B9" w:rsidP="00CF1081">
            <w:pPr>
              <w:jc w:val="center"/>
              <w:rPr>
                <w:rFonts w:ascii="Times New Roman" w:eastAsia="Times New Roman" w:hAnsi="Times New Roman" w:cs="Times New Roman"/>
                <w:noProof/>
                <w:sz w:val="24"/>
                <w:szCs w:val="24"/>
              </w:rPr>
            </w:pPr>
            <w:r>
              <w:rPr>
                <w:rFonts w:ascii="Times New Roman" w:hAnsi="Times New Roman"/>
                <w:b/>
                <w:sz w:val="24"/>
              </w:rPr>
              <w:t>MINISTRU VIETNIEKU</w:t>
            </w:r>
          </w:p>
        </w:tc>
        <w:tc>
          <w:tcPr>
            <w:tcW w:w="1320" w:type="pct"/>
            <w:tcBorders>
              <w:bottom w:val="nil"/>
            </w:tcBorders>
          </w:tcPr>
          <w:p w14:paraId="549C9D9B" w14:textId="32664F47" w:rsidR="007B25B9" w:rsidRDefault="007B25B9" w:rsidP="00CF1081">
            <w:pPr>
              <w:jc w:val="center"/>
              <w:rPr>
                <w:rFonts w:ascii="Times New Roman" w:eastAsia="Times New Roman" w:hAnsi="Times New Roman" w:cs="Times New Roman"/>
                <w:noProof/>
                <w:sz w:val="24"/>
                <w:szCs w:val="24"/>
              </w:rPr>
            </w:pPr>
            <w:r>
              <w:rPr>
                <w:rFonts w:ascii="Times New Roman" w:hAnsi="Times New Roman"/>
                <w:sz w:val="24"/>
              </w:rPr>
              <w:t>Ieteikumi</w:t>
            </w:r>
          </w:p>
        </w:tc>
        <w:tc>
          <w:tcPr>
            <w:tcW w:w="1010" w:type="pct"/>
            <w:tcBorders>
              <w:bottom w:val="nil"/>
            </w:tcBorders>
          </w:tcPr>
          <w:p w14:paraId="1757198E" w14:textId="3B36CA28" w:rsidR="007B25B9" w:rsidRDefault="007B25B9" w:rsidP="00CF1081">
            <w:pPr>
              <w:jc w:val="center"/>
              <w:rPr>
                <w:rFonts w:ascii="Times New Roman" w:eastAsia="Times New Roman" w:hAnsi="Times New Roman" w:cs="Times New Roman"/>
                <w:noProof/>
                <w:sz w:val="24"/>
                <w:szCs w:val="24"/>
              </w:rPr>
            </w:pPr>
            <w:r>
              <w:rPr>
                <w:rFonts w:ascii="Times New Roman" w:hAnsi="Times New Roman"/>
                <w:b/>
                <w:sz w:val="24"/>
              </w:rPr>
              <w:t>CM/Rec(2021)6</w:t>
            </w:r>
          </w:p>
        </w:tc>
        <w:tc>
          <w:tcPr>
            <w:tcW w:w="1102" w:type="pct"/>
            <w:tcBorders>
              <w:bottom w:val="nil"/>
            </w:tcBorders>
          </w:tcPr>
          <w:p w14:paraId="037C12B0" w14:textId="33506A1C" w:rsidR="007B25B9" w:rsidRDefault="007B25B9" w:rsidP="00CF1081">
            <w:pPr>
              <w:jc w:val="center"/>
              <w:rPr>
                <w:rFonts w:ascii="Times New Roman" w:eastAsia="Times New Roman" w:hAnsi="Times New Roman" w:cs="Times New Roman"/>
                <w:noProof/>
                <w:sz w:val="24"/>
                <w:szCs w:val="24"/>
              </w:rPr>
            </w:pPr>
            <w:r>
              <w:rPr>
                <w:rFonts w:ascii="Times New Roman" w:hAnsi="Times New Roman"/>
                <w:sz w:val="24"/>
              </w:rPr>
              <w:t>2021. gada 20. oktobris</w:t>
            </w:r>
          </w:p>
        </w:tc>
      </w:tr>
      <w:tr w:rsidR="007B25B9" w14:paraId="3C23DF37" w14:textId="77777777" w:rsidTr="00CF1081">
        <w:tc>
          <w:tcPr>
            <w:tcW w:w="1568" w:type="pct"/>
            <w:tcBorders>
              <w:bottom w:val="single" w:sz="4" w:space="0" w:color="auto"/>
            </w:tcBorders>
          </w:tcPr>
          <w:p w14:paraId="09A9739D" w14:textId="77777777" w:rsidR="007B25B9" w:rsidRDefault="007B25B9" w:rsidP="001E1BF5">
            <w:pPr>
              <w:jc w:val="both"/>
              <w:rPr>
                <w:rFonts w:ascii="Times New Roman" w:eastAsia="Times New Roman" w:hAnsi="Times New Roman" w:cs="Times New Roman"/>
                <w:noProof/>
                <w:sz w:val="24"/>
                <w:szCs w:val="24"/>
              </w:rPr>
            </w:pPr>
          </w:p>
        </w:tc>
        <w:tc>
          <w:tcPr>
            <w:tcW w:w="1320" w:type="pct"/>
            <w:tcBorders>
              <w:bottom w:val="single" w:sz="4" w:space="0" w:color="auto"/>
            </w:tcBorders>
          </w:tcPr>
          <w:p w14:paraId="44C50302" w14:textId="77777777" w:rsidR="007B25B9" w:rsidRDefault="007B25B9" w:rsidP="001E1BF5">
            <w:pPr>
              <w:jc w:val="both"/>
              <w:rPr>
                <w:rFonts w:ascii="Times New Roman" w:eastAsia="Times New Roman" w:hAnsi="Times New Roman" w:cs="Times New Roman"/>
                <w:noProof/>
                <w:sz w:val="24"/>
                <w:szCs w:val="24"/>
              </w:rPr>
            </w:pPr>
          </w:p>
        </w:tc>
        <w:tc>
          <w:tcPr>
            <w:tcW w:w="1010" w:type="pct"/>
            <w:tcBorders>
              <w:bottom w:val="single" w:sz="4" w:space="0" w:color="auto"/>
            </w:tcBorders>
          </w:tcPr>
          <w:p w14:paraId="55114DAD" w14:textId="77777777" w:rsidR="007B25B9" w:rsidRDefault="007B25B9" w:rsidP="001E1BF5">
            <w:pPr>
              <w:jc w:val="both"/>
              <w:rPr>
                <w:rFonts w:ascii="Times New Roman" w:eastAsia="Times New Roman" w:hAnsi="Times New Roman" w:cs="Times New Roman"/>
                <w:noProof/>
                <w:sz w:val="24"/>
                <w:szCs w:val="24"/>
              </w:rPr>
            </w:pPr>
          </w:p>
        </w:tc>
        <w:tc>
          <w:tcPr>
            <w:tcW w:w="1102" w:type="pct"/>
            <w:tcBorders>
              <w:bottom w:val="single" w:sz="4" w:space="0" w:color="auto"/>
            </w:tcBorders>
          </w:tcPr>
          <w:p w14:paraId="13DDB98C" w14:textId="77777777" w:rsidR="007B25B9" w:rsidRDefault="007B25B9" w:rsidP="001E1BF5">
            <w:pPr>
              <w:jc w:val="both"/>
              <w:rPr>
                <w:rFonts w:ascii="Times New Roman" w:eastAsia="Times New Roman" w:hAnsi="Times New Roman" w:cs="Times New Roman"/>
                <w:noProof/>
                <w:sz w:val="24"/>
                <w:szCs w:val="24"/>
              </w:rPr>
            </w:pPr>
          </w:p>
        </w:tc>
      </w:tr>
      <w:tr w:rsidR="007B25B9" w14:paraId="320433C5" w14:textId="77777777" w:rsidTr="00CF1081">
        <w:tc>
          <w:tcPr>
            <w:tcW w:w="5000" w:type="pct"/>
            <w:gridSpan w:val="4"/>
            <w:tcBorders>
              <w:top w:val="single" w:sz="4" w:space="0" w:color="auto"/>
            </w:tcBorders>
          </w:tcPr>
          <w:p w14:paraId="013FA3C4" w14:textId="22EC7684" w:rsidR="006E0245" w:rsidRPr="006E0245" w:rsidRDefault="006E0245" w:rsidP="006E0245">
            <w:pPr>
              <w:pStyle w:val="BodyText"/>
              <w:rPr>
                <w:b/>
                <w:bCs/>
                <w:sz w:val="28"/>
                <w:szCs w:val="28"/>
              </w:rPr>
            </w:pPr>
            <w:r>
              <w:rPr>
                <w:b/>
                <w:sz w:val="28"/>
              </w:rPr>
              <w:t>Ministru komitejas Ieteikums CM/Rec(2021)6 dalībvalstīm par personu, kas apsūdzētas vai notiesātas par noziedzīgiem nodarījumiem pret dzimumneaizskaramību, novērtējumu, pārvaldību un reintegrāciju</w:t>
            </w:r>
          </w:p>
          <w:p w14:paraId="7BD93048" w14:textId="77777777" w:rsidR="007B25B9" w:rsidRDefault="007B25B9" w:rsidP="001E1BF5">
            <w:pPr>
              <w:jc w:val="both"/>
              <w:rPr>
                <w:rFonts w:ascii="Times New Roman" w:eastAsia="Times New Roman" w:hAnsi="Times New Roman" w:cs="Times New Roman"/>
                <w:noProof/>
                <w:sz w:val="24"/>
                <w:szCs w:val="24"/>
              </w:rPr>
            </w:pPr>
          </w:p>
          <w:p w14:paraId="561E3B7C" w14:textId="77777777" w:rsidR="006E0245" w:rsidRPr="001E1BF5" w:rsidRDefault="006E0245" w:rsidP="006E0245">
            <w:pPr>
              <w:jc w:val="both"/>
              <w:rPr>
                <w:rFonts w:ascii="Times New Roman" w:eastAsia="Arial Narrow" w:hAnsi="Times New Roman" w:cs="Times New Roman"/>
                <w:noProof/>
                <w:sz w:val="24"/>
                <w:szCs w:val="24"/>
              </w:rPr>
            </w:pPr>
            <w:r>
              <w:rPr>
                <w:rFonts w:ascii="Times New Roman" w:hAnsi="Times New Roman"/>
                <w:i/>
                <w:sz w:val="24"/>
              </w:rPr>
              <w:t>(Pieņēmusi Ministru komiteja ministru vietnieku 1415. sanāksmē, 2021. gada 20. oktobrī.)</w:t>
            </w:r>
          </w:p>
          <w:p w14:paraId="634A3C9D" w14:textId="02B1D8DC" w:rsidR="006E0245" w:rsidRDefault="006E0245" w:rsidP="001E1BF5">
            <w:pPr>
              <w:jc w:val="both"/>
              <w:rPr>
                <w:rFonts w:ascii="Times New Roman" w:eastAsia="Times New Roman" w:hAnsi="Times New Roman" w:cs="Times New Roman"/>
                <w:noProof/>
                <w:sz w:val="24"/>
                <w:szCs w:val="24"/>
              </w:rPr>
            </w:pPr>
          </w:p>
        </w:tc>
      </w:tr>
    </w:tbl>
    <w:p w14:paraId="7C6CD951" w14:textId="77777777" w:rsidR="00803C00" w:rsidRPr="001E1BF5" w:rsidRDefault="00803C00" w:rsidP="001E1BF5">
      <w:pPr>
        <w:jc w:val="both"/>
        <w:rPr>
          <w:rFonts w:ascii="Times New Roman" w:eastAsia="Arial Narrow" w:hAnsi="Times New Roman" w:cs="Times New Roman"/>
          <w:noProof/>
          <w:sz w:val="24"/>
          <w:szCs w:val="24"/>
        </w:rPr>
      </w:pPr>
    </w:p>
    <w:p w14:paraId="2FBFE36C" w14:textId="77777777" w:rsidR="00803C00" w:rsidRPr="001E1BF5" w:rsidRDefault="00803C00" w:rsidP="006E0245">
      <w:pPr>
        <w:pStyle w:val="BodyText"/>
      </w:pPr>
      <w:r>
        <w:t xml:space="preserve">Ministru komiteja, ievērojot Eiropas Padomes Statūtu 15. panta </w:t>
      </w:r>
      <w:r>
        <w:rPr>
          <w:i/>
        </w:rPr>
        <w:t>b)</w:t>
      </w:r>
      <w:r>
        <w:t> punkta noteikumus;</w:t>
      </w:r>
    </w:p>
    <w:p w14:paraId="6F847415" w14:textId="77777777" w:rsidR="00803C00" w:rsidRPr="001E1BF5" w:rsidRDefault="00803C00" w:rsidP="001E1BF5">
      <w:pPr>
        <w:jc w:val="both"/>
        <w:rPr>
          <w:rFonts w:ascii="Times New Roman" w:eastAsia="Arial" w:hAnsi="Times New Roman" w:cs="Times New Roman"/>
          <w:noProof/>
          <w:sz w:val="24"/>
          <w:szCs w:val="24"/>
        </w:rPr>
      </w:pPr>
    </w:p>
    <w:p w14:paraId="47663F44" w14:textId="6ED3A52D" w:rsidR="00803C00" w:rsidRPr="001E1BF5" w:rsidRDefault="00803C00" w:rsidP="006E0245">
      <w:pPr>
        <w:pStyle w:val="BodyText"/>
      </w:pPr>
      <w:r>
        <w:t>ņemot vērā Eiropas Cilvēktiesību konvenciju (EPLS Nr. 5) un Eiropas Cilvēktiesību tiesas judikatūru;</w:t>
      </w:r>
    </w:p>
    <w:p w14:paraId="3895F470" w14:textId="77777777" w:rsidR="00803C00" w:rsidRPr="001E1BF5" w:rsidRDefault="00803C00" w:rsidP="001E1BF5">
      <w:pPr>
        <w:jc w:val="both"/>
        <w:rPr>
          <w:rFonts w:ascii="Times New Roman" w:eastAsia="Arial" w:hAnsi="Times New Roman" w:cs="Times New Roman"/>
          <w:noProof/>
          <w:sz w:val="24"/>
          <w:szCs w:val="24"/>
        </w:rPr>
      </w:pPr>
    </w:p>
    <w:p w14:paraId="6BCF3345" w14:textId="31446CBF" w:rsidR="00803C00" w:rsidRPr="001E1BF5" w:rsidRDefault="00803C00" w:rsidP="006E0245">
      <w:pPr>
        <w:pStyle w:val="BodyText"/>
      </w:pPr>
      <w:r>
        <w:t>ņemot vērā arī darbu, ko veic Eiropas Komiteja spīdzināšanas un necilvēcīgas vai pazemojošas rīcības vai soda novēršanai (</w:t>
      </w:r>
      <w:r>
        <w:rPr>
          <w:i/>
          <w:iCs/>
        </w:rPr>
        <w:t>CPT</w:t>
      </w:r>
      <w:r>
        <w:t>), un pirmām kārtām šīs komitejas izstrādātos standartus, kas izklāstīti tās vispārējos pārskatos;</w:t>
      </w:r>
    </w:p>
    <w:p w14:paraId="06EEBBF5" w14:textId="77777777" w:rsidR="00803C00" w:rsidRPr="001E1BF5" w:rsidRDefault="00803C00" w:rsidP="001E1BF5">
      <w:pPr>
        <w:jc w:val="both"/>
        <w:rPr>
          <w:rFonts w:ascii="Times New Roman" w:eastAsia="Arial" w:hAnsi="Times New Roman" w:cs="Times New Roman"/>
          <w:noProof/>
          <w:sz w:val="24"/>
          <w:szCs w:val="24"/>
        </w:rPr>
      </w:pPr>
    </w:p>
    <w:p w14:paraId="0FAD4A0C" w14:textId="230C7697" w:rsidR="00803C00" w:rsidRPr="001E1BF5" w:rsidRDefault="00803C00" w:rsidP="006E0245">
      <w:pPr>
        <w:pStyle w:val="BodyText"/>
      </w:pPr>
      <w:r>
        <w:t>ņemot vērā, ka noziedzīgi nodarījumi pret dzimumneaizskaramību cietušajiem un viņu tiešajai videi rada būtisku un ilgstošu kaitējumu, tostarp fizisku un garīgu kaitējumu, un ka tādēļ ir ļoti svarīgi samazināt atkārtota noziedzīga nodarījuma pret dzimumneaizskaramību izdarīšanas iespējamību, izmantojot mērķtiecīgu riska novērtējumu un individualizētus rehabilitācijas un iejaukšanās pasākumu plānus, lai panāktu veiksmīgu sociālo reintegrāciju;</w:t>
      </w:r>
    </w:p>
    <w:p w14:paraId="05FE7000" w14:textId="77777777" w:rsidR="00803C00" w:rsidRPr="001E1BF5" w:rsidRDefault="00803C00" w:rsidP="001E1BF5">
      <w:pPr>
        <w:jc w:val="both"/>
        <w:rPr>
          <w:rFonts w:ascii="Times New Roman" w:eastAsia="Arial" w:hAnsi="Times New Roman" w:cs="Times New Roman"/>
          <w:noProof/>
          <w:sz w:val="24"/>
          <w:szCs w:val="24"/>
        </w:rPr>
      </w:pPr>
    </w:p>
    <w:p w14:paraId="0D1B67FA" w14:textId="722E771B" w:rsidR="00803C00" w:rsidRPr="001E1BF5" w:rsidRDefault="00803C00" w:rsidP="006E0245">
      <w:pPr>
        <w:pStyle w:val="BodyText"/>
      </w:pPr>
      <w:r>
        <w:t>turklāt atzīmējot, ka noziedzīgiem nodarījumiem pret dzimumneaizskaramību ir arī būtiska ietekme uz sabiedrību veselības un labklājības un sabiedrisko pakalpojumu izmaksu ziņā gan veselības, gan krimināltiesību jomā, un to nacionālā, starptautiskā un transnacionālā līmeņa ietekme aizvien pieaug;</w:t>
      </w:r>
    </w:p>
    <w:p w14:paraId="6F70893B" w14:textId="77777777" w:rsidR="00803C00" w:rsidRPr="001E1BF5" w:rsidRDefault="00803C00" w:rsidP="001E1BF5">
      <w:pPr>
        <w:jc w:val="both"/>
        <w:rPr>
          <w:rFonts w:ascii="Times New Roman" w:eastAsia="Arial" w:hAnsi="Times New Roman" w:cs="Times New Roman"/>
          <w:noProof/>
          <w:sz w:val="24"/>
          <w:szCs w:val="24"/>
        </w:rPr>
      </w:pPr>
    </w:p>
    <w:p w14:paraId="4B4D8B1A" w14:textId="61CB21A0" w:rsidR="00803C00" w:rsidRPr="001E1BF5" w:rsidRDefault="00803C00" w:rsidP="006E0245">
      <w:pPr>
        <w:pStyle w:val="BodyText"/>
      </w:pPr>
      <w:r>
        <w:t>apzinoties, ka to personu pārvaldībā un reintegrācijā, kas ir apsūdzētas vai notiesātas par noziedzīgu nodarījumu pret dzimumneaizskaramību, novērtēšana, rehabilitācija un iejaukšanās pasākumi ir problēma daudzām ieslodzījuma vietu pārvaldēm un probācijas dienestiem Eiropas Padomes dalībvalstīs un ārpus tām;</w:t>
      </w:r>
    </w:p>
    <w:p w14:paraId="78DE4939" w14:textId="77777777" w:rsidR="00803C00" w:rsidRPr="001E1BF5" w:rsidRDefault="00803C00" w:rsidP="001E1BF5">
      <w:pPr>
        <w:jc w:val="both"/>
        <w:rPr>
          <w:rFonts w:ascii="Times New Roman" w:eastAsia="Arial" w:hAnsi="Times New Roman" w:cs="Times New Roman"/>
          <w:noProof/>
          <w:sz w:val="24"/>
          <w:szCs w:val="24"/>
        </w:rPr>
      </w:pPr>
    </w:p>
    <w:p w14:paraId="02ABF550" w14:textId="4E6367B0" w:rsidR="00803C00" w:rsidRPr="001E1BF5" w:rsidRDefault="00803C00" w:rsidP="006E0245">
      <w:pPr>
        <w:pStyle w:val="BodyText"/>
      </w:pPr>
      <w:r>
        <w:t>ievērojot, ka starp jurisdikcijām pastāv atšķirības saistībā ar dažādu noziedzīgu nodarījumu pret dzimumneaizskaramību definīcijām, dzimumpilngadības vecumu un piemērojamo sankciju veidiem, kas laika gaitā ir izveidojušās kultūras, sociālo un juridisko atšķirību dēļ, tomēr visās Eiropas Padomes dalībvalstīs pastāv vispārpieņemti principi attiecībā uz novērtēšanu, rehabilitācijas un iejaukšanās pasākumiem to personu pārvaldībā un reintegrācijā, kuras apsūdzētas vai notiesātas par noziedzīgu nodarījumu pret dzimumneaizskaramību;</w:t>
      </w:r>
    </w:p>
    <w:p w14:paraId="19EEBD3B" w14:textId="77777777" w:rsidR="00803C00" w:rsidRPr="001E1BF5" w:rsidRDefault="00803C00" w:rsidP="001E1BF5">
      <w:pPr>
        <w:jc w:val="both"/>
        <w:rPr>
          <w:rFonts w:ascii="Times New Roman" w:eastAsia="Arial" w:hAnsi="Times New Roman" w:cs="Times New Roman"/>
          <w:noProof/>
          <w:sz w:val="24"/>
          <w:szCs w:val="24"/>
        </w:rPr>
      </w:pPr>
    </w:p>
    <w:p w14:paraId="462F722C" w14:textId="16B5F9E9" w:rsidR="00803C00" w:rsidRPr="001E1BF5" w:rsidRDefault="00803C00" w:rsidP="006E0245">
      <w:pPr>
        <w:pStyle w:val="BodyText"/>
      </w:pPr>
      <w:r>
        <w:lastRenderedPageBreak/>
        <w:t>ņemot vērā standartus, kas ietverti Eiropas Padomes Konvencijā par bērnu aizsardzību pret seksuālu izmantošanu un seksuālu vardarbību (EPLS Nr. 201), Eiropas Padomes Konvencijā par vardarbības pret sievietēm un vardarbības ģimenē novēršanu un apkarošanu (EPLS Nr. 210) un Konvencijā par indivīda aizsardzību attiecībā uz personas datu automātisko apstrādi</w:t>
      </w:r>
      <w:r w:rsidR="00E40AE2">
        <w:t xml:space="preserve"> </w:t>
      </w:r>
      <w:r>
        <w:t>(EPLS Nr. 108), ar grozījumiem saskaņā ar Protokolu (EPLS Nr. 223);</w:t>
      </w:r>
    </w:p>
    <w:p w14:paraId="253BDB3A" w14:textId="77777777" w:rsidR="00803C00" w:rsidRPr="001E1BF5" w:rsidRDefault="00803C00" w:rsidP="001E1BF5">
      <w:pPr>
        <w:jc w:val="both"/>
        <w:rPr>
          <w:rFonts w:ascii="Times New Roman" w:eastAsia="Arial" w:hAnsi="Times New Roman" w:cs="Times New Roman"/>
          <w:noProof/>
          <w:sz w:val="24"/>
          <w:szCs w:val="24"/>
        </w:rPr>
      </w:pPr>
    </w:p>
    <w:p w14:paraId="0456005D" w14:textId="4B44DDAA" w:rsidR="00803C00" w:rsidRPr="001E1BF5" w:rsidRDefault="00803C00" w:rsidP="006E0245">
      <w:pPr>
        <w:pStyle w:val="BodyText"/>
      </w:pPr>
      <w:r>
        <w:t>ņemot vērā arī Eiropas Padomes Ministru komitejas ieteikumos ietvertos standartus, kas attiecas uz konkrētiem kriminālsodu politikas un prakses aspektiem, un jo īpaši: Ministru komitejas Ieteikumu Rec(2006)2-rev dalībvalstīm par Eiropas cietumu noteikumiem un CM/Rec(2010)1 par Eiropas Padomes Probācijas noteikumiem;</w:t>
      </w:r>
    </w:p>
    <w:p w14:paraId="187E8750" w14:textId="77777777" w:rsidR="00803C00" w:rsidRPr="001E1BF5" w:rsidRDefault="00803C00" w:rsidP="001E1BF5">
      <w:pPr>
        <w:jc w:val="both"/>
        <w:rPr>
          <w:rFonts w:ascii="Times New Roman" w:eastAsia="Arial" w:hAnsi="Times New Roman" w:cs="Times New Roman"/>
          <w:noProof/>
          <w:sz w:val="24"/>
          <w:szCs w:val="24"/>
        </w:rPr>
      </w:pPr>
    </w:p>
    <w:p w14:paraId="4919BBD6" w14:textId="41E9181F" w:rsidR="00803C00" w:rsidRPr="001E1BF5" w:rsidRDefault="00803C00" w:rsidP="006E0245">
      <w:pPr>
        <w:pStyle w:val="BodyText"/>
      </w:pPr>
      <w:r>
        <w:t>turklāt ņemot vērā šādus ieteikumus: Rec(97)12 par sodu un piespiedu līdzekļu izpildes personālu; Rec(2003)22 par nosacītu pirmstermiņa atbrīvošanu (atbrīvošanu ar nosacījumu); Rec(2003)23 par cietuma administrācijas izturēšanos pret uz mūžu ieslodzītajiem un ilgtermiņa ieslodzītajiem; Rec(2006)13 par apcietinājuma piemērošanu, apstākļiem, kādos to piemēro, un drošības pasākumiem pret tā ļaunprātīgu izmantošanu; CM/Rec(2012)5 par Eiropas ieslodzījuma vietu darbinieku ētikas kodeksu; CM/Rec(2014)3 par bīstamiem likumpārkāpējiem; CM/Rec(2014)4 par elektronisko uzraudzību; CM/Rec(2017)3 par Eiropas noteikumiem par sabiedrībā izciešamiem sodiem un piespiedu līdzekļiem un CM/Rec(2018)8 par atjaunojošo justīciju krimināllietās,</w:t>
      </w:r>
    </w:p>
    <w:p w14:paraId="7B47EE49" w14:textId="77777777" w:rsidR="00803C00" w:rsidRPr="001E1BF5" w:rsidRDefault="00803C00" w:rsidP="001E1BF5">
      <w:pPr>
        <w:jc w:val="both"/>
        <w:rPr>
          <w:rFonts w:ascii="Times New Roman" w:eastAsia="Arial" w:hAnsi="Times New Roman" w:cs="Times New Roman"/>
          <w:noProof/>
          <w:sz w:val="24"/>
          <w:szCs w:val="24"/>
        </w:rPr>
      </w:pPr>
    </w:p>
    <w:p w14:paraId="118D55CB" w14:textId="29D08866" w:rsidR="00803C00" w:rsidRPr="001E1BF5" w:rsidRDefault="00803C00" w:rsidP="006E0245">
      <w:pPr>
        <w:pStyle w:val="BodyText"/>
      </w:pPr>
      <w:r>
        <w:t>iesaka dalībvalstu valdībām:</w:t>
      </w:r>
    </w:p>
    <w:p w14:paraId="7620F62E" w14:textId="77777777" w:rsidR="00803C00" w:rsidRPr="001E1BF5" w:rsidRDefault="00803C00" w:rsidP="001E1BF5">
      <w:pPr>
        <w:jc w:val="both"/>
        <w:rPr>
          <w:rFonts w:ascii="Times New Roman" w:eastAsia="Arial" w:hAnsi="Times New Roman" w:cs="Times New Roman"/>
          <w:noProof/>
          <w:sz w:val="24"/>
          <w:szCs w:val="24"/>
        </w:rPr>
      </w:pPr>
    </w:p>
    <w:p w14:paraId="69912DB5" w14:textId="6217CA8D" w:rsidR="00803C00" w:rsidRPr="001E1BF5" w:rsidRDefault="00803C00" w:rsidP="00CF1081">
      <w:pPr>
        <w:pStyle w:val="BodyText"/>
        <w:numPr>
          <w:ilvl w:val="0"/>
          <w:numId w:val="3"/>
        </w:numPr>
        <w:tabs>
          <w:tab w:val="left" w:pos="567"/>
        </w:tabs>
        <w:ind w:left="0" w:firstLine="0"/>
      </w:pPr>
      <w:r>
        <w:t>savos tiesību aktos, politikā un praksē ņemt vērā noteikumus, kas iekļauti šā ieteikuma papildinājumā;</w:t>
      </w:r>
    </w:p>
    <w:p w14:paraId="01936148" w14:textId="77777777" w:rsidR="00803C00" w:rsidRPr="001E1BF5" w:rsidRDefault="00803C00" w:rsidP="00CF1081">
      <w:pPr>
        <w:tabs>
          <w:tab w:val="left" w:pos="567"/>
        </w:tabs>
        <w:jc w:val="both"/>
        <w:rPr>
          <w:rFonts w:ascii="Times New Roman" w:eastAsia="Arial" w:hAnsi="Times New Roman" w:cs="Times New Roman"/>
          <w:noProof/>
          <w:sz w:val="24"/>
          <w:szCs w:val="24"/>
        </w:rPr>
      </w:pPr>
    </w:p>
    <w:p w14:paraId="0E07C98C" w14:textId="0FA86990" w:rsidR="00803C00" w:rsidRPr="001E1BF5" w:rsidRDefault="00803C00" w:rsidP="00CF1081">
      <w:pPr>
        <w:pStyle w:val="BodyText"/>
        <w:numPr>
          <w:ilvl w:val="0"/>
          <w:numId w:val="3"/>
        </w:numPr>
        <w:tabs>
          <w:tab w:val="left" w:pos="567"/>
        </w:tabs>
        <w:ind w:left="0" w:firstLine="0"/>
      </w:pPr>
      <w:r>
        <w:t>nodrošināt, ka šis ieteikums un tā paskaidrojuma raksts tiek iztulkots un pēc iespējas plašāk izplatīts, un jo īpaši tiesu iestādēs, policijā, ieslodzījuma vietu pārvaldēs un probācijas dienestos, cietušo aizsardzības aģentūrās un attiecīgajās profesionālajās organizācijās un apvienībās.</w:t>
      </w:r>
    </w:p>
    <w:p w14:paraId="304A0BD0" w14:textId="77777777" w:rsidR="00803C00" w:rsidRPr="001E1BF5" w:rsidRDefault="00803C00" w:rsidP="001E1BF5">
      <w:pPr>
        <w:jc w:val="both"/>
        <w:rPr>
          <w:rFonts w:ascii="Times New Roman" w:eastAsia="Arial" w:hAnsi="Times New Roman" w:cs="Times New Roman"/>
          <w:noProof/>
          <w:sz w:val="24"/>
          <w:szCs w:val="24"/>
        </w:rPr>
      </w:pPr>
    </w:p>
    <w:p w14:paraId="23B4053A" w14:textId="35F436F0" w:rsidR="00803C00" w:rsidRPr="001E1BF5" w:rsidRDefault="00803C00" w:rsidP="001E1BF5">
      <w:pPr>
        <w:jc w:val="both"/>
        <w:rPr>
          <w:rFonts w:ascii="Times New Roman" w:hAnsi="Times New Roman" w:cs="Times New Roman"/>
          <w:i/>
          <w:noProof/>
          <w:sz w:val="24"/>
          <w:szCs w:val="24"/>
        </w:rPr>
      </w:pPr>
      <w:r>
        <w:rPr>
          <w:rFonts w:ascii="Times New Roman" w:hAnsi="Times New Roman"/>
          <w:i/>
          <w:sz w:val="24"/>
        </w:rPr>
        <w:t>Ieteikuma CM/Rec(2021)6 papildinājums</w:t>
      </w:r>
    </w:p>
    <w:p w14:paraId="4C3953AB" w14:textId="77777777" w:rsidR="00803C00" w:rsidRPr="001E1BF5" w:rsidRDefault="00803C00" w:rsidP="001E1BF5">
      <w:pPr>
        <w:jc w:val="both"/>
        <w:rPr>
          <w:rFonts w:ascii="Times New Roman" w:eastAsia="Arial" w:hAnsi="Times New Roman" w:cs="Times New Roman"/>
          <w:i/>
          <w:noProof/>
          <w:sz w:val="24"/>
          <w:szCs w:val="24"/>
        </w:rPr>
      </w:pPr>
    </w:p>
    <w:p w14:paraId="4E4B998B" w14:textId="5745544E" w:rsidR="00803C00" w:rsidRPr="001E1BF5" w:rsidRDefault="00CF1081" w:rsidP="00CF1081">
      <w:pPr>
        <w:pStyle w:val="Heading2"/>
        <w:tabs>
          <w:tab w:val="left" w:pos="672"/>
        </w:tabs>
        <w:ind w:left="0" w:firstLine="0"/>
        <w:jc w:val="both"/>
        <w:rPr>
          <w:rFonts w:ascii="Times New Roman" w:hAnsi="Times New Roman" w:cs="Times New Roman"/>
          <w:noProof/>
          <w:sz w:val="24"/>
          <w:szCs w:val="24"/>
        </w:rPr>
      </w:pPr>
      <w:r>
        <w:rPr>
          <w:rFonts w:ascii="Times New Roman" w:hAnsi="Times New Roman"/>
          <w:sz w:val="24"/>
        </w:rPr>
        <w:t>I. PIEMĒROŠANAS JOMA UN DEFINĪCIJAS</w:t>
      </w:r>
    </w:p>
    <w:p w14:paraId="454E3BD8" w14:textId="77777777" w:rsidR="00803C00" w:rsidRPr="001E1BF5" w:rsidRDefault="00803C00" w:rsidP="001E1BF5">
      <w:pPr>
        <w:jc w:val="both"/>
        <w:rPr>
          <w:rFonts w:ascii="Times New Roman" w:eastAsia="Arial" w:hAnsi="Times New Roman" w:cs="Times New Roman"/>
          <w:b/>
          <w:bCs/>
          <w:noProof/>
          <w:sz w:val="24"/>
          <w:szCs w:val="24"/>
        </w:rPr>
      </w:pPr>
    </w:p>
    <w:p w14:paraId="655A98D8" w14:textId="69E2E83D" w:rsidR="00803C00" w:rsidRPr="001E1BF5" w:rsidRDefault="00803C00" w:rsidP="006E0245">
      <w:pPr>
        <w:pStyle w:val="BodyText"/>
      </w:pPr>
      <w:r>
        <w:t>Šis ieteikums attiecas tikai uz pieaugušajiem, kas apsūdzēti vai notiesāti par noziedzīgu nodarījumu pret dzimumneaizskaramību, tostarp gadījumos, kad tiek veikta pieaugušo pārvaldība saistībā ar tāda soda vai piespiedu līdzekļa izpildi, kas noteikts sakarā ar noziedzīgu nodarījumu pret dzimumneaizskaramību. Tas neattiecas uz bērniem, kas ir apsūdzēti vai notiesāti par noziedzīgu nodarījumu pret dzimumneaizskaramību.</w:t>
      </w:r>
    </w:p>
    <w:p w14:paraId="5FA68C54" w14:textId="77777777" w:rsidR="00803C00" w:rsidRPr="001E1BF5" w:rsidRDefault="00803C00" w:rsidP="001E1BF5">
      <w:pPr>
        <w:jc w:val="both"/>
        <w:rPr>
          <w:rFonts w:ascii="Times New Roman" w:eastAsia="Arial" w:hAnsi="Times New Roman" w:cs="Times New Roman"/>
          <w:noProof/>
          <w:sz w:val="24"/>
          <w:szCs w:val="24"/>
        </w:rPr>
      </w:pPr>
    </w:p>
    <w:p w14:paraId="13626802" w14:textId="77777777" w:rsidR="00803C00" w:rsidRPr="001E1BF5" w:rsidRDefault="00803C00" w:rsidP="001E1BF5">
      <w:pPr>
        <w:jc w:val="both"/>
        <w:rPr>
          <w:rFonts w:ascii="Times New Roman" w:hAnsi="Times New Roman" w:cs="Times New Roman"/>
          <w:b/>
          <w:i/>
          <w:noProof/>
          <w:sz w:val="24"/>
          <w:szCs w:val="24"/>
        </w:rPr>
      </w:pPr>
      <w:r>
        <w:rPr>
          <w:rFonts w:ascii="Times New Roman" w:hAnsi="Times New Roman"/>
          <w:b/>
          <w:i/>
          <w:sz w:val="24"/>
        </w:rPr>
        <w:t>Šajā ieteikumā izmantotās definīcijas</w:t>
      </w:r>
    </w:p>
    <w:p w14:paraId="413CC102" w14:textId="77777777" w:rsidR="00803C00" w:rsidRPr="001E1BF5" w:rsidRDefault="00803C00" w:rsidP="001E1BF5">
      <w:pPr>
        <w:jc w:val="both"/>
        <w:rPr>
          <w:rFonts w:ascii="Times New Roman" w:eastAsia="Arial" w:hAnsi="Times New Roman" w:cs="Times New Roman"/>
          <w:b/>
          <w:bCs/>
          <w:i/>
          <w:noProof/>
          <w:sz w:val="24"/>
          <w:szCs w:val="24"/>
        </w:rPr>
      </w:pPr>
    </w:p>
    <w:p w14:paraId="76C06C32" w14:textId="6C6326F2" w:rsidR="00803C00" w:rsidRPr="001E1BF5" w:rsidRDefault="00803C00" w:rsidP="006E0245">
      <w:pPr>
        <w:pStyle w:val="BodyText"/>
      </w:pPr>
      <w:r>
        <w:rPr>
          <w:b/>
          <w:bCs/>
          <w:i/>
          <w:iCs/>
        </w:rPr>
        <w:t>Noziedzīgs nodarījums pret dzimumneaizskaramību</w:t>
      </w:r>
      <w:r>
        <w:t xml:space="preserve"> – jebkura seksuāla rakstura vai nolūka darbība vai uzvedība, par kuru saskaņā ar valsts tiesību aktiem ir piemērojams kriminālsods vai piespiedu līdzeklis. Noziedzīgs nodarījums pret dzimumneaizskaramību var ietvert fizisku, emocionālu vai psiholoģisku spiedienu vai vardarbību, un tas var būt noziedzīgs nodarījums, kas izdarīts fiziskā saskarē (piemēram, izvarošana vai seksuāls uzbrukums, tostarp pieskaršanās) vai</w:t>
      </w:r>
      <w:r w:rsidR="002A17AF">
        <w:t xml:space="preserve"> </w:t>
      </w:r>
      <w:r>
        <w:t>noziedzīgs nodarījums bez fiziskas saskares (piemēram, iedraudzēšanās, ekshibicionisms, vuajērisms vai attēlu, kas saistīti ar seksuālu vardarbību pret bērniem, radīšana, lejupielāde vai skatīšanās).</w:t>
      </w:r>
    </w:p>
    <w:p w14:paraId="4F03B126" w14:textId="77777777" w:rsidR="00803C00" w:rsidRPr="001E1BF5" w:rsidRDefault="00803C00" w:rsidP="001E1BF5">
      <w:pPr>
        <w:jc w:val="both"/>
        <w:rPr>
          <w:rFonts w:ascii="Times New Roman" w:eastAsia="Arial" w:hAnsi="Times New Roman" w:cs="Times New Roman"/>
          <w:noProof/>
          <w:sz w:val="24"/>
          <w:szCs w:val="24"/>
        </w:rPr>
      </w:pPr>
    </w:p>
    <w:p w14:paraId="5BAFE9BA" w14:textId="6E0679E9" w:rsidR="00803C00" w:rsidRPr="001E1BF5" w:rsidRDefault="00803C00" w:rsidP="006E0245">
      <w:pPr>
        <w:pStyle w:val="BodyText"/>
      </w:pPr>
      <w:r>
        <w:rPr>
          <w:b/>
          <w:i/>
          <w:iCs/>
        </w:rPr>
        <w:t>Par noziedzīga nodarījuma pret dzimumneaizskaramību apsūdzētais</w:t>
      </w:r>
      <w:r>
        <w:rPr>
          <w:b/>
        </w:rPr>
        <w:t xml:space="preserve"> – </w:t>
      </w:r>
      <w:r>
        <w:t>persona, kas apsūdzēta noziedzīga nodarījuma pret dzimumneaizskaramību izdarīšanā, bet vēl nav atzīta par vainīgu vai notiesāta un kam līdz iespējamai notiesāšanai var tikt vai netikt piemērots apcietinājums.</w:t>
      </w:r>
    </w:p>
    <w:p w14:paraId="06A66621" w14:textId="77777777" w:rsidR="00803C00" w:rsidRPr="001E1BF5" w:rsidRDefault="00803C00" w:rsidP="001E1BF5">
      <w:pPr>
        <w:jc w:val="both"/>
        <w:rPr>
          <w:rFonts w:ascii="Times New Roman" w:eastAsia="Arial" w:hAnsi="Times New Roman" w:cs="Times New Roman"/>
          <w:noProof/>
          <w:sz w:val="24"/>
          <w:szCs w:val="24"/>
        </w:rPr>
      </w:pPr>
    </w:p>
    <w:p w14:paraId="38A8C67F" w14:textId="05D8C654" w:rsidR="00803C00" w:rsidRPr="001E1BF5" w:rsidRDefault="00803C00" w:rsidP="001E1BF5">
      <w:pPr>
        <w:jc w:val="both"/>
        <w:rPr>
          <w:rFonts w:ascii="Times New Roman" w:eastAsia="Arial" w:hAnsi="Times New Roman" w:cs="Times New Roman"/>
          <w:noProof/>
          <w:sz w:val="24"/>
          <w:szCs w:val="24"/>
        </w:rPr>
      </w:pPr>
      <w:r>
        <w:rPr>
          <w:rFonts w:ascii="Times New Roman" w:hAnsi="Times New Roman"/>
          <w:b/>
          <w:i/>
          <w:iCs/>
          <w:sz w:val="24"/>
        </w:rPr>
        <w:t>Par noziedzīga nodarījuma pret dzimumneaizskaramību notiesātais</w:t>
      </w:r>
      <w:r>
        <w:rPr>
          <w:rFonts w:ascii="Times New Roman" w:hAnsi="Times New Roman"/>
          <w:b/>
          <w:sz w:val="24"/>
        </w:rPr>
        <w:t xml:space="preserve"> – </w:t>
      </w:r>
      <w:r>
        <w:rPr>
          <w:rFonts w:ascii="Times New Roman" w:hAnsi="Times New Roman"/>
          <w:sz w:val="24"/>
        </w:rPr>
        <w:t>persona, kas ir saukta pie atbildības un notiesāta par noziedzīgu nodarījumu pret dzimumneaizskaramību.</w:t>
      </w:r>
    </w:p>
    <w:p w14:paraId="3DD3CD0E" w14:textId="77777777" w:rsidR="00803C00" w:rsidRPr="001E1BF5" w:rsidRDefault="00803C00" w:rsidP="001E1BF5">
      <w:pPr>
        <w:jc w:val="both"/>
        <w:rPr>
          <w:rFonts w:ascii="Times New Roman" w:eastAsia="Arial" w:hAnsi="Times New Roman" w:cs="Times New Roman"/>
          <w:noProof/>
          <w:sz w:val="24"/>
          <w:szCs w:val="24"/>
        </w:rPr>
      </w:pPr>
    </w:p>
    <w:p w14:paraId="016E608A" w14:textId="77777777" w:rsidR="00803C00" w:rsidRPr="001E1BF5" w:rsidRDefault="00803C00" w:rsidP="006E0245">
      <w:pPr>
        <w:pStyle w:val="BodyText"/>
      </w:pPr>
      <w:r>
        <w:rPr>
          <w:b/>
          <w:i/>
          <w:iCs/>
        </w:rPr>
        <w:t>Risks</w:t>
      </w:r>
      <w:r>
        <w:rPr>
          <w:b/>
        </w:rPr>
        <w:t xml:space="preserve"> – </w:t>
      </w:r>
      <w:r>
        <w:t>iespējamība vai draudi, ka nākotnē tiks izdarīts noziedzīgs nodarījums pret dzimumneaizskaramību vai kāds cits noziedzīgs nodarījums.</w:t>
      </w:r>
    </w:p>
    <w:p w14:paraId="027A486E" w14:textId="77777777" w:rsidR="00803C00" w:rsidRPr="001E1BF5" w:rsidRDefault="00803C00" w:rsidP="001E1BF5">
      <w:pPr>
        <w:jc w:val="both"/>
        <w:rPr>
          <w:rFonts w:ascii="Times New Roman" w:eastAsia="Arial" w:hAnsi="Times New Roman" w:cs="Times New Roman"/>
          <w:noProof/>
          <w:sz w:val="24"/>
          <w:szCs w:val="24"/>
        </w:rPr>
      </w:pPr>
    </w:p>
    <w:p w14:paraId="28396394" w14:textId="20BED533" w:rsidR="00803C00" w:rsidRPr="001E1BF5" w:rsidRDefault="00803C00" w:rsidP="006E0245">
      <w:pPr>
        <w:pStyle w:val="BodyText"/>
      </w:pPr>
      <w:r>
        <w:rPr>
          <w:b/>
          <w:i/>
          <w:iCs/>
        </w:rPr>
        <w:t>Riska novērtēšana</w:t>
      </w:r>
      <w:r>
        <w:rPr>
          <w:b/>
        </w:rPr>
        <w:t xml:space="preserve"> – </w:t>
      </w:r>
      <w:r>
        <w:t>formalizēts process, kurā risku novērtē profesionāļi (personas, kas ir atbilstoši apmācītas un kvalificētas darbam ar personām, kas ir apsūdzētas vai notiesātas par noziedzīgu nodarījumu pret dzimumneaizskaramību); tā gaitā tiek izpētīts noziedzīgu nodarījumu raksturs, smagums un izdarīšanas veids, tiek noteiktas indivīda īpašības, tostarp ar risku saistītie faktori un aizsardzības faktori, kas varētu būt ietekmējuši sodāmo uzvedību, un tiek informētas atbildīgās iestādes atbilstīgu lēmumu pieņemšanai, lai sekmētu un novērtētu savus iejaukšanās un/vai rehabilitācijas pasākumus, kā arī apcietinājumā un probācijā esošo personu pārvaldību un samazinātu noziedzīga nodarījuma pret dzimumneaizskaramību vai cita noziedzīga nodarījuma izdarīšanas risku nākotnē.</w:t>
      </w:r>
    </w:p>
    <w:p w14:paraId="3CADEBE9" w14:textId="77777777" w:rsidR="00803C00" w:rsidRPr="001E1BF5" w:rsidRDefault="00803C00" w:rsidP="001E1BF5">
      <w:pPr>
        <w:jc w:val="both"/>
        <w:rPr>
          <w:rFonts w:ascii="Times New Roman" w:eastAsia="Arial" w:hAnsi="Times New Roman" w:cs="Times New Roman"/>
          <w:noProof/>
          <w:sz w:val="24"/>
          <w:szCs w:val="24"/>
        </w:rPr>
      </w:pPr>
    </w:p>
    <w:p w14:paraId="77400B3E" w14:textId="4AABBE2F" w:rsidR="00803C00" w:rsidRPr="001E1BF5" w:rsidRDefault="00803C00" w:rsidP="006E0245">
      <w:pPr>
        <w:pStyle w:val="BodyText"/>
      </w:pPr>
      <w:r>
        <w:rPr>
          <w:b/>
          <w:i/>
          <w:iCs/>
        </w:rPr>
        <w:t>Riska vadība</w:t>
      </w:r>
      <w:r>
        <w:rPr>
          <w:b/>
        </w:rPr>
        <w:t xml:space="preserve"> – </w:t>
      </w:r>
      <w:r>
        <w:t>dažādu iejaukšanās un/vai rehabilitācijas pasākumu izvēles un piemērošanas process ieslodzījuma vietās un probācijas iestādēs, tostarp laikā pēc atbrīvošanas vai saistībā ar preventīvu uzraudzību, lai samazinātu noziedzīga nodarījuma pret dzimumneaizskaramību vai kāda cita noziedzīga nodarījuma izdarīšanas risku nākotnē un veicinātu reintegrāciju sabiedrībā.</w:t>
      </w:r>
    </w:p>
    <w:p w14:paraId="7F853DC5" w14:textId="77777777" w:rsidR="001E1BF5" w:rsidRDefault="001E1BF5" w:rsidP="001E1BF5">
      <w:pPr>
        <w:jc w:val="both"/>
        <w:rPr>
          <w:rFonts w:ascii="Times New Roman" w:hAnsi="Times New Roman" w:cs="Times New Roman"/>
          <w:noProof/>
          <w:sz w:val="24"/>
          <w:szCs w:val="24"/>
        </w:rPr>
      </w:pPr>
    </w:p>
    <w:p w14:paraId="33483E8F" w14:textId="1906A333" w:rsidR="00803C00" w:rsidRPr="001E1BF5" w:rsidRDefault="00803C00" w:rsidP="006E0245">
      <w:pPr>
        <w:pStyle w:val="BodyText"/>
      </w:pPr>
      <w:r>
        <w:rPr>
          <w:b/>
          <w:bCs/>
          <w:i/>
          <w:iCs/>
        </w:rPr>
        <w:t>Iejaukšanās un/vai rehabilitācijas pasākumi</w:t>
      </w:r>
      <w:r>
        <w:t xml:space="preserve"> – jebkura darbība, kas tiek veikta, lai atbalstītu vai ārstētu personas, kas apsūdzētas vai notiesātas par noziedzīgu nodarījumu pret dzimumneaizskaramību vai sniegtu palīdzību vai norādījumus šādām personām, lai veicinātu šādu personu kognitīvās un uzvedības izmaiņas un viņu sociālo reintegrāciju un atturētu tās no noziedzīgu nodarījumu pret dzimumneaizskaramību vai citu noziedzīgu nodarījumu izdarīšanas un lai palīdzētu tām dzīvot, ievērojot likumus.</w:t>
      </w:r>
    </w:p>
    <w:p w14:paraId="7594BAD4" w14:textId="77777777" w:rsidR="00803C00" w:rsidRPr="001E1BF5" w:rsidRDefault="00803C00" w:rsidP="001E1BF5">
      <w:pPr>
        <w:jc w:val="both"/>
        <w:rPr>
          <w:rFonts w:ascii="Times New Roman" w:eastAsia="Arial" w:hAnsi="Times New Roman" w:cs="Times New Roman"/>
          <w:noProof/>
          <w:sz w:val="24"/>
          <w:szCs w:val="24"/>
        </w:rPr>
      </w:pPr>
    </w:p>
    <w:p w14:paraId="65D050C6" w14:textId="79B1FD49" w:rsidR="00803C00" w:rsidRPr="001E1BF5" w:rsidRDefault="00803C00" w:rsidP="006E0245">
      <w:pPr>
        <w:pStyle w:val="BodyText"/>
      </w:pPr>
      <w:r>
        <w:rPr>
          <w:b/>
          <w:bCs/>
          <w:i/>
          <w:iCs/>
        </w:rPr>
        <w:t>Ieslodzījuma vietu pārvalde</w:t>
      </w:r>
      <w:r>
        <w:t xml:space="preserve"> – valsts iestāde, kurai saskaņā ar tiesību aktiem ir jāstrādā ar personām, kas ir apcietinātas vai kurām ir atņemta brīvība sakarā ar to, ka tiesu iestāde ir tās notiesājusi.</w:t>
      </w:r>
    </w:p>
    <w:p w14:paraId="03B79C37" w14:textId="77777777" w:rsidR="00803C00" w:rsidRPr="001E1BF5" w:rsidRDefault="00803C00" w:rsidP="001E1BF5">
      <w:pPr>
        <w:jc w:val="both"/>
        <w:rPr>
          <w:rFonts w:ascii="Times New Roman" w:eastAsia="Arial" w:hAnsi="Times New Roman" w:cs="Times New Roman"/>
          <w:noProof/>
          <w:sz w:val="24"/>
          <w:szCs w:val="24"/>
        </w:rPr>
      </w:pPr>
    </w:p>
    <w:p w14:paraId="35F0AD1E" w14:textId="48B958E2" w:rsidR="00803C00" w:rsidRPr="001E1BF5" w:rsidRDefault="00803C00" w:rsidP="006E0245">
      <w:pPr>
        <w:pStyle w:val="BodyText"/>
      </w:pPr>
      <w:r>
        <w:rPr>
          <w:b/>
          <w:i/>
        </w:rPr>
        <w:t>Ieslodzījuma vieta</w:t>
      </w:r>
      <w:r>
        <w:t xml:space="preserve"> – iestāde, kas paredzēta tādu personu turēšanai, kam tiesu iestāde ir piemērojusi apcietinājumu vai kurām ir atņemta brīvība sakarā ar to notiesāšanu.</w:t>
      </w:r>
    </w:p>
    <w:p w14:paraId="6D2E2825" w14:textId="77777777" w:rsidR="00803C00" w:rsidRPr="001E1BF5" w:rsidRDefault="00803C00" w:rsidP="001E1BF5">
      <w:pPr>
        <w:jc w:val="both"/>
        <w:rPr>
          <w:rFonts w:ascii="Times New Roman" w:eastAsia="Arial" w:hAnsi="Times New Roman" w:cs="Times New Roman"/>
          <w:noProof/>
          <w:sz w:val="24"/>
          <w:szCs w:val="24"/>
        </w:rPr>
      </w:pPr>
    </w:p>
    <w:p w14:paraId="1EC701E3" w14:textId="2E03D24E" w:rsidR="00803C00" w:rsidRPr="001E1BF5" w:rsidRDefault="00803C00" w:rsidP="006E0245">
      <w:pPr>
        <w:pStyle w:val="BodyText"/>
      </w:pPr>
      <w:r>
        <w:rPr>
          <w:b/>
          <w:bCs/>
          <w:i/>
          <w:iCs/>
        </w:rPr>
        <w:t>Probācija</w:t>
      </w:r>
      <w:r>
        <w:t xml:space="preserve"> – dažādas darbības un iejaukšanās pasākumi, tostarp uzraudzība, norādījumu sniegšana un palīdzība, ar mērķi samazināt atkārtota noziedzīga nodarījuma izdarīšanas iespējamību, veicināt par noziedzīgu nodarījumu pret dzimumneaizskaramību apsūdzētās vai notiesātās personas sociālo integrāciju, kā arī uzlabot sabiedrības drošību.</w:t>
      </w:r>
    </w:p>
    <w:p w14:paraId="53A0316A" w14:textId="77777777" w:rsidR="00803C00" w:rsidRPr="001E1BF5" w:rsidRDefault="00803C00" w:rsidP="001E1BF5">
      <w:pPr>
        <w:jc w:val="both"/>
        <w:rPr>
          <w:rFonts w:ascii="Times New Roman" w:eastAsia="Arial" w:hAnsi="Times New Roman" w:cs="Times New Roman"/>
          <w:noProof/>
          <w:sz w:val="24"/>
          <w:szCs w:val="24"/>
        </w:rPr>
      </w:pPr>
    </w:p>
    <w:p w14:paraId="43948214" w14:textId="07F4CDE0" w:rsidR="00803C00" w:rsidRPr="001E1BF5" w:rsidRDefault="00803C00" w:rsidP="006E0245">
      <w:pPr>
        <w:pStyle w:val="BodyText"/>
      </w:pPr>
      <w:r>
        <w:rPr>
          <w:b/>
          <w:bCs/>
          <w:i/>
          <w:iCs/>
        </w:rPr>
        <w:t xml:space="preserve">Probācijas dienests </w:t>
      </w:r>
      <w:r>
        <w:t>– iestāde, kurai saskaņā ar tiesību aktiem ir jāīsteno ar probāciju saistītie uzdevumi un pienākumi, jo īpaši sabiedrībā izciešamu sodu un piespiedu līdzekļu pārvaldība. Atkarībā no valsts sistēmas probācijas dienestam var būt arī šādas funkcijas: informācijas sniegšana tiesu iestādēm un citām lēmējiestādēm un to konsultēšana ar mērķi palīdzēt tām pieņemt apzinātus un taisnīgus lēmumus; norādījumu un atbalsta sniegšana par noziedzīgu nodarījumu pret dzimumneaizskaramību apsūdzētām vai notiesātām personām, kamēr tās atrodas apcietinājumā, lai sagatavotu tās atbrīvošanai un reintegrācijai; pirms termiņa atbrīvotu personu uzraudzība un palīdzības sniegšana šādām personām; atjaunotās justīcijas pasākumu veikšana un palīdzības piedāvāšana noziegumos cietušām personām.</w:t>
      </w:r>
    </w:p>
    <w:p w14:paraId="334F198D" w14:textId="77777777" w:rsidR="00803C00" w:rsidRPr="001E1BF5" w:rsidRDefault="00803C00" w:rsidP="001E1BF5">
      <w:pPr>
        <w:jc w:val="both"/>
        <w:rPr>
          <w:rFonts w:ascii="Times New Roman" w:hAnsi="Times New Roman" w:cs="Times New Roman"/>
          <w:noProof/>
          <w:sz w:val="24"/>
          <w:szCs w:val="24"/>
        </w:rPr>
      </w:pPr>
    </w:p>
    <w:p w14:paraId="7C93F95B" w14:textId="42F346FC" w:rsidR="00803C00" w:rsidRPr="001E1BF5" w:rsidRDefault="00803C00" w:rsidP="006E0245">
      <w:pPr>
        <w:pStyle w:val="BodyText"/>
      </w:pPr>
      <w:r>
        <w:rPr>
          <w:b/>
          <w:i/>
          <w:iCs/>
        </w:rPr>
        <w:t>Soda izpildes pasākumu plāns</w:t>
      </w:r>
      <w:r>
        <w:rPr>
          <w:b/>
        </w:rPr>
        <w:t xml:space="preserve"> – </w:t>
      </w:r>
      <w:r>
        <w:t>plāns, kurā ietverta informācija par konkrēta soda izpildi (neatkarīgi no tā, vai tas ir saistīts ar brīvības atņemšanu), par ko jāvienojas šādas izpildes sākumā. Tas ir balstīts uz dialogu starp speciālistu un notiesāto personu un individuālo risku un vajadzību faktoru novērtējumu.</w:t>
      </w:r>
    </w:p>
    <w:p w14:paraId="53D20EAB" w14:textId="315B1AE9" w:rsidR="00803C00" w:rsidRPr="001E1BF5" w:rsidRDefault="00803C00" w:rsidP="006E0245">
      <w:pPr>
        <w:pStyle w:val="BodyText"/>
      </w:pPr>
      <w:r>
        <w:t>Tajā ir norādīta soda struktūra un izpildes grafiks, noteikti mērķi, kas notiesātajai personai jāsasniedz, uzskaitītas darbības un iejaukšanās un/vai rehabilitācijas pasākumi, lai sniegtu atbalstu un palīdzību, lai samazinātu noziedzīga nodarījuma izdarīšanas iespējamību nākotnē un uzlabotu notiesātās personas izredzes rehabilitācijai un reintegrācijai sabiedrībā. Soda izpildes pasākumu plāns ir regulāri jāpārskata, lai to pielāgotu notiesātās personas progresam/regresam soda izciešanas laikā.</w:t>
      </w:r>
    </w:p>
    <w:p w14:paraId="3C89A4A4" w14:textId="77777777" w:rsidR="00803C00" w:rsidRPr="001E1BF5" w:rsidRDefault="00803C00" w:rsidP="001E1BF5">
      <w:pPr>
        <w:jc w:val="both"/>
        <w:rPr>
          <w:rFonts w:ascii="Times New Roman" w:eastAsia="Arial" w:hAnsi="Times New Roman" w:cs="Times New Roman"/>
          <w:noProof/>
          <w:sz w:val="24"/>
          <w:szCs w:val="24"/>
        </w:rPr>
      </w:pPr>
    </w:p>
    <w:p w14:paraId="077DFE59" w14:textId="18EFDC92" w:rsidR="00803C00" w:rsidRPr="001E1BF5" w:rsidRDefault="00CF1081" w:rsidP="00CF1081">
      <w:pPr>
        <w:pStyle w:val="Heading2"/>
        <w:tabs>
          <w:tab w:val="left" w:pos="813"/>
        </w:tabs>
        <w:ind w:left="0" w:firstLine="0"/>
        <w:jc w:val="both"/>
        <w:rPr>
          <w:rFonts w:ascii="Times New Roman" w:hAnsi="Times New Roman" w:cs="Times New Roman"/>
          <w:noProof/>
          <w:sz w:val="24"/>
          <w:szCs w:val="24"/>
        </w:rPr>
      </w:pPr>
      <w:r>
        <w:rPr>
          <w:rFonts w:ascii="Times New Roman" w:hAnsi="Times New Roman"/>
          <w:sz w:val="24"/>
        </w:rPr>
        <w:t>II. PAMATPRINCIPI</w:t>
      </w:r>
    </w:p>
    <w:p w14:paraId="07935CD9" w14:textId="77777777" w:rsidR="00803C00" w:rsidRPr="001E1BF5" w:rsidRDefault="00803C00" w:rsidP="001E1BF5">
      <w:pPr>
        <w:jc w:val="both"/>
        <w:rPr>
          <w:rFonts w:ascii="Times New Roman" w:eastAsia="Arial" w:hAnsi="Times New Roman" w:cs="Times New Roman"/>
          <w:b/>
          <w:bCs/>
          <w:noProof/>
          <w:sz w:val="24"/>
          <w:szCs w:val="24"/>
        </w:rPr>
      </w:pPr>
    </w:p>
    <w:p w14:paraId="3B5DB35E" w14:textId="52F40268" w:rsidR="00803C00" w:rsidRPr="001E1BF5" w:rsidRDefault="00CF1081" w:rsidP="000B705D">
      <w:pPr>
        <w:pStyle w:val="BodyText"/>
      </w:pPr>
      <w:r>
        <w:t>1. Ieslodzījuma vietu pārvaldēm un probācijas dienestiem jāvada un jācenšas reintegrēt personas, kas apsūdzētas vai notiesātas par noziedzīgu nodarījumu pret dzimumneaizskaramību, atbilstoši to radītajam riskam un saskaņā ar tādiem pašiem standartiem un principiem, ko piemēro citām to atbildībā esošajām personām.</w:t>
      </w:r>
    </w:p>
    <w:p w14:paraId="14B70261" w14:textId="77777777" w:rsidR="00803C00" w:rsidRPr="001E1BF5" w:rsidRDefault="00803C00" w:rsidP="001E1BF5">
      <w:pPr>
        <w:jc w:val="both"/>
        <w:rPr>
          <w:rFonts w:ascii="Times New Roman" w:eastAsia="Arial" w:hAnsi="Times New Roman" w:cs="Times New Roman"/>
          <w:noProof/>
          <w:sz w:val="24"/>
          <w:szCs w:val="24"/>
        </w:rPr>
      </w:pPr>
    </w:p>
    <w:p w14:paraId="4BE305ED" w14:textId="2753E357" w:rsidR="00803C00" w:rsidRPr="001E1BF5" w:rsidRDefault="00CF1081" w:rsidP="000B705D">
      <w:pPr>
        <w:pStyle w:val="BodyText"/>
      </w:pPr>
      <w:r>
        <w:t>2. Jāveic pozitīvi pasākumi, lai apmierinātu personu, kas apsūdzētas vai notiesātas par noziedzīgu nodarījumu pret dzimumneaizskaramību, atšķirīgās vajadzības, tostarp to atsevišķa izmitināšana ieslodzījuma vietā, ja to uzskata par nepieciešamu, un jānodrošina īpaša to pārvaldība ieslodzījuma vietā un probācijas laikā.</w:t>
      </w:r>
    </w:p>
    <w:p w14:paraId="5F6721E6" w14:textId="77777777" w:rsidR="00803C00" w:rsidRPr="001E1BF5" w:rsidRDefault="00803C00" w:rsidP="001E1BF5">
      <w:pPr>
        <w:jc w:val="both"/>
        <w:rPr>
          <w:rFonts w:ascii="Times New Roman" w:eastAsia="Arial" w:hAnsi="Times New Roman" w:cs="Times New Roman"/>
          <w:noProof/>
          <w:sz w:val="24"/>
          <w:szCs w:val="24"/>
        </w:rPr>
      </w:pPr>
    </w:p>
    <w:p w14:paraId="128C555D" w14:textId="4EDA7D14" w:rsidR="00803C00" w:rsidRPr="001E1BF5" w:rsidRDefault="000B705D" w:rsidP="00CF1081">
      <w:pPr>
        <w:pStyle w:val="BodyText"/>
      </w:pPr>
      <w:r>
        <w:t>3. Noziedzīgu nodarījumu pret dzimumneaizskaramību novēršana un reaģēšana uz tiem visefektīvāk notiek starpdisciplinārā vidē, iesaistot partneriestādes un atvieglojot informācijas, zināšanu un resursu apmaiņu, lai izveidotu kopīgu redzējumu par riska vadību un efektīvu sociālo reintegrāciju.</w:t>
      </w:r>
    </w:p>
    <w:p w14:paraId="2CB39E56" w14:textId="77777777" w:rsidR="00803C00" w:rsidRPr="001E1BF5" w:rsidRDefault="00803C00" w:rsidP="001E1BF5">
      <w:pPr>
        <w:jc w:val="both"/>
        <w:rPr>
          <w:rFonts w:ascii="Times New Roman" w:eastAsia="Arial" w:hAnsi="Times New Roman" w:cs="Times New Roman"/>
          <w:noProof/>
          <w:sz w:val="24"/>
          <w:szCs w:val="24"/>
        </w:rPr>
      </w:pPr>
    </w:p>
    <w:p w14:paraId="01CE2303" w14:textId="2D122F46" w:rsidR="00803C00" w:rsidRPr="001E1BF5" w:rsidRDefault="000B705D" w:rsidP="000B705D">
      <w:pPr>
        <w:pStyle w:val="BodyText"/>
      </w:pPr>
      <w:r>
        <w:t>4. Sodāma rīcība ir jāaplūko visaptveroši, ņemot vērā uzvedības, sociālos, psiholoģiskos un veselības faktorus.</w:t>
      </w:r>
    </w:p>
    <w:p w14:paraId="5C21CE6E" w14:textId="77777777" w:rsidR="00803C00" w:rsidRPr="001E1BF5" w:rsidRDefault="00803C00" w:rsidP="001E1BF5">
      <w:pPr>
        <w:jc w:val="both"/>
        <w:rPr>
          <w:rFonts w:ascii="Times New Roman" w:eastAsia="Arial" w:hAnsi="Times New Roman" w:cs="Times New Roman"/>
          <w:noProof/>
          <w:sz w:val="24"/>
          <w:szCs w:val="24"/>
        </w:rPr>
      </w:pPr>
    </w:p>
    <w:p w14:paraId="17F92F7A" w14:textId="7616987D" w:rsidR="00803C00" w:rsidRPr="001E1BF5" w:rsidRDefault="000B705D" w:rsidP="000B705D">
      <w:pPr>
        <w:pStyle w:val="BodyText"/>
      </w:pPr>
      <w:r>
        <w:t>5. Iejaukšanās un rehabilitācijas pasākumiem ir jābalstās uz pierādījumiem, tiem jābūt samērīgiem un jāiekļaujas vispusīgā pieejā, kas palīdz indivīdiem saistībā ar viņu sodāmo rīcību.</w:t>
      </w:r>
    </w:p>
    <w:p w14:paraId="4D9F19CF" w14:textId="77777777" w:rsidR="00803C00" w:rsidRPr="001E1BF5" w:rsidRDefault="00803C00" w:rsidP="001E1BF5">
      <w:pPr>
        <w:jc w:val="both"/>
        <w:rPr>
          <w:rFonts w:ascii="Times New Roman" w:eastAsia="Arial" w:hAnsi="Times New Roman" w:cs="Times New Roman"/>
          <w:noProof/>
          <w:sz w:val="24"/>
          <w:szCs w:val="24"/>
        </w:rPr>
      </w:pPr>
    </w:p>
    <w:p w14:paraId="6BAE06C5" w14:textId="672A889D" w:rsidR="00803C00" w:rsidRPr="001E1BF5" w:rsidRDefault="000B705D" w:rsidP="000B705D">
      <w:pPr>
        <w:pStyle w:val="BodyText"/>
      </w:pPr>
      <w:r>
        <w:t>6. Par noziedzīgiem nodarījumiem pret dzimumneaizskaramību apsūdzēto vai notiesāto personu sadarbības veicināšana ir visu efektīvas reintegrācijas aspektu, tostarp riska novērtējuma, riska vadības, rehabilitācijas un iejaukšanās pasākumu, galvenais faktors.</w:t>
      </w:r>
    </w:p>
    <w:p w14:paraId="2C2ACE52" w14:textId="77777777" w:rsidR="001E1BF5" w:rsidRDefault="001E1BF5" w:rsidP="001E1BF5">
      <w:pPr>
        <w:jc w:val="both"/>
        <w:rPr>
          <w:rFonts w:ascii="Times New Roman" w:hAnsi="Times New Roman" w:cs="Times New Roman"/>
          <w:noProof/>
          <w:sz w:val="24"/>
          <w:szCs w:val="24"/>
        </w:rPr>
      </w:pPr>
    </w:p>
    <w:p w14:paraId="75DAE31C" w14:textId="43705743" w:rsidR="00803C00" w:rsidRPr="001E1BF5" w:rsidRDefault="000B705D" w:rsidP="000B705D">
      <w:pPr>
        <w:pStyle w:val="BodyText"/>
      </w:pPr>
      <w:r>
        <w:t>7. Soda izpildes sākumā jāvienojas par individuāli pielāgotiem soda izpildes pasākumu plāniem, tie jāturpina līdz soda izpildes beigām un regulāri jāaktualizē. Izstrādājot un īstenojot soda izpildes pasākumu plānu, iespēju robežās jānoskaidro attiecīgās personas viedoklis un jācenšas izveidot sadarbību, lai radītu kopīgu redzējumu par šīs personas sociālo reintegrāciju.</w:t>
      </w:r>
    </w:p>
    <w:p w14:paraId="694790DF" w14:textId="77777777" w:rsidR="00803C00" w:rsidRPr="001E1BF5" w:rsidRDefault="00803C00" w:rsidP="001E1BF5">
      <w:pPr>
        <w:jc w:val="both"/>
        <w:rPr>
          <w:rFonts w:ascii="Times New Roman" w:eastAsia="Arial" w:hAnsi="Times New Roman" w:cs="Times New Roman"/>
          <w:noProof/>
          <w:sz w:val="24"/>
          <w:szCs w:val="24"/>
        </w:rPr>
      </w:pPr>
    </w:p>
    <w:p w14:paraId="798DA3D5" w14:textId="166F32A6" w:rsidR="00803C00" w:rsidRPr="001E1BF5" w:rsidRDefault="000B705D" w:rsidP="000B705D">
      <w:pPr>
        <w:pStyle w:val="BodyText"/>
      </w:pPr>
      <w:r>
        <w:t>8. Iestādēm, kas pārvalda personas, kas apsūdzētas vai notiesātas par noziedzīgu nodarījumu pret dzimumneaizskaramību, attiecīgā gadījumā jāsadarbojas ar vietējām kopienām, lai veicinātu riska vadības pieejas un personu sociālo reintegrāciju.</w:t>
      </w:r>
    </w:p>
    <w:p w14:paraId="49D32700" w14:textId="77777777" w:rsidR="00803C00" w:rsidRPr="001E1BF5" w:rsidRDefault="00803C00" w:rsidP="001E1BF5">
      <w:pPr>
        <w:jc w:val="both"/>
        <w:rPr>
          <w:rFonts w:ascii="Times New Roman" w:eastAsia="Arial" w:hAnsi="Times New Roman" w:cs="Times New Roman"/>
          <w:noProof/>
          <w:sz w:val="24"/>
          <w:szCs w:val="24"/>
        </w:rPr>
      </w:pPr>
    </w:p>
    <w:p w14:paraId="448C1852" w14:textId="31665570" w:rsidR="00803C00" w:rsidRPr="001E1BF5" w:rsidRDefault="000B705D" w:rsidP="000B705D">
      <w:pPr>
        <w:pStyle w:val="BodyText"/>
      </w:pPr>
      <w:r>
        <w:t>9. Iespēju robežās jāveic pasākumi, lai izvairītos no rehabilitācijas vai iejaukšanās pasākumu pārtraukumiem, jo īpaši tad, kad apsūdzētā vai notiesātā persona tiek pārvietota no ieslodzījuma vietas uz probācijas dienestu un otrādi.</w:t>
      </w:r>
    </w:p>
    <w:p w14:paraId="4D8DDC27" w14:textId="77777777" w:rsidR="00803C00" w:rsidRPr="001E1BF5" w:rsidRDefault="00803C00" w:rsidP="001E1BF5">
      <w:pPr>
        <w:jc w:val="both"/>
        <w:rPr>
          <w:rFonts w:ascii="Times New Roman" w:eastAsia="Arial" w:hAnsi="Times New Roman" w:cs="Times New Roman"/>
          <w:noProof/>
          <w:sz w:val="24"/>
          <w:szCs w:val="24"/>
        </w:rPr>
      </w:pPr>
    </w:p>
    <w:p w14:paraId="5643A041" w14:textId="657F4D50" w:rsidR="00803C00" w:rsidRPr="001E1BF5" w:rsidRDefault="000B705D" w:rsidP="000B705D">
      <w:pPr>
        <w:pStyle w:val="BodyText"/>
      </w:pPr>
      <w:r>
        <w:t>10. Attiecīgā gadījumā jāveicina starptautiskā sadarbība saskaņā ar datu aizsardzības noteikumiem un starptautiskajiem līgumiem, lai nodrošinātu sabiedrības aizsardzību, vienlaikus garantējot atbilstošu personas datu aizsardzības līmeni.</w:t>
      </w:r>
    </w:p>
    <w:p w14:paraId="7B67C084" w14:textId="77777777" w:rsidR="00803C00" w:rsidRPr="001E1BF5" w:rsidRDefault="00803C00" w:rsidP="001E1BF5">
      <w:pPr>
        <w:jc w:val="both"/>
        <w:rPr>
          <w:rFonts w:ascii="Times New Roman" w:eastAsia="Arial" w:hAnsi="Times New Roman" w:cs="Times New Roman"/>
          <w:noProof/>
          <w:sz w:val="24"/>
          <w:szCs w:val="24"/>
        </w:rPr>
      </w:pPr>
    </w:p>
    <w:p w14:paraId="56517F2A" w14:textId="647A9C81" w:rsidR="00803C00" w:rsidRPr="001E1BF5" w:rsidRDefault="000B705D" w:rsidP="000B705D">
      <w:pPr>
        <w:pStyle w:val="Heading2"/>
        <w:tabs>
          <w:tab w:val="left" w:pos="808"/>
        </w:tabs>
        <w:ind w:left="0" w:firstLine="0"/>
        <w:jc w:val="both"/>
        <w:rPr>
          <w:rFonts w:ascii="Times New Roman" w:hAnsi="Times New Roman" w:cs="Times New Roman"/>
          <w:noProof/>
          <w:sz w:val="24"/>
          <w:szCs w:val="24"/>
        </w:rPr>
      </w:pPr>
      <w:r>
        <w:rPr>
          <w:rFonts w:ascii="Times New Roman" w:hAnsi="Times New Roman"/>
          <w:sz w:val="24"/>
        </w:rPr>
        <w:t>III. RISKA UN VAJADZĪBU NOVĒRTĒJUMS</w:t>
      </w:r>
    </w:p>
    <w:p w14:paraId="0F8847CD" w14:textId="77777777" w:rsidR="00803C00" w:rsidRPr="001E1BF5" w:rsidRDefault="00803C00" w:rsidP="001E1BF5">
      <w:pPr>
        <w:jc w:val="both"/>
        <w:rPr>
          <w:rFonts w:ascii="Times New Roman" w:eastAsia="Arial" w:hAnsi="Times New Roman" w:cs="Times New Roman"/>
          <w:b/>
          <w:bCs/>
          <w:noProof/>
          <w:sz w:val="24"/>
          <w:szCs w:val="24"/>
        </w:rPr>
      </w:pPr>
    </w:p>
    <w:p w14:paraId="7A373945" w14:textId="559ACCB9" w:rsidR="00803C00" w:rsidRPr="001E1BF5" w:rsidRDefault="000B705D" w:rsidP="000B705D">
      <w:pPr>
        <w:pStyle w:val="BodyText"/>
      </w:pPr>
      <w:r>
        <w:t>11. Riska novērtējums kriminālprocesā jāveic pēc iespējas ātrāk, izmantojot noteiktu formālu procedūru un apstiprinātus riska novērtēšanas rīkus, lai sniegtu informāciju par soda izpildes un vadības plāniem, kā arī pirmssprieduma ziņojumus, ja tos pieprasa tiesas.</w:t>
      </w:r>
    </w:p>
    <w:p w14:paraId="339CF5F1" w14:textId="77777777" w:rsidR="00803C00" w:rsidRPr="001E1BF5" w:rsidRDefault="00803C00" w:rsidP="001E1BF5">
      <w:pPr>
        <w:jc w:val="both"/>
        <w:rPr>
          <w:rFonts w:ascii="Times New Roman" w:eastAsia="Arial" w:hAnsi="Times New Roman" w:cs="Times New Roman"/>
          <w:noProof/>
          <w:sz w:val="24"/>
          <w:szCs w:val="24"/>
        </w:rPr>
      </w:pPr>
    </w:p>
    <w:p w14:paraId="2793EB5B" w14:textId="53749245" w:rsidR="00803C00" w:rsidRPr="001E1BF5" w:rsidRDefault="000B705D" w:rsidP="000B705D">
      <w:pPr>
        <w:pStyle w:val="BodyText"/>
      </w:pPr>
      <w:r>
        <w:t>12. Riska novērtējumam jābūt visaptverošam un tas regulāri jāatjaunina kā priekšnoteikums apzinātu lēmumu pieņemšanai attiecībā uz tādu personu, kas apsūdzētas vai notiesātas par noziedzīgu nodarījumu pret dzimumneaizskaramību, pārvaldību, iejaukšanās un/vai rehabilitācijas pasākumiem.</w:t>
      </w:r>
    </w:p>
    <w:p w14:paraId="70B8BC80" w14:textId="77777777" w:rsidR="00803C00" w:rsidRPr="001E1BF5" w:rsidRDefault="00803C00" w:rsidP="001E1BF5">
      <w:pPr>
        <w:jc w:val="both"/>
        <w:rPr>
          <w:rFonts w:ascii="Times New Roman" w:eastAsia="Arial" w:hAnsi="Times New Roman" w:cs="Times New Roman"/>
          <w:noProof/>
          <w:sz w:val="24"/>
          <w:szCs w:val="24"/>
        </w:rPr>
      </w:pPr>
    </w:p>
    <w:p w14:paraId="7A246E69" w14:textId="3CD6E91F" w:rsidR="00803C00" w:rsidRPr="001E1BF5" w:rsidRDefault="000B705D" w:rsidP="000B705D">
      <w:pPr>
        <w:pStyle w:val="BodyText"/>
      </w:pPr>
      <w:r>
        <w:t>13. Ja pastāv bažas par psihiskiem traucējumiem, riska novērtējums jāveic, vispirms ņemot vērā psihiatrisko pārbaudi, diagnozi un ārstēšanu.</w:t>
      </w:r>
    </w:p>
    <w:p w14:paraId="62ACB258" w14:textId="77777777" w:rsidR="00803C00" w:rsidRPr="001E1BF5" w:rsidRDefault="00803C00" w:rsidP="001E1BF5">
      <w:pPr>
        <w:jc w:val="both"/>
        <w:rPr>
          <w:rFonts w:ascii="Times New Roman" w:eastAsia="Arial" w:hAnsi="Times New Roman" w:cs="Times New Roman"/>
          <w:noProof/>
          <w:sz w:val="24"/>
          <w:szCs w:val="24"/>
        </w:rPr>
      </w:pPr>
    </w:p>
    <w:p w14:paraId="1642D215" w14:textId="6AAF9868" w:rsidR="00803C00" w:rsidRPr="001E1BF5" w:rsidRDefault="000B705D" w:rsidP="000B705D">
      <w:pPr>
        <w:pStyle w:val="BodyText"/>
      </w:pPr>
      <w:r>
        <w:t>14. Riska novērtēšanas speciālistiem, sniedzot novērtējumu, jābūt taisnīgiem un objektīviem.</w:t>
      </w:r>
    </w:p>
    <w:p w14:paraId="1C8229A0" w14:textId="77777777" w:rsidR="00803C00" w:rsidRPr="001E1BF5" w:rsidRDefault="00803C00" w:rsidP="001E1BF5">
      <w:pPr>
        <w:jc w:val="both"/>
        <w:rPr>
          <w:rFonts w:ascii="Times New Roman" w:eastAsia="Arial" w:hAnsi="Times New Roman" w:cs="Times New Roman"/>
          <w:noProof/>
          <w:sz w:val="24"/>
          <w:szCs w:val="24"/>
        </w:rPr>
      </w:pPr>
    </w:p>
    <w:p w14:paraId="4883A93B" w14:textId="1886A6B6" w:rsidR="00803C00" w:rsidRPr="001E1BF5" w:rsidRDefault="000B705D" w:rsidP="000B705D">
      <w:pPr>
        <w:pStyle w:val="Heading2"/>
        <w:tabs>
          <w:tab w:val="left" w:pos="808"/>
        </w:tabs>
        <w:ind w:left="0" w:firstLine="0"/>
        <w:jc w:val="both"/>
        <w:rPr>
          <w:rFonts w:ascii="Times New Roman" w:hAnsi="Times New Roman" w:cs="Times New Roman"/>
          <w:noProof/>
          <w:sz w:val="24"/>
          <w:szCs w:val="24"/>
        </w:rPr>
      </w:pPr>
      <w:r>
        <w:rPr>
          <w:rFonts w:ascii="Times New Roman" w:hAnsi="Times New Roman"/>
          <w:sz w:val="24"/>
        </w:rPr>
        <w:t>IV. PĀRVALDĪBA, IEJAUKŠANĀS UN REHABILITĀCIJAS PASĀKUMI IESLODZĪJUMA VIETĀ</w:t>
      </w:r>
    </w:p>
    <w:p w14:paraId="7E00088F" w14:textId="77777777" w:rsidR="00803C00" w:rsidRPr="001E1BF5" w:rsidRDefault="00803C00" w:rsidP="001E1BF5">
      <w:pPr>
        <w:jc w:val="both"/>
        <w:rPr>
          <w:rFonts w:ascii="Times New Roman" w:eastAsia="Arial" w:hAnsi="Times New Roman" w:cs="Times New Roman"/>
          <w:b/>
          <w:bCs/>
          <w:noProof/>
          <w:sz w:val="24"/>
          <w:szCs w:val="24"/>
        </w:rPr>
      </w:pPr>
    </w:p>
    <w:p w14:paraId="625544C4" w14:textId="5E17D61F" w:rsidR="00803C00" w:rsidRPr="001E1BF5" w:rsidRDefault="000B705D" w:rsidP="000B705D">
      <w:pPr>
        <w:pStyle w:val="BodyText"/>
      </w:pPr>
      <w:r>
        <w:t>15. Uzņemšanas ieslodzījuma vietā laikā ir jāveic riska novērtējums vai tas jāatjaunina. Ja iespējams un tiek uzskatīts par nepieciešamu, ieslodzītie, kas apsūdzēti vai notiesāti par noziedzīgu nodarījumu pret dzimumneaizskaramību, jāizmitina atsevišķā izvērtēšanas un pagaidu izvietošanas nodaļā, lai veicinātu šo procesu.</w:t>
      </w:r>
    </w:p>
    <w:p w14:paraId="7C3C05EA" w14:textId="77777777" w:rsidR="00803C00" w:rsidRPr="001E1BF5" w:rsidRDefault="00803C00" w:rsidP="001E1BF5">
      <w:pPr>
        <w:jc w:val="both"/>
        <w:rPr>
          <w:rFonts w:ascii="Times New Roman" w:eastAsia="Arial" w:hAnsi="Times New Roman" w:cs="Times New Roman"/>
          <w:noProof/>
          <w:sz w:val="24"/>
          <w:szCs w:val="24"/>
        </w:rPr>
      </w:pPr>
    </w:p>
    <w:p w14:paraId="25BBE5BC" w14:textId="5FF048CE" w:rsidR="00803C00" w:rsidRPr="001E1BF5" w:rsidRDefault="000B705D" w:rsidP="000B705D">
      <w:pPr>
        <w:pStyle w:val="BodyText"/>
      </w:pPr>
      <w:r>
        <w:t>16. Ja riska novērtējums liecina, ka sabiedrībā izciešami sodi un piespiedu līdzekļi varētu veicināt rehabilitāciju un reintegrāciju, saskaņā ar valsts tiesību aktiem ir jāapsver iespēja ieslodzītajam piemērot nosacītu notiesāšanu vai pirmstermiņa nosacītu atbrīvošanu, ko var apvienot ar uzraudzību un kurā var ietvert pienākumu apmeklēt iejaukšanās pasākumus vai saņemt ārstēšanu.</w:t>
      </w:r>
    </w:p>
    <w:p w14:paraId="34691D5D" w14:textId="77777777" w:rsidR="00803C00" w:rsidRPr="001E1BF5" w:rsidRDefault="00803C00" w:rsidP="001E1BF5">
      <w:pPr>
        <w:jc w:val="both"/>
        <w:rPr>
          <w:rFonts w:ascii="Times New Roman" w:eastAsia="Arial" w:hAnsi="Times New Roman" w:cs="Times New Roman"/>
          <w:noProof/>
          <w:sz w:val="24"/>
          <w:szCs w:val="24"/>
        </w:rPr>
      </w:pPr>
    </w:p>
    <w:p w14:paraId="3F9837E0" w14:textId="2E323F01" w:rsidR="00803C00" w:rsidRPr="001E1BF5" w:rsidRDefault="000B705D" w:rsidP="000B705D">
      <w:pPr>
        <w:pStyle w:val="BodyText"/>
      </w:pPr>
      <w:r>
        <w:t>17. Nepieciešamības gadījumā ieslodzītajiem, kas apsūdzēti vai notiesāti par noziedzīgu nodarījumu pret dzimumneaizskaramību, jābūt pieejamiem aizsardzības pasākumiem, lai novērstu viktimizāciju un veicinātu motivāciju mainīties.</w:t>
      </w:r>
    </w:p>
    <w:p w14:paraId="4DA463F7" w14:textId="77777777" w:rsidR="00803C00" w:rsidRPr="001E1BF5" w:rsidRDefault="00803C00" w:rsidP="001E1BF5">
      <w:pPr>
        <w:jc w:val="both"/>
        <w:rPr>
          <w:rFonts w:ascii="Times New Roman" w:eastAsia="Arial" w:hAnsi="Times New Roman" w:cs="Times New Roman"/>
          <w:noProof/>
          <w:sz w:val="24"/>
          <w:szCs w:val="24"/>
        </w:rPr>
      </w:pPr>
    </w:p>
    <w:p w14:paraId="369BE188" w14:textId="32BFC5EB" w:rsidR="00803C00" w:rsidRPr="001E1BF5" w:rsidRDefault="000B705D" w:rsidP="000B705D">
      <w:pPr>
        <w:pStyle w:val="BodyText"/>
      </w:pPr>
      <w:r>
        <w:t>18. Personu, kas notiesātas par noziedzīgu nodarījumu pret dzimumneaizskaramību, soda izpildes pasākumu plānā jāietver pieejamība iejaukšanās un/vai rehabilitācijas pasākumiem, kas atbilst viņu sodāmajai rīcībai, un, pieņemot lēmumus par pirmstermiņa atbrīvošanu, jāņem vērā viņu pozitīva iesaistīšanās šādos pasākumos un to veiksmīga pabeigšana. Ja iespējams, personas, kas apsūdzētas par noziedzīgu nodarījumu pret dzimumneaizskaramību, var arī piekrist attiecīgu iejaukšanās un/vai rehabilitācijas pasākumu piemērošanai apcietinājumā.</w:t>
      </w:r>
    </w:p>
    <w:p w14:paraId="15280057" w14:textId="77777777" w:rsidR="00803C00" w:rsidRPr="001E1BF5" w:rsidRDefault="00803C00" w:rsidP="001E1BF5">
      <w:pPr>
        <w:jc w:val="both"/>
        <w:rPr>
          <w:rFonts w:ascii="Times New Roman" w:eastAsia="Arial" w:hAnsi="Times New Roman" w:cs="Times New Roman"/>
          <w:noProof/>
          <w:sz w:val="24"/>
          <w:szCs w:val="24"/>
        </w:rPr>
      </w:pPr>
    </w:p>
    <w:p w14:paraId="3AA1CC98" w14:textId="51EC1128" w:rsidR="00803C00" w:rsidRPr="001E1BF5" w:rsidRDefault="000B705D" w:rsidP="000B705D">
      <w:pPr>
        <w:pStyle w:val="Heading2"/>
        <w:tabs>
          <w:tab w:val="left" w:pos="808"/>
        </w:tabs>
        <w:ind w:left="0" w:firstLine="0"/>
        <w:jc w:val="both"/>
        <w:rPr>
          <w:rFonts w:ascii="Times New Roman" w:hAnsi="Times New Roman" w:cs="Times New Roman"/>
          <w:noProof/>
          <w:sz w:val="24"/>
          <w:szCs w:val="24"/>
        </w:rPr>
      </w:pPr>
      <w:r>
        <w:rPr>
          <w:rFonts w:ascii="Times New Roman" w:hAnsi="Times New Roman"/>
          <w:sz w:val="24"/>
        </w:rPr>
        <w:t>V. PĀRVALDĪBA, IEJAUKŠANĀS UN REHABILITĀCIJAS PASĀKUMI PROBĀCIJAS LAIKĀ</w:t>
      </w:r>
    </w:p>
    <w:p w14:paraId="6C32A587" w14:textId="77777777" w:rsidR="00803C00" w:rsidRPr="001E1BF5" w:rsidRDefault="00803C00" w:rsidP="001E1BF5">
      <w:pPr>
        <w:jc w:val="both"/>
        <w:rPr>
          <w:rFonts w:ascii="Times New Roman" w:eastAsia="Arial" w:hAnsi="Times New Roman" w:cs="Times New Roman"/>
          <w:b/>
          <w:bCs/>
          <w:noProof/>
          <w:sz w:val="24"/>
          <w:szCs w:val="24"/>
        </w:rPr>
      </w:pPr>
    </w:p>
    <w:p w14:paraId="6E0522BA" w14:textId="1A86A12B" w:rsidR="00803C00" w:rsidRPr="001E1BF5" w:rsidRDefault="000B705D" w:rsidP="000B705D">
      <w:pPr>
        <w:pStyle w:val="BodyText"/>
      </w:pPr>
      <w:r>
        <w:t>19. Sodu izpildes pasākumu plāniem jābūt individuāli pielāgotiem. Visos sodu izpildes pasākumu plānos jāņem vērā visi ierobežojumi, kas personai var tikt piemēroti, kā arī uz vietas pieejamie pakalpojumi, un jāliek uzsvars uz sadarbību starp dažādām iestādēm, lai pēc iespējas veicinātu to, ka persona ievēro plānu.</w:t>
      </w:r>
    </w:p>
    <w:p w14:paraId="4FEC66F3" w14:textId="77777777" w:rsidR="00803C00" w:rsidRPr="001E1BF5" w:rsidRDefault="00803C00" w:rsidP="001E1BF5">
      <w:pPr>
        <w:jc w:val="both"/>
        <w:rPr>
          <w:rFonts w:ascii="Times New Roman" w:eastAsia="Arial" w:hAnsi="Times New Roman" w:cs="Times New Roman"/>
          <w:noProof/>
          <w:sz w:val="24"/>
          <w:szCs w:val="24"/>
        </w:rPr>
      </w:pPr>
    </w:p>
    <w:p w14:paraId="3B365929" w14:textId="55898AAD" w:rsidR="00803C00" w:rsidRPr="001E1BF5" w:rsidRDefault="000B705D" w:rsidP="000B705D">
      <w:pPr>
        <w:pStyle w:val="BodyText"/>
      </w:pPr>
      <w:r>
        <w:t>20. Probācijas dienesta personālam, kas izstrādā personas soda izpildes pasākumu plānu, ir jāatbild par savas plāna daļas izpildi un par to jāatskaitās. Probācijas dienesta personālam regulāri jātiekas ar viņu aprūpē un/vai uzraudzībā esošām personām atbilstoši to radītajam riskam un vajadzībām.</w:t>
      </w:r>
    </w:p>
    <w:p w14:paraId="2F074E6A" w14:textId="77777777" w:rsidR="00803C00" w:rsidRPr="001E1BF5" w:rsidRDefault="00803C00" w:rsidP="001E1BF5">
      <w:pPr>
        <w:jc w:val="both"/>
        <w:rPr>
          <w:rFonts w:ascii="Times New Roman" w:eastAsia="Arial" w:hAnsi="Times New Roman" w:cs="Times New Roman"/>
          <w:noProof/>
          <w:sz w:val="24"/>
          <w:szCs w:val="24"/>
        </w:rPr>
      </w:pPr>
    </w:p>
    <w:p w14:paraId="46580E27" w14:textId="1F85ED35" w:rsidR="00803C00" w:rsidRPr="001E1BF5" w:rsidRDefault="000B705D" w:rsidP="000B705D">
      <w:pPr>
        <w:pStyle w:val="BodyText"/>
      </w:pPr>
      <w:r>
        <w:t>21. Personām, kas ir notiesātas par noziedzīgu nodarījumu pret dzimumneaizskaramību un atrodas probācijas uzraudzībā, jāpiedāvā piekļuve iejaukšanās un/vai rehabilitācijas pasākumiem, kas atbilst viņu sodāmajai rīcībai un vajadzībām.</w:t>
      </w:r>
    </w:p>
    <w:p w14:paraId="3B23B93F" w14:textId="77777777" w:rsidR="00803C00" w:rsidRPr="001E1BF5" w:rsidRDefault="00803C00" w:rsidP="001E1BF5">
      <w:pPr>
        <w:jc w:val="both"/>
        <w:rPr>
          <w:rFonts w:ascii="Times New Roman" w:eastAsia="Arial" w:hAnsi="Times New Roman" w:cs="Times New Roman"/>
          <w:noProof/>
          <w:sz w:val="24"/>
          <w:szCs w:val="24"/>
        </w:rPr>
      </w:pPr>
    </w:p>
    <w:p w14:paraId="64867FE0" w14:textId="52D60820" w:rsidR="00803C00" w:rsidRPr="001E1BF5" w:rsidRDefault="000B705D" w:rsidP="000B705D">
      <w:pPr>
        <w:pStyle w:val="BodyText"/>
      </w:pPr>
      <w:r>
        <w:t>22. Probācijas uzraudzībā esošās personas jāinformē par prasībām un pienākumiem, kas uz šīm personām attiecas probācijas laikā, kā arī par visiem ierobežojumiem, kas uz šīm personām var attiekties, un par jebkādām turpmākām izmaiņām.</w:t>
      </w:r>
    </w:p>
    <w:p w14:paraId="16E493FD" w14:textId="77777777" w:rsidR="00803C00" w:rsidRPr="001E1BF5" w:rsidRDefault="00803C00" w:rsidP="001E1BF5">
      <w:pPr>
        <w:jc w:val="both"/>
        <w:rPr>
          <w:rFonts w:ascii="Times New Roman" w:eastAsia="Arial" w:hAnsi="Times New Roman" w:cs="Times New Roman"/>
          <w:noProof/>
          <w:sz w:val="24"/>
          <w:szCs w:val="24"/>
        </w:rPr>
      </w:pPr>
    </w:p>
    <w:p w14:paraId="5A0DFBB1" w14:textId="5895F1A2" w:rsidR="00803C00" w:rsidRPr="001E1BF5" w:rsidRDefault="000B705D" w:rsidP="000B705D">
      <w:pPr>
        <w:pStyle w:val="BodyText"/>
      </w:pPr>
      <w:r>
        <w:t>23. Probācijas uzraudzības perioda beigās nepieciešamības gadījumā soda izpildes pasākumu plāns jāpārskata saistībā ar visiem spēkā esošiem ierobežojumiem vai jāpabeidz, un ieraksti pienācīgi jāglabā vai jāiznīcina saskaņā ar valsts tiesību aktiem.</w:t>
      </w:r>
    </w:p>
    <w:p w14:paraId="657DAAA3" w14:textId="77777777" w:rsidR="00803C00" w:rsidRPr="001E1BF5" w:rsidRDefault="00803C00" w:rsidP="001E1BF5">
      <w:pPr>
        <w:jc w:val="both"/>
        <w:rPr>
          <w:rFonts w:ascii="Times New Roman" w:eastAsia="Arial" w:hAnsi="Times New Roman" w:cs="Times New Roman"/>
          <w:noProof/>
          <w:sz w:val="24"/>
          <w:szCs w:val="24"/>
        </w:rPr>
      </w:pPr>
    </w:p>
    <w:p w14:paraId="21081A4A" w14:textId="39890330" w:rsidR="00803C00" w:rsidRPr="001E1BF5" w:rsidRDefault="000B705D" w:rsidP="000B705D">
      <w:pPr>
        <w:pStyle w:val="Heading2"/>
        <w:tabs>
          <w:tab w:val="left" w:pos="813"/>
        </w:tabs>
        <w:ind w:left="0" w:firstLine="0"/>
        <w:jc w:val="both"/>
        <w:rPr>
          <w:rFonts w:ascii="Times New Roman" w:hAnsi="Times New Roman" w:cs="Times New Roman"/>
          <w:noProof/>
          <w:sz w:val="24"/>
          <w:szCs w:val="24"/>
        </w:rPr>
      </w:pPr>
      <w:r>
        <w:rPr>
          <w:rFonts w:ascii="Times New Roman" w:hAnsi="Times New Roman"/>
          <w:sz w:val="24"/>
        </w:rPr>
        <w:t>VI. DATU VĀKŠANA, INFORMĀCIJAS APMAIŅA UN IESTĀŽU SADARBĪBA</w:t>
      </w:r>
    </w:p>
    <w:p w14:paraId="4EE55203" w14:textId="77777777" w:rsidR="00803C00" w:rsidRPr="001E1BF5" w:rsidRDefault="00803C00" w:rsidP="001E1BF5">
      <w:pPr>
        <w:jc w:val="both"/>
        <w:rPr>
          <w:rFonts w:ascii="Times New Roman" w:eastAsia="Arial" w:hAnsi="Times New Roman" w:cs="Times New Roman"/>
          <w:b/>
          <w:bCs/>
          <w:noProof/>
          <w:sz w:val="24"/>
          <w:szCs w:val="24"/>
        </w:rPr>
      </w:pPr>
    </w:p>
    <w:p w14:paraId="4E8821B8" w14:textId="62EBE469" w:rsidR="00803C00" w:rsidRPr="001E1BF5" w:rsidRDefault="0088746A" w:rsidP="0088746A">
      <w:pPr>
        <w:pStyle w:val="BodyText"/>
      </w:pPr>
      <w:r>
        <w:t>24. Jāapstrādā tikai attiecīgie dati attiecībā uz personu, kas apsūdzēta vai notiesāta par noziedzīgu nodarījumu pret dzimumneaizskaramību, un jebkurai datu apstrādei jānotiek saskaņā ar attiecīgajiem starptautiskajiem un valsts datu aizsardzības noteikumiem.</w:t>
      </w:r>
    </w:p>
    <w:p w14:paraId="57826782" w14:textId="77777777" w:rsidR="00803C00" w:rsidRPr="001E1BF5" w:rsidRDefault="00803C00" w:rsidP="001E1BF5">
      <w:pPr>
        <w:jc w:val="both"/>
        <w:rPr>
          <w:rFonts w:ascii="Times New Roman" w:eastAsia="Arial" w:hAnsi="Times New Roman" w:cs="Times New Roman"/>
          <w:noProof/>
          <w:sz w:val="24"/>
          <w:szCs w:val="24"/>
        </w:rPr>
      </w:pPr>
    </w:p>
    <w:p w14:paraId="40C9D3FF" w14:textId="4CBC1E99" w:rsidR="00803C00" w:rsidRPr="001E1BF5" w:rsidRDefault="0088746A" w:rsidP="0088746A">
      <w:pPr>
        <w:pStyle w:val="BodyText"/>
      </w:pPr>
      <w:r>
        <w:t>25. Īpaša uzmanība jāpievērš tam, lai stingri reglamentētu datu apstrādi un apmaiņu kriminālizmeklēšanas un tiesvedības ietvaros, tostarp konkrētiem noteikumiem par iesaistīto organizāciju pārskatatbildību.</w:t>
      </w:r>
    </w:p>
    <w:p w14:paraId="19D6BB73" w14:textId="77777777" w:rsidR="00803C00" w:rsidRPr="001E1BF5" w:rsidRDefault="00803C00" w:rsidP="001E1BF5">
      <w:pPr>
        <w:jc w:val="both"/>
        <w:rPr>
          <w:rFonts w:ascii="Times New Roman" w:eastAsia="Arial" w:hAnsi="Times New Roman" w:cs="Times New Roman"/>
          <w:noProof/>
          <w:sz w:val="24"/>
          <w:szCs w:val="24"/>
        </w:rPr>
      </w:pPr>
    </w:p>
    <w:p w14:paraId="5DE1EE23" w14:textId="2D70B630" w:rsidR="00803C00" w:rsidRPr="001E1BF5" w:rsidRDefault="0088746A" w:rsidP="0088746A">
      <w:pPr>
        <w:pStyle w:val="BodyText"/>
      </w:pPr>
      <w:r>
        <w:t>26. Jāievieš iekšējas vadlīnijas un efektīva sodu sistēma, lai cīnītos pret šādu datu nevērīgu apstrādi vai apzinātu nepareizu izmantošanu.</w:t>
      </w:r>
    </w:p>
    <w:p w14:paraId="3F7999DE" w14:textId="77777777" w:rsidR="00803C00" w:rsidRPr="001E1BF5" w:rsidRDefault="00803C00" w:rsidP="001E1BF5">
      <w:pPr>
        <w:jc w:val="both"/>
        <w:rPr>
          <w:rFonts w:ascii="Times New Roman" w:eastAsia="Arial" w:hAnsi="Times New Roman" w:cs="Times New Roman"/>
          <w:noProof/>
          <w:sz w:val="24"/>
          <w:szCs w:val="24"/>
        </w:rPr>
      </w:pPr>
    </w:p>
    <w:p w14:paraId="3710BBBB" w14:textId="4E2B2C93" w:rsidR="00803C00" w:rsidRPr="001E1BF5" w:rsidRDefault="0088746A" w:rsidP="0088746A">
      <w:pPr>
        <w:pStyle w:val="BodyText"/>
      </w:pPr>
      <w:r>
        <w:t>27. Datu glabāšanas un iznīcināšanas kārtībai jābūt stingri reglamentētai, un tā periodiski jāpārskata.</w:t>
      </w:r>
    </w:p>
    <w:p w14:paraId="17FEC5DC" w14:textId="77777777" w:rsidR="00803C00" w:rsidRPr="001E1BF5" w:rsidRDefault="00803C00" w:rsidP="001E1BF5">
      <w:pPr>
        <w:jc w:val="both"/>
        <w:rPr>
          <w:rFonts w:ascii="Times New Roman" w:eastAsia="Arial" w:hAnsi="Times New Roman" w:cs="Times New Roman"/>
          <w:noProof/>
          <w:sz w:val="24"/>
          <w:szCs w:val="24"/>
        </w:rPr>
      </w:pPr>
    </w:p>
    <w:p w14:paraId="23F942FE" w14:textId="2FBD3BE9" w:rsidR="00803C00" w:rsidRPr="001E1BF5" w:rsidRDefault="0088746A" w:rsidP="0088746A">
      <w:pPr>
        <w:pStyle w:val="BodyText"/>
      </w:pPr>
      <w:r>
        <w:t>28. Valstīs, kurās pastāv reģistri vai sabiedrības informēšanas sistēmas saistībā ar personām, kas notiesātas par noziedzīgu nodarījumu pret dzimumneaizskaramību, attiecīgā persona par šādu politiku ir jāinformē pilnā apmērā. Šādas personas un attiecīgās iestādes ir jāinformē, ja kāds par sevi ir saņēmis ziņu par informācijas izpaušanu.</w:t>
      </w:r>
    </w:p>
    <w:p w14:paraId="2C8BDB59" w14:textId="77777777" w:rsidR="00803C00" w:rsidRPr="001E1BF5" w:rsidRDefault="00803C00" w:rsidP="001E1BF5">
      <w:pPr>
        <w:jc w:val="both"/>
        <w:rPr>
          <w:rFonts w:ascii="Times New Roman" w:eastAsia="Arial" w:hAnsi="Times New Roman" w:cs="Times New Roman"/>
          <w:noProof/>
          <w:sz w:val="24"/>
          <w:szCs w:val="24"/>
        </w:rPr>
      </w:pPr>
    </w:p>
    <w:p w14:paraId="0C6AAD57" w14:textId="643E09C6" w:rsidR="00803C00" w:rsidRPr="001E1BF5" w:rsidRDefault="0088746A" w:rsidP="0088746A">
      <w:pPr>
        <w:pStyle w:val="BodyText"/>
      </w:pPr>
      <w:r>
        <w:t>29. Sabiedrības aizsardzības nolūkos ir jābūt divpusējiem un daudzpusējiem nolīgumiem par informācijas apmaiņu saskaņā ar spēkā esošajiem valsts un starptautiskajiem datu aizsardzības noteikumiem.</w:t>
      </w:r>
    </w:p>
    <w:p w14:paraId="7388AB6F" w14:textId="77777777" w:rsidR="00803C00" w:rsidRPr="001E1BF5" w:rsidRDefault="00803C00" w:rsidP="001E1BF5">
      <w:pPr>
        <w:jc w:val="both"/>
        <w:rPr>
          <w:rFonts w:ascii="Times New Roman" w:eastAsia="Arial" w:hAnsi="Times New Roman" w:cs="Times New Roman"/>
          <w:noProof/>
          <w:sz w:val="24"/>
          <w:szCs w:val="24"/>
        </w:rPr>
      </w:pPr>
    </w:p>
    <w:p w14:paraId="5D25B071" w14:textId="48E201E1" w:rsidR="00803C00" w:rsidRPr="001E1BF5" w:rsidRDefault="002828C5" w:rsidP="002828C5">
      <w:pPr>
        <w:pStyle w:val="Heading2"/>
        <w:tabs>
          <w:tab w:val="left" w:pos="813"/>
        </w:tabs>
        <w:ind w:left="0" w:firstLine="0"/>
        <w:jc w:val="both"/>
        <w:rPr>
          <w:rFonts w:ascii="Times New Roman" w:hAnsi="Times New Roman" w:cs="Times New Roman"/>
          <w:noProof/>
          <w:sz w:val="24"/>
          <w:szCs w:val="24"/>
        </w:rPr>
      </w:pPr>
      <w:r>
        <w:rPr>
          <w:rFonts w:ascii="Times New Roman" w:hAnsi="Times New Roman"/>
          <w:sz w:val="24"/>
        </w:rPr>
        <w:t>VII. CIETUŠIE UN KOPIENAS ATBALSTS</w:t>
      </w:r>
    </w:p>
    <w:p w14:paraId="09EEC748" w14:textId="77777777" w:rsidR="00803C00" w:rsidRPr="001E1BF5" w:rsidRDefault="00803C00" w:rsidP="001E1BF5">
      <w:pPr>
        <w:jc w:val="both"/>
        <w:rPr>
          <w:rFonts w:ascii="Times New Roman" w:eastAsia="Arial" w:hAnsi="Times New Roman" w:cs="Times New Roman"/>
          <w:b/>
          <w:bCs/>
          <w:noProof/>
          <w:sz w:val="24"/>
          <w:szCs w:val="24"/>
        </w:rPr>
      </w:pPr>
    </w:p>
    <w:p w14:paraId="285FBBAC" w14:textId="4B0E3BD2" w:rsidR="00803C00" w:rsidRPr="001E1BF5" w:rsidRDefault="002828C5" w:rsidP="002828C5">
      <w:pPr>
        <w:pStyle w:val="BodyText"/>
      </w:pPr>
      <w:r>
        <w:t>30. Valsts tiesību aktos jānosaka un jāprecizē cietušo tiesības saņemt informāciju par to personu atbrīvošanu, kas notiesātas par noziedzīgu nodarījumu pret dzimumneaizskaramību.</w:t>
      </w:r>
    </w:p>
    <w:p w14:paraId="7BAF76E5" w14:textId="77777777" w:rsidR="00803C00" w:rsidRPr="001E1BF5" w:rsidRDefault="00803C00" w:rsidP="001E1BF5">
      <w:pPr>
        <w:jc w:val="both"/>
        <w:rPr>
          <w:rFonts w:ascii="Times New Roman" w:eastAsia="Arial" w:hAnsi="Times New Roman" w:cs="Times New Roman"/>
          <w:noProof/>
          <w:sz w:val="24"/>
          <w:szCs w:val="24"/>
        </w:rPr>
      </w:pPr>
    </w:p>
    <w:p w14:paraId="15711EFD" w14:textId="191F8C23" w:rsidR="00803C00" w:rsidRPr="001E1BF5" w:rsidRDefault="002828C5" w:rsidP="002828C5">
      <w:pPr>
        <w:pStyle w:val="BodyText"/>
      </w:pPr>
      <w:r>
        <w:t>31. Nepieciešamības gadījumā ieslodzījuma vietu pārvaldēm un probācijas dienestiem jāsadarbojas ar citām tiesībsargājošām iestādēm, kā arī ar cietušo atbalsta dienestiem un attiecīgā gadījumā ar citām iestādēm, lai nodrošinātu cietušo vajadzību apmierināšanu un izvairītos no turpmākas viktimizācijas.</w:t>
      </w:r>
    </w:p>
    <w:p w14:paraId="2FBE83B0" w14:textId="77777777" w:rsidR="00803C00" w:rsidRPr="001E1BF5" w:rsidRDefault="00803C00" w:rsidP="001E1BF5">
      <w:pPr>
        <w:jc w:val="both"/>
        <w:rPr>
          <w:rFonts w:ascii="Times New Roman" w:eastAsia="Arial" w:hAnsi="Times New Roman" w:cs="Times New Roman"/>
          <w:noProof/>
          <w:sz w:val="24"/>
          <w:szCs w:val="24"/>
        </w:rPr>
      </w:pPr>
    </w:p>
    <w:p w14:paraId="3ACEBE1F" w14:textId="03966D04" w:rsidR="00803C00" w:rsidRPr="001E1BF5" w:rsidRDefault="002828C5" w:rsidP="002828C5">
      <w:pPr>
        <w:pStyle w:val="BodyText"/>
      </w:pPr>
      <w:r>
        <w:t>32. Attiecīgā gadījumā var izmantot iejaukšanās pasākumus, kuru mērķis ir kopienas atbalsts un iesaistīšanās. Tomēr tie ir jāapstiprina probācijas dienestam, un tie neaizstāj probācijas uzraudzību.</w:t>
      </w:r>
    </w:p>
    <w:p w14:paraId="2860742B" w14:textId="77777777" w:rsidR="00803C00" w:rsidRPr="001E1BF5" w:rsidRDefault="00803C00" w:rsidP="001E1BF5">
      <w:pPr>
        <w:jc w:val="both"/>
        <w:rPr>
          <w:rFonts w:ascii="Times New Roman" w:eastAsia="Arial" w:hAnsi="Times New Roman" w:cs="Times New Roman"/>
          <w:noProof/>
          <w:sz w:val="24"/>
          <w:szCs w:val="24"/>
        </w:rPr>
      </w:pPr>
    </w:p>
    <w:p w14:paraId="17556559" w14:textId="436F615E" w:rsidR="00803C00" w:rsidRPr="001E1BF5" w:rsidRDefault="002828C5" w:rsidP="002828C5">
      <w:pPr>
        <w:pStyle w:val="BodyText"/>
      </w:pPr>
      <w:r>
        <w:t>33. Jāveicina dalība atjaunojošās justīcijas pasākumos, ja tie ir pieejami un piemēroti, informējot par šo pasākumu veidu, nozīmi un pieejamību.</w:t>
      </w:r>
    </w:p>
    <w:p w14:paraId="421DC500" w14:textId="77777777" w:rsidR="00803C00" w:rsidRPr="001E1BF5" w:rsidRDefault="00803C00" w:rsidP="001E1BF5">
      <w:pPr>
        <w:jc w:val="both"/>
        <w:rPr>
          <w:rFonts w:ascii="Times New Roman" w:eastAsia="Arial" w:hAnsi="Times New Roman" w:cs="Times New Roman"/>
          <w:noProof/>
          <w:sz w:val="24"/>
          <w:szCs w:val="24"/>
        </w:rPr>
      </w:pPr>
    </w:p>
    <w:p w14:paraId="0B1B5749" w14:textId="0BE6C4E1" w:rsidR="00803C00" w:rsidRPr="001E1BF5" w:rsidRDefault="002828C5" w:rsidP="002828C5">
      <w:pPr>
        <w:pStyle w:val="Heading2"/>
        <w:tabs>
          <w:tab w:val="left" w:pos="813"/>
        </w:tabs>
        <w:ind w:left="0" w:firstLine="0"/>
        <w:jc w:val="both"/>
        <w:rPr>
          <w:rFonts w:ascii="Times New Roman" w:hAnsi="Times New Roman" w:cs="Times New Roman"/>
          <w:noProof/>
          <w:sz w:val="24"/>
          <w:szCs w:val="24"/>
        </w:rPr>
      </w:pPr>
      <w:r>
        <w:rPr>
          <w:rFonts w:ascii="Times New Roman" w:hAnsi="Times New Roman"/>
          <w:sz w:val="24"/>
        </w:rPr>
        <w:t>VIII. PERSONĀLA ATLASE UN MĀCĪBAS</w:t>
      </w:r>
    </w:p>
    <w:p w14:paraId="32F04D88" w14:textId="77777777" w:rsidR="00803C00" w:rsidRPr="001E1BF5" w:rsidRDefault="00803C00" w:rsidP="001E1BF5">
      <w:pPr>
        <w:jc w:val="both"/>
        <w:rPr>
          <w:rFonts w:ascii="Times New Roman" w:eastAsia="Arial" w:hAnsi="Times New Roman" w:cs="Times New Roman"/>
          <w:b/>
          <w:bCs/>
          <w:noProof/>
          <w:sz w:val="24"/>
          <w:szCs w:val="24"/>
        </w:rPr>
      </w:pPr>
    </w:p>
    <w:p w14:paraId="47DB3538" w14:textId="41628EFB" w:rsidR="00803C00" w:rsidRPr="001E1BF5" w:rsidRDefault="002828C5" w:rsidP="002828C5">
      <w:pPr>
        <w:pStyle w:val="BodyText"/>
      </w:pPr>
      <w:r>
        <w:t>34. Nosakot darbā pieņemšanas un atlases kritērijus personālam, kas strādā ar personām, kas ir apsūdzētas vai notiesātas par noziedzīgu nodarījumu pret dzimumneaizskaramību, jāņem vērā kandidātu personiskās spējas un profesionālā kvalifikācija, lai nodrošinātu kompetenci strādāt ar šādām personām.</w:t>
      </w:r>
    </w:p>
    <w:p w14:paraId="666F47E5" w14:textId="77777777" w:rsidR="001E1BF5" w:rsidRDefault="001E1BF5" w:rsidP="001E1BF5">
      <w:pPr>
        <w:jc w:val="both"/>
        <w:rPr>
          <w:rFonts w:ascii="Times New Roman" w:hAnsi="Times New Roman" w:cs="Times New Roman"/>
          <w:noProof/>
          <w:sz w:val="24"/>
          <w:szCs w:val="24"/>
        </w:rPr>
      </w:pPr>
    </w:p>
    <w:p w14:paraId="61DA3EED" w14:textId="22B33F75" w:rsidR="00803C00" w:rsidRPr="001E1BF5" w:rsidRDefault="007177DF" w:rsidP="007177DF">
      <w:pPr>
        <w:pStyle w:val="BodyText"/>
      </w:pPr>
      <w:r>
        <w:t>35. Ieslodzījuma vietu un probācijas dienesta darbiniekiem jābūt apmācītiem, lai atvieglotu par noziedzīgu nodarījumu pret dzimumneaizskaramību apsūdzētu vai notiesātu personu rehabilitāciju un sociālo reintegrāciju, izmantojot uz pierādījumiem balstītu programmu, kas paredz iejaukšanās pasākumus un/vai ar rehabilitāciju saistītas darbības, profesionālo mijiedarbību un palīdzību.</w:t>
      </w:r>
    </w:p>
    <w:p w14:paraId="0CACFD1E" w14:textId="77777777" w:rsidR="00803C00" w:rsidRPr="001E1BF5" w:rsidRDefault="00803C00" w:rsidP="001E1BF5">
      <w:pPr>
        <w:jc w:val="both"/>
        <w:rPr>
          <w:rFonts w:ascii="Times New Roman" w:eastAsia="Arial" w:hAnsi="Times New Roman" w:cs="Times New Roman"/>
          <w:noProof/>
          <w:sz w:val="24"/>
          <w:szCs w:val="24"/>
        </w:rPr>
      </w:pPr>
    </w:p>
    <w:p w14:paraId="63771467" w14:textId="5E8ECED6" w:rsidR="00803C00" w:rsidRPr="001E1BF5" w:rsidRDefault="007177DF" w:rsidP="007177DF">
      <w:pPr>
        <w:pStyle w:val="BodyText"/>
      </w:pPr>
      <w:r>
        <w:t>36. Rehabilitācijas un iejaukšanās pasākumu programmas jāīsteno īpaši apmācītiem ieslodzījuma vietas un probācijas dienesta darbiniekiem, un kvalificētiem speciālistiem ir rūpīgi jāuzrauga šīs personas.</w:t>
      </w:r>
    </w:p>
    <w:p w14:paraId="6A56AF92" w14:textId="77777777" w:rsidR="00803C00" w:rsidRPr="001E1BF5" w:rsidRDefault="00803C00" w:rsidP="001E1BF5">
      <w:pPr>
        <w:jc w:val="both"/>
        <w:rPr>
          <w:rFonts w:ascii="Times New Roman" w:eastAsia="Arial" w:hAnsi="Times New Roman" w:cs="Times New Roman"/>
          <w:noProof/>
          <w:sz w:val="24"/>
          <w:szCs w:val="24"/>
        </w:rPr>
      </w:pPr>
    </w:p>
    <w:p w14:paraId="1A9A736B" w14:textId="0C1CEC35" w:rsidR="00803C00" w:rsidRPr="001E1BF5" w:rsidRDefault="007177DF" w:rsidP="007177DF">
      <w:pPr>
        <w:pStyle w:val="BodyText"/>
      </w:pPr>
      <w:r>
        <w:t>37. Personālam jāpiedalās atbilstošās un regulārās mācībās, lai nodrošinātu, ka viņi ir apguvuši aktuālos jautājumus un spēj veikt savus pienākumus atbilstoši augstiem standartiem.</w:t>
      </w:r>
    </w:p>
    <w:p w14:paraId="324AA19E" w14:textId="77777777" w:rsidR="00803C00" w:rsidRPr="001E1BF5" w:rsidRDefault="00803C00" w:rsidP="001E1BF5">
      <w:pPr>
        <w:jc w:val="both"/>
        <w:rPr>
          <w:rFonts w:ascii="Times New Roman" w:eastAsia="Arial" w:hAnsi="Times New Roman" w:cs="Times New Roman"/>
          <w:noProof/>
          <w:sz w:val="24"/>
          <w:szCs w:val="24"/>
        </w:rPr>
      </w:pPr>
    </w:p>
    <w:p w14:paraId="74270AC1" w14:textId="67478038" w:rsidR="00803C00" w:rsidRPr="001E1BF5" w:rsidRDefault="007177DF" w:rsidP="007177DF">
      <w:pPr>
        <w:pStyle w:val="BodyText"/>
      </w:pPr>
      <w:r>
        <w:t>38. Personālam, kas strādā ar personām, kas apsūdzētas vai notiesātas par noziedzīgu nodarījumu pret dzimumneaizskaramību, ir jāsniedz pastāvīgs atbalsts un palīdzība, jo šāds personāls var tikt pakļauts pastiprinātai vikarējošai traumatizācijai, tam var parādīties ar stresu saistīti simptomi un tas var tikt stigmatizēts.</w:t>
      </w:r>
    </w:p>
    <w:p w14:paraId="18D47E95" w14:textId="77777777" w:rsidR="00803C00" w:rsidRPr="001E1BF5" w:rsidRDefault="00803C00" w:rsidP="001E1BF5">
      <w:pPr>
        <w:jc w:val="both"/>
        <w:rPr>
          <w:rFonts w:ascii="Times New Roman" w:eastAsia="Arial" w:hAnsi="Times New Roman" w:cs="Times New Roman"/>
          <w:noProof/>
          <w:sz w:val="24"/>
          <w:szCs w:val="24"/>
        </w:rPr>
      </w:pPr>
    </w:p>
    <w:p w14:paraId="2B08E655" w14:textId="5A7003D3" w:rsidR="00803C00" w:rsidRPr="001E1BF5" w:rsidRDefault="007177DF" w:rsidP="007177DF">
      <w:pPr>
        <w:pStyle w:val="Heading2"/>
        <w:tabs>
          <w:tab w:val="left" w:pos="808"/>
        </w:tabs>
        <w:ind w:left="0" w:firstLine="0"/>
        <w:jc w:val="both"/>
        <w:rPr>
          <w:rFonts w:ascii="Times New Roman" w:hAnsi="Times New Roman" w:cs="Times New Roman"/>
          <w:noProof/>
          <w:sz w:val="24"/>
          <w:szCs w:val="24"/>
        </w:rPr>
      </w:pPr>
      <w:r>
        <w:rPr>
          <w:rFonts w:ascii="Times New Roman" w:hAnsi="Times New Roman"/>
          <w:sz w:val="24"/>
        </w:rPr>
        <w:t>IX. PLAŠSAZIŅAS LĪDZEKĻI UN SAZIŅAS STRATĒĢIJA</w:t>
      </w:r>
    </w:p>
    <w:p w14:paraId="0F791A4E" w14:textId="77777777" w:rsidR="00803C00" w:rsidRPr="001E1BF5" w:rsidRDefault="00803C00" w:rsidP="001E1BF5">
      <w:pPr>
        <w:jc w:val="both"/>
        <w:rPr>
          <w:rFonts w:ascii="Times New Roman" w:eastAsia="Arial" w:hAnsi="Times New Roman" w:cs="Times New Roman"/>
          <w:b/>
          <w:bCs/>
          <w:noProof/>
          <w:sz w:val="24"/>
          <w:szCs w:val="24"/>
        </w:rPr>
      </w:pPr>
    </w:p>
    <w:p w14:paraId="33F2EA7E" w14:textId="1FCC8232" w:rsidR="00803C00" w:rsidRPr="001E1BF5" w:rsidRDefault="007177DF" w:rsidP="007177DF">
      <w:pPr>
        <w:pStyle w:val="BodyText"/>
      </w:pPr>
      <w:r>
        <w:t>39. Politikai un praksei, kas saistīta ar to personu novērtēšanu, pārvaldību un reintegrāciju, kas apsūdzētas vai notiesātas par noziedzīgu nodarījumu pret dzimumneaizskaramību, jābūt visiem pieejamai un sasniedzamai.</w:t>
      </w:r>
    </w:p>
    <w:p w14:paraId="091ABA8B" w14:textId="77777777" w:rsidR="00803C00" w:rsidRPr="001E1BF5" w:rsidRDefault="00803C00" w:rsidP="001E1BF5">
      <w:pPr>
        <w:jc w:val="both"/>
        <w:rPr>
          <w:rFonts w:ascii="Times New Roman" w:eastAsia="Arial" w:hAnsi="Times New Roman" w:cs="Times New Roman"/>
          <w:noProof/>
          <w:sz w:val="24"/>
          <w:szCs w:val="24"/>
        </w:rPr>
      </w:pPr>
    </w:p>
    <w:p w14:paraId="61732702" w14:textId="3EF1ABBA" w:rsidR="00803C00" w:rsidRPr="001E1BF5" w:rsidRDefault="007177DF" w:rsidP="007177DF">
      <w:pPr>
        <w:pStyle w:val="BodyText"/>
      </w:pPr>
      <w:r>
        <w:t>40. Ieslodzījuma vietu pārvaldēm un probācijas dienestiem jābūt skaidrai saziņas stratēģijai un jāieceļ darbinieks, kas būs dienesta pārstāvis.</w:t>
      </w:r>
    </w:p>
    <w:p w14:paraId="19AC60A1" w14:textId="77777777" w:rsidR="00803C00" w:rsidRPr="001E1BF5" w:rsidRDefault="00803C00" w:rsidP="001E1BF5">
      <w:pPr>
        <w:jc w:val="both"/>
        <w:rPr>
          <w:rFonts w:ascii="Times New Roman" w:eastAsia="Arial" w:hAnsi="Times New Roman" w:cs="Times New Roman"/>
          <w:noProof/>
          <w:sz w:val="24"/>
          <w:szCs w:val="24"/>
        </w:rPr>
      </w:pPr>
    </w:p>
    <w:p w14:paraId="0503BF5B" w14:textId="0D29C4E7" w:rsidR="00803C00" w:rsidRPr="001E1BF5" w:rsidRDefault="007177DF" w:rsidP="007177DF">
      <w:pPr>
        <w:pStyle w:val="BodyText"/>
      </w:pPr>
      <w:r>
        <w:t>41. Bez vadības apstiprinājuma nevienam personāla loceklim nevajadzētu sazināties ar plašsaziņas līdzekļiem par tās personas novērtējumu, rehabilitāciju vai pārvaldību, kas apsūdzēta vai notiesāta par noziedzīgu nodarījumu pret dzimumneaizskaramību.</w:t>
      </w:r>
    </w:p>
    <w:p w14:paraId="7BD0C8BE" w14:textId="77777777" w:rsidR="00803C00" w:rsidRPr="001E1BF5" w:rsidRDefault="00803C00" w:rsidP="001E1BF5">
      <w:pPr>
        <w:jc w:val="both"/>
        <w:rPr>
          <w:rFonts w:ascii="Times New Roman" w:eastAsia="Arial" w:hAnsi="Times New Roman" w:cs="Times New Roman"/>
          <w:noProof/>
          <w:sz w:val="24"/>
          <w:szCs w:val="24"/>
        </w:rPr>
      </w:pPr>
    </w:p>
    <w:p w14:paraId="13B21431" w14:textId="671824EB" w:rsidR="00803C00" w:rsidRPr="001E1BF5" w:rsidRDefault="007177DF" w:rsidP="007177DF">
      <w:pPr>
        <w:pStyle w:val="BodyText"/>
      </w:pPr>
      <w:r>
        <w:t>42. Jābūt skaidrai, precīzi definētai tādai plašsaziņas līdzekļu informēšanas stratēģijai visas īpaši svarīgās informācijas paušanai, kas ir izstrādāta iepriekš un atbilst datu aizsardzības noteikumiem.</w:t>
      </w:r>
    </w:p>
    <w:p w14:paraId="31BD5652" w14:textId="77777777" w:rsidR="00803C00" w:rsidRPr="001E1BF5" w:rsidRDefault="00803C00" w:rsidP="001E1BF5">
      <w:pPr>
        <w:jc w:val="both"/>
        <w:rPr>
          <w:rFonts w:ascii="Times New Roman" w:eastAsia="Arial" w:hAnsi="Times New Roman" w:cs="Times New Roman"/>
          <w:noProof/>
          <w:sz w:val="24"/>
          <w:szCs w:val="24"/>
        </w:rPr>
      </w:pPr>
    </w:p>
    <w:p w14:paraId="47A55C4F" w14:textId="4B63B0BE" w:rsidR="00803C00" w:rsidRPr="001E1BF5" w:rsidRDefault="007177DF" w:rsidP="007177DF">
      <w:pPr>
        <w:pStyle w:val="Heading2"/>
        <w:tabs>
          <w:tab w:val="left" w:pos="808"/>
        </w:tabs>
        <w:ind w:left="0" w:firstLine="0"/>
        <w:jc w:val="both"/>
        <w:rPr>
          <w:rFonts w:ascii="Times New Roman" w:hAnsi="Times New Roman" w:cs="Times New Roman"/>
          <w:noProof/>
          <w:sz w:val="24"/>
          <w:szCs w:val="24"/>
        </w:rPr>
      </w:pPr>
      <w:r>
        <w:rPr>
          <w:rFonts w:ascii="Times New Roman" w:hAnsi="Times New Roman"/>
          <w:sz w:val="24"/>
        </w:rPr>
        <w:t>X. PĒTĪJUMI, IZVĒRTĒŠANA UN ATTĪSTĪBA</w:t>
      </w:r>
    </w:p>
    <w:p w14:paraId="2DD31858" w14:textId="77777777" w:rsidR="00803C00" w:rsidRPr="001E1BF5" w:rsidRDefault="00803C00" w:rsidP="001E1BF5">
      <w:pPr>
        <w:jc w:val="both"/>
        <w:rPr>
          <w:rFonts w:ascii="Times New Roman" w:eastAsia="Arial" w:hAnsi="Times New Roman" w:cs="Times New Roman"/>
          <w:b/>
          <w:bCs/>
          <w:noProof/>
          <w:sz w:val="24"/>
          <w:szCs w:val="24"/>
        </w:rPr>
      </w:pPr>
    </w:p>
    <w:p w14:paraId="1659B30D" w14:textId="1EE2890D" w:rsidR="00803C00" w:rsidRPr="001E1BF5" w:rsidRDefault="007177DF" w:rsidP="007177DF">
      <w:pPr>
        <w:pStyle w:val="BodyText"/>
      </w:pPr>
      <w:r>
        <w:t>43. Lai izstrādātu un regulāri atjauninātu iedibināto labo praksi, jāatbalsta un jāfinansē pētījumi un izvērtējums attiecībā uz sodu piespriešanu personām, kas apsūdzētas vai notiesātas par noziedzīgu nodarījumu pret dzimumneaizskaramību, un šo personu pārvaldību, kā arī jebkāda veida rehabilitācijas un/vai iejaukšanās pasākumiem.</w:t>
      </w:r>
    </w:p>
    <w:p w14:paraId="0A36AD5A" w14:textId="77777777" w:rsidR="00803C00" w:rsidRPr="001E1BF5" w:rsidRDefault="00803C00" w:rsidP="001E1BF5">
      <w:pPr>
        <w:jc w:val="both"/>
        <w:rPr>
          <w:rFonts w:ascii="Times New Roman" w:eastAsia="Arial" w:hAnsi="Times New Roman" w:cs="Times New Roman"/>
          <w:noProof/>
          <w:sz w:val="24"/>
          <w:szCs w:val="24"/>
        </w:rPr>
      </w:pPr>
    </w:p>
    <w:p w14:paraId="6EA50EF0" w14:textId="5F2475F3" w:rsidR="00803C00" w:rsidRPr="001E1BF5" w:rsidRDefault="007177DF" w:rsidP="007177DF">
      <w:pPr>
        <w:pStyle w:val="BodyText"/>
      </w:pPr>
      <w:r>
        <w:t>44. Ieslodzījuma vietu pārvaldēm un probācijas dienestiem jāapkopo statistikas dati un jāveic pētījumi un izvērtēšana. Ja iespējams un atbilstoši, pētījumi un izvērtēšana ir veicami sadarbībā ar neatkarīgiem pētniekiem, tostarp akadēmiskām iestādēm un citām iestādēm, kurām ir zināšanas un pieredze šādu pētījumu jomā.</w:t>
      </w:r>
    </w:p>
    <w:sectPr w:rsidR="00803C00" w:rsidRPr="001E1BF5" w:rsidSect="001E1BF5">
      <w:headerReference w:type="even" r:id="rId12"/>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9601" w14:textId="77777777" w:rsidR="000100D7" w:rsidRPr="00803C00" w:rsidRDefault="005809EA">
      <w:pPr>
        <w:rPr>
          <w:noProof/>
        </w:rPr>
      </w:pPr>
      <w:r w:rsidRPr="00803C00">
        <w:rPr>
          <w:noProof/>
        </w:rPr>
        <w:separator/>
      </w:r>
    </w:p>
  </w:endnote>
  <w:endnote w:type="continuationSeparator" w:id="0">
    <w:p w14:paraId="77C09603" w14:textId="77777777" w:rsidR="000100D7" w:rsidRPr="00803C00" w:rsidRDefault="005809EA">
      <w:pPr>
        <w:rPr>
          <w:noProof/>
        </w:rPr>
      </w:pPr>
      <w:r w:rsidRPr="00803C0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0F5A" w14:textId="77777777" w:rsidR="004E4DFD" w:rsidRPr="003E47FA" w:rsidRDefault="004E4DFD" w:rsidP="004E4DFD">
    <w:pPr>
      <w:pStyle w:val="Header"/>
      <w:tabs>
        <w:tab w:val="left" w:pos="9072"/>
      </w:tabs>
      <w:jc w:val="both"/>
      <w:rPr>
        <w:rStyle w:val="PageNumber"/>
        <w:rFonts w:ascii="Times New Roman" w:hAnsi="Times New Roman" w:cs="Times New Roman"/>
        <w:sz w:val="20"/>
        <w:szCs w:val="20"/>
      </w:rPr>
    </w:pPr>
  </w:p>
  <w:p w14:paraId="55B3C09E" w14:textId="77777777" w:rsidR="004E4DFD" w:rsidRPr="003E47FA" w:rsidRDefault="004E4DFD" w:rsidP="004E4DFD">
    <w:pPr>
      <w:pStyle w:val="Header"/>
      <w:tabs>
        <w:tab w:val="clear" w:pos="4513"/>
        <w:tab w:val="clear" w:pos="9026"/>
        <w:tab w:val="righ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6BF14DD4" w14:textId="77777777" w:rsidR="004E4DFD" w:rsidRPr="003E47FA" w:rsidRDefault="004E4DFD" w:rsidP="004E4DFD">
    <w:pPr>
      <w:pStyle w:val="Header"/>
      <w:tabs>
        <w:tab w:val="right" w:pos="9072"/>
      </w:tabs>
      <w:jc w:val="both"/>
      <w:rPr>
        <w:rStyle w:val="PageNumber"/>
        <w:rFonts w:ascii="Times New Roman" w:hAnsi="Times New Roman" w:cs="Times New Roman"/>
        <w:sz w:val="20"/>
        <w:szCs w:val="20"/>
      </w:rPr>
    </w:pPr>
  </w:p>
  <w:p w14:paraId="2343B574" w14:textId="77777777" w:rsidR="004E4DFD" w:rsidRPr="003E47FA" w:rsidRDefault="004E4DFD" w:rsidP="004E4DFD">
    <w:pPr>
      <w:pStyle w:val="Footer"/>
      <w:tabs>
        <w:tab w:val="clear" w:pos="4513"/>
        <w:tab w:val="clear" w:pos="9026"/>
        <w:tab w:val="center" w:pos="9072"/>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Pr>
        <w:rFonts w:ascii="Times New Roman" w:hAnsi="Times New Roman" w:cs="Times New Roman"/>
        <w:sz w:val="20"/>
        <w:szCs w:val="20"/>
      </w:rPr>
      <w:t>2</w:t>
    </w:r>
    <w:r w:rsidRPr="003E47FA">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3076" w14:textId="77777777" w:rsidR="001247B7" w:rsidRDefault="001247B7" w:rsidP="0005556C">
    <w:pPr>
      <w:pStyle w:val="Header"/>
      <w:tabs>
        <w:tab w:val="left" w:pos="9072"/>
      </w:tabs>
      <w:jc w:val="both"/>
      <w:rPr>
        <w:rFonts w:ascii="Times New Roman" w:hAnsi="Times New Roman" w:cs="Times New Roman"/>
        <w:sz w:val="20"/>
        <w:szCs w:val="20"/>
      </w:rPr>
    </w:pPr>
    <w:bookmarkStart w:id="14" w:name="_Hlk496261764"/>
    <w:bookmarkStart w:id="15" w:name="_Hlk496261765"/>
    <w:bookmarkStart w:id="16" w:name="_Hlk496261766"/>
    <w:bookmarkStart w:id="17" w:name="_Hlk30491075"/>
    <w:bookmarkStart w:id="18" w:name="_Hlk30491076"/>
  </w:p>
  <w:p w14:paraId="59059E89" w14:textId="267EE9E8" w:rsidR="0005556C" w:rsidRPr="001247B7" w:rsidRDefault="001247B7" w:rsidP="0005556C">
    <w:pPr>
      <w:pStyle w:val="Header"/>
      <w:tabs>
        <w:tab w:val="left" w:pos="9072"/>
      </w:tabs>
      <w:jc w:val="both"/>
      <w:rPr>
        <w:rStyle w:val="PageNumber"/>
        <w:rFonts w:ascii="Times New Roman" w:hAnsi="Times New Roman"/>
        <w:szCs w:val="20"/>
      </w:rPr>
    </w:pPr>
    <w:r w:rsidRPr="001247B7">
      <w:rPr>
        <w:rFonts w:ascii="Times New Roman" w:hAnsi="Times New Roman" w:cs="Times New Roman"/>
      </w:rPr>
      <w:t>Tīmekļa vietne: www.coe.int/cm</w:t>
    </w:r>
  </w:p>
  <w:p w14:paraId="768FF29D" w14:textId="77777777" w:rsidR="001247B7" w:rsidRPr="003F25D0" w:rsidRDefault="001247B7" w:rsidP="0005556C">
    <w:pPr>
      <w:pStyle w:val="Header"/>
      <w:tabs>
        <w:tab w:val="left" w:pos="9072"/>
      </w:tabs>
      <w:jc w:val="both"/>
      <w:rPr>
        <w:rStyle w:val="PageNumber"/>
        <w:rFonts w:ascii="Times New Roman" w:hAnsi="Times New Roman"/>
        <w:sz w:val="20"/>
        <w:szCs w:val="18"/>
      </w:rPr>
    </w:pPr>
  </w:p>
  <w:p w14:paraId="479FD745" w14:textId="77777777" w:rsidR="0005556C" w:rsidRPr="003F25D0" w:rsidRDefault="0005556C" w:rsidP="0005556C">
    <w:pPr>
      <w:pStyle w:val="Header"/>
      <w:tabs>
        <w:tab w:val="clear" w:pos="4513"/>
        <w:tab w:val="clear" w:pos="902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5A124250" w14:textId="77777777" w:rsidR="0005556C" w:rsidRPr="003F25D0" w:rsidRDefault="0005556C" w:rsidP="0005556C">
    <w:pPr>
      <w:pStyle w:val="Header"/>
      <w:tabs>
        <w:tab w:val="left" w:pos="9072"/>
      </w:tabs>
      <w:jc w:val="both"/>
      <w:rPr>
        <w:rStyle w:val="PageNumber"/>
        <w:rFonts w:ascii="Times New Roman" w:hAnsi="Times New Roman"/>
        <w:sz w:val="20"/>
        <w:szCs w:val="18"/>
      </w:rPr>
    </w:pPr>
  </w:p>
  <w:p w14:paraId="0986E583" w14:textId="77777777" w:rsidR="0005556C" w:rsidRPr="003F25D0" w:rsidRDefault="0005556C" w:rsidP="0005556C">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14"/>
    <w:bookmarkEnd w:id="15"/>
    <w:bookmarkEnd w:id="16"/>
    <w:r w:rsidRPr="003F25D0">
      <w:rPr>
        <w:rFonts w:ascii="Times New Roman" w:hAnsi="Times New Roman"/>
        <w:sz w:val="20"/>
        <w:szCs w:val="18"/>
      </w:rPr>
      <w:t>2</w:t>
    </w:r>
    <w:bookmarkEnd w:id="17"/>
    <w:bookmarkEnd w:id="18"/>
    <w:r>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95FD" w14:textId="77777777" w:rsidR="000100D7" w:rsidRPr="00803C00" w:rsidRDefault="005809EA">
      <w:pPr>
        <w:rPr>
          <w:noProof/>
        </w:rPr>
      </w:pPr>
      <w:r w:rsidRPr="00803C00">
        <w:rPr>
          <w:noProof/>
        </w:rPr>
        <w:separator/>
      </w:r>
    </w:p>
  </w:footnote>
  <w:footnote w:type="continuationSeparator" w:id="0">
    <w:p w14:paraId="77C095FF" w14:textId="77777777" w:rsidR="000100D7" w:rsidRPr="00803C00" w:rsidRDefault="005809EA">
      <w:pPr>
        <w:rPr>
          <w:noProof/>
        </w:rPr>
      </w:pPr>
      <w:r w:rsidRPr="00803C0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95FB" w14:textId="7A2B85D7" w:rsidR="00A836E6" w:rsidRPr="00803C00" w:rsidRDefault="00A836E6">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914B" w14:textId="77777777" w:rsidR="007D4008" w:rsidRPr="0075517C" w:rsidRDefault="007D4008" w:rsidP="007D4008">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40DCE0C" w14:textId="77777777" w:rsidR="007D4008" w:rsidRPr="0075517C" w:rsidRDefault="007D4008" w:rsidP="007D4008">
    <w:pPr>
      <w:pStyle w:val="Header"/>
      <w:tabs>
        <w:tab w:val="clear" w:pos="4513"/>
        <w:tab w:val="clear" w:pos="9026"/>
        <w:tab w:val="righ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50A6A077" w14:textId="77777777" w:rsidR="007D4008" w:rsidRPr="0075517C" w:rsidRDefault="007D4008" w:rsidP="007D4008">
    <w:pPr>
      <w:pStyle w:val="Header"/>
      <w:rPr>
        <w:rFonts w:ascii="Times New Roman" w:hAnsi="Times New Roman" w:cs="Times New Roman"/>
        <w:sz w:val="20"/>
        <w:szCs w:val="20"/>
      </w:rPr>
    </w:pPr>
  </w:p>
  <w:p w14:paraId="77C095FC" w14:textId="00B219C1" w:rsidR="00A836E6" w:rsidRPr="00803C00" w:rsidRDefault="00A836E6">
    <w:pPr>
      <w:spacing w:line="14" w:lineRule="auto"/>
      <w:rPr>
        <w:noProo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9926" w14:textId="77777777" w:rsidR="002A4144" w:rsidRPr="000F66E7" w:rsidRDefault="002A4144" w:rsidP="002A4144">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5BD2AFC" w14:textId="77777777" w:rsidR="002A4144" w:rsidRDefault="002A4144" w:rsidP="002A4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34DFC"/>
    <w:multiLevelType w:val="hybridMultilevel"/>
    <w:tmpl w:val="22A469EC"/>
    <w:lvl w:ilvl="0" w:tplc="2250A56A">
      <w:start w:val="1"/>
      <w:numFmt w:val="bullet"/>
      <w:lvlText w:val="-"/>
      <w:lvlJc w:val="left"/>
      <w:pPr>
        <w:ind w:left="101" w:hanging="706"/>
      </w:pPr>
      <w:rPr>
        <w:rFonts w:ascii="Arial" w:eastAsia="Arial" w:hAnsi="Arial" w:hint="default"/>
        <w:w w:val="102"/>
        <w:sz w:val="19"/>
        <w:szCs w:val="19"/>
      </w:rPr>
    </w:lvl>
    <w:lvl w:ilvl="1" w:tplc="7EF27850">
      <w:start w:val="1"/>
      <w:numFmt w:val="bullet"/>
      <w:lvlText w:val="•"/>
      <w:lvlJc w:val="left"/>
      <w:pPr>
        <w:ind w:left="1066" w:hanging="706"/>
      </w:pPr>
      <w:rPr>
        <w:rFonts w:hint="default"/>
      </w:rPr>
    </w:lvl>
    <w:lvl w:ilvl="2" w:tplc="F158518E">
      <w:start w:val="1"/>
      <w:numFmt w:val="bullet"/>
      <w:lvlText w:val="•"/>
      <w:lvlJc w:val="left"/>
      <w:pPr>
        <w:ind w:left="2031" w:hanging="706"/>
      </w:pPr>
      <w:rPr>
        <w:rFonts w:hint="default"/>
      </w:rPr>
    </w:lvl>
    <w:lvl w:ilvl="3" w:tplc="44B0A258">
      <w:start w:val="1"/>
      <w:numFmt w:val="bullet"/>
      <w:lvlText w:val="•"/>
      <w:lvlJc w:val="left"/>
      <w:pPr>
        <w:ind w:left="2996" w:hanging="706"/>
      </w:pPr>
      <w:rPr>
        <w:rFonts w:hint="default"/>
      </w:rPr>
    </w:lvl>
    <w:lvl w:ilvl="4" w:tplc="AC42ECB0">
      <w:start w:val="1"/>
      <w:numFmt w:val="bullet"/>
      <w:lvlText w:val="•"/>
      <w:lvlJc w:val="left"/>
      <w:pPr>
        <w:ind w:left="3960" w:hanging="706"/>
      </w:pPr>
      <w:rPr>
        <w:rFonts w:hint="default"/>
      </w:rPr>
    </w:lvl>
    <w:lvl w:ilvl="5" w:tplc="A4FE2624">
      <w:start w:val="1"/>
      <w:numFmt w:val="bullet"/>
      <w:lvlText w:val="•"/>
      <w:lvlJc w:val="left"/>
      <w:pPr>
        <w:ind w:left="4925" w:hanging="706"/>
      </w:pPr>
      <w:rPr>
        <w:rFonts w:hint="default"/>
      </w:rPr>
    </w:lvl>
    <w:lvl w:ilvl="6" w:tplc="B8FE8712">
      <w:start w:val="1"/>
      <w:numFmt w:val="bullet"/>
      <w:lvlText w:val="•"/>
      <w:lvlJc w:val="left"/>
      <w:pPr>
        <w:ind w:left="5890" w:hanging="706"/>
      </w:pPr>
      <w:rPr>
        <w:rFonts w:hint="default"/>
      </w:rPr>
    </w:lvl>
    <w:lvl w:ilvl="7" w:tplc="5C50FAD4">
      <w:start w:val="1"/>
      <w:numFmt w:val="bullet"/>
      <w:lvlText w:val="•"/>
      <w:lvlJc w:val="left"/>
      <w:pPr>
        <w:ind w:left="6855" w:hanging="706"/>
      </w:pPr>
      <w:rPr>
        <w:rFonts w:hint="default"/>
      </w:rPr>
    </w:lvl>
    <w:lvl w:ilvl="8" w:tplc="301E7438">
      <w:start w:val="1"/>
      <w:numFmt w:val="bullet"/>
      <w:lvlText w:val="•"/>
      <w:lvlJc w:val="left"/>
      <w:pPr>
        <w:ind w:left="7820" w:hanging="706"/>
      </w:pPr>
      <w:rPr>
        <w:rFonts w:hint="default"/>
      </w:rPr>
    </w:lvl>
  </w:abstractNum>
  <w:abstractNum w:abstractNumId="1" w15:restartNumberingAfterBreak="0">
    <w:nsid w:val="32286A70"/>
    <w:multiLevelType w:val="hybridMultilevel"/>
    <w:tmpl w:val="2AE4DBC6"/>
    <w:lvl w:ilvl="0" w:tplc="C7963ACA">
      <w:start w:val="11"/>
      <w:numFmt w:val="decimal"/>
      <w:lvlText w:val="%1."/>
      <w:lvlJc w:val="left"/>
      <w:pPr>
        <w:ind w:left="101" w:hanging="706"/>
      </w:pPr>
      <w:rPr>
        <w:rFonts w:ascii="Arial" w:eastAsia="Arial" w:hAnsi="Arial" w:hint="default"/>
        <w:spacing w:val="-4"/>
        <w:w w:val="102"/>
        <w:sz w:val="19"/>
        <w:szCs w:val="19"/>
      </w:rPr>
    </w:lvl>
    <w:lvl w:ilvl="1" w:tplc="DB527186">
      <w:start w:val="1"/>
      <w:numFmt w:val="bullet"/>
      <w:lvlText w:val="•"/>
      <w:lvlJc w:val="left"/>
      <w:pPr>
        <w:ind w:left="1060" w:hanging="706"/>
      </w:pPr>
      <w:rPr>
        <w:rFonts w:hint="default"/>
      </w:rPr>
    </w:lvl>
    <w:lvl w:ilvl="2" w:tplc="9EF23234">
      <w:start w:val="1"/>
      <w:numFmt w:val="bullet"/>
      <w:lvlText w:val="•"/>
      <w:lvlJc w:val="left"/>
      <w:pPr>
        <w:ind w:left="2019" w:hanging="706"/>
      </w:pPr>
      <w:rPr>
        <w:rFonts w:hint="default"/>
      </w:rPr>
    </w:lvl>
    <w:lvl w:ilvl="3" w:tplc="71C40FA0">
      <w:start w:val="1"/>
      <w:numFmt w:val="bullet"/>
      <w:lvlText w:val="•"/>
      <w:lvlJc w:val="left"/>
      <w:pPr>
        <w:ind w:left="2978" w:hanging="706"/>
      </w:pPr>
      <w:rPr>
        <w:rFonts w:hint="default"/>
      </w:rPr>
    </w:lvl>
    <w:lvl w:ilvl="4" w:tplc="BF00D372">
      <w:start w:val="1"/>
      <w:numFmt w:val="bullet"/>
      <w:lvlText w:val="•"/>
      <w:lvlJc w:val="left"/>
      <w:pPr>
        <w:ind w:left="3936" w:hanging="706"/>
      </w:pPr>
      <w:rPr>
        <w:rFonts w:hint="default"/>
      </w:rPr>
    </w:lvl>
    <w:lvl w:ilvl="5" w:tplc="49BE4A92">
      <w:start w:val="1"/>
      <w:numFmt w:val="bullet"/>
      <w:lvlText w:val="•"/>
      <w:lvlJc w:val="left"/>
      <w:pPr>
        <w:ind w:left="4895" w:hanging="706"/>
      </w:pPr>
      <w:rPr>
        <w:rFonts w:hint="default"/>
      </w:rPr>
    </w:lvl>
    <w:lvl w:ilvl="6" w:tplc="3BE63F4C">
      <w:start w:val="1"/>
      <w:numFmt w:val="bullet"/>
      <w:lvlText w:val="•"/>
      <w:lvlJc w:val="left"/>
      <w:pPr>
        <w:ind w:left="5854" w:hanging="706"/>
      </w:pPr>
      <w:rPr>
        <w:rFonts w:hint="default"/>
      </w:rPr>
    </w:lvl>
    <w:lvl w:ilvl="7" w:tplc="9F82A590">
      <w:start w:val="1"/>
      <w:numFmt w:val="bullet"/>
      <w:lvlText w:val="•"/>
      <w:lvlJc w:val="left"/>
      <w:pPr>
        <w:ind w:left="6813" w:hanging="706"/>
      </w:pPr>
      <w:rPr>
        <w:rFonts w:hint="default"/>
      </w:rPr>
    </w:lvl>
    <w:lvl w:ilvl="8" w:tplc="02280F28">
      <w:start w:val="1"/>
      <w:numFmt w:val="bullet"/>
      <w:lvlText w:val="•"/>
      <w:lvlJc w:val="left"/>
      <w:pPr>
        <w:ind w:left="7772" w:hanging="706"/>
      </w:pPr>
      <w:rPr>
        <w:rFonts w:hint="default"/>
      </w:rPr>
    </w:lvl>
  </w:abstractNum>
  <w:abstractNum w:abstractNumId="2" w15:restartNumberingAfterBreak="0">
    <w:nsid w:val="70566376"/>
    <w:multiLevelType w:val="hybridMultilevel"/>
    <w:tmpl w:val="E38E5AB6"/>
    <w:lvl w:ilvl="0" w:tplc="935A61E8">
      <w:start w:val="1"/>
      <w:numFmt w:val="upperRoman"/>
      <w:lvlText w:val="%1."/>
      <w:lvlJc w:val="left"/>
      <w:pPr>
        <w:ind w:left="672" w:hanging="571"/>
      </w:pPr>
      <w:rPr>
        <w:rFonts w:ascii="Arial" w:eastAsia="Arial" w:hAnsi="Arial" w:hint="default"/>
        <w:b/>
        <w:bCs/>
        <w:spacing w:val="5"/>
        <w:w w:val="102"/>
        <w:sz w:val="19"/>
        <w:szCs w:val="19"/>
      </w:rPr>
    </w:lvl>
    <w:lvl w:ilvl="1" w:tplc="5C4E9CE2">
      <w:start w:val="1"/>
      <w:numFmt w:val="decimal"/>
      <w:lvlText w:val="%2."/>
      <w:lvlJc w:val="left"/>
      <w:pPr>
        <w:ind w:left="106" w:hanging="706"/>
      </w:pPr>
      <w:rPr>
        <w:rFonts w:ascii="Arial" w:eastAsia="Arial" w:hAnsi="Arial" w:hint="default"/>
        <w:spacing w:val="-4"/>
        <w:w w:val="102"/>
        <w:sz w:val="19"/>
        <w:szCs w:val="19"/>
      </w:rPr>
    </w:lvl>
    <w:lvl w:ilvl="2" w:tplc="17381D6A">
      <w:start w:val="1"/>
      <w:numFmt w:val="bullet"/>
      <w:lvlText w:val="•"/>
      <w:lvlJc w:val="left"/>
      <w:pPr>
        <w:ind w:left="1669" w:hanging="706"/>
      </w:pPr>
      <w:rPr>
        <w:rFonts w:hint="default"/>
      </w:rPr>
    </w:lvl>
    <w:lvl w:ilvl="3" w:tplc="CDF0F6BA">
      <w:start w:val="1"/>
      <w:numFmt w:val="bullet"/>
      <w:lvlText w:val="•"/>
      <w:lvlJc w:val="left"/>
      <w:pPr>
        <w:ind w:left="2667" w:hanging="706"/>
      </w:pPr>
      <w:rPr>
        <w:rFonts w:hint="default"/>
      </w:rPr>
    </w:lvl>
    <w:lvl w:ilvl="4" w:tplc="D4041E2E">
      <w:start w:val="1"/>
      <w:numFmt w:val="bullet"/>
      <w:lvlText w:val="•"/>
      <w:lvlJc w:val="left"/>
      <w:pPr>
        <w:ind w:left="3664" w:hanging="706"/>
      </w:pPr>
      <w:rPr>
        <w:rFonts w:hint="default"/>
      </w:rPr>
    </w:lvl>
    <w:lvl w:ilvl="5" w:tplc="241CD18A">
      <w:start w:val="1"/>
      <w:numFmt w:val="bullet"/>
      <w:lvlText w:val="•"/>
      <w:lvlJc w:val="left"/>
      <w:pPr>
        <w:ind w:left="4662" w:hanging="706"/>
      </w:pPr>
      <w:rPr>
        <w:rFonts w:hint="default"/>
      </w:rPr>
    </w:lvl>
    <w:lvl w:ilvl="6" w:tplc="32E27052">
      <w:start w:val="1"/>
      <w:numFmt w:val="bullet"/>
      <w:lvlText w:val="•"/>
      <w:lvlJc w:val="left"/>
      <w:pPr>
        <w:ind w:left="5659" w:hanging="706"/>
      </w:pPr>
      <w:rPr>
        <w:rFonts w:hint="default"/>
      </w:rPr>
    </w:lvl>
    <w:lvl w:ilvl="7" w:tplc="615EC200">
      <w:start w:val="1"/>
      <w:numFmt w:val="bullet"/>
      <w:lvlText w:val="•"/>
      <w:lvlJc w:val="left"/>
      <w:pPr>
        <w:ind w:left="6657" w:hanging="706"/>
      </w:pPr>
      <w:rPr>
        <w:rFonts w:hint="default"/>
      </w:rPr>
    </w:lvl>
    <w:lvl w:ilvl="8" w:tplc="350A0954">
      <w:start w:val="1"/>
      <w:numFmt w:val="bullet"/>
      <w:lvlText w:val="•"/>
      <w:lvlJc w:val="left"/>
      <w:pPr>
        <w:ind w:left="7654" w:hanging="706"/>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836E6"/>
    <w:rsid w:val="000100D7"/>
    <w:rsid w:val="0005556C"/>
    <w:rsid w:val="000B705D"/>
    <w:rsid w:val="001247B7"/>
    <w:rsid w:val="0014015C"/>
    <w:rsid w:val="001E1BF5"/>
    <w:rsid w:val="00240F80"/>
    <w:rsid w:val="002828C5"/>
    <w:rsid w:val="00285794"/>
    <w:rsid w:val="002A17AF"/>
    <w:rsid w:val="002A4144"/>
    <w:rsid w:val="00353B19"/>
    <w:rsid w:val="004E4DFD"/>
    <w:rsid w:val="005809EA"/>
    <w:rsid w:val="006C020C"/>
    <w:rsid w:val="006E0245"/>
    <w:rsid w:val="007177DF"/>
    <w:rsid w:val="007B25B9"/>
    <w:rsid w:val="007D4008"/>
    <w:rsid w:val="00803C00"/>
    <w:rsid w:val="0088746A"/>
    <w:rsid w:val="008A572D"/>
    <w:rsid w:val="00A63229"/>
    <w:rsid w:val="00A836E6"/>
    <w:rsid w:val="00C8243D"/>
    <w:rsid w:val="00CF1081"/>
    <w:rsid w:val="00E40AE2"/>
    <w:rsid w:val="00E56623"/>
    <w:rsid w:val="00F851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0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6"/>
      <w:outlineLvl w:val="0"/>
    </w:pPr>
    <w:rPr>
      <w:rFonts w:ascii="Arial Narrow" w:eastAsia="Arial Narrow" w:hAnsi="Arial Narrow"/>
      <w:b/>
      <w:bCs/>
      <w:sz w:val="28"/>
      <w:szCs w:val="28"/>
    </w:rPr>
  </w:style>
  <w:style w:type="paragraph" w:styleId="Heading2">
    <w:name w:val="heading 2"/>
    <w:basedOn w:val="Normal"/>
    <w:uiPriority w:val="9"/>
    <w:unhideWhenUsed/>
    <w:qFormat/>
    <w:pPr>
      <w:ind w:left="807" w:hanging="706"/>
      <w:outlineLvl w:val="1"/>
    </w:pPr>
    <w:rPr>
      <w:rFonts w:ascii="Arial" w:eastAsia="Arial" w:hAnsi="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0245"/>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03C00"/>
    <w:pPr>
      <w:tabs>
        <w:tab w:val="center" w:pos="4513"/>
        <w:tab w:val="right" w:pos="9026"/>
      </w:tabs>
    </w:pPr>
  </w:style>
  <w:style w:type="character" w:customStyle="1" w:styleId="HeaderChar">
    <w:name w:val="Header Char"/>
    <w:basedOn w:val="DefaultParagraphFont"/>
    <w:link w:val="Header"/>
    <w:rsid w:val="00803C00"/>
  </w:style>
  <w:style w:type="paragraph" w:styleId="Footer">
    <w:name w:val="footer"/>
    <w:basedOn w:val="Normal"/>
    <w:link w:val="FooterChar"/>
    <w:unhideWhenUsed/>
    <w:rsid w:val="00803C00"/>
    <w:pPr>
      <w:tabs>
        <w:tab w:val="center" w:pos="4513"/>
        <w:tab w:val="right" w:pos="9026"/>
      </w:tabs>
    </w:pPr>
  </w:style>
  <w:style w:type="character" w:customStyle="1" w:styleId="FooterChar">
    <w:name w:val="Footer Char"/>
    <w:basedOn w:val="DefaultParagraphFont"/>
    <w:link w:val="Footer"/>
    <w:rsid w:val="00803C00"/>
  </w:style>
  <w:style w:type="table" w:styleId="TableGrid">
    <w:name w:val="Table Grid"/>
    <w:basedOn w:val="TableNormal"/>
    <w:uiPriority w:val="39"/>
    <w:rsid w:val="006C0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5556C"/>
  </w:style>
  <w:style w:type="paragraph" w:styleId="FootnoteText">
    <w:name w:val="footnote text"/>
    <w:basedOn w:val="Normal"/>
    <w:link w:val="FootnoteTextChar"/>
    <w:uiPriority w:val="99"/>
    <w:semiHidden/>
    <w:unhideWhenUsed/>
    <w:rsid w:val="00A63229"/>
    <w:rPr>
      <w:sz w:val="20"/>
      <w:szCs w:val="20"/>
    </w:rPr>
  </w:style>
  <w:style w:type="character" w:customStyle="1" w:styleId="FootnoteTextChar">
    <w:name w:val="Footnote Text Char"/>
    <w:basedOn w:val="DefaultParagraphFont"/>
    <w:link w:val="FootnoteText"/>
    <w:uiPriority w:val="99"/>
    <w:semiHidden/>
    <w:rsid w:val="00A63229"/>
    <w:rPr>
      <w:sz w:val="20"/>
      <w:szCs w:val="20"/>
    </w:rPr>
  </w:style>
  <w:style w:type="character" w:styleId="FootnoteReference">
    <w:name w:val="footnote reference"/>
    <w:basedOn w:val="DefaultParagraphFont"/>
    <w:uiPriority w:val="99"/>
    <w:semiHidden/>
    <w:unhideWhenUsed/>
    <w:rsid w:val="00A632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7DA7E-44FD-482F-8E23-F8A6EECAE4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69B95B-5CDE-4707-84B8-95ED8B9D0315}">
  <ds:schemaRefs>
    <ds:schemaRef ds:uri="http://schemas.microsoft.com/sharepoint/v3/contenttype/forms"/>
  </ds:schemaRefs>
</ds:datastoreItem>
</file>

<file path=customXml/itemProps3.xml><?xml version="1.0" encoding="utf-8"?>
<ds:datastoreItem xmlns:ds="http://schemas.openxmlformats.org/officeDocument/2006/customXml" ds:itemID="{1F77C545-D2D1-40B0-8960-1DE14FE96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5AD98-D394-4B52-89E7-E74CE224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13813</Words>
  <Characters>7874</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2021-12-29T09:47:00Z</dcterms:created>
  <dcterms:modified xsi:type="dcterms:W3CDTF">2022-01-21T12:50:00Z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ies>
</file>