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1144F" w14:textId="77777777" w:rsidR="00344F42" w:rsidRPr="00344F42" w:rsidRDefault="00344F42" w:rsidP="00344F42">
      <w:pPr>
        <w:jc w:val="both"/>
        <w:rPr>
          <w:rFonts w:ascii="Times New Roman" w:eastAsia="Times New Roman"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848"/>
        <w:gridCol w:w="1983"/>
        <w:gridCol w:w="2297"/>
      </w:tblGrid>
      <w:tr w:rsidR="00344F42" w:rsidRPr="00344F42" w14:paraId="089B6672" w14:textId="77777777" w:rsidTr="00B408A9">
        <w:tc>
          <w:tcPr>
            <w:tcW w:w="2656" w:type="pct"/>
            <w:tcBorders>
              <w:right w:val="single" w:sz="4" w:space="0" w:color="auto"/>
            </w:tcBorders>
          </w:tcPr>
          <w:p w14:paraId="7AA4F0DD" w14:textId="77777777" w:rsidR="00344F42" w:rsidRPr="00344F42" w:rsidRDefault="00344F42" w:rsidP="00B408A9">
            <w:pPr>
              <w:jc w:val="both"/>
              <w:rPr>
                <w:rFonts w:ascii="Times New Roman" w:eastAsia="Times New Roman" w:hAnsi="Times New Roman" w:cs="Times New Roman"/>
                <w:noProof/>
                <w:sz w:val="24"/>
                <w:szCs w:val="24"/>
                <w:lang w:val="en-US"/>
              </w:rPr>
            </w:pPr>
          </w:p>
        </w:tc>
        <w:tc>
          <w:tcPr>
            <w:tcW w:w="1086" w:type="pct"/>
            <w:tcBorders>
              <w:left w:val="single" w:sz="4" w:space="0" w:color="auto"/>
            </w:tcBorders>
          </w:tcPr>
          <w:p w14:paraId="24B94A25" w14:textId="77777777" w:rsidR="00344F42" w:rsidRPr="00344F42" w:rsidRDefault="00344F42" w:rsidP="00B408A9">
            <w:pPr>
              <w:jc w:val="both"/>
              <w:rPr>
                <w:rFonts w:ascii="Times New Roman" w:hAnsi="Times New Roman"/>
                <w:noProof/>
                <w:sz w:val="24"/>
                <w:lang w:val="en-US"/>
              </w:rPr>
            </w:pPr>
            <w:r w:rsidRPr="00344F42">
              <w:rPr>
                <w:rFonts w:ascii="Times New Roman" w:hAnsi="Times New Roman"/>
                <w:noProof/>
                <w:sz w:val="24"/>
                <w:lang w:val="en-US"/>
              </w:rPr>
              <w:t>MINISTRU KOMITEJA</w:t>
            </w:r>
          </w:p>
          <w:p w14:paraId="735E2AA8" w14:textId="77777777" w:rsidR="00344F42" w:rsidRPr="00344F42" w:rsidRDefault="00344F42" w:rsidP="00B408A9">
            <w:pPr>
              <w:jc w:val="both"/>
              <w:rPr>
                <w:rFonts w:ascii="Times New Roman" w:eastAsia="Times New Roman" w:hAnsi="Times New Roman" w:cs="Times New Roman"/>
                <w:noProof/>
                <w:sz w:val="24"/>
                <w:szCs w:val="24"/>
                <w:lang w:val="en-US"/>
              </w:rPr>
            </w:pPr>
          </w:p>
          <w:p w14:paraId="7E97583A" w14:textId="77777777" w:rsidR="00344F42" w:rsidRPr="00344F42" w:rsidRDefault="00344F42" w:rsidP="00B408A9">
            <w:pPr>
              <w:jc w:val="both"/>
              <w:rPr>
                <w:rFonts w:ascii="Times New Roman" w:hAnsi="Times New Roman"/>
                <w:i/>
                <w:iCs/>
                <w:noProof/>
                <w:sz w:val="24"/>
                <w:lang w:val="en-US"/>
              </w:rPr>
            </w:pPr>
            <w:r w:rsidRPr="00344F42">
              <w:rPr>
                <w:rFonts w:ascii="Times New Roman" w:hAnsi="Times New Roman"/>
                <w:i/>
                <w:iCs/>
                <w:noProof/>
                <w:sz w:val="24"/>
                <w:lang w:val="en-US"/>
              </w:rPr>
              <w:t>COMITÉ DES MINISTRES</w:t>
            </w:r>
          </w:p>
        </w:tc>
        <w:tc>
          <w:tcPr>
            <w:tcW w:w="1258" w:type="pct"/>
          </w:tcPr>
          <w:p w14:paraId="0F20AA2D" w14:textId="77777777" w:rsidR="00344F42" w:rsidRPr="00344F42" w:rsidRDefault="00344F42" w:rsidP="00B408A9">
            <w:pPr>
              <w:jc w:val="center"/>
              <w:rPr>
                <w:rFonts w:ascii="Times New Roman" w:hAnsi="Times New Roman"/>
                <w:noProof/>
                <w:sz w:val="20"/>
                <w:lang w:val="en-US"/>
              </w:rPr>
            </w:pPr>
            <w:r w:rsidRPr="00344F42">
              <w:rPr>
                <w:rFonts w:ascii="Times New Roman" w:hAnsi="Times New Roman"/>
                <w:noProof/>
                <w:sz w:val="20"/>
                <w:lang w:val="en-US"/>
              </w:rPr>
              <w:t>EIROPAS PADOME</w:t>
            </w:r>
          </w:p>
          <w:p w14:paraId="732D329F" w14:textId="77777777" w:rsidR="00344F42" w:rsidRPr="00344F42" w:rsidRDefault="00344F42" w:rsidP="00B408A9">
            <w:pPr>
              <w:jc w:val="center"/>
              <w:rPr>
                <w:rFonts w:ascii="Times New Roman" w:eastAsia="Times New Roman" w:hAnsi="Times New Roman" w:cs="Times New Roman"/>
                <w:noProof/>
                <w:sz w:val="24"/>
                <w:szCs w:val="24"/>
                <w:lang w:val="en-US"/>
              </w:rPr>
            </w:pPr>
            <w:r w:rsidRPr="00344F42">
              <w:rPr>
                <w:rFonts w:ascii="Times New Roman" w:eastAsia="Times New Roman" w:hAnsi="Times New Roman" w:cs="Times New Roman"/>
                <w:noProof/>
                <w:sz w:val="24"/>
                <w:szCs w:val="24"/>
                <w:lang w:val="en-US"/>
              </w:rPr>
              <w:drawing>
                <wp:inline distT="0" distB="0" distL="0" distR="0" wp14:anchorId="224D7702" wp14:editId="10DB58BA">
                  <wp:extent cx="1200318" cy="733527"/>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a:stretch>
                            <a:fillRect/>
                          </a:stretch>
                        </pic:blipFill>
                        <pic:spPr>
                          <a:xfrm>
                            <a:off x="0" y="0"/>
                            <a:ext cx="1200318" cy="733527"/>
                          </a:xfrm>
                          <a:prstGeom prst="rect">
                            <a:avLst/>
                          </a:prstGeom>
                        </pic:spPr>
                      </pic:pic>
                    </a:graphicData>
                  </a:graphic>
                </wp:inline>
              </w:drawing>
            </w:r>
          </w:p>
          <w:p w14:paraId="27FBF965" w14:textId="77777777" w:rsidR="00344F42" w:rsidRPr="00344F42" w:rsidRDefault="00344F42" w:rsidP="00B408A9">
            <w:pPr>
              <w:jc w:val="center"/>
              <w:rPr>
                <w:rFonts w:ascii="Times New Roman" w:hAnsi="Times New Roman"/>
                <w:i/>
                <w:iCs/>
                <w:noProof/>
                <w:sz w:val="20"/>
                <w:lang w:val="en-US"/>
              </w:rPr>
            </w:pPr>
            <w:r w:rsidRPr="00344F42">
              <w:rPr>
                <w:rFonts w:ascii="Times New Roman" w:hAnsi="Times New Roman"/>
                <w:i/>
                <w:iCs/>
                <w:noProof/>
                <w:sz w:val="20"/>
                <w:lang w:val="en-US"/>
              </w:rPr>
              <w:t>CONSEIL DE L’EUROPE</w:t>
            </w:r>
          </w:p>
        </w:tc>
      </w:tr>
    </w:tbl>
    <w:p w14:paraId="4CB5D338" w14:textId="77777777" w:rsidR="00344F42" w:rsidRPr="00344F42" w:rsidRDefault="00344F42" w:rsidP="00344F42">
      <w:pPr>
        <w:jc w:val="both"/>
        <w:rPr>
          <w:rFonts w:ascii="Times New Roman" w:eastAsia="Times New Roman" w:hAnsi="Times New Roman" w:cs="Times New Roman"/>
          <w:noProof/>
          <w:sz w:val="24"/>
          <w:szCs w:val="24"/>
          <w:lang w:val="en-US"/>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23"/>
        <w:gridCol w:w="2543"/>
        <w:gridCol w:w="2468"/>
        <w:gridCol w:w="1294"/>
      </w:tblGrid>
      <w:tr w:rsidR="00344F42" w:rsidRPr="00344F42" w14:paraId="02EB678B" w14:textId="77777777" w:rsidTr="00B408A9">
        <w:tc>
          <w:tcPr>
            <w:tcW w:w="1546" w:type="pct"/>
            <w:tcBorders>
              <w:bottom w:val="nil"/>
            </w:tcBorders>
          </w:tcPr>
          <w:p w14:paraId="7674E0D5" w14:textId="77777777" w:rsidR="00344F42" w:rsidRPr="00344F42" w:rsidRDefault="00344F42" w:rsidP="00B408A9">
            <w:pPr>
              <w:jc w:val="center"/>
              <w:rPr>
                <w:rFonts w:ascii="Times New Roman" w:hAnsi="Times New Roman"/>
                <w:b/>
                <w:noProof/>
                <w:sz w:val="24"/>
                <w:lang w:val="en-US"/>
              </w:rPr>
            </w:pPr>
            <w:r w:rsidRPr="00344F42">
              <w:rPr>
                <w:rFonts w:ascii="Times New Roman" w:hAnsi="Times New Roman"/>
                <w:b/>
                <w:noProof/>
                <w:sz w:val="24"/>
                <w:lang w:val="en-US"/>
              </w:rPr>
              <w:t>MINISTRU VIETNIEKI</w:t>
            </w:r>
          </w:p>
        </w:tc>
        <w:tc>
          <w:tcPr>
            <w:tcW w:w="1393" w:type="pct"/>
            <w:tcBorders>
              <w:bottom w:val="nil"/>
            </w:tcBorders>
          </w:tcPr>
          <w:p w14:paraId="7CE2553E" w14:textId="77777777" w:rsidR="00344F42" w:rsidRPr="00344F42" w:rsidRDefault="00344F42" w:rsidP="00B408A9">
            <w:pPr>
              <w:jc w:val="center"/>
              <w:rPr>
                <w:rFonts w:ascii="Times New Roman" w:hAnsi="Times New Roman"/>
                <w:noProof/>
                <w:sz w:val="24"/>
                <w:lang w:val="en-US"/>
              </w:rPr>
            </w:pPr>
            <w:r w:rsidRPr="00344F42">
              <w:rPr>
                <w:rFonts w:ascii="Times New Roman" w:hAnsi="Times New Roman"/>
                <w:noProof/>
                <w:sz w:val="24"/>
                <w:lang w:val="en-US"/>
              </w:rPr>
              <w:t>Ieteikumi</w:t>
            </w:r>
          </w:p>
        </w:tc>
        <w:tc>
          <w:tcPr>
            <w:tcW w:w="1352" w:type="pct"/>
            <w:tcBorders>
              <w:bottom w:val="nil"/>
            </w:tcBorders>
          </w:tcPr>
          <w:p w14:paraId="11ED341F" w14:textId="77777777" w:rsidR="00344F42" w:rsidRPr="00344F42" w:rsidRDefault="00344F42" w:rsidP="00B408A9">
            <w:pPr>
              <w:jc w:val="center"/>
              <w:rPr>
                <w:rFonts w:ascii="Times New Roman" w:hAnsi="Times New Roman"/>
                <w:b/>
                <w:noProof/>
                <w:sz w:val="24"/>
                <w:lang w:val="en-US"/>
              </w:rPr>
            </w:pPr>
            <w:r w:rsidRPr="00344F42">
              <w:rPr>
                <w:rFonts w:ascii="Times New Roman" w:hAnsi="Times New Roman"/>
                <w:b/>
                <w:noProof/>
                <w:sz w:val="24"/>
                <w:lang w:val="en-US"/>
              </w:rPr>
              <w:t>CM/Rec(2022)14</w:t>
            </w:r>
          </w:p>
        </w:tc>
        <w:tc>
          <w:tcPr>
            <w:tcW w:w="709" w:type="pct"/>
            <w:tcBorders>
              <w:bottom w:val="nil"/>
            </w:tcBorders>
          </w:tcPr>
          <w:p w14:paraId="53F541D5" w14:textId="77777777" w:rsidR="00344F42" w:rsidRPr="00344F42" w:rsidRDefault="00344F42" w:rsidP="00B408A9">
            <w:pPr>
              <w:jc w:val="center"/>
              <w:rPr>
                <w:rFonts w:ascii="Times New Roman" w:hAnsi="Times New Roman"/>
                <w:noProof/>
                <w:sz w:val="24"/>
                <w:lang w:val="en-US"/>
              </w:rPr>
            </w:pPr>
            <w:r w:rsidRPr="00344F42">
              <w:rPr>
                <w:rFonts w:ascii="Times New Roman" w:hAnsi="Times New Roman"/>
                <w:noProof/>
                <w:sz w:val="24"/>
                <w:lang w:val="en-US"/>
              </w:rPr>
              <w:t>2022. gada 20. aprīlis</w:t>
            </w:r>
          </w:p>
        </w:tc>
      </w:tr>
      <w:tr w:rsidR="00344F42" w:rsidRPr="00344F42" w14:paraId="3A448DA4" w14:textId="77777777" w:rsidTr="00B408A9">
        <w:tc>
          <w:tcPr>
            <w:tcW w:w="1546" w:type="pct"/>
            <w:tcBorders>
              <w:bottom w:val="single" w:sz="4" w:space="0" w:color="auto"/>
            </w:tcBorders>
          </w:tcPr>
          <w:p w14:paraId="1BEFE6D6" w14:textId="77777777" w:rsidR="00344F42" w:rsidRPr="00344F42" w:rsidRDefault="00344F42" w:rsidP="00B408A9">
            <w:pPr>
              <w:jc w:val="both"/>
              <w:rPr>
                <w:rFonts w:ascii="Times New Roman" w:eastAsia="Times New Roman" w:hAnsi="Times New Roman" w:cs="Times New Roman"/>
                <w:noProof/>
                <w:sz w:val="24"/>
                <w:szCs w:val="24"/>
                <w:lang w:val="en-US"/>
              </w:rPr>
            </w:pPr>
          </w:p>
        </w:tc>
        <w:tc>
          <w:tcPr>
            <w:tcW w:w="1393" w:type="pct"/>
            <w:tcBorders>
              <w:bottom w:val="single" w:sz="4" w:space="0" w:color="auto"/>
            </w:tcBorders>
          </w:tcPr>
          <w:p w14:paraId="5D776115" w14:textId="77777777" w:rsidR="00344F42" w:rsidRPr="00344F42" w:rsidRDefault="00344F42" w:rsidP="00B408A9">
            <w:pPr>
              <w:jc w:val="both"/>
              <w:rPr>
                <w:rFonts w:ascii="Times New Roman" w:eastAsia="Times New Roman" w:hAnsi="Times New Roman" w:cs="Times New Roman"/>
                <w:noProof/>
                <w:sz w:val="24"/>
                <w:szCs w:val="24"/>
                <w:lang w:val="en-US"/>
              </w:rPr>
            </w:pPr>
          </w:p>
        </w:tc>
        <w:tc>
          <w:tcPr>
            <w:tcW w:w="1352" w:type="pct"/>
            <w:tcBorders>
              <w:bottom w:val="single" w:sz="4" w:space="0" w:color="auto"/>
            </w:tcBorders>
          </w:tcPr>
          <w:p w14:paraId="47D43C18" w14:textId="77777777" w:rsidR="00344F42" w:rsidRPr="00344F42" w:rsidRDefault="00344F42" w:rsidP="00B408A9">
            <w:pPr>
              <w:jc w:val="both"/>
              <w:rPr>
                <w:rFonts w:ascii="Times New Roman" w:eastAsia="Times New Roman" w:hAnsi="Times New Roman" w:cs="Times New Roman"/>
                <w:noProof/>
                <w:sz w:val="24"/>
                <w:szCs w:val="24"/>
                <w:lang w:val="en-US"/>
              </w:rPr>
            </w:pPr>
          </w:p>
        </w:tc>
        <w:tc>
          <w:tcPr>
            <w:tcW w:w="709" w:type="pct"/>
            <w:tcBorders>
              <w:bottom w:val="single" w:sz="4" w:space="0" w:color="auto"/>
            </w:tcBorders>
          </w:tcPr>
          <w:p w14:paraId="341239EA" w14:textId="77777777" w:rsidR="00344F42" w:rsidRPr="00344F42" w:rsidRDefault="00344F42" w:rsidP="00B408A9">
            <w:pPr>
              <w:jc w:val="both"/>
              <w:rPr>
                <w:rFonts w:ascii="Times New Roman" w:eastAsia="Times New Roman" w:hAnsi="Times New Roman" w:cs="Times New Roman"/>
                <w:noProof/>
                <w:sz w:val="24"/>
                <w:szCs w:val="24"/>
                <w:lang w:val="en-US"/>
              </w:rPr>
            </w:pPr>
          </w:p>
        </w:tc>
      </w:tr>
      <w:tr w:rsidR="00344F42" w:rsidRPr="00344F42" w14:paraId="16409E6B" w14:textId="77777777" w:rsidTr="00B408A9">
        <w:tc>
          <w:tcPr>
            <w:tcW w:w="5000" w:type="pct"/>
            <w:gridSpan w:val="4"/>
            <w:tcBorders>
              <w:top w:val="single" w:sz="4" w:space="0" w:color="auto"/>
            </w:tcBorders>
          </w:tcPr>
          <w:p w14:paraId="72FA98ED" w14:textId="77777777" w:rsidR="00344F42" w:rsidRPr="00344F42" w:rsidRDefault="00344F42" w:rsidP="00B408A9">
            <w:pPr>
              <w:pStyle w:val="BodyText"/>
              <w:rPr>
                <w:b/>
                <w:sz w:val="28"/>
                <w:lang w:val="en-US"/>
              </w:rPr>
            </w:pPr>
            <w:r w:rsidRPr="00344F42">
              <w:rPr>
                <w:b/>
                <w:sz w:val="28"/>
                <w:lang w:val="en-US"/>
              </w:rPr>
              <w:t>Ministru komitejas Ieteikums CM/Rec(2022)14 dalībvalstīm par taisnīgas procedūras vispārējajiem principiem, kas piemērojami antidopinga lietas izskatīšanai sportā</w:t>
            </w:r>
          </w:p>
          <w:p w14:paraId="12C9BFD3" w14:textId="77777777" w:rsidR="00344F42" w:rsidRPr="00344F42" w:rsidRDefault="00344F42" w:rsidP="00B408A9">
            <w:pPr>
              <w:jc w:val="both"/>
              <w:rPr>
                <w:rFonts w:ascii="Times New Roman" w:eastAsia="Times New Roman" w:hAnsi="Times New Roman" w:cs="Times New Roman"/>
                <w:noProof/>
                <w:sz w:val="24"/>
                <w:szCs w:val="24"/>
                <w:lang w:val="en-US"/>
              </w:rPr>
            </w:pPr>
          </w:p>
          <w:p w14:paraId="60D0C1B7" w14:textId="77777777" w:rsidR="00344F42" w:rsidRPr="00344F42" w:rsidRDefault="00344F42" w:rsidP="00B408A9">
            <w:pPr>
              <w:jc w:val="both"/>
              <w:rPr>
                <w:rFonts w:ascii="Times New Roman" w:hAnsi="Times New Roman"/>
                <w:i/>
                <w:noProof/>
                <w:sz w:val="24"/>
                <w:lang w:val="en-US"/>
              </w:rPr>
            </w:pPr>
            <w:r w:rsidRPr="00344F42">
              <w:rPr>
                <w:rFonts w:ascii="Times New Roman" w:hAnsi="Times New Roman"/>
                <w:i/>
                <w:noProof/>
                <w:sz w:val="24"/>
                <w:lang w:val="en-US"/>
              </w:rPr>
              <w:t>(Pieņēmusi Ministru komiteja Ministru vietnieku 1432. sanāksmē 2022. gada 20. aprīlī)</w:t>
            </w:r>
          </w:p>
          <w:p w14:paraId="43A46EEF" w14:textId="77777777" w:rsidR="00344F42" w:rsidRPr="00344F42" w:rsidRDefault="00344F42" w:rsidP="00B408A9">
            <w:pPr>
              <w:jc w:val="both"/>
              <w:rPr>
                <w:rFonts w:ascii="Times New Roman" w:eastAsia="Times New Roman" w:hAnsi="Times New Roman" w:cs="Times New Roman"/>
                <w:noProof/>
                <w:sz w:val="24"/>
                <w:szCs w:val="24"/>
                <w:lang w:val="en-US"/>
              </w:rPr>
            </w:pPr>
          </w:p>
        </w:tc>
      </w:tr>
    </w:tbl>
    <w:p w14:paraId="480A2F4F" w14:textId="77777777" w:rsidR="00344F42" w:rsidRPr="00344F42" w:rsidRDefault="00344F42" w:rsidP="00344F42">
      <w:pPr>
        <w:jc w:val="both"/>
        <w:rPr>
          <w:rFonts w:ascii="Times New Roman" w:eastAsia="Arial Narrow" w:hAnsi="Times New Roman" w:cs="Times New Roman"/>
          <w:i/>
          <w:noProof/>
          <w:sz w:val="24"/>
          <w:szCs w:val="24"/>
          <w:lang w:val="en-US"/>
        </w:rPr>
      </w:pPr>
    </w:p>
    <w:p w14:paraId="49C5CBA1" w14:textId="77777777" w:rsidR="00344F42" w:rsidRPr="00344F42" w:rsidRDefault="00344F42" w:rsidP="00344F42">
      <w:pPr>
        <w:pStyle w:val="BodyText"/>
        <w:rPr>
          <w:lang w:val="en-US"/>
        </w:rPr>
      </w:pPr>
      <w:r w:rsidRPr="00344F42">
        <w:rPr>
          <w:lang w:val="en-US"/>
        </w:rPr>
        <w:t>Ministru komiteja saskaņā ar Eiropas Padomes Statūtu 15. panta b) punkta noteikumiem (ELS Nr. 1),</w:t>
      </w:r>
    </w:p>
    <w:p w14:paraId="4421C8D6" w14:textId="77777777" w:rsidR="00344F42" w:rsidRPr="00344F42" w:rsidRDefault="00344F42" w:rsidP="00344F42">
      <w:pPr>
        <w:jc w:val="both"/>
        <w:rPr>
          <w:rFonts w:ascii="Times New Roman" w:eastAsia="Arial" w:hAnsi="Times New Roman" w:cs="Times New Roman"/>
          <w:noProof/>
          <w:sz w:val="24"/>
          <w:szCs w:val="24"/>
          <w:lang w:val="en-US"/>
        </w:rPr>
      </w:pPr>
    </w:p>
    <w:p w14:paraId="5F22A26A" w14:textId="77777777" w:rsidR="00344F42" w:rsidRPr="00344F42" w:rsidRDefault="00344F42" w:rsidP="00344F42">
      <w:pPr>
        <w:pStyle w:val="BodyText"/>
        <w:rPr>
          <w:lang w:val="en-US"/>
        </w:rPr>
      </w:pPr>
      <w:r w:rsidRPr="00344F42">
        <w:rPr>
          <w:lang w:val="en-US"/>
        </w:rPr>
        <w:t>ņemot vērā to, ka Eiropas Padomes mērķis ir panākt savu dalībvalstu lielāku vienotību;</w:t>
      </w:r>
    </w:p>
    <w:p w14:paraId="4EBDB332" w14:textId="77777777" w:rsidR="00344F42" w:rsidRPr="00344F42" w:rsidRDefault="00344F42" w:rsidP="00344F42">
      <w:pPr>
        <w:jc w:val="both"/>
        <w:rPr>
          <w:rFonts w:ascii="Times New Roman" w:eastAsia="Arial" w:hAnsi="Times New Roman" w:cs="Times New Roman"/>
          <w:noProof/>
          <w:sz w:val="24"/>
          <w:szCs w:val="24"/>
          <w:lang w:val="en-US"/>
        </w:rPr>
      </w:pPr>
    </w:p>
    <w:p w14:paraId="5E905436" w14:textId="77777777" w:rsidR="00344F42" w:rsidRPr="00344F42" w:rsidRDefault="00344F42" w:rsidP="00344F42">
      <w:pPr>
        <w:pStyle w:val="BodyText"/>
        <w:rPr>
          <w:lang w:val="en-US"/>
        </w:rPr>
      </w:pPr>
      <w:r w:rsidRPr="00344F42">
        <w:rPr>
          <w:lang w:val="en-US"/>
        </w:rPr>
        <w:t>no jauna apliecinot stingro apņēmību cīnīties pret dopingu sportā, vienlaikus nodrošinot pilnīgu cilvēktiesību un pamatbrīvību ievērošanu;</w:t>
      </w:r>
    </w:p>
    <w:p w14:paraId="61FB8DA8" w14:textId="77777777" w:rsidR="00344F42" w:rsidRPr="00344F42" w:rsidRDefault="00344F42" w:rsidP="00344F42">
      <w:pPr>
        <w:jc w:val="both"/>
        <w:rPr>
          <w:rFonts w:ascii="Times New Roman" w:eastAsia="Arial" w:hAnsi="Times New Roman" w:cs="Times New Roman"/>
          <w:noProof/>
          <w:sz w:val="24"/>
          <w:szCs w:val="24"/>
          <w:lang w:val="en-US"/>
        </w:rPr>
      </w:pPr>
    </w:p>
    <w:p w14:paraId="0A765168" w14:textId="77777777" w:rsidR="00344F42" w:rsidRPr="00344F42" w:rsidRDefault="00344F42" w:rsidP="00344F42">
      <w:pPr>
        <w:pStyle w:val="BodyText"/>
        <w:rPr>
          <w:lang w:val="en-US"/>
        </w:rPr>
      </w:pPr>
      <w:r w:rsidRPr="00344F42">
        <w:rPr>
          <w:lang w:val="en-US"/>
        </w:rPr>
        <w:t>būdama pārliecināta, ka Vispārējā cilvēktiesību deklarācijā pasludināto un turpmākajās starptautiskajās konvencijās apstiprināto tiesību un brīvību faktiskā atzīšana un ievērošana ir sevišķi svarīga, lai varētu aizsargāt un sekmēt sportu bez dopinga;</w:t>
      </w:r>
    </w:p>
    <w:p w14:paraId="781DC16B" w14:textId="77777777" w:rsidR="00344F42" w:rsidRPr="00344F42" w:rsidRDefault="00344F42" w:rsidP="00344F42">
      <w:pPr>
        <w:jc w:val="both"/>
        <w:rPr>
          <w:rFonts w:ascii="Times New Roman" w:eastAsia="Arial" w:hAnsi="Times New Roman" w:cs="Times New Roman"/>
          <w:noProof/>
          <w:sz w:val="24"/>
          <w:szCs w:val="24"/>
          <w:lang w:val="en-US"/>
        </w:rPr>
      </w:pPr>
    </w:p>
    <w:p w14:paraId="28922061" w14:textId="77777777" w:rsidR="00344F42" w:rsidRPr="00344F42" w:rsidRDefault="00344F42" w:rsidP="00344F42">
      <w:pPr>
        <w:pStyle w:val="BodyText"/>
        <w:rPr>
          <w:lang w:val="en-US"/>
        </w:rPr>
      </w:pPr>
      <w:r w:rsidRPr="00344F42">
        <w:rPr>
          <w:lang w:val="en-US"/>
        </w:rPr>
        <w:t>atzīstot Cilvēktiesību un pamatbrīvību aizsardzības konvencijas (ELS Nr. 5) nozīmi, it īpaši tajā noteiktās garantijas attiecībā uz tiesībām uz lietas taisnīgu izskatīšanu (6. pants) un Eiropas Cilvēktiesību tiesas judikatūru, kas attiecas uz cilvēktiesību pārkāpumu nepieļaušanu un novēršanu sportā, patvaļas apkarošanu un tādu iespējamo sankciju samērīguma nodrošināšanu, kas noteiktas sportā vai lietās, kas saistītas ar antidopinga jautājumiem;</w:t>
      </w:r>
    </w:p>
    <w:p w14:paraId="08F1027B" w14:textId="77777777" w:rsidR="00344F42" w:rsidRPr="00344F42" w:rsidRDefault="00344F42" w:rsidP="00344F42">
      <w:pPr>
        <w:jc w:val="both"/>
        <w:rPr>
          <w:rFonts w:ascii="Times New Roman" w:eastAsia="Arial" w:hAnsi="Times New Roman" w:cs="Times New Roman"/>
          <w:noProof/>
          <w:sz w:val="24"/>
          <w:szCs w:val="24"/>
          <w:lang w:val="en-US"/>
        </w:rPr>
      </w:pPr>
    </w:p>
    <w:p w14:paraId="20F8E8F9" w14:textId="77777777" w:rsidR="00344F42" w:rsidRPr="00344F42" w:rsidRDefault="00344F42" w:rsidP="00344F42">
      <w:pPr>
        <w:pStyle w:val="BodyText"/>
        <w:rPr>
          <w:lang w:val="en-US"/>
        </w:rPr>
      </w:pPr>
      <w:r w:rsidRPr="00344F42">
        <w:rPr>
          <w:lang w:val="en-US"/>
        </w:rPr>
        <w:t>ņemot vērā standartus, kas ietverti Antidopinga konvencijā (ELS Nr. 135);</w:t>
      </w:r>
    </w:p>
    <w:p w14:paraId="080E6C75" w14:textId="77777777" w:rsidR="00344F42" w:rsidRPr="00344F42" w:rsidRDefault="00344F42" w:rsidP="00344F42">
      <w:pPr>
        <w:jc w:val="both"/>
        <w:rPr>
          <w:rFonts w:ascii="Times New Roman" w:eastAsia="Arial" w:hAnsi="Times New Roman" w:cs="Times New Roman"/>
          <w:noProof/>
          <w:sz w:val="24"/>
          <w:szCs w:val="24"/>
          <w:lang w:val="en-US"/>
        </w:rPr>
      </w:pPr>
    </w:p>
    <w:p w14:paraId="2C63695F" w14:textId="77777777" w:rsidR="00344F42" w:rsidRPr="00344F42" w:rsidRDefault="00344F42" w:rsidP="00344F42">
      <w:pPr>
        <w:pStyle w:val="BodyText"/>
        <w:rPr>
          <w:lang w:val="en-US"/>
        </w:rPr>
      </w:pPr>
      <w:r w:rsidRPr="00344F42">
        <w:rPr>
          <w:lang w:val="en-US"/>
        </w:rPr>
        <w:t>paturot prātā Ieteikumu T-DO/Rec(2017)01 par lietu izskatīšanas komisiju (iestāžu) neatkarības nodrošināšanu un taisnīgas tiesas veicināšanu antidopinga lietās, kuru 2017. gada 20. februārī pieņēmusi Antidopinga konvencijas Kontroles grupa;</w:t>
      </w:r>
    </w:p>
    <w:p w14:paraId="7CCE2312" w14:textId="77777777" w:rsidR="00344F42" w:rsidRPr="00344F42" w:rsidRDefault="00344F42" w:rsidP="00344F42">
      <w:pPr>
        <w:jc w:val="both"/>
        <w:rPr>
          <w:rFonts w:ascii="Times New Roman" w:eastAsia="Arial" w:hAnsi="Times New Roman" w:cs="Times New Roman"/>
          <w:noProof/>
          <w:sz w:val="24"/>
          <w:szCs w:val="24"/>
          <w:lang w:val="en-US"/>
        </w:rPr>
      </w:pPr>
    </w:p>
    <w:p w14:paraId="0B246746" w14:textId="77777777" w:rsidR="00344F42" w:rsidRPr="00344F42" w:rsidRDefault="00344F42" w:rsidP="00344F42">
      <w:pPr>
        <w:pStyle w:val="BodyText"/>
        <w:rPr>
          <w:lang w:val="en-US"/>
        </w:rPr>
      </w:pPr>
      <w:r w:rsidRPr="00344F42">
        <w:rPr>
          <w:lang w:val="en-US"/>
        </w:rPr>
        <w:t>atgādinot Starptautisko deklarāciju par cilvēktiesībām un sportu (Tbilisi deklarācija), kas 2018. gadā pieņemta Eiropas Padomes ministru, kas ir atbildīgi par sporta jautājumiem, 15. konferencē, un rezolūciju Nr. 2 par cilvēktiesībām sportā, kas pieņemta 16. konferencē 2020. gadā;</w:t>
      </w:r>
    </w:p>
    <w:p w14:paraId="0E9A941E" w14:textId="77777777" w:rsidR="00344F42" w:rsidRPr="00344F42" w:rsidRDefault="00344F42" w:rsidP="00344F42">
      <w:pPr>
        <w:jc w:val="both"/>
        <w:rPr>
          <w:rFonts w:ascii="Times New Roman" w:eastAsia="Arial" w:hAnsi="Times New Roman" w:cs="Times New Roman"/>
          <w:noProof/>
          <w:sz w:val="24"/>
          <w:szCs w:val="24"/>
          <w:lang w:val="en-US"/>
        </w:rPr>
      </w:pPr>
    </w:p>
    <w:p w14:paraId="5B30F267" w14:textId="77777777" w:rsidR="00344F42" w:rsidRPr="00344F42" w:rsidRDefault="00344F42" w:rsidP="00344F42">
      <w:pPr>
        <w:pStyle w:val="BodyText"/>
        <w:rPr>
          <w:lang w:val="en-US"/>
        </w:rPr>
      </w:pPr>
      <w:r w:rsidRPr="00344F42">
        <w:rPr>
          <w:lang w:val="en-US"/>
        </w:rPr>
        <w:t>atzīstot, ka Antidopinga konvencijas dalībvalstu tiesību sistēmas un šo dalībvalstu kompetento iestāžu izmantotās antidopinga procedūras ir ļoti dažādas;</w:t>
      </w:r>
    </w:p>
    <w:p w14:paraId="7FD03966" w14:textId="77777777" w:rsidR="00344F42" w:rsidRPr="00344F42" w:rsidRDefault="00344F42" w:rsidP="00344F42">
      <w:pPr>
        <w:jc w:val="both"/>
        <w:rPr>
          <w:rFonts w:ascii="Times New Roman" w:eastAsia="Arial" w:hAnsi="Times New Roman" w:cs="Times New Roman"/>
          <w:noProof/>
          <w:sz w:val="24"/>
          <w:szCs w:val="24"/>
          <w:lang w:val="en-US"/>
        </w:rPr>
      </w:pPr>
    </w:p>
    <w:p w14:paraId="7236F20A" w14:textId="77777777" w:rsidR="00344F42" w:rsidRPr="00344F42" w:rsidRDefault="00344F42" w:rsidP="00344F42">
      <w:pPr>
        <w:pStyle w:val="BodyText"/>
        <w:rPr>
          <w:lang w:val="en-US"/>
        </w:rPr>
      </w:pPr>
      <w:r w:rsidRPr="00344F42">
        <w:rPr>
          <w:lang w:val="en-US"/>
        </w:rPr>
        <w:lastRenderedPageBreak/>
        <w:t>tomēr uzsverot kopīgo stingro apņemšanos ievērot tiesiskumu sportā un no tā izrietošo nepieciešamību garantēt efektīvu tiesas pieejamību un taisnīgu tiesu antidopinga lietas izskatīšanā, kas noteikta valsts tiesību aktos un starptautiskajos tiesību aktos, tostarp UNESCO Starptautiskajā konvencijā pret dopingu sportā un Pasaules antidopinga kodeksā;</w:t>
      </w:r>
    </w:p>
    <w:p w14:paraId="40F070BB" w14:textId="77777777" w:rsidR="00344F42" w:rsidRPr="00344F42" w:rsidRDefault="00344F42" w:rsidP="00344F42">
      <w:pPr>
        <w:jc w:val="both"/>
        <w:rPr>
          <w:rFonts w:ascii="Times New Roman" w:eastAsia="Arial" w:hAnsi="Times New Roman" w:cs="Times New Roman"/>
          <w:noProof/>
          <w:sz w:val="24"/>
          <w:szCs w:val="24"/>
          <w:lang w:val="en-US"/>
        </w:rPr>
      </w:pPr>
    </w:p>
    <w:p w14:paraId="63217C97" w14:textId="77777777" w:rsidR="00344F42" w:rsidRPr="00344F42" w:rsidRDefault="00344F42" w:rsidP="00344F42">
      <w:pPr>
        <w:pStyle w:val="BodyText"/>
        <w:rPr>
          <w:lang w:val="en-US"/>
        </w:rPr>
      </w:pPr>
      <w:r w:rsidRPr="00344F42">
        <w:rPr>
          <w:lang w:val="en-US"/>
        </w:rPr>
        <w:t>atzīstot, ka šķēršļu novēršana attiecībā uz efektīvu tiesas pieejamību ir galvenais elements, lai varētu nodrošināt vienlīdzīgas iespējas visiem sportistiem neatkarīgi no viņu dzimuma;</w:t>
      </w:r>
    </w:p>
    <w:p w14:paraId="16B591B6" w14:textId="77777777" w:rsidR="00344F42" w:rsidRPr="00344F42" w:rsidRDefault="00344F42" w:rsidP="00344F42">
      <w:pPr>
        <w:jc w:val="both"/>
        <w:rPr>
          <w:rFonts w:ascii="Times New Roman" w:eastAsia="Arial" w:hAnsi="Times New Roman" w:cs="Times New Roman"/>
          <w:noProof/>
          <w:sz w:val="24"/>
          <w:szCs w:val="24"/>
          <w:lang w:val="en-US"/>
        </w:rPr>
      </w:pPr>
    </w:p>
    <w:p w14:paraId="4EA3B953" w14:textId="77777777" w:rsidR="00344F42" w:rsidRPr="00344F42" w:rsidRDefault="00344F42" w:rsidP="00344F42">
      <w:pPr>
        <w:pStyle w:val="BodyText"/>
        <w:rPr>
          <w:lang w:val="en-US"/>
        </w:rPr>
      </w:pPr>
      <w:r w:rsidRPr="00344F42">
        <w:rPr>
          <w:lang w:val="en-US"/>
        </w:rPr>
        <w:t>turklāt atgādinot, ka dalībvalstīm ir pienākums koordinēt to antidopinga politiku un saskaņot saistītās disciplinārās procedūras saskaņā ar Antidopinga konvencijā ietvertajiem principiem;</w:t>
      </w:r>
    </w:p>
    <w:p w14:paraId="7A09868E" w14:textId="77777777" w:rsidR="00344F42" w:rsidRPr="00344F42" w:rsidRDefault="00344F42" w:rsidP="00344F42">
      <w:pPr>
        <w:jc w:val="both"/>
        <w:rPr>
          <w:rFonts w:ascii="Times New Roman" w:eastAsia="Arial" w:hAnsi="Times New Roman" w:cs="Times New Roman"/>
          <w:noProof/>
          <w:sz w:val="24"/>
          <w:szCs w:val="24"/>
          <w:lang w:val="en-US"/>
        </w:rPr>
      </w:pPr>
    </w:p>
    <w:p w14:paraId="5A7BFAE2" w14:textId="77777777" w:rsidR="00344F42" w:rsidRPr="00344F42" w:rsidRDefault="00344F42" w:rsidP="00344F42">
      <w:pPr>
        <w:pStyle w:val="BodyText"/>
        <w:rPr>
          <w:lang w:val="en-US"/>
        </w:rPr>
      </w:pPr>
      <w:r w:rsidRPr="00344F42">
        <w:rPr>
          <w:lang w:val="en-US"/>
        </w:rPr>
        <w:t>atzīstot to, ka svarīgi ir īstenot Pasaules antidopinga kodeksu, kura mērķis ir sekmēt centienus antidopinga jomā, visaptveroši saskaņojot galvenos antidopinga elementus;</w:t>
      </w:r>
    </w:p>
    <w:p w14:paraId="61548F55" w14:textId="77777777" w:rsidR="00344F42" w:rsidRPr="00344F42" w:rsidRDefault="00344F42" w:rsidP="00344F42">
      <w:pPr>
        <w:jc w:val="both"/>
        <w:rPr>
          <w:rFonts w:ascii="Times New Roman" w:eastAsia="Arial" w:hAnsi="Times New Roman" w:cs="Times New Roman"/>
          <w:noProof/>
          <w:sz w:val="24"/>
          <w:szCs w:val="24"/>
          <w:lang w:val="en-US"/>
        </w:rPr>
      </w:pPr>
    </w:p>
    <w:p w14:paraId="040BAAEA" w14:textId="77777777" w:rsidR="00344F42" w:rsidRPr="00344F42" w:rsidRDefault="00344F42" w:rsidP="00344F42">
      <w:pPr>
        <w:pStyle w:val="BodyText"/>
        <w:rPr>
          <w:lang w:val="en-US"/>
        </w:rPr>
      </w:pPr>
      <w:r w:rsidRPr="00344F42">
        <w:rPr>
          <w:lang w:val="en-US"/>
        </w:rPr>
        <w:t>ņemot vērā to, ka Pasaules antidopinga kodeksā, kas tika “izstrādāts, ievērojot samērīguma principu un cilvēktiesības”, ir noteikts, ka antidopinga organizācijām ir jānodrošina lietas taisnīga izskatīšana saprātīgā termiņā, ko veic taisnīga un objektīva lietas izskatīšanas komisija,</w:t>
      </w:r>
    </w:p>
    <w:p w14:paraId="4EA89039" w14:textId="77777777" w:rsidR="00344F42" w:rsidRPr="00344F42" w:rsidRDefault="00344F42" w:rsidP="00344F42">
      <w:pPr>
        <w:jc w:val="both"/>
        <w:rPr>
          <w:rFonts w:ascii="Times New Roman" w:eastAsia="Arial" w:hAnsi="Times New Roman" w:cs="Times New Roman"/>
          <w:noProof/>
          <w:sz w:val="24"/>
          <w:szCs w:val="24"/>
          <w:lang w:val="en-US"/>
        </w:rPr>
      </w:pPr>
    </w:p>
    <w:p w14:paraId="33B1C3E8" w14:textId="77777777" w:rsidR="00344F42" w:rsidRPr="00344F42" w:rsidRDefault="00344F42" w:rsidP="00344F42">
      <w:pPr>
        <w:pStyle w:val="BodyText"/>
        <w:rPr>
          <w:lang w:val="en-US"/>
        </w:rPr>
      </w:pPr>
      <w:r w:rsidRPr="00344F42">
        <w:rPr>
          <w:lang w:val="en-US"/>
        </w:rPr>
        <w:t>iesaka dalībvalstu valdībām:</w:t>
      </w:r>
    </w:p>
    <w:p w14:paraId="45B57605" w14:textId="77777777" w:rsidR="00344F42" w:rsidRPr="00344F42" w:rsidRDefault="00344F42" w:rsidP="00344F42">
      <w:pPr>
        <w:jc w:val="both"/>
        <w:rPr>
          <w:rFonts w:ascii="Times New Roman" w:eastAsia="Arial" w:hAnsi="Times New Roman" w:cs="Times New Roman"/>
          <w:noProof/>
          <w:sz w:val="24"/>
          <w:szCs w:val="24"/>
          <w:lang w:val="en-US"/>
        </w:rPr>
      </w:pPr>
    </w:p>
    <w:p w14:paraId="5D7D7661" w14:textId="77777777" w:rsidR="00344F42" w:rsidRPr="00344F42" w:rsidRDefault="00344F42" w:rsidP="00344F42">
      <w:pPr>
        <w:pStyle w:val="BodyText"/>
        <w:numPr>
          <w:ilvl w:val="0"/>
          <w:numId w:val="6"/>
        </w:numPr>
        <w:tabs>
          <w:tab w:val="left" w:pos="851"/>
        </w:tabs>
        <w:ind w:left="284" w:firstLine="0"/>
        <w:rPr>
          <w:lang w:val="en-US"/>
        </w:rPr>
      </w:pPr>
      <w:r w:rsidRPr="00344F42">
        <w:rPr>
          <w:lang w:val="en-US"/>
        </w:rPr>
        <w:t>to tiesību aktos un praksē ņemt vērā principus, kas ir izklāstīti šā ieteikuma papildinājumā;</w:t>
      </w:r>
    </w:p>
    <w:p w14:paraId="31335BE7" w14:textId="77777777" w:rsidR="00344F42" w:rsidRPr="00344F42" w:rsidRDefault="00344F42" w:rsidP="00344F42">
      <w:pPr>
        <w:tabs>
          <w:tab w:val="left" w:pos="851"/>
        </w:tabs>
        <w:ind w:left="284"/>
        <w:jc w:val="both"/>
        <w:rPr>
          <w:rFonts w:ascii="Times New Roman" w:eastAsia="Arial" w:hAnsi="Times New Roman" w:cs="Times New Roman"/>
          <w:noProof/>
          <w:sz w:val="24"/>
          <w:szCs w:val="24"/>
          <w:lang w:val="en-US"/>
        </w:rPr>
      </w:pPr>
    </w:p>
    <w:p w14:paraId="1A597FA4" w14:textId="77777777" w:rsidR="00344F42" w:rsidRPr="00344F42" w:rsidRDefault="00344F42" w:rsidP="00344F42">
      <w:pPr>
        <w:pStyle w:val="BodyText"/>
        <w:numPr>
          <w:ilvl w:val="0"/>
          <w:numId w:val="6"/>
        </w:numPr>
        <w:tabs>
          <w:tab w:val="left" w:pos="851"/>
        </w:tabs>
        <w:ind w:left="284" w:firstLine="0"/>
        <w:rPr>
          <w:lang w:val="en-US"/>
        </w:rPr>
      </w:pPr>
      <w:r w:rsidRPr="00344F42">
        <w:rPr>
          <w:lang w:val="en-US"/>
        </w:rPr>
        <w:t>nodrošināt, ka šis ieteikums un tā papildinājums tiek iztulkots un pēc iespējas plašāk izplatīts kompetentajām iestādēm un ieinteresētajām pusēm, tostarp valstu antidopinga aģentūrām un sporta organizācijām;</w:t>
      </w:r>
    </w:p>
    <w:p w14:paraId="76827E6E" w14:textId="77777777" w:rsidR="00344F42" w:rsidRPr="00344F42" w:rsidRDefault="00344F42" w:rsidP="00344F42">
      <w:pPr>
        <w:tabs>
          <w:tab w:val="left" w:pos="851"/>
        </w:tabs>
        <w:ind w:left="284"/>
        <w:jc w:val="both"/>
        <w:rPr>
          <w:rFonts w:ascii="Times New Roman" w:eastAsia="Arial" w:hAnsi="Times New Roman" w:cs="Times New Roman"/>
          <w:noProof/>
          <w:sz w:val="24"/>
          <w:szCs w:val="24"/>
          <w:lang w:val="en-US"/>
        </w:rPr>
      </w:pPr>
    </w:p>
    <w:p w14:paraId="07394996" w14:textId="77777777" w:rsidR="00344F42" w:rsidRPr="00344F42" w:rsidRDefault="00344F42" w:rsidP="00344F42">
      <w:pPr>
        <w:pStyle w:val="BodyText"/>
        <w:numPr>
          <w:ilvl w:val="0"/>
          <w:numId w:val="6"/>
        </w:numPr>
        <w:tabs>
          <w:tab w:val="left" w:pos="851"/>
        </w:tabs>
        <w:ind w:left="284" w:firstLine="0"/>
        <w:rPr>
          <w:lang w:val="en-US"/>
        </w:rPr>
      </w:pPr>
      <w:r w:rsidRPr="00344F42">
        <w:rPr>
          <w:lang w:val="en-US"/>
        </w:rPr>
        <w:t>veicināt to, ka dalībvalstis un visas pārējās valstu un starptautiskās ieinteresētās puses, tostarp antidopinga organizācijas un sporta iestādes, pakāpeniski īsteno šā ieteikuma papildinājumā izklāstītos principus, nodrošinot, ka to tiesiskais regulējums un prakse atbilst piemērojamajiem tiesību aktiem un tiek izpildīti pienākumi attiecībā uz cilvēktiesību ievērošanu.</w:t>
      </w:r>
    </w:p>
    <w:p w14:paraId="3BC8AA47" w14:textId="77777777" w:rsidR="00344F42" w:rsidRPr="00344F42" w:rsidRDefault="00344F42" w:rsidP="00344F42">
      <w:pPr>
        <w:jc w:val="both"/>
        <w:rPr>
          <w:rFonts w:ascii="Times New Roman" w:hAnsi="Times New Roman" w:cs="Times New Roman"/>
          <w:noProof/>
          <w:sz w:val="24"/>
          <w:szCs w:val="24"/>
          <w:lang w:val="en-US"/>
        </w:rPr>
      </w:pPr>
    </w:p>
    <w:p w14:paraId="1C3934C5" w14:textId="77777777" w:rsidR="00344F42" w:rsidRPr="00344F42" w:rsidRDefault="00344F42" w:rsidP="00344F42">
      <w:pPr>
        <w:rPr>
          <w:noProof/>
          <w:lang w:val="en-US"/>
        </w:rPr>
      </w:pPr>
      <w:r w:rsidRPr="00344F42">
        <w:rPr>
          <w:noProof/>
          <w:lang w:val="en-US"/>
        </w:rPr>
        <w:br w:type="page"/>
      </w:r>
    </w:p>
    <w:p w14:paraId="59AA2E46" w14:textId="77777777" w:rsidR="00344F42" w:rsidRPr="00344F42" w:rsidRDefault="00344F42" w:rsidP="00344F42">
      <w:pPr>
        <w:jc w:val="both"/>
        <w:rPr>
          <w:rFonts w:ascii="Times New Roman" w:eastAsia="Arial" w:hAnsi="Times New Roman" w:cs="Times New Roman"/>
          <w:noProof/>
          <w:sz w:val="24"/>
          <w:szCs w:val="24"/>
          <w:lang w:val="en-US"/>
        </w:rPr>
      </w:pPr>
    </w:p>
    <w:p w14:paraId="70BE22EC" w14:textId="77777777" w:rsidR="00344F42" w:rsidRPr="00344F42" w:rsidRDefault="00344F42" w:rsidP="00344F42">
      <w:pPr>
        <w:jc w:val="both"/>
        <w:rPr>
          <w:rFonts w:ascii="Times New Roman" w:hAnsi="Times New Roman"/>
          <w:i/>
          <w:noProof/>
          <w:sz w:val="24"/>
          <w:lang w:val="en-US"/>
        </w:rPr>
      </w:pPr>
      <w:r w:rsidRPr="00344F42">
        <w:rPr>
          <w:rFonts w:ascii="Times New Roman" w:hAnsi="Times New Roman"/>
          <w:i/>
          <w:noProof/>
          <w:sz w:val="24"/>
          <w:lang w:val="en-US"/>
        </w:rPr>
        <w:t>Ieteikuma CM/Rec(2022)14 papildinājums</w:t>
      </w:r>
    </w:p>
    <w:p w14:paraId="494E9C5D" w14:textId="77777777" w:rsidR="00344F42" w:rsidRPr="00344F42" w:rsidRDefault="00344F42" w:rsidP="00344F42">
      <w:pPr>
        <w:jc w:val="both"/>
        <w:rPr>
          <w:rFonts w:ascii="Times New Roman" w:eastAsia="Arial" w:hAnsi="Times New Roman" w:cs="Times New Roman"/>
          <w:i/>
          <w:noProof/>
          <w:sz w:val="24"/>
          <w:szCs w:val="24"/>
          <w:lang w:val="en-US"/>
        </w:rPr>
      </w:pPr>
    </w:p>
    <w:p w14:paraId="67D17386" w14:textId="77777777" w:rsidR="00344F42" w:rsidRPr="00344F42" w:rsidRDefault="00344F42" w:rsidP="00344F42">
      <w:pPr>
        <w:pStyle w:val="Heading2"/>
        <w:ind w:left="0"/>
        <w:jc w:val="both"/>
        <w:rPr>
          <w:rFonts w:ascii="Times New Roman" w:hAnsi="Times New Roman"/>
          <w:noProof/>
          <w:sz w:val="24"/>
          <w:lang w:val="en-US"/>
        </w:rPr>
      </w:pPr>
      <w:r w:rsidRPr="00344F42">
        <w:rPr>
          <w:rFonts w:ascii="Times New Roman" w:hAnsi="Times New Roman"/>
          <w:noProof/>
          <w:sz w:val="24"/>
          <w:lang w:val="en-US"/>
        </w:rPr>
        <w:t>Ievada principi</w:t>
      </w:r>
    </w:p>
    <w:p w14:paraId="6949D06A" w14:textId="77777777" w:rsidR="00344F42" w:rsidRPr="00344F42" w:rsidRDefault="00344F42" w:rsidP="00344F42">
      <w:pPr>
        <w:jc w:val="both"/>
        <w:rPr>
          <w:rFonts w:ascii="Times New Roman" w:eastAsia="Arial" w:hAnsi="Times New Roman" w:cs="Times New Roman"/>
          <w:b/>
          <w:bCs/>
          <w:noProof/>
          <w:sz w:val="24"/>
          <w:szCs w:val="24"/>
          <w:lang w:val="en-US"/>
        </w:rPr>
      </w:pPr>
    </w:p>
    <w:p w14:paraId="4FCD728F" w14:textId="77777777" w:rsidR="00344F42" w:rsidRPr="00344F42" w:rsidRDefault="00344F42" w:rsidP="00344F42">
      <w:pPr>
        <w:pStyle w:val="BodyText"/>
        <w:rPr>
          <w:lang w:val="en-US"/>
        </w:rPr>
      </w:pPr>
      <w:r w:rsidRPr="00344F42">
        <w:rPr>
          <w:lang w:val="en-US"/>
        </w:rPr>
        <w:t>1. Turpmāk izklāstītie taisnīgas procedūras principi ir jāpiemēro gadījumos, kad tiek izmeklēti apgalvojumi par dopingu un kad pret sportistu tiek ierosināta antidopinga lietas izskatīšana vai kad tiek apgalvots, ka kāda cita fiziska vai juridiska persona (turpmāk – “cita persona”) ir pārkāpusi antidopinga noteikumus. Šie principi ir jāpiemēro gan vietējā, gan starptautiskā līmenī gadījumos, kad šādas lietas izskatīšanas dēļ var tikt noteikta pagaidu diskvalifikācija vai diskvalifikācija uz mūžu, liedzot sacensties vai piedalīties sporta sacensībās, vai tikt uzlikti naudas sodi.</w:t>
      </w:r>
    </w:p>
    <w:p w14:paraId="17B0C20D" w14:textId="77777777" w:rsidR="00344F42" w:rsidRPr="00344F42" w:rsidRDefault="00344F42" w:rsidP="00344F42">
      <w:pPr>
        <w:jc w:val="both"/>
        <w:rPr>
          <w:rFonts w:ascii="Times New Roman" w:eastAsia="Arial" w:hAnsi="Times New Roman" w:cs="Times New Roman"/>
          <w:noProof/>
          <w:sz w:val="24"/>
          <w:szCs w:val="24"/>
          <w:lang w:val="en-US"/>
        </w:rPr>
      </w:pPr>
    </w:p>
    <w:p w14:paraId="731127FD" w14:textId="77777777" w:rsidR="00344F42" w:rsidRPr="00344F42" w:rsidRDefault="00344F42" w:rsidP="00344F42">
      <w:pPr>
        <w:pStyle w:val="BodyText"/>
        <w:rPr>
          <w:lang w:val="en-US"/>
        </w:rPr>
      </w:pPr>
      <w:r w:rsidRPr="00344F42">
        <w:rPr>
          <w:lang w:val="en-US"/>
        </w:rPr>
        <w:t>2. Katram sportistam vai citai personai, pret kuru ir ierosināta antidopinga lietas izskatīšana, ir jābūt tiesībām uz taisnīgu procedūru, kam jānotiek saprātīgā termiņā un ko veic neatkarīga un objektīva pirmās instances komisija (turpmāk – “komisija”), ar vismaz pārsūdzēšanas iespēju pārsūdzības iestādē. Taisnīgas procedūras standarti ir jāpiemēro attiecībā uz abām institūcijām.</w:t>
      </w:r>
    </w:p>
    <w:p w14:paraId="743808BF" w14:textId="77777777" w:rsidR="00344F42" w:rsidRPr="00344F42" w:rsidRDefault="00344F42" w:rsidP="00344F42">
      <w:pPr>
        <w:jc w:val="both"/>
        <w:rPr>
          <w:rFonts w:ascii="Times New Roman" w:eastAsia="Arial" w:hAnsi="Times New Roman" w:cs="Times New Roman"/>
          <w:noProof/>
          <w:sz w:val="24"/>
          <w:szCs w:val="24"/>
          <w:lang w:val="en-US"/>
        </w:rPr>
      </w:pPr>
    </w:p>
    <w:p w14:paraId="24B480B3" w14:textId="77777777" w:rsidR="00344F42" w:rsidRPr="00344F42" w:rsidRDefault="00344F42" w:rsidP="00344F42">
      <w:pPr>
        <w:pStyle w:val="BodyText"/>
        <w:rPr>
          <w:lang w:val="en-US"/>
        </w:rPr>
      </w:pPr>
      <w:r w:rsidRPr="00344F42">
        <w:rPr>
          <w:lang w:val="en-US"/>
        </w:rPr>
        <w:t>3. Komisijai un pārsūdzības iestādēm ir jābūt objektīvām un neatkarīgām no valsts iestādēm, valsts vai reģionālajām antidopinga organizācijām, kā arī valstu un starptautiskajām sporta organizācijām.</w:t>
      </w:r>
    </w:p>
    <w:p w14:paraId="3BBA0980" w14:textId="77777777" w:rsidR="00344F42" w:rsidRPr="00344F42" w:rsidRDefault="00344F42" w:rsidP="00344F42">
      <w:pPr>
        <w:jc w:val="both"/>
        <w:rPr>
          <w:rFonts w:ascii="Times New Roman" w:eastAsia="Arial" w:hAnsi="Times New Roman" w:cs="Times New Roman"/>
          <w:noProof/>
          <w:sz w:val="24"/>
          <w:szCs w:val="24"/>
          <w:lang w:val="en-US"/>
        </w:rPr>
      </w:pPr>
    </w:p>
    <w:p w14:paraId="6B0B4F5C" w14:textId="77777777" w:rsidR="00344F42" w:rsidRPr="00344F42" w:rsidRDefault="00344F42" w:rsidP="00344F42">
      <w:pPr>
        <w:pStyle w:val="Heading2"/>
        <w:ind w:left="0"/>
        <w:jc w:val="both"/>
        <w:rPr>
          <w:rFonts w:ascii="Times New Roman" w:hAnsi="Times New Roman"/>
          <w:noProof/>
          <w:sz w:val="24"/>
          <w:lang w:val="en-US"/>
        </w:rPr>
      </w:pPr>
      <w:r w:rsidRPr="00344F42">
        <w:rPr>
          <w:rFonts w:ascii="Times New Roman" w:hAnsi="Times New Roman"/>
          <w:noProof/>
          <w:sz w:val="24"/>
          <w:lang w:val="en-US"/>
        </w:rPr>
        <w:t>Taisnīga procedūra, kas ir jāievēro antidopinga lietas izskatīšanā, ir jānodrošina, īstenojot turpmāk norādītos principus.</w:t>
      </w:r>
    </w:p>
    <w:p w14:paraId="2BF070C9" w14:textId="77777777" w:rsidR="00344F42" w:rsidRPr="00344F42" w:rsidRDefault="00344F42" w:rsidP="00344F42">
      <w:pPr>
        <w:jc w:val="both"/>
        <w:rPr>
          <w:rFonts w:ascii="Times New Roman" w:eastAsia="Arial" w:hAnsi="Times New Roman" w:cs="Times New Roman"/>
          <w:b/>
          <w:bCs/>
          <w:noProof/>
          <w:sz w:val="24"/>
          <w:szCs w:val="24"/>
          <w:lang w:val="en-US"/>
        </w:rPr>
      </w:pPr>
    </w:p>
    <w:p w14:paraId="4223AC4E" w14:textId="77777777" w:rsidR="00344F42" w:rsidRPr="00344F42" w:rsidRDefault="00344F42" w:rsidP="00344F42">
      <w:pPr>
        <w:pStyle w:val="Heading3"/>
        <w:tabs>
          <w:tab w:val="left" w:pos="819"/>
        </w:tabs>
        <w:ind w:left="0"/>
        <w:jc w:val="both"/>
        <w:rPr>
          <w:rFonts w:ascii="Times New Roman" w:hAnsi="Times New Roman"/>
          <w:noProof/>
          <w:sz w:val="24"/>
          <w:lang w:val="en-US"/>
        </w:rPr>
      </w:pPr>
      <w:r w:rsidRPr="00344F42">
        <w:rPr>
          <w:rFonts w:ascii="Times New Roman" w:hAnsi="Times New Roman"/>
          <w:noProof/>
          <w:sz w:val="24"/>
          <w:lang w:val="en-US"/>
        </w:rPr>
        <w:t>a) Izmeklēšana</w:t>
      </w:r>
    </w:p>
    <w:p w14:paraId="6D960BA4"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30499494" w14:textId="77777777" w:rsidR="00344F42" w:rsidRPr="00344F42" w:rsidRDefault="00344F42" w:rsidP="00344F42">
      <w:pPr>
        <w:pStyle w:val="BodyText"/>
        <w:rPr>
          <w:lang w:val="en-US"/>
        </w:rPr>
      </w:pPr>
      <w:r w:rsidRPr="00344F42">
        <w:rPr>
          <w:lang w:val="en-US"/>
        </w:rPr>
        <w:t>4. Izmeklēšana attiecībā uz apgalvojumiem par dopingu ir jāveic neatkarīgiem izmeklētājiem, neiejaucoties iekšējām vai ārējām iestādēm.</w:t>
      </w:r>
    </w:p>
    <w:p w14:paraId="11D5D14D" w14:textId="77777777" w:rsidR="00344F42" w:rsidRPr="00344F42" w:rsidRDefault="00344F42" w:rsidP="00344F42">
      <w:pPr>
        <w:jc w:val="both"/>
        <w:rPr>
          <w:rFonts w:ascii="Times New Roman" w:eastAsia="Arial" w:hAnsi="Times New Roman" w:cs="Times New Roman"/>
          <w:noProof/>
          <w:sz w:val="24"/>
          <w:szCs w:val="24"/>
          <w:lang w:val="en-US"/>
        </w:rPr>
      </w:pPr>
    </w:p>
    <w:p w14:paraId="52CB4127" w14:textId="77777777" w:rsidR="00344F42" w:rsidRPr="00344F42" w:rsidRDefault="00344F42" w:rsidP="00344F42">
      <w:pPr>
        <w:pStyle w:val="BodyText"/>
        <w:rPr>
          <w:lang w:val="en-US"/>
        </w:rPr>
      </w:pPr>
      <w:r w:rsidRPr="00344F42">
        <w:rPr>
          <w:lang w:val="en-US"/>
        </w:rPr>
        <w:t>5. Izmeklēšana ir jāveic bez kavēšanās, un tās gaitā ir jāievēro personu, kas tiek turētas aizdomās par antidopinga noteikumu pārkāpšanu, nevainīguma prezumpcija, kā arī tiesības uz privāto dzīvi un datu aizsardzību.</w:t>
      </w:r>
    </w:p>
    <w:p w14:paraId="5A8F4843" w14:textId="77777777" w:rsidR="00344F42" w:rsidRPr="00344F42" w:rsidRDefault="00344F42" w:rsidP="00344F42">
      <w:pPr>
        <w:jc w:val="both"/>
        <w:rPr>
          <w:rFonts w:ascii="Times New Roman" w:eastAsia="Arial" w:hAnsi="Times New Roman" w:cs="Times New Roman"/>
          <w:noProof/>
          <w:sz w:val="24"/>
          <w:szCs w:val="24"/>
          <w:lang w:val="en-US"/>
        </w:rPr>
      </w:pPr>
    </w:p>
    <w:p w14:paraId="45D41D0A" w14:textId="77777777" w:rsidR="00344F42" w:rsidRPr="00344F42" w:rsidRDefault="00344F42" w:rsidP="00344F42">
      <w:pPr>
        <w:pStyle w:val="Heading3"/>
        <w:tabs>
          <w:tab w:val="left" w:pos="819"/>
        </w:tabs>
        <w:ind w:left="0"/>
        <w:jc w:val="both"/>
        <w:rPr>
          <w:rFonts w:ascii="Times New Roman" w:hAnsi="Times New Roman"/>
          <w:noProof/>
          <w:sz w:val="24"/>
          <w:lang w:val="en-US"/>
        </w:rPr>
      </w:pPr>
      <w:r w:rsidRPr="00344F42">
        <w:rPr>
          <w:rFonts w:ascii="Times New Roman" w:hAnsi="Times New Roman"/>
          <w:noProof/>
          <w:sz w:val="24"/>
          <w:lang w:val="en-US"/>
        </w:rPr>
        <w:t>b) Komisijas sastāvs</w:t>
      </w:r>
    </w:p>
    <w:p w14:paraId="756AD548"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1E852465" w14:textId="77777777" w:rsidR="00344F42" w:rsidRPr="00344F42" w:rsidRDefault="00344F42" w:rsidP="00344F42">
      <w:pPr>
        <w:pStyle w:val="BodyText"/>
        <w:rPr>
          <w:lang w:val="en-US"/>
        </w:rPr>
      </w:pPr>
      <w:r w:rsidRPr="00344F42">
        <w:rPr>
          <w:lang w:val="en-US"/>
        </w:rPr>
        <w:t>6. Komisija ir jāizveido ar likumu tādā nozīmē, ka uz to ir jāattiecas tiesiskajām normām vai tiesiskajam regulējumam, kas nosaka tās locekļu iecelšanas kārtību, viņu darba nosacījumus un procedūras, kas komisijai ir jāievēro saskaņā ar šajā ieteikumā izklāstītajiem principiem.</w:t>
      </w:r>
    </w:p>
    <w:p w14:paraId="74D1E645" w14:textId="77777777" w:rsidR="00344F42" w:rsidRPr="00344F42" w:rsidRDefault="00344F42" w:rsidP="00344F42">
      <w:pPr>
        <w:jc w:val="both"/>
        <w:rPr>
          <w:rFonts w:ascii="Times New Roman" w:eastAsia="Arial" w:hAnsi="Times New Roman" w:cs="Times New Roman"/>
          <w:noProof/>
          <w:sz w:val="24"/>
          <w:szCs w:val="24"/>
          <w:lang w:val="en-US"/>
        </w:rPr>
      </w:pPr>
    </w:p>
    <w:p w14:paraId="337BCC05" w14:textId="77777777" w:rsidR="00344F42" w:rsidRPr="00344F42" w:rsidRDefault="00344F42" w:rsidP="00344F42">
      <w:pPr>
        <w:pStyle w:val="BodyText"/>
        <w:rPr>
          <w:lang w:val="en-US"/>
        </w:rPr>
      </w:pPr>
      <w:r w:rsidRPr="00344F42">
        <w:rPr>
          <w:lang w:val="en-US"/>
        </w:rPr>
        <w:t>7. Komisijas sastāvā ir jābūt priekšsēdētājam un vismaz diviem citiem locekļiem. Priekšsēdētājam ir jābūt vai nu tiesnesim, vai pieredzējušam praktizējošam juristam. Pārējiem komisijas locekļiem ir jābūt kompetencei saistītajās disciplīnās, piemēram, tiesību, antidopinga, zinātnes, medicīnas vai sporta jomā.</w:t>
      </w:r>
    </w:p>
    <w:p w14:paraId="2F4EA579" w14:textId="77777777" w:rsidR="00344F42" w:rsidRPr="00344F42" w:rsidRDefault="00344F42" w:rsidP="00344F42">
      <w:pPr>
        <w:jc w:val="both"/>
        <w:rPr>
          <w:rFonts w:ascii="Times New Roman" w:eastAsia="Arial" w:hAnsi="Times New Roman" w:cs="Times New Roman"/>
          <w:noProof/>
          <w:sz w:val="24"/>
          <w:szCs w:val="24"/>
          <w:lang w:val="en-US"/>
        </w:rPr>
      </w:pPr>
    </w:p>
    <w:p w14:paraId="772EDBA2" w14:textId="77777777" w:rsidR="00344F42" w:rsidRPr="00344F42" w:rsidRDefault="00344F42" w:rsidP="00344F42">
      <w:pPr>
        <w:pStyle w:val="BodyText"/>
        <w:rPr>
          <w:lang w:val="en-US"/>
        </w:rPr>
      </w:pPr>
      <w:r w:rsidRPr="00344F42">
        <w:rPr>
          <w:lang w:val="en-US"/>
        </w:rPr>
        <w:t>8. Nepieciešamības gadījumā, ņemot vērā lietas faktiskos apstākļus, komisijas sastāvā var būt arī viens vienīgs šķīrējtiesnesis. Šķīrējtiesnesim ir jābūt vai nu tiesnesim, vai pieredzējušam praktizējošam juristam.</w:t>
      </w:r>
    </w:p>
    <w:p w14:paraId="5BACDD65" w14:textId="77777777" w:rsidR="00344F42" w:rsidRPr="00344F42" w:rsidRDefault="00344F42" w:rsidP="00344F42">
      <w:pPr>
        <w:jc w:val="both"/>
        <w:rPr>
          <w:rFonts w:ascii="Times New Roman" w:eastAsia="Arial" w:hAnsi="Times New Roman" w:cs="Times New Roman"/>
          <w:noProof/>
          <w:sz w:val="24"/>
          <w:szCs w:val="24"/>
          <w:lang w:val="en-US"/>
        </w:rPr>
      </w:pPr>
    </w:p>
    <w:p w14:paraId="11B65C29" w14:textId="77777777" w:rsidR="00344F42" w:rsidRPr="00344F42" w:rsidRDefault="00344F42" w:rsidP="00344F42">
      <w:pPr>
        <w:pStyle w:val="BodyText"/>
        <w:keepNext/>
        <w:keepLines/>
        <w:rPr>
          <w:lang w:val="en-US"/>
        </w:rPr>
      </w:pPr>
      <w:r w:rsidRPr="00344F42">
        <w:rPr>
          <w:lang w:val="en-US"/>
        </w:rPr>
        <w:t>9. Komisijas locekļi ir jāieceļ uz noteiktu laiku, paredzot iespēju komisijas locekļus iecelt atkārtoti.</w:t>
      </w:r>
    </w:p>
    <w:p w14:paraId="1BFA5D06" w14:textId="77777777" w:rsidR="00344F42" w:rsidRPr="00344F42" w:rsidRDefault="00344F42" w:rsidP="00344F42">
      <w:pPr>
        <w:jc w:val="both"/>
        <w:rPr>
          <w:rFonts w:ascii="Times New Roman" w:eastAsia="Arial" w:hAnsi="Times New Roman" w:cs="Times New Roman"/>
          <w:noProof/>
          <w:sz w:val="24"/>
          <w:szCs w:val="24"/>
          <w:lang w:val="en-US"/>
        </w:rPr>
      </w:pPr>
    </w:p>
    <w:p w14:paraId="6ECF77A2" w14:textId="77777777" w:rsidR="00344F42" w:rsidRPr="00344F42" w:rsidRDefault="00344F42" w:rsidP="00344F42">
      <w:pPr>
        <w:pStyle w:val="Heading3"/>
        <w:tabs>
          <w:tab w:val="left" w:pos="819"/>
        </w:tabs>
        <w:ind w:left="0"/>
        <w:jc w:val="both"/>
        <w:rPr>
          <w:rFonts w:ascii="Times New Roman" w:hAnsi="Times New Roman"/>
          <w:noProof/>
          <w:sz w:val="24"/>
          <w:lang w:val="en-US"/>
        </w:rPr>
      </w:pPr>
      <w:r w:rsidRPr="00344F42">
        <w:rPr>
          <w:rFonts w:ascii="Times New Roman" w:hAnsi="Times New Roman"/>
          <w:noProof/>
          <w:sz w:val="24"/>
          <w:lang w:val="en-US"/>
        </w:rPr>
        <w:t>c) Komisijas pilnvaras</w:t>
      </w:r>
    </w:p>
    <w:p w14:paraId="282D747E"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72DADC50" w14:textId="77777777" w:rsidR="00344F42" w:rsidRPr="00344F42" w:rsidRDefault="00344F42" w:rsidP="00344F42">
      <w:pPr>
        <w:pStyle w:val="BodyText"/>
        <w:rPr>
          <w:lang w:val="en-US"/>
        </w:rPr>
      </w:pPr>
      <w:r w:rsidRPr="00344F42">
        <w:rPr>
          <w:lang w:val="en-US"/>
        </w:rPr>
        <w:t>10. Papildus pilnvarām, kas noteiktas turpmākajos punktos, komisijai ir jābūt kompetentai izlemt visus jautājumus par pieņemamību.</w:t>
      </w:r>
    </w:p>
    <w:p w14:paraId="5142E166" w14:textId="77777777" w:rsidR="00344F42" w:rsidRPr="00344F42" w:rsidRDefault="00344F42" w:rsidP="00344F42">
      <w:pPr>
        <w:jc w:val="both"/>
        <w:rPr>
          <w:rFonts w:ascii="Times New Roman" w:eastAsia="Arial" w:hAnsi="Times New Roman" w:cs="Times New Roman"/>
          <w:noProof/>
          <w:sz w:val="24"/>
          <w:szCs w:val="24"/>
          <w:lang w:val="en-US"/>
        </w:rPr>
      </w:pPr>
    </w:p>
    <w:p w14:paraId="0DCDD51C" w14:textId="77777777" w:rsidR="00344F42" w:rsidRPr="00344F42" w:rsidRDefault="00344F42" w:rsidP="00344F42">
      <w:pPr>
        <w:pStyle w:val="BodyText"/>
        <w:rPr>
          <w:lang w:val="en-US"/>
        </w:rPr>
      </w:pPr>
      <w:r w:rsidRPr="00344F42">
        <w:rPr>
          <w:lang w:val="en-US"/>
        </w:rPr>
        <w:t>11. Tai ir jāsniedz pamatots lēmums par lietas būtību.</w:t>
      </w:r>
    </w:p>
    <w:p w14:paraId="2C75387D" w14:textId="77777777" w:rsidR="00344F42" w:rsidRPr="00344F42" w:rsidRDefault="00344F42" w:rsidP="00344F42">
      <w:pPr>
        <w:jc w:val="both"/>
        <w:rPr>
          <w:rFonts w:ascii="Times New Roman" w:eastAsia="Arial" w:hAnsi="Times New Roman" w:cs="Times New Roman"/>
          <w:noProof/>
          <w:sz w:val="24"/>
          <w:szCs w:val="24"/>
          <w:lang w:val="en-US"/>
        </w:rPr>
      </w:pPr>
    </w:p>
    <w:p w14:paraId="2804D86C" w14:textId="77777777" w:rsidR="00344F42" w:rsidRPr="00344F42" w:rsidRDefault="00344F42" w:rsidP="00344F42">
      <w:pPr>
        <w:pStyle w:val="BodyText"/>
        <w:rPr>
          <w:lang w:val="en-US"/>
        </w:rPr>
      </w:pPr>
      <w:r w:rsidRPr="00344F42">
        <w:rPr>
          <w:lang w:val="en-US"/>
        </w:rPr>
        <w:t>12. Kad komisija konstatē, ka ir noticis antidopinga noteikuma pārkāpums, tā var piemērot vai piemēro sankciju saskaņā ar attiecīgajiem noteikumiem. Sankcijai ir jābūt proporcionālai pārkāpumam, un vienlaikus ir jāņem vērā lietas faktiskie apstākļi un visi attiecīgie antidopinga noteikumi.</w:t>
      </w:r>
    </w:p>
    <w:p w14:paraId="5CEF65DF" w14:textId="77777777" w:rsidR="00344F42" w:rsidRPr="00344F42" w:rsidRDefault="00344F42" w:rsidP="00344F42">
      <w:pPr>
        <w:jc w:val="both"/>
        <w:rPr>
          <w:rFonts w:ascii="Times New Roman" w:hAnsi="Times New Roman" w:cs="Times New Roman"/>
          <w:noProof/>
          <w:sz w:val="24"/>
          <w:szCs w:val="24"/>
          <w:lang w:val="en-US"/>
        </w:rPr>
      </w:pPr>
    </w:p>
    <w:p w14:paraId="67241684" w14:textId="77777777" w:rsidR="00344F42" w:rsidRPr="00344F42" w:rsidRDefault="00344F42" w:rsidP="00344F42">
      <w:pPr>
        <w:pStyle w:val="Heading3"/>
        <w:tabs>
          <w:tab w:val="left" w:pos="827"/>
        </w:tabs>
        <w:ind w:left="0"/>
        <w:jc w:val="both"/>
        <w:rPr>
          <w:rFonts w:ascii="Times New Roman" w:hAnsi="Times New Roman"/>
          <w:noProof/>
          <w:sz w:val="24"/>
          <w:lang w:val="en-US"/>
        </w:rPr>
      </w:pPr>
      <w:r w:rsidRPr="00344F42">
        <w:rPr>
          <w:rFonts w:ascii="Times New Roman" w:hAnsi="Times New Roman"/>
          <w:noProof/>
          <w:sz w:val="24"/>
          <w:lang w:val="en-US"/>
        </w:rPr>
        <w:t>d) Komisijas neatkarība un objektivitāte</w:t>
      </w:r>
    </w:p>
    <w:p w14:paraId="6E80C57B"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5D24DF5E" w14:textId="77777777" w:rsidR="00344F42" w:rsidRPr="00344F42" w:rsidRDefault="00344F42" w:rsidP="00344F42">
      <w:pPr>
        <w:pStyle w:val="BodyText"/>
        <w:rPr>
          <w:lang w:val="en-US"/>
        </w:rPr>
      </w:pPr>
      <w:r w:rsidRPr="00344F42">
        <w:rPr>
          <w:lang w:val="en-US"/>
        </w:rPr>
        <w:t>13. Lai nodrošinātu neatkarību un objektivitāti, komisijas locekļi nedrīkst būt iepriekš bijuši iesaistīti lietā, un viņiem nedrīkst būt personīga vai profesionāla saistība ar lietas izskatīšanas pusēm vai jebkādām organizācijām, kurās šīs puses ir locekles.</w:t>
      </w:r>
    </w:p>
    <w:p w14:paraId="6A99F156" w14:textId="77777777" w:rsidR="00344F42" w:rsidRPr="00344F42" w:rsidRDefault="00344F42" w:rsidP="00344F42">
      <w:pPr>
        <w:jc w:val="both"/>
        <w:rPr>
          <w:rFonts w:ascii="Times New Roman" w:eastAsia="Arial" w:hAnsi="Times New Roman" w:cs="Times New Roman"/>
          <w:noProof/>
          <w:sz w:val="24"/>
          <w:szCs w:val="24"/>
          <w:lang w:val="en-US"/>
        </w:rPr>
      </w:pPr>
    </w:p>
    <w:p w14:paraId="2ECC686E" w14:textId="77777777" w:rsidR="00344F42" w:rsidRPr="00344F42" w:rsidRDefault="00344F42" w:rsidP="00344F42">
      <w:pPr>
        <w:pStyle w:val="BodyText"/>
        <w:rPr>
          <w:lang w:val="en-US"/>
        </w:rPr>
      </w:pPr>
      <w:r w:rsidRPr="00344F42">
        <w:rPr>
          <w:lang w:val="en-US"/>
        </w:rPr>
        <w:t>14. Jābūt ieviestām pietiekamām garantijām, lai nodrošinātu, ka komisija ir pasargāta no jebkādas iekšējās vai ārējās iejaukšanās lietas izskatīšanas norisē.</w:t>
      </w:r>
    </w:p>
    <w:p w14:paraId="72CF04EC" w14:textId="77777777" w:rsidR="00344F42" w:rsidRPr="00344F42" w:rsidRDefault="00344F42" w:rsidP="00344F42">
      <w:pPr>
        <w:jc w:val="both"/>
        <w:rPr>
          <w:rFonts w:ascii="Times New Roman" w:eastAsia="Arial" w:hAnsi="Times New Roman" w:cs="Times New Roman"/>
          <w:noProof/>
          <w:sz w:val="24"/>
          <w:szCs w:val="24"/>
          <w:lang w:val="en-US"/>
        </w:rPr>
      </w:pPr>
    </w:p>
    <w:p w14:paraId="0AFCBE16" w14:textId="77777777" w:rsidR="00344F42" w:rsidRPr="00344F42" w:rsidRDefault="00344F42" w:rsidP="00344F42">
      <w:pPr>
        <w:pStyle w:val="BodyText"/>
        <w:rPr>
          <w:lang w:val="en-US"/>
        </w:rPr>
      </w:pPr>
      <w:r w:rsidRPr="00344F42">
        <w:rPr>
          <w:lang w:val="en-US"/>
        </w:rPr>
        <w:t>15. Sportistam vai citai personai, kura, iespējams, ir pārkāpusi antidopinga noteikumu, ir jābūt iespējai pieprasīt, lai tiktu veikta komisijas locekļu nomaiņa, ja rodas pamatotas šaubas par viņu neatkarību vai objektivitāti.</w:t>
      </w:r>
    </w:p>
    <w:p w14:paraId="1D14F848" w14:textId="77777777" w:rsidR="00344F42" w:rsidRPr="00344F42" w:rsidRDefault="00344F42" w:rsidP="00344F42">
      <w:pPr>
        <w:jc w:val="both"/>
        <w:rPr>
          <w:rFonts w:ascii="Times New Roman" w:eastAsia="Arial" w:hAnsi="Times New Roman" w:cs="Times New Roman"/>
          <w:noProof/>
          <w:sz w:val="24"/>
          <w:szCs w:val="24"/>
          <w:lang w:val="en-US"/>
        </w:rPr>
      </w:pPr>
    </w:p>
    <w:p w14:paraId="4885B507" w14:textId="77777777" w:rsidR="00344F42" w:rsidRPr="00344F42" w:rsidRDefault="00344F42" w:rsidP="00344F42">
      <w:pPr>
        <w:pStyle w:val="Heading3"/>
        <w:tabs>
          <w:tab w:val="left" w:pos="827"/>
        </w:tabs>
        <w:ind w:left="0"/>
        <w:jc w:val="both"/>
        <w:rPr>
          <w:rFonts w:ascii="Times New Roman" w:hAnsi="Times New Roman"/>
          <w:noProof/>
          <w:sz w:val="24"/>
          <w:lang w:val="en-US"/>
        </w:rPr>
      </w:pPr>
      <w:r w:rsidRPr="00344F42">
        <w:rPr>
          <w:rFonts w:ascii="Times New Roman" w:hAnsi="Times New Roman"/>
          <w:noProof/>
          <w:sz w:val="24"/>
          <w:lang w:val="en-US"/>
        </w:rPr>
        <w:t>e) Tiesības tikt uzklausītam</w:t>
      </w:r>
    </w:p>
    <w:p w14:paraId="4C7EA356"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314CF342" w14:textId="5B5BFD82" w:rsidR="00344F42" w:rsidRPr="00344F42" w:rsidRDefault="00344F42" w:rsidP="00344F42">
      <w:pPr>
        <w:pStyle w:val="BodyText"/>
        <w:rPr>
          <w:lang w:val="en-US"/>
        </w:rPr>
      </w:pPr>
      <w:r w:rsidRPr="00344F42">
        <w:rPr>
          <w:lang w:val="en-US"/>
        </w:rPr>
        <w:t xml:space="preserve">16. Katram sportistam vai citai personai, kura, iespējams, ir pārkāpusi antidopinga noteikumus, ir jābūt tiesībām personīgi vai rakstveida procesā </w:t>
      </w:r>
      <w:r w:rsidR="00B60AD1">
        <w:rPr>
          <w:lang w:val="en-US"/>
        </w:rPr>
        <w:t>aizstāvēt sevi</w:t>
      </w:r>
      <w:r w:rsidRPr="00344F42">
        <w:rPr>
          <w:lang w:val="en-US"/>
        </w:rPr>
        <w:t xml:space="preserve"> komisijā.</w:t>
      </w:r>
    </w:p>
    <w:p w14:paraId="701CFCB9" w14:textId="77777777" w:rsidR="00344F42" w:rsidRPr="00344F42" w:rsidRDefault="00344F42" w:rsidP="00344F42">
      <w:pPr>
        <w:jc w:val="both"/>
        <w:rPr>
          <w:rFonts w:ascii="Times New Roman" w:eastAsia="Arial" w:hAnsi="Times New Roman" w:cs="Times New Roman"/>
          <w:noProof/>
          <w:sz w:val="24"/>
          <w:szCs w:val="24"/>
          <w:lang w:val="en-US"/>
        </w:rPr>
      </w:pPr>
    </w:p>
    <w:p w14:paraId="23182591" w14:textId="77777777" w:rsidR="00344F42" w:rsidRPr="00344F42" w:rsidRDefault="00344F42" w:rsidP="00344F42">
      <w:pPr>
        <w:pStyle w:val="BodyText"/>
        <w:rPr>
          <w:lang w:val="en-US"/>
        </w:rPr>
      </w:pPr>
      <w:r w:rsidRPr="00344F42">
        <w:rPr>
          <w:lang w:val="en-US"/>
        </w:rPr>
        <w:t>17. Attiecīgā persona var izteikt lūgumu par atteikšanos no tiesībām uz lietas izskatīšanu. Šādos gadījumos komisijai ir jālemj par šo jautājumu, ņemot vērā ar to saistītās sabiedrības intereses un to, vai tiesības atteikties no lietas izskatīšanas ir pieprasītas nepārprotami, paužot šīs personas brīvu gribu un pilnībā apzinoties sekas.</w:t>
      </w:r>
    </w:p>
    <w:p w14:paraId="7065F5ED" w14:textId="77777777" w:rsidR="00344F42" w:rsidRPr="00344F42" w:rsidRDefault="00344F42" w:rsidP="00344F42">
      <w:pPr>
        <w:jc w:val="both"/>
        <w:rPr>
          <w:rFonts w:ascii="Times New Roman" w:eastAsia="Arial" w:hAnsi="Times New Roman" w:cs="Times New Roman"/>
          <w:noProof/>
          <w:sz w:val="24"/>
          <w:szCs w:val="24"/>
          <w:lang w:val="en-US"/>
        </w:rPr>
      </w:pPr>
    </w:p>
    <w:p w14:paraId="12988587" w14:textId="77777777" w:rsidR="00344F42" w:rsidRPr="00344F42" w:rsidRDefault="00344F42" w:rsidP="00344F42">
      <w:pPr>
        <w:pStyle w:val="BodyText"/>
        <w:rPr>
          <w:lang w:val="en-US"/>
        </w:rPr>
      </w:pPr>
      <w:r w:rsidRPr="00344F42">
        <w:rPr>
          <w:lang w:val="en-US"/>
        </w:rPr>
        <w:t>18. Attiecīgos gadījumos ir jāpiemēro arī šajā ieteikumā izklāstītie taisnīgas procedūras principi, ja lieta tiek izšķirta rakstveida procesā vai saistībā ar lietas noregulējuma līgumu.</w:t>
      </w:r>
    </w:p>
    <w:p w14:paraId="00474C69" w14:textId="77777777" w:rsidR="00344F42" w:rsidRPr="00344F42" w:rsidRDefault="00344F42" w:rsidP="00344F42">
      <w:pPr>
        <w:jc w:val="both"/>
        <w:rPr>
          <w:rFonts w:ascii="Times New Roman" w:eastAsia="Arial" w:hAnsi="Times New Roman" w:cs="Times New Roman"/>
          <w:noProof/>
          <w:sz w:val="24"/>
          <w:szCs w:val="24"/>
          <w:lang w:val="en-US"/>
        </w:rPr>
      </w:pPr>
    </w:p>
    <w:p w14:paraId="4A4B0CBE" w14:textId="77777777" w:rsidR="00344F42" w:rsidRPr="00344F42" w:rsidRDefault="00344F42" w:rsidP="00344F42">
      <w:pPr>
        <w:pStyle w:val="Heading3"/>
        <w:tabs>
          <w:tab w:val="left" w:pos="827"/>
        </w:tabs>
        <w:ind w:left="0"/>
        <w:jc w:val="both"/>
        <w:rPr>
          <w:rFonts w:ascii="Times New Roman" w:hAnsi="Times New Roman"/>
          <w:noProof/>
          <w:sz w:val="24"/>
          <w:lang w:val="en-US"/>
        </w:rPr>
      </w:pPr>
      <w:r w:rsidRPr="00344F42">
        <w:rPr>
          <w:rFonts w:ascii="Times New Roman" w:hAnsi="Times New Roman"/>
          <w:noProof/>
          <w:sz w:val="24"/>
          <w:lang w:val="en-US"/>
        </w:rPr>
        <w:t>f) Lietas izskatīšanas atklātums</w:t>
      </w:r>
    </w:p>
    <w:p w14:paraId="3C34C27F"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4F165276" w14:textId="77777777" w:rsidR="00344F42" w:rsidRPr="00344F42" w:rsidRDefault="00344F42" w:rsidP="00344F42">
      <w:pPr>
        <w:pStyle w:val="BodyText"/>
        <w:rPr>
          <w:lang w:val="en-US"/>
        </w:rPr>
      </w:pPr>
      <w:r w:rsidRPr="00344F42">
        <w:rPr>
          <w:lang w:val="en-US"/>
        </w:rPr>
        <w:t>19. Lietas izskatīšana komisijā ir jāveic atklāti, ņemot vērā nozīmi, kāda ir sabiedrības īstenotajai uzraudzībai kā mehānismam, kas nodrošina visu pušu aizsardzību pret netaisnību un sabiedrības uzticēšanos šim procesam un tā rezultātam.</w:t>
      </w:r>
    </w:p>
    <w:p w14:paraId="266647EB" w14:textId="77777777" w:rsidR="00344F42" w:rsidRPr="00344F42" w:rsidRDefault="00344F42" w:rsidP="00344F42">
      <w:pPr>
        <w:jc w:val="both"/>
        <w:rPr>
          <w:rFonts w:ascii="Times New Roman" w:eastAsia="Arial" w:hAnsi="Times New Roman" w:cs="Times New Roman"/>
          <w:noProof/>
          <w:sz w:val="24"/>
          <w:szCs w:val="24"/>
          <w:lang w:val="en-US"/>
        </w:rPr>
      </w:pPr>
    </w:p>
    <w:p w14:paraId="3CE1CE0D" w14:textId="77777777" w:rsidR="00344F42" w:rsidRPr="00344F42" w:rsidRDefault="00344F42" w:rsidP="00344F42">
      <w:pPr>
        <w:pStyle w:val="BodyText"/>
        <w:rPr>
          <w:lang w:val="en-US"/>
        </w:rPr>
      </w:pPr>
      <w:r w:rsidRPr="00344F42">
        <w:rPr>
          <w:lang w:val="en-US"/>
        </w:rPr>
        <w:t>20. Komisija pēc puses pieprasījuma vai savas iniciatīvas var izlemt visu lietas izskatīšanu vai tās daļu veikt aiz slēgtām durvīm, ja tas ir nepieciešams tikumības vai sabiedriskās kārtības nodrošināšanai, lai aizsargātu privātumu, tostarp tādu personu sensitīvus personas datus, kas iesaistītas šajā lietas izskatīšanā, vai nepilngadīgo intereses, vai arī gadījumos, kad lietas faktisko apstākļu dēļ publicitāte varētu kaitēt taisnīguma interesēm. Lēmumā veikt lietas izskatīšanu aiz slēgtām durvīm ir jāņem vērā antidopinga lietas izskatīšanas specifika. Šajā ziņā komisijai ir jābūt plašai rīcības brīvībai.</w:t>
      </w:r>
    </w:p>
    <w:p w14:paraId="3DAA8DBB" w14:textId="77777777" w:rsidR="00344F42" w:rsidRPr="00344F42" w:rsidRDefault="00344F42" w:rsidP="00344F42">
      <w:pPr>
        <w:jc w:val="both"/>
        <w:rPr>
          <w:rFonts w:ascii="Times New Roman" w:eastAsia="Arial" w:hAnsi="Times New Roman" w:cs="Times New Roman"/>
          <w:noProof/>
          <w:sz w:val="24"/>
          <w:szCs w:val="24"/>
          <w:lang w:val="en-US"/>
        </w:rPr>
      </w:pPr>
    </w:p>
    <w:p w14:paraId="530C23F0" w14:textId="77777777" w:rsidR="00344F42" w:rsidRPr="00344F42" w:rsidRDefault="00344F42" w:rsidP="00344F42">
      <w:pPr>
        <w:pStyle w:val="Heading3"/>
        <w:tabs>
          <w:tab w:val="left" w:pos="827"/>
        </w:tabs>
        <w:ind w:left="0"/>
        <w:jc w:val="both"/>
        <w:rPr>
          <w:rFonts w:ascii="Times New Roman" w:hAnsi="Times New Roman"/>
          <w:noProof/>
          <w:sz w:val="24"/>
          <w:lang w:val="en-US"/>
        </w:rPr>
      </w:pPr>
      <w:r w:rsidRPr="00344F42">
        <w:rPr>
          <w:rFonts w:ascii="Times New Roman" w:hAnsi="Times New Roman"/>
          <w:noProof/>
          <w:sz w:val="24"/>
          <w:lang w:val="en-US"/>
        </w:rPr>
        <w:t>g) Trešo personu iesaiste</w:t>
      </w:r>
    </w:p>
    <w:p w14:paraId="13CB8256"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0153D00C" w14:textId="77777777" w:rsidR="00344F42" w:rsidRPr="00344F42" w:rsidRDefault="00344F42" w:rsidP="00344F42">
      <w:pPr>
        <w:pStyle w:val="BodyText"/>
        <w:rPr>
          <w:lang w:val="en-US"/>
        </w:rPr>
      </w:pPr>
      <w:r w:rsidRPr="00344F42">
        <w:rPr>
          <w:lang w:val="en-US"/>
        </w:rPr>
        <w:t>21. Komisija var atļaut lietas izskatīšanā iesaistīties trešām personām, ja tā uzskata, ka tas ir nepieciešams taisnīgas tiesas spriešanai. Tai ir jāizlemj tas, kādā mērā trešām personām ir nodrošināma piekļuve attiecīgajiem lietas materiāliem un piešķiramas tiesības izteikt savu viedokli lietā (vai nu rakstveidā, vai lietas izskatīšanas laikā).</w:t>
      </w:r>
    </w:p>
    <w:p w14:paraId="076115AF" w14:textId="77777777" w:rsidR="00344F42" w:rsidRPr="00344F42" w:rsidRDefault="00344F42" w:rsidP="00344F42">
      <w:pPr>
        <w:jc w:val="both"/>
        <w:rPr>
          <w:rFonts w:ascii="Times New Roman" w:eastAsia="Arial" w:hAnsi="Times New Roman" w:cs="Times New Roman"/>
          <w:noProof/>
          <w:sz w:val="24"/>
          <w:szCs w:val="24"/>
          <w:lang w:val="en-US"/>
        </w:rPr>
      </w:pPr>
    </w:p>
    <w:p w14:paraId="32898C54" w14:textId="77777777" w:rsidR="00344F42" w:rsidRPr="00344F42" w:rsidRDefault="00344F42" w:rsidP="00344F42">
      <w:pPr>
        <w:pStyle w:val="Heading3"/>
        <w:tabs>
          <w:tab w:val="left" w:pos="827"/>
        </w:tabs>
        <w:ind w:left="0"/>
        <w:jc w:val="both"/>
        <w:rPr>
          <w:rFonts w:ascii="Times New Roman" w:hAnsi="Times New Roman"/>
          <w:noProof/>
          <w:sz w:val="24"/>
          <w:lang w:val="en-US"/>
        </w:rPr>
      </w:pPr>
      <w:r w:rsidRPr="00344F42">
        <w:rPr>
          <w:rFonts w:ascii="Times New Roman" w:hAnsi="Times New Roman"/>
          <w:noProof/>
          <w:sz w:val="24"/>
          <w:lang w:val="en-US"/>
        </w:rPr>
        <w:t>h) Tiesības uz efektīvu aizstāvību</w:t>
      </w:r>
    </w:p>
    <w:p w14:paraId="61D948DE"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67CD66BE" w14:textId="77777777" w:rsidR="00344F42" w:rsidRPr="00344F42" w:rsidRDefault="00344F42" w:rsidP="00344F42">
      <w:pPr>
        <w:pStyle w:val="BodyText"/>
        <w:rPr>
          <w:lang w:val="en-US"/>
        </w:rPr>
      </w:pPr>
      <w:r w:rsidRPr="00344F42">
        <w:rPr>
          <w:lang w:val="en-US"/>
        </w:rPr>
        <w:t>22. Katram sportistam vai citai personai, kura, iespējams, ir pārkāpusi antidopinga noteikumu, ir jābūt šādām tiesībām:</w:t>
      </w:r>
    </w:p>
    <w:p w14:paraId="4DEB735F" w14:textId="77777777" w:rsidR="00344F42" w:rsidRPr="00344F42" w:rsidRDefault="00344F42" w:rsidP="00344F42">
      <w:pPr>
        <w:jc w:val="both"/>
        <w:rPr>
          <w:rFonts w:ascii="Times New Roman" w:eastAsia="Arial" w:hAnsi="Times New Roman" w:cs="Times New Roman"/>
          <w:noProof/>
          <w:sz w:val="24"/>
          <w:szCs w:val="24"/>
          <w:lang w:val="en-US"/>
        </w:rPr>
      </w:pPr>
    </w:p>
    <w:p w14:paraId="5CB5D003" w14:textId="77777777" w:rsidR="00344F42" w:rsidRPr="00344F42" w:rsidRDefault="00344F42" w:rsidP="00344F42">
      <w:pPr>
        <w:pStyle w:val="BodyText"/>
        <w:numPr>
          <w:ilvl w:val="0"/>
          <w:numId w:val="3"/>
        </w:numPr>
        <w:tabs>
          <w:tab w:val="left" w:pos="851"/>
        </w:tabs>
        <w:ind w:left="284" w:firstLine="0"/>
        <w:rPr>
          <w:lang w:val="en-US"/>
        </w:rPr>
      </w:pPr>
      <w:r w:rsidRPr="00344F42">
        <w:rPr>
          <w:lang w:val="en-US"/>
        </w:rPr>
        <w:t>tiesībām uz nevainīguma prezumpciju līdz brīdim, kad apsūdzības pret sportistu vai citu personu ir galīgi pierādītas. Pagaidu aizliegums piedalīties sacensībās vai stingras atbildības princips, kas ietverts antidopinga noteikumos, nav jāuzskata par šīs normas pārkāpumu;</w:t>
      </w:r>
    </w:p>
    <w:p w14:paraId="45F9EE63" w14:textId="77777777" w:rsidR="00344F42" w:rsidRPr="00344F42" w:rsidRDefault="00344F42" w:rsidP="00344F42">
      <w:pPr>
        <w:tabs>
          <w:tab w:val="left" w:pos="851"/>
        </w:tabs>
        <w:ind w:left="284"/>
        <w:jc w:val="both"/>
        <w:rPr>
          <w:rFonts w:ascii="Times New Roman" w:eastAsia="Arial" w:hAnsi="Times New Roman" w:cs="Times New Roman"/>
          <w:noProof/>
          <w:sz w:val="24"/>
          <w:szCs w:val="24"/>
          <w:lang w:val="en-US"/>
        </w:rPr>
      </w:pPr>
    </w:p>
    <w:p w14:paraId="203B2A01" w14:textId="77777777" w:rsidR="00344F42" w:rsidRPr="00344F42" w:rsidRDefault="00344F42" w:rsidP="00344F42">
      <w:pPr>
        <w:pStyle w:val="BodyText"/>
        <w:numPr>
          <w:ilvl w:val="0"/>
          <w:numId w:val="3"/>
        </w:numPr>
        <w:tabs>
          <w:tab w:val="left" w:pos="851"/>
        </w:tabs>
        <w:ind w:left="284" w:firstLine="0"/>
        <w:rPr>
          <w:lang w:val="en-US"/>
        </w:rPr>
      </w:pPr>
      <w:r w:rsidRPr="00344F42">
        <w:rPr>
          <w:lang w:val="en-US"/>
        </w:rPr>
        <w:t>tiesībām tikt konsultētam, aizstāvētam un pārstāvētam, ko nodrošina paša izvēlēts juridiskais konsultants;</w:t>
      </w:r>
    </w:p>
    <w:p w14:paraId="18C71A45" w14:textId="77777777" w:rsidR="00344F42" w:rsidRPr="00344F42" w:rsidRDefault="00344F42" w:rsidP="00344F42">
      <w:pPr>
        <w:tabs>
          <w:tab w:val="left" w:pos="851"/>
        </w:tabs>
        <w:ind w:left="284"/>
        <w:jc w:val="both"/>
        <w:rPr>
          <w:rFonts w:ascii="Times New Roman" w:eastAsia="Arial" w:hAnsi="Times New Roman" w:cs="Times New Roman"/>
          <w:noProof/>
          <w:sz w:val="24"/>
          <w:szCs w:val="24"/>
          <w:lang w:val="en-US"/>
        </w:rPr>
      </w:pPr>
    </w:p>
    <w:p w14:paraId="29477B7F" w14:textId="77777777" w:rsidR="00344F42" w:rsidRPr="00344F42" w:rsidRDefault="00344F42" w:rsidP="00344F42">
      <w:pPr>
        <w:pStyle w:val="BodyText"/>
        <w:numPr>
          <w:ilvl w:val="0"/>
          <w:numId w:val="3"/>
        </w:numPr>
        <w:tabs>
          <w:tab w:val="left" w:pos="851"/>
        </w:tabs>
        <w:ind w:left="284" w:firstLine="0"/>
        <w:rPr>
          <w:lang w:val="en-US"/>
        </w:rPr>
      </w:pPr>
      <w:r w:rsidRPr="00344F42">
        <w:rPr>
          <w:lang w:val="en-US"/>
        </w:rPr>
        <w:t>tiesībām uz to, ka tiek nodrošināts pietiekams laiks, lai sagatavotu aizstāvību;</w:t>
      </w:r>
    </w:p>
    <w:p w14:paraId="365973FB" w14:textId="77777777" w:rsidR="00344F42" w:rsidRPr="00344F42" w:rsidRDefault="00344F42" w:rsidP="00344F42">
      <w:pPr>
        <w:tabs>
          <w:tab w:val="left" w:pos="851"/>
        </w:tabs>
        <w:ind w:left="284"/>
        <w:jc w:val="both"/>
        <w:rPr>
          <w:rFonts w:ascii="Times New Roman" w:eastAsia="Arial" w:hAnsi="Times New Roman" w:cs="Times New Roman"/>
          <w:noProof/>
          <w:sz w:val="24"/>
          <w:szCs w:val="24"/>
          <w:lang w:val="en-US"/>
        </w:rPr>
      </w:pPr>
    </w:p>
    <w:p w14:paraId="20C32A8B" w14:textId="77777777" w:rsidR="00344F42" w:rsidRPr="00344F42" w:rsidRDefault="00344F42" w:rsidP="00344F42">
      <w:pPr>
        <w:pStyle w:val="BodyText"/>
        <w:numPr>
          <w:ilvl w:val="0"/>
          <w:numId w:val="3"/>
        </w:numPr>
        <w:tabs>
          <w:tab w:val="left" w:pos="851"/>
        </w:tabs>
        <w:ind w:left="284" w:firstLine="0"/>
        <w:rPr>
          <w:lang w:val="en-US"/>
        </w:rPr>
      </w:pPr>
      <w:r w:rsidRPr="00344F42">
        <w:rPr>
          <w:lang w:val="en-US"/>
        </w:rPr>
        <w:t>tiesībām nepieciešamības gadījumā saņemt tulka palīdzību;</w:t>
      </w:r>
    </w:p>
    <w:p w14:paraId="7A43DF79" w14:textId="77777777" w:rsidR="00344F42" w:rsidRPr="00344F42" w:rsidRDefault="00344F42" w:rsidP="00344F42">
      <w:pPr>
        <w:tabs>
          <w:tab w:val="left" w:pos="851"/>
        </w:tabs>
        <w:ind w:left="284"/>
        <w:jc w:val="both"/>
        <w:rPr>
          <w:rFonts w:ascii="Times New Roman" w:eastAsia="Arial" w:hAnsi="Times New Roman" w:cs="Times New Roman"/>
          <w:noProof/>
          <w:sz w:val="24"/>
          <w:szCs w:val="24"/>
          <w:lang w:val="en-US"/>
        </w:rPr>
      </w:pPr>
    </w:p>
    <w:p w14:paraId="18E12204" w14:textId="77777777" w:rsidR="00344F42" w:rsidRPr="00344F42" w:rsidRDefault="00344F42" w:rsidP="00344F42">
      <w:pPr>
        <w:pStyle w:val="BodyText"/>
        <w:numPr>
          <w:ilvl w:val="0"/>
          <w:numId w:val="3"/>
        </w:numPr>
        <w:tabs>
          <w:tab w:val="left" w:pos="851"/>
        </w:tabs>
        <w:ind w:left="284" w:firstLine="0"/>
        <w:rPr>
          <w:lang w:val="en-US"/>
        </w:rPr>
      </w:pPr>
      <w:r w:rsidRPr="00344F42">
        <w:rPr>
          <w:lang w:val="en-US"/>
        </w:rPr>
        <w:t>tiesībām lūgt piedalīties lieciniekiem vai ekspertiem, kas tiek izsaukti tā interesēs, pamatojoties uz to, ka šādu liecinieku vai ekspertu klātbūtne ir nepieciešama tā efektīvai aizstāvībai, izņemot gadījumus, kad komisija uzskata, ka šādu liecinieku vai ekspertu klātbūtne nav nepieciešama, ņemot vērā intereses, kas saistītas ar taisnīgas tiesas spriešanu.</w:t>
      </w:r>
    </w:p>
    <w:p w14:paraId="0FE2AD14" w14:textId="77777777" w:rsidR="00344F42" w:rsidRPr="00344F42" w:rsidRDefault="00344F42" w:rsidP="00344F42">
      <w:pPr>
        <w:jc w:val="both"/>
        <w:rPr>
          <w:rFonts w:ascii="Times New Roman" w:hAnsi="Times New Roman" w:cs="Times New Roman"/>
          <w:noProof/>
          <w:sz w:val="24"/>
          <w:szCs w:val="24"/>
          <w:lang w:val="en-US"/>
        </w:rPr>
      </w:pPr>
    </w:p>
    <w:p w14:paraId="06167F88" w14:textId="77777777" w:rsidR="00344F42" w:rsidRPr="00344F42" w:rsidRDefault="00344F42" w:rsidP="00344F42">
      <w:pPr>
        <w:pStyle w:val="Heading3"/>
        <w:tabs>
          <w:tab w:val="left" w:pos="819"/>
        </w:tabs>
        <w:ind w:left="0"/>
        <w:jc w:val="both"/>
        <w:rPr>
          <w:rFonts w:ascii="Times New Roman" w:hAnsi="Times New Roman"/>
          <w:noProof/>
          <w:sz w:val="24"/>
          <w:lang w:val="en-US"/>
        </w:rPr>
      </w:pPr>
      <w:r w:rsidRPr="00344F42">
        <w:rPr>
          <w:rFonts w:ascii="Times New Roman" w:hAnsi="Times New Roman"/>
          <w:noProof/>
          <w:sz w:val="24"/>
          <w:lang w:val="en-US"/>
        </w:rPr>
        <w:t>i) Piekļuve dokumentiem un pierādījumiem</w:t>
      </w:r>
    </w:p>
    <w:p w14:paraId="28273EC7"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04A01EE1" w14:textId="77777777" w:rsidR="00344F42" w:rsidRPr="00344F42" w:rsidRDefault="00344F42" w:rsidP="00344F42">
      <w:pPr>
        <w:pStyle w:val="BodyText"/>
        <w:rPr>
          <w:lang w:val="en-US"/>
        </w:rPr>
      </w:pPr>
      <w:r w:rsidRPr="00344F42">
        <w:rPr>
          <w:lang w:val="en-US"/>
        </w:rPr>
        <w:t>23. Visām pusēm ir jābūt vienlīdzīgai piekļuvei attiecīgajiem lietas materiāliem.</w:t>
      </w:r>
    </w:p>
    <w:p w14:paraId="0DCD5543" w14:textId="77777777" w:rsidR="00344F42" w:rsidRPr="00344F42" w:rsidRDefault="00344F42" w:rsidP="00344F42">
      <w:pPr>
        <w:jc w:val="both"/>
        <w:rPr>
          <w:rFonts w:ascii="Times New Roman" w:eastAsia="Arial" w:hAnsi="Times New Roman" w:cs="Times New Roman"/>
          <w:noProof/>
          <w:sz w:val="24"/>
          <w:szCs w:val="24"/>
          <w:lang w:val="en-US"/>
        </w:rPr>
      </w:pPr>
    </w:p>
    <w:p w14:paraId="194CB5AC" w14:textId="77777777" w:rsidR="00344F42" w:rsidRPr="00344F42" w:rsidRDefault="00344F42" w:rsidP="00344F42">
      <w:pPr>
        <w:pStyle w:val="BodyText"/>
        <w:rPr>
          <w:lang w:val="en-US"/>
        </w:rPr>
      </w:pPr>
      <w:r w:rsidRPr="00344F42">
        <w:rPr>
          <w:lang w:val="en-US"/>
        </w:rPr>
        <w:t>24. Komisijai ir jābūt pilnvarām atteikt piekļuvi konkrētiem dokumentiem vai pierādījumiem, ja pēc pušu argumentu uzklausīšanas tā uzskata, ka sabiedrības intereses, kuru dēļ liedzama piekļuve šādiem materiāliem, ir svarīgākas par attiecīgās puses interesēm. Komisijai, pieņemot lēmumu, ir jāvar iepazīties ar apstrīdētajiem materiāliem.</w:t>
      </w:r>
    </w:p>
    <w:p w14:paraId="2EE24228" w14:textId="77777777" w:rsidR="00344F42" w:rsidRPr="00344F42" w:rsidRDefault="00344F42" w:rsidP="00344F42">
      <w:pPr>
        <w:jc w:val="both"/>
        <w:rPr>
          <w:rFonts w:ascii="Times New Roman" w:eastAsia="Arial" w:hAnsi="Times New Roman" w:cs="Times New Roman"/>
          <w:noProof/>
          <w:sz w:val="24"/>
          <w:szCs w:val="24"/>
          <w:lang w:val="en-US"/>
        </w:rPr>
      </w:pPr>
    </w:p>
    <w:p w14:paraId="3910B4A0" w14:textId="77777777" w:rsidR="00344F42" w:rsidRPr="00344F42" w:rsidRDefault="00344F42" w:rsidP="00344F42">
      <w:pPr>
        <w:pStyle w:val="Heading3"/>
        <w:tabs>
          <w:tab w:val="left" w:pos="819"/>
        </w:tabs>
        <w:ind w:left="0"/>
        <w:jc w:val="both"/>
        <w:rPr>
          <w:rFonts w:ascii="Times New Roman" w:hAnsi="Times New Roman"/>
          <w:noProof/>
          <w:sz w:val="24"/>
          <w:lang w:val="en-US"/>
        </w:rPr>
      </w:pPr>
      <w:r w:rsidRPr="00344F42">
        <w:rPr>
          <w:rFonts w:ascii="Times New Roman" w:hAnsi="Times New Roman"/>
          <w:noProof/>
          <w:sz w:val="24"/>
          <w:lang w:val="en-US"/>
        </w:rPr>
        <w:t>j) Lēmumu paziņošana</w:t>
      </w:r>
    </w:p>
    <w:p w14:paraId="50EE2B86"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5C08A5DE" w14:textId="77777777" w:rsidR="00344F42" w:rsidRPr="00344F42" w:rsidRDefault="00344F42" w:rsidP="00344F42">
      <w:pPr>
        <w:pStyle w:val="BodyText"/>
        <w:rPr>
          <w:lang w:val="en-US"/>
        </w:rPr>
      </w:pPr>
      <w:r w:rsidRPr="00344F42">
        <w:rPr>
          <w:lang w:val="en-US"/>
        </w:rPr>
        <w:t>25. Pamatots komisijas lēmums ir jāsniedz saprātīgā termiņā, pienācīgi ņemot vērā lietas faktiskos apstākļus.</w:t>
      </w:r>
    </w:p>
    <w:p w14:paraId="52D02EF5" w14:textId="77777777" w:rsidR="00344F42" w:rsidRPr="00344F42" w:rsidRDefault="00344F42" w:rsidP="00344F42">
      <w:pPr>
        <w:jc w:val="both"/>
        <w:rPr>
          <w:rFonts w:ascii="Times New Roman" w:eastAsia="Arial" w:hAnsi="Times New Roman" w:cs="Times New Roman"/>
          <w:noProof/>
          <w:sz w:val="24"/>
          <w:szCs w:val="24"/>
          <w:lang w:val="en-US"/>
        </w:rPr>
      </w:pPr>
    </w:p>
    <w:p w14:paraId="17A649C5" w14:textId="77777777" w:rsidR="00344F42" w:rsidRPr="00344F42" w:rsidRDefault="00344F42" w:rsidP="00344F42">
      <w:pPr>
        <w:pStyle w:val="BodyText"/>
        <w:rPr>
          <w:lang w:val="en-US"/>
        </w:rPr>
      </w:pPr>
      <w:r w:rsidRPr="00344F42">
        <w:rPr>
          <w:lang w:val="en-US"/>
        </w:rPr>
        <w:t>26. Lēmums ir nekavējoties jāpaziņo pusēm un ikvienai trešai personai.</w:t>
      </w:r>
    </w:p>
    <w:p w14:paraId="6168B918" w14:textId="77777777" w:rsidR="00344F42" w:rsidRPr="00344F42" w:rsidRDefault="00344F42" w:rsidP="00344F42">
      <w:pPr>
        <w:jc w:val="both"/>
        <w:rPr>
          <w:rFonts w:ascii="Times New Roman" w:eastAsia="Arial" w:hAnsi="Times New Roman" w:cs="Times New Roman"/>
          <w:noProof/>
          <w:sz w:val="24"/>
          <w:szCs w:val="24"/>
          <w:lang w:val="en-US"/>
        </w:rPr>
      </w:pPr>
    </w:p>
    <w:p w14:paraId="0991C635" w14:textId="77777777" w:rsidR="00344F42" w:rsidRPr="00344F42" w:rsidRDefault="00344F42" w:rsidP="00344F42">
      <w:pPr>
        <w:pStyle w:val="BodyText"/>
        <w:keepNext/>
        <w:keepLines/>
        <w:rPr>
          <w:lang w:val="en-US"/>
        </w:rPr>
      </w:pPr>
      <w:r w:rsidRPr="00344F42">
        <w:rPr>
          <w:lang w:val="en-US"/>
        </w:rPr>
        <w:t>27. Lēmums ir jāpublisko. Komisija var izlemt nepieļaut konfidenciālu izmeklēšanas un analīzes metožu, informācijas vai personas identitātes izpaušanu, ja tā uzskata, ka šāda rīcība ir nepieciešama, lai aizsargātu nepilngadīgo intereses vai privātumu vai arī tādu personu sensitīvus personas datus, kas iesaistītas šajā lietas izskatīšanā.</w:t>
      </w:r>
    </w:p>
    <w:p w14:paraId="386D95BA" w14:textId="77777777" w:rsidR="00344F42" w:rsidRPr="00344F42" w:rsidRDefault="00344F42" w:rsidP="00344F42">
      <w:pPr>
        <w:jc w:val="both"/>
        <w:rPr>
          <w:rFonts w:ascii="Times New Roman" w:eastAsia="Arial" w:hAnsi="Times New Roman" w:cs="Times New Roman"/>
          <w:noProof/>
          <w:sz w:val="24"/>
          <w:szCs w:val="24"/>
          <w:lang w:val="en-US"/>
        </w:rPr>
      </w:pPr>
    </w:p>
    <w:p w14:paraId="5F15DC6E" w14:textId="77777777" w:rsidR="00344F42" w:rsidRPr="00344F42" w:rsidRDefault="00344F42" w:rsidP="00344F42">
      <w:pPr>
        <w:pStyle w:val="Heading3"/>
        <w:tabs>
          <w:tab w:val="left" w:pos="819"/>
        </w:tabs>
        <w:ind w:left="0"/>
        <w:jc w:val="both"/>
        <w:rPr>
          <w:rFonts w:ascii="Times New Roman" w:hAnsi="Times New Roman"/>
          <w:noProof/>
          <w:sz w:val="24"/>
          <w:lang w:val="en-US"/>
        </w:rPr>
      </w:pPr>
      <w:r w:rsidRPr="00344F42">
        <w:rPr>
          <w:rFonts w:ascii="Times New Roman" w:hAnsi="Times New Roman"/>
          <w:noProof/>
          <w:sz w:val="24"/>
          <w:lang w:val="en-US"/>
        </w:rPr>
        <w:t>k) Resursi</w:t>
      </w:r>
    </w:p>
    <w:p w14:paraId="64B65C53"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4300B95D" w14:textId="77777777" w:rsidR="00344F42" w:rsidRPr="00344F42" w:rsidRDefault="00344F42" w:rsidP="00344F42">
      <w:pPr>
        <w:pStyle w:val="BodyText"/>
        <w:rPr>
          <w:lang w:val="en-US"/>
        </w:rPr>
      </w:pPr>
      <w:r w:rsidRPr="00344F42">
        <w:rPr>
          <w:lang w:val="en-US"/>
        </w:rPr>
        <w:t>28. Komisijai ir jābūt nodrošinātiem pietiekamiem resursiem, lai tā savus pienākumus varētu izpildīt efektīvi, kā arī jānodrošina tai nepieciešamā neatkarības un objektivitātes pakāpe.</w:t>
      </w:r>
    </w:p>
    <w:p w14:paraId="0DD3FD21" w14:textId="77777777" w:rsidR="00344F42" w:rsidRPr="00344F42" w:rsidRDefault="00344F42" w:rsidP="00344F42">
      <w:pPr>
        <w:jc w:val="both"/>
        <w:rPr>
          <w:rFonts w:ascii="Times New Roman" w:eastAsia="Arial" w:hAnsi="Times New Roman" w:cs="Times New Roman"/>
          <w:noProof/>
          <w:sz w:val="24"/>
          <w:szCs w:val="24"/>
          <w:lang w:val="en-US"/>
        </w:rPr>
      </w:pPr>
    </w:p>
    <w:p w14:paraId="18A29463" w14:textId="77777777" w:rsidR="00344F42" w:rsidRPr="00344F42" w:rsidRDefault="00344F42" w:rsidP="00344F42">
      <w:pPr>
        <w:pStyle w:val="BodyText"/>
        <w:rPr>
          <w:lang w:val="en-US"/>
        </w:rPr>
      </w:pPr>
      <w:r w:rsidRPr="00344F42">
        <w:rPr>
          <w:lang w:val="en-US"/>
        </w:rPr>
        <w:t>29. Procesuālajām maksām (ja tādas ir noteiktas) ir jābūt pamatotām un samērīgām, ņemot vērā lietas apstākļus, un saistībā ar tām pusēm nedrīkst liegt faktisku piekļuvi komisijai.</w:t>
      </w:r>
    </w:p>
    <w:p w14:paraId="302352B0" w14:textId="77777777" w:rsidR="00344F42" w:rsidRPr="00344F42" w:rsidRDefault="00344F42" w:rsidP="00344F42">
      <w:pPr>
        <w:jc w:val="both"/>
        <w:rPr>
          <w:rFonts w:ascii="Times New Roman" w:eastAsia="Arial" w:hAnsi="Times New Roman" w:cs="Times New Roman"/>
          <w:noProof/>
          <w:sz w:val="24"/>
          <w:szCs w:val="24"/>
          <w:lang w:val="en-US"/>
        </w:rPr>
      </w:pPr>
    </w:p>
    <w:p w14:paraId="5627F0AB" w14:textId="77777777" w:rsidR="00344F42" w:rsidRPr="00344F42" w:rsidRDefault="00344F42" w:rsidP="00344F42">
      <w:pPr>
        <w:pStyle w:val="BodyText"/>
        <w:rPr>
          <w:lang w:val="en-US"/>
        </w:rPr>
      </w:pPr>
      <w:r w:rsidRPr="00344F42">
        <w:rPr>
          <w:lang w:val="en-US"/>
        </w:rPr>
        <w:t>30. Lai visiem nodrošinātu efektīvu tiesas pieejamību, ir jāparedz juridiskās palīdzības mehānisma izveide attiecībā uz tiesas un tiesāšanās izdevumiem.</w:t>
      </w:r>
    </w:p>
    <w:p w14:paraId="5548BBF1" w14:textId="77777777" w:rsidR="00344F42" w:rsidRPr="00344F42" w:rsidRDefault="00344F42" w:rsidP="00344F42">
      <w:pPr>
        <w:jc w:val="both"/>
        <w:rPr>
          <w:rFonts w:ascii="Times New Roman" w:eastAsia="Arial" w:hAnsi="Times New Roman" w:cs="Times New Roman"/>
          <w:noProof/>
          <w:sz w:val="24"/>
          <w:szCs w:val="24"/>
          <w:lang w:val="en-US"/>
        </w:rPr>
      </w:pPr>
    </w:p>
    <w:p w14:paraId="625EF500" w14:textId="77777777" w:rsidR="00344F42" w:rsidRPr="00344F42" w:rsidRDefault="00344F42" w:rsidP="00344F42">
      <w:pPr>
        <w:pStyle w:val="Heading3"/>
        <w:tabs>
          <w:tab w:val="left" w:pos="819"/>
        </w:tabs>
        <w:ind w:left="0"/>
        <w:jc w:val="both"/>
        <w:rPr>
          <w:rFonts w:ascii="Times New Roman" w:hAnsi="Times New Roman"/>
          <w:noProof/>
          <w:sz w:val="24"/>
          <w:lang w:val="en-US"/>
        </w:rPr>
      </w:pPr>
      <w:r w:rsidRPr="00344F42">
        <w:rPr>
          <w:rFonts w:ascii="Times New Roman" w:hAnsi="Times New Roman"/>
          <w:noProof/>
          <w:sz w:val="24"/>
          <w:lang w:val="en-US"/>
        </w:rPr>
        <w:t>l) Tiesības uz pārsūdzību</w:t>
      </w:r>
    </w:p>
    <w:p w14:paraId="6FE9E2C7"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7AADEE11" w14:textId="77777777" w:rsidR="00344F42" w:rsidRPr="00344F42" w:rsidRDefault="00344F42" w:rsidP="00344F42">
      <w:pPr>
        <w:pStyle w:val="BodyText"/>
        <w:rPr>
          <w:lang w:val="en-US"/>
        </w:rPr>
      </w:pPr>
      <w:r w:rsidRPr="00344F42">
        <w:rPr>
          <w:lang w:val="en-US"/>
        </w:rPr>
        <w:t>31. Visām pusēm ir jābūt tiesībām pieņemamā, noteiktā laika posmā pārsūdzēt jebkuru komisijas lēmumu attiecībā uz tiesību aktiem un lietas faktiem, kā arī noteiktajām sankcijām.</w:t>
      </w:r>
    </w:p>
    <w:p w14:paraId="7D92F317" w14:textId="77777777" w:rsidR="00344F42" w:rsidRPr="00344F42" w:rsidRDefault="00344F42" w:rsidP="00344F42">
      <w:pPr>
        <w:jc w:val="both"/>
        <w:rPr>
          <w:rFonts w:ascii="Times New Roman" w:eastAsia="Arial" w:hAnsi="Times New Roman" w:cs="Times New Roman"/>
          <w:noProof/>
          <w:sz w:val="24"/>
          <w:szCs w:val="24"/>
          <w:lang w:val="en-US"/>
        </w:rPr>
      </w:pPr>
    </w:p>
    <w:p w14:paraId="0984AF5F" w14:textId="77777777" w:rsidR="00344F42" w:rsidRPr="00344F42" w:rsidRDefault="00344F42" w:rsidP="00344F42">
      <w:pPr>
        <w:pStyle w:val="BodyText"/>
        <w:rPr>
          <w:lang w:val="en-US"/>
        </w:rPr>
      </w:pPr>
      <w:r w:rsidRPr="00344F42">
        <w:rPr>
          <w:lang w:val="en-US"/>
        </w:rPr>
        <w:t>32. Pārsūdzības iestādei ir jāievēro visi iepriekš minētie principi, tostarp tie, kas attiecas uz komisijas sastāvu (</w:t>
      </w:r>
      <w:r w:rsidRPr="00344F42">
        <w:rPr>
          <w:i/>
          <w:lang w:val="en-US"/>
        </w:rPr>
        <w:t>b </w:t>
      </w:r>
      <w:r w:rsidRPr="00344F42">
        <w:rPr>
          <w:lang w:val="en-US"/>
        </w:rPr>
        <w:t>princips) un komisijas kompetenci (</w:t>
      </w:r>
      <w:r w:rsidRPr="00344F42">
        <w:rPr>
          <w:i/>
          <w:lang w:val="en-US"/>
        </w:rPr>
        <w:t>c </w:t>
      </w:r>
      <w:r w:rsidRPr="00344F42">
        <w:rPr>
          <w:lang w:val="en-US"/>
        </w:rPr>
        <w:t>princips).</w:t>
      </w:r>
    </w:p>
    <w:p w14:paraId="42488649" w14:textId="77777777" w:rsidR="00344F42" w:rsidRPr="00344F42" w:rsidRDefault="00344F42" w:rsidP="00344F42">
      <w:pPr>
        <w:rPr>
          <w:noProof/>
          <w:lang w:val="en-US"/>
        </w:rPr>
      </w:pPr>
      <w:r w:rsidRPr="00344F42">
        <w:rPr>
          <w:noProof/>
          <w:lang w:val="en-US"/>
        </w:rPr>
        <w:br w:type="page"/>
      </w:r>
    </w:p>
    <w:p w14:paraId="73546FE4" w14:textId="77777777" w:rsidR="00344F42" w:rsidRPr="00344F42" w:rsidRDefault="00344F42" w:rsidP="00344F42">
      <w:pPr>
        <w:jc w:val="both"/>
        <w:rPr>
          <w:rFonts w:ascii="Times New Roman" w:eastAsia="Arial" w:hAnsi="Times New Roman" w:cs="Times New Roman"/>
          <w:noProof/>
          <w:sz w:val="24"/>
          <w:szCs w:val="24"/>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848"/>
        <w:gridCol w:w="1983"/>
        <w:gridCol w:w="2297"/>
      </w:tblGrid>
      <w:tr w:rsidR="00344F42" w:rsidRPr="00344F42" w14:paraId="71C76748" w14:textId="77777777" w:rsidTr="00B408A9">
        <w:tc>
          <w:tcPr>
            <w:tcW w:w="2656" w:type="pct"/>
            <w:tcBorders>
              <w:right w:val="single" w:sz="4" w:space="0" w:color="auto"/>
            </w:tcBorders>
          </w:tcPr>
          <w:p w14:paraId="095561B6" w14:textId="77777777" w:rsidR="00344F42" w:rsidRPr="00344F42" w:rsidRDefault="00344F42" w:rsidP="00B408A9">
            <w:pPr>
              <w:jc w:val="both"/>
              <w:rPr>
                <w:rFonts w:ascii="Times New Roman" w:eastAsia="Times New Roman" w:hAnsi="Times New Roman" w:cs="Times New Roman"/>
                <w:noProof/>
                <w:sz w:val="24"/>
                <w:szCs w:val="24"/>
                <w:lang w:val="en-US"/>
              </w:rPr>
            </w:pPr>
          </w:p>
        </w:tc>
        <w:tc>
          <w:tcPr>
            <w:tcW w:w="1086" w:type="pct"/>
            <w:tcBorders>
              <w:left w:val="single" w:sz="4" w:space="0" w:color="auto"/>
            </w:tcBorders>
          </w:tcPr>
          <w:p w14:paraId="2B923B8A" w14:textId="77777777" w:rsidR="00344F42" w:rsidRPr="00344F42" w:rsidRDefault="00344F42" w:rsidP="00B408A9">
            <w:pPr>
              <w:jc w:val="both"/>
              <w:rPr>
                <w:rFonts w:ascii="Times New Roman" w:hAnsi="Times New Roman"/>
                <w:noProof/>
                <w:sz w:val="24"/>
                <w:lang w:val="en-US"/>
              </w:rPr>
            </w:pPr>
            <w:r w:rsidRPr="00344F42">
              <w:rPr>
                <w:rFonts w:ascii="Times New Roman" w:hAnsi="Times New Roman"/>
                <w:noProof/>
                <w:sz w:val="24"/>
                <w:lang w:val="en-US"/>
              </w:rPr>
              <w:t>MINISTRU KOMITEJA</w:t>
            </w:r>
          </w:p>
          <w:p w14:paraId="2402EE5B" w14:textId="77777777" w:rsidR="00344F42" w:rsidRPr="00344F42" w:rsidRDefault="00344F42" w:rsidP="00B408A9">
            <w:pPr>
              <w:jc w:val="both"/>
              <w:rPr>
                <w:rFonts w:ascii="Times New Roman" w:eastAsia="Times New Roman" w:hAnsi="Times New Roman" w:cs="Times New Roman"/>
                <w:noProof/>
                <w:sz w:val="24"/>
                <w:szCs w:val="24"/>
                <w:lang w:val="en-US"/>
              </w:rPr>
            </w:pPr>
          </w:p>
          <w:p w14:paraId="1F7EEF01" w14:textId="77777777" w:rsidR="00344F42" w:rsidRPr="00344F42" w:rsidRDefault="00344F42" w:rsidP="00B408A9">
            <w:pPr>
              <w:jc w:val="both"/>
              <w:rPr>
                <w:rFonts w:ascii="Times New Roman" w:hAnsi="Times New Roman"/>
                <w:i/>
                <w:iCs/>
                <w:noProof/>
                <w:sz w:val="24"/>
                <w:lang w:val="en-US"/>
              </w:rPr>
            </w:pPr>
            <w:r w:rsidRPr="00344F42">
              <w:rPr>
                <w:rFonts w:ascii="Times New Roman" w:hAnsi="Times New Roman"/>
                <w:i/>
                <w:iCs/>
                <w:noProof/>
                <w:sz w:val="24"/>
                <w:lang w:val="en-US"/>
              </w:rPr>
              <w:t>COMITÉ DES MINISTRES</w:t>
            </w:r>
          </w:p>
        </w:tc>
        <w:tc>
          <w:tcPr>
            <w:tcW w:w="1258" w:type="pct"/>
          </w:tcPr>
          <w:p w14:paraId="63A3B9F3" w14:textId="77777777" w:rsidR="00344F42" w:rsidRPr="00344F42" w:rsidRDefault="00344F42" w:rsidP="00B408A9">
            <w:pPr>
              <w:jc w:val="center"/>
              <w:rPr>
                <w:rFonts w:ascii="Times New Roman" w:hAnsi="Times New Roman"/>
                <w:noProof/>
                <w:sz w:val="20"/>
                <w:lang w:val="en-US"/>
              </w:rPr>
            </w:pPr>
            <w:r w:rsidRPr="00344F42">
              <w:rPr>
                <w:rFonts w:ascii="Times New Roman" w:hAnsi="Times New Roman"/>
                <w:noProof/>
                <w:sz w:val="20"/>
                <w:lang w:val="en-US"/>
              </w:rPr>
              <w:t>EIROPAS PADOME</w:t>
            </w:r>
          </w:p>
          <w:p w14:paraId="1B218F26" w14:textId="77777777" w:rsidR="00344F42" w:rsidRPr="00344F42" w:rsidRDefault="00344F42" w:rsidP="00B408A9">
            <w:pPr>
              <w:jc w:val="center"/>
              <w:rPr>
                <w:rFonts w:ascii="Times New Roman" w:eastAsia="Times New Roman" w:hAnsi="Times New Roman" w:cs="Times New Roman"/>
                <w:noProof/>
                <w:sz w:val="24"/>
                <w:szCs w:val="24"/>
                <w:lang w:val="en-US"/>
              </w:rPr>
            </w:pPr>
            <w:r w:rsidRPr="00344F42">
              <w:rPr>
                <w:rFonts w:ascii="Times New Roman" w:eastAsia="Times New Roman" w:hAnsi="Times New Roman" w:cs="Times New Roman"/>
                <w:noProof/>
                <w:sz w:val="24"/>
                <w:szCs w:val="24"/>
                <w:lang w:val="en-US"/>
              </w:rPr>
              <w:drawing>
                <wp:inline distT="0" distB="0" distL="0" distR="0" wp14:anchorId="49E7989C" wp14:editId="54D6659F">
                  <wp:extent cx="1200318" cy="733527"/>
                  <wp:effectExtent l="0" t="0" r="0" b="0"/>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1"/>
                          <a:stretch>
                            <a:fillRect/>
                          </a:stretch>
                        </pic:blipFill>
                        <pic:spPr>
                          <a:xfrm>
                            <a:off x="0" y="0"/>
                            <a:ext cx="1200318" cy="733527"/>
                          </a:xfrm>
                          <a:prstGeom prst="rect">
                            <a:avLst/>
                          </a:prstGeom>
                        </pic:spPr>
                      </pic:pic>
                    </a:graphicData>
                  </a:graphic>
                </wp:inline>
              </w:drawing>
            </w:r>
          </w:p>
          <w:p w14:paraId="717D5F8C" w14:textId="77777777" w:rsidR="00344F42" w:rsidRPr="00344F42" w:rsidRDefault="00344F42" w:rsidP="00B408A9">
            <w:pPr>
              <w:jc w:val="center"/>
              <w:rPr>
                <w:rFonts w:ascii="Times New Roman" w:hAnsi="Times New Roman"/>
                <w:i/>
                <w:iCs/>
                <w:noProof/>
                <w:sz w:val="20"/>
                <w:lang w:val="en-US"/>
              </w:rPr>
            </w:pPr>
            <w:r w:rsidRPr="00344F42">
              <w:rPr>
                <w:rFonts w:ascii="Times New Roman" w:hAnsi="Times New Roman"/>
                <w:i/>
                <w:iCs/>
                <w:noProof/>
                <w:sz w:val="20"/>
                <w:lang w:val="en-US"/>
              </w:rPr>
              <w:t>CONSEIL DE L’EUROPE</w:t>
            </w:r>
          </w:p>
        </w:tc>
      </w:tr>
    </w:tbl>
    <w:p w14:paraId="09D224E1" w14:textId="77777777" w:rsidR="00344F42" w:rsidRPr="00344F42" w:rsidRDefault="00344F42" w:rsidP="00344F42">
      <w:pPr>
        <w:jc w:val="both"/>
        <w:rPr>
          <w:rFonts w:ascii="Times New Roman" w:eastAsia="Times New Roman" w:hAnsi="Times New Roman" w:cs="Times New Roman"/>
          <w:noProof/>
          <w:sz w:val="24"/>
          <w:szCs w:val="24"/>
          <w:lang w:val="en-US"/>
        </w:rPr>
      </w:pPr>
    </w:p>
    <w:tbl>
      <w:tblPr>
        <w:tblStyle w:val="TableGrid"/>
        <w:tblW w:w="5000" w:type="pct"/>
        <w:tblBorders>
          <w:top w:val="none" w:sz="0" w:space="0" w:color="auto"/>
          <w:left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2822"/>
        <w:gridCol w:w="2450"/>
        <w:gridCol w:w="2410"/>
        <w:gridCol w:w="1446"/>
      </w:tblGrid>
      <w:tr w:rsidR="00344F42" w:rsidRPr="00344F42" w14:paraId="436E4321" w14:textId="77777777" w:rsidTr="00B408A9">
        <w:tc>
          <w:tcPr>
            <w:tcW w:w="1546" w:type="pct"/>
            <w:tcBorders>
              <w:bottom w:val="nil"/>
            </w:tcBorders>
          </w:tcPr>
          <w:p w14:paraId="5DDD789E" w14:textId="77777777" w:rsidR="00344F42" w:rsidRPr="00344F42" w:rsidRDefault="00344F42" w:rsidP="00B408A9">
            <w:pPr>
              <w:jc w:val="center"/>
              <w:rPr>
                <w:rFonts w:ascii="Times New Roman" w:hAnsi="Times New Roman"/>
                <w:b/>
                <w:noProof/>
                <w:sz w:val="24"/>
                <w:lang w:val="en-US"/>
              </w:rPr>
            </w:pPr>
            <w:r w:rsidRPr="00344F42">
              <w:rPr>
                <w:rFonts w:ascii="Times New Roman" w:hAnsi="Times New Roman"/>
                <w:b/>
                <w:noProof/>
                <w:sz w:val="24"/>
                <w:lang w:val="en-US"/>
              </w:rPr>
              <w:t>MINISTRU VIETNIEKI</w:t>
            </w:r>
          </w:p>
        </w:tc>
        <w:tc>
          <w:tcPr>
            <w:tcW w:w="1342" w:type="pct"/>
            <w:tcBorders>
              <w:bottom w:val="nil"/>
            </w:tcBorders>
          </w:tcPr>
          <w:p w14:paraId="14693E09" w14:textId="77777777" w:rsidR="00344F42" w:rsidRPr="00344F42" w:rsidRDefault="00344F42" w:rsidP="00B408A9">
            <w:pPr>
              <w:jc w:val="center"/>
              <w:rPr>
                <w:rFonts w:ascii="Times New Roman" w:eastAsia="Arial Narrow" w:hAnsi="Times New Roman" w:cs="Times New Roman"/>
                <w:noProof/>
                <w:sz w:val="24"/>
                <w:szCs w:val="24"/>
                <w:lang w:val="en-US"/>
              </w:rPr>
            </w:pPr>
            <w:r w:rsidRPr="00344F42">
              <w:rPr>
                <w:rFonts w:ascii="Times New Roman" w:hAnsi="Times New Roman"/>
                <w:i/>
                <w:iCs/>
                <w:noProof/>
                <w:sz w:val="24"/>
                <w:lang w:val="en-US"/>
              </w:rPr>
              <w:t xml:space="preserve">CM </w:t>
            </w:r>
            <w:r w:rsidRPr="00344F42">
              <w:rPr>
                <w:rFonts w:ascii="Times New Roman" w:hAnsi="Times New Roman"/>
                <w:noProof/>
                <w:sz w:val="24"/>
                <w:lang w:val="en-US"/>
              </w:rPr>
              <w:t>dokumenti</w:t>
            </w:r>
          </w:p>
        </w:tc>
        <w:tc>
          <w:tcPr>
            <w:tcW w:w="1320" w:type="pct"/>
            <w:tcBorders>
              <w:bottom w:val="nil"/>
            </w:tcBorders>
          </w:tcPr>
          <w:p w14:paraId="247DA3AE" w14:textId="77777777" w:rsidR="00344F42" w:rsidRPr="00344F42" w:rsidRDefault="00344F42" w:rsidP="00B408A9">
            <w:pPr>
              <w:jc w:val="center"/>
              <w:rPr>
                <w:rFonts w:ascii="Times New Roman" w:hAnsi="Times New Roman"/>
                <w:b/>
                <w:noProof/>
                <w:sz w:val="24"/>
                <w:lang w:val="en-US"/>
              </w:rPr>
            </w:pPr>
            <w:r w:rsidRPr="00344F42">
              <w:rPr>
                <w:rFonts w:ascii="Times New Roman" w:hAnsi="Times New Roman"/>
                <w:b/>
                <w:noProof/>
                <w:sz w:val="24"/>
                <w:lang w:val="en-US"/>
              </w:rPr>
              <w:t>CM(2022)48-addfinal</w:t>
            </w:r>
          </w:p>
        </w:tc>
        <w:tc>
          <w:tcPr>
            <w:tcW w:w="792" w:type="pct"/>
            <w:tcBorders>
              <w:bottom w:val="nil"/>
            </w:tcBorders>
          </w:tcPr>
          <w:p w14:paraId="02FD1DD6" w14:textId="77777777" w:rsidR="00344F42" w:rsidRPr="00344F42" w:rsidRDefault="00344F42" w:rsidP="00B408A9">
            <w:pPr>
              <w:jc w:val="center"/>
              <w:rPr>
                <w:rFonts w:ascii="Times New Roman" w:hAnsi="Times New Roman"/>
                <w:noProof/>
                <w:sz w:val="24"/>
                <w:lang w:val="en-US"/>
              </w:rPr>
            </w:pPr>
            <w:r w:rsidRPr="00344F42">
              <w:rPr>
                <w:rFonts w:ascii="Times New Roman" w:hAnsi="Times New Roman"/>
                <w:noProof/>
                <w:sz w:val="24"/>
                <w:lang w:val="en-US"/>
              </w:rPr>
              <w:t>2022. gada 20. aprīlis</w:t>
            </w:r>
          </w:p>
        </w:tc>
      </w:tr>
      <w:tr w:rsidR="00344F42" w:rsidRPr="00344F42" w14:paraId="4760FEF2" w14:textId="77777777" w:rsidTr="00B408A9">
        <w:tc>
          <w:tcPr>
            <w:tcW w:w="1546" w:type="pct"/>
            <w:tcBorders>
              <w:bottom w:val="single" w:sz="4" w:space="0" w:color="auto"/>
            </w:tcBorders>
          </w:tcPr>
          <w:p w14:paraId="78121F28" w14:textId="77777777" w:rsidR="00344F42" w:rsidRPr="00344F42" w:rsidRDefault="00344F42" w:rsidP="00B408A9">
            <w:pPr>
              <w:jc w:val="both"/>
              <w:rPr>
                <w:rFonts w:ascii="Times New Roman" w:eastAsia="Times New Roman" w:hAnsi="Times New Roman" w:cs="Times New Roman"/>
                <w:noProof/>
                <w:sz w:val="24"/>
                <w:szCs w:val="24"/>
                <w:lang w:val="en-US"/>
              </w:rPr>
            </w:pPr>
          </w:p>
        </w:tc>
        <w:tc>
          <w:tcPr>
            <w:tcW w:w="1342" w:type="pct"/>
            <w:tcBorders>
              <w:bottom w:val="single" w:sz="4" w:space="0" w:color="auto"/>
            </w:tcBorders>
          </w:tcPr>
          <w:p w14:paraId="6A422E06" w14:textId="77777777" w:rsidR="00344F42" w:rsidRPr="00344F42" w:rsidRDefault="00344F42" w:rsidP="00B408A9">
            <w:pPr>
              <w:jc w:val="both"/>
              <w:rPr>
                <w:rFonts w:ascii="Times New Roman" w:eastAsia="Times New Roman" w:hAnsi="Times New Roman" w:cs="Times New Roman"/>
                <w:noProof/>
                <w:sz w:val="24"/>
                <w:szCs w:val="24"/>
                <w:lang w:val="en-US"/>
              </w:rPr>
            </w:pPr>
          </w:p>
        </w:tc>
        <w:tc>
          <w:tcPr>
            <w:tcW w:w="1320" w:type="pct"/>
            <w:tcBorders>
              <w:bottom w:val="single" w:sz="4" w:space="0" w:color="auto"/>
            </w:tcBorders>
          </w:tcPr>
          <w:p w14:paraId="07EC9CFC" w14:textId="77777777" w:rsidR="00344F42" w:rsidRPr="00344F42" w:rsidRDefault="00344F42" w:rsidP="00B408A9">
            <w:pPr>
              <w:jc w:val="both"/>
              <w:rPr>
                <w:rFonts w:ascii="Times New Roman" w:eastAsia="Times New Roman" w:hAnsi="Times New Roman" w:cs="Times New Roman"/>
                <w:noProof/>
                <w:sz w:val="24"/>
                <w:szCs w:val="24"/>
                <w:lang w:val="en-US"/>
              </w:rPr>
            </w:pPr>
          </w:p>
        </w:tc>
        <w:tc>
          <w:tcPr>
            <w:tcW w:w="792" w:type="pct"/>
            <w:tcBorders>
              <w:bottom w:val="single" w:sz="4" w:space="0" w:color="auto"/>
            </w:tcBorders>
          </w:tcPr>
          <w:p w14:paraId="1B4F2C3E" w14:textId="77777777" w:rsidR="00344F42" w:rsidRPr="00344F42" w:rsidRDefault="00344F42" w:rsidP="00B408A9">
            <w:pPr>
              <w:jc w:val="both"/>
              <w:rPr>
                <w:rFonts w:ascii="Times New Roman" w:eastAsia="Times New Roman" w:hAnsi="Times New Roman" w:cs="Times New Roman"/>
                <w:noProof/>
                <w:sz w:val="24"/>
                <w:szCs w:val="24"/>
                <w:lang w:val="en-US"/>
              </w:rPr>
            </w:pPr>
          </w:p>
        </w:tc>
      </w:tr>
      <w:tr w:rsidR="00344F42" w:rsidRPr="00344F42" w14:paraId="06026BE8" w14:textId="77777777" w:rsidTr="00B408A9">
        <w:tc>
          <w:tcPr>
            <w:tcW w:w="5000" w:type="pct"/>
            <w:gridSpan w:val="4"/>
            <w:tcBorders>
              <w:top w:val="single" w:sz="4" w:space="0" w:color="auto"/>
            </w:tcBorders>
          </w:tcPr>
          <w:p w14:paraId="6F215B22" w14:textId="77777777" w:rsidR="00344F42" w:rsidRPr="00344F42" w:rsidRDefault="00344F42" w:rsidP="00B408A9">
            <w:pPr>
              <w:jc w:val="both"/>
              <w:rPr>
                <w:rFonts w:ascii="Times New Roman" w:hAnsi="Times New Roman"/>
                <w:b/>
                <w:noProof/>
                <w:sz w:val="28"/>
                <w:lang w:val="en-US"/>
              </w:rPr>
            </w:pPr>
            <w:r w:rsidRPr="00344F42">
              <w:rPr>
                <w:rFonts w:ascii="Times New Roman" w:hAnsi="Times New Roman"/>
                <w:b/>
                <w:noProof/>
                <w:sz w:val="28"/>
                <w:lang w:val="en-US"/>
              </w:rPr>
              <w:t>1432. sanāksme, 2022. gada 20. aprīlis</w:t>
            </w:r>
          </w:p>
          <w:p w14:paraId="6DB223A8" w14:textId="77777777" w:rsidR="00344F42" w:rsidRPr="00344F42" w:rsidRDefault="00344F42" w:rsidP="00B408A9">
            <w:pPr>
              <w:jc w:val="both"/>
              <w:rPr>
                <w:rFonts w:ascii="Times New Roman" w:hAnsi="Times New Roman"/>
                <w:noProof/>
                <w:sz w:val="24"/>
                <w:lang w:val="en-US"/>
              </w:rPr>
            </w:pPr>
            <w:r w:rsidRPr="00344F42">
              <w:rPr>
                <w:rFonts w:ascii="Times New Roman" w:hAnsi="Times New Roman"/>
                <w:noProof/>
                <w:sz w:val="24"/>
                <w:lang w:val="en-US"/>
              </w:rPr>
              <w:t>8 “Jaunatne un sports”</w:t>
            </w:r>
          </w:p>
          <w:p w14:paraId="660ECB0E" w14:textId="77777777" w:rsidR="00344F42" w:rsidRPr="00344F42" w:rsidRDefault="00344F42" w:rsidP="00B408A9">
            <w:pPr>
              <w:jc w:val="both"/>
              <w:rPr>
                <w:rFonts w:ascii="Times New Roman" w:eastAsia="Arial Narrow" w:hAnsi="Times New Roman" w:cs="Times New Roman"/>
                <w:noProof/>
                <w:sz w:val="24"/>
                <w:szCs w:val="24"/>
                <w:lang w:val="en-US"/>
              </w:rPr>
            </w:pPr>
          </w:p>
          <w:p w14:paraId="6090CEFF" w14:textId="77777777" w:rsidR="00344F42" w:rsidRPr="00344F42" w:rsidRDefault="00344F42" w:rsidP="00B408A9">
            <w:pPr>
              <w:jc w:val="both"/>
              <w:rPr>
                <w:rFonts w:ascii="Times New Roman" w:hAnsi="Times New Roman"/>
                <w:b/>
                <w:noProof/>
                <w:sz w:val="28"/>
                <w:lang w:val="en-US"/>
              </w:rPr>
            </w:pPr>
            <w:r w:rsidRPr="00344F42">
              <w:rPr>
                <w:rFonts w:ascii="Times New Roman" w:hAnsi="Times New Roman"/>
                <w:b/>
                <w:noProof/>
                <w:sz w:val="28"/>
                <w:lang w:val="en-US"/>
              </w:rPr>
              <w:t>8.1. Antidopinga konvencijas Kontroles grupa (T-DO)</w:t>
            </w:r>
          </w:p>
          <w:p w14:paraId="2E61F098" w14:textId="77777777" w:rsidR="00344F42" w:rsidRPr="00344F42" w:rsidRDefault="00344F42" w:rsidP="00B408A9">
            <w:pPr>
              <w:jc w:val="both"/>
              <w:rPr>
                <w:rFonts w:ascii="Times New Roman" w:hAnsi="Times New Roman"/>
                <w:noProof/>
                <w:sz w:val="24"/>
                <w:lang w:val="en-US"/>
              </w:rPr>
            </w:pPr>
            <w:r w:rsidRPr="00344F42">
              <w:rPr>
                <w:rFonts w:ascii="Times New Roman" w:hAnsi="Times New Roman"/>
                <w:noProof/>
                <w:sz w:val="24"/>
                <w:lang w:val="en-US"/>
              </w:rPr>
              <w:t>Ministru komitejas Ieteikums CM/Rec(2022)14 dalībvalstīm par taisnīgas procedūras vispārējajiem principiem, kas piemērojami antidopinga lietas izskatīšanai sportā</w:t>
            </w:r>
          </w:p>
          <w:p w14:paraId="7E57B688" w14:textId="77777777" w:rsidR="00344F42" w:rsidRPr="00344F42" w:rsidRDefault="00344F42" w:rsidP="00B408A9">
            <w:pPr>
              <w:jc w:val="both"/>
              <w:rPr>
                <w:rFonts w:ascii="Times New Roman" w:hAnsi="Times New Roman"/>
                <w:noProof/>
                <w:sz w:val="24"/>
                <w:lang w:val="en-US"/>
              </w:rPr>
            </w:pPr>
            <w:r w:rsidRPr="00344F42">
              <w:rPr>
                <w:rFonts w:ascii="Times New Roman" w:hAnsi="Times New Roman"/>
                <w:noProof/>
                <w:sz w:val="24"/>
                <w:lang w:val="en-US"/>
              </w:rPr>
              <w:t>Paskaidrojuma raksts</w:t>
            </w:r>
          </w:p>
        </w:tc>
      </w:tr>
    </w:tbl>
    <w:p w14:paraId="25F2575C" w14:textId="77777777" w:rsidR="00344F42" w:rsidRPr="00344F42" w:rsidRDefault="00344F42" w:rsidP="00344F42">
      <w:pPr>
        <w:jc w:val="both"/>
        <w:rPr>
          <w:rFonts w:ascii="Times New Roman" w:eastAsia="Arial" w:hAnsi="Times New Roman" w:cs="Times New Roman"/>
          <w:noProof/>
          <w:sz w:val="24"/>
          <w:szCs w:val="24"/>
          <w:lang w:val="en-US"/>
        </w:rPr>
      </w:pPr>
    </w:p>
    <w:p w14:paraId="5D0E211D" w14:textId="77777777" w:rsidR="00344F42" w:rsidRPr="00344F42" w:rsidRDefault="00344F42" w:rsidP="00344F42">
      <w:pPr>
        <w:pStyle w:val="Heading3"/>
        <w:ind w:left="0"/>
        <w:jc w:val="both"/>
        <w:rPr>
          <w:rFonts w:ascii="Times New Roman" w:hAnsi="Times New Roman"/>
          <w:noProof/>
          <w:sz w:val="24"/>
          <w:lang w:val="en-US"/>
        </w:rPr>
      </w:pPr>
      <w:r w:rsidRPr="00344F42">
        <w:rPr>
          <w:rFonts w:ascii="Times New Roman" w:hAnsi="Times New Roman"/>
          <w:noProof/>
          <w:sz w:val="24"/>
          <w:lang w:val="en-US"/>
        </w:rPr>
        <w:t>Ieteikuma mērķis un uzdevums</w:t>
      </w:r>
    </w:p>
    <w:p w14:paraId="02193453"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1BF8FF04" w14:textId="77777777" w:rsidR="00344F42" w:rsidRPr="00344F42" w:rsidRDefault="00344F42" w:rsidP="00344F42">
      <w:pPr>
        <w:pStyle w:val="BodyText"/>
        <w:rPr>
          <w:lang w:val="en-US"/>
        </w:rPr>
      </w:pPr>
      <w:r w:rsidRPr="00344F42">
        <w:rPr>
          <w:lang w:val="en-US"/>
        </w:rPr>
        <w:t>1. Pieņemot Pasaules antidopinga kodeksu, tika saskaņota cīņa pret dopingu sportā un notikušas tādas norises, kas nodrošina taisnīgāku procedūru visām pusēm. Ieguldījumu taisnīgas procedūras principu izstrādē devusi arī Sporta šķīrējtiesa (</w:t>
      </w:r>
      <w:r w:rsidRPr="00344F42">
        <w:rPr>
          <w:i/>
          <w:lang w:val="en-US"/>
        </w:rPr>
        <w:t>CAS</w:t>
      </w:r>
      <w:r w:rsidRPr="00344F42">
        <w:rPr>
          <w:lang w:val="en-US"/>
        </w:rPr>
        <w:t>), kas kalpo kā atzīts forums strīdu atrisināšanai antidopinga jomā.</w:t>
      </w:r>
    </w:p>
    <w:p w14:paraId="3A5BEC09" w14:textId="77777777" w:rsidR="00344F42" w:rsidRPr="00344F42" w:rsidRDefault="00344F42" w:rsidP="00344F42">
      <w:pPr>
        <w:jc w:val="both"/>
        <w:rPr>
          <w:rFonts w:ascii="Times New Roman" w:eastAsia="Arial" w:hAnsi="Times New Roman" w:cs="Times New Roman"/>
          <w:noProof/>
          <w:sz w:val="24"/>
          <w:szCs w:val="24"/>
          <w:lang w:val="en-US"/>
        </w:rPr>
      </w:pPr>
    </w:p>
    <w:p w14:paraId="737AECDC" w14:textId="77777777" w:rsidR="00344F42" w:rsidRPr="00344F42" w:rsidRDefault="00344F42" w:rsidP="00344F42">
      <w:pPr>
        <w:pStyle w:val="BodyText"/>
        <w:rPr>
          <w:lang w:val="en-US"/>
        </w:rPr>
      </w:pPr>
      <w:r w:rsidRPr="00344F42">
        <w:rPr>
          <w:lang w:val="en-US"/>
        </w:rPr>
        <w:t>2. Ieteikuma mērķis un uzdevums ir nostiprināt cilvēktiesību principus, kuriem ir jānosaka antidopinga procedūras sportā. Ieteikumā izklāstītie principi ir pārņemti no cilvēktiesību standartiem un – jo īpaši – Cilvēktiesību un pamatbrīvību aizsardzības konvencijas un Eiropas Cilvēktiesību tiesas judikatūras, kas tiek piemērota visās jurisdikcijās Eiropā un sniedz ierosmi pat plašākā mērogā.</w:t>
      </w:r>
    </w:p>
    <w:p w14:paraId="4DDD9AB9" w14:textId="77777777" w:rsidR="00344F42" w:rsidRPr="00344F42" w:rsidRDefault="00344F42" w:rsidP="00344F42">
      <w:pPr>
        <w:jc w:val="both"/>
        <w:rPr>
          <w:rFonts w:ascii="Times New Roman" w:eastAsia="Arial" w:hAnsi="Times New Roman" w:cs="Times New Roman"/>
          <w:noProof/>
          <w:sz w:val="24"/>
          <w:szCs w:val="24"/>
          <w:lang w:val="en-US"/>
        </w:rPr>
      </w:pPr>
    </w:p>
    <w:p w14:paraId="49858D23" w14:textId="77777777" w:rsidR="00344F42" w:rsidRPr="00344F42" w:rsidRDefault="00344F42" w:rsidP="00344F42">
      <w:pPr>
        <w:pStyle w:val="BodyText"/>
        <w:rPr>
          <w:lang w:val="en-US"/>
        </w:rPr>
      </w:pPr>
      <w:r w:rsidRPr="00344F42">
        <w:rPr>
          <w:lang w:val="en-US"/>
        </w:rPr>
        <w:t>3. Kā norādīts šā ieteikuma pēdējā rindiņā, šie principi ir “pakāpeniski jāīsteno”. Svarīgs faktors ir ne tikai godīgums attiecībā uz personām, kas apsūdzētas antidopinga pārkāpumos, bet galu galā – arī sabiedrības uzticēšanās taisnīgumam sportā un sporta organizācijām.</w:t>
      </w:r>
    </w:p>
    <w:p w14:paraId="23846111" w14:textId="77777777" w:rsidR="00344F42" w:rsidRPr="00344F42" w:rsidRDefault="00344F42" w:rsidP="00344F42">
      <w:pPr>
        <w:jc w:val="both"/>
        <w:rPr>
          <w:rFonts w:ascii="Times New Roman" w:eastAsia="Arial" w:hAnsi="Times New Roman" w:cs="Times New Roman"/>
          <w:noProof/>
          <w:sz w:val="24"/>
          <w:szCs w:val="24"/>
          <w:lang w:val="en-US"/>
        </w:rPr>
      </w:pPr>
    </w:p>
    <w:p w14:paraId="288C8B7D" w14:textId="77777777" w:rsidR="00344F42" w:rsidRPr="00344F42" w:rsidRDefault="00344F42" w:rsidP="00344F42">
      <w:pPr>
        <w:pStyle w:val="BodyText"/>
        <w:rPr>
          <w:lang w:val="en-US"/>
        </w:rPr>
      </w:pPr>
      <w:r w:rsidRPr="00344F42">
        <w:rPr>
          <w:lang w:val="en-US"/>
        </w:rPr>
        <w:t>4. Lai varētu cīnīties pret dopingu sportā, nepieciešama taisnīga lietas izskatīšana, vienlaikus aizsargājot sportistu privāto dzīvi, tostarp reputāciju un informāciju, kas saistīta ar veselību.</w:t>
      </w:r>
    </w:p>
    <w:p w14:paraId="32D00ABC" w14:textId="77777777" w:rsidR="00344F42" w:rsidRPr="00344F42" w:rsidRDefault="00344F42" w:rsidP="00344F42">
      <w:pPr>
        <w:jc w:val="both"/>
        <w:rPr>
          <w:rFonts w:ascii="Times New Roman" w:eastAsia="Arial" w:hAnsi="Times New Roman" w:cs="Times New Roman"/>
          <w:noProof/>
          <w:sz w:val="24"/>
          <w:szCs w:val="24"/>
          <w:lang w:val="en-US"/>
        </w:rPr>
      </w:pPr>
    </w:p>
    <w:p w14:paraId="72389D58" w14:textId="77777777" w:rsidR="00344F42" w:rsidRPr="00344F42" w:rsidRDefault="00344F42" w:rsidP="00344F42">
      <w:pPr>
        <w:pStyle w:val="BodyText"/>
        <w:rPr>
          <w:lang w:val="en-US"/>
        </w:rPr>
      </w:pPr>
      <w:r w:rsidRPr="00344F42">
        <w:rPr>
          <w:lang w:val="en-US"/>
        </w:rPr>
        <w:t>5. Lietas, kas jau ir ierosinātas valsts un Eiropas tiesās, liecina, ka cīņa pret dopingu sportā ir jautājums, kas skar sabiedrības intereses, un tajā jo īpaši ir iesaistītas valsts un tiesībaizsardzības iestādes, kā arī valstu jurisdikcijas, un tādējādi to vairs nevar uzskatīt par pilnīgi privātu jautājumu. Pēdējos gados antidopinga noteikumu pārkāpumi ir ievērojami mainījušies, un to atklāšana nav balstīta vienīgi uz bioloģiskām atradēm. Arvien vairāk tiek izmantota izmeklēšana un citu veidu neanalītiskie pierādījumi.</w:t>
      </w:r>
    </w:p>
    <w:p w14:paraId="00F92B04" w14:textId="77777777" w:rsidR="00344F42" w:rsidRPr="00344F42" w:rsidRDefault="00344F42" w:rsidP="00344F42">
      <w:pPr>
        <w:jc w:val="both"/>
        <w:rPr>
          <w:rFonts w:ascii="Times New Roman" w:eastAsia="Arial" w:hAnsi="Times New Roman" w:cs="Times New Roman"/>
          <w:noProof/>
          <w:sz w:val="24"/>
          <w:szCs w:val="24"/>
          <w:lang w:val="en-US"/>
        </w:rPr>
      </w:pPr>
    </w:p>
    <w:p w14:paraId="71F3D73F" w14:textId="77777777" w:rsidR="00344F42" w:rsidRPr="00344F42" w:rsidRDefault="00344F42" w:rsidP="00344F42">
      <w:pPr>
        <w:pStyle w:val="BodyText"/>
        <w:rPr>
          <w:lang w:val="en-US"/>
        </w:rPr>
      </w:pPr>
      <w:r w:rsidRPr="00344F42">
        <w:rPr>
          <w:lang w:val="en-US"/>
        </w:rPr>
        <w:t>6. Šis ieteikums galvenokārt attiecas uz sportistiem un atbalsta personālu (piemēram, treneriem vai menedžeriem), kā arī juridiskām personām, piemēram, valstu un starptautiskajām federācijām vai klubiem un sabiedrībām. Personas, kas nav sportisti, šajā tekstā tiek sauktas par “citām personām”.</w:t>
      </w:r>
    </w:p>
    <w:p w14:paraId="32957ED4" w14:textId="77777777" w:rsidR="00344F42" w:rsidRPr="00344F42" w:rsidRDefault="00344F42" w:rsidP="00344F42">
      <w:pPr>
        <w:jc w:val="both"/>
        <w:rPr>
          <w:rFonts w:ascii="Times New Roman" w:eastAsia="Arial" w:hAnsi="Times New Roman" w:cs="Times New Roman"/>
          <w:noProof/>
          <w:sz w:val="24"/>
          <w:szCs w:val="24"/>
          <w:lang w:val="en-US"/>
        </w:rPr>
      </w:pPr>
    </w:p>
    <w:p w14:paraId="2C2F6275" w14:textId="77777777" w:rsidR="00344F42" w:rsidRPr="00344F42" w:rsidRDefault="00344F42" w:rsidP="00344F42">
      <w:pPr>
        <w:pStyle w:val="BodyText"/>
        <w:rPr>
          <w:lang w:val="en-US"/>
        </w:rPr>
      </w:pPr>
      <w:r w:rsidRPr="00344F42">
        <w:rPr>
          <w:lang w:val="en-US"/>
        </w:rPr>
        <w:t>7. Šie principi nedrīkst liegt dalībvalstīm vai sporta organizācijām nostiprināt tiesības, kas garantētas antidopinga lietas izskatīšanā, un vēl vairāk aizsargāt sportistu un citu personu cilvēktiesības.</w:t>
      </w:r>
    </w:p>
    <w:p w14:paraId="30E0FB5F" w14:textId="77777777" w:rsidR="00344F42" w:rsidRPr="00344F42" w:rsidRDefault="00344F42" w:rsidP="00344F42">
      <w:pPr>
        <w:jc w:val="both"/>
        <w:rPr>
          <w:rFonts w:ascii="Times New Roman" w:eastAsia="Arial" w:hAnsi="Times New Roman" w:cs="Times New Roman"/>
          <w:noProof/>
          <w:sz w:val="24"/>
          <w:szCs w:val="24"/>
          <w:lang w:val="en-US"/>
        </w:rPr>
      </w:pPr>
    </w:p>
    <w:p w14:paraId="42182F52" w14:textId="77777777" w:rsidR="00344F42" w:rsidRPr="00344F42" w:rsidRDefault="00344F42" w:rsidP="00344F42">
      <w:pPr>
        <w:pStyle w:val="BodyText"/>
        <w:rPr>
          <w:lang w:val="en-US"/>
        </w:rPr>
      </w:pPr>
      <w:r w:rsidRPr="00344F42">
        <w:rPr>
          <w:lang w:val="en-US"/>
        </w:rPr>
        <w:t>8. Turpmāk norādīto elementu uzdevums ir sīkāk izskaidrot noteiktu šajā ieteikumā ietverto principu specifiku.</w:t>
      </w:r>
    </w:p>
    <w:p w14:paraId="34DC4564" w14:textId="77777777" w:rsidR="00344F42" w:rsidRPr="00344F42" w:rsidRDefault="00344F42" w:rsidP="00344F42">
      <w:pPr>
        <w:jc w:val="both"/>
        <w:rPr>
          <w:rFonts w:ascii="Times New Roman" w:eastAsia="Arial" w:hAnsi="Times New Roman" w:cs="Times New Roman"/>
          <w:noProof/>
          <w:sz w:val="24"/>
          <w:szCs w:val="24"/>
          <w:lang w:val="en-US"/>
        </w:rPr>
      </w:pPr>
    </w:p>
    <w:p w14:paraId="015ED6B0" w14:textId="77777777" w:rsidR="00344F42" w:rsidRPr="00344F42" w:rsidRDefault="00344F42" w:rsidP="00344F42">
      <w:pPr>
        <w:pStyle w:val="Heading3"/>
        <w:ind w:left="0"/>
        <w:jc w:val="both"/>
        <w:rPr>
          <w:rFonts w:ascii="Times New Roman" w:hAnsi="Times New Roman"/>
          <w:noProof/>
          <w:sz w:val="24"/>
          <w:lang w:val="en-US"/>
        </w:rPr>
      </w:pPr>
      <w:r w:rsidRPr="00344F42">
        <w:rPr>
          <w:rFonts w:ascii="Times New Roman" w:hAnsi="Times New Roman"/>
          <w:noProof/>
          <w:sz w:val="24"/>
          <w:lang w:val="en-US"/>
        </w:rPr>
        <w:t>Neatkarība</w:t>
      </w:r>
    </w:p>
    <w:p w14:paraId="2E5ECABF"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0594CCB2" w14:textId="77777777" w:rsidR="00344F42" w:rsidRPr="00344F42" w:rsidRDefault="00344F42" w:rsidP="00344F42">
      <w:pPr>
        <w:pStyle w:val="BodyText"/>
        <w:rPr>
          <w:lang w:val="en-US"/>
        </w:rPr>
      </w:pPr>
      <w:r w:rsidRPr="00344F42">
        <w:rPr>
          <w:lang w:val="en-US"/>
        </w:rPr>
        <w:t>9. Lai gan “operatīvās neatkarības” jēdziens tiek plaši pieminēts saistībā ar antidopingu, tas netiek bieži izmantots citā tiesu iestāžu darbībā. Saskaņā ar vispāratzīto principu, kas atkārtoti apstiprināts arī valstu un Eiropas jurisdikcijās, tiesnešu korpusam ir jābūt neatkarīgam no apsūdzības un strīda pusēm. Šī neatkarība ir stigri jāaizsargā. Ja uzdevums ir stiprināt tiesvedības sistēmu sportā, neatkarības jēdziens ir pilnībā jāievēro, tostarp izmantojot attiecīgu terminoloģiju.</w:t>
      </w:r>
    </w:p>
    <w:p w14:paraId="387D7655" w14:textId="77777777" w:rsidR="00344F42" w:rsidRPr="00344F42" w:rsidRDefault="00344F42" w:rsidP="00344F42">
      <w:pPr>
        <w:jc w:val="both"/>
        <w:rPr>
          <w:rFonts w:ascii="Times New Roman" w:eastAsia="Arial" w:hAnsi="Times New Roman" w:cs="Times New Roman"/>
          <w:noProof/>
          <w:sz w:val="24"/>
          <w:szCs w:val="24"/>
          <w:lang w:val="en-US"/>
        </w:rPr>
      </w:pPr>
    </w:p>
    <w:p w14:paraId="40317CC6" w14:textId="77777777" w:rsidR="00344F42" w:rsidRPr="00344F42" w:rsidRDefault="00344F42" w:rsidP="00344F42">
      <w:pPr>
        <w:pStyle w:val="BodyText"/>
        <w:rPr>
          <w:lang w:val="en-US"/>
        </w:rPr>
      </w:pPr>
      <w:r w:rsidRPr="00344F42">
        <w:rPr>
          <w:lang w:val="en-US"/>
        </w:rPr>
        <w:t>10. Visā dokumentā izmantotais neatkarības jēdziens ir jāsaprot tādā nozīmē, ka personas, kas iesaistītas lēmumu pieņemšanas procesā, un – jo īpaši – komisijas un pārsūdzības iestādes locekļi ir neatkarīgi no iekšējās un ārējās ietekmes, kā arī pusēm. Viņiem ir arī jāapliecina sava neatkarība.</w:t>
      </w:r>
    </w:p>
    <w:p w14:paraId="458C8AA7" w14:textId="77777777" w:rsidR="00344F42" w:rsidRPr="00344F42" w:rsidRDefault="00344F42" w:rsidP="00344F42">
      <w:pPr>
        <w:jc w:val="both"/>
        <w:rPr>
          <w:rFonts w:ascii="Times New Roman" w:eastAsia="Arial" w:hAnsi="Times New Roman" w:cs="Times New Roman"/>
          <w:noProof/>
          <w:sz w:val="24"/>
          <w:szCs w:val="24"/>
          <w:lang w:val="en-US"/>
        </w:rPr>
      </w:pPr>
    </w:p>
    <w:p w14:paraId="3BAFF086" w14:textId="77777777" w:rsidR="00344F42" w:rsidRPr="00344F42" w:rsidRDefault="00344F42" w:rsidP="00344F42">
      <w:pPr>
        <w:pStyle w:val="Heading3"/>
        <w:ind w:left="0"/>
        <w:jc w:val="both"/>
        <w:rPr>
          <w:rFonts w:ascii="Times New Roman" w:hAnsi="Times New Roman"/>
          <w:noProof/>
          <w:sz w:val="24"/>
          <w:lang w:val="en-US"/>
        </w:rPr>
      </w:pPr>
      <w:r w:rsidRPr="00344F42">
        <w:rPr>
          <w:rFonts w:ascii="Times New Roman" w:hAnsi="Times New Roman"/>
          <w:noProof/>
          <w:sz w:val="24"/>
          <w:lang w:val="en-US"/>
        </w:rPr>
        <w:t>Izmeklēšana</w:t>
      </w:r>
    </w:p>
    <w:p w14:paraId="67AB25EF"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2BDB3930" w14:textId="77777777" w:rsidR="00344F42" w:rsidRPr="00344F42" w:rsidRDefault="00344F42" w:rsidP="00344F42">
      <w:pPr>
        <w:pStyle w:val="BodyText"/>
        <w:rPr>
          <w:lang w:val="en-US"/>
        </w:rPr>
      </w:pPr>
      <w:r w:rsidRPr="00344F42">
        <w:rPr>
          <w:lang w:val="en-US"/>
        </w:rPr>
        <w:t>11. Izmeklēšana ir jāveic personām, kas ir piederīgas tādām institūcijām (vai ko ir iecēlušas tādas institūcijas) kā valstu antidopinga organizācijas, kas nerīko sporta sacensības. Izmeklētājiem ir jādarbojas neatkarīgi no ārējas vai iekšējas iejaukšanās.</w:t>
      </w:r>
    </w:p>
    <w:p w14:paraId="142DA77A" w14:textId="77777777" w:rsidR="00344F42" w:rsidRPr="00344F42" w:rsidRDefault="00344F42" w:rsidP="00344F42">
      <w:pPr>
        <w:jc w:val="both"/>
        <w:rPr>
          <w:rFonts w:ascii="Times New Roman" w:eastAsia="Arial" w:hAnsi="Times New Roman" w:cs="Times New Roman"/>
          <w:noProof/>
          <w:sz w:val="24"/>
          <w:szCs w:val="24"/>
          <w:lang w:val="en-US"/>
        </w:rPr>
      </w:pPr>
    </w:p>
    <w:p w14:paraId="367EC046" w14:textId="77777777" w:rsidR="00344F42" w:rsidRPr="00344F42" w:rsidRDefault="00344F42" w:rsidP="00344F42">
      <w:pPr>
        <w:pStyle w:val="Heading3"/>
        <w:ind w:left="0"/>
        <w:jc w:val="both"/>
        <w:rPr>
          <w:rFonts w:ascii="Times New Roman" w:hAnsi="Times New Roman"/>
          <w:noProof/>
          <w:sz w:val="24"/>
          <w:lang w:val="en-US"/>
        </w:rPr>
      </w:pPr>
      <w:r w:rsidRPr="00344F42">
        <w:rPr>
          <w:rFonts w:ascii="Times New Roman" w:hAnsi="Times New Roman"/>
          <w:noProof/>
          <w:sz w:val="24"/>
          <w:lang w:val="en-US"/>
        </w:rPr>
        <w:t>Nevainīguma prezumpcija, stingra atbildība un pagaidu aizliegums piedalīties sacensībās</w:t>
      </w:r>
    </w:p>
    <w:p w14:paraId="37A305D0"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0422C1E0" w14:textId="77777777" w:rsidR="00344F42" w:rsidRPr="00344F42" w:rsidRDefault="00344F42" w:rsidP="00344F42">
      <w:pPr>
        <w:pStyle w:val="BodyText"/>
        <w:rPr>
          <w:lang w:val="en-US"/>
        </w:rPr>
      </w:pPr>
      <w:r w:rsidRPr="00344F42">
        <w:rPr>
          <w:lang w:val="en-US"/>
        </w:rPr>
        <w:t>12. Nevainīguma prezumpcija aizsargā personas pret patvaļu, un tas ir cilvēka pamattiesību un tiesiskuma princips. Tas ir būtisks jēdziens, un tā ir svarīga norma, aizsargājot taisnīgumu, kas saistīts ar sabiedrības uzticēšanos visiem tiesas procesiem, tostarp tiem, kas tiek veikti saistībā ar disciplinārajiem antidopinga pasākumiem.</w:t>
      </w:r>
    </w:p>
    <w:p w14:paraId="44746286" w14:textId="77777777" w:rsidR="00344F42" w:rsidRPr="00344F42" w:rsidRDefault="00344F42" w:rsidP="00344F42">
      <w:pPr>
        <w:jc w:val="both"/>
        <w:rPr>
          <w:rFonts w:ascii="Times New Roman" w:eastAsia="Arial" w:hAnsi="Times New Roman" w:cs="Times New Roman"/>
          <w:noProof/>
          <w:sz w:val="24"/>
          <w:szCs w:val="24"/>
          <w:lang w:val="en-US"/>
        </w:rPr>
      </w:pPr>
    </w:p>
    <w:p w14:paraId="3FF498B4" w14:textId="77777777" w:rsidR="00344F42" w:rsidRPr="00344F42" w:rsidRDefault="00344F42" w:rsidP="00344F42">
      <w:pPr>
        <w:pStyle w:val="BodyText"/>
        <w:rPr>
          <w:lang w:val="en-US"/>
        </w:rPr>
      </w:pPr>
      <w:r w:rsidRPr="00344F42">
        <w:rPr>
          <w:lang w:val="en-US"/>
        </w:rPr>
        <w:t>13. Šajā ieteikumā ir īpaši norādīts, ka stingras atbildības princips un pagaidu aizliegums piedalīties sacensībās nav jāuzskata par šīs normas pārkāpumu. Fakta vai tiesību prezumpcija neapdraud lietas izskatīšanas taisnīgumu ar nosacījumu, ka tā tiek saglabāta saprātīgās robežās. Pagaidu aizliegumu piedalīties sacensībās piemēro ierobežotā skaitā gadījumu, un stingra atbildība attiecas vienīgi uz konkrētiem antidopinga noteikumu pārkāpumiem. Antidopinga lietas izskatīšana balstās arī uz neanalītiskām atradēm.</w:t>
      </w:r>
    </w:p>
    <w:p w14:paraId="25930C0E" w14:textId="77777777" w:rsidR="00344F42" w:rsidRPr="00344F42" w:rsidRDefault="00344F42" w:rsidP="00344F42">
      <w:pPr>
        <w:jc w:val="both"/>
        <w:rPr>
          <w:rFonts w:ascii="Times New Roman" w:eastAsia="Arial" w:hAnsi="Times New Roman" w:cs="Times New Roman"/>
          <w:noProof/>
          <w:sz w:val="24"/>
          <w:szCs w:val="24"/>
          <w:lang w:val="en-US"/>
        </w:rPr>
      </w:pPr>
    </w:p>
    <w:p w14:paraId="154246B0" w14:textId="77777777" w:rsidR="00344F42" w:rsidRPr="00344F42" w:rsidRDefault="00344F42" w:rsidP="00344F42">
      <w:pPr>
        <w:pStyle w:val="Heading3"/>
        <w:ind w:left="0"/>
        <w:jc w:val="both"/>
        <w:rPr>
          <w:rFonts w:ascii="Times New Roman" w:hAnsi="Times New Roman"/>
          <w:noProof/>
          <w:sz w:val="24"/>
          <w:lang w:val="en-US"/>
        </w:rPr>
      </w:pPr>
      <w:r w:rsidRPr="00344F42">
        <w:rPr>
          <w:rFonts w:ascii="Times New Roman" w:hAnsi="Times New Roman"/>
          <w:noProof/>
          <w:sz w:val="24"/>
          <w:lang w:val="en-US"/>
        </w:rPr>
        <w:t>Komisija un pārsūdzības iestāde</w:t>
      </w:r>
    </w:p>
    <w:p w14:paraId="2A9E79FF"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1CBAFDFC" w14:textId="77777777" w:rsidR="00344F42" w:rsidRPr="00344F42" w:rsidRDefault="00344F42" w:rsidP="00344F42">
      <w:pPr>
        <w:pStyle w:val="BodyText"/>
        <w:rPr>
          <w:lang w:val="en-US"/>
        </w:rPr>
      </w:pPr>
      <w:r w:rsidRPr="00344F42">
        <w:rPr>
          <w:lang w:val="en-US"/>
        </w:rPr>
        <w:t>14. Šajā ieteikumā termins “komisija” attiecas vienīgi uz pirmās instances jurisdikciju.</w:t>
      </w:r>
    </w:p>
    <w:p w14:paraId="4CAE77ED" w14:textId="77777777" w:rsidR="00344F42" w:rsidRPr="00344F42" w:rsidRDefault="00344F42" w:rsidP="00344F42">
      <w:pPr>
        <w:jc w:val="both"/>
        <w:rPr>
          <w:rFonts w:ascii="Times New Roman" w:eastAsia="Arial" w:hAnsi="Times New Roman" w:cs="Times New Roman"/>
          <w:noProof/>
          <w:sz w:val="24"/>
          <w:szCs w:val="24"/>
          <w:lang w:val="en-US"/>
        </w:rPr>
      </w:pPr>
    </w:p>
    <w:p w14:paraId="5C3B8E98" w14:textId="77777777" w:rsidR="00344F42" w:rsidRPr="00344F42" w:rsidRDefault="00344F42" w:rsidP="00344F42">
      <w:pPr>
        <w:pStyle w:val="BodyText"/>
        <w:rPr>
          <w:lang w:val="en-US"/>
        </w:rPr>
      </w:pPr>
      <w:r w:rsidRPr="00344F42">
        <w:rPr>
          <w:lang w:val="en-US"/>
        </w:rPr>
        <w:t xml:space="preserve">15. Tādējādi termins “pārsūdzības iestāde” attiecas uz tām jurisdikcijām, kurās tiek izskatītas pārsūdzības par pirmās instances iestādes lēmumiem, kā tas norādīts </w:t>
      </w:r>
      <w:r w:rsidRPr="00344F42">
        <w:rPr>
          <w:i/>
          <w:lang w:val="en-US"/>
        </w:rPr>
        <w:t>j </w:t>
      </w:r>
      <w:r w:rsidRPr="00344F42">
        <w:rPr>
          <w:lang w:val="en-US"/>
        </w:rPr>
        <w:t>principā. Lai palielinātu lietas izskatīšanas uzticamību un taisnīgumu, attiecīgos gadījumos tiek ieteikts pārsūdzības iestādes sastāvā iekļaut apelācijas tiesas tiesnesi, kuram palīdz divi vai vairāki locekļi, kuri ir pieredzējuši juristi vai eksperti jautājumos, kas saistīti ar antidopingu. Tā varētu būt arī specializēta pārsūdzības iestāde esošajā pārsūdzības struktūrā.</w:t>
      </w:r>
    </w:p>
    <w:p w14:paraId="73DA52B4" w14:textId="77777777" w:rsidR="00344F42" w:rsidRPr="00344F42" w:rsidRDefault="00344F42" w:rsidP="00344F42">
      <w:pPr>
        <w:jc w:val="both"/>
        <w:rPr>
          <w:lang w:val="en-US"/>
        </w:rPr>
      </w:pPr>
    </w:p>
    <w:p w14:paraId="19A3BC67" w14:textId="77777777" w:rsidR="00344F42" w:rsidRPr="00344F42" w:rsidRDefault="00344F42" w:rsidP="00344F42">
      <w:pPr>
        <w:pStyle w:val="BodyText"/>
        <w:rPr>
          <w:lang w:val="en-US"/>
        </w:rPr>
      </w:pPr>
      <w:r w:rsidRPr="00344F42">
        <w:rPr>
          <w:lang w:val="en-US"/>
        </w:rPr>
        <w:t>16. Jēdziens “izveidots ar likumu” atspoguļo tiesiskuma principu. Tā mērķis ir nodrošināt, ka tiesu sistēmas organizācija nav atkarīga no izpildvaras. Antidopinga lietas izskatīšanas sakarā šis princips nosaka to, ka saskaņā ar tiesību aktiem vai normatīvo regulējumu tiek izveidota šī komisija un pārsūdzības iestāde, tiek organizēta to darbība un aprakstīta to locekļu iecelšanas un atkārtotas iecelšanas kārtība. Komisiju un pārsūdzības iestādi var arī integrēt esošajā tiesu sistēmā, nodrošinot iespēju apstrīdēt galīgo lēmumu nespecializētā jurisdikcijā, piemēram, Augstākajā tiesā vai kasācijas instances tiesā. Jāatzīmē, ka Eiropas Cilvēktiesību tiesa uzskata Sporta šķīrējtiesu par tādu tiesu, kas izveidota ar likumu.</w:t>
      </w:r>
    </w:p>
    <w:p w14:paraId="397F7C62" w14:textId="77777777" w:rsidR="00344F42" w:rsidRPr="00344F42" w:rsidRDefault="00344F42" w:rsidP="00344F42">
      <w:pPr>
        <w:jc w:val="both"/>
        <w:rPr>
          <w:rFonts w:ascii="Times New Roman" w:eastAsia="Arial" w:hAnsi="Times New Roman" w:cs="Times New Roman"/>
          <w:noProof/>
          <w:sz w:val="24"/>
          <w:szCs w:val="24"/>
          <w:lang w:val="en-US"/>
        </w:rPr>
      </w:pPr>
    </w:p>
    <w:p w14:paraId="6AD38195" w14:textId="77777777" w:rsidR="00344F42" w:rsidRPr="00344F42" w:rsidRDefault="00344F42" w:rsidP="00344F42">
      <w:pPr>
        <w:pStyle w:val="BodyText"/>
        <w:rPr>
          <w:lang w:val="en-US"/>
        </w:rPr>
      </w:pPr>
      <w:r w:rsidRPr="00344F42">
        <w:rPr>
          <w:lang w:val="en-US"/>
        </w:rPr>
        <w:t>17. Antidopinga lietas izskatīšanas procesus regulāri izskata šķīrējtiesu jurisdikcijās, tostarp starptautiskajā līmenī Sporta šķīrējtiesā. Šķīrējtiesu jurisdikcijām ir jābūt organizētām tā, lai tās būtu neatkarīgas no institūcijas, kas izvirza apsūdzību, parasti antidopinga organizācijām vai starptautiskajām federācijām, no kurām tās ir strukturāli un operacionāli nodalītas. Jābūt ieviestām arī tiesiskajām garantijām, lai pasargātu to locekļus no jebkāda iekšējā vai ārējā spiediena un nodrošinātu to, ka attiecībā uz iecelšanas kārtību lietas izskatīšanā tiek ievērots pušu paritātes princips.</w:t>
      </w:r>
    </w:p>
    <w:p w14:paraId="4F1F23FE" w14:textId="77777777" w:rsidR="00344F42" w:rsidRPr="00344F42" w:rsidRDefault="00344F42" w:rsidP="00344F42">
      <w:pPr>
        <w:jc w:val="both"/>
        <w:rPr>
          <w:rFonts w:ascii="Times New Roman" w:eastAsia="Arial" w:hAnsi="Times New Roman" w:cs="Times New Roman"/>
          <w:noProof/>
          <w:sz w:val="24"/>
          <w:szCs w:val="24"/>
          <w:lang w:val="en-US"/>
        </w:rPr>
      </w:pPr>
    </w:p>
    <w:p w14:paraId="78B4B2A4" w14:textId="77777777" w:rsidR="00344F42" w:rsidRPr="00344F42" w:rsidRDefault="00344F42" w:rsidP="00344F42">
      <w:pPr>
        <w:pStyle w:val="BodyText"/>
        <w:rPr>
          <w:lang w:val="en-US"/>
        </w:rPr>
      </w:pPr>
      <w:r w:rsidRPr="00344F42">
        <w:rPr>
          <w:lang w:val="en-US"/>
        </w:rPr>
        <w:t>18. Ja nepieciešams, komisijas priekšsēdētājam un pārsūdzības iestādes priekšsēdētājam jāpiedāvā mācības antidopinga jomā.</w:t>
      </w:r>
    </w:p>
    <w:p w14:paraId="473648F2" w14:textId="77777777" w:rsidR="00344F42" w:rsidRPr="00344F42" w:rsidRDefault="00344F42" w:rsidP="00344F42">
      <w:pPr>
        <w:jc w:val="both"/>
        <w:rPr>
          <w:rFonts w:ascii="Times New Roman" w:eastAsia="Arial" w:hAnsi="Times New Roman" w:cs="Times New Roman"/>
          <w:noProof/>
          <w:sz w:val="24"/>
          <w:szCs w:val="24"/>
          <w:lang w:val="en-US"/>
        </w:rPr>
      </w:pPr>
    </w:p>
    <w:p w14:paraId="08994010" w14:textId="77777777" w:rsidR="00344F42" w:rsidRPr="00344F42" w:rsidRDefault="00344F42" w:rsidP="00344F42">
      <w:pPr>
        <w:pStyle w:val="BodyText"/>
        <w:rPr>
          <w:lang w:val="en-US"/>
        </w:rPr>
      </w:pPr>
      <w:r w:rsidRPr="00344F42">
        <w:rPr>
          <w:lang w:val="en-US"/>
        </w:rPr>
        <w:t>19. Šajā ieteikumā izklāstītajiem principiem ir vienādi jāattiecas uz abām institūcijām, un tiem nav jāliedz papildu garantiju nodrošināšana, it īpaši attiecībā uz to sastāvu.</w:t>
      </w:r>
    </w:p>
    <w:p w14:paraId="7A3B589C" w14:textId="77777777" w:rsidR="00344F42" w:rsidRPr="00344F42" w:rsidRDefault="00344F42" w:rsidP="00344F42">
      <w:pPr>
        <w:jc w:val="both"/>
        <w:rPr>
          <w:rFonts w:ascii="Times New Roman" w:eastAsia="Arial" w:hAnsi="Times New Roman" w:cs="Times New Roman"/>
          <w:noProof/>
          <w:sz w:val="24"/>
          <w:szCs w:val="24"/>
          <w:lang w:val="en-US"/>
        </w:rPr>
      </w:pPr>
    </w:p>
    <w:p w14:paraId="51C35EB8" w14:textId="77777777" w:rsidR="00344F42" w:rsidRPr="00344F42" w:rsidRDefault="00344F42" w:rsidP="00344F42">
      <w:pPr>
        <w:pStyle w:val="Heading3"/>
        <w:ind w:left="0"/>
        <w:jc w:val="both"/>
        <w:rPr>
          <w:rFonts w:ascii="Times New Roman" w:hAnsi="Times New Roman"/>
          <w:noProof/>
          <w:sz w:val="24"/>
          <w:lang w:val="en-US"/>
        </w:rPr>
      </w:pPr>
      <w:r w:rsidRPr="00344F42">
        <w:rPr>
          <w:rFonts w:ascii="Times New Roman" w:hAnsi="Times New Roman"/>
          <w:noProof/>
          <w:sz w:val="24"/>
          <w:lang w:val="en-US"/>
        </w:rPr>
        <w:t>Tiesības tikt uzklausītam</w:t>
      </w:r>
    </w:p>
    <w:p w14:paraId="4F159109"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0969D818" w14:textId="77777777" w:rsidR="00344F42" w:rsidRPr="00344F42" w:rsidRDefault="00344F42" w:rsidP="00344F42">
      <w:pPr>
        <w:pStyle w:val="BodyText"/>
        <w:rPr>
          <w:lang w:val="en-US"/>
        </w:rPr>
      </w:pPr>
      <w:r w:rsidRPr="00344F42">
        <w:rPr>
          <w:lang w:val="en-US"/>
        </w:rPr>
        <w:t>20. Tiesības uz lietas izskatīšanu jeb tiesības tikt uzklausītam, ko bieži sauc par tiesībām uz tiesu, ir pamatprasība taisnīgas tiesas nodrošināšanai. Tās ietver vairākus elementus. Sportistiem vai citām personām, kas apsūdzētas antidopinga noteikuma pārkāpšanā, ir jābūt tiesībām aizstāvēt sevi komisijā. Viņiem ir tiesības tikt konsultētiem, aizstāvētiem un pārstāvētiem, ko par viņu līdzekļiem nodrošina pašu izvēlēts juridiskais konsultants.</w:t>
      </w:r>
    </w:p>
    <w:p w14:paraId="3C93D1AF" w14:textId="77777777" w:rsidR="00344F42" w:rsidRPr="00344F42" w:rsidRDefault="00344F42" w:rsidP="00344F42">
      <w:pPr>
        <w:jc w:val="both"/>
        <w:rPr>
          <w:rFonts w:ascii="Times New Roman" w:eastAsia="Arial" w:hAnsi="Times New Roman" w:cs="Times New Roman"/>
          <w:noProof/>
          <w:sz w:val="24"/>
          <w:szCs w:val="24"/>
          <w:lang w:val="en-US"/>
        </w:rPr>
      </w:pPr>
    </w:p>
    <w:p w14:paraId="0DDFEC90" w14:textId="77777777" w:rsidR="00344F42" w:rsidRPr="00344F42" w:rsidRDefault="00344F42" w:rsidP="00344F42">
      <w:pPr>
        <w:pStyle w:val="BodyText"/>
        <w:rPr>
          <w:lang w:val="en-US"/>
        </w:rPr>
      </w:pPr>
      <w:r w:rsidRPr="00344F42">
        <w:rPr>
          <w:lang w:val="en-US"/>
        </w:rPr>
        <w:t>21. Tiesības izsaukt liecinieku ir jānodrošina komisijas kontrolē; piemēram, komisija varētu uzskatīt, ka persona ir izsaukusi pietiekami daudz ekspertu vai ka pierādījumi nav derīgi. Līdzīga pieeja ir jāizmanto attiecībā uz piekļuvi dokumentiem un pierādījumiem, ja tie varētu negatīvi ietekmēt antidopinga procesa integritāti vai apdraudēt jebkuru turpmāko izmeklēšanu saistībā ar antidopingu vai ja tie varētu atklāt izlūkdatu avota vai ziņotāja identitāti.</w:t>
      </w:r>
    </w:p>
    <w:p w14:paraId="6282F673" w14:textId="77777777" w:rsidR="00344F42" w:rsidRPr="00344F42" w:rsidRDefault="00344F42" w:rsidP="00344F42">
      <w:pPr>
        <w:jc w:val="both"/>
        <w:rPr>
          <w:rFonts w:ascii="Times New Roman" w:eastAsia="Arial" w:hAnsi="Times New Roman" w:cs="Times New Roman"/>
          <w:noProof/>
          <w:sz w:val="24"/>
          <w:szCs w:val="24"/>
          <w:lang w:val="en-US"/>
        </w:rPr>
      </w:pPr>
    </w:p>
    <w:p w14:paraId="55358513" w14:textId="77777777" w:rsidR="00344F42" w:rsidRPr="00344F42" w:rsidRDefault="00344F42" w:rsidP="00344F42">
      <w:pPr>
        <w:pStyle w:val="BodyText"/>
        <w:rPr>
          <w:lang w:val="en-US"/>
        </w:rPr>
      </w:pPr>
      <w:r w:rsidRPr="00344F42">
        <w:rPr>
          <w:lang w:val="en-US"/>
        </w:rPr>
        <w:t>22. Nodrošinot tiesības tikt uzklausītam, nav jāizslēdz iespēja, ka puses atrisina lietu nepastarpināti, panākot vienošanos (lietas noregulējuma līgums). Turklāt sportisti vai citas personas var skaidri vai klusējot atteikties no savas brīvas gribas saistībā ar tiesībām uz garantijām attiecībā uz lietas taisnīgu izskatīšanu. Tomēr šāda atteikšanās ir jākonstatē nepārprotami, un tai ir jābūt saistītai ar minimālajām tiesiskajām garantijām, kas atbilst tās nozīmīgumam. Turklāt tā nedrīkst būt pretrunā svarīgām sabiedrības interesēm.</w:t>
      </w:r>
    </w:p>
    <w:p w14:paraId="013F07F1" w14:textId="77777777" w:rsidR="00344F42" w:rsidRPr="00344F42" w:rsidRDefault="00344F42" w:rsidP="00344F42">
      <w:pPr>
        <w:jc w:val="both"/>
        <w:rPr>
          <w:rFonts w:ascii="Times New Roman" w:eastAsia="Arial" w:hAnsi="Times New Roman" w:cs="Times New Roman"/>
          <w:noProof/>
          <w:sz w:val="24"/>
          <w:szCs w:val="24"/>
          <w:lang w:val="en-US"/>
        </w:rPr>
      </w:pPr>
    </w:p>
    <w:p w14:paraId="6A205A73" w14:textId="77777777" w:rsidR="00344F42" w:rsidRPr="00344F42" w:rsidRDefault="00344F42" w:rsidP="00344F42">
      <w:pPr>
        <w:pStyle w:val="Heading3"/>
        <w:ind w:left="0"/>
        <w:jc w:val="both"/>
        <w:rPr>
          <w:rFonts w:ascii="Times New Roman" w:hAnsi="Times New Roman"/>
          <w:noProof/>
          <w:sz w:val="24"/>
          <w:lang w:val="en-US"/>
        </w:rPr>
      </w:pPr>
      <w:r w:rsidRPr="00344F42">
        <w:rPr>
          <w:rFonts w:ascii="Times New Roman" w:hAnsi="Times New Roman"/>
          <w:noProof/>
          <w:sz w:val="24"/>
          <w:lang w:val="en-US"/>
        </w:rPr>
        <w:t>Lietu atklāta izskatīšana</w:t>
      </w:r>
    </w:p>
    <w:p w14:paraId="763AECEE"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4DA05521" w14:textId="77777777" w:rsidR="00344F42" w:rsidRPr="00344F42" w:rsidRDefault="00344F42" w:rsidP="00344F42">
      <w:pPr>
        <w:pStyle w:val="BodyText"/>
        <w:rPr>
          <w:lang w:val="en-US"/>
        </w:rPr>
      </w:pPr>
      <w:r w:rsidRPr="00344F42">
        <w:rPr>
          <w:lang w:val="en-US"/>
        </w:rPr>
        <w:t>23. Veicot lietu atklātu izskatīšanu, lietā iesaistītās puses tiek pasargātas no tā, ka tiesas spriešana varētu notikt slepenībā bez sabiedrības īstenotas uzraudzības, un tādējādi tas ir viens no veidiem, kā var nodrošināt uzticēšanos tiesām. Padarot tiesas spriešanu publisku, tiek sekmēta mērķa attiecībā uz lietas taisnīgu izskatīšanu sasniegšana; tā nodrošināšana ir viens no demokrātiskas sabiedrības pamatprincipiem.</w:t>
      </w:r>
    </w:p>
    <w:p w14:paraId="1AEEB7C5" w14:textId="77777777" w:rsidR="00344F42" w:rsidRPr="00344F42" w:rsidRDefault="00344F42" w:rsidP="00344F42">
      <w:pPr>
        <w:jc w:val="both"/>
        <w:rPr>
          <w:rFonts w:ascii="Times New Roman" w:eastAsia="Arial" w:hAnsi="Times New Roman" w:cs="Times New Roman"/>
          <w:noProof/>
          <w:sz w:val="24"/>
          <w:szCs w:val="24"/>
          <w:lang w:val="en-US"/>
        </w:rPr>
      </w:pPr>
    </w:p>
    <w:p w14:paraId="530CBFCE" w14:textId="77777777" w:rsidR="00344F42" w:rsidRPr="00344F42" w:rsidRDefault="00344F42" w:rsidP="00344F42">
      <w:pPr>
        <w:pStyle w:val="BodyText"/>
        <w:rPr>
          <w:lang w:val="en-US"/>
        </w:rPr>
      </w:pPr>
      <w:r w:rsidRPr="00344F42">
        <w:rPr>
          <w:lang w:val="en-US"/>
        </w:rPr>
        <w:t>24. Tādējādi lietu atklāta izskatīšana kalpo kā svarīga tiesiskā garantija antidopinga lietas izskatīšanā, aizsargājot tās personas, kas apsūdzētas antidopinga pārkāpumu izdarīšanā; bet valstu antidopinga organizācijas, valstu un starptautiskās federācijas, kā arī lietu izskatīšanas komisijas tā tiek pasargātas no neatbilstošas ietekmes. Veicot lietu atklātu izskatīšanu, var tikt vairota arī sabiedrības uzticēšanās procesam.</w:t>
      </w:r>
    </w:p>
    <w:p w14:paraId="2B27275E" w14:textId="77777777" w:rsidR="00344F42" w:rsidRPr="00344F42" w:rsidRDefault="00344F42" w:rsidP="00344F42">
      <w:pPr>
        <w:jc w:val="both"/>
        <w:rPr>
          <w:rFonts w:ascii="Times New Roman" w:eastAsia="Arial" w:hAnsi="Times New Roman" w:cs="Times New Roman"/>
          <w:noProof/>
          <w:sz w:val="24"/>
          <w:szCs w:val="24"/>
          <w:lang w:val="en-US"/>
        </w:rPr>
      </w:pPr>
    </w:p>
    <w:p w14:paraId="181DF959" w14:textId="77777777" w:rsidR="00344F42" w:rsidRPr="00344F42" w:rsidRDefault="00344F42" w:rsidP="00344F42">
      <w:pPr>
        <w:pStyle w:val="BodyText"/>
        <w:rPr>
          <w:lang w:val="en-US"/>
        </w:rPr>
      </w:pPr>
      <w:r w:rsidRPr="00344F42">
        <w:rPr>
          <w:lang w:val="en-US"/>
        </w:rPr>
        <w:t>25. Lietas atklātas izskatīšanas principam pašam par sevi nav jāizslēdz iespēja, ka taisnīguma intereses var ievērot, lietas izskatot aiz slēgtām durvīm. Ņemot vērā to, ka šajā ieteikumā aplūkojamie lietas izskatīšanas procesi ir disciplināri, komisijai ir plašāka rīcības brīvība lemt par to, ka lietas izskatīšana daļēji vai pilnībā ir jāveic aiz slēgtām durvīm. Izskatot šo jautājumu, komisija varētu ņemt vērā sporta lietas izskatīšanas specifiku, riskus reputācijai vai nepieciešamību aizsargāt informāciju, kas saistīta ar veselību. Turklāt komisijai ir jāņem vērā katra gadījuma īpašie apstākļi, tostarp (bet ne tikai) sportista vecums, sensitīva medicīniskā informācija, personiskās attiecības un atkarības, kas var tikt atklātas lietas izskatīšanas laikā. Izskatot lietu, komisijai ir jo īpaši jāņem vērā vēlmes, ko izteicis sportists vai jebkura cita persona, pret kuru ir ierosināta antidopinga lietas izskatīšana.</w:t>
      </w:r>
    </w:p>
    <w:p w14:paraId="50F387A6" w14:textId="77777777" w:rsidR="00344F42" w:rsidRPr="00344F42" w:rsidRDefault="00344F42" w:rsidP="00344F42">
      <w:pPr>
        <w:jc w:val="both"/>
        <w:rPr>
          <w:rFonts w:ascii="Times New Roman" w:eastAsia="Arial" w:hAnsi="Times New Roman" w:cs="Times New Roman"/>
          <w:noProof/>
          <w:sz w:val="24"/>
          <w:szCs w:val="24"/>
          <w:lang w:val="en-US"/>
        </w:rPr>
      </w:pPr>
    </w:p>
    <w:p w14:paraId="29A7CD9D" w14:textId="77777777" w:rsidR="00344F42" w:rsidRPr="00344F42" w:rsidRDefault="00344F42" w:rsidP="00344F42">
      <w:pPr>
        <w:pStyle w:val="BodyText"/>
        <w:rPr>
          <w:lang w:val="en-US"/>
        </w:rPr>
      </w:pPr>
      <w:r w:rsidRPr="00344F42">
        <w:rPr>
          <w:lang w:val="en-US"/>
        </w:rPr>
        <w:t>26. Tai ir jāņem vērā arī sabiedrības vai tādu citu sportistu intereses, kuru vēlmes varētu ietekmēt iespējamais antidopinga notikumu pārkāpums; tas ir arguments, lai izvēlētos lietas atklātu izskatīšanu.</w:t>
      </w:r>
    </w:p>
    <w:p w14:paraId="2587BF80" w14:textId="77777777" w:rsidR="00344F42" w:rsidRPr="00344F42" w:rsidRDefault="00344F42" w:rsidP="00344F42">
      <w:pPr>
        <w:jc w:val="both"/>
        <w:rPr>
          <w:rFonts w:ascii="Times New Roman" w:eastAsia="Arial" w:hAnsi="Times New Roman" w:cs="Times New Roman"/>
          <w:noProof/>
          <w:sz w:val="24"/>
          <w:szCs w:val="24"/>
          <w:lang w:val="en-US"/>
        </w:rPr>
      </w:pPr>
    </w:p>
    <w:p w14:paraId="63CA6591" w14:textId="77777777" w:rsidR="00344F42" w:rsidRPr="00344F42" w:rsidRDefault="00344F42" w:rsidP="00344F42">
      <w:pPr>
        <w:pStyle w:val="BodyText"/>
        <w:rPr>
          <w:lang w:val="en-US"/>
        </w:rPr>
      </w:pPr>
      <w:r w:rsidRPr="00344F42">
        <w:rPr>
          <w:lang w:val="en-US"/>
        </w:rPr>
        <w:t>27. Izskatot lūgumu par atteikšanos no lietas atklātas izskatīšanas vai rakstveida procesa izmantošanu, komisija var uzskatīt, ka sabiedrības īstenota uzraudzība var tikt pietiekami nodrošināta, publicējot tās argumentētu lēmumu.</w:t>
      </w:r>
    </w:p>
    <w:p w14:paraId="66A7643C" w14:textId="77777777" w:rsidR="00344F42" w:rsidRPr="00344F42" w:rsidRDefault="00344F42" w:rsidP="00344F42">
      <w:pPr>
        <w:jc w:val="both"/>
        <w:rPr>
          <w:rFonts w:ascii="Times New Roman" w:eastAsia="Arial" w:hAnsi="Times New Roman" w:cs="Times New Roman"/>
          <w:noProof/>
          <w:sz w:val="24"/>
          <w:szCs w:val="24"/>
          <w:lang w:val="en-US"/>
        </w:rPr>
      </w:pPr>
    </w:p>
    <w:p w14:paraId="3EBD359A" w14:textId="77777777" w:rsidR="00344F42" w:rsidRPr="00344F42" w:rsidRDefault="00344F42" w:rsidP="00344F42">
      <w:pPr>
        <w:pStyle w:val="BodyText"/>
        <w:rPr>
          <w:lang w:val="en-US"/>
        </w:rPr>
      </w:pPr>
      <w:r w:rsidRPr="00344F42">
        <w:rPr>
          <w:lang w:val="en-US"/>
        </w:rPr>
        <w:t>28. Lai nodrošinātu taisnīgu procedūru, puses, tostarp jebkura trešā persona, lietas izskatīšanas laikā ir jānosēdina atsevišķi, lai tās varētu skaidri nošķirt vienu no otras.</w:t>
      </w:r>
    </w:p>
    <w:p w14:paraId="7BBE2CAF" w14:textId="77777777" w:rsidR="00344F42" w:rsidRPr="00344F42" w:rsidRDefault="00344F42" w:rsidP="00344F42">
      <w:pPr>
        <w:jc w:val="both"/>
        <w:rPr>
          <w:rFonts w:ascii="Times New Roman" w:eastAsia="Arial" w:hAnsi="Times New Roman" w:cs="Times New Roman"/>
          <w:noProof/>
          <w:sz w:val="24"/>
          <w:szCs w:val="24"/>
          <w:lang w:val="en-US"/>
        </w:rPr>
      </w:pPr>
    </w:p>
    <w:p w14:paraId="49C52A50" w14:textId="77777777" w:rsidR="00344F42" w:rsidRPr="00344F42" w:rsidRDefault="00344F42" w:rsidP="00344F42">
      <w:pPr>
        <w:pStyle w:val="BodyText"/>
        <w:rPr>
          <w:lang w:val="en-US"/>
        </w:rPr>
      </w:pPr>
      <w:r w:rsidRPr="00344F42">
        <w:rPr>
          <w:lang w:val="en-US"/>
        </w:rPr>
        <w:t>29. Turklāt daļa no lietas izskatīšanas vai visa lietas izskatīšana varētu notikt rakstveida procesā bez atklātas izskatīšanas. Apsvērumi, piemēram, tie, kas ir saistīti ar tiesībām uz lietas izskatīšanu saprātīgā termiņā vai procesu, kas ir paredzēts vienīgi juridiskiem vai ļoti tehniskiem jautājumiem, var atbilst prasībām attiecībā uz taisnīgu procedūru, ja nenotiek lietas izskatīšana. Šajā situācijā komisijai vai pārsūdzības iestādei ir jāsniedz pamatots lēmums, kurā noraidīts lūgums par lietas atklātu izskatīšanu.</w:t>
      </w:r>
    </w:p>
    <w:p w14:paraId="2BF518E7" w14:textId="77777777" w:rsidR="00344F42" w:rsidRPr="00344F42" w:rsidRDefault="00344F42" w:rsidP="00344F42">
      <w:pPr>
        <w:jc w:val="both"/>
        <w:rPr>
          <w:rFonts w:ascii="Times New Roman" w:eastAsia="Arial" w:hAnsi="Times New Roman" w:cs="Times New Roman"/>
          <w:noProof/>
          <w:sz w:val="24"/>
          <w:szCs w:val="24"/>
          <w:lang w:val="en-US"/>
        </w:rPr>
      </w:pPr>
    </w:p>
    <w:p w14:paraId="74C92796" w14:textId="77777777" w:rsidR="00344F42" w:rsidRPr="00344F42" w:rsidRDefault="00344F42" w:rsidP="00344F42">
      <w:pPr>
        <w:pStyle w:val="Heading3"/>
        <w:ind w:left="0"/>
        <w:jc w:val="both"/>
        <w:rPr>
          <w:rFonts w:ascii="Times New Roman" w:hAnsi="Times New Roman"/>
          <w:noProof/>
          <w:sz w:val="24"/>
          <w:lang w:val="en-US"/>
        </w:rPr>
      </w:pPr>
      <w:r w:rsidRPr="00344F42">
        <w:rPr>
          <w:rFonts w:ascii="Times New Roman" w:hAnsi="Times New Roman"/>
          <w:noProof/>
          <w:sz w:val="24"/>
          <w:lang w:val="en-US"/>
        </w:rPr>
        <w:t>Lēmumu paziņošana un publicēšana</w:t>
      </w:r>
    </w:p>
    <w:p w14:paraId="6400A53E" w14:textId="77777777" w:rsidR="00344F42" w:rsidRPr="00344F42" w:rsidRDefault="00344F42" w:rsidP="00344F42">
      <w:pPr>
        <w:jc w:val="both"/>
        <w:rPr>
          <w:rFonts w:ascii="Times New Roman" w:eastAsia="Arial" w:hAnsi="Times New Roman" w:cs="Times New Roman"/>
          <w:b/>
          <w:bCs/>
          <w:i/>
          <w:noProof/>
          <w:sz w:val="24"/>
          <w:szCs w:val="24"/>
          <w:lang w:val="en-US"/>
        </w:rPr>
      </w:pPr>
    </w:p>
    <w:p w14:paraId="07D03031" w14:textId="77777777" w:rsidR="00344F42" w:rsidRPr="00344F42" w:rsidRDefault="00344F42" w:rsidP="00344F42">
      <w:pPr>
        <w:pStyle w:val="BodyText"/>
        <w:rPr>
          <w:lang w:val="en-US"/>
        </w:rPr>
      </w:pPr>
      <w:r w:rsidRPr="00344F42">
        <w:rPr>
          <w:lang w:val="en-US"/>
        </w:rPr>
        <w:t>30. Lai nodrošinātu taisnīgu lietas izskatīšanu, komisijas un pārsūdzības iestādes lēmumiem ir jābūt pienācīgi argumentētiem, un tie ir nekavējoties jāpaziņo pusēm, it īpaši ņemot vērā to iespējamo ietekmi uz sportistu karjeru.</w:t>
      </w:r>
    </w:p>
    <w:p w14:paraId="58D57428" w14:textId="77777777" w:rsidR="00344F42" w:rsidRPr="00344F42" w:rsidRDefault="00344F42" w:rsidP="00344F42">
      <w:pPr>
        <w:jc w:val="both"/>
        <w:rPr>
          <w:rFonts w:ascii="Times New Roman" w:eastAsia="Arial" w:hAnsi="Times New Roman" w:cs="Times New Roman"/>
          <w:noProof/>
          <w:sz w:val="24"/>
          <w:szCs w:val="24"/>
          <w:lang w:val="en-US"/>
        </w:rPr>
      </w:pPr>
    </w:p>
    <w:p w14:paraId="0FD610C1" w14:textId="77777777" w:rsidR="00344F42" w:rsidRPr="00344F42" w:rsidRDefault="00344F42" w:rsidP="00344F42">
      <w:pPr>
        <w:pStyle w:val="BodyText"/>
        <w:rPr>
          <w:lang w:val="en-US"/>
        </w:rPr>
      </w:pPr>
      <w:r w:rsidRPr="00344F42">
        <w:rPr>
          <w:lang w:val="en-US"/>
        </w:rPr>
        <w:t>31. Lēmumi ir jāpublicē un jādara pieejami sabiedrībai, attiecīgos gadījumos norādot atbilstošās tiesiskās garantijas, lai nodrošinātu pieejamību un tiesu prakses konsekvenci.</w:t>
      </w:r>
    </w:p>
    <w:sectPr w:rsidR="00344F42" w:rsidRPr="00344F42" w:rsidSect="00890BBC">
      <w:headerReference w:type="even" r:id="rId12"/>
      <w:headerReference w:type="default" r:id="rId13"/>
      <w:footerReference w:type="even" r:id="rId14"/>
      <w:footerReference w:type="default" r:id="rId15"/>
      <w:headerReference w:type="first" r:id="rId16"/>
      <w:footerReference w:type="first" r:id="rId17"/>
      <w:pgSz w:w="11907" w:h="16840" w:code="9"/>
      <w:pgMar w:top="1134" w:right="1134" w:bottom="1134" w:left="1701"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B79801" w14:textId="77777777" w:rsidR="007B1DF9" w:rsidRPr="00344F42" w:rsidRDefault="007B1DF9">
      <w:pPr>
        <w:rPr>
          <w:noProof/>
          <w:lang w:val="en-US"/>
        </w:rPr>
      </w:pPr>
      <w:r w:rsidRPr="00344F42">
        <w:rPr>
          <w:noProof/>
          <w:lang w:val="en-US"/>
        </w:rPr>
        <w:separator/>
      </w:r>
    </w:p>
  </w:endnote>
  <w:endnote w:type="continuationSeparator" w:id="0">
    <w:p w14:paraId="45EF4042" w14:textId="77777777" w:rsidR="007B1DF9" w:rsidRPr="00344F42" w:rsidRDefault="007B1DF9">
      <w:pPr>
        <w:rPr>
          <w:noProof/>
          <w:lang w:val="en-US"/>
        </w:rPr>
      </w:pPr>
      <w:r w:rsidRPr="00344F42">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0B96ED" w14:textId="77777777" w:rsidR="00344F42" w:rsidRDefault="00344F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E4D180" w14:textId="77777777" w:rsidR="004A0D1E" w:rsidRPr="00344F42" w:rsidRDefault="004A0D1E" w:rsidP="004A0D1E">
    <w:pPr>
      <w:pStyle w:val="Header"/>
      <w:tabs>
        <w:tab w:val="left" w:pos="9072"/>
      </w:tabs>
      <w:jc w:val="both"/>
      <w:rPr>
        <w:rStyle w:val="PageNumber"/>
        <w:rFonts w:ascii="Times New Roman" w:hAnsi="Times New Roman" w:cs="Times New Roman"/>
        <w:noProof/>
        <w:sz w:val="20"/>
        <w:szCs w:val="20"/>
        <w:lang w:val="en-US"/>
      </w:rPr>
    </w:pPr>
  </w:p>
  <w:p w14:paraId="7745F111" w14:textId="77777777" w:rsidR="004A0D1E" w:rsidRPr="00344F42" w:rsidRDefault="004A0D1E" w:rsidP="004A0D1E">
    <w:pPr>
      <w:pStyle w:val="Header"/>
      <w:tabs>
        <w:tab w:val="clear" w:pos="4513"/>
        <w:tab w:val="clear" w:pos="9026"/>
        <w:tab w:val="right" w:leader="underscore" w:pos="9072"/>
      </w:tabs>
      <w:jc w:val="both"/>
      <w:rPr>
        <w:rFonts w:ascii="Times New Roman" w:hAnsi="Times New Roman" w:cs="Times New Roman"/>
        <w:noProof/>
        <w:sz w:val="20"/>
        <w:szCs w:val="20"/>
        <w:lang w:val="en-US"/>
      </w:rPr>
    </w:pPr>
    <w:r w:rsidRPr="00344F42">
      <w:rPr>
        <w:rFonts w:ascii="Times New Roman" w:hAnsi="Times New Roman" w:cs="Times New Roman"/>
        <w:noProof/>
        <w:sz w:val="20"/>
        <w:szCs w:val="20"/>
        <w:lang w:val="en-US"/>
      </w:rPr>
      <w:tab/>
    </w:r>
  </w:p>
  <w:p w14:paraId="513E03A6" w14:textId="77777777" w:rsidR="004A0D1E" w:rsidRPr="00344F42" w:rsidRDefault="004A0D1E" w:rsidP="004A0D1E">
    <w:pPr>
      <w:pStyle w:val="Header"/>
      <w:tabs>
        <w:tab w:val="right" w:pos="9072"/>
      </w:tabs>
      <w:jc w:val="both"/>
      <w:rPr>
        <w:rStyle w:val="PageNumber"/>
        <w:rFonts w:ascii="Times New Roman" w:hAnsi="Times New Roman" w:cs="Times New Roman"/>
        <w:noProof/>
        <w:sz w:val="20"/>
        <w:szCs w:val="20"/>
        <w:lang w:val="en-US"/>
      </w:rPr>
    </w:pPr>
  </w:p>
  <w:p w14:paraId="531ED57D" w14:textId="6CEB7AD9" w:rsidR="004A0D1E" w:rsidRPr="00344F42" w:rsidRDefault="004A0D1E" w:rsidP="004A0D1E">
    <w:pPr>
      <w:pStyle w:val="Footer"/>
      <w:tabs>
        <w:tab w:val="clear" w:pos="4513"/>
        <w:tab w:val="clear" w:pos="9026"/>
        <w:tab w:val="center" w:pos="9072"/>
      </w:tabs>
      <w:jc w:val="both"/>
      <w:rPr>
        <w:rFonts w:ascii="Times New Roman" w:hAnsi="Times New Roman" w:cs="Times New Roman"/>
        <w:noProof/>
        <w:sz w:val="20"/>
        <w:szCs w:val="20"/>
        <w:lang w:val="en-US"/>
      </w:rPr>
    </w:pPr>
    <w:r w:rsidRPr="00344F42">
      <w:rPr>
        <w:rFonts w:ascii="Times New Roman" w:hAnsi="Times New Roman" w:cs="Times New Roman"/>
        <w:noProof/>
        <w:sz w:val="20"/>
        <w:szCs w:val="20"/>
        <w:lang w:val="en-US"/>
      </w:rPr>
      <w:t xml:space="preserve">Tulkojums </w:t>
    </w:r>
    <w:r w:rsidRPr="00344F42">
      <w:rPr>
        <w:rFonts w:ascii="Times New Roman" w:hAnsi="Times New Roman" w:cs="Times New Roman"/>
        <w:noProof/>
        <w:sz w:val="20"/>
        <w:szCs w:val="20"/>
        <w:lang w:val="en-US"/>
      </w:rPr>
      <w:fldChar w:fldCharType="begin"/>
    </w:r>
    <w:r w:rsidRPr="00344F42">
      <w:rPr>
        <w:rFonts w:ascii="Times New Roman" w:hAnsi="Times New Roman" w:cs="Times New Roman"/>
        <w:noProof/>
        <w:sz w:val="20"/>
        <w:szCs w:val="20"/>
        <w:lang w:val="en-US"/>
      </w:rPr>
      <w:instrText>symbol 211 \f "Symbol" \s 9</w:instrText>
    </w:r>
    <w:r w:rsidRPr="00344F42">
      <w:rPr>
        <w:rFonts w:ascii="Times New Roman" w:hAnsi="Times New Roman" w:cs="Times New Roman"/>
        <w:noProof/>
        <w:sz w:val="20"/>
        <w:szCs w:val="20"/>
        <w:lang w:val="en-US"/>
      </w:rPr>
      <w:fldChar w:fldCharType="separate"/>
    </w:r>
    <w:r w:rsidRPr="00344F42">
      <w:rPr>
        <w:rFonts w:ascii="Times New Roman" w:hAnsi="Times New Roman" w:cs="Times New Roman"/>
        <w:noProof/>
        <w:sz w:val="20"/>
        <w:szCs w:val="20"/>
        <w:lang w:val="en-US"/>
      </w:rPr>
      <w:t>Ó</w:t>
    </w:r>
    <w:r w:rsidRPr="00344F42">
      <w:rPr>
        <w:rFonts w:ascii="Times New Roman" w:hAnsi="Times New Roman" w:cs="Times New Roman"/>
        <w:noProof/>
        <w:sz w:val="20"/>
        <w:szCs w:val="20"/>
        <w:lang w:val="en-US"/>
      </w:rPr>
      <w:fldChar w:fldCharType="end"/>
    </w:r>
    <w:r w:rsidRPr="00344F42">
      <w:rPr>
        <w:rFonts w:ascii="Times New Roman" w:hAnsi="Times New Roman" w:cs="Times New Roman"/>
        <w:noProof/>
        <w:sz w:val="20"/>
        <w:szCs w:val="20"/>
        <w:lang w:val="en-US"/>
      </w:rPr>
      <w:t xml:space="preserve"> Valsts valodas centrs, 2022</w:t>
    </w:r>
    <w:r w:rsidRPr="00344F42">
      <w:rPr>
        <w:rFonts w:ascii="Times New Roman" w:hAnsi="Times New Roman" w:cs="Times New Roman"/>
        <w:noProof/>
        <w:sz w:val="20"/>
        <w:szCs w:val="20"/>
        <w:lang w:val="en-US"/>
      </w:rPr>
      <w:tab/>
    </w:r>
    <w:r w:rsidRPr="00344F42">
      <w:rPr>
        <w:rFonts w:ascii="Times New Roman" w:hAnsi="Times New Roman" w:cs="Times New Roman"/>
        <w:noProof/>
        <w:sz w:val="20"/>
        <w:szCs w:val="20"/>
        <w:lang w:val="en-US"/>
      </w:rPr>
      <w:fldChar w:fldCharType="begin"/>
    </w:r>
    <w:r w:rsidRPr="00344F42">
      <w:rPr>
        <w:rFonts w:ascii="Times New Roman" w:hAnsi="Times New Roman" w:cs="Times New Roman"/>
        <w:noProof/>
        <w:sz w:val="20"/>
        <w:szCs w:val="20"/>
        <w:lang w:val="en-US"/>
      </w:rPr>
      <w:instrText xml:space="preserve"> PAGE  \* Arabic  \* MERGEFORMAT </w:instrText>
    </w:r>
    <w:r w:rsidRPr="00344F42">
      <w:rPr>
        <w:rFonts w:ascii="Times New Roman" w:hAnsi="Times New Roman" w:cs="Times New Roman"/>
        <w:noProof/>
        <w:sz w:val="20"/>
        <w:szCs w:val="20"/>
        <w:lang w:val="en-US"/>
      </w:rPr>
      <w:fldChar w:fldCharType="separate"/>
    </w:r>
    <w:r w:rsidRPr="00344F42">
      <w:rPr>
        <w:rFonts w:ascii="Times New Roman" w:hAnsi="Times New Roman" w:cs="Times New Roman"/>
        <w:noProof/>
        <w:sz w:val="20"/>
        <w:szCs w:val="20"/>
        <w:lang w:val="en-US"/>
      </w:rPr>
      <w:t>5</w:t>
    </w:r>
    <w:r w:rsidRPr="00344F42">
      <w:rPr>
        <w:rFonts w:ascii="Times New Roman" w:hAnsi="Times New Roman" w:cs="Times New Roman"/>
        <w:noProof/>
        <w:sz w:val="20"/>
        <w:szCs w:val="20"/>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5E5FE6" w14:textId="77777777" w:rsidR="008B3D66" w:rsidRPr="00344F42" w:rsidRDefault="008B3D66" w:rsidP="008B3D66">
    <w:pPr>
      <w:pStyle w:val="Header"/>
      <w:tabs>
        <w:tab w:val="left" w:pos="9072"/>
      </w:tabs>
      <w:jc w:val="both"/>
      <w:rPr>
        <w:rStyle w:val="PageNumber"/>
        <w:rFonts w:ascii="Times New Roman" w:hAnsi="Times New Roman"/>
        <w:noProof/>
        <w:sz w:val="20"/>
        <w:szCs w:val="18"/>
        <w:lang w:val="en-US"/>
      </w:rPr>
    </w:pPr>
    <w:bookmarkStart w:id="14" w:name="_Hlk496261764"/>
    <w:bookmarkStart w:id="15" w:name="_Hlk496261765"/>
    <w:bookmarkStart w:id="16" w:name="_Hlk496261766"/>
    <w:bookmarkStart w:id="17" w:name="_Hlk30491075"/>
    <w:bookmarkStart w:id="18" w:name="_Hlk30491076"/>
  </w:p>
  <w:p w14:paraId="4991ABB5" w14:textId="77777777" w:rsidR="008B3D66" w:rsidRPr="00344F42" w:rsidRDefault="008B3D66" w:rsidP="008B3D66">
    <w:pPr>
      <w:pStyle w:val="Header"/>
      <w:tabs>
        <w:tab w:val="clear" w:pos="4513"/>
        <w:tab w:val="clear" w:pos="9026"/>
        <w:tab w:val="left" w:leader="underscore" w:pos="9072"/>
      </w:tabs>
      <w:jc w:val="both"/>
      <w:rPr>
        <w:rFonts w:ascii="Times New Roman" w:hAnsi="Times New Roman"/>
        <w:noProof/>
        <w:sz w:val="20"/>
        <w:szCs w:val="18"/>
        <w:lang w:val="en-US"/>
      </w:rPr>
    </w:pPr>
    <w:r w:rsidRPr="00344F42">
      <w:rPr>
        <w:rFonts w:ascii="Times New Roman" w:hAnsi="Times New Roman"/>
        <w:noProof/>
        <w:sz w:val="20"/>
        <w:szCs w:val="18"/>
        <w:lang w:val="en-US"/>
      </w:rPr>
      <w:tab/>
    </w:r>
  </w:p>
  <w:p w14:paraId="74751E96" w14:textId="77777777" w:rsidR="008B3D66" w:rsidRPr="00344F42" w:rsidRDefault="008B3D66" w:rsidP="008B3D66">
    <w:pPr>
      <w:pStyle w:val="Header"/>
      <w:tabs>
        <w:tab w:val="left" w:pos="9072"/>
      </w:tabs>
      <w:jc w:val="both"/>
      <w:rPr>
        <w:rStyle w:val="PageNumber"/>
        <w:rFonts w:ascii="Times New Roman" w:hAnsi="Times New Roman"/>
        <w:noProof/>
        <w:sz w:val="20"/>
        <w:szCs w:val="18"/>
        <w:lang w:val="en-US"/>
      </w:rPr>
    </w:pPr>
  </w:p>
  <w:p w14:paraId="4C23468B" w14:textId="77777777" w:rsidR="008B3D66" w:rsidRPr="00344F42" w:rsidRDefault="008B3D66" w:rsidP="008B3D66">
    <w:pPr>
      <w:pStyle w:val="Footer"/>
      <w:jc w:val="both"/>
      <w:rPr>
        <w:rFonts w:ascii="Times New Roman" w:hAnsi="Times New Roman"/>
        <w:noProof/>
        <w:sz w:val="20"/>
        <w:szCs w:val="18"/>
        <w:lang w:val="en-US"/>
      </w:rPr>
    </w:pPr>
    <w:r w:rsidRPr="00344F42">
      <w:rPr>
        <w:rFonts w:ascii="Times New Roman" w:hAnsi="Times New Roman"/>
        <w:noProof/>
        <w:sz w:val="20"/>
        <w:szCs w:val="18"/>
        <w:lang w:val="en-US"/>
      </w:rPr>
      <w:t xml:space="preserve">Tulkojums </w:t>
    </w:r>
    <w:r w:rsidRPr="00344F42">
      <w:rPr>
        <w:rFonts w:ascii="Times New Roman" w:hAnsi="Times New Roman"/>
        <w:noProof/>
        <w:sz w:val="20"/>
        <w:szCs w:val="18"/>
        <w:lang w:val="en-US"/>
      </w:rPr>
      <w:fldChar w:fldCharType="begin"/>
    </w:r>
    <w:r w:rsidRPr="00344F42">
      <w:rPr>
        <w:rFonts w:ascii="Times New Roman" w:hAnsi="Times New Roman"/>
        <w:noProof/>
        <w:sz w:val="20"/>
        <w:szCs w:val="18"/>
        <w:lang w:val="en-US"/>
      </w:rPr>
      <w:instrText>symbol 211 \f "Symbol" \s 9</w:instrText>
    </w:r>
    <w:r w:rsidRPr="00344F42">
      <w:rPr>
        <w:rFonts w:ascii="Times New Roman" w:hAnsi="Times New Roman"/>
        <w:noProof/>
        <w:sz w:val="20"/>
        <w:szCs w:val="18"/>
        <w:lang w:val="en-US"/>
      </w:rPr>
      <w:fldChar w:fldCharType="separate"/>
    </w:r>
    <w:r w:rsidRPr="00344F42">
      <w:rPr>
        <w:rFonts w:ascii="Times New Roman" w:hAnsi="Times New Roman"/>
        <w:noProof/>
        <w:sz w:val="20"/>
        <w:szCs w:val="18"/>
        <w:lang w:val="en-US"/>
      </w:rPr>
      <w:t>Ó</w:t>
    </w:r>
    <w:r w:rsidRPr="00344F42">
      <w:rPr>
        <w:rFonts w:ascii="Times New Roman" w:hAnsi="Times New Roman"/>
        <w:noProof/>
        <w:sz w:val="20"/>
        <w:szCs w:val="18"/>
        <w:lang w:val="en-US"/>
      </w:rPr>
      <w:fldChar w:fldCharType="end"/>
    </w:r>
    <w:r w:rsidRPr="00344F42">
      <w:rPr>
        <w:rFonts w:ascii="Times New Roman" w:hAnsi="Times New Roman"/>
        <w:noProof/>
        <w:sz w:val="20"/>
        <w:szCs w:val="18"/>
        <w:lang w:val="en-US"/>
      </w:rPr>
      <w:t xml:space="preserve"> Valsts valodas centrs, 20</w:t>
    </w:r>
    <w:bookmarkEnd w:id="14"/>
    <w:bookmarkEnd w:id="15"/>
    <w:bookmarkEnd w:id="16"/>
    <w:r w:rsidRPr="00344F42">
      <w:rPr>
        <w:rFonts w:ascii="Times New Roman" w:hAnsi="Times New Roman"/>
        <w:noProof/>
        <w:sz w:val="20"/>
        <w:szCs w:val="18"/>
        <w:lang w:val="en-US"/>
      </w:rPr>
      <w:t>2</w:t>
    </w:r>
    <w:bookmarkEnd w:id="17"/>
    <w:bookmarkEnd w:id="18"/>
    <w:r w:rsidRPr="00344F42">
      <w:rPr>
        <w:rFonts w:ascii="Times New Roman" w:hAnsi="Times New Roman"/>
        <w:noProof/>
        <w:sz w:val="20"/>
        <w:szCs w:val="18"/>
        <w:lang w:val="en-US"/>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C9ED29" w14:textId="77777777" w:rsidR="007B1DF9" w:rsidRPr="00344F42" w:rsidRDefault="007B1DF9">
      <w:pPr>
        <w:rPr>
          <w:noProof/>
          <w:lang w:val="en-US"/>
        </w:rPr>
      </w:pPr>
      <w:r w:rsidRPr="00344F42">
        <w:rPr>
          <w:noProof/>
          <w:lang w:val="en-US"/>
        </w:rPr>
        <w:separator/>
      </w:r>
    </w:p>
  </w:footnote>
  <w:footnote w:type="continuationSeparator" w:id="0">
    <w:p w14:paraId="394116B3" w14:textId="77777777" w:rsidR="007B1DF9" w:rsidRPr="00344F42" w:rsidRDefault="007B1DF9">
      <w:pPr>
        <w:rPr>
          <w:noProof/>
          <w:lang w:val="en-US"/>
        </w:rPr>
      </w:pPr>
      <w:r w:rsidRPr="00344F42">
        <w:rPr>
          <w:noProof/>
          <w:lang w:val="en-US"/>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82670" w14:textId="51D2B3E8" w:rsidR="0034507E" w:rsidRPr="00D002DB" w:rsidRDefault="0034507E">
    <w:pPr>
      <w:spacing w:line="14" w:lineRule="auto"/>
      <w:rPr>
        <w:noProof/>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2A9081" w14:textId="77777777" w:rsidR="00491F05" w:rsidRPr="00344F42" w:rsidRDefault="00491F05" w:rsidP="00491F05">
    <w:pPr>
      <w:pStyle w:val="Header"/>
      <w:rPr>
        <w:rStyle w:val="PageNumber"/>
        <w:rFonts w:ascii="Times New Roman" w:hAnsi="Times New Roman" w:cs="Times New Roman"/>
        <w:noProof/>
        <w:sz w:val="20"/>
        <w:szCs w:val="20"/>
        <w:lang w:val="en-US"/>
      </w:rPr>
    </w:pPr>
    <w:bookmarkStart w:id="0" w:name="_Hlk496261784"/>
    <w:bookmarkStart w:id="1" w:name="_Hlk496261785"/>
    <w:bookmarkStart w:id="2" w:name="_Hlk496261786"/>
    <w:bookmarkStart w:id="3" w:name="_Hlk502757728"/>
    <w:bookmarkStart w:id="4" w:name="_Hlk502757729"/>
    <w:bookmarkStart w:id="5" w:name="_Hlk502757738"/>
    <w:bookmarkStart w:id="6" w:name="_Hlk502757739"/>
    <w:bookmarkStart w:id="7" w:name="_Hlk30491084"/>
    <w:bookmarkStart w:id="8" w:name="_Hlk30491085"/>
  </w:p>
  <w:p w14:paraId="48F66873" w14:textId="77777777" w:rsidR="00491F05" w:rsidRPr="00344F42" w:rsidRDefault="00491F05" w:rsidP="00491F05">
    <w:pPr>
      <w:pStyle w:val="Header"/>
      <w:tabs>
        <w:tab w:val="clear" w:pos="4513"/>
        <w:tab w:val="clear" w:pos="9026"/>
        <w:tab w:val="right" w:leader="underscore" w:pos="9072"/>
      </w:tabs>
      <w:rPr>
        <w:rFonts w:ascii="Times New Roman" w:hAnsi="Times New Roman" w:cs="Times New Roman"/>
        <w:noProof/>
        <w:sz w:val="20"/>
        <w:szCs w:val="20"/>
        <w:lang w:val="en-US"/>
      </w:rPr>
    </w:pPr>
    <w:r w:rsidRPr="00344F42">
      <w:rPr>
        <w:rFonts w:ascii="Times New Roman" w:hAnsi="Times New Roman" w:cs="Times New Roman"/>
        <w:noProof/>
        <w:sz w:val="20"/>
        <w:szCs w:val="20"/>
        <w:lang w:val="en-US"/>
      </w:rPr>
      <w:tab/>
    </w:r>
  </w:p>
  <w:bookmarkEnd w:id="0"/>
  <w:bookmarkEnd w:id="1"/>
  <w:bookmarkEnd w:id="2"/>
  <w:bookmarkEnd w:id="3"/>
  <w:bookmarkEnd w:id="4"/>
  <w:bookmarkEnd w:id="5"/>
  <w:bookmarkEnd w:id="6"/>
  <w:bookmarkEnd w:id="7"/>
  <w:bookmarkEnd w:id="8"/>
  <w:p w14:paraId="3011D779" w14:textId="77777777" w:rsidR="00491F05" w:rsidRPr="00344F42" w:rsidRDefault="00491F05" w:rsidP="00491F05">
    <w:pPr>
      <w:pStyle w:val="Header"/>
      <w:rPr>
        <w:rFonts w:ascii="Times New Roman" w:hAnsi="Times New Roman" w:cs="Times New Roman"/>
        <w:noProof/>
        <w:sz w:val="20"/>
        <w:szCs w:val="20"/>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C5524" w14:textId="77777777" w:rsidR="00BC37EB" w:rsidRPr="00344F42" w:rsidRDefault="00BC37EB" w:rsidP="00BC37EB">
    <w:pPr>
      <w:pBdr>
        <w:bottom w:val="single" w:sz="12" w:space="5" w:color="auto"/>
      </w:pBdr>
      <w:rPr>
        <w:rFonts w:ascii="Times New Roman" w:hAnsi="Times New Roman" w:cs="Times New Roman"/>
        <w:noProof/>
        <w:sz w:val="20"/>
        <w:szCs w:val="20"/>
        <w:lang w:val="en-US"/>
      </w:rPr>
    </w:pPr>
    <w:bookmarkStart w:id="9" w:name="_Hlk496261745"/>
    <w:bookmarkStart w:id="10" w:name="_Hlk496261746"/>
    <w:bookmarkStart w:id="11" w:name="_Hlk496261747"/>
    <w:bookmarkStart w:id="12" w:name="_Hlk30491063"/>
    <w:bookmarkStart w:id="13" w:name="_Hlk30491064"/>
  </w:p>
  <w:bookmarkEnd w:id="9"/>
  <w:bookmarkEnd w:id="10"/>
  <w:bookmarkEnd w:id="11"/>
  <w:bookmarkEnd w:id="12"/>
  <w:bookmarkEnd w:id="13"/>
  <w:p w14:paraId="2E6B4A2E" w14:textId="77777777" w:rsidR="00BC37EB" w:rsidRPr="00344F42" w:rsidRDefault="00BC37EB" w:rsidP="00BC37EB">
    <w:pPr>
      <w:pStyle w:val="Header"/>
      <w:rPr>
        <w:noProof/>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B0324"/>
    <w:multiLevelType w:val="hybridMultilevel"/>
    <w:tmpl w:val="4BD80522"/>
    <w:lvl w:ilvl="0" w:tplc="3E6AF820">
      <w:start w:val="1"/>
      <w:numFmt w:val="bullet"/>
      <w:lvlText w:val=""/>
      <w:lvlJc w:val="left"/>
      <w:pPr>
        <w:ind w:left="838" w:hanging="360"/>
      </w:pPr>
      <w:rPr>
        <w:rFonts w:ascii="Symbol" w:eastAsia="Symbol" w:hAnsi="Symbol" w:hint="default"/>
        <w:w w:val="99"/>
        <w:sz w:val="20"/>
        <w:szCs w:val="20"/>
      </w:rPr>
    </w:lvl>
    <w:lvl w:ilvl="1" w:tplc="6E787B78">
      <w:start w:val="1"/>
      <w:numFmt w:val="bullet"/>
      <w:lvlText w:val="•"/>
      <w:lvlJc w:val="left"/>
      <w:pPr>
        <w:ind w:left="1726" w:hanging="360"/>
      </w:pPr>
      <w:rPr>
        <w:rFonts w:hint="default"/>
      </w:rPr>
    </w:lvl>
    <w:lvl w:ilvl="2" w:tplc="2278C7F2">
      <w:start w:val="1"/>
      <w:numFmt w:val="bullet"/>
      <w:lvlText w:val="•"/>
      <w:lvlJc w:val="left"/>
      <w:pPr>
        <w:ind w:left="2615" w:hanging="360"/>
      </w:pPr>
      <w:rPr>
        <w:rFonts w:hint="default"/>
      </w:rPr>
    </w:lvl>
    <w:lvl w:ilvl="3" w:tplc="2336474E">
      <w:start w:val="1"/>
      <w:numFmt w:val="bullet"/>
      <w:lvlText w:val="•"/>
      <w:lvlJc w:val="left"/>
      <w:pPr>
        <w:ind w:left="3504" w:hanging="360"/>
      </w:pPr>
      <w:rPr>
        <w:rFonts w:hint="default"/>
      </w:rPr>
    </w:lvl>
    <w:lvl w:ilvl="4" w:tplc="E466DDE0">
      <w:start w:val="1"/>
      <w:numFmt w:val="bullet"/>
      <w:lvlText w:val="•"/>
      <w:lvlJc w:val="left"/>
      <w:pPr>
        <w:ind w:left="4393" w:hanging="360"/>
      </w:pPr>
      <w:rPr>
        <w:rFonts w:hint="default"/>
      </w:rPr>
    </w:lvl>
    <w:lvl w:ilvl="5" w:tplc="7FB25942">
      <w:start w:val="1"/>
      <w:numFmt w:val="bullet"/>
      <w:lvlText w:val="•"/>
      <w:lvlJc w:val="left"/>
      <w:pPr>
        <w:ind w:left="5282" w:hanging="360"/>
      </w:pPr>
      <w:rPr>
        <w:rFonts w:hint="default"/>
      </w:rPr>
    </w:lvl>
    <w:lvl w:ilvl="6" w:tplc="A5F8BDD2">
      <w:start w:val="1"/>
      <w:numFmt w:val="bullet"/>
      <w:lvlText w:val="•"/>
      <w:lvlJc w:val="left"/>
      <w:pPr>
        <w:ind w:left="6171" w:hanging="360"/>
      </w:pPr>
      <w:rPr>
        <w:rFonts w:hint="default"/>
      </w:rPr>
    </w:lvl>
    <w:lvl w:ilvl="7" w:tplc="D9E47DE8">
      <w:start w:val="1"/>
      <w:numFmt w:val="bullet"/>
      <w:lvlText w:val="•"/>
      <w:lvlJc w:val="left"/>
      <w:pPr>
        <w:ind w:left="7059" w:hanging="360"/>
      </w:pPr>
      <w:rPr>
        <w:rFonts w:hint="default"/>
      </w:rPr>
    </w:lvl>
    <w:lvl w:ilvl="8" w:tplc="B7387F7C">
      <w:start w:val="1"/>
      <w:numFmt w:val="bullet"/>
      <w:lvlText w:val="•"/>
      <w:lvlJc w:val="left"/>
      <w:pPr>
        <w:ind w:left="7948" w:hanging="360"/>
      </w:pPr>
      <w:rPr>
        <w:rFonts w:hint="default"/>
      </w:rPr>
    </w:lvl>
  </w:abstractNum>
  <w:abstractNum w:abstractNumId="1" w15:restartNumberingAfterBreak="0">
    <w:nsid w:val="451E45B5"/>
    <w:multiLevelType w:val="hybridMultilevel"/>
    <w:tmpl w:val="DF287F64"/>
    <w:lvl w:ilvl="0" w:tplc="9EF49B60">
      <w:start w:val="1"/>
      <w:numFmt w:val="decimal"/>
      <w:lvlText w:val="%1."/>
      <w:lvlJc w:val="left"/>
      <w:pPr>
        <w:ind w:left="110" w:hanging="708"/>
      </w:pPr>
      <w:rPr>
        <w:rFonts w:ascii="Arial" w:eastAsia="Arial" w:hAnsi="Arial" w:hint="default"/>
        <w:spacing w:val="-1"/>
        <w:w w:val="99"/>
        <w:sz w:val="20"/>
        <w:szCs w:val="20"/>
      </w:rPr>
    </w:lvl>
    <w:lvl w:ilvl="1" w:tplc="372873AC">
      <w:start w:val="1"/>
      <w:numFmt w:val="bullet"/>
      <w:lvlText w:val="•"/>
      <w:lvlJc w:val="left"/>
      <w:pPr>
        <w:ind w:left="1078" w:hanging="708"/>
      </w:pPr>
      <w:rPr>
        <w:rFonts w:hint="default"/>
      </w:rPr>
    </w:lvl>
    <w:lvl w:ilvl="2" w:tplc="197C0F1E">
      <w:start w:val="1"/>
      <w:numFmt w:val="bullet"/>
      <w:lvlText w:val="•"/>
      <w:lvlJc w:val="left"/>
      <w:pPr>
        <w:ind w:left="2046" w:hanging="708"/>
      </w:pPr>
      <w:rPr>
        <w:rFonts w:hint="default"/>
      </w:rPr>
    </w:lvl>
    <w:lvl w:ilvl="3" w:tplc="73C6D702">
      <w:start w:val="1"/>
      <w:numFmt w:val="bullet"/>
      <w:lvlText w:val="•"/>
      <w:lvlJc w:val="left"/>
      <w:pPr>
        <w:ind w:left="3013" w:hanging="708"/>
      </w:pPr>
      <w:rPr>
        <w:rFonts w:hint="default"/>
      </w:rPr>
    </w:lvl>
    <w:lvl w:ilvl="4" w:tplc="1C68172E">
      <w:start w:val="1"/>
      <w:numFmt w:val="bullet"/>
      <w:lvlText w:val="•"/>
      <w:lvlJc w:val="left"/>
      <w:pPr>
        <w:ind w:left="3981" w:hanging="708"/>
      </w:pPr>
      <w:rPr>
        <w:rFonts w:hint="default"/>
      </w:rPr>
    </w:lvl>
    <w:lvl w:ilvl="5" w:tplc="A288BFB8">
      <w:start w:val="1"/>
      <w:numFmt w:val="bullet"/>
      <w:lvlText w:val="•"/>
      <w:lvlJc w:val="left"/>
      <w:pPr>
        <w:ind w:left="4948" w:hanging="708"/>
      </w:pPr>
      <w:rPr>
        <w:rFonts w:hint="default"/>
      </w:rPr>
    </w:lvl>
    <w:lvl w:ilvl="6" w:tplc="A914029C">
      <w:start w:val="1"/>
      <w:numFmt w:val="bullet"/>
      <w:lvlText w:val="•"/>
      <w:lvlJc w:val="left"/>
      <w:pPr>
        <w:ind w:left="5916" w:hanging="708"/>
      </w:pPr>
      <w:rPr>
        <w:rFonts w:hint="default"/>
      </w:rPr>
    </w:lvl>
    <w:lvl w:ilvl="7" w:tplc="5A6E9900">
      <w:start w:val="1"/>
      <w:numFmt w:val="bullet"/>
      <w:lvlText w:val="•"/>
      <w:lvlJc w:val="left"/>
      <w:pPr>
        <w:ind w:left="6883" w:hanging="708"/>
      </w:pPr>
      <w:rPr>
        <w:rFonts w:hint="default"/>
      </w:rPr>
    </w:lvl>
    <w:lvl w:ilvl="8" w:tplc="1544394C">
      <w:start w:val="1"/>
      <w:numFmt w:val="bullet"/>
      <w:lvlText w:val="•"/>
      <w:lvlJc w:val="left"/>
      <w:pPr>
        <w:ind w:left="7851" w:hanging="708"/>
      </w:pPr>
      <w:rPr>
        <w:rFonts w:hint="default"/>
      </w:rPr>
    </w:lvl>
  </w:abstractNum>
  <w:abstractNum w:abstractNumId="2" w15:restartNumberingAfterBreak="0">
    <w:nsid w:val="4B9A2181"/>
    <w:multiLevelType w:val="hybridMultilevel"/>
    <w:tmpl w:val="28DCEE76"/>
    <w:lvl w:ilvl="0" w:tplc="B51225FA">
      <w:start w:val="9"/>
      <w:numFmt w:val="lowerLetter"/>
      <w:lvlText w:val="%1."/>
      <w:lvlJc w:val="left"/>
      <w:pPr>
        <w:ind w:left="818" w:hanging="708"/>
      </w:pPr>
      <w:rPr>
        <w:rFonts w:ascii="Arial" w:eastAsia="Arial" w:hAnsi="Arial" w:hint="default"/>
        <w:b/>
        <w:bCs/>
        <w:spacing w:val="-1"/>
        <w:w w:val="99"/>
        <w:sz w:val="20"/>
        <w:szCs w:val="20"/>
      </w:rPr>
    </w:lvl>
    <w:lvl w:ilvl="1" w:tplc="50B8FFA8">
      <w:start w:val="1"/>
      <w:numFmt w:val="bullet"/>
      <w:lvlText w:val="•"/>
      <w:lvlJc w:val="left"/>
      <w:pPr>
        <w:ind w:left="1723" w:hanging="708"/>
      </w:pPr>
      <w:rPr>
        <w:rFonts w:hint="default"/>
      </w:rPr>
    </w:lvl>
    <w:lvl w:ilvl="2" w:tplc="61D6E434">
      <w:start w:val="1"/>
      <w:numFmt w:val="bullet"/>
      <w:lvlText w:val="•"/>
      <w:lvlJc w:val="left"/>
      <w:pPr>
        <w:ind w:left="2628" w:hanging="708"/>
      </w:pPr>
      <w:rPr>
        <w:rFonts w:hint="default"/>
      </w:rPr>
    </w:lvl>
    <w:lvl w:ilvl="3" w:tplc="3D58A384">
      <w:start w:val="1"/>
      <w:numFmt w:val="bullet"/>
      <w:lvlText w:val="•"/>
      <w:lvlJc w:val="left"/>
      <w:pPr>
        <w:ind w:left="3533" w:hanging="708"/>
      </w:pPr>
      <w:rPr>
        <w:rFonts w:hint="default"/>
      </w:rPr>
    </w:lvl>
    <w:lvl w:ilvl="4" w:tplc="8DF8CD94">
      <w:start w:val="1"/>
      <w:numFmt w:val="bullet"/>
      <w:lvlText w:val="•"/>
      <w:lvlJc w:val="left"/>
      <w:pPr>
        <w:ind w:left="4437" w:hanging="708"/>
      </w:pPr>
      <w:rPr>
        <w:rFonts w:hint="default"/>
      </w:rPr>
    </w:lvl>
    <w:lvl w:ilvl="5" w:tplc="5074F232">
      <w:start w:val="1"/>
      <w:numFmt w:val="bullet"/>
      <w:lvlText w:val="•"/>
      <w:lvlJc w:val="left"/>
      <w:pPr>
        <w:ind w:left="5342" w:hanging="708"/>
      </w:pPr>
      <w:rPr>
        <w:rFonts w:hint="default"/>
      </w:rPr>
    </w:lvl>
    <w:lvl w:ilvl="6" w:tplc="FC1EC5B4">
      <w:start w:val="1"/>
      <w:numFmt w:val="bullet"/>
      <w:lvlText w:val="•"/>
      <w:lvlJc w:val="left"/>
      <w:pPr>
        <w:ind w:left="6247" w:hanging="708"/>
      </w:pPr>
      <w:rPr>
        <w:rFonts w:hint="default"/>
      </w:rPr>
    </w:lvl>
    <w:lvl w:ilvl="7" w:tplc="29B43A14">
      <w:start w:val="1"/>
      <w:numFmt w:val="bullet"/>
      <w:lvlText w:val="•"/>
      <w:lvlJc w:val="left"/>
      <w:pPr>
        <w:ind w:left="7152" w:hanging="708"/>
      </w:pPr>
      <w:rPr>
        <w:rFonts w:hint="default"/>
      </w:rPr>
    </w:lvl>
    <w:lvl w:ilvl="8" w:tplc="5D7E0572">
      <w:start w:val="1"/>
      <w:numFmt w:val="bullet"/>
      <w:lvlText w:val="•"/>
      <w:lvlJc w:val="left"/>
      <w:pPr>
        <w:ind w:left="8056" w:hanging="708"/>
      </w:pPr>
      <w:rPr>
        <w:rFonts w:hint="default"/>
      </w:rPr>
    </w:lvl>
  </w:abstractNum>
  <w:abstractNum w:abstractNumId="3" w15:restartNumberingAfterBreak="0">
    <w:nsid w:val="4F4B3218"/>
    <w:multiLevelType w:val="hybridMultilevel"/>
    <w:tmpl w:val="0B8C715C"/>
    <w:lvl w:ilvl="0" w:tplc="57363580">
      <w:start w:val="2"/>
      <w:numFmt w:val="lowerLetter"/>
      <w:lvlText w:val="%1."/>
      <w:lvlJc w:val="left"/>
      <w:pPr>
        <w:ind w:left="818" w:hanging="708"/>
      </w:pPr>
      <w:rPr>
        <w:rFonts w:ascii="Arial" w:eastAsia="Arial" w:hAnsi="Arial" w:hint="default"/>
        <w:b/>
        <w:bCs/>
        <w:w w:val="99"/>
        <w:sz w:val="20"/>
        <w:szCs w:val="20"/>
      </w:rPr>
    </w:lvl>
    <w:lvl w:ilvl="1" w:tplc="E85EECC4">
      <w:start w:val="1"/>
      <w:numFmt w:val="bullet"/>
      <w:lvlText w:val="•"/>
      <w:lvlJc w:val="left"/>
      <w:pPr>
        <w:ind w:left="1723" w:hanging="708"/>
      </w:pPr>
      <w:rPr>
        <w:rFonts w:hint="default"/>
      </w:rPr>
    </w:lvl>
    <w:lvl w:ilvl="2" w:tplc="C5920F5A">
      <w:start w:val="1"/>
      <w:numFmt w:val="bullet"/>
      <w:lvlText w:val="•"/>
      <w:lvlJc w:val="left"/>
      <w:pPr>
        <w:ind w:left="2628" w:hanging="708"/>
      </w:pPr>
      <w:rPr>
        <w:rFonts w:hint="default"/>
      </w:rPr>
    </w:lvl>
    <w:lvl w:ilvl="3" w:tplc="74BCE372">
      <w:start w:val="1"/>
      <w:numFmt w:val="bullet"/>
      <w:lvlText w:val="•"/>
      <w:lvlJc w:val="left"/>
      <w:pPr>
        <w:ind w:left="3533" w:hanging="708"/>
      </w:pPr>
      <w:rPr>
        <w:rFonts w:hint="default"/>
      </w:rPr>
    </w:lvl>
    <w:lvl w:ilvl="4" w:tplc="1DA8FC1C">
      <w:start w:val="1"/>
      <w:numFmt w:val="bullet"/>
      <w:lvlText w:val="•"/>
      <w:lvlJc w:val="left"/>
      <w:pPr>
        <w:ind w:left="4437" w:hanging="708"/>
      </w:pPr>
      <w:rPr>
        <w:rFonts w:hint="default"/>
      </w:rPr>
    </w:lvl>
    <w:lvl w:ilvl="5" w:tplc="7428AB24">
      <w:start w:val="1"/>
      <w:numFmt w:val="bullet"/>
      <w:lvlText w:val="•"/>
      <w:lvlJc w:val="left"/>
      <w:pPr>
        <w:ind w:left="5342" w:hanging="708"/>
      </w:pPr>
      <w:rPr>
        <w:rFonts w:hint="default"/>
      </w:rPr>
    </w:lvl>
    <w:lvl w:ilvl="6" w:tplc="323CB814">
      <w:start w:val="1"/>
      <w:numFmt w:val="bullet"/>
      <w:lvlText w:val="•"/>
      <w:lvlJc w:val="left"/>
      <w:pPr>
        <w:ind w:left="6247" w:hanging="708"/>
      </w:pPr>
      <w:rPr>
        <w:rFonts w:hint="default"/>
      </w:rPr>
    </w:lvl>
    <w:lvl w:ilvl="7" w:tplc="74185D4C">
      <w:start w:val="1"/>
      <w:numFmt w:val="bullet"/>
      <w:lvlText w:val="•"/>
      <w:lvlJc w:val="left"/>
      <w:pPr>
        <w:ind w:left="7152" w:hanging="708"/>
      </w:pPr>
      <w:rPr>
        <w:rFonts w:hint="default"/>
      </w:rPr>
    </w:lvl>
    <w:lvl w:ilvl="8" w:tplc="ADE6ECC8">
      <w:start w:val="1"/>
      <w:numFmt w:val="bullet"/>
      <w:lvlText w:val="•"/>
      <w:lvlJc w:val="left"/>
      <w:pPr>
        <w:ind w:left="8056" w:hanging="708"/>
      </w:pPr>
      <w:rPr>
        <w:rFonts w:hint="default"/>
      </w:rPr>
    </w:lvl>
  </w:abstractNum>
  <w:abstractNum w:abstractNumId="4" w15:restartNumberingAfterBreak="0">
    <w:nsid w:val="69343B51"/>
    <w:multiLevelType w:val="hybridMultilevel"/>
    <w:tmpl w:val="A81AA23A"/>
    <w:lvl w:ilvl="0" w:tplc="F5AA30D0">
      <w:start w:val="1"/>
      <w:numFmt w:val="bullet"/>
      <w:lvlText w:val=""/>
      <w:lvlJc w:val="left"/>
      <w:pPr>
        <w:ind w:left="838" w:hanging="360"/>
      </w:pPr>
      <w:rPr>
        <w:rFonts w:ascii="Symbol" w:eastAsia="Symbol" w:hAnsi="Symbol" w:hint="default"/>
        <w:w w:val="99"/>
        <w:sz w:val="20"/>
        <w:szCs w:val="20"/>
      </w:rPr>
    </w:lvl>
    <w:lvl w:ilvl="1" w:tplc="034CBBDA">
      <w:start w:val="1"/>
      <w:numFmt w:val="bullet"/>
      <w:lvlText w:val="•"/>
      <w:lvlJc w:val="left"/>
      <w:pPr>
        <w:ind w:left="1730" w:hanging="360"/>
      </w:pPr>
      <w:rPr>
        <w:rFonts w:hint="default"/>
      </w:rPr>
    </w:lvl>
    <w:lvl w:ilvl="2" w:tplc="4C1C38B0">
      <w:start w:val="1"/>
      <w:numFmt w:val="bullet"/>
      <w:lvlText w:val="•"/>
      <w:lvlJc w:val="left"/>
      <w:pPr>
        <w:ind w:left="2623" w:hanging="360"/>
      </w:pPr>
      <w:rPr>
        <w:rFonts w:hint="default"/>
      </w:rPr>
    </w:lvl>
    <w:lvl w:ilvl="3" w:tplc="46A0D16C">
      <w:start w:val="1"/>
      <w:numFmt w:val="bullet"/>
      <w:lvlText w:val="•"/>
      <w:lvlJc w:val="left"/>
      <w:pPr>
        <w:ind w:left="3516" w:hanging="360"/>
      </w:pPr>
      <w:rPr>
        <w:rFonts w:hint="default"/>
      </w:rPr>
    </w:lvl>
    <w:lvl w:ilvl="4" w:tplc="DA84AAF4">
      <w:start w:val="1"/>
      <w:numFmt w:val="bullet"/>
      <w:lvlText w:val="•"/>
      <w:lvlJc w:val="left"/>
      <w:pPr>
        <w:ind w:left="4409" w:hanging="360"/>
      </w:pPr>
      <w:rPr>
        <w:rFonts w:hint="default"/>
      </w:rPr>
    </w:lvl>
    <w:lvl w:ilvl="5" w:tplc="E0DE3A84">
      <w:start w:val="1"/>
      <w:numFmt w:val="bullet"/>
      <w:lvlText w:val="•"/>
      <w:lvlJc w:val="left"/>
      <w:pPr>
        <w:ind w:left="5302" w:hanging="360"/>
      </w:pPr>
      <w:rPr>
        <w:rFonts w:hint="default"/>
      </w:rPr>
    </w:lvl>
    <w:lvl w:ilvl="6" w:tplc="5B56786A">
      <w:start w:val="1"/>
      <w:numFmt w:val="bullet"/>
      <w:lvlText w:val="•"/>
      <w:lvlJc w:val="left"/>
      <w:pPr>
        <w:ind w:left="6195" w:hanging="360"/>
      </w:pPr>
      <w:rPr>
        <w:rFonts w:hint="default"/>
      </w:rPr>
    </w:lvl>
    <w:lvl w:ilvl="7" w:tplc="E03A8F54">
      <w:start w:val="1"/>
      <w:numFmt w:val="bullet"/>
      <w:lvlText w:val="•"/>
      <w:lvlJc w:val="left"/>
      <w:pPr>
        <w:ind w:left="7087" w:hanging="360"/>
      </w:pPr>
      <w:rPr>
        <w:rFonts w:hint="default"/>
      </w:rPr>
    </w:lvl>
    <w:lvl w:ilvl="8" w:tplc="2334013E">
      <w:start w:val="1"/>
      <w:numFmt w:val="bullet"/>
      <w:lvlText w:val="•"/>
      <w:lvlJc w:val="left"/>
      <w:pPr>
        <w:ind w:left="7980" w:hanging="360"/>
      </w:pPr>
      <w:rPr>
        <w:rFonts w:hint="default"/>
      </w:rPr>
    </w:lvl>
  </w:abstractNum>
  <w:abstractNum w:abstractNumId="5" w15:restartNumberingAfterBreak="0">
    <w:nsid w:val="7F0C3A42"/>
    <w:multiLevelType w:val="hybridMultilevel"/>
    <w:tmpl w:val="789ED77E"/>
    <w:lvl w:ilvl="0" w:tplc="93F0F112">
      <w:start w:val="1"/>
      <w:numFmt w:val="decimal"/>
      <w:lvlText w:val="%1."/>
      <w:lvlJc w:val="left"/>
      <w:pPr>
        <w:ind w:left="110" w:hanging="708"/>
      </w:pPr>
      <w:rPr>
        <w:rFonts w:ascii="Arial" w:eastAsia="Arial" w:hAnsi="Arial" w:hint="default"/>
        <w:spacing w:val="-1"/>
        <w:w w:val="99"/>
        <w:sz w:val="20"/>
        <w:szCs w:val="20"/>
      </w:rPr>
    </w:lvl>
    <w:lvl w:ilvl="1" w:tplc="D64E18E2">
      <w:start w:val="1"/>
      <w:numFmt w:val="lowerLetter"/>
      <w:lvlText w:val="%2."/>
      <w:lvlJc w:val="left"/>
      <w:pPr>
        <w:ind w:left="818" w:hanging="708"/>
      </w:pPr>
      <w:rPr>
        <w:rFonts w:ascii="Arial" w:eastAsia="Arial" w:hAnsi="Arial" w:hint="default"/>
        <w:b/>
        <w:bCs/>
        <w:i/>
        <w:spacing w:val="-1"/>
        <w:w w:val="99"/>
        <w:sz w:val="20"/>
        <w:szCs w:val="20"/>
      </w:rPr>
    </w:lvl>
    <w:lvl w:ilvl="2" w:tplc="0FA0D408">
      <w:start w:val="1"/>
      <w:numFmt w:val="bullet"/>
      <w:lvlText w:val="•"/>
      <w:lvlJc w:val="left"/>
      <w:pPr>
        <w:ind w:left="1824" w:hanging="708"/>
      </w:pPr>
      <w:rPr>
        <w:rFonts w:hint="default"/>
      </w:rPr>
    </w:lvl>
    <w:lvl w:ilvl="3" w:tplc="C72C5F6A">
      <w:start w:val="1"/>
      <w:numFmt w:val="bullet"/>
      <w:lvlText w:val="•"/>
      <w:lvlJc w:val="left"/>
      <w:pPr>
        <w:ind w:left="2829" w:hanging="708"/>
      </w:pPr>
      <w:rPr>
        <w:rFonts w:hint="default"/>
      </w:rPr>
    </w:lvl>
    <w:lvl w:ilvl="4" w:tplc="ED989B50">
      <w:start w:val="1"/>
      <w:numFmt w:val="bullet"/>
      <w:lvlText w:val="•"/>
      <w:lvlJc w:val="left"/>
      <w:pPr>
        <w:ind w:left="3834" w:hanging="708"/>
      </w:pPr>
      <w:rPr>
        <w:rFonts w:hint="default"/>
      </w:rPr>
    </w:lvl>
    <w:lvl w:ilvl="5" w:tplc="F73EADA6">
      <w:start w:val="1"/>
      <w:numFmt w:val="bullet"/>
      <w:lvlText w:val="•"/>
      <w:lvlJc w:val="left"/>
      <w:pPr>
        <w:ind w:left="4840" w:hanging="708"/>
      </w:pPr>
      <w:rPr>
        <w:rFonts w:hint="default"/>
      </w:rPr>
    </w:lvl>
    <w:lvl w:ilvl="6" w:tplc="51C0BF1C">
      <w:start w:val="1"/>
      <w:numFmt w:val="bullet"/>
      <w:lvlText w:val="•"/>
      <w:lvlJc w:val="left"/>
      <w:pPr>
        <w:ind w:left="5845" w:hanging="708"/>
      </w:pPr>
      <w:rPr>
        <w:rFonts w:hint="default"/>
      </w:rPr>
    </w:lvl>
    <w:lvl w:ilvl="7" w:tplc="32542CB8">
      <w:start w:val="1"/>
      <w:numFmt w:val="bullet"/>
      <w:lvlText w:val="•"/>
      <w:lvlJc w:val="left"/>
      <w:pPr>
        <w:ind w:left="6850" w:hanging="708"/>
      </w:pPr>
      <w:rPr>
        <w:rFonts w:hint="default"/>
      </w:rPr>
    </w:lvl>
    <w:lvl w:ilvl="8" w:tplc="14DA328C">
      <w:start w:val="1"/>
      <w:numFmt w:val="bullet"/>
      <w:lvlText w:val="•"/>
      <w:lvlJc w:val="left"/>
      <w:pPr>
        <w:ind w:left="7855" w:hanging="708"/>
      </w:pPr>
      <w:rPr>
        <w:rFonts w:hint="default"/>
      </w:rPr>
    </w:lvl>
  </w:abstractNum>
  <w:num w:numId="1" w16cid:durableId="141972940">
    <w:abstractNumId w:val="1"/>
  </w:num>
  <w:num w:numId="2" w16cid:durableId="180320365">
    <w:abstractNumId w:val="2"/>
  </w:num>
  <w:num w:numId="3" w16cid:durableId="390540453">
    <w:abstractNumId w:val="4"/>
  </w:num>
  <w:num w:numId="4" w16cid:durableId="25373354">
    <w:abstractNumId w:val="3"/>
  </w:num>
  <w:num w:numId="5" w16cid:durableId="1621760395">
    <w:abstractNumId w:val="5"/>
  </w:num>
  <w:num w:numId="6" w16cid:durableId="20794710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removePersonalInformation/>
  <w:removeDateAndTime/>
  <w:hideSpellingErrors/>
  <w:hideGrammaticalErrors/>
  <w:defaultTabStop w:val="720"/>
  <w:doNotHyphenateCap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34507E"/>
    <w:rsid w:val="00073BC9"/>
    <w:rsid w:val="00184FFC"/>
    <w:rsid w:val="002A74E0"/>
    <w:rsid w:val="00316665"/>
    <w:rsid w:val="00344F42"/>
    <w:rsid w:val="0034507E"/>
    <w:rsid w:val="00491F05"/>
    <w:rsid w:val="004A0D1E"/>
    <w:rsid w:val="005E1A7C"/>
    <w:rsid w:val="00627185"/>
    <w:rsid w:val="006D1ECE"/>
    <w:rsid w:val="006D7F4D"/>
    <w:rsid w:val="007504C4"/>
    <w:rsid w:val="007B1DF9"/>
    <w:rsid w:val="008330F2"/>
    <w:rsid w:val="00890BBC"/>
    <w:rsid w:val="008B3D66"/>
    <w:rsid w:val="00943EB5"/>
    <w:rsid w:val="00A35F96"/>
    <w:rsid w:val="00AB1286"/>
    <w:rsid w:val="00B60AD1"/>
    <w:rsid w:val="00B801C8"/>
    <w:rsid w:val="00BC37EB"/>
    <w:rsid w:val="00BD0F35"/>
    <w:rsid w:val="00CF469F"/>
    <w:rsid w:val="00D002DB"/>
    <w:rsid w:val="00D346A1"/>
    <w:rsid w:val="00DF7B1F"/>
    <w:rsid w:val="00E424EA"/>
    <w:rsid w:val="00EF454F"/>
    <w:rsid w:val="00FB12B1"/>
    <w:rsid w:val="00FE3D0A"/>
    <w:rsid w:val="00FE79B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82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uiPriority w:val="9"/>
    <w:qFormat/>
    <w:pPr>
      <w:ind w:left="110"/>
      <w:outlineLvl w:val="0"/>
    </w:pPr>
    <w:rPr>
      <w:rFonts w:ascii="Arial Narrow" w:eastAsia="Arial Narrow" w:hAnsi="Arial Narrow"/>
      <w:b/>
      <w:bCs/>
      <w:sz w:val="28"/>
      <w:szCs w:val="28"/>
    </w:rPr>
  </w:style>
  <w:style w:type="paragraph" w:styleId="Heading2">
    <w:name w:val="heading 2"/>
    <w:basedOn w:val="Normal"/>
    <w:uiPriority w:val="9"/>
    <w:unhideWhenUsed/>
    <w:qFormat/>
    <w:pPr>
      <w:ind w:left="110"/>
      <w:outlineLvl w:val="1"/>
    </w:pPr>
    <w:rPr>
      <w:rFonts w:ascii="Arial" w:eastAsia="Arial" w:hAnsi="Arial"/>
      <w:b/>
      <w:bCs/>
      <w:sz w:val="20"/>
      <w:szCs w:val="20"/>
    </w:rPr>
  </w:style>
  <w:style w:type="paragraph" w:styleId="Heading3">
    <w:name w:val="heading 3"/>
    <w:basedOn w:val="Normal"/>
    <w:uiPriority w:val="9"/>
    <w:unhideWhenUsed/>
    <w:qFormat/>
    <w:pPr>
      <w:ind w:left="818"/>
      <w:outlineLvl w:val="2"/>
    </w:pPr>
    <w:rPr>
      <w:rFonts w:ascii="Arial" w:eastAsia="Arial" w:hAnsi="Arial"/>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CF469F"/>
    <w:pPr>
      <w:jc w:val="both"/>
    </w:pPr>
    <w:rPr>
      <w:rFonts w:ascii="Times New Roman" w:eastAsia="Arial" w:hAnsi="Times New Roman" w:cs="Times New Roman"/>
      <w:noProof/>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nhideWhenUsed/>
    <w:rsid w:val="00D002DB"/>
    <w:pPr>
      <w:tabs>
        <w:tab w:val="center" w:pos="4513"/>
        <w:tab w:val="right" w:pos="9026"/>
      </w:tabs>
    </w:pPr>
  </w:style>
  <w:style w:type="character" w:customStyle="1" w:styleId="HeaderChar">
    <w:name w:val="Header Char"/>
    <w:basedOn w:val="DefaultParagraphFont"/>
    <w:link w:val="Header"/>
    <w:rsid w:val="00D002DB"/>
  </w:style>
  <w:style w:type="paragraph" w:styleId="Footer">
    <w:name w:val="footer"/>
    <w:basedOn w:val="Normal"/>
    <w:link w:val="FooterChar"/>
    <w:unhideWhenUsed/>
    <w:rsid w:val="00D002DB"/>
    <w:pPr>
      <w:tabs>
        <w:tab w:val="center" w:pos="4513"/>
        <w:tab w:val="right" w:pos="9026"/>
      </w:tabs>
    </w:pPr>
  </w:style>
  <w:style w:type="character" w:customStyle="1" w:styleId="FooterChar">
    <w:name w:val="Footer Char"/>
    <w:basedOn w:val="DefaultParagraphFont"/>
    <w:link w:val="Footer"/>
    <w:rsid w:val="00D002DB"/>
  </w:style>
  <w:style w:type="table" w:styleId="TableGrid">
    <w:name w:val="Table Grid"/>
    <w:basedOn w:val="TableNormal"/>
    <w:uiPriority w:val="39"/>
    <w:rsid w:val="00E424E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emiHidden/>
    <w:rsid w:val="008B3D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d57a815-79e8-498e-8f04-9c2e9221b678">
      <Terms xmlns="http://schemas.microsoft.com/office/infopath/2007/PartnerControls"/>
    </lcf76f155ced4ddcb4097134ff3c332f>
    <TaxCatchAll xmlns="05fc81c9-325d-42ab-a312-d2989bc4c6c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s" ma:contentTypeID="0x0101006747409639620A48BB08F713A1AC624B" ma:contentTypeVersion="11" ma:contentTypeDescription="Izveidot jaunu dokumentu." ma:contentTypeScope="" ma:versionID="4b15588af3af4cc144dbf2adab711082">
  <xsd:schema xmlns:xsd="http://www.w3.org/2001/XMLSchema" xmlns:xs="http://www.w3.org/2001/XMLSchema" xmlns:p="http://schemas.microsoft.com/office/2006/metadata/properties" xmlns:ns2="1d57a815-79e8-498e-8f04-9c2e9221b678" xmlns:ns3="05fc81c9-325d-42ab-a312-d2989bc4c6c1" targetNamespace="http://schemas.microsoft.com/office/2006/metadata/properties" ma:root="true" ma:fieldsID="d495083fa836ab9ea1a4f0f1daa4a03b" ns2:_="" ns3:_="">
    <xsd:import namespace="1d57a815-79e8-498e-8f04-9c2e9221b678"/>
    <xsd:import namespace="05fc81c9-325d-42ab-a312-d2989bc4c6c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57a815-79e8-498e-8f04-9c2e9221b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Attēlu atzīmes" ma:readOnly="false" ma:fieldId="{5cf76f15-5ced-4ddc-b409-7134ff3c332f}" ma:taxonomyMulti="true" ma:sspId="f2b9b02f-9abf-4f74-b798-1ff310cbf21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5fc81c9-325d-42ab-a312-d2989bc4c6c1"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8d4f8d-5674-4ada-909c-3de2b86c3fae}" ma:internalName="TaxCatchAll" ma:showField="CatchAllData" ma:web="05fc81c9-325d-42ab-a312-d2989bc4c6c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B0D218-25D1-455C-81E8-8FE1AC9D012F}">
  <ds:schemaRefs>
    <ds:schemaRef ds:uri="http://schemas.openxmlformats.org/officeDocument/2006/bibliography"/>
  </ds:schemaRefs>
</ds:datastoreItem>
</file>

<file path=customXml/itemProps2.xml><?xml version="1.0" encoding="utf-8"?>
<ds:datastoreItem xmlns:ds="http://schemas.openxmlformats.org/officeDocument/2006/customXml" ds:itemID="{553A5911-5487-4DAA-B71E-80CEDFD4EAED}">
  <ds:schemaRefs>
    <ds:schemaRef ds:uri="http://schemas.microsoft.com/office/2006/metadata/properties"/>
    <ds:schemaRef ds:uri="http://schemas.microsoft.com/office/infopath/2007/PartnerControls"/>
    <ds:schemaRef ds:uri="1d57a815-79e8-498e-8f04-9c2e9221b678"/>
    <ds:schemaRef ds:uri="05fc81c9-325d-42ab-a312-d2989bc4c6c1"/>
  </ds:schemaRefs>
</ds:datastoreItem>
</file>

<file path=customXml/itemProps3.xml><?xml version="1.0" encoding="utf-8"?>
<ds:datastoreItem xmlns:ds="http://schemas.openxmlformats.org/officeDocument/2006/customXml" ds:itemID="{C684D598-7CEB-45EC-9013-24A276672622}">
  <ds:schemaRefs>
    <ds:schemaRef ds:uri="http://schemas.microsoft.com/sharepoint/v3/contenttype/forms"/>
  </ds:schemaRefs>
</ds:datastoreItem>
</file>

<file path=customXml/itemProps4.xml><?xml version="1.0" encoding="utf-8"?>
<ds:datastoreItem xmlns:ds="http://schemas.openxmlformats.org/officeDocument/2006/customXml" ds:itemID="{892A003B-E68A-4DDA-8FB7-97317EF90F49}"/>
</file>

<file path=docProps/app.xml><?xml version="1.0" encoding="utf-8"?>
<Properties xmlns="http://schemas.openxmlformats.org/officeDocument/2006/extended-properties" xmlns:vt="http://schemas.openxmlformats.org/officeDocument/2006/docPropsVTypes">
  <Template>Normal</Template>
  <TotalTime>0</TotalTime>
  <Pages>10</Pages>
  <Words>15833</Words>
  <Characters>9026</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2022-06-30T10:21:00Z</dcterms:created>
  <dcterms:modified xsi:type="dcterms:W3CDTF">2022-09-07T10:37:00Z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0x0101006747409639620A48BB08F713A1AC624B</vt:lpwstr>
  </property>
  <property fmtid="{D5CDD505-2E9C-101B-9397-08002B2CF9AE}" pid="3" name="MediaServiceImageTags">
    <vt:lpwstr/>
  </property>
</Properties>
</file>