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1C4A" w:rsidRPr="00D77ADC" w:rsidRDefault="00171C4A" w:rsidP="00D77ADC">
      <w:pPr>
        <w:jc w:val="center"/>
        <w:rPr>
          <w:rFonts w:ascii="Times New Roman" w:hAnsi="Times New Roman"/>
          <w:b/>
          <w:noProof/>
          <w:color w:val="0080AC"/>
          <w:sz w:val="36"/>
        </w:rPr>
      </w:pPr>
      <w:r w:rsidRPr="00D77ADC">
        <w:rPr>
          <w:rFonts w:ascii="Times New Roman" w:hAnsi="Times New Roman"/>
          <w:noProof/>
          <w:color w:val="0080AC"/>
          <w:sz w:val="36"/>
        </w:rPr>
        <w:t xml:space="preserve">Ieteikums par </w:t>
      </w:r>
      <w:r w:rsidRPr="00D77ADC">
        <w:rPr>
          <w:rFonts w:ascii="Times New Roman" w:hAnsi="Times New Roman"/>
          <w:b/>
          <w:noProof/>
          <w:color w:val="0080AC"/>
          <w:sz w:val="36"/>
        </w:rPr>
        <w:t>tehnisko un profesionālo izglītību un mācībām</w:t>
      </w:r>
      <w:r w:rsidRPr="00D77ADC">
        <w:rPr>
          <w:rFonts w:ascii="Times New Roman" w:hAnsi="Times New Roman"/>
          <w:noProof/>
          <w:color w:val="0080AC"/>
          <w:sz w:val="36"/>
        </w:rPr>
        <w:t xml:space="preserve"> </w:t>
      </w:r>
      <w:r w:rsidRPr="00D77ADC">
        <w:rPr>
          <w:rFonts w:ascii="Times New Roman" w:hAnsi="Times New Roman"/>
          <w:b/>
          <w:noProof/>
          <w:color w:val="0080AC"/>
          <w:sz w:val="36"/>
        </w:rPr>
        <w:t>(TPIM)</w:t>
      </w:r>
    </w:p>
    <w:p w:rsidR="00171C4A" w:rsidRPr="00C34B42" w:rsidRDefault="00171C4A" w:rsidP="00C34B42">
      <w:pPr>
        <w:jc w:val="both"/>
        <w:rPr>
          <w:rFonts w:ascii="Times New Roman" w:eastAsia="Calibri" w:hAnsi="Times New Roman" w:cs="Calibri"/>
          <w:b/>
          <w:bCs/>
          <w:noProof/>
          <w:sz w:val="24"/>
          <w:szCs w:val="20"/>
        </w:rPr>
      </w:pPr>
    </w:p>
    <w:p w:rsidR="00171C4A" w:rsidRPr="00C34B42" w:rsidRDefault="00C34B42" w:rsidP="00C34B42">
      <w:pPr>
        <w:jc w:val="both"/>
        <w:rPr>
          <w:rFonts w:ascii="Times New Roman" w:eastAsia="Calibri" w:hAnsi="Times New Roman" w:cs="Calibri"/>
          <w:b/>
          <w:bCs/>
          <w:noProof/>
          <w:sz w:val="24"/>
          <w:szCs w:val="20"/>
        </w:rPr>
      </w:pPr>
      <w:r>
        <w:rPr>
          <w:rFonts w:ascii="Times New Roman" w:hAnsi="Times New Roman"/>
          <w:b/>
          <w:noProof/>
          <w:sz w:val="24"/>
        </w:rPr>
        <w:t>2015. gada 13. novembrī</w:t>
      </w:r>
    </w:p>
    <w:p w:rsidR="00171C4A" w:rsidRPr="00C34B42" w:rsidRDefault="00171C4A" w:rsidP="00C34B42">
      <w:pPr>
        <w:jc w:val="both"/>
        <w:rPr>
          <w:rFonts w:ascii="Times New Roman" w:eastAsia="Calibri" w:hAnsi="Times New Roman" w:cs="Calibri"/>
          <w:b/>
          <w:bCs/>
          <w:noProof/>
          <w:sz w:val="24"/>
          <w:szCs w:val="15"/>
        </w:rPr>
      </w:pPr>
    </w:p>
    <w:p w:rsidR="00171C4A" w:rsidRPr="00C34B42" w:rsidRDefault="00171C4A" w:rsidP="00C34B42">
      <w:pPr>
        <w:pStyle w:val="Virsraksts2"/>
        <w:ind w:left="0"/>
        <w:jc w:val="both"/>
        <w:rPr>
          <w:rFonts w:ascii="Times New Roman" w:hAnsi="Times New Roman"/>
          <w:noProof/>
          <w:color w:val="231F20"/>
        </w:rPr>
      </w:pPr>
      <w:r>
        <w:rPr>
          <w:rFonts w:ascii="Times New Roman" w:hAnsi="Times New Roman"/>
          <w:noProof/>
          <w:color w:val="231F20"/>
        </w:rPr>
        <w:t>Preambula</w:t>
      </w:r>
    </w:p>
    <w:p w:rsidR="00171C4A" w:rsidRPr="00C34B42" w:rsidRDefault="00171C4A" w:rsidP="00C34B42">
      <w:pPr>
        <w:pStyle w:val="Pamatteksts"/>
        <w:ind w:left="0" w:firstLine="0"/>
        <w:jc w:val="both"/>
        <w:rPr>
          <w:rFonts w:ascii="Times New Roman" w:hAnsi="Times New Roman"/>
          <w:noProof/>
          <w:color w:val="231F20"/>
          <w:sz w:val="24"/>
        </w:rPr>
      </w:pPr>
      <w:r>
        <w:rPr>
          <w:rFonts w:ascii="Times New Roman" w:hAnsi="Times New Roman"/>
          <w:noProof/>
          <w:color w:val="231F20"/>
          <w:sz w:val="24"/>
        </w:rPr>
        <w:t>Apvienoto Nāciju Organizācijas Izglītības, zinātnes un kultūras organizācijas (</w:t>
      </w:r>
      <w:r>
        <w:rPr>
          <w:rFonts w:ascii="Times New Roman" w:hAnsi="Times New Roman"/>
          <w:i/>
          <w:noProof/>
          <w:color w:val="231F20"/>
          <w:sz w:val="24"/>
        </w:rPr>
        <w:t>UNESCO</w:t>
      </w:r>
      <w:r>
        <w:rPr>
          <w:rFonts w:ascii="Times New Roman" w:hAnsi="Times New Roman"/>
          <w:noProof/>
          <w:color w:val="231F20"/>
          <w:sz w:val="24"/>
        </w:rPr>
        <w:t>) Ģenerālā konference, kuras 38. sesija notika Parīzē 2015. gada 3.–18. novembrī,</w:t>
      </w:r>
    </w:p>
    <w:p w:rsidR="00171C4A" w:rsidRPr="00C34B42" w:rsidRDefault="00171C4A" w:rsidP="00C34B42">
      <w:pPr>
        <w:jc w:val="both"/>
        <w:rPr>
          <w:rFonts w:ascii="Times New Roman" w:eastAsia="Calibri" w:hAnsi="Times New Roman" w:cs="Calibri"/>
          <w:noProof/>
          <w:sz w:val="24"/>
          <w:szCs w:val="13"/>
        </w:rPr>
      </w:pPr>
    </w:p>
    <w:p w:rsidR="00171C4A" w:rsidRPr="00C34B42" w:rsidRDefault="00171C4A" w:rsidP="00C34B42">
      <w:pPr>
        <w:pStyle w:val="Pamatteksts"/>
        <w:ind w:left="0" w:firstLine="0"/>
        <w:jc w:val="both"/>
        <w:rPr>
          <w:rFonts w:ascii="Times New Roman" w:hAnsi="Times New Roman"/>
          <w:noProof/>
          <w:sz w:val="24"/>
        </w:rPr>
      </w:pPr>
      <w:r>
        <w:rPr>
          <w:rFonts w:ascii="Times New Roman" w:hAnsi="Times New Roman"/>
          <w:b/>
          <w:i/>
          <w:noProof/>
          <w:color w:val="231F20"/>
          <w:sz w:val="24"/>
        </w:rPr>
        <w:t xml:space="preserve">atgādinot </w:t>
      </w:r>
      <w:r>
        <w:rPr>
          <w:rFonts w:ascii="Times New Roman" w:hAnsi="Times New Roman"/>
          <w:noProof/>
          <w:color w:val="231F20"/>
          <w:sz w:val="24"/>
        </w:rPr>
        <w:t>principus, kas izklāstīti Vispārējās cilvēktiesību deklarācijas (1948. gads) 23. un 26. pantā un Starptautiskā pakta par ekonomiskajām, sociālajām un kultūras tiesībām (1966. gads) 6. panta 2. punktā un 13. pantā, kas nodrošina katra cilvēka tiesības uz darbu un izglītību, kā arī principus, kas ietverti Konvencijā pret diskrimināciju izglītībā (1960. gads), Konvencijā par jebkuras sieviešu diskriminācijas izskaušanu (1979. gads), Konvencijā par tehnisko un profesionālo izglītību (1989. gads), Bērnu tiesību konvencijā (1989. gads) un Konvencijā par personu ar invaliditāti tiesībām (2006. gads),</w:t>
      </w:r>
    </w:p>
    <w:p w:rsidR="00171C4A" w:rsidRPr="00C34B42" w:rsidRDefault="00171C4A" w:rsidP="00C34B42">
      <w:pPr>
        <w:jc w:val="both"/>
        <w:rPr>
          <w:rFonts w:ascii="Times New Roman" w:eastAsia="Calibri" w:hAnsi="Times New Roman" w:cs="Calibri"/>
          <w:noProof/>
          <w:sz w:val="24"/>
          <w:szCs w:val="13"/>
        </w:rPr>
      </w:pPr>
    </w:p>
    <w:p w:rsidR="00171C4A" w:rsidRPr="00C34B42" w:rsidRDefault="00171C4A" w:rsidP="00C34B42">
      <w:pPr>
        <w:pStyle w:val="Pamatteksts"/>
        <w:ind w:left="0" w:firstLine="0"/>
        <w:jc w:val="both"/>
        <w:rPr>
          <w:rFonts w:ascii="Times New Roman" w:hAnsi="Times New Roman"/>
          <w:noProof/>
          <w:sz w:val="24"/>
        </w:rPr>
      </w:pPr>
      <w:r>
        <w:rPr>
          <w:rFonts w:ascii="Times New Roman" w:hAnsi="Times New Roman"/>
          <w:b/>
          <w:i/>
          <w:noProof/>
          <w:color w:val="231F20"/>
          <w:sz w:val="24"/>
        </w:rPr>
        <w:t>apzinoties</w:t>
      </w:r>
      <w:r>
        <w:rPr>
          <w:rFonts w:ascii="Times New Roman" w:hAnsi="Times New Roman"/>
          <w:noProof/>
          <w:color w:val="231F20"/>
          <w:sz w:val="24"/>
        </w:rPr>
        <w:t>, ka tehniskā un profesionālā izglītība un mācības (TPIM) tiek uzskatītas par daļu no vispārējām tiesībām uz izglītību un tiesībām strādāt,</w:t>
      </w:r>
    </w:p>
    <w:p w:rsidR="00171C4A" w:rsidRPr="00C34B42" w:rsidRDefault="00171C4A" w:rsidP="00C34B42">
      <w:pPr>
        <w:jc w:val="both"/>
        <w:rPr>
          <w:rFonts w:ascii="Times New Roman" w:eastAsia="Calibri" w:hAnsi="Times New Roman" w:cs="Calibri"/>
          <w:noProof/>
          <w:sz w:val="24"/>
          <w:szCs w:val="13"/>
        </w:rPr>
      </w:pPr>
    </w:p>
    <w:p w:rsidR="00171C4A" w:rsidRPr="00C34B42" w:rsidRDefault="00171C4A" w:rsidP="00C34B42">
      <w:pPr>
        <w:pStyle w:val="Pamatteksts"/>
        <w:ind w:left="0" w:firstLine="0"/>
        <w:jc w:val="both"/>
        <w:rPr>
          <w:rFonts w:ascii="Times New Roman" w:hAnsi="Times New Roman"/>
          <w:noProof/>
          <w:sz w:val="24"/>
        </w:rPr>
      </w:pPr>
      <w:r>
        <w:rPr>
          <w:rFonts w:ascii="Times New Roman" w:hAnsi="Times New Roman"/>
          <w:b/>
          <w:i/>
          <w:noProof/>
          <w:color w:val="231F20"/>
          <w:sz w:val="24"/>
        </w:rPr>
        <w:t>atzīstot</w:t>
      </w:r>
      <w:r>
        <w:rPr>
          <w:rFonts w:ascii="Times New Roman" w:hAnsi="Times New Roman"/>
          <w:noProof/>
          <w:color w:val="231F20"/>
          <w:sz w:val="24"/>
        </w:rPr>
        <w:t>, ka TPIM atbilst “mērķim pilnveidot gan atsevišķas personas, gan sabiedrību”, kā norādīts Konvencijā par tehnisko un profesionālo izglītību (1989. gads),</w:t>
      </w:r>
    </w:p>
    <w:p w:rsidR="00171C4A" w:rsidRPr="00C34B42" w:rsidRDefault="00171C4A" w:rsidP="00C34B42">
      <w:pPr>
        <w:jc w:val="both"/>
        <w:rPr>
          <w:rFonts w:ascii="Times New Roman" w:eastAsia="Calibri" w:hAnsi="Times New Roman" w:cs="Calibri"/>
          <w:noProof/>
          <w:sz w:val="24"/>
          <w:szCs w:val="13"/>
        </w:rPr>
      </w:pPr>
    </w:p>
    <w:p w:rsidR="00171C4A" w:rsidRPr="00C34B42" w:rsidRDefault="00171C4A" w:rsidP="00C34B42">
      <w:pPr>
        <w:pStyle w:val="Pamatteksts"/>
        <w:ind w:left="0" w:firstLine="0"/>
        <w:jc w:val="both"/>
        <w:rPr>
          <w:rFonts w:ascii="Times New Roman" w:hAnsi="Times New Roman"/>
          <w:noProof/>
          <w:sz w:val="24"/>
        </w:rPr>
      </w:pPr>
      <w:r>
        <w:rPr>
          <w:rFonts w:ascii="Times New Roman" w:hAnsi="Times New Roman"/>
          <w:b/>
          <w:i/>
          <w:noProof/>
          <w:color w:val="231F20"/>
          <w:sz w:val="24"/>
        </w:rPr>
        <w:t xml:space="preserve">atgādinot </w:t>
      </w:r>
      <w:r>
        <w:rPr>
          <w:rFonts w:ascii="Times New Roman" w:hAnsi="Times New Roman"/>
          <w:noProof/>
          <w:color w:val="231F20"/>
          <w:sz w:val="24"/>
        </w:rPr>
        <w:t xml:space="preserve">noteikumus, kas ietverti </w:t>
      </w:r>
      <w:r>
        <w:rPr>
          <w:rFonts w:ascii="Times New Roman" w:hAnsi="Times New Roman"/>
          <w:i/>
          <w:noProof/>
          <w:color w:val="231F20"/>
          <w:sz w:val="24"/>
        </w:rPr>
        <w:t>UNESCO</w:t>
      </w:r>
      <w:r>
        <w:rPr>
          <w:rFonts w:ascii="Times New Roman" w:hAnsi="Times New Roman"/>
          <w:noProof/>
          <w:color w:val="231F20"/>
          <w:sz w:val="24"/>
        </w:rPr>
        <w:t xml:space="preserve"> pieņemtajos ieteikumos, jo īpaši Ieteikumā pret diskrimināciju izglītībā (1960. gads), Ieteikumā par skolotāju statusu (1966. gads), Ieteikumā par izglītību starptautiskajai sapratnei, sadarbībai un mieram un par cilvēktiesību un pamatbrīvību izglītību (1974. gads), Ieteikumā par augstākās izglītības studiju un kvalifikāciju atzīšanu (1993. gads), Ieteikumā par augstākās izglītības iestāžu mācībspēku statusu (1997. gads) un Ieteikumā par pieaugušo mācīšanos un izglītību (2015. gads),</w:t>
      </w:r>
    </w:p>
    <w:p w:rsidR="00171C4A" w:rsidRPr="00C34B42" w:rsidRDefault="00171C4A" w:rsidP="00C34B42">
      <w:pPr>
        <w:jc w:val="both"/>
        <w:rPr>
          <w:rFonts w:ascii="Times New Roman" w:eastAsia="Calibri" w:hAnsi="Times New Roman" w:cs="Calibri"/>
          <w:noProof/>
          <w:sz w:val="24"/>
          <w:szCs w:val="13"/>
        </w:rPr>
      </w:pPr>
    </w:p>
    <w:p w:rsidR="00171C4A" w:rsidRPr="00C34B42" w:rsidRDefault="00171C4A" w:rsidP="00C34B42">
      <w:pPr>
        <w:pStyle w:val="Pamatteksts"/>
        <w:ind w:left="0" w:firstLine="0"/>
        <w:jc w:val="both"/>
        <w:rPr>
          <w:rFonts w:ascii="Times New Roman" w:hAnsi="Times New Roman"/>
          <w:noProof/>
          <w:color w:val="231F20"/>
          <w:sz w:val="24"/>
        </w:rPr>
      </w:pPr>
      <w:r>
        <w:rPr>
          <w:rFonts w:ascii="Times New Roman" w:hAnsi="Times New Roman"/>
          <w:b/>
          <w:i/>
          <w:noProof/>
          <w:color w:val="231F20"/>
          <w:sz w:val="24"/>
        </w:rPr>
        <w:t xml:space="preserve">atgādinot arī </w:t>
      </w:r>
      <w:r>
        <w:rPr>
          <w:rFonts w:ascii="Times New Roman" w:hAnsi="Times New Roman"/>
          <w:noProof/>
          <w:color w:val="231F20"/>
          <w:sz w:val="24"/>
        </w:rPr>
        <w:t>attiecīgos instrumentus, ko pieņēmusi Starptautiskā Darba organizācija (SDO), tostarp 1975. gada Cilvēkresursu attīstības konvenciju attiecībā uz profesionālo orientāciju un arodmācībām (Nr. 142) un 2004. gada Ieteikumu par cilvēkresursu attīstību: izglītība, mācīšanās un mūžizglītība (Nr. 195),</w:t>
      </w:r>
    </w:p>
    <w:p w:rsidR="00171C4A" w:rsidRPr="00C34B42" w:rsidRDefault="00171C4A" w:rsidP="00C34B42">
      <w:pPr>
        <w:jc w:val="both"/>
        <w:rPr>
          <w:rFonts w:ascii="Times New Roman" w:hAnsi="Times New Roman"/>
          <w:noProof/>
          <w:color w:val="231F20"/>
          <w:sz w:val="24"/>
        </w:rPr>
      </w:pPr>
    </w:p>
    <w:p w:rsidR="00171C4A" w:rsidRPr="00C34B42" w:rsidRDefault="00171C4A" w:rsidP="00C34B42">
      <w:pPr>
        <w:pStyle w:val="Pamatteksts"/>
        <w:ind w:left="0" w:firstLine="0"/>
        <w:jc w:val="both"/>
        <w:rPr>
          <w:rFonts w:ascii="Times New Roman" w:hAnsi="Times New Roman"/>
          <w:noProof/>
          <w:sz w:val="24"/>
        </w:rPr>
      </w:pPr>
      <w:r>
        <w:rPr>
          <w:rFonts w:ascii="Times New Roman" w:hAnsi="Times New Roman"/>
          <w:b/>
          <w:i/>
          <w:noProof/>
          <w:color w:val="231F20"/>
          <w:sz w:val="24"/>
        </w:rPr>
        <w:t>norādot uz</w:t>
      </w:r>
      <w:r>
        <w:rPr>
          <w:rFonts w:ascii="Times New Roman" w:hAnsi="Times New Roman"/>
          <w:noProof/>
          <w:color w:val="231F20"/>
          <w:sz w:val="24"/>
        </w:rPr>
        <w:t xml:space="preserve"> 2011. gada Starptautisko standartizēto izglītības klasifikāciju,</w:t>
      </w:r>
    </w:p>
    <w:p w:rsidR="00171C4A" w:rsidRPr="00C34B42" w:rsidRDefault="00171C4A" w:rsidP="00C34B42">
      <w:pPr>
        <w:jc w:val="both"/>
        <w:rPr>
          <w:rFonts w:ascii="Times New Roman" w:eastAsia="Calibri" w:hAnsi="Times New Roman" w:cs="Calibri"/>
          <w:noProof/>
          <w:sz w:val="24"/>
          <w:szCs w:val="16"/>
        </w:rPr>
      </w:pPr>
    </w:p>
    <w:p w:rsidR="00171C4A" w:rsidRPr="00C34B42" w:rsidRDefault="00171C4A" w:rsidP="00C34B42">
      <w:pPr>
        <w:pStyle w:val="Pamatteksts"/>
        <w:ind w:left="0" w:firstLine="0"/>
        <w:jc w:val="both"/>
        <w:rPr>
          <w:rFonts w:ascii="Times New Roman" w:hAnsi="Times New Roman"/>
          <w:noProof/>
          <w:sz w:val="24"/>
        </w:rPr>
      </w:pPr>
      <w:r>
        <w:rPr>
          <w:rFonts w:ascii="Times New Roman" w:hAnsi="Times New Roman"/>
          <w:b/>
          <w:i/>
          <w:noProof/>
          <w:color w:val="231F20"/>
          <w:sz w:val="24"/>
        </w:rPr>
        <w:t>atzīstot</w:t>
      </w:r>
      <w:r>
        <w:rPr>
          <w:rFonts w:ascii="Times New Roman" w:hAnsi="Times New Roman"/>
          <w:noProof/>
          <w:color w:val="231F20"/>
          <w:sz w:val="24"/>
        </w:rPr>
        <w:t>, ka TPIM atbalsta cilvēktiesību, iekļaušanas un taisnīguma, dzimumu līdztiesības un kultūras daudzveidības izpratnes un ievērošanas veicināšanu, kā arī mūžizglītības vēlmes un iespēju sekmēšanu un mācīšanos dzīvot kopā, un ka tas viss ir ļoti svarīgi, lai nodrošinātu līdzdalību sociālajā un ekonomiskajā dzīvē un īstenotu ilgstošu mieru, atbildīgu pilsonisko nostāju un ilgtspējīgu attīstību,</w:t>
      </w:r>
    </w:p>
    <w:p w:rsidR="00171C4A" w:rsidRPr="00C34B42" w:rsidRDefault="00171C4A" w:rsidP="00C34B42">
      <w:pPr>
        <w:jc w:val="both"/>
        <w:rPr>
          <w:rFonts w:ascii="Times New Roman" w:eastAsia="Calibri" w:hAnsi="Times New Roman" w:cs="Calibri"/>
          <w:noProof/>
          <w:sz w:val="24"/>
          <w:szCs w:val="21"/>
        </w:rPr>
      </w:pPr>
    </w:p>
    <w:p w:rsidR="00171C4A" w:rsidRPr="00C34B42" w:rsidRDefault="00171C4A" w:rsidP="00C34B42">
      <w:pPr>
        <w:pStyle w:val="Pamatteksts"/>
        <w:ind w:left="0" w:firstLine="0"/>
        <w:jc w:val="both"/>
        <w:rPr>
          <w:rFonts w:ascii="Times New Roman" w:hAnsi="Times New Roman"/>
          <w:noProof/>
          <w:sz w:val="24"/>
        </w:rPr>
      </w:pPr>
      <w:r>
        <w:rPr>
          <w:rFonts w:ascii="Times New Roman" w:hAnsi="Times New Roman"/>
          <w:b/>
          <w:i/>
          <w:noProof/>
          <w:color w:val="231F20"/>
          <w:sz w:val="24"/>
        </w:rPr>
        <w:t xml:space="preserve">paturot prātā </w:t>
      </w:r>
      <w:r>
        <w:rPr>
          <w:rFonts w:ascii="Times New Roman" w:hAnsi="Times New Roman"/>
          <w:noProof/>
          <w:color w:val="231F20"/>
          <w:sz w:val="24"/>
        </w:rPr>
        <w:t>TPIM nozīmīgo lomu Ilgtspējīgas attīstības programmā 2030. gadam, kas pieņemta Apvienoto Nāciju Organizācijas Ilgtspējīgas attīstības samitā (Ņujorkā, 2015. gada septembrī), un ņemot vērā starptautiskās sabiedrības pausto apņemšanos veicināt ilgtspējīgu un iekļaujošu ekonomikas izaugsmi, sociālo attīstību, vides aizsardzību visu interesēs, kā arī nabadzības un bada izskaušanu,</w:t>
      </w:r>
    </w:p>
    <w:p w:rsidR="00171C4A" w:rsidRPr="00C34B42" w:rsidRDefault="00171C4A" w:rsidP="00C34B42">
      <w:pPr>
        <w:jc w:val="both"/>
        <w:rPr>
          <w:rFonts w:ascii="Times New Roman" w:eastAsia="Calibri" w:hAnsi="Times New Roman" w:cs="Calibri"/>
          <w:noProof/>
          <w:sz w:val="24"/>
          <w:szCs w:val="13"/>
        </w:rPr>
      </w:pPr>
    </w:p>
    <w:p w:rsidR="00171C4A" w:rsidRPr="00C34B42" w:rsidRDefault="00171C4A" w:rsidP="00C34B42">
      <w:pPr>
        <w:pStyle w:val="Pamatteksts"/>
        <w:ind w:left="0" w:firstLine="0"/>
        <w:jc w:val="both"/>
        <w:rPr>
          <w:rFonts w:ascii="Times New Roman" w:hAnsi="Times New Roman"/>
          <w:noProof/>
          <w:sz w:val="24"/>
        </w:rPr>
      </w:pPr>
      <w:r>
        <w:rPr>
          <w:rFonts w:ascii="Times New Roman" w:hAnsi="Times New Roman"/>
          <w:b/>
          <w:i/>
          <w:noProof/>
          <w:color w:val="231F20"/>
          <w:sz w:val="24"/>
        </w:rPr>
        <w:t xml:space="preserve">ņemot vērā </w:t>
      </w:r>
      <w:r>
        <w:rPr>
          <w:rFonts w:ascii="Times New Roman" w:hAnsi="Times New Roman"/>
          <w:noProof/>
          <w:color w:val="231F20"/>
          <w:sz w:val="24"/>
        </w:rPr>
        <w:t xml:space="preserve">Inčhonas deklarāciju “Izglītība 2030. gadā: ceļā uz iekļaujošu, taisnīgu un </w:t>
      </w:r>
      <w:r>
        <w:rPr>
          <w:rFonts w:ascii="Times New Roman" w:hAnsi="Times New Roman"/>
          <w:noProof/>
          <w:color w:val="231F20"/>
          <w:sz w:val="24"/>
        </w:rPr>
        <w:lastRenderedPageBreak/>
        <w:t>kvalitatīvu izglītību un mūžizglītības iespējām visiem” un rīcības pamatplānu “Izglītība 2030. gadā”,</w:t>
      </w:r>
    </w:p>
    <w:p w:rsidR="00171C4A" w:rsidRPr="00C34B42" w:rsidRDefault="00171C4A" w:rsidP="00C34B42">
      <w:pPr>
        <w:jc w:val="both"/>
        <w:rPr>
          <w:rFonts w:ascii="Times New Roman" w:eastAsia="Calibri" w:hAnsi="Times New Roman" w:cs="Calibri"/>
          <w:noProof/>
          <w:sz w:val="24"/>
          <w:szCs w:val="13"/>
        </w:rPr>
      </w:pPr>
    </w:p>
    <w:p w:rsidR="00171C4A" w:rsidRPr="00C34B42" w:rsidRDefault="00171C4A" w:rsidP="00C34B42">
      <w:pPr>
        <w:pStyle w:val="Pamatteksts"/>
        <w:ind w:left="0" w:firstLine="0"/>
        <w:jc w:val="both"/>
        <w:rPr>
          <w:rFonts w:ascii="Times New Roman" w:hAnsi="Times New Roman"/>
          <w:noProof/>
          <w:sz w:val="24"/>
        </w:rPr>
      </w:pPr>
      <w:r>
        <w:rPr>
          <w:rFonts w:ascii="Times New Roman" w:hAnsi="Times New Roman"/>
          <w:b/>
          <w:i/>
          <w:noProof/>
          <w:color w:val="231F20"/>
          <w:sz w:val="24"/>
        </w:rPr>
        <w:t xml:space="preserve">ņemot vērā </w:t>
      </w:r>
      <w:r>
        <w:rPr>
          <w:rFonts w:ascii="Times New Roman" w:hAnsi="Times New Roman"/>
          <w:noProof/>
          <w:color w:val="231F20"/>
          <w:sz w:val="24"/>
        </w:rPr>
        <w:t>ieteikumus, kas pausti Bonnas deklarācijā par mācīšanos darbam, pilsoniskumam un ilgtspējai (2004. gads), kā arī Trešajā starptautiskajā tehniskās un profesionālās izglītības un mācību kongresā “TPIM pārveide: prasmju veidošana darbam un dzīvei”, kas pazīstami kā Šanhajas konsenss (2012. gads), un Aiči Nagojas Deklarācijā par izglītību ilgtspējīgai attīstībai (2014. gads),</w:t>
      </w:r>
    </w:p>
    <w:p w:rsidR="00171C4A" w:rsidRPr="00C34B42" w:rsidRDefault="00171C4A" w:rsidP="00C34B42">
      <w:pPr>
        <w:jc w:val="both"/>
        <w:rPr>
          <w:rFonts w:ascii="Times New Roman" w:eastAsia="Calibri" w:hAnsi="Times New Roman" w:cs="Calibri"/>
          <w:noProof/>
          <w:sz w:val="24"/>
          <w:szCs w:val="13"/>
        </w:rPr>
      </w:pPr>
    </w:p>
    <w:p w:rsidR="00171C4A" w:rsidRPr="00C34B42" w:rsidRDefault="00171C4A" w:rsidP="00C34B42">
      <w:pPr>
        <w:pStyle w:val="Pamatteksts"/>
        <w:ind w:left="0" w:firstLine="0"/>
        <w:jc w:val="both"/>
        <w:rPr>
          <w:rFonts w:ascii="Times New Roman" w:hAnsi="Times New Roman"/>
          <w:noProof/>
          <w:sz w:val="24"/>
        </w:rPr>
      </w:pPr>
      <w:r>
        <w:rPr>
          <w:rFonts w:ascii="Times New Roman" w:hAnsi="Times New Roman"/>
          <w:b/>
          <w:i/>
          <w:noProof/>
          <w:color w:val="231F20"/>
          <w:sz w:val="24"/>
        </w:rPr>
        <w:t xml:space="preserve">nolemjot </w:t>
      </w:r>
      <w:r>
        <w:rPr>
          <w:rFonts w:ascii="Times New Roman" w:hAnsi="Times New Roman"/>
          <w:noProof/>
          <w:color w:val="231F20"/>
          <w:sz w:val="24"/>
        </w:rPr>
        <w:t>ar Ģenerālās konferences 37. sesijas Rezolūciju Nr. 17, ka 2001. gada pārskatītais Ieteikums par tehnisko un profesionālo izglītību jāpārskata, lai atspoguļotu jaunākās tendences un problēmas tehniskās un profesionālās izglītības un mācību jomā,</w:t>
      </w:r>
    </w:p>
    <w:p w:rsidR="00171C4A" w:rsidRPr="00C34B42" w:rsidRDefault="00171C4A" w:rsidP="00C34B42">
      <w:pPr>
        <w:jc w:val="both"/>
        <w:rPr>
          <w:rFonts w:ascii="Times New Roman" w:eastAsia="Calibri" w:hAnsi="Times New Roman" w:cs="Calibri"/>
          <w:noProof/>
          <w:sz w:val="24"/>
          <w:szCs w:val="13"/>
        </w:rPr>
      </w:pPr>
    </w:p>
    <w:p w:rsidR="00171C4A" w:rsidRPr="00C34B42" w:rsidRDefault="00171C4A" w:rsidP="00C34B42">
      <w:pPr>
        <w:pStyle w:val="Pamatteksts"/>
        <w:ind w:left="0" w:firstLine="0"/>
        <w:jc w:val="both"/>
        <w:rPr>
          <w:rFonts w:ascii="Times New Roman" w:hAnsi="Times New Roman"/>
          <w:noProof/>
          <w:sz w:val="24"/>
        </w:rPr>
      </w:pPr>
      <w:r>
        <w:rPr>
          <w:rFonts w:ascii="Times New Roman" w:hAnsi="Times New Roman"/>
          <w:b/>
          <w:i/>
          <w:noProof/>
          <w:color w:val="231F20"/>
          <w:sz w:val="24"/>
        </w:rPr>
        <w:t>ņemot vērā</w:t>
      </w:r>
      <w:r>
        <w:rPr>
          <w:rFonts w:ascii="Times New Roman" w:hAnsi="Times New Roman"/>
          <w:noProof/>
          <w:color w:val="231F20"/>
          <w:sz w:val="24"/>
        </w:rPr>
        <w:t>, ka šajā ieteikumā noteikti vispārīgi principi, mērķi un pamatnostādnes, kas katrai dalībvalstij jāpiemēro atbilstoši tās sociālekonomiskajam kontekstam, pārvaldības struktūrām un mainīgajā pasaulē pieejamajiem līdzekļiem nolūkā arī pārveidot, paplašināt un uzlabot TPIM valsts, reģionālajā un starptautiskajā līmenī,</w:t>
      </w:r>
    </w:p>
    <w:p w:rsidR="00171C4A" w:rsidRPr="00C34B42" w:rsidRDefault="00171C4A" w:rsidP="00C34B42">
      <w:pPr>
        <w:jc w:val="both"/>
        <w:rPr>
          <w:rFonts w:ascii="Times New Roman" w:eastAsia="Calibri" w:hAnsi="Times New Roman" w:cs="Calibri"/>
          <w:noProof/>
          <w:sz w:val="24"/>
          <w:szCs w:val="13"/>
        </w:rPr>
      </w:pPr>
    </w:p>
    <w:p w:rsidR="00171C4A" w:rsidRPr="00C34B42" w:rsidRDefault="00171C4A" w:rsidP="00C34B42">
      <w:pPr>
        <w:pStyle w:val="Pamatteksts"/>
        <w:ind w:left="0" w:firstLine="0"/>
        <w:jc w:val="both"/>
        <w:rPr>
          <w:rFonts w:ascii="Times New Roman" w:hAnsi="Times New Roman"/>
          <w:noProof/>
          <w:sz w:val="24"/>
        </w:rPr>
      </w:pPr>
      <w:r>
        <w:rPr>
          <w:rFonts w:ascii="Times New Roman" w:hAnsi="Times New Roman"/>
          <w:b/>
          <w:i/>
          <w:noProof/>
          <w:color w:val="231F20"/>
          <w:sz w:val="24"/>
        </w:rPr>
        <w:t>izvērtējot</w:t>
      </w:r>
      <w:r>
        <w:rPr>
          <w:rFonts w:ascii="Times New Roman" w:hAnsi="Times New Roman"/>
          <w:noProof/>
          <w:color w:val="231F20"/>
          <w:sz w:val="24"/>
        </w:rPr>
        <w:t xml:space="preserve"> dokumentu Nr. 38 C/32 un tam pievienoto teksta projektu Ieteikumam par tehnisko un profesionālo izglītību un mācībām,</w:t>
      </w:r>
    </w:p>
    <w:p w:rsidR="00171C4A" w:rsidRPr="00C34B42" w:rsidRDefault="00171C4A" w:rsidP="00C34B42">
      <w:pPr>
        <w:jc w:val="both"/>
        <w:rPr>
          <w:rFonts w:ascii="Times New Roman" w:eastAsia="Calibri" w:hAnsi="Times New Roman" w:cs="Calibri"/>
          <w:noProof/>
          <w:sz w:val="24"/>
          <w:szCs w:val="13"/>
        </w:rPr>
      </w:pPr>
    </w:p>
    <w:p w:rsidR="00171C4A" w:rsidRPr="00C34B42" w:rsidRDefault="00171C4A" w:rsidP="00C34B42">
      <w:pPr>
        <w:pStyle w:val="Pamatteksts"/>
        <w:numPr>
          <w:ilvl w:val="0"/>
          <w:numId w:val="3"/>
        </w:numPr>
        <w:tabs>
          <w:tab w:val="left" w:pos="709"/>
        </w:tabs>
        <w:ind w:left="709" w:hanging="709"/>
        <w:jc w:val="both"/>
        <w:rPr>
          <w:rFonts w:ascii="Times New Roman" w:hAnsi="Times New Roman"/>
          <w:noProof/>
          <w:color w:val="231F20"/>
          <w:sz w:val="24"/>
        </w:rPr>
      </w:pPr>
      <w:r>
        <w:rPr>
          <w:rFonts w:ascii="Times New Roman" w:hAnsi="Times New Roman"/>
          <w:noProof/>
          <w:color w:val="231F20"/>
          <w:sz w:val="24"/>
        </w:rPr>
        <w:t>pieņem 2015. gada 13. novembrī Ieteikumu par tehnisko un profesionālo izglītību un mācībām, kas aizstāj 2001. gada pārskatīto Ieteikumu par tehnisko un profesionālo izglītību;</w:t>
      </w:r>
    </w:p>
    <w:p w:rsidR="00171C4A" w:rsidRPr="00C34B42" w:rsidRDefault="00171C4A" w:rsidP="00C34B42">
      <w:pPr>
        <w:tabs>
          <w:tab w:val="left" w:pos="709"/>
        </w:tabs>
        <w:ind w:left="709" w:hanging="709"/>
        <w:jc w:val="both"/>
        <w:rPr>
          <w:rFonts w:ascii="Times New Roman" w:eastAsia="Calibri" w:hAnsi="Times New Roman" w:cs="Calibri"/>
          <w:noProof/>
          <w:sz w:val="24"/>
          <w:szCs w:val="13"/>
        </w:rPr>
      </w:pPr>
    </w:p>
    <w:p w:rsidR="00171C4A" w:rsidRPr="00C34B42" w:rsidRDefault="00171C4A" w:rsidP="00C34B42">
      <w:pPr>
        <w:pStyle w:val="Pamatteksts"/>
        <w:numPr>
          <w:ilvl w:val="0"/>
          <w:numId w:val="3"/>
        </w:numPr>
        <w:tabs>
          <w:tab w:val="left" w:pos="709"/>
        </w:tabs>
        <w:ind w:left="709" w:hanging="709"/>
        <w:jc w:val="both"/>
        <w:rPr>
          <w:rFonts w:ascii="Times New Roman" w:hAnsi="Times New Roman"/>
          <w:noProof/>
          <w:color w:val="231F20"/>
          <w:sz w:val="24"/>
        </w:rPr>
      </w:pPr>
      <w:r>
        <w:rPr>
          <w:rFonts w:ascii="Times New Roman" w:hAnsi="Times New Roman"/>
          <w:noProof/>
          <w:color w:val="231F20"/>
          <w:sz w:val="24"/>
        </w:rPr>
        <w:t>iesaka dalībvalstīm piemērot turpmāk minētos noteikumus, veicot atbilstošus pasākumus, tostarp pieņemot jebkādus normatīvos aktus vai veicot citus pasākumus, kas var būt nepieciešami, saskaņā ar katras valsts konstitucionālo praksi un pārvaldības struktūrām, lai tās savā teritorijā ieviestu šajā ieteikumā noteiktos principus;</w:t>
      </w:r>
    </w:p>
    <w:p w:rsidR="00171C4A" w:rsidRPr="00C34B42" w:rsidRDefault="00171C4A" w:rsidP="00C34B42">
      <w:pPr>
        <w:tabs>
          <w:tab w:val="left" w:pos="709"/>
        </w:tabs>
        <w:ind w:left="709" w:hanging="709"/>
        <w:jc w:val="both"/>
        <w:rPr>
          <w:rFonts w:ascii="Times New Roman" w:eastAsia="Calibri" w:hAnsi="Times New Roman" w:cs="Calibri"/>
          <w:noProof/>
          <w:sz w:val="24"/>
          <w:szCs w:val="13"/>
        </w:rPr>
      </w:pPr>
    </w:p>
    <w:p w:rsidR="00171C4A" w:rsidRPr="00C34B42" w:rsidRDefault="00171C4A" w:rsidP="00C34B42">
      <w:pPr>
        <w:pStyle w:val="Pamatteksts"/>
        <w:numPr>
          <w:ilvl w:val="0"/>
          <w:numId w:val="3"/>
        </w:numPr>
        <w:tabs>
          <w:tab w:val="left" w:pos="709"/>
        </w:tabs>
        <w:ind w:left="709" w:hanging="709"/>
        <w:jc w:val="both"/>
        <w:rPr>
          <w:rFonts w:ascii="Times New Roman" w:hAnsi="Times New Roman"/>
          <w:noProof/>
          <w:color w:val="231F20"/>
          <w:sz w:val="24"/>
        </w:rPr>
      </w:pPr>
      <w:r>
        <w:rPr>
          <w:rFonts w:ascii="Times New Roman" w:hAnsi="Times New Roman"/>
          <w:noProof/>
          <w:color w:val="231F20"/>
          <w:sz w:val="24"/>
        </w:rPr>
        <w:t>tāpat iesaka dalībvalstīm vērst gan par TPIM atbildīgo iestāžu un struktūru, gan citu TPIM iesaistīto ieinteresēto pušu uzmanību uz šo ieteikumu;</w:t>
      </w:r>
    </w:p>
    <w:p w:rsidR="00171C4A" w:rsidRPr="00C34B42" w:rsidRDefault="00171C4A" w:rsidP="00C34B42">
      <w:pPr>
        <w:tabs>
          <w:tab w:val="left" w:pos="709"/>
        </w:tabs>
        <w:ind w:left="709" w:hanging="709"/>
        <w:jc w:val="both"/>
        <w:rPr>
          <w:rFonts w:ascii="Times New Roman" w:eastAsia="Calibri" w:hAnsi="Times New Roman" w:cs="Calibri"/>
          <w:noProof/>
          <w:sz w:val="24"/>
          <w:szCs w:val="13"/>
        </w:rPr>
      </w:pPr>
    </w:p>
    <w:p w:rsidR="00171C4A" w:rsidRPr="00C34B42" w:rsidRDefault="00171C4A" w:rsidP="00C34B42">
      <w:pPr>
        <w:pStyle w:val="Pamatteksts"/>
        <w:numPr>
          <w:ilvl w:val="0"/>
          <w:numId w:val="3"/>
        </w:numPr>
        <w:tabs>
          <w:tab w:val="left" w:pos="709"/>
        </w:tabs>
        <w:ind w:left="709" w:hanging="709"/>
        <w:jc w:val="both"/>
        <w:rPr>
          <w:rFonts w:ascii="Times New Roman" w:hAnsi="Times New Roman"/>
          <w:noProof/>
          <w:color w:val="231F20"/>
          <w:sz w:val="24"/>
        </w:rPr>
      </w:pPr>
      <w:r>
        <w:rPr>
          <w:rFonts w:ascii="Times New Roman" w:hAnsi="Times New Roman"/>
          <w:noProof/>
          <w:color w:val="231F20"/>
          <w:sz w:val="24"/>
        </w:rPr>
        <w:t>turklāt iesaka dalībvalstīm sevis noteiktā laikā un veidā ziņot par pasākumiem, kurus valstis ir veikušas, lai šo ieteikumu īstenotu.</w:t>
      </w:r>
    </w:p>
    <w:p w:rsidR="00171C4A" w:rsidRPr="00C34B42" w:rsidRDefault="00171C4A" w:rsidP="00C34B42">
      <w:pPr>
        <w:jc w:val="both"/>
        <w:rPr>
          <w:rFonts w:ascii="Times New Roman" w:eastAsia="Calibri" w:hAnsi="Times New Roman" w:cs="Calibri"/>
          <w:noProof/>
          <w:sz w:val="24"/>
          <w:szCs w:val="20"/>
        </w:rPr>
      </w:pPr>
    </w:p>
    <w:p w:rsidR="00171C4A" w:rsidRPr="00C34B42" w:rsidRDefault="00171C4A" w:rsidP="00C34B42">
      <w:pPr>
        <w:jc w:val="both"/>
        <w:rPr>
          <w:rFonts w:ascii="Times New Roman" w:eastAsia="Calibri" w:hAnsi="Times New Roman" w:cs="Calibri"/>
          <w:noProof/>
          <w:sz w:val="24"/>
          <w:szCs w:val="21"/>
        </w:rPr>
      </w:pPr>
    </w:p>
    <w:p w:rsidR="00171C4A" w:rsidRPr="00D77ADC" w:rsidRDefault="00C34B42" w:rsidP="00C34B42">
      <w:pPr>
        <w:pStyle w:val="Virsraksts1"/>
        <w:tabs>
          <w:tab w:val="left" w:pos="318"/>
          <w:tab w:val="left" w:pos="684"/>
          <w:tab w:val="left" w:pos="7487"/>
        </w:tabs>
        <w:ind w:left="0" w:firstLine="0"/>
        <w:jc w:val="both"/>
        <w:rPr>
          <w:rFonts w:ascii="Times New Roman" w:hAnsi="Times New Roman"/>
          <w:noProof/>
          <w:color w:val="0080AC"/>
          <w:sz w:val="28"/>
        </w:rPr>
      </w:pPr>
      <w:r w:rsidRPr="00D77ADC">
        <w:rPr>
          <w:rFonts w:ascii="Times New Roman" w:hAnsi="Times New Roman"/>
          <w:noProof/>
          <w:color w:val="0080AC"/>
          <w:sz w:val="28"/>
        </w:rPr>
        <w:t>I. ŠĀ IETEIKUMA PIEMĒROŠANAS JOMA</w:t>
      </w:r>
    </w:p>
    <w:p w:rsidR="00C34B42" w:rsidRPr="00C34B42" w:rsidRDefault="00C34B42" w:rsidP="00C34B42">
      <w:pPr>
        <w:pStyle w:val="Virsraksts1"/>
        <w:tabs>
          <w:tab w:val="left" w:pos="318"/>
          <w:tab w:val="left" w:pos="684"/>
          <w:tab w:val="left" w:pos="7487"/>
        </w:tabs>
        <w:ind w:left="0" w:firstLine="0"/>
        <w:jc w:val="both"/>
        <w:rPr>
          <w:rFonts w:ascii="Times New Roman" w:hAnsi="Times New Roman"/>
          <w:noProof/>
          <w:color w:val="0080AC"/>
          <w:sz w:val="24"/>
          <w:u w:val="single" w:color="231F20"/>
        </w:rPr>
      </w:pPr>
    </w:p>
    <w:p w:rsidR="00171C4A" w:rsidRPr="00C34B42" w:rsidRDefault="00171C4A" w:rsidP="00C34B42">
      <w:pPr>
        <w:pStyle w:val="Pamatteksts"/>
        <w:numPr>
          <w:ilvl w:val="0"/>
          <w:numId w:val="1"/>
        </w:numPr>
        <w:tabs>
          <w:tab w:val="left" w:pos="709"/>
        </w:tabs>
        <w:ind w:left="709" w:hanging="709"/>
        <w:jc w:val="both"/>
        <w:rPr>
          <w:rFonts w:ascii="Times New Roman" w:hAnsi="Times New Roman"/>
          <w:noProof/>
          <w:color w:val="231F20"/>
          <w:sz w:val="24"/>
        </w:rPr>
      </w:pPr>
      <w:r>
        <w:rPr>
          <w:rFonts w:ascii="Times New Roman" w:hAnsi="Times New Roman"/>
          <w:noProof/>
          <w:color w:val="231F20"/>
          <w:sz w:val="24"/>
        </w:rPr>
        <w:t>Šajā ieteikumā terminā “tehniskā un profesionālā izglītība un mācības” (turpmāk tekstā “TPIM”) ir ietverta izglītība, mācības un prasmju pilnveidošana visdažādākajās profesionālajās, ražošanas, pakalpojumu un iztikas līdzekļu pelnīšanas jomās.</w:t>
      </w:r>
    </w:p>
    <w:p w:rsidR="00171C4A" w:rsidRPr="00C34B42" w:rsidRDefault="00171C4A" w:rsidP="00C34B42">
      <w:pPr>
        <w:tabs>
          <w:tab w:val="left" w:pos="709"/>
        </w:tabs>
        <w:ind w:left="709" w:hanging="709"/>
        <w:jc w:val="both"/>
        <w:rPr>
          <w:rFonts w:ascii="Times New Roman" w:eastAsia="Calibri" w:hAnsi="Times New Roman" w:cs="Calibri"/>
          <w:noProof/>
          <w:sz w:val="24"/>
          <w:szCs w:val="13"/>
        </w:rPr>
      </w:pPr>
    </w:p>
    <w:p w:rsidR="00171C4A" w:rsidRPr="00C34B42" w:rsidRDefault="00171C4A" w:rsidP="00C34B42">
      <w:pPr>
        <w:pStyle w:val="Pamatteksts"/>
        <w:numPr>
          <w:ilvl w:val="0"/>
          <w:numId w:val="1"/>
        </w:numPr>
        <w:tabs>
          <w:tab w:val="left" w:pos="709"/>
        </w:tabs>
        <w:ind w:left="709" w:hanging="709"/>
        <w:jc w:val="both"/>
        <w:rPr>
          <w:rFonts w:ascii="Times New Roman" w:hAnsi="Times New Roman"/>
          <w:noProof/>
          <w:color w:val="231F20"/>
          <w:sz w:val="24"/>
        </w:rPr>
      </w:pPr>
      <w:r>
        <w:rPr>
          <w:rFonts w:ascii="Times New Roman" w:hAnsi="Times New Roman"/>
          <w:noProof/>
          <w:color w:val="231F20"/>
          <w:sz w:val="24"/>
        </w:rPr>
        <w:t>TPIM kā daļa no mūžizglītības var norisināties vidējās, pēcvidusskolas un augstākās izglītības līmenī un ietver mācīšanos darbavietā, tālākizglītību un profesionālo izaugsmi, kā rezultātā iespējama kvalifikāciju piešķiršana. TPIM ietver arī visdažādākās prasmju pilnveidošanas iespējas, kas saskaņotas ar valsts un vietējo kontekstu. Neatņemamas TPIM sastāvdaļas ir mācīšanās mācīties, rakstpratības un rēķinātprasmju, caurviju prasmju un pilsoniskās nostājas prasmju attīstība.</w:t>
      </w:r>
    </w:p>
    <w:p w:rsidR="00171C4A" w:rsidRPr="00C34B42" w:rsidRDefault="00171C4A" w:rsidP="00C34B42">
      <w:pPr>
        <w:tabs>
          <w:tab w:val="left" w:pos="709"/>
        </w:tabs>
        <w:ind w:left="709" w:hanging="709"/>
        <w:jc w:val="both"/>
        <w:rPr>
          <w:rFonts w:ascii="Times New Roman" w:eastAsia="Calibri" w:hAnsi="Times New Roman" w:cs="Calibri"/>
          <w:noProof/>
          <w:sz w:val="24"/>
          <w:szCs w:val="13"/>
        </w:rPr>
      </w:pPr>
    </w:p>
    <w:p w:rsidR="00171C4A" w:rsidRPr="00C34B42" w:rsidRDefault="00171C4A" w:rsidP="00C34B42">
      <w:pPr>
        <w:pStyle w:val="Pamatteksts"/>
        <w:numPr>
          <w:ilvl w:val="0"/>
          <w:numId w:val="1"/>
        </w:numPr>
        <w:tabs>
          <w:tab w:val="left" w:pos="709"/>
        </w:tabs>
        <w:ind w:left="709" w:hanging="709"/>
        <w:jc w:val="both"/>
        <w:rPr>
          <w:rFonts w:ascii="Times New Roman" w:hAnsi="Times New Roman"/>
          <w:noProof/>
          <w:color w:val="231F20"/>
          <w:sz w:val="24"/>
        </w:rPr>
      </w:pPr>
      <w:r>
        <w:rPr>
          <w:rFonts w:ascii="Times New Roman" w:hAnsi="Times New Roman"/>
          <w:noProof/>
          <w:color w:val="231F20"/>
          <w:sz w:val="24"/>
        </w:rPr>
        <w:t>Šā ieteikuma noteikumu piemērošana ir atkarīga no katras konkrētās valsts īpašajiem apstākļiem, pārvaldības struktūrām un konstitucionālajiem noteikumiem.</w:t>
      </w:r>
    </w:p>
    <w:p w:rsidR="00171C4A" w:rsidRPr="00C34B42" w:rsidRDefault="00171C4A" w:rsidP="00C34B42">
      <w:pPr>
        <w:jc w:val="both"/>
        <w:rPr>
          <w:rFonts w:ascii="Times New Roman" w:eastAsia="Calibri" w:hAnsi="Times New Roman" w:cs="Calibri"/>
          <w:noProof/>
          <w:sz w:val="24"/>
          <w:szCs w:val="18"/>
        </w:rPr>
      </w:pPr>
    </w:p>
    <w:p w:rsidR="00171C4A" w:rsidRPr="00C34B42" w:rsidRDefault="00171C4A" w:rsidP="00C34B42">
      <w:pPr>
        <w:jc w:val="both"/>
        <w:rPr>
          <w:rFonts w:ascii="Times New Roman" w:eastAsia="Calibri" w:hAnsi="Times New Roman" w:cs="Calibri"/>
          <w:noProof/>
          <w:sz w:val="24"/>
          <w:szCs w:val="20"/>
        </w:rPr>
      </w:pPr>
    </w:p>
    <w:p w:rsidR="00171C4A" w:rsidRPr="00D77ADC" w:rsidRDefault="00C34B42" w:rsidP="00C34B42">
      <w:pPr>
        <w:pStyle w:val="Virsraksts1"/>
        <w:tabs>
          <w:tab w:val="left" w:pos="426"/>
          <w:tab w:val="left" w:pos="7487"/>
        </w:tabs>
        <w:ind w:left="0" w:firstLine="0"/>
        <w:jc w:val="both"/>
        <w:rPr>
          <w:rFonts w:ascii="Times New Roman" w:hAnsi="Times New Roman"/>
          <w:noProof/>
          <w:color w:val="0080AC"/>
          <w:sz w:val="28"/>
        </w:rPr>
      </w:pPr>
      <w:r w:rsidRPr="00D77ADC">
        <w:rPr>
          <w:rFonts w:ascii="Times New Roman" w:hAnsi="Times New Roman"/>
          <w:noProof/>
          <w:color w:val="0080AC"/>
          <w:sz w:val="28"/>
        </w:rPr>
        <w:t>II. REDZĒJUMS UN MĒRĶI</w:t>
      </w:r>
    </w:p>
    <w:p w:rsidR="00171C4A" w:rsidRPr="00C34B42" w:rsidRDefault="00171C4A" w:rsidP="00C34B42">
      <w:pPr>
        <w:jc w:val="both"/>
        <w:rPr>
          <w:rFonts w:ascii="Times New Roman" w:eastAsia="Calibri" w:hAnsi="Times New Roman" w:cs="Calibri"/>
          <w:b/>
          <w:bCs/>
          <w:noProof/>
          <w:sz w:val="24"/>
          <w:szCs w:val="42"/>
        </w:rPr>
      </w:pPr>
    </w:p>
    <w:p w:rsidR="00171C4A" w:rsidRDefault="00171C4A" w:rsidP="00C34B42">
      <w:pPr>
        <w:pStyle w:val="Virsraksts2"/>
        <w:ind w:left="0"/>
        <w:jc w:val="both"/>
        <w:rPr>
          <w:rFonts w:ascii="Times New Roman" w:hAnsi="Times New Roman"/>
          <w:noProof/>
          <w:color w:val="231F20"/>
        </w:rPr>
      </w:pPr>
      <w:r>
        <w:rPr>
          <w:rFonts w:ascii="Times New Roman" w:hAnsi="Times New Roman"/>
          <w:noProof/>
          <w:color w:val="231F20"/>
        </w:rPr>
        <w:t>Redzējums</w:t>
      </w:r>
    </w:p>
    <w:p w:rsidR="00C34B42" w:rsidRPr="00C34B42" w:rsidRDefault="00C34B42" w:rsidP="00C34B42">
      <w:pPr>
        <w:pStyle w:val="Virsraksts2"/>
        <w:ind w:left="0"/>
        <w:jc w:val="both"/>
        <w:rPr>
          <w:rFonts w:ascii="Times New Roman" w:hAnsi="Times New Roman"/>
          <w:noProof/>
          <w:color w:val="231F20"/>
        </w:rPr>
      </w:pPr>
    </w:p>
    <w:p w:rsidR="00171C4A" w:rsidRPr="00C34B42" w:rsidRDefault="00171C4A" w:rsidP="00C34B42">
      <w:pPr>
        <w:pStyle w:val="Pamatteksts"/>
        <w:numPr>
          <w:ilvl w:val="0"/>
          <w:numId w:val="1"/>
        </w:numPr>
        <w:tabs>
          <w:tab w:val="left" w:pos="709"/>
        </w:tabs>
        <w:ind w:left="709" w:hanging="709"/>
        <w:jc w:val="both"/>
        <w:rPr>
          <w:rFonts w:ascii="Times New Roman" w:hAnsi="Times New Roman"/>
          <w:noProof/>
          <w:color w:val="231F20"/>
          <w:sz w:val="24"/>
        </w:rPr>
      </w:pPr>
      <w:r>
        <w:rPr>
          <w:rFonts w:ascii="Times New Roman" w:hAnsi="Times New Roman"/>
          <w:noProof/>
          <w:color w:val="231F20"/>
          <w:sz w:val="24"/>
        </w:rPr>
        <w:t>TPIM sekmē ilgtspējīgu attīstību, paplašinot cilvēku, organizāciju, uzņēmumu un kopienu iespējas, kā arī atbalstot nodarbinātību, pienācīgu darbu un mūžizglītību, lai tādējādi veicinātu iekļaujošu un ilgtspējīgu ekonomikas izaugsmi un konkurētspēju, sociālo taisnīgumu un vides ilgtspēju.</w:t>
      </w:r>
    </w:p>
    <w:p w:rsidR="00171C4A" w:rsidRPr="00C34B42" w:rsidRDefault="00171C4A" w:rsidP="00C34B42">
      <w:pPr>
        <w:jc w:val="both"/>
        <w:rPr>
          <w:rFonts w:ascii="Times New Roman" w:eastAsia="Calibri" w:hAnsi="Times New Roman" w:cs="Calibri"/>
          <w:noProof/>
          <w:sz w:val="24"/>
          <w:szCs w:val="18"/>
        </w:rPr>
      </w:pPr>
    </w:p>
    <w:p w:rsidR="00171C4A" w:rsidRDefault="00171C4A" w:rsidP="00C34B42">
      <w:pPr>
        <w:pStyle w:val="Virsraksts2"/>
        <w:ind w:left="0"/>
        <w:jc w:val="both"/>
        <w:rPr>
          <w:rFonts w:ascii="Times New Roman" w:hAnsi="Times New Roman"/>
          <w:noProof/>
          <w:color w:val="231F20"/>
        </w:rPr>
      </w:pPr>
      <w:r>
        <w:rPr>
          <w:rFonts w:ascii="Times New Roman" w:hAnsi="Times New Roman"/>
          <w:noProof/>
          <w:color w:val="231F20"/>
        </w:rPr>
        <w:t>Mērķi</w:t>
      </w:r>
    </w:p>
    <w:p w:rsidR="00C34B42" w:rsidRPr="00C34B42" w:rsidRDefault="00C34B42" w:rsidP="00C34B42">
      <w:pPr>
        <w:pStyle w:val="Virsraksts2"/>
        <w:ind w:left="0"/>
        <w:jc w:val="both"/>
        <w:rPr>
          <w:rFonts w:ascii="Times New Roman" w:hAnsi="Times New Roman"/>
          <w:noProof/>
          <w:color w:val="231F20"/>
        </w:rPr>
      </w:pPr>
    </w:p>
    <w:p w:rsidR="00171C4A" w:rsidRPr="00C34B42" w:rsidRDefault="00171C4A" w:rsidP="00C34B42">
      <w:pPr>
        <w:pStyle w:val="Pamatteksts"/>
        <w:numPr>
          <w:ilvl w:val="0"/>
          <w:numId w:val="1"/>
        </w:numPr>
        <w:tabs>
          <w:tab w:val="left" w:pos="709"/>
        </w:tabs>
        <w:ind w:left="709" w:hanging="709"/>
        <w:jc w:val="both"/>
        <w:rPr>
          <w:rFonts w:ascii="Times New Roman" w:hAnsi="Times New Roman"/>
          <w:noProof/>
          <w:color w:val="231F20"/>
          <w:sz w:val="24"/>
        </w:rPr>
      </w:pPr>
      <w:r>
        <w:rPr>
          <w:rFonts w:ascii="Times New Roman" w:hAnsi="Times New Roman"/>
          <w:i/>
          <w:noProof/>
          <w:color w:val="231F20"/>
          <w:sz w:val="24"/>
        </w:rPr>
        <w:t>Paplašināt cilvēku iespējas un veicināt nodarbinātību, pienācīgu darbu un mūžizglītību.</w:t>
      </w:r>
      <w:r>
        <w:rPr>
          <w:rFonts w:ascii="Times New Roman" w:hAnsi="Times New Roman"/>
          <w:noProof/>
          <w:color w:val="231F20"/>
          <w:sz w:val="24"/>
        </w:rPr>
        <w:t xml:space="preserve"> TPIM sekmē cilvēku zināšanu, prasmju un kompetenču pilnveidošanu viņu nodarbinātības, karjeras, iztikas līdzekļu pelnīšanas un mūžizglītības nolūkā. TPIM palīdz cilvēkiem veikt pāreju no izglītības uz darba pasauli, apvienot mācības un darbu, veicināt viņu nodarbinātības iespējas, veikt apzinātu izvēli un īstenot viņu centienus. TPIM sekmē sociālo kohēziju, nodrošinot cilvēkiem piekļuvi darba tirgum, iztikas līdzekļiem un mūžizglītības iespējām.</w:t>
      </w:r>
    </w:p>
    <w:p w:rsidR="00171C4A" w:rsidRPr="00C34B42" w:rsidRDefault="00171C4A" w:rsidP="00C34B42">
      <w:pPr>
        <w:jc w:val="both"/>
        <w:rPr>
          <w:rFonts w:ascii="Times New Roman" w:hAnsi="Times New Roman"/>
          <w:noProof/>
          <w:color w:val="231F20"/>
          <w:sz w:val="24"/>
        </w:rPr>
      </w:pPr>
    </w:p>
    <w:p w:rsidR="00171C4A" w:rsidRPr="00C34B42" w:rsidRDefault="00171C4A" w:rsidP="00C34B42">
      <w:pPr>
        <w:pStyle w:val="Pamatteksts"/>
        <w:numPr>
          <w:ilvl w:val="0"/>
          <w:numId w:val="1"/>
        </w:numPr>
        <w:tabs>
          <w:tab w:val="left" w:pos="709"/>
        </w:tabs>
        <w:ind w:left="709" w:hanging="709"/>
        <w:jc w:val="both"/>
        <w:rPr>
          <w:rFonts w:ascii="Times New Roman" w:hAnsi="Times New Roman"/>
          <w:noProof/>
          <w:color w:val="231F20"/>
          <w:sz w:val="24"/>
        </w:rPr>
      </w:pPr>
      <w:r>
        <w:rPr>
          <w:rFonts w:ascii="Times New Roman" w:hAnsi="Times New Roman"/>
          <w:i/>
          <w:noProof/>
          <w:color w:val="231F20"/>
          <w:sz w:val="24"/>
        </w:rPr>
        <w:t>Veicināt iekļaujošu un ilgtspējīgu ekonomikas izaugsmi.</w:t>
      </w:r>
      <w:r>
        <w:rPr>
          <w:rFonts w:ascii="Times New Roman" w:hAnsi="Times New Roman"/>
          <w:noProof/>
          <w:color w:val="231F20"/>
          <w:sz w:val="24"/>
        </w:rPr>
        <w:t xml:space="preserve"> TPIM sekmē organizāciju efektivitāti, uzņēmumu konkurētspēju un kopienu attīstību. TPIM ir vērstas uz darba tirgu, prognozē un atvieglo pārmaiņas darba veidā un organizācijā, tostarp jaunu nozaru un profesiju rašanās jomā, un zinātnes un tehnoloģisko attīstību. Veicinot uzņēmējdarbību, TPIM atbalsta pašnodarbinātību un uzņēmumu izaugsmi.</w:t>
      </w:r>
    </w:p>
    <w:p w:rsidR="00171C4A" w:rsidRPr="00C34B42" w:rsidRDefault="00171C4A" w:rsidP="00C34B42">
      <w:pPr>
        <w:jc w:val="both"/>
        <w:rPr>
          <w:rFonts w:ascii="Times New Roman" w:hAnsi="Times New Roman"/>
          <w:noProof/>
          <w:color w:val="231F20"/>
          <w:sz w:val="24"/>
        </w:rPr>
      </w:pPr>
    </w:p>
    <w:p w:rsidR="00171C4A" w:rsidRPr="00C34B42" w:rsidRDefault="00171C4A" w:rsidP="00C34B42">
      <w:pPr>
        <w:pStyle w:val="Pamatteksts"/>
        <w:numPr>
          <w:ilvl w:val="0"/>
          <w:numId w:val="1"/>
        </w:numPr>
        <w:tabs>
          <w:tab w:val="left" w:pos="1501"/>
        </w:tabs>
        <w:ind w:left="709" w:hanging="709"/>
        <w:jc w:val="both"/>
        <w:rPr>
          <w:rFonts w:ascii="Times New Roman" w:hAnsi="Times New Roman"/>
          <w:noProof/>
          <w:color w:val="231F20"/>
          <w:sz w:val="24"/>
        </w:rPr>
      </w:pPr>
      <w:r>
        <w:rPr>
          <w:rFonts w:ascii="Times New Roman" w:hAnsi="Times New Roman"/>
          <w:i/>
          <w:noProof/>
          <w:color w:val="231F20"/>
          <w:sz w:val="24"/>
        </w:rPr>
        <w:t xml:space="preserve">Veicināt sociālo taisnīgumu. </w:t>
      </w:r>
      <w:r>
        <w:rPr>
          <w:rFonts w:ascii="Times New Roman" w:hAnsi="Times New Roman"/>
          <w:noProof/>
          <w:color w:val="231F20"/>
          <w:sz w:val="24"/>
        </w:rPr>
        <w:t>TPIM sekmē mācību iespēju un sociālekonomisko risinājumu vienlīdzību, tostarp dzimumu līdztiesību. TPIM rada pievilcīgas un saistošas mācību iespējas visu sociālo, ekonomisko un kultūras slāņu pārstāvjiem. TPIM ir iekļaujošas un nepieļauj nekāda veida diskrimināciju. TPIM sekmē tādu zināšanu, prasmju un kompetenču pilnveidošanu, kas veicina atbildīgu pilsonisko nostāju un demokrātisku līdzdalību.</w:t>
      </w:r>
    </w:p>
    <w:p w:rsidR="00171C4A" w:rsidRPr="00C34B42" w:rsidRDefault="00171C4A" w:rsidP="00C34B42">
      <w:pPr>
        <w:ind w:left="709" w:hanging="709"/>
        <w:jc w:val="both"/>
        <w:rPr>
          <w:rFonts w:ascii="Times New Roman" w:hAnsi="Times New Roman"/>
          <w:noProof/>
          <w:color w:val="231F20"/>
          <w:sz w:val="24"/>
        </w:rPr>
      </w:pPr>
    </w:p>
    <w:p w:rsidR="00171C4A" w:rsidRPr="00C34B42" w:rsidRDefault="00171C4A" w:rsidP="00C34B42">
      <w:pPr>
        <w:pStyle w:val="Pamatteksts"/>
        <w:numPr>
          <w:ilvl w:val="0"/>
          <w:numId w:val="1"/>
        </w:numPr>
        <w:tabs>
          <w:tab w:val="left" w:pos="1501"/>
        </w:tabs>
        <w:ind w:left="709" w:hanging="709"/>
        <w:jc w:val="both"/>
        <w:rPr>
          <w:rFonts w:ascii="Times New Roman" w:hAnsi="Times New Roman"/>
          <w:noProof/>
          <w:color w:val="231F20"/>
          <w:sz w:val="24"/>
        </w:rPr>
      </w:pPr>
      <w:r>
        <w:rPr>
          <w:rFonts w:ascii="Times New Roman" w:hAnsi="Times New Roman"/>
          <w:i/>
          <w:noProof/>
          <w:color w:val="231F20"/>
          <w:sz w:val="24"/>
        </w:rPr>
        <w:t>Veicināt vides ilgtspēju</w:t>
      </w:r>
      <w:r>
        <w:rPr>
          <w:rFonts w:ascii="Times New Roman" w:hAnsi="Times New Roman"/>
          <w:noProof/>
          <w:color w:val="231F20"/>
          <w:sz w:val="24"/>
        </w:rPr>
        <w:t>. TPIM apvieno vides ilgtspējas principus un sekmē atbildību vides jomā, veicinot kritisku izpratni par attiecībām starp sabiedrību un vidi un tādējādi veicinot ilgtspējīgus patēriņa un ražošanas modeļus. TPIM sekmē zināšanu, prasmju un kompetenču pilnveidošanu, lai attīstītu videi draudzīgas profesijas, ekonomiku un sabiedrības. TPIM sekmē tādu inovāciju un tehnoloģisko risinājumu attīstību, kas nepieciešami klimata pārmaiņu novēršanai un vides integritātes saglabāšanai.</w:t>
      </w:r>
    </w:p>
    <w:p w:rsidR="00D77ADC" w:rsidRDefault="00D77ADC">
      <w:pPr>
        <w:rPr>
          <w:rFonts w:ascii="Times New Roman" w:hAnsi="Times New Roman"/>
          <w:noProof/>
          <w:color w:val="231F20"/>
          <w:sz w:val="24"/>
        </w:rPr>
      </w:pPr>
      <w:r>
        <w:rPr>
          <w:rFonts w:ascii="Times New Roman" w:hAnsi="Times New Roman"/>
          <w:noProof/>
          <w:color w:val="231F20"/>
          <w:sz w:val="24"/>
        </w:rPr>
        <w:br w:type="page"/>
      </w:r>
    </w:p>
    <w:p w:rsidR="00171C4A" w:rsidRPr="00C34B42" w:rsidRDefault="00171C4A" w:rsidP="00C34B42">
      <w:pPr>
        <w:jc w:val="both"/>
        <w:rPr>
          <w:rFonts w:ascii="Times New Roman" w:hAnsi="Times New Roman"/>
          <w:noProof/>
          <w:color w:val="231F20"/>
          <w:sz w:val="24"/>
        </w:rPr>
      </w:pPr>
    </w:p>
    <w:p w:rsidR="00171C4A" w:rsidRPr="00D77ADC" w:rsidRDefault="00C34B42" w:rsidP="00C34B42">
      <w:pPr>
        <w:pStyle w:val="Virsraksts1"/>
        <w:tabs>
          <w:tab w:val="left" w:pos="1633"/>
          <w:tab w:val="left" w:pos="8587"/>
        </w:tabs>
        <w:ind w:left="0" w:firstLine="0"/>
        <w:jc w:val="both"/>
        <w:rPr>
          <w:rFonts w:ascii="Times New Roman" w:hAnsi="Times New Roman"/>
          <w:noProof/>
          <w:color w:val="0080AC"/>
          <w:sz w:val="28"/>
        </w:rPr>
      </w:pPr>
      <w:r w:rsidRPr="00D77ADC">
        <w:rPr>
          <w:rFonts w:ascii="Times New Roman" w:hAnsi="Times New Roman"/>
          <w:noProof/>
          <w:color w:val="0080AC"/>
          <w:sz w:val="28"/>
        </w:rPr>
        <w:t>III. POLITIKA UN PĀRVALDĪBA</w:t>
      </w:r>
    </w:p>
    <w:p w:rsidR="00171C4A" w:rsidRPr="00C34B42" w:rsidRDefault="00171C4A" w:rsidP="00C34B42">
      <w:pPr>
        <w:jc w:val="both"/>
        <w:rPr>
          <w:rFonts w:ascii="Times New Roman" w:eastAsia="Calibri" w:hAnsi="Times New Roman" w:cs="Calibri"/>
          <w:b/>
          <w:bCs/>
          <w:noProof/>
          <w:sz w:val="24"/>
          <w:szCs w:val="42"/>
        </w:rPr>
      </w:pPr>
    </w:p>
    <w:p w:rsidR="00171C4A" w:rsidRDefault="00171C4A" w:rsidP="00C34B42">
      <w:pPr>
        <w:pStyle w:val="Virsraksts2"/>
        <w:ind w:left="0"/>
        <w:jc w:val="both"/>
        <w:rPr>
          <w:rFonts w:ascii="Times New Roman" w:hAnsi="Times New Roman"/>
          <w:noProof/>
          <w:color w:val="231F20"/>
        </w:rPr>
      </w:pPr>
      <w:r>
        <w:rPr>
          <w:rFonts w:ascii="Times New Roman" w:hAnsi="Times New Roman"/>
          <w:noProof/>
          <w:color w:val="231F20"/>
        </w:rPr>
        <w:t>Politikas izstrāde</w:t>
      </w:r>
    </w:p>
    <w:p w:rsidR="00C34B42" w:rsidRPr="00C34B42" w:rsidRDefault="00C34B42" w:rsidP="00C34B42">
      <w:pPr>
        <w:pStyle w:val="Virsraksts2"/>
        <w:ind w:left="0"/>
        <w:jc w:val="both"/>
        <w:rPr>
          <w:rFonts w:ascii="Times New Roman" w:hAnsi="Times New Roman"/>
          <w:noProof/>
          <w:color w:val="231F20"/>
        </w:rPr>
      </w:pPr>
    </w:p>
    <w:p w:rsidR="00171C4A" w:rsidRPr="00C34B42" w:rsidRDefault="00171C4A" w:rsidP="00C34B42">
      <w:pPr>
        <w:pStyle w:val="Pamatteksts"/>
        <w:numPr>
          <w:ilvl w:val="0"/>
          <w:numId w:val="1"/>
        </w:numPr>
        <w:tabs>
          <w:tab w:val="left" w:pos="1501"/>
        </w:tabs>
        <w:ind w:left="709" w:hanging="709"/>
        <w:jc w:val="both"/>
        <w:rPr>
          <w:rFonts w:ascii="Times New Roman" w:hAnsi="Times New Roman"/>
          <w:noProof/>
          <w:color w:val="231F20"/>
          <w:sz w:val="24"/>
        </w:rPr>
      </w:pPr>
      <w:r>
        <w:rPr>
          <w:rFonts w:ascii="Times New Roman" w:hAnsi="Times New Roman"/>
          <w:noProof/>
          <w:color w:val="231F20"/>
          <w:sz w:val="24"/>
        </w:rPr>
        <w:t>Dalībvalstīm atbilstoši to īpašajiem apstākļiem, pārvaldības struktūrām un konstitucionālajiem noteikumiem jāizstrādā ar TPIM saistīta politika, kas ir saderīga ar visdažādākajām politikas jomām, tostarp izglītību, nodarbinātību un valdību vispārējiem stratēģiskajiem mērķiem, jo īpaši to mērķiem ekonomikas, sociālajā un vides jomā.</w:t>
      </w:r>
    </w:p>
    <w:p w:rsidR="00171C4A" w:rsidRPr="00C34B42" w:rsidRDefault="00171C4A" w:rsidP="00C34B42">
      <w:pPr>
        <w:ind w:left="709" w:hanging="709"/>
        <w:jc w:val="both"/>
        <w:rPr>
          <w:rFonts w:ascii="Times New Roman" w:eastAsia="Calibri" w:hAnsi="Times New Roman" w:cs="Calibri"/>
          <w:noProof/>
          <w:sz w:val="24"/>
          <w:szCs w:val="13"/>
        </w:rPr>
      </w:pPr>
    </w:p>
    <w:p w:rsidR="00171C4A" w:rsidRPr="00C34B42" w:rsidRDefault="00171C4A" w:rsidP="00C34B42">
      <w:pPr>
        <w:pStyle w:val="Pamatteksts"/>
        <w:numPr>
          <w:ilvl w:val="0"/>
          <w:numId w:val="1"/>
        </w:numPr>
        <w:tabs>
          <w:tab w:val="left" w:pos="1501"/>
        </w:tabs>
        <w:ind w:left="709" w:hanging="709"/>
        <w:jc w:val="both"/>
        <w:rPr>
          <w:rFonts w:ascii="Times New Roman" w:hAnsi="Times New Roman"/>
          <w:noProof/>
          <w:color w:val="231F20"/>
          <w:sz w:val="24"/>
        </w:rPr>
      </w:pPr>
      <w:r>
        <w:rPr>
          <w:rFonts w:ascii="Times New Roman" w:hAnsi="Times New Roman"/>
          <w:noProof/>
          <w:color w:val="231F20"/>
          <w:sz w:val="24"/>
        </w:rPr>
        <w:t>Dalībvalstīm jāvirza, jāatzīst un jāveicina visu formu un veidu TPIM, ieviešot vispārēju mūžizglītības sistēmu, kuras mērķis ir nodrošināt visus jauniešus un pieaugušos ar attiecīgām zināšanām, prasmēm un kompetencēm darbam un dzīvei un veidot labāku darba tirgu un sociālo stāvokli.</w:t>
      </w:r>
    </w:p>
    <w:p w:rsidR="00171C4A" w:rsidRPr="00C34B42" w:rsidRDefault="00171C4A" w:rsidP="00C34B42">
      <w:pPr>
        <w:ind w:left="709" w:hanging="709"/>
        <w:jc w:val="both"/>
        <w:rPr>
          <w:rFonts w:ascii="Times New Roman" w:eastAsia="Calibri" w:hAnsi="Times New Roman" w:cs="Calibri"/>
          <w:noProof/>
          <w:sz w:val="24"/>
          <w:szCs w:val="13"/>
        </w:rPr>
      </w:pPr>
    </w:p>
    <w:p w:rsidR="00171C4A" w:rsidRPr="00C34B42" w:rsidRDefault="00171C4A" w:rsidP="00C34B42">
      <w:pPr>
        <w:pStyle w:val="Pamatteksts"/>
        <w:numPr>
          <w:ilvl w:val="0"/>
          <w:numId w:val="1"/>
        </w:numPr>
        <w:tabs>
          <w:tab w:val="left" w:pos="1501"/>
        </w:tabs>
        <w:ind w:left="709" w:hanging="709"/>
        <w:jc w:val="both"/>
        <w:rPr>
          <w:rFonts w:ascii="Times New Roman" w:hAnsi="Times New Roman"/>
          <w:noProof/>
          <w:color w:val="231F20"/>
          <w:sz w:val="24"/>
        </w:rPr>
      </w:pPr>
      <w:r>
        <w:rPr>
          <w:rFonts w:ascii="Times New Roman" w:hAnsi="Times New Roman"/>
          <w:noProof/>
          <w:color w:val="231F20"/>
          <w:sz w:val="24"/>
        </w:rPr>
        <w:t>Dalībvalstīm jāpaaugstina TPIM atpazīstamība sabiedrībā un pievilcība izglītojamo personu, ģimeņu un visu pārējo ieinteresēto pušu vērtējumā un jāinformē viņi par karjeras, darba, mūžizglītības un pašrealizācijas iespējām. Dalībvalstīm atbilstoši to apstākļiem jārisina daudzdimensionāli jautājumi, kas ietekmē TPIM pievilcību, un jāveicina tādi pasākumi kā mācīšanās veidu un mācību programmu elastība un daudzveidība, nodrošinot stimulus un uzlabojot informāciju un karjeras atbalsta pasākumus.</w:t>
      </w:r>
    </w:p>
    <w:p w:rsidR="00171C4A" w:rsidRPr="00C34B42" w:rsidRDefault="00171C4A" w:rsidP="00C34B42">
      <w:pPr>
        <w:ind w:left="709" w:hanging="709"/>
        <w:jc w:val="both"/>
        <w:rPr>
          <w:rFonts w:ascii="Times New Roman" w:eastAsia="Calibri" w:hAnsi="Times New Roman" w:cs="Calibri"/>
          <w:noProof/>
          <w:sz w:val="24"/>
          <w:szCs w:val="13"/>
        </w:rPr>
      </w:pPr>
    </w:p>
    <w:p w:rsidR="00171C4A" w:rsidRPr="00C34B42" w:rsidRDefault="00171C4A" w:rsidP="00C34B42">
      <w:pPr>
        <w:pStyle w:val="Pamatteksts"/>
        <w:numPr>
          <w:ilvl w:val="0"/>
          <w:numId w:val="1"/>
        </w:numPr>
        <w:tabs>
          <w:tab w:val="left" w:pos="1501"/>
        </w:tabs>
        <w:ind w:left="709" w:hanging="709"/>
        <w:jc w:val="both"/>
        <w:rPr>
          <w:rFonts w:ascii="Times New Roman" w:hAnsi="Times New Roman"/>
          <w:noProof/>
          <w:color w:val="231F20"/>
          <w:sz w:val="24"/>
        </w:rPr>
      </w:pPr>
      <w:r>
        <w:rPr>
          <w:rFonts w:ascii="Times New Roman" w:hAnsi="Times New Roman"/>
          <w:noProof/>
          <w:color w:val="231F20"/>
          <w:sz w:val="24"/>
        </w:rPr>
        <w:t>Dalībvalstīm, kas izvērš TPIM vidējās, pēcvidusskolas un augstākās izglītības līmenī atbilstoši to izglītības un mācību sistēmu un iestāžu prasībām, jānodrošina, ka ir ieviesta institucionāla sistēma darba tirgus ieinteresēto pušu iesaistīšanai, ka kvalifikācijas un mācību programmas tiek izstrādātas, apspriežoties ar attiecīgajām ieinteresētajām pusēm, un ka programmas un kvalifikācijas ir pārredzamas un kvalitāte nodrošināta.</w:t>
      </w:r>
    </w:p>
    <w:p w:rsidR="00171C4A" w:rsidRPr="00C34B42" w:rsidRDefault="00171C4A" w:rsidP="00C34B42">
      <w:pPr>
        <w:ind w:left="709" w:hanging="709"/>
        <w:jc w:val="both"/>
        <w:rPr>
          <w:rFonts w:ascii="Times New Roman" w:eastAsia="Calibri" w:hAnsi="Times New Roman" w:cs="Calibri"/>
          <w:noProof/>
          <w:sz w:val="24"/>
          <w:szCs w:val="21"/>
        </w:rPr>
      </w:pPr>
    </w:p>
    <w:p w:rsidR="00171C4A" w:rsidRPr="00C34B42" w:rsidRDefault="00171C4A" w:rsidP="00C34B42">
      <w:pPr>
        <w:pStyle w:val="Pamatteksts"/>
        <w:numPr>
          <w:ilvl w:val="0"/>
          <w:numId w:val="1"/>
        </w:numPr>
        <w:tabs>
          <w:tab w:val="left" w:pos="709"/>
        </w:tabs>
        <w:ind w:left="709" w:hanging="709"/>
        <w:jc w:val="both"/>
        <w:rPr>
          <w:rFonts w:ascii="Times New Roman" w:hAnsi="Times New Roman"/>
          <w:noProof/>
          <w:color w:val="231F20"/>
          <w:sz w:val="24"/>
        </w:rPr>
      </w:pPr>
      <w:r>
        <w:rPr>
          <w:rFonts w:ascii="Times New Roman" w:hAnsi="Times New Roman"/>
          <w:noProof/>
          <w:color w:val="231F20"/>
          <w:sz w:val="24"/>
        </w:rPr>
        <w:t>Dalībvalstīm jāpilnveido mācīšanās veidi un jāatvieglo pāreja starp vidējo, pēcvidusskolas un augstāko izglītību, tostarp elastīgas uzņemšanas procedūras un karjeras atbalsta pasākumi, kredītpunktu uzkrāšana un pārnese, tuvinot programmas un līdzvērtības shēmas, ko ir atzinušas un akreditējušas attiecīgās iestādes. TPIM iestādēm un citām izglītības iestādēm un struktūrām jāsadarbojas šādu pasākumu īstenošanā.</w:t>
      </w:r>
    </w:p>
    <w:p w:rsidR="00171C4A" w:rsidRPr="00C34B42" w:rsidRDefault="00171C4A" w:rsidP="00C34B42">
      <w:pPr>
        <w:ind w:left="709" w:hanging="709"/>
        <w:jc w:val="both"/>
        <w:rPr>
          <w:rFonts w:ascii="Times New Roman" w:eastAsia="Calibri" w:hAnsi="Times New Roman" w:cs="Calibri"/>
          <w:noProof/>
          <w:sz w:val="24"/>
          <w:szCs w:val="13"/>
        </w:rPr>
      </w:pPr>
    </w:p>
    <w:p w:rsidR="00171C4A" w:rsidRPr="00C34B42" w:rsidRDefault="00171C4A" w:rsidP="00C34B42">
      <w:pPr>
        <w:pStyle w:val="Pamatteksts"/>
        <w:numPr>
          <w:ilvl w:val="0"/>
          <w:numId w:val="1"/>
        </w:numPr>
        <w:tabs>
          <w:tab w:val="left" w:pos="709"/>
        </w:tabs>
        <w:ind w:left="709" w:hanging="709"/>
        <w:jc w:val="both"/>
        <w:rPr>
          <w:rFonts w:ascii="Times New Roman" w:hAnsi="Times New Roman"/>
          <w:noProof/>
          <w:color w:val="231F20"/>
          <w:sz w:val="24"/>
        </w:rPr>
      </w:pPr>
      <w:r>
        <w:rPr>
          <w:rFonts w:ascii="Times New Roman" w:hAnsi="Times New Roman"/>
          <w:noProof/>
          <w:color w:val="231F20"/>
          <w:sz w:val="24"/>
        </w:rPr>
        <w:t>Dalībvalstīm atbilstoši to īpašajiem apstākļiem, pārvaldības struktūrām un konstitucionālajiem noteikumiem jāatbalsta tālākizglītība un profesionālā izaugsme, veicinot pieaugušo izglītojamo personu piekļuvi tai un paplašinot viņu līdzdalību, tostarp mudinot uzņēmumus, jo īpaši mazos un vidējos uzņēmumus, veikt ieguldījumus savu darbinieku apmācībā.</w:t>
      </w:r>
    </w:p>
    <w:p w:rsidR="00171C4A" w:rsidRPr="00C34B42" w:rsidRDefault="00171C4A" w:rsidP="00C34B42">
      <w:pPr>
        <w:jc w:val="both"/>
        <w:rPr>
          <w:rFonts w:ascii="Times New Roman" w:eastAsia="Calibri" w:hAnsi="Times New Roman" w:cs="Calibri"/>
          <w:noProof/>
          <w:sz w:val="24"/>
          <w:szCs w:val="17"/>
        </w:rPr>
      </w:pPr>
    </w:p>
    <w:p w:rsidR="00171C4A" w:rsidRDefault="00171C4A" w:rsidP="00C34B42">
      <w:pPr>
        <w:pStyle w:val="Virsraksts2"/>
        <w:ind w:left="0"/>
        <w:jc w:val="both"/>
        <w:rPr>
          <w:rFonts w:ascii="Times New Roman" w:hAnsi="Times New Roman"/>
          <w:noProof/>
          <w:color w:val="231F20"/>
        </w:rPr>
      </w:pPr>
      <w:r>
        <w:rPr>
          <w:rFonts w:ascii="Times New Roman" w:hAnsi="Times New Roman"/>
          <w:noProof/>
          <w:color w:val="231F20"/>
        </w:rPr>
        <w:t>Pārvaldība un tiesiskais regulējums</w:t>
      </w:r>
    </w:p>
    <w:p w:rsidR="00C34B42" w:rsidRPr="00C34B42" w:rsidRDefault="00C34B42" w:rsidP="00C34B42">
      <w:pPr>
        <w:pStyle w:val="Virsraksts2"/>
        <w:ind w:left="0"/>
        <w:jc w:val="both"/>
        <w:rPr>
          <w:rFonts w:ascii="Times New Roman" w:hAnsi="Times New Roman"/>
          <w:noProof/>
          <w:color w:val="231F20"/>
        </w:rPr>
      </w:pPr>
    </w:p>
    <w:p w:rsidR="00171C4A" w:rsidRPr="00C34B42" w:rsidRDefault="00171C4A" w:rsidP="00C34B42">
      <w:pPr>
        <w:pStyle w:val="Pamatteksts"/>
        <w:numPr>
          <w:ilvl w:val="0"/>
          <w:numId w:val="1"/>
        </w:numPr>
        <w:tabs>
          <w:tab w:val="left" w:pos="709"/>
        </w:tabs>
        <w:ind w:left="709" w:hanging="709"/>
        <w:jc w:val="both"/>
        <w:rPr>
          <w:rFonts w:ascii="Times New Roman" w:hAnsi="Times New Roman"/>
          <w:noProof/>
          <w:color w:val="231F20"/>
          <w:sz w:val="24"/>
        </w:rPr>
      </w:pPr>
      <w:r>
        <w:rPr>
          <w:rFonts w:ascii="Times New Roman" w:hAnsi="Times New Roman"/>
          <w:noProof/>
          <w:color w:val="231F20"/>
          <w:sz w:val="24"/>
        </w:rPr>
        <w:t>Dalībvalstīm, uzņemoties galveno atbildību par valsts politiku, jāapsver TPIM tiesiskā regulējuma noteikšana vai stiprināšana, lai noteiktu sava publiskā un privātā sektora dalībnieku pienākumus, tiesības, saistības un atbildību un lai veicinātu ieinteresēto pušu līdzdalību un partnerības.</w:t>
      </w:r>
    </w:p>
    <w:p w:rsidR="00171C4A" w:rsidRPr="00C34B42" w:rsidRDefault="00171C4A" w:rsidP="00C34B42">
      <w:pPr>
        <w:tabs>
          <w:tab w:val="left" w:pos="709"/>
        </w:tabs>
        <w:ind w:left="709" w:hanging="709"/>
        <w:jc w:val="both"/>
        <w:rPr>
          <w:rFonts w:ascii="Times New Roman" w:eastAsia="Calibri" w:hAnsi="Times New Roman" w:cs="Calibri"/>
          <w:noProof/>
          <w:sz w:val="24"/>
          <w:szCs w:val="13"/>
        </w:rPr>
      </w:pPr>
    </w:p>
    <w:p w:rsidR="00171C4A" w:rsidRPr="00C34B42" w:rsidRDefault="00171C4A" w:rsidP="00C34B42">
      <w:pPr>
        <w:pStyle w:val="Pamatteksts"/>
        <w:numPr>
          <w:ilvl w:val="0"/>
          <w:numId w:val="1"/>
        </w:numPr>
        <w:tabs>
          <w:tab w:val="left" w:pos="709"/>
        </w:tabs>
        <w:ind w:left="709" w:hanging="709"/>
        <w:jc w:val="both"/>
        <w:rPr>
          <w:rFonts w:ascii="Times New Roman" w:hAnsi="Times New Roman"/>
          <w:noProof/>
          <w:color w:val="231F20"/>
          <w:sz w:val="24"/>
        </w:rPr>
      </w:pPr>
      <w:r>
        <w:rPr>
          <w:rFonts w:ascii="Times New Roman" w:hAnsi="Times New Roman"/>
          <w:noProof/>
          <w:color w:val="231F20"/>
          <w:sz w:val="24"/>
        </w:rPr>
        <w:t>Dalībvalstīm jāatvieglo starpministriju saskaņošana un jāstiprina tehniskās, administratīvās un institucionālās spējas nolūkā pārvaldīt, vadīt un finansēt TPIM.</w:t>
      </w:r>
    </w:p>
    <w:p w:rsidR="00171C4A" w:rsidRPr="00C34B42" w:rsidRDefault="00171C4A" w:rsidP="00C34B42">
      <w:pPr>
        <w:tabs>
          <w:tab w:val="left" w:pos="709"/>
        </w:tabs>
        <w:ind w:left="709" w:hanging="709"/>
        <w:jc w:val="both"/>
        <w:rPr>
          <w:rFonts w:ascii="Times New Roman" w:eastAsia="Calibri" w:hAnsi="Times New Roman" w:cs="Calibri"/>
          <w:noProof/>
          <w:sz w:val="24"/>
          <w:szCs w:val="13"/>
        </w:rPr>
      </w:pPr>
    </w:p>
    <w:p w:rsidR="00171C4A" w:rsidRPr="00C34B42" w:rsidRDefault="00171C4A" w:rsidP="00C34B42">
      <w:pPr>
        <w:pStyle w:val="Pamatteksts"/>
        <w:numPr>
          <w:ilvl w:val="0"/>
          <w:numId w:val="1"/>
        </w:numPr>
        <w:tabs>
          <w:tab w:val="left" w:pos="709"/>
        </w:tabs>
        <w:ind w:left="709" w:hanging="709"/>
        <w:jc w:val="both"/>
        <w:rPr>
          <w:rFonts w:ascii="Times New Roman" w:hAnsi="Times New Roman"/>
          <w:noProof/>
          <w:color w:val="231F20"/>
          <w:sz w:val="24"/>
        </w:rPr>
      </w:pPr>
      <w:r>
        <w:rPr>
          <w:rFonts w:ascii="Times New Roman" w:hAnsi="Times New Roman"/>
          <w:noProof/>
          <w:color w:val="231F20"/>
          <w:sz w:val="24"/>
        </w:rPr>
        <w:t>Dalībvalstīm atbilstoši to pārvaldības struktūrām jāapsver TPIM iestāžu pārvaldības modeļu izveide vai stiprināšana, iesaistot attiecīgās vietējās ieinteresētās puses un attiecīgā gadījumā sadarbojoties ar uzņēmumu apvienībām, lai atbalstītu mācīšanos darbavietā.</w:t>
      </w:r>
    </w:p>
    <w:p w:rsidR="00171C4A" w:rsidRPr="00C34B42" w:rsidRDefault="00171C4A" w:rsidP="00C34B42">
      <w:pPr>
        <w:jc w:val="both"/>
        <w:rPr>
          <w:rFonts w:ascii="Times New Roman" w:eastAsia="Calibri" w:hAnsi="Times New Roman" w:cs="Calibri"/>
          <w:noProof/>
          <w:sz w:val="24"/>
          <w:szCs w:val="17"/>
        </w:rPr>
      </w:pPr>
    </w:p>
    <w:p w:rsidR="00171C4A" w:rsidRDefault="00171C4A" w:rsidP="00C34B42">
      <w:pPr>
        <w:pStyle w:val="Virsraksts2"/>
        <w:ind w:left="0"/>
        <w:jc w:val="both"/>
        <w:rPr>
          <w:rFonts w:ascii="Times New Roman" w:hAnsi="Times New Roman"/>
          <w:noProof/>
          <w:color w:val="231F20"/>
        </w:rPr>
      </w:pPr>
      <w:r>
        <w:rPr>
          <w:rFonts w:ascii="Times New Roman" w:hAnsi="Times New Roman"/>
          <w:noProof/>
          <w:color w:val="231F20"/>
        </w:rPr>
        <w:t>Sociālais dialogs, privātais sektors un citu ieinteresēto pušu iesaistīšana</w:t>
      </w:r>
    </w:p>
    <w:p w:rsidR="00C34B42" w:rsidRPr="00C34B42" w:rsidRDefault="00C34B42" w:rsidP="00C34B42">
      <w:pPr>
        <w:pStyle w:val="Virsraksts2"/>
        <w:ind w:left="0"/>
        <w:jc w:val="both"/>
        <w:rPr>
          <w:rFonts w:ascii="Times New Roman" w:hAnsi="Times New Roman"/>
          <w:noProof/>
          <w:color w:val="231F20"/>
        </w:rPr>
      </w:pPr>
    </w:p>
    <w:p w:rsidR="00171C4A" w:rsidRPr="00C34B42" w:rsidRDefault="00171C4A" w:rsidP="00290272">
      <w:pPr>
        <w:pStyle w:val="Pamatteksts"/>
        <w:numPr>
          <w:ilvl w:val="0"/>
          <w:numId w:val="1"/>
        </w:numPr>
        <w:tabs>
          <w:tab w:val="left" w:pos="709"/>
        </w:tabs>
        <w:ind w:left="709" w:hanging="709"/>
        <w:jc w:val="both"/>
        <w:rPr>
          <w:rFonts w:ascii="Times New Roman" w:hAnsi="Times New Roman"/>
          <w:noProof/>
          <w:color w:val="231F20"/>
          <w:sz w:val="24"/>
        </w:rPr>
      </w:pPr>
      <w:r>
        <w:rPr>
          <w:rFonts w:ascii="Times New Roman" w:hAnsi="Times New Roman"/>
          <w:noProof/>
          <w:color w:val="231F20"/>
          <w:sz w:val="24"/>
        </w:rPr>
        <w:t>Dalībvalstīm attiecīgā gadījumā jāatbalsta sociālo partneru līdzdalība TPIM, pamatojoties uz saskaņotiem darba tirgus, izglītības, mācību un citiem noteikumiem.</w:t>
      </w:r>
    </w:p>
    <w:p w:rsidR="00171C4A" w:rsidRPr="00C34B42" w:rsidRDefault="00171C4A" w:rsidP="00290272">
      <w:pPr>
        <w:tabs>
          <w:tab w:val="left" w:pos="709"/>
        </w:tabs>
        <w:ind w:left="709" w:hanging="709"/>
        <w:jc w:val="both"/>
        <w:rPr>
          <w:rFonts w:ascii="Times New Roman" w:eastAsia="Calibri" w:hAnsi="Times New Roman" w:cs="Calibri"/>
          <w:noProof/>
          <w:sz w:val="24"/>
          <w:szCs w:val="13"/>
        </w:rPr>
      </w:pPr>
    </w:p>
    <w:p w:rsidR="00171C4A" w:rsidRPr="00C34B42" w:rsidRDefault="00171C4A" w:rsidP="00290272">
      <w:pPr>
        <w:pStyle w:val="Pamatteksts"/>
        <w:numPr>
          <w:ilvl w:val="0"/>
          <w:numId w:val="1"/>
        </w:numPr>
        <w:tabs>
          <w:tab w:val="left" w:pos="709"/>
        </w:tabs>
        <w:ind w:left="709" w:hanging="709"/>
        <w:jc w:val="both"/>
        <w:rPr>
          <w:rFonts w:ascii="Times New Roman" w:hAnsi="Times New Roman"/>
          <w:noProof/>
          <w:color w:val="231F20"/>
          <w:sz w:val="24"/>
        </w:rPr>
      </w:pPr>
      <w:r>
        <w:rPr>
          <w:rFonts w:ascii="Times New Roman" w:hAnsi="Times New Roman"/>
          <w:noProof/>
          <w:color w:val="231F20"/>
          <w:sz w:val="24"/>
        </w:rPr>
        <w:t>Privātā sektora līdzdalības palielināšanai TPIM jānoris saskaņā ar galvenajiem principiem, kuros ietilpst pielīdzināšana valsts politikai, atbalsts sociālajam dialogam, atbildība, pārskatatbildība un efektivitāte. Kas attiecas uz privātā sektora iesaistīšanu, TPIM politikai jāatzīst tā daudzveidība, tostarp lielie, vidējie, mazie uzņēmumi, mikrouzņēmumi un ģimenes uzņēmumi, kas darbojas visās tautsaimniecības nozarēs.</w:t>
      </w:r>
    </w:p>
    <w:p w:rsidR="00171C4A" w:rsidRPr="00C34B42" w:rsidRDefault="00171C4A" w:rsidP="00290272">
      <w:pPr>
        <w:tabs>
          <w:tab w:val="left" w:pos="709"/>
        </w:tabs>
        <w:ind w:left="709" w:hanging="709"/>
        <w:jc w:val="both"/>
        <w:rPr>
          <w:rFonts w:ascii="Times New Roman" w:eastAsia="Calibri" w:hAnsi="Times New Roman" w:cs="Calibri"/>
          <w:noProof/>
          <w:sz w:val="24"/>
          <w:szCs w:val="13"/>
        </w:rPr>
      </w:pPr>
    </w:p>
    <w:p w:rsidR="00171C4A" w:rsidRPr="00C34B42" w:rsidRDefault="00171C4A" w:rsidP="00290272">
      <w:pPr>
        <w:pStyle w:val="Pamatteksts"/>
        <w:numPr>
          <w:ilvl w:val="0"/>
          <w:numId w:val="1"/>
        </w:numPr>
        <w:tabs>
          <w:tab w:val="left" w:pos="709"/>
        </w:tabs>
        <w:ind w:left="709" w:hanging="709"/>
        <w:jc w:val="both"/>
        <w:rPr>
          <w:rFonts w:ascii="Times New Roman" w:hAnsi="Times New Roman"/>
          <w:noProof/>
          <w:color w:val="231F20"/>
          <w:sz w:val="24"/>
        </w:rPr>
      </w:pPr>
      <w:r>
        <w:rPr>
          <w:rFonts w:ascii="Times New Roman" w:hAnsi="Times New Roman"/>
          <w:noProof/>
          <w:color w:val="231F20"/>
          <w:sz w:val="24"/>
        </w:rPr>
        <w:t>Lai uzlabotu politikas izstrādi un pārvaldību, dalībvalstīm vajadzības gadījumā jāpiesaista arī citas ieinteresētās puses, tostarp nevalstiskās organizācijas un izglītojamo personu, TPIM pakalpojumu sniedzēju, personāla, vecāku, jauniešu, kopienu, pirmiedzīvotāju un citi pārstāvji.</w:t>
      </w:r>
    </w:p>
    <w:p w:rsidR="00171C4A" w:rsidRPr="00C34B42" w:rsidRDefault="00171C4A" w:rsidP="00C34B42">
      <w:pPr>
        <w:jc w:val="both"/>
        <w:rPr>
          <w:rFonts w:ascii="Times New Roman" w:eastAsia="Calibri" w:hAnsi="Times New Roman" w:cs="Calibri"/>
          <w:noProof/>
          <w:sz w:val="24"/>
          <w:szCs w:val="21"/>
        </w:rPr>
      </w:pPr>
    </w:p>
    <w:p w:rsidR="00171C4A" w:rsidRDefault="00171C4A" w:rsidP="00C34B42">
      <w:pPr>
        <w:pStyle w:val="Virsraksts2"/>
        <w:ind w:left="0"/>
        <w:jc w:val="both"/>
        <w:rPr>
          <w:rFonts w:ascii="Times New Roman" w:hAnsi="Times New Roman"/>
          <w:noProof/>
          <w:color w:val="231F20"/>
        </w:rPr>
      </w:pPr>
      <w:r>
        <w:rPr>
          <w:rFonts w:ascii="Times New Roman" w:hAnsi="Times New Roman"/>
          <w:noProof/>
          <w:color w:val="231F20"/>
        </w:rPr>
        <w:t>Finansējums</w:t>
      </w:r>
    </w:p>
    <w:p w:rsidR="00290272" w:rsidRPr="00C34B42" w:rsidRDefault="00290272" w:rsidP="00C34B42">
      <w:pPr>
        <w:pStyle w:val="Virsraksts2"/>
        <w:ind w:left="0"/>
        <w:jc w:val="both"/>
        <w:rPr>
          <w:rFonts w:ascii="Times New Roman" w:hAnsi="Times New Roman"/>
          <w:noProof/>
          <w:color w:val="231F20"/>
        </w:rPr>
      </w:pPr>
    </w:p>
    <w:p w:rsidR="00171C4A" w:rsidRPr="00C34B42" w:rsidRDefault="00171C4A" w:rsidP="00290272">
      <w:pPr>
        <w:pStyle w:val="Pamatteksts"/>
        <w:numPr>
          <w:ilvl w:val="0"/>
          <w:numId w:val="1"/>
        </w:numPr>
        <w:tabs>
          <w:tab w:val="left" w:pos="1501"/>
        </w:tabs>
        <w:ind w:left="709" w:hanging="709"/>
        <w:jc w:val="both"/>
        <w:rPr>
          <w:rFonts w:ascii="Times New Roman" w:hAnsi="Times New Roman"/>
          <w:noProof/>
          <w:color w:val="231F20"/>
          <w:sz w:val="24"/>
        </w:rPr>
      </w:pPr>
      <w:r>
        <w:rPr>
          <w:rFonts w:ascii="Times New Roman" w:hAnsi="Times New Roman"/>
          <w:noProof/>
          <w:color w:val="231F20"/>
          <w:sz w:val="24"/>
        </w:rPr>
        <w:t>Dalībvalstīm jāizstrādā pasākumi nolūkā dažādot finansējuma avotus un iesaistīt visas ieinteresētās puses, īstenojot dažādas partnerības, tostarp publiskās un privātās partnerības. Dažādošana jāapsver, iesaistot uzņēmumus, vietējās iestādes un atsevišķas personas, vienlaikus ievērojot taisnīguma un iekļaušanas principus. Papildus esošajām publiskā finansējuma sistēmām var izpētīt tādus novatoriskus finansēšanas mehānismus kā partnerības un izmaksu dalīšanu, nodokļu atskaitījumus un aizdevumus, lai palielinātu efektivitāti un pārskatatbildību un veicinātu TPIM pieprasījumu.</w:t>
      </w:r>
    </w:p>
    <w:p w:rsidR="00171C4A" w:rsidRPr="00C34B42" w:rsidRDefault="00171C4A" w:rsidP="00290272">
      <w:pPr>
        <w:ind w:left="709" w:hanging="709"/>
        <w:jc w:val="both"/>
        <w:rPr>
          <w:rFonts w:ascii="Times New Roman" w:eastAsia="Calibri" w:hAnsi="Times New Roman" w:cs="Calibri"/>
          <w:noProof/>
          <w:sz w:val="24"/>
          <w:szCs w:val="13"/>
        </w:rPr>
      </w:pPr>
    </w:p>
    <w:p w:rsidR="00171C4A" w:rsidRPr="00C34B42" w:rsidRDefault="00171C4A" w:rsidP="00290272">
      <w:pPr>
        <w:pStyle w:val="Pamatteksts"/>
        <w:numPr>
          <w:ilvl w:val="0"/>
          <w:numId w:val="1"/>
        </w:numPr>
        <w:tabs>
          <w:tab w:val="left" w:pos="1501"/>
        </w:tabs>
        <w:ind w:left="709" w:hanging="709"/>
        <w:jc w:val="both"/>
        <w:rPr>
          <w:rFonts w:ascii="Times New Roman" w:hAnsi="Times New Roman"/>
          <w:noProof/>
          <w:color w:val="231F20"/>
          <w:sz w:val="24"/>
        </w:rPr>
      </w:pPr>
      <w:r>
        <w:rPr>
          <w:rFonts w:ascii="Times New Roman" w:hAnsi="Times New Roman"/>
          <w:noProof/>
          <w:color w:val="231F20"/>
          <w:sz w:val="24"/>
        </w:rPr>
        <w:t>Jāizveido dažāda veida stimuli un pārskatatbildības mehānismi nolūkā paaugstināt informētību un palielināt visdažādāko dalībnieku veiktus ieguldījumus TPIM, kā arī pāriet no tradicionālajiem resursu piešķiršanas un izmantošanas modeļiem, kuros vērā ņem ieguldījumus, uz tādiem finansējuma modeļiem, kuri vairāk vērsti uz darbības rezultātiem.</w:t>
      </w:r>
    </w:p>
    <w:p w:rsidR="00171C4A" w:rsidRPr="00C34B42" w:rsidRDefault="00171C4A" w:rsidP="00290272">
      <w:pPr>
        <w:ind w:left="709" w:hanging="709"/>
        <w:jc w:val="both"/>
        <w:rPr>
          <w:rFonts w:ascii="Times New Roman" w:eastAsia="Calibri" w:hAnsi="Times New Roman" w:cs="Calibri"/>
          <w:noProof/>
          <w:sz w:val="24"/>
          <w:szCs w:val="13"/>
        </w:rPr>
      </w:pPr>
    </w:p>
    <w:p w:rsidR="00171C4A" w:rsidRPr="00C34B42" w:rsidRDefault="00171C4A" w:rsidP="00290272">
      <w:pPr>
        <w:pStyle w:val="Pamatteksts"/>
        <w:numPr>
          <w:ilvl w:val="0"/>
          <w:numId w:val="1"/>
        </w:numPr>
        <w:tabs>
          <w:tab w:val="left" w:pos="1501"/>
        </w:tabs>
        <w:ind w:left="709" w:hanging="709"/>
        <w:jc w:val="both"/>
        <w:rPr>
          <w:rFonts w:ascii="Times New Roman" w:hAnsi="Times New Roman"/>
          <w:noProof/>
          <w:color w:val="231F20"/>
          <w:sz w:val="24"/>
        </w:rPr>
      </w:pPr>
      <w:r>
        <w:rPr>
          <w:rFonts w:ascii="Times New Roman" w:hAnsi="Times New Roman"/>
          <w:noProof/>
          <w:color w:val="231F20"/>
          <w:sz w:val="24"/>
        </w:rPr>
        <w:t>TPIM iestāžu finansējumam, tostarp vidējās, pēcvidusskolas un augstākās izglītības līmenī, jābūt atbilstošam to darbībām, tostarp infrastruktūrai, aprīkojumam un to uzturēšanai. TPIM iestādēm jābūt atbilstošiem darbības un finansiālās autonomijas līmeņiem, lai ļautu tām darboties atbilstoši vietējam kontekstam, veidot jaunas partnerības, lai uzlabotu TPIM programmu kvalitāti un būtiskumu, un radīt ieņēmumus.</w:t>
      </w:r>
    </w:p>
    <w:p w:rsidR="00D77ADC" w:rsidRDefault="00D77ADC">
      <w:pPr>
        <w:rPr>
          <w:rFonts w:ascii="Times New Roman" w:eastAsia="Calibri" w:hAnsi="Times New Roman" w:cs="Calibri"/>
          <w:noProof/>
          <w:sz w:val="24"/>
          <w:szCs w:val="17"/>
        </w:rPr>
      </w:pPr>
      <w:r>
        <w:rPr>
          <w:rFonts w:ascii="Times New Roman" w:eastAsia="Calibri" w:hAnsi="Times New Roman" w:cs="Calibri"/>
          <w:noProof/>
          <w:sz w:val="24"/>
          <w:szCs w:val="17"/>
        </w:rPr>
        <w:br w:type="page"/>
      </w:r>
    </w:p>
    <w:p w:rsidR="00171C4A" w:rsidRPr="00C34B42" w:rsidRDefault="00171C4A" w:rsidP="00C34B42">
      <w:pPr>
        <w:jc w:val="both"/>
        <w:rPr>
          <w:rFonts w:ascii="Times New Roman" w:eastAsia="Calibri" w:hAnsi="Times New Roman" w:cs="Calibri"/>
          <w:noProof/>
          <w:sz w:val="24"/>
          <w:szCs w:val="17"/>
        </w:rPr>
      </w:pPr>
    </w:p>
    <w:p w:rsidR="00171C4A" w:rsidRDefault="00171C4A" w:rsidP="00C34B42">
      <w:pPr>
        <w:pStyle w:val="Virsraksts2"/>
        <w:ind w:left="0"/>
        <w:jc w:val="both"/>
        <w:rPr>
          <w:rFonts w:ascii="Times New Roman" w:hAnsi="Times New Roman"/>
          <w:noProof/>
          <w:color w:val="231F20"/>
        </w:rPr>
      </w:pPr>
      <w:r>
        <w:rPr>
          <w:rFonts w:ascii="Times New Roman" w:hAnsi="Times New Roman"/>
          <w:noProof/>
          <w:color w:val="231F20"/>
        </w:rPr>
        <w:t>Taisnīgums un piekļuve</w:t>
      </w:r>
    </w:p>
    <w:p w:rsidR="00290272" w:rsidRPr="00C34B42" w:rsidRDefault="00290272" w:rsidP="00C34B42">
      <w:pPr>
        <w:pStyle w:val="Virsraksts2"/>
        <w:ind w:left="0"/>
        <w:jc w:val="both"/>
        <w:rPr>
          <w:rFonts w:ascii="Times New Roman" w:hAnsi="Times New Roman"/>
          <w:noProof/>
          <w:color w:val="231F20"/>
        </w:rPr>
      </w:pPr>
    </w:p>
    <w:p w:rsidR="00171C4A" w:rsidRPr="00C34B42" w:rsidRDefault="00171C4A" w:rsidP="00290272">
      <w:pPr>
        <w:pStyle w:val="Pamatteksts"/>
        <w:numPr>
          <w:ilvl w:val="0"/>
          <w:numId w:val="1"/>
        </w:numPr>
        <w:tabs>
          <w:tab w:val="left" w:pos="1501"/>
        </w:tabs>
        <w:ind w:left="709" w:hanging="709"/>
        <w:jc w:val="both"/>
        <w:rPr>
          <w:rFonts w:ascii="Times New Roman" w:hAnsi="Times New Roman"/>
          <w:noProof/>
          <w:color w:val="231F20"/>
          <w:sz w:val="24"/>
        </w:rPr>
      </w:pPr>
      <w:r>
        <w:rPr>
          <w:rFonts w:ascii="Times New Roman" w:hAnsi="Times New Roman"/>
          <w:noProof/>
          <w:color w:val="231F20"/>
          <w:sz w:val="24"/>
        </w:rPr>
        <w:t>Dalībvalstīm jāveic pasākumi, lai nodrošinātu, ka visiem jauniešiem un pieaugušajiem ir vienlīdzīgas iespējas mācīties, pilnveidoties un uzlabot savas zināšanas, prasmes un kompetences, pārveidojot un paplašinot TPIM visos tās veidos, lai pievērstu uzmanību ļoti dažādajām mācību vajadzībām. Atkarībā no konteksta informācijas un komunikācijas tehnoloģijas jāuzskata par līdzekli piekļuves un līdzdalības paplašināšanai.</w:t>
      </w:r>
    </w:p>
    <w:p w:rsidR="00171C4A" w:rsidRPr="00C34B42" w:rsidRDefault="00171C4A" w:rsidP="00290272">
      <w:pPr>
        <w:ind w:left="709" w:hanging="709"/>
        <w:jc w:val="both"/>
        <w:rPr>
          <w:rFonts w:ascii="Times New Roman" w:eastAsia="Calibri" w:hAnsi="Times New Roman" w:cs="Calibri"/>
          <w:noProof/>
          <w:sz w:val="24"/>
          <w:szCs w:val="13"/>
        </w:rPr>
      </w:pPr>
    </w:p>
    <w:p w:rsidR="00171C4A" w:rsidRPr="00C34B42" w:rsidRDefault="00171C4A" w:rsidP="00290272">
      <w:pPr>
        <w:pStyle w:val="Pamatteksts"/>
        <w:numPr>
          <w:ilvl w:val="0"/>
          <w:numId w:val="1"/>
        </w:numPr>
        <w:tabs>
          <w:tab w:val="left" w:pos="1501"/>
        </w:tabs>
        <w:ind w:left="709" w:hanging="709"/>
        <w:jc w:val="both"/>
        <w:rPr>
          <w:rFonts w:ascii="Times New Roman" w:hAnsi="Times New Roman"/>
          <w:noProof/>
          <w:color w:val="231F20"/>
          <w:sz w:val="24"/>
        </w:rPr>
      </w:pPr>
      <w:r>
        <w:rPr>
          <w:rFonts w:ascii="Times New Roman" w:hAnsi="Times New Roman"/>
          <w:noProof/>
          <w:color w:val="231F20"/>
          <w:sz w:val="24"/>
        </w:rPr>
        <w:t>Dalībvalstīm atbilstoši to pārvaldības struktūrām jānodrošina kvalitatīva pamatizglītība visiem un jāapmierina jauniešu, kas nemācās, un mazprasmīgu pieaugušo vajadzības, attīstot pamata rakstpratību, rēķinātprasmes un caurviju prasmes kā pamatu pilnvērtīgai līdzdalībai TPIM. Izglītības jomas un citām ieinteresētajām pusēm jārada tādi apstākļi TPIM nodrošināšanai visiem, kas garantē izvēles brīvību.</w:t>
      </w:r>
    </w:p>
    <w:p w:rsidR="00171C4A" w:rsidRPr="00C34B42" w:rsidRDefault="00171C4A" w:rsidP="00290272">
      <w:pPr>
        <w:ind w:left="709" w:hanging="709"/>
        <w:jc w:val="both"/>
        <w:rPr>
          <w:rFonts w:ascii="Times New Roman" w:eastAsia="Calibri" w:hAnsi="Times New Roman" w:cs="Calibri"/>
          <w:noProof/>
          <w:sz w:val="24"/>
          <w:szCs w:val="13"/>
        </w:rPr>
      </w:pPr>
    </w:p>
    <w:p w:rsidR="00171C4A" w:rsidRPr="00C34B42" w:rsidRDefault="00171C4A" w:rsidP="00290272">
      <w:pPr>
        <w:pStyle w:val="Pamatteksts"/>
        <w:numPr>
          <w:ilvl w:val="0"/>
          <w:numId w:val="1"/>
        </w:numPr>
        <w:tabs>
          <w:tab w:val="left" w:pos="1501"/>
        </w:tabs>
        <w:ind w:left="709" w:hanging="709"/>
        <w:jc w:val="both"/>
        <w:rPr>
          <w:rFonts w:ascii="Times New Roman" w:hAnsi="Times New Roman"/>
          <w:noProof/>
          <w:color w:val="231F20"/>
          <w:sz w:val="24"/>
        </w:rPr>
      </w:pPr>
      <w:r>
        <w:rPr>
          <w:rFonts w:ascii="Times New Roman" w:hAnsi="Times New Roman"/>
          <w:noProof/>
          <w:color w:val="231F20"/>
          <w:sz w:val="24"/>
        </w:rPr>
        <w:t>Jāveic pasākumi pret visa veida diskrimināciju, tostarp diskrimināciju dzimuma dēļ. Dalībvalstīm jāveicina sieviešu un vīriešu vienlīdzīga piekļuve un līdzdalība kvalitatīvā TPIM. Visa veida TPIM iestādēs, programmās, izglītības programmās, materiālos, kā arī veicot mācīšanos darbavietā, jāizvairās no stereotipiem, kas saistīti ar dzimumu un citiem stereotipiem, un jāsekmē dzimumu līdztiesības sasniegšana. Dalībvalstīm jāpieņem novatoriski mehānismi taisnīguma un piekļuves veicināšanai, piemēram, finanšu stimuli, kas ietekmē uzņemšanas praksi izglītības iestādēs.</w:t>
      </w:r>
    </w:p>
    <w:p w:rsidR="00171C4A" w:rsidRPr="00C34B42" w:rsidRDefault="00171C4A" w:rsidP="00290272">
      <w:pPr>
        <w:ind w:left="709" w:hanging="709"/>
        <w:jc w:val="both"/>
        <w:rPr>
          <w:rFonts w:ascii="Times New Roman" w:eastAsia="Calibri" w:hAnsi="Times New Roman" w:cs="Calibri"/>
          <w:noProof/>
          <w:sz w:val="24"/>
          <w:szCs w:val="21"/>
        </w:rPr>
      </w:pPr>
    </w:p>
    <w:p w:rsidR="00171C4A" w:rsidRPr="00C34B42" w:rsidRDefault="00171C4A" w:rsidP="00290272">
      <w:pPr>
        <w:pStyle w:val="Pamatteksts"/>
        <w:numPr>
          <w:ilvl w:val="0"/>
          <w:numId w:val="1"/>
        </w:numPr>
        <w:tabs>
          <w:tab w:val="left" w:pos="709"/>
        </w:tabs>
        <w:ind w:left="709" w:hanging="709"/>
        <w:jc w:val="both"/>
        <w:rPr>
          <w:rFonts w:ascii="Times New Roman" w:hAnsi="Times New Roman"/>
          <w:noProof/>
          <w:color w:val="231F20"/>
          <w:sz w:val="24"/>
        </w:rPr>
      </w:pPr>
      <w:r>
        <w:rPr>
          <w:rFonts w:ascii="Times New Roman" w:hAnsi="Times New Roman"/>
          <w:noProof/>
          <w:color w:val="231F20"/>
          <w:sz w:val="24"/>
        </w:rPr>
        <w:t>Dalībvalstīm jāpadara TPIM pieejamāka visām nelabvēlīgā situācijā esošām un neaizsargātām iedzīvotāju grupām, tostarp atstumtiem lauku un tālāku reģionu iedzīvotājiem, sniedzot mērķtiecīgu atbalstu, lai samazinātu izmaksu slogu un novērstu citus šķēršļus. Atbilstoši valstu kontekstiem dalībvalstīm jāpievērš uzmanība izglītojamām personām ar invaliditāti, pirmiedzīvotājiem, klejojošajiem iedzīvotājiem, etnisko minoritāšu grupām, sociāli atstumtām iedzīvotāju grupām, migrantiem, bēgļiem, bezvalstniekiem un konfliktu vai katastrofu skartiem iedzīvotājiem, kā arī bezdarbniekiem un neaizsargātiem darba ņēmējiem.</w:t>
      </w:r>
    </w:p>
    <w:p w:rsidR="00171C4A" w:rsidRPr="00C34B42" w:rsidRDefault="00171C4A" w:rsidP="00C34B42">
      <w:pPr>
        <w:jc w:val="both"/>
        <w:rPr>
          <w:rFonts w:ascii="Times New Roman" w:eastAsia="Calibri" w:hAnsi="Times New Roman" w:cs="Calibri"/>
          <w:noProof/>
          <w:sz w:val="24"/>
          <w:szCs w:val="18"/>
        </w:rPr>
      </w:pPr>
    </w:p>
    <w:p w:rsidR="00171C4A" w:rsidRPr="00C34B42" w:rsidRDefault="00171C4A" w:rsidP="00C34B42">
      <w:pPr>
        <w:jc w:val="both"/>
        <w:rPr>
          <w:rFonts w:ascii="Times New Roman" w:eastAsia="Calibri" w:hAnsi="Times New Roman" w:cs="Calibri"/>
          <w:noProof/>
          <w:sz w:val="24"/>
          <w:szCs w:val="20"/>
        </w:rPr>
      </w:pPr>
    </w:p>
    <w:p w:rsidR="00171C4A" w:rsidRPr="00D77ADC" w:rsidRDefault="00290272" w:rsidP="00290272">
      <w:pPr>
        <w:pStyle w:val="Virsraksts1"/>
        <w:tabs>
          <w:tab w:val="left" w:pos="491"/>
          <w:tab w:val="left" w:pos="7487"/>
        </w:tabs>
        <w:ind w:left="0" w:firstLine="0"/>
        <w:jc w:val="both"/>
        <w:rPr>
          <w:rFonts w:ascii="Times New Roman" w:hAnsi="Times New Roman"/>
          <w:noProof/>
          <w:color w:val="0080AC"/>
          <w:sz w:val="28"/>
        </w:rPr>
      </w:pPr>
      <w:r w:rsidRPr="00D77ADC">
        <w:rPr>
          <w:rFonts w:ascii="Times New Roman" w:hAnsi="Times New Roman"/>
          <w:noProof/>
          <w:color w:val="0080AC"/>
          <w:sz w:val="28"/>
        </w:rPr>
        <w:t>IV. KVALITĀTE UN BŪTISKUMS</w:t>
      </w:r>
    </w:p>
    <w:p w:rsidR="00171C4A" w:rsidRPr="00C34B42" w:rsidRDefault="00171C4A" w:rsidP="00C34B42">
      <w:pPr>
        <w:jc w:val="both"/>
        <w:rPr>
          <w:rFonts w:ascii="Times New Roman" w:eastAsia="Calibri" w:hAnsi="Times New Roman" w:cs="Calibri"/>
          <w:b/>
          <w:bCs/>
          <w:noProof/>
          <w:sz w:val="24"/>
          <w:szCs w:val="42"/>
        </w:rPr>
      </w:pPr>
    </w:p>
    <w:p w:rsidR="00171C4A" w:rsidRDefault="00171C4A" w:rsidP="00C34B42">
      <w:pPr>
        <w:pStyle w:val="Virsraksts2"/>
        <w:ind w:left="0"/>
        <w:jc w:val="both"/>
        <w:rPr>
          <w:rFonts w:ascii="Times New Roman" w:hAnsi="Times New Roman"/>
          <w:noProof/>
          <w:color w:val="231F20"/>
        </w:rPr>
      </w:pPr>
      <w:r>
        <w:rPr>
          <w:rFonts w:ascii="Times New Roman" w:hAnsi="Times New Roman"/>
          <w:noProof/>
          <w:color w:val="231F20"/>
        </w:rPr>
        <w:t>Mācību procesi</w:t>
      </w:r>
    </w:p>
    <w:p w:rsidR="00290272" w:rsidRPr="00C34B42" w:rsidRDefault="00290272" w:rsidP="00C34B42">
      <w:pPr>
        <w:pStyle w:val="Virsraksts2"/>
        <w:ind w:left="0"/>
        <w:jc w:val="both"/>
        <w:rPr>
          <w:rFonts w:ascii="Times New Roman" w:hAnsi="Times New Roman"/>
          <w:noProof/>
          <w:color w:val="231F20"/>
        </w:rPr>
      </w:pPr>
    </w:p>
    <w:p w:rsidR="00171C4A" w:rsidRPr="00C34B42" w:rsidRDefault="00171C4A" w:rsidP="00290272">
      <w:pPr>
        <w:pStyle w:val="Pamatteksts"/>
        <w:numPr>
          <w:ilvl w:val="0"/>
          <w:numId w:val="1"/>
        </w:numPr>
        <w:tabs>
          <w:tab w:val="left" w:pos="709"/>
        </w:tabs>
        <w:ind w:left="709" w:hanging="709"/>
        <w:jc w:val="both"/>
        <w:rPr>
          <w:rFonts w:ascii="Times New Roman" w:hAnsi="Times New Roman"/>
          <w:noProof/>
          <w:color w:val="231F20"/>
          <w:sz w:val="24"/>
        </w:rPr>
      </w:pPr>
      <w:r>
        <w:rPr>
          <w:rFonts w:ascii="Times New Roman" w:hAnsi="Times New Roman"/>
          <w:noProof/>
          <w:color w:val="231F20"/>
          <w:sz w:val="24"/>
        </w:rPr>
        <w:t>Dalībvalstīm atbilstoši to īpašajiem apstākļiem, pārvaldības struktūrām un konstitucionālajiem noteikumiem jāatbalsta visdažādākās mācību iespējas – gan publiskajās, gan privātajās TPIM iestādēs, darbavietās, mājās vai citos apstākļos. Jāatbalsta un attiecīgā gadījumā, izmantojot atzīšanas un apstiprināšanas mehānismus, jāpopularizē ikdienēja mācīšanās – gan patstāvīga, gan kopīga, gan cita veida sociālā mācīšanās.</w:t>
      </w:r>
    </w:p>
    <w:p w:rsidR="00171C4A" w:rsidRPr="00C34B42" w:rsidRDefault="00171C4A" w:rsidP="00290272">
      <w:pPr>
        <w:tabs>
          <w:tab w:val="left" w:pos="709"/>
        </w:tabs>
        <w:ind w:left="709" w:hanging="709"/>
        <w:jc w:val="both"/>
        <w:rPr>
          <w:rFonts w:ascii="Times New Roman" w:eastAsia="Calibri" w:hAnsi="Times New Roman" w:cs="Calibri"/>
          <w:noProof/>
          <w:sz w:val="24"/>
          <w:szCs w:val="13"/>
        </w:rPr>
      </w:pPr>
    </w:p>
    <w:p w:rsidR="00171C4A" w:rsidRPr="00C34B42" w:rsidRDefault="00171C4A" w:rsidP="00290272">
      <w:pPr>
        <w:pStyle w:val="Pamatteksts"/>
        <w:numPr>
          <w:ilvl w:val="0"/>
          <w:numId w:val="1"/>
        </w:numPr>
        <w:tabs>
          <w:tab w:val="left" w:pos="709"/>
        </w:tabs>
        <w:ind w:left="709" w:hanging="709"/>
        <w:jc w:val="both"/>
        <w:rPr>
          <w:rFonts w:ascii="Times New Roman" w:hAnsi="Times New Roman"/>
          <w:noProof/>
          <w:color w:val="231F20"/>
          <w:sz w:val="24"/>
        </w:rPr>
      </w:pPr>
      <w:r>
        <w:rPr>
          <w:rFonts w:ascii="Times New Roman" w:hAnsi="Times New Roman"/>
          <w:noProof/>
          <w:color w:val="231F20"/>
          <w:sz w:val="24"/>
        </w:rPr>
        <w:t xml:space="preserve">Papildus zināšanām, prasmēm un kompetencēm, kas attiecas uz profesionālajām jomām, mācību procesiem jābalstās pamatprasmēs un jāveicina dziļāka izpratne par zinātniskajiem, tehnoloģiskajiem, sociālajiem, kultūras, vides, ekonomiskajiem un citiem sabiedrības aspektiem. TPIM jābūt holistiskām un jāattīsta caurviju un uzņēmējdarbības prasmes, prasmes veselības un darba drošības, kultūras attīstības, </w:t>
      </w:r>
      <w:r>
        <w:rPr>
          <w:rFonts w:ascii="Times New Roman" w:hAnsi="Times New Roman"/>
          <w:noProof/>
          <w:color w:val="231F20"/>
          <w:sz w:val="24"/>
        </w:rPr>
        <w:lastRenderedPageBreak/>
        <w:t>atbildīgas pilsoniskās nostājas un ilgtspējīgas attīstības jomā, kā arī zināšanas par darba tiesībām.</w:t>
      </w:r>
    </w:p>
    <w:p w:rsidR="00171C4A" w:rsidRPr="00C34B42" w:rsidRDefault="00171C4A" w:rsidP="00290272">
      <w:pPr>
        <w:tabs>
          <w:tab w:val="left" w:pos="709"/>
        </w:tabs>
        <w:ind w:left="709" w:hanging="709"/>
        <w:jc w:val="both"/>
        <w:rPr>
          <w:rFonts w:ascii="Times New Roman" w:eastAsia="Calibri" w:hAnsi="Times New Roman" w:cs="Calibri"/>
          <w:noProof/>
          <w:sz w:val="24"/>
          <w:szCs w:val="13"/>
        </w:rPr>
      </w:pPr>
    </w:p>
    <w:p w:rsidR="00171C4A" w:rsidRPr="00C34B42" w:rsidRDefault="00171C4A" w:rsidP="00290272">
      <w:pPr>
        <w:pStyle w:val="Pamatteksts"/>
        <w:numPr>
          <w:ilvl w:val="0"/>
          <w:numId w:val="1"/>
        </w:numPr>
        <w:tabs>
          <w:tab w:val="left" w:pos="709"/>
        </w:tabs>
        <w:ind w:left="709" w:hanging="709"/>
        <w:jc w:val="both"/>
        <w:rPr>
          <w:rFonts w:ascii="Times New Roman" w:hAnsi="Times New Roman"/>
          <w:noProof/>
          <w:color w:val="231F20"/>
          <w:sz w:val="24"/>
        </w:rPr>
      </w:pPr>
      <w:r>
        <w:rPr>
          <w:rFonts w:ascii="Times New Roman" w:hAnsi="Times New Roman"/>
          <w:noProof/>
          <w:color w:val="231F20"/>
          <w:sz w:val="24"/>
        </w:rPr>
        <w:t>Jāveicina dažāda veida mācīšanās darbavietā, tostarp mācības darbavietā, tehniskās un profesionālās izglītības iestāžu piesaiste uzņēmumiem, māceklība un stažēšanās. Jāuzlabo mācīšanās darbavietā kvalitāte, un attiecīgā gadījumā tā jāpapildina ar mācīšanos izglītības iestādēs vai citiem mācību veidiem.</w:t>
      </w:r>
    </w:p>
    <w:p w:rsidR="00171C4A" w:rsidRPr="00C34B42" w:rsidRDefault="00171C4A" w:rsidP="00290272">
      <w:pPr>
        <w:tabs>
          <w:tab w:val="left" w:pos="709"/>
        </w:tabs>
        <w:ind w:left="709" w:hanging="709"/>
        <w:jc w:val="both"/>
        <w:rPr>
          <w:rFonts w:ascii="Times New Roman" w:eastAsia="Calibri" w:hAnsi="Times New Roman" w:cs="Calibri"/>
          <w:noProof/>
          <w:sz w:val="24"/>
          <w:szCs w:val="13"/>
        </w:rPr>
      </w:pPr>
    </w:p>
    <w:p w:rsidR="00171C4A" w:rsidRPr="00C34B42" w:rsidRDefault="00171C4A" w:rsidP="00290272">
      <w:pPr>
        <w:pStyle w:val="Pamatteksts"/>
        <w:numPr>
          <w:ilvl w:val="0"/>
          <w:numId w:val="1"/>
        </w:numPr>
        <w:tabs>
          <w:tab w:val="left" w:pos="709"/>
        </w:tabs>
        <w:ind w:left="709" w:hanging="709"/>
        <w:jc w:val="both"/>
        <w:rPr>
          <w:rFonts w:ascii="Times New Roman" w:hAnsi="Times New Roman"/>
          <w:noProof/>
          <w:color w:val="231F20"/>
          <w:sz w:val="24"/>
        </w:rPr>
      </w:pPr>
      <w:r>
        <w:rPr>
          <w:rFonts w:ascii="Times New Roman" w:hAnsi="Times New Roman"/>
          <w:noProof/>
          <w:color w:val="231F20"/>
          <w:sz w:val="24"/>
        </w:rPr>
        <w:t>Valsts politikai jāatbalsta un jāatvieglo kvalitatīva māceklība, kas sastāv no darba un mācīšanās izglītības iestādēs, īstenojot sociālo dialogu un publiskās un privātās partnerības, lai palīdzētu jauniešiem pilnveidot viņu zināšanas, prasmes un kompetences un gūt darba pieredzi.</w:t>
      </w:r>
    </w:p>
    <w:p w:rsidR="00171C4A" w:rsidRPr="00C34B42" w:rsidRDefault="00171C4A" w:rsidP="00290272">
      <w:pPr>
        <w:tabs>
          <w:tab w:val="left" w:pos="709"/>
        </w:tabs>
        <w:ind w:left="709" w:hanging="709"/>
        <w:jc w:val="both"/>
        <w:rPr>
          <w:rFonts w:ascii="Times New Roman" w:eastAsia="Calibri" w:hAnsi="Times New Roman" w:cs="Calibri"/>
          <w:noProof/>
          <w:sz w:val="24"/>
          <w:szCs w:val="13"/>
        </w:rPr>
      </w:pPr>
    </w:p>
    <w:p w:rsidR="00171C4A" w:rsidRPr="00C34B42" w:rsidRDefault="00171C4A" w:rsidP="00290272">
      <w:pPr>
        <w:pStyle w:val="Pamatteksts"/>
        <w:numPr>
          <w:ilvl w:val="0"/>
          <w:numId w:val="1"/>
        </w:numPr>
        <w:tabs>
          <w:tab w:val="left" w:pos="709"/>
        </w:tabs>
        <w:ind w:left="709" w:hanging="709"/>
        <w:jc w:val="both"/>
        <w:rPr>
          <w:rFonts w:ascii="Times New Roman" w:hAnsi="Times New Roman"/>
          <w:noProof/>
          <w:color w:val="231F20"/>
          <w:sz w:val="24"/>
        </w:rPr>
      </w:pPr>
      <w:r>
        <w:rPr>
          <w:rFonts w:ascii="Times New Roman" w:hAnsi="Times New Roman"/>
          <w:noProof/>
          <w:color w:val="231F20"/>
          <w:sz w:val="24"/>
        </w:rPr>
        <w:t>Jāveicina TPIM neoficiālajā ekonomikā, tostarp īstenojot kvalitatīvu tradicionālu māceklību mazajos uzņēmumos, mikrouzņēmumos un ģimenes uzņēmumos, piesaistot ieinteresētās puses lauku apvidos un pilsētās.</w:t>
      </w:r>
    </w:p>
    <w:p w:rsidR="00171C4A" w:rsidRPr="00C34B42" w:rsidRDefault="00171C4A" w:rsidP="00290272">
      <w:pPr>
        <w:tabs>
          <w:tab w:val="left" w:pos="709"/>
        </w:tabs>
        <w:ind w:left="709" w:hanging="709"/>
        <w:jc w:val="both"/>
        <w:rPr>
          <w:rFonts w:ascii="Times New Roman" w:eastAsia="Calibri" w:hAnsi="Times New Roman" w:cs="Calibri"/>
          <w:noProof/>
          <w:sz w:val="24"/>
          <w:szCs w:val="13"/>
        </w:rPr>
      </w:pPr>
    </w:p>
    <w:p w:rsidR="00171C4A" w:rsidRPr="00C34B42" w:rsidRDefault="00171C4A" w:rsidP="00290272">
      <w:pPr>
        <w:pStyle w:val="Pamatteksts"/>
        <w:numPr>
          <w:ilvl w:val="0"/>
          <w:numId w:val="1"/>
        </w:numPr>
        <w:tabs>
          <w:tab w:val="left" w:pos="709"/>
        </w:tabs>
        <w:ind w:left="709" w:hanging="709"/>
        <w:jc w:val="both"/>
        <w:rPr>
          <w:rFonts w:ascii="Times New Roman" w:hAnsi="Times New Roman"/>
          <w:noProof/>
          <w:color w:val="231F20"/>
          <w:sz w:val="24"/>
        </w:rPr>
      </w:pPr>
      <w:r>
        <w:rPr>
          <w:rFonts w:ascii="Times New Roman" w:hAnsi="Times New Roman"/>
          <w:noProof/>
          <w:color w:val="231F20"/>
          <w:sz w:val="24"/>
        </w:rPr>
        <w:t>TPIM jomā pilnībā jāizmanto informācijas un komunikācijas tehnoloģiju potenciāls. Jāizmanto internets, mobilās tehnoloģijas un sociālie plašsaziņas līdzekļi, lai veicinātu pakalpojumu sniegšanu attālināti un tiešsaistē, tostarp izmantojot dažādas modeļu kombinācijas un izstrādājot un izmantojot brīvpieejas izglītības resursus.</w:t>
      </w:r>
    </w:p>
    <w:p w:rsidR="00171C4A" w:rsidRPr="00C34B42" w:rsidRDefault="00171C4A" w:rsidP="00290272">
      <w:pPr>
        <w:tabs>
          <w:tab w:val="left" w:pos="709"/>
        </w:tabs>
        <w:ind w:left="709" w:hanging="709"/>
        <w:jc w:val="both"/>
        <w:rPr>
          <w:rFonts w:ascii="Times New Roman" w:eastAsia="Calibri" w:hAnsi="Times New Roman" w:cs="Calibri"/>
          <w:noProof/>
          <w:sz w:val="24"/>
          <w:szCs w:val="21"/>
        </w:rPr>
      </w:pPr>
    </w:p>
    <w:p w:rsidR="00171C4A" w:rsidRPr="00C34B42" w:rsidRDefault="00171C4A" w:rsidP="00290272">
      <w:pPr>
        <w:pStyle w:val="Pamatteksts"/>
        <w:numPr>
          <w:ilvl w:val="0"/>
          <w:numId w:val="1"/>
        </w:numPr>
        <w:tabs>
          <w:tab w:val="left" w:pos="709"/>
          <w:tab w:val="left" w:pos="1501"/>
        </w:tabs>
        <w:ind w:left="709" w:hanging="709"/>
        <w:jc w:val="both"/>
        <w:rPr>
          <w:rFonts w:ascii="Times New Roman" w:hAnsi="Times New Roman"/>
          <w:noProof/>
          <w:color w:val="231F20"/>
          <w:sz w:val="24"/>
        </w:rPr>
      </w:pPr>
      <w:r>
        <w:rPr>
          <w:rFonts w:ascii="Times New Roman" w:hAnsi="Times New Roman"/>
          <w:noProof/>
          <w:color w:val="231F20"/>
          <w:sz w:val="24"/>
        </w:rPr>
        <w:t>Jāizveido efektīvas un atbilstošas novērtēšanas sistēmas, lai radītu un izmantotu informāciju par izglītojamo personu sasniegumiem. Mācīšanas un mācību procesu novērtēšana, tostarp veidojošs novērtējums, jāveic, piedaloties visām ieinteresētajām pusēm, jo īpaši skolotājiem un instruktoriem, attiecīgo profesionālo jomu pārstāvjiem, uzraugiem un izglītojamām personām. Izglītojamo personu vispārējais sniegums jānovērtē, izmantojot dažādotas novērtēšanas metodes, tostarp vajadzības gadījumā pašnovērtējumu un salīdzinošu novērtējumu.</w:t>
      </w:r>
    </w:p>
    <w:p w:rsidR="00171C4A" w:rsidRPr="00C34B42" w:rsidRDefault="00171C4A" w:rsidP="00C34B42">
      <w:pPr>
        <w:jc w:val="both"/>
        <w:rPr>
          <w:rFonts w:ascii="Times New Roman" w:eastAsia="Calibri" w:hAnsi="Times New Roman" w:cs="Calibri"/>
          <w:noProof/>
          <w:sz w:val="24"/>
          <w:szCs w:val="18"/>
        </w:rPr>
      </w:pPr>
    </w:p>
    <w:p w:rsidR="00171C4A" w:rsidRDefault="00171C4A" w:rsidP="00C34B42">
      <w:pPr>
        <w:pStyle w:val="Virsraksts2"/>
        <w:ind w:left="0"/>
        <w:jc w:val="both"/>
        <w:rPr>
          <w:rFonts w:ascii="Times New Roman" w:hAnsi="Times New Roman"/>
          <w:noProof/>
          <w:color w:val="231F20"/>
        </w:rPr>
      </w:pPr>
      <w:r>
        <w:rPr>
          <w:rFonts w:ascii="Times New Roman" w:hAnsi="Times New Roman"/>
          <w:noProof/>
          <w:color w:val="231F20"/>
        </w:rPr>
        <w:t>TPIM personāls</w:t>
      </w:r>
    </w:p>
    <w:p w:rsidR="00290272" w:rsidRPr="00C34B42" w:rsidRDefault="00290272" w:rsidP="00C34B42">
      <w:pPr>
        <w:pStyle w:val="Virsraksts2"/>
        <w:ind w:left="0"/>
        <w:jc w:val="both"/>
        <w:rPr>
          <w:rFonts w:ascii="Times New Roman" w:hAnsi="Times New Roman"/>
          <w:noProof/>
          <w:color w:val="231F20"/>
        </w:rPr>
      </w:pPr>
    </w:p>
    <w:p w:rsidR="00171C4A" w:rsidRPr="00C34B42" w:rsidRDefault="00171C4A" w:rsidP="00290272">
      <w:pPr>
        <w:pStyle w:val="Pamatteksts"/>
        <w:numPr>
          <w:ilvl w:val="0"/>
          <w:numId w:val="1"/>
        </w:numPr>
        <w:tabs>
          <w:tab w:val="left" w:pos="1501"/>
        </w:tabs>
        <w:ind w:left="709" w:hanging="709"/>
        <w:jc w:val="both"/>
        <w:rPr>
          <w:rFonts w:ascii="Times New Roman" w:hAnsi="Times New Roman"/>
          <w:noProof/>
          <w:color w:val="231F20"/>
          <w:sz w:val="24"/>
        </w:rPr>
      </w:pPr>
      <w:r>
        <w:rPr>
          <w:rFonts w:ascii="Times New Roman" w:hAnsi="Times New Roman"/>
          <w:noProof/>
          <w:color w:val="231F20"/>
          <w:sz w:val="24"/>
        </w:rPr>
        <w:t>Jāizstrādā politika un tiesiskais regulējums, lai nodrošinātu kvalificētu un kvalitatīvu TPIM personālu, tostarp skolotājus, pasniedzējus, instruktorus, mentorus, vadītājus, administratorus, konsultantus, karjeras speciālistus un citus.</w:t>
      </w:r>
    </w:p>
    <w:p w:rsidR="00171C4A" w:rsidRPr="00C34B42" w:rsidRDefault="00171C4A" w:rsidP="00290272">
      <w:pPr>
        <w:ind w:left="709" w:hanging="709"/>
        <w:jc w:val="both"/>
        <w:rPr>
          <w:rFonts w:ascii="Times New Roman" w:eastAsia="Calibri" w:hAnsi="Times New Roman" w:cs="Calibri"/>
          <w:noProof/>
          <w:sz w:val="24"/>
          <w:szCs w:val="13"/>
        </w:rPr>
      </w:pPr>
    </w:p>
    <w:p w:rsidR="00171C4A" w:rsidRPr="00C34B42" w:rsidRDefault="00171C4A" w:rsidP="00290272">
      <w:pPr>
        <w:pStyle w:val="Pamatteksts"/>
        <w:numPr>
          <w:ilvl w:val="0"/>
          <w:numId w:val="1"/>
        </w:numPr>
        <w:tabs>
          <w:tab w:val="left" w:pos="1501"/>
        </w:tabs>
        <w:ind w:left="709" w:hanging="709"/>
        <w:jc w:val="both"/>
        <w:rPr>
          <w:rFonts w:ascii="Times New Roman" w:hAnsi="Times New Roman"/>
          <w:noProof/>
          <w:color w:val="231F20"/>
          <w:sz w:val="24"/>
        </w:rPr>
      </w:pPr>
      <w:r>
        <w:rPr>
          <w:rFonts w:ascii="Times New Roman" w:hAnsi="Times New Roman"/>
          <w:noProof/>
          <w:color w:val="231F20"/>
          <w:sz w:val="24"/>
        </w:rPr>
        <w:t>Piemēro Ieteikuma par skolotāju statusu (1966. gads) noteikumus, jo īpaši attiecībā uz noteikumiem par profesionālo sagatavošanu, skolotāju tālākizglītību, nodarbinātību un karjeru, skolotāju tiesībām un pienākumiem, nosacījumiem par efektīvu mācīšanu un mācīšanos, skolotāju algām un sociālo nodrošinājumu. Piemēro arī Ieteikumu par augstākās izglītības iestāžu mācībspēku statusu (1997. gads).</w:t>
      </w:r>
    </w:p>
    <w:p w:rsidR="00171C4A" w:rsidRPr="00C34B42" w:rsidRDefault="00171C4A" w:rsidP="00290272">
      <w:pPr>
        <w:ind w:left="709" w:hanging="709"/>
        <w:jc w:val="both"/>
        <w:rPr>
          <w:rFonts w:ascii="Times New Roman" w:eastAsia="Calibri" w:hAnsi="Times New Roman" w:cs="Calibri"/>
          <w:noProof/>
          <w:sz w:val="24"/>
          <w:szCs w:val="13"/>
        </w:rPr>
      </w:pPr>
    </w:p>
    <w:p w:rsidR="00171C4A" w:rsidRPr="00C34B42" w:rsidRDefault="00171C4A" w:rsidP="00290272">
      <w:pPr>
        <w:pStyle w:val="Pamatteksts"/>
        <w:numPr>
          <w:ilvl w:val="0"/>
          <w:numId w:val="1"/>
        </w:numPr>
        <w:tabs>
          <w:tab w:val="left" w:pos="1501"/>
        </w:tabs>
        <w:ind w:left="709" w:hanging="709"/>
        <w:jc w:val="both"/>
        <w:rPr>
          <w:rFonts w:ascii="Times New Roman" w:hAnsi="Times New Roman"/>
          <w:noProof/>
          <w:color w:val="231F20"/>
          <w:sz w:val="24"/>
        </w:rPr>
      </w:pPr>
      <w:r>
        <w:rPr>
          <w:rFonts w:ascii="Times New Roman" w:hAnsi="Times New Roman"/>
          <w:noProof/>
          <w:color w:val="231F20"/>
          <w:sz w:val="24"/>
        </w:rPr>
        <w:t>Ņemot vērā to, ka saistībā ar mācīšanos darbavietā un TPIM arvien lielāka uzmanība tiek pievērsta citiem mācību veidiem, tostarp sabiedriskiem, attālinātiem un tiešsaistes, dalībvalstīm sistemātiskāk jāatbalsta un jāatzīst instruktoru, mentoru un citu speciālistu jaunās lomas un mācību vajadzības, apsverot tādu politiku un tiesiskā regulējuma izstrādi vai nostiprināšanu, kas attiecas uz viņu statusu, pieņemšanu darbā un profesionālo izaugsmi. TPIM personālam jābūt pienācīgiem darba apstākļiem un atbilstošai samaksai, kā arī karjeras un profesionālās izaugsmes iespējām.</w:t>
      </w:r>
    </w:p>
    <w:p w:rsidR="00171C4A" w:rsidRPr="00C34B42" w:rsidRDefault="00171C4A" w:rsidP="00290272">
      <w:pPr>
        <w:ind w:left="709" w:hanging="709"/>
        <w:jc w:val="both"/>
        <w:rPr>
          <w:rFonts w:ascii="Times New Roman" w:eastAsia="Calibri" w:hAnsi="Times New Roman" w:cs="Calibri"/>
          <w:noProof/>
          <w:sz w:val="24"/>
          <w:szCs w:val="13"/>
        </w:rPr>
      </w:pPr>
    </w:p>
    <w:p w:rsidR="00171C4A" w:rsidRPr="00C34B42" w:rsidRDefault="00171C4A" w:rsidP="00290272">
      <w:pPr>
        <w:pStyle w:val="Pamatteksts"/>
        <w:numPr>
          <w:ilvl w:val="0"/>
          <w:numId w:val="1"/>
        </w:numPr>
        <w:tabs>
          <w:tab w:val="left" w:pos="1501"/>
        </w:tabs>
        <w:ind w:left="709" w:hanging="709"/>
        <w:jc w:val="both"/>
        <w:rPr>
          <w:rFonts w:ascii="Times New Roman" w:hAnsi="Times New Roman"/>
          <w:noProof/>
          <w:color w:val="231F20"/>
          <w:sz w:val="24"/>
        </w:rPr>
      </w:pPr>
      <w:r>
        <w:rPr>
          <w:rFonts w:ascii="Times New Roman" w:hAnsi="Times New Roman"/>
          <w:noProof/>
          <w:color w:val="231F20"/>
          <w:sz w:val="24"/>
        </w:rPr>
        <w:t xml:space="preserve">TPIM personālam izglītības iestādēs un darbavietās jābūt kompetencei, kas vajadzīga, </w:t>
      </w:r>
      <w:r>
        <w:rPr>
          <w:rFonts w:ascii="Times New Roman" w:hAnsi="Times New Roman"/>
          <w:noProof/>
          <w:color w:val="231F20"/>
          <w:sz w:val="24"/>
        </w:rPr>
        <w:lastRenderedPageBreak/>
        <w:t>lai TPIM atbilstu to kopienu un sabiedrību ekonomiskajam, sociālajam, kultūras un vides kontekstam, kuru interesēs tas kalpo, un lai dotu ieguldījumu TPIM pārveidošanā un paplašināšanā. Jo īpaši TPIM personālam ir vajadzīga sākotnējā sagatavošana, kā arī tālākizglītība un profesionālā izaugsme, tostarp pieredze, strādājot uzņēmumos, un atbalsts, kas ļautu pārskatīt savu praksi un pielāgoties pārmaiņām. TPIM personāla sākotnējā un tālākajā profesionālajā izaugsmē jāiekļauj mācības par karjeras atbalsta pasākumiem un dzimumu līdztiesību.</w:t>
      </w:r>
    </w:p>
    <w:p w:rsidR="00171C4A" w:rsidRPr="00C34B42" w:rsidRDefault="00171C4A" w:rsidP="00C34B42">
      <w:pPr>
        <w:jc w:val="both"/>
        <w:rPr>
          <w:rFonts w:ascii="Times New Roman" w:eastAsia="Calibri" w:hAnsi="Times New Roman" w:cs="Calibri"/>
          <w:noProof/>
          <w:sz w:val="24"/>
          <w:szCs w:val="21"/>
        </w:rPr>
      </w:pPr>
    </w:p>
    <w:p w:rsidR="00171C4A" w:rsidRDefault="00171C4A" w:rsidP="00C34B42">
      <w:pPr>
        <w:pStyle w:val="Virsraksts2"/>
        <w:ind w:left="0"/>
        <w:jc w:val="both"/>
        <w:rPr>
          <w:rFonts w:ascii="Times New Roman" w:hAnsi="Times New Roman"/>
          <w:noProof/>
          <w:color w:val="231F20"/>
        </w:rPr>
      </w:pPr>
      <w:r>
        <w:rPr>
          <w:rFonts w:ascii="Times New Roman" w:hAnsi="Times New Roman"/>
          <w:noProof/>
          <w:color w:val="231F20"/>
        </w:rPr>
        <w:t>Kvalifikācijas sistēmas un mācīšanās veidi</w:t>
      </w:r>
    </w:p>
    <w:p w:rsidR="00290272" w:rsidRPr="00C34B42" w:rsidRDefault="00290272" w:rsidP="00C34B42">
      <w:pPr>
        <w:pStyle w:val="Virsraksts2"/>
        <w:ind w:left="0"/>
        <w:jc w:val="both"/>
        <w:rPr>
          <w:rFonts w:ascii="Times New Roman" w:hAnsi="Times New Roman"/>
          <w:noProof/>
          <w:color w:val="231F20"/>
        </w:rPr>
      </w:pPr>
    </w:p>
    <w:p w:rsidR="00171C4A" w:rsidRPr="00C34B42" w:rsidRDefault="00171C4A" w:rsidP="00290272">
      <w:pPr>
        <w:pStyle w:val="Pamatteksts"/>
        <w:numPr>
          <w:ilvl w:val="0"/>
          <w:numId w:val="1"/>
        </w:numPr>
        <w:tabs>
          <w:tab w:val="left" w:pos="709"/>
        </w:tabs>
        <w:ind w:left="709" w:hanging="709"/>
        <w:jc w:val="both"/>
        <w:rPr>
          <w:rFonts w:ascii="Times New Roman" w:hAnsi="Times New Roman"/>
          <w:noProof/>
          <w:color w:val="231F20"/>
          <w:sz w:val="24"/>
        </w:rPr>
      </w:pPr>
      <w:r>
        <w:rPr>
          <w:rFonts w:ascii="Times New Roman" w:hAnsi="Times New Roman"/>
          <w:noProof/>
          <w:color w:val="231F20"/>
          <w:sz w:val="24"/>
        </w:rPr>
        <w:t>Apspriežoties ar ieinteresētajām pusēm un pamatojoties uz apzinātajām vajadzībām, tostarp profesiju standartiem, jāizstrādā precīzi formulēti, uz rezultātu balstītas kvalifikācijas ietvarstruktūras vai sistēmas, kas pamatojas uz mācīšanās rezultātiem un attiecas uz saskaņotu standartu kopumu.</w:t>
      </w:r>
    </w:p>
    <w:p w:rsidR="00171C4A" w:rsidRPr="00C34B42" w:rsidRDefault="00171C4A" w:rsidP="00290272">
      <w:pPr>
        <w:tabs>
          <w:tab w:val="left" w:pos="709"/>
        </w:tabs>
        <w:ind w:left="709" w:hanging="709"/>
        <w:jc w:val="both"/>
        <w:rPr>
          <w:rFonts w:ascii="Times New Roman" w:eastAsia="Calibri" w:hAnsi="Times New Roman" w:cs="Calibri"/>
          <w:noProof/>
          <w:sz w:val="24"/>
          <w:szCs w:val="13"/>
        </w:rPr>
      </w:pPr>
    </w:p>
    <w:p w:rsidR="00171C4A" w:rsidRPr="00C34B42" w:rsidRDefault="00171C4A" w:rsidP="00290272">
      <w:pPr>
        <w:pStyle w:val="Pamatteksts"/>
        <w:numPr>
          <w:ilvl w:val="0"/>
          <w:numId w:val="1"/>
        </w:numPr>
        <w:tabs>
          <w:tab w:val="left" w:pos="709"/>
        </w:tabs>
        <w:ind w:left="709" w:hanging="709"/>
        <w:jc w:val="both"/>
        <w:rPr>
          <w:rFonts w:ascii="Times New Roman" w:hAnsi="Times New Roman"/>
          <w:noProof/>
          <w:color w:val="231F20"/>
          <w:sz w:val="24"/>
        </w:rPr>
      </w:pPr>
      <w:r>
        <w:rPr>
          <w:rFonts w:ascii="Times New Roman" w:hAnsi="Times New Roman"/>
          <w:noProof/>
          <w:color w:val="231F20"/>
          <w:sz w:val="24"/>
        </w:rPr>
        <w:t>Jāizstrādā politika vai reglamentējoši mehānismi, kas atbalsta horizontālu un vertikālu progresu, un jāiekļauj elastīgi mācīšanās veidi, modularizācija, iepriekšējās mācīšanās atzīšana, kredītpunktu uzkrāšana un pārnese. Īpaša uzmanība jāpievērš mazprasmīgu un nekvalificētu personu iedrošināšanai iegūt sertifikāciju, kas ļauj piekļūt tālākizglītībai un pienācīgam darbam.</w:t>
      </w:r>
    </w:p>
    <w:p w:rsidR="00171C4A" w:rsidRPr="00C34B42" w:rsidRDefault="00171C4A" w:rsidP="00290272">
      <w:pPr>
        <w:tabs>
          <w:tab w:val="left" w:pos="709"/>
        </w:tabs>
        <w:ind w:left="709" w:hanging="709"/>
        <w:jc w:val="both"/>
        <w:rPr>
          <w:rFonts w:ascii="Times New Roman" w:eastAsia="Calibri" w:hAnsi="Times New Roman" w:cs="Calibri"/>
          <w:noProof/>
          <w:sz w:val="24"/>
          <w:szCs w:val="13"/>
        </w:rPr>
      </w:pPr>
    </w:p>
    <w:p w:rsidR="00171C4A" w:rsidRPr="00C34B42" w:rsidRDefault="00171C4A" w:rsidP="00290272">
      <w:pPr>
        <w:pStyle w:val="Pamatteksts"/>
        <w:numPr>
          <w:ilvl w:val="0"/>
          <w:numId w:val="1"/>
        </w:numPr>
        <w:tabs>
          <w:tab w:val="left" w:pos="709"/>
        </w:tabs>
        <w:ind w:left="709" w:hanging="709"/>
        <w:jc w:val="both"/>
        <w:rPr>
          <w:rFonts w:ascii="Times New Roman" w:hAnsi="Times New Roman"/>
          <w:noProof/>
          <w:color w:val="231F20"/>
          <w:sz w:val="24"/>
        </w:rPr>
      </w:pPr>
      <w:r>
        <w:rPr>
          <w:rFonts w:ascii="Times New Roman" w:hAnsi="Times New Roman"/>
          <w:noProof/>
          <w:color w:val="231F20"/>
          <w:sz w:val="24"/>
        </w:rPr>
        <w:t>Jāveicina sistēmas to zināšanu, prasmju un kompetenču atzīšanai, apstiprināšanai un akreditēšanai, kas iegūtas neformālas vai ikdienējas mācīšanās gaitā, attiecīgā gadījumā iesaistot trīs puses, kuras veido darba ņēmēju pārstāvji, darba devēju pārstāvji un valsts sektora iestādes. Sadarbībā ar attiecīgajām ieinteresētajām pusēm jāizstrādā uzticamas novērtēšanas procedūras un kvalitātes nodrošināšanas sertifikācija.</w:t>
      </w:r>
    </w:p>
    <w:p w:rsidR="00171C4A" w:rsidRPr="00C34B42" w:rsidRDefault="00171C4A" w:rsidP="00290272">
      <w:pPr>
        <w:tabs>
          <w:tab w:val="left" w:pos="709"/>
        </w:tabs>
        <w:ind w:left="709" w:hanging="709"/>
        <w:jc w:val="both"/>
        <w:rPr>
          <w:rFonts w:ascii="Times New Roman" w:eastAsia="Calibri" w:hAnsi="Times New Roman" w:cs="Calibri"/>
          <w:noProof/>
          <w:sz w:val="24"/>
          <w:szCs w:val="13"/>
        </w:rPr>
      </w:pPr>
    </w:p>
    <w:p w:rsidR="00171C4A" w:rsidRPr="00C34B42" w:rsidRDefault="00171C4A" w:rsidP="00290272">
      <w:pPr>
        <w:pStyle w:val="Pamatteksts"/>
        <w:numPr>
          <w:ilvl w:val="0"/>
          <w:numId w:val="1"/>
        </w:numPr>
        <w:tabs>
          <w:tab w:val="left" w:pos="709"/>
        </w:tabs>
        <w:ind w:left="709" w:hanging="709"/>
        <w:jc w:val="both"/>
        <w:rPr>
          <w:rFonts w:ascii="Times New Roman" w:hAnsi="Times New Roman"/>
          <w:noProof/>
          <w:color w:val="231F20"/>
          <w:sz w:val="24"/>
        </w:rPr>
      </w:pPr>
      <w:r>
        <w:rPr>
          <w:rFonts w:ascii="Times New Roman" w:hAnsi="Times New Roman"/>
          <w:noProof/>
          <w:color w:val="231F20"/>
          <w:sz w:val="24"/>
        </w:rPr>
        <w:t>Dalībvalstīm jāveicina kvalifikāciju savstarpēja atzīšana valsts, reģionālajā un starptautiskajā līmenī attiecībā uz izglītojamo personu un darba ņēmēju mobilitāti.</w:t>
      </w:r>
    </w:p>
    <w:p w:rsidR="00171C4A" w:rsidRPr="00C34B42" w:rsidRDefault="00171C4A" w:rsidP="00C34B42">
      <w:pPr>
        <w:jc w:val="both"/>
        <w:rPr>
          <w:rFonts w:ascii="Times New Roman" w:eastAsia="Calibri" w:hAnsi="Times New Roman" w:cs="Calibri"/>
          <w:noProof/>
          <w:sz w:val="24"/>
          <w:szCs w:val="17"/>
        </w:rPr>
      </w:pPr>
    </w:p>
    <w:p w:rsidR="00171C4A" w:rsidRDefault="00171C4A" w:rsidP="00C34B42">
      <w:pPr>
        <w:pStyle w:val="Virsraksts2"/>
        <w:ind w:left="0"/>
        <w:jc w:val="both"/>
        <w:rPr>
          <w:rFonts w:ascii="Times New Roman" w:hAnsi="Times New Roman"/>
          <w:noProof/>
          <w:color w:val="231F20"/>
        </w:rPr>
      </w:pPr>
      <w:r>
        <w:rPr>
          <w:rFonts w:ascii="Times New Roman" w:hAnsi="Times New Roman"/>
          <w:noProof/>
          <w:color w:val="231F20"/>
        </w:rPr>
        <w:t>Kvalitāte un kvalitātes nodrošināšana</w:t>
      </w:r>
    </w:p>
    <w:p w:rsidR="00290272" w:rsidRPr="00C34B42" w:rsidRDefault="00290272" w:rsidP="00C34B42">
      <w:pPr>
        <w:pStyle w:val="Virsraksts2"/>
        <w:ind w:left="0"/>
        <w:jc w:val="both"/>
        <w:rPr>
          <w:rFonts w:ascii="Times New Roman" w:hAnsi="Times New Roman"/>
          <w:noProof/>
          <w:color w:val="231F20"/>
        </w:rPr>
      </w:pPr>
    </w:p>
    <w:p w:rsidR="00171C4A" w:rsidRPr="00C34B42" w:rsidRDefault="00171C4A" w:rsidP="00290272">
      <w:pPr>
        <w:pStyle w:val="Pamatteksts"/>
        <w:numPr>
          <w:ilvl w:val="0"/>
          <w:numId w:val="1"/>
        </w:numPr>
        <w:tabs>
          <w:tab w:val="left" w:pos="709"/>
        </w:tabs>
        <w:ind w:left="709" w:hanging="709"/>
        <w:jc w:val="both"/>
        <w:rPr>
          <w:rFonts w:ascii="Times New Roman" w:hAnsi="Times New Roman"/>
          <w:noProof/>
          <w:color w:val="231F20"/>
          <w:sz w:val="24"/>
        </w:rPr>
      </w:pPr>
      <w:r>
        <w:rPr>
          <w:rFonts w:ascii="Times New Roman" w:hAnsi="Times New Roman"/>
          <w:noProof/>
          <w:color w:val="231F20"/>
          <w:sz w:val="24"/>
        </w:rPr>
        <w:t>Dalībvalstīm atbilstoši to īpašajiem apstākļiem, pārvaldības struktūrām un konstitucionālajiem noteikumiem jāatbalsta vide, kas veicina kvalitatīvu TPIM. Īpaša uzmanība jāpievērš tam, lai radītu nepieciešamos priekšnosacījumus kvalitātes uzlabošanai.</w:t>
      </w:r>
    </w:p>
    <w:p w:rsidR="00171C4A" w:rsidRPr="00C34B42" w:rsidRDefault="00171C4A" w:rsidP="00290272">
      <w:pPr>
        <w:tabs>
          <w:tab w:val="left" w:pos="709"/>
        </w:tabs>
        <w:ind w:left="709" w:hanging="709"/>
        <w:jc w:val="both"/>
        <w:rPr>
          <w:rFonts w:ascii="Times New Roman" w:eastAsia="Calibri" w:hAnsi="Times New Roman" w:cs="Calibri"/>
          <w:noProof/>
          <w:sz w:val="24"/>
          <w:szCs w:val="13"/>
        </w:rPr>
      </w:pPr>
    </w:p>
    <w:p w:rsidR="00171C4A" w:rsidRPr="00C34B42" w:rsidRDefault="00171C4A" w:rsidP="00290272">
      <w:pPr>
        <w:pStyle w:val="Pamatteksts"/>
        <w:numPr>
          <w:ilvl w:val="0"/>
          <w:numId w:val="1"/>
        </w:numPr>
        <w:tabs>
          <w:tab w:val="left" w:pos="709"/>
        </w:tabs>
        <w:ind w:left="709" w:hanging="709"/>
        <w:jc w:val="both"/>
        <w:rPr>
          <w:rFonts w:ascii="Times New Roman" w:hAnsi="Times New Roman"/>
          <w:noProof/>
          <w:color w:val="231F20"/>
          <w:sz w:val="24"/>
        </w:rPr>
      </w:pPr>
      <w:r>
        <w:rPr>
          <w:rFonts w:ascii="Times New Roman" w:hAnsi="Times New Roman"/>
          <w:noProof/>
          <w:color w:val="231F20"/>
          <w:sz w:val="24"/>
        </w:rPr>
        <w:t>Dalībvalstīm jāizveido kvalitātes nodrošināšanas sistēma TPIM jomā, balstoties uz visu ieinteresēto pušu līdzdalību. Kvalitātes nodrošināšanas sistēmās jāietver skaidri un izmērāmi mērķi un standarti, to īstenošanas pamatnostādnes, kā arī atgriezeniskās saites mehānismi un plaši pieejami novērtējuma rezultāti. Kvalitātes nodrošināšanā jāiekļauj gan ārējs novērtējums, gan pašnovērtējums, pamatojoties uz ko nepārtraukti var novērot un uzlabot sistēmas sniegumu un rezultātus.</w:t>
      </w:r>
    </w:p>
    <w:p w:rsidR="00171C4A" w:rsidRPr="00C34B42" w:rsidRDefault="00171C4A" w:rsidP="00290272">
      <w:pPr>
        <w:tabs>
          <w:tab w:val="left" w:pos="709"/>
        </w:tabs>
        <w:ind w:left="709" w:hanging="709"/>
        <w:jc w:val="both"/>
        <w:rPr>
          <w:rFonts w:ascii="Times New Roman" w:eastAsia="Calibri" w:hAnsi="Times New Roman" w:cs="Calibri"/>
          <w:noProof/>
          <w:sz w:val="24"/>
          <w:szCs w:val="13"/>
        </w:rPr>
      </w:pPr>
    </w:p>
    <w:p w:rsidR="00171C4A" w:rsidRPr="00C34B42" w:rsidRDefault="00171C4A" w:rsidP="00290272">
      <w:pPr>
        <w:pStyle w:val="Pamatteksts"/>
        <w:numPr>
          <w:ilvl w:val="0"/>
          <w:numId w:val="1"/>
        </w:numPr>
        <w:tabs>
          <w:tab w:val="left" w:pos="709"/>
        </w:tabs>
        <w:ind w:left="709" w:hanging="709"/>
        <w:jc w:val="both"/>
        <w:rPr>
          <w:rFonts w:ascii="Times New Roman" w:hAnsi="Times New Roman"/>
          <w:noProof/>
          <w:color w:val="231F20"/>
          <w:sz w:val="24"/>
        </w:rPr>
      </w:pPr>
      <w:r>
        <w:rPr>
          <w:rFonts w:ascii="Times New Roman" w:hAnsi="Times New Roman"/>
          <w:noProof/>
          <w:color w:val="231F20"/>
          <w:sz w:val="24"/>
        </w:rPr>
        <w:t>Dalībvalstīm jāmēģina uzlabot TPIM iestāžu vadība un pārvaldība. Ar kvalitātes un kvalitātes nodrošināšanas jautājumiem TPIM jomā vajadzētu nodarboties visam izglītības iestāžu personālam un citām attiecīgajām ieinteresētajām pusēm.</w:t>
      </w:r>
    </w:p>
    <w:p w:rsidR="00171C4A" w:rsidRPr="00C34B42" w:rsidRDefault="00171C4A" w:rsidP="00290272">
      <w:pPr>
        <w:tabs>
          <w:tab w:val="left" w:pos="709"/>
        </w:tabs>
        <w:ind w:left="709" w:hanging="709"/>
        <w:jc w:val="both"/>
        <w:rPr>
          <w:rFonts w:ascii="Times New Roman" w:eastAsia="Calibri" w:hAnsi="Times New Roman" w:cs="Calibri"/>
          <w:noProof/>
          <w:sz w:val="24"/>
          <w:szCs w:val="13"/>
        </w:rPr>
      </w:pPr>
    </w:p>
    <w:p w:rsidR="00171C4A" w:rsidRPr="00C34B42" w:rsidRDefault="00171C4A" w:rsidP="00290272">
      <w:pPr>
        <w:pStyle w:val="Pamatteksts"/>
        <w:numPr>
          <w:ilvl w:val="0"/>
          <w:numId w:val="1"/>
        </w:numPr>
        <w:tabs>
          <w:tab w:val="left" w:pos="709"/>
        </w:tabs>
        <w:ind w:left="709" w:hanging="709"/>
        <w:jc w:val="both"/>
        <w:rPr>
          <w:rFonts w:ascii="Times New Roman" w:hAnsi="Times New Roman"/>
          <w:noProof/>
          <w:color w:val="231F20"/>
          <w:sz w:val="24"/>
        </w:rPr>
      </w:pPr>
      <w:r>
        <w:rPr>
          <w:rFonts w:ascii="Times New Roman" w:hAnsi="Times New Roman"/>
          <w:noProof/>
          <w:color w:val="231F20"/>
          <w:sz w:val="24"/>
        </w:rPr>
        <w:t xml:space="preserve">Dalībvalstīm atbilstoši to konstitucionālajiem noteikumiem jāizveido atbilstošs tiesiskais regulējums privāto TPIM pakalpojumu sniedzēju regulēšanai, reģistrēšanai </w:t>
      </w:r>
      <w:r>
        <w:rPr>
          <w:rFonts w:ascii="Times New Roman" w:hAnsi="Times New Roman"/>
          <w:noProof/>
          <w:color w:val="231F20"/>
          <w:sz w:val="24"/>
        </w:rPr>
        <w:lastRenderedPageBreak/>
        <w:t>un uzraudzībai, izglītojamo personu aizsardzību nosakot kā pamatprincipu.</w:t>
      </w:r>
    </w:p>
    <w:p w:rsidR="00171C4A" w:rsidRPr="00C34B42" w:rsidRDefault="00171C4A" w:rsidP="00C34B42">
      <w:pPr>
        <w:jc w:val="both"/>
        <w:rPr>
          <w:rFonts w:ascii="Times New Roman" w:eastAsia="Calibri" w:hAnsi="Times New Roman" w:cs="Calibri"/>
          <w:noProof/>
          <w:sz w:val="24"/>
          <w:szCs w:val="21"/>
        </w:rPr>
      </w:pPr>
    </w:p>
    <w:p w:rsidR="00171C4A" w:rsidRDefault="00171C4A" w:rsidP="00C34B42">
      <w:pPr>
        <w:pStyle w:val="Virsraksts2"/>
        <w:ind w:left="0"/>
        <w:jc w:val="both"/>
        <w:rPr>
          <w:rFonts w:ascii="Times New Roman" w:hAnsi="Times New Roman"/>
          <w:noProof/>
          <w:color w:val="231F20"/>
        </w:rPr>
      </w:pPr>
      <w:r>
        <w:rPr>
          <w:rFonts w:ascii="Times New Roman" w:hAnsi="Times New Roman"/>
          <w:noProof/>
          <w:color w:val="231F20"/>
        </w:rPr>
        <w:t>Būtiskums darba tirgiem un darba pasaulei</w:t>
      </w:r>
    </w:p>
    <w:p w:rsidR="00290272" w:rsidRPr="00C34B42" w:rsidRDefault="00290272" w:rsidP="00C34B42">
      <w:pPr>
        <w:pStyle w:val="Virsraksts2"/>
        <w:ind w:left="0"/>
        <w:jc w:val="both"/>
        <w:rPr>
          <w:rFonts w:ascii="Times New Roman" w:hAnsi="Times New Roman"/>
          <w:noProof/>
          <w:color w:val="231F20"/>
        </w:rPr>
      </w:pPr>
    </w:p>
    <w:p w:rsidR="00171C4A" w:rsidRPr="00C34B42" w:rsidRDefault="00171C4A" w:rsidP="00290272">
      <w:pPr>
        <w:pStyle w:val="Pamatteksts"/>
        <w:numPr>
          <w:ilvl w:val="0"/>
          <w:numId w:val="1"/>
        </w:numPr>
        <w:tabs>
          <w:tab w:val="left" w:pos="1501"/>
        </w:tabs>
        <w:ind w:left="709" w:hanging="709"/>
        <w:jc w:val="both"/>
        <w:rPr>
          <w:rFonts w:ascii="Times New Roman" w:hAnsi="Times New Roman"/>
          <w:noProof/>
          <w:color w:val="231F20"/>
          <w:sz w:val="24"/>
        </w:rPr>
      </w:pPr>
      <w:r>
        <w:rPr>
          <w:rFonts w:ascii="Times New Roman" w:hAnsi="Times New Roman"/>
          <w:noProof/>
          <w:color w:val="231F20"/>
          <w:sz w:val="24"/>
        </w:rPr>
        <w:t>Dalībvalstīm atbilstoši to īpašajiem apstākļiem, pārvaldības struktūrām un konstitucionālajiem noteikumiem jāatbalsta un jāatvieglo pāreja no izglītības uz darba pasauli, nodarbinātību un/vai pašnodarbinātību. Jāstiprina saiknes starp TPIM iestādēm, nodarbinātības aģentūrām un darba devējiem un jāatbalsta uzņēmējdarbība un jaunu uzņēmumu radīšana, piemēram, iekļaujot uzņēmējdarbības prasmes izglītības programmās, organizējot ārpusprogrammas pasākumus un izveidojot uzņēmumu inkubatorus un partnerības ar uzņēmumiem un tehnoloģiju nodošanas centriem.</w:t>
      </w:r>
    </w:p>
    <w:p w:rsidR="00171C4A" w:rsidRPr="00C34B42" w:rsidRDefault="00171C4A" w:rsidP="00290272">
      <w:pPr>
        <w:ind w:left="709" w:hanging="709"/>
        <w:jc w:val="both"/>
        <w:rPr>
          <w:rFonts w:ascii="Times New Roman" w:eastAsia="Calibri" w:hAnsi="Times New Roman" w:cs="Calibri"/>
          <w:noProof/>
          <w:sz w:val="24"/>
          <w:szCs w:val="13"/>
        </w:rPr>
      </w:pPr>
    </w:p>
    <w:p w:rsidR="00171C4A" w:rsidRPr="00C34B42" w:rsidRDefault="00171C4A" w:rsidP="00290272">
      <w:pPr>
        <w:pStyle w:val="Pamatteksts"/>
        <w:numPr>
          <w:ilvl w:val="0"/>
          <w:numId w:val="1"/>
        </w:numPr>
        <w:tabs>
          <w:tab w:val="left" w:pos="1501"/>
        </w:tabs>
        <w:ind w:left="709" w:hanging="709"/>
        <w:jc w:val="both"/>
        <w:rPr>
          <w:rFonts w:ascii="Times New Roman" w:hAnsi="Times New Roman"/>
          <w:noProof/>
          <w:color w:val="231F20"/>
          <w:sz w:val="24"/>
        </w:rPr>
      </w:pPr>
      <w:r>
        <w:rPr>
          <w:rFonts w:ascii="Times New Roman" w:hAnsi="Times New Roman"/>
          <w:noProof/>
          <w:color w:val="231F20"/>
          <w:sz w:val="24"/>
        </w:rPr>
        <w:t>Dalībvalstīm jāizveido TPIM un darba tirgus informācijas sistēmas, vajadzības gadījumā izmantojot atklātos datus, un jāizveido institucionālās spējas, lai nodrošinātu TPIM atbilstību pašreizējām un mainīgajām darba pasaules vajadzībām valsts, reģionālajā un starptautiskajā līmenī, ietverot vajadzības, kas saistītas ar pāreju uz videi draudzīgām profesijām, ekonomiku un sabiedrībām.</w:t>
      </w:r>
    </w:p>
    <w:p w:rsidR="00171C4A" w:rsidRPr="00C34B42" w:rsidRDefault="00171C4A" w:rsidP="00290272">
      <w:pPr>
        <w:ind w:left="709" w:hanging="709"/>
        <w:jc w:val="both"/>
        <w:rPr>
          <w:rFonts w:ascii="Times New Roman" w:eastAsia="Calibri" w:hAnsi="Times New Roman" w:cs="Calibri"/>
          <w:noProof/>
          <w:sz w:val="24"/>
          <w:szCs w:val="13"/>
        </w:rPr>
      </w:pPr>
    </w:p>
    <w:p w:rsidR="00171C4A" w:rsidRPr="00C34B42" w:rsidRDefault="00171C4A" w:rsidP="00290272">
      <w:pPr>
        <w:pStyle w:val="Pamatteksts"/>
        <w:numPr>
          <w:ilvl w:val="0"/>
          <w:numId w:val="1"/>
        </w:numPr>
        <w:tabs>
          <w:tab w:val="left" w:pos="1501"/>
        </w:tabs>
        <w:ind w:left="709" w:hanging="709"/>
        <w:jc w:val="both"/>
        <w:rPr>
          <w:rFonts w:ascii="Times New Roman" w:hAnsi="Times New Roman"/>
          <w:noProof/>
          <w:color w:val="231F20"/>
          <w:sz w:val="24"/>
        </w:rPr>
      </w:pPr>
      <w:r>
        <w:rPr>
          <w:rFonts w:ascii="Times New Roman" w:hAnsi="Times New Roman"/>
          <w:noProof/>
          <w:color w:val="231F20"/>
          <w:sz w:val="24"/>
        </w:rPr>
        <w:t>Publiskās un privātās partnerības pasākumus varētu izmantot, lai apzinātu un prognozētu nepieciešamās prasmes, piemēram, veicot perspektīvus pētījumus, izveidojot novērošanas centrus vai nozaru prasmju apvienības. Turklāt datu vākšanai un mainīgā konteksta analīzei, kā arī īstenošanas darbību un rezultātu sistemātiskai uzraudzībai un novērtēšanai jābūt par pamatu centieniem uzlabot TPIM būtiskumu.</w:t>
      </w:r>
    </w:p>
    <w:p w:rsidR="00171C4A" w:rsidRPr="00C34B42" w:rsidRDefault="00171C4A" w:rsidP="00C34B42">
      <w:pPr>
        <w:jc w:val="both"/>
        <w:rPr>
          <w:rFonts w:ascii="Times New Roman" w:eastAsia="Calibri" w:hAnsi="Times New Roman" w:cs="Calibri"/>
          <w:noProof/>
          <w:sz w:val="24"/>
          <w:szCs w:val="17"/>
        </w:rPr>
      </w:pPr>
    </w:p>
    <w:p w:rsidR="00171C4A" w:rsidRDefault="00171C4A" w:rsidP="00C34B42">
      <w:pPr>
        <w:pStyle w:val="Virsraksts2"/>
        <w:ind w:left="0"/>
        <w:jc w:val="both"/>
        <w:rPr>
          <w:rFonts w:ascii="Times New Roman" w:hAnsi="Times New Roman"/>
          <w:noProof/>
          <w:color w:val="231F20"/>
        </w:rPr>
      </w:pPr>
      <w:r>
        <w:rPr>
          <w:rFonts w:ascii="Times New Roman" w:hAnsi="Times New Roman"/>
          <w:noProof/>
          <w:color w:val="231F20"/>
        </w:rPr>
        <w:t>Informācija un karjeras atbalsta pasākumi</w:t>
      </w:r>
    </w:p>
    <w:p w:rsidR="00290272" w:rsidRPr="00C34B42" w:rsidRDefault="00290272" w:rsidP="00C34B42">
      <w:pPr>
        <w:pStyle w:val="Virsraksts2"/>
        <w:ind w:left="0"/>
        <w:jc w:val="both"/>
        <w:rPr>
          <w:rFonts w:ascii="Times New Roman" w:hAnsi="Times New Roman"/>
          <w:noProof/>
          <w:color w:val="231F20"/>
        </w:rPr>
      </w:pPr>
    </w:p>
    <w:p w:rsidR="00171C4A" w:rsidRPr="00C34B42" w:rsidRDefault="00171C4A" w:rsidP="00290272">
      <w:pPr>
        <w:pStyle w:val="Pamatteksts"/>
        <w:numPr>
          <w:ilvl w:val="0"/>
          <w:numId w:val="1"/>
        </w:numPr>
        <w:tabs>
          <w:tab w:val="left" w:pos="1501"/>
        </w:tabs>
        <w:ind w:left="709" w:hanging="709"/>
        <w:jc w:val="both"/>
        <w:rPr>
          <w:rFonts w:ascii="Times New Roman" w:hAnsi="Times New Roman"/>
          <w:noProof/>
          <w:color w:val="231F20"/>
          <w:sz w:val="24"/>
        </w:rPr>
      </w:pPr>
      <w:r>
        <w:rPr>
          <w:rFonts w:ascii="Times New Roman" w:hAnsi="Times New Roman"/>
          <w:noProof/>
          <w:color w:val="231F20"/>
          <w:sz w:val="24"/>
        </w:rPr>
        <w:t>Dalībvalstīm sadarbībā ar attiecīgajām ieinteresētajām pusēm jāatvieglo publiskās un privātās informācijas un karjeras atbalsta pasākumu izstrāde un regulēšana, lai nodrošinātu mūsdienīgu un uzticamu atbalstu izglītībai, tālākizglītībai un profesionālajai izaugsmei, kā arī darba iespējām valsts, reģionālajā un starptautiskajā līmenī.</w:t>
      </w:r>
    </w:p>
    <w:p w:rsidR="00171C4A" w:rsidRPr="00C34B42" w:rsidRDefault="00171C4A" w:rsidP="00290272">
      <w:pPr>
        <w:ind w:left="709" w:hanging="709"/>
        <w:jc w:val="both"/>
        <w:rPr>
          <w:rFonts w:ascii="Times New Roman" w:eastAsia="Calibri" w:hAnsi="Times New Roman" w:cs="Calibri"/>
          <w:noProof/>
          <w:sz w:val="24"/>
          <w:szCs w:val="13"/>
        </w:rPr>
      </w:pPr>
    </w:p>
    <w:p w:rsidR="00171C4A" w:rsidRPr="00C34B42" w:rsidRDefault="00171C4A" w:rsidP="00290272">
      <w:pPr>
        <w:pStyle w:val="Pamatteksts"/>
        <w:numPr>
          <w:ilvl w:val="0"/>
          <w:numId w:val="1"/>
        </w:numPr>
        <w:tabs>
          <w:tab w:val="left" w:pos="1501"/>
        </w:tabs>
        <w:ind w:left="709" w:hanging="709"/>
        <w:jc w:val="both"/>
        <w:rPr>
          <w:rFonts w:ascii="Times New Roman" w:hAnsi="Times New Roman"/>
          <w:noProof/>
          <w:color w:val="231F20"/>
          <w:sz w:val="24"/>
        </w:rPr>
      </w:pPr>
      <w:r>
        <w:rPr>
          <w:rFonts w:ascii="Times New Roman" w:hAnsi="Times New Roman"/>
          <w:noProof/>
          <w:color w:val="231F20"/>
          <w:sz w:val="24"/>
        </w:rPr>
        <w:t>Informācijas un karjeras atbalsta pasākumi jāpiedāvā pastāvīgi, un tie jāvērš uz palīdzības sniegšanu un atbalstu visām personām, kas saskaras ar sarežģītāku un daudzveidīgāku karjeras un darba dzīvi, īpašu uzmanību pievēršot iespēju līdztiesības veicināšanai visos aspektos, tostarp dzimumu līdztiesības jomā, lai novērstu sociālo nevienlīdzību izglītībā, darba pasaulē un plašākā sabiedrībā.</w:t>
      </w:r>
    </w:p>
    <w:p w:rsidR="00171C4A" w:rsidRPr="00C34B42" w:rsidRDefault="00171C4A" w:rsidP="00290272">
      <w:pPr>
        <w:ind w:left="709" w:hanging="709"/>
        <w:jc w:val="both"/>
        <w:rPr>
          <w:rFonts w:ascii="Times New Roman" w:eastAsia="Calibri" w:hAnsi="Times New Roman" w:cs="Calibri"/>
          <w:noProof/>
          <w:sz w:val="24"/>
          <w:szCs w:val="13"/>
        </w:rPr>
      </w:pPr>
    </w:p>
    <w:p w:rsidR="00171C4A" w:rsidRPr="00C34B42" w:rsidRDefault="00171C4A" w:rsidP="00290272">
      <w:pPr>
        <w:pStyle w:val="Pamatteksts"/>
        <w:numPr>
          <w:ilvl w:val="0"/>
          <w:numId w:val="1"/>
        </w:numPr>
        <w:tabs>
          <w:tab w:val="left" w:pos="1501"/>
        </w:tabs>
        <w:ind w:left="709" w:hanging="709"/>
        <w:jc w:val="both"/>
        <w:rPr>
          <w:rFonts w:ascii="Times New Roman" w:hAnsi="Times New Roman"/>
          <w:noProof/>
          <w:color w:val="231F20"/>
          <w:sz w:val="24"/>
        </w:rPr>
      </w:pPr>
      <w:r>
        <w:rPr>
          <w:rFonts w:ascii="Times New Roman" w:hAnsi="Times New Roman"/>
          <w:noProof/>
          <w:color w:val="231F20"/>
          <w:sz w:val="24"/>
        </w:rPr>
        <w:t>Informācijas un karjeras atbalsta pasākumiem jāatbalsta izglītojamās personas lēmumu pieņemšanas procesā, izmantojot informācijas un komunikācijas tehnoloģijas, tostarp mobilās tehnoloģijas, sociālos tīklus un multivides platformas un rīkus.</w:t>
      </w:r>
    </w:p>
    <w:p w:rsidR="00171C4A" w:rsidRPr="00C34B42" w:rsidRDefault="00171C4A" w:rsidP="00C34B42">
      <w:pPr>
        <w:jc w:val="both"/>
        <w:rPr>
          <w:rFonts w:ascii="Times New Roman" w:eastAsia="Calibri" w:hAnsi="Times New Roman" w:cs="Calibri"/>
          <w:noProof/>
          <w:sz w:val="24"/>
          <w:szCs w:val="20"/>
        </w:rPr>
      </w:pPr>
    </w:p>
    <w:p w:rsidR="00171C4A" w:rsidRPr="00C34B42" w:rsidRDefault="00171C4A" w:rsidP="00C34B42">
      <w:pPr>
        <w:jc w:val="both"/>
        <w:rPr>
          <w:rFonts w:ascii="Times New Roman" w:eastAsia="Calibri" w:hAnsi="Times New Roman" w:cs="Calibri"/>
          <w:noProof/>
          <w:sz w:val="24"/>
          <w:szCs w:val="21"/>
        </w:rPr>
      </w:pPr>
    </w:p>
    <w:p w:rsidR="00171C4A" w:rsidRPr="00D77ADC" w:rsidRDefault="00290272" w:rsidP="00290272">
      <w:pPr>
        <w:pStyle w:val="Virsraksts1"/>
        <w:tabs>
          <w:tab w:val="left" w:pos="384"/>
          <w:tab w:val="left" w:pos="684"/>
          <w:tab w:val="left" w:pos="7487"/>
        </w:tabs>
        <w:ind w:left="0" w:firstLine="0"/>
        <w:jc w:val="both"/>
        <w:rPr>
          <w:rFonts w:ascii="Times New Roman" w:hAnsi="Times New Roman"/>
          <w:noProof/>
          <w:color w:val="0080AC"/>
          <w:sz w:val="28"/>
        </w:rPr>
      </w:pPr>
      <w:r w:rsidRPr="00D77ADC">
        <w:rPr>
          <w:rFonts w:ascii="Times New Roman" w:hAnsi="Times New Roman"/>
          <w:noProof/>
          <w:color w:val="0080AC"/>
          <w:sz w:val="28"/>
        </w:rPr>
        <w:t>V. UZRAUDZĪBA UN NOVĒRTĒJUMS</w:t>
      </w:r>
    </w:p>
    <w:p w:rsidR="00290272" w:rsidRPr="00C34B42" w:rsidRDefault="00290272" w:rsidP="00290272">
      <w:pPr>
        <w:pStyle w:val="Virsraksts1"/>
        <w:tabs>
          <w:tab w:val="left" w:pos="384"/>
          <w:tab w:val="left" w:pos="684"/>
          <w:tab w:val="left" w:pos="7487"/>
        </w:tabs>
        <w:ind w:left="0" w:firstLine="0"/>
        <w:jc w:val="both"/>
        <w:rPr>
          <w:rFonts w:ascii="Times New Roman" w:hAnsi="Times New Roman"/>
          <w:noProof/>
          <w:color w:val="0080AC"/>
          <w:sz w:val="24"/>
          <w:u w:val="single" w:color="231F20"/>
        </w:rPr>
      </w:pPr>
    </w:p>
    <w:p w:rsidR="00171C4A" w:rsidRPr="00C34B42" w:rsidRDefault="00171C4A" w:rsidP="00290272">
      <w:pPr>
        <w:pStyle w:val="Pamatteksts"/>
        <w:numPr>
          <w:ilvl w:val="0"/>
          <w:numId w:val="1"/>
        </w:numPr>
        <w:tabs>
          <w:tab w:val="left" w:pos="709"/>
        </w:tabs>
        <w:ind w:left="709" w:hanging="709"/>
        <w:jc w:val="both"/>
        <w:rPr>
          <w:rFonts w:ascii="Times New Roman" w:hAnsi="Times New Roman"/>
          <w:noProof/>
          <w:color w:val="231F20"/>
          <w:sz w:val="24"/>
        </w:rPr>
      </w:pPr>
      <w:r>
        <w:rPr>
          <w:rFonts w:ascii="Times New Roman" w:hAnsi="Times New Roman"/>
          <w:noProof/>
          <w:color w:val="231F20"/>
          <w:sz w:val="24"/>
        </w:rPr>
        <w:t>Dalībvalstīm atbilstoši to īpašajiem apstākļiem, pārvaldības struktūrām un konstitucionālajiem noteikumiem jānovērtē TPIM politika un programmas. Novērtējumos var ietvert pētījumus par TPIM politikas un programmu ietekmi un rezultātiem un analīzi par TPIM izmaksām un ieguvumiem plašam publiskā un privātā sektora dalībnieku lokam, tostarp atsevišķām personām, uzņēmumiem un kopienām.</w:t>
      </w:r>
    </w:p>
    <w:p w:rsidR="00171C4A" w:rsidRPr="00C34B42" w:rsidRDefault="00171C4A" w:rsidP="00290272">
      <w:pPr>
        <w:tabs>
          <w:tab w:val="left" w:pos="709"/>
        </w:tabs>
        <w:ind w:left="709" w:hanging="709"/>
        <w:jc w:val="both"/>
        <w:rPr>
          <w:rFonts w:ascii="Times New Roman" w:eastAsia="Calibri" w:hAnsi="Times New Roman" w:cs="Calibri"/>
          <w:noProof/>
          <w:sz w:val="24"/>
          <w:szCs w:val="13"/>
        </w:rPr>
      </w:pPr>
    </w:p>
    <w:p w:rsidR="00171C4A" w:rsidRPr="00C34B42" w:rsidRDefault="00171C4A" w:rsidP="00290272">
      <w:pPr>
        <w:pStyle w:val="Pamatteksts"/>
        <w:numPr>
          <w:ilvl w:val="0"/>
          <w:numId w:val="1"/>
        </w:numPr>
        <w:tabs>
          <w:tab w:val="left" w:pos="709"/>
        </w:tabs>
        <w:ind w:left="709" w:hanging="709"/>
        <w:jc w:val="both"/>
        <w:rPr>
          <w:rFonts w:ascii="Times New Roman" w:hAnsi="Times New Roman"/>
          <w:noProof/>
          <w:color w:val="231F20"/>
          <w:sz w:val="24"/>
        </w:rPr>
      </w:pPr>
      <w:r>
        <w:rPr>
          <w:rFonts w:ascii="Times New Roman" w:hAnsi="Times New Roman"/>
          <w:noProof/>
          <w:color w:val="231F20"/>
          <w:sz w:val="24"/>
        </w:rPr>
        <w:t>Jāizstrādā atbilstoši instrumenti un rādītāji, lai novērtētu TPIM politikas efektivitāti un lietderību, pamatojoties uz saskaņotiem standartiem, prioritātēm un mērķiem, tostarp konkrētiem mērķiem attiecībā uz nelabvēlīgā situācijā esošām un neaizsargātām iedzīvotāju grupām. Šeit var ietilpt publiskā un privātā sektora iestāžu, pakalpojumu sniedzēju un programmu novērtējumi, tostarp pašnovērtējumi, kā arī retrospektīvi ilgtermiņa ietekmes pētījumi un rādītāju kopuma izstrāde, tostarp arī attiecībā uz piekļuvi, mācību pabeigšanas rādītājiem un absolventu nodarbinātības statusu. Datu vākšana un apstrāde jāveic saskaņā ar tiesību aktiem par datu aizsardzību.</w:t>
      </w:r>
    </w:p>
    <w:p w:rsidR="00171C4A" w:rsidRPr="00C34B42" w:rsidRDefault="00171C4A" w:rsidP="00290272">
      <w:pPr>
        <w:tabs>
          <w:tab w:val="left" w:pos="709"/>
        </w:tabs>
        <w:ind w:left="709" w:hanging="709"/>
        <w:jc w:val="both"/>
        <w:rPr>
          <w:rFonts w:ascii="Times New Roman" w:eastAsia="Calibri" w:hAnsi="Times New Roman" w:cs="Calibri"/>
          <w:noProof/>
          <w:sz w:val="24"/>
          <w:szCs w:val="13"/>
        </w:rPr>
      </w:pPr>
    </w:p>
    <w:p w:rsidR="00171C4A" w:rsidRPr="00C34B42" w:rsidRDefault="00171C4A" w:rsidP="00290272">
      <w:pPr>
        <w:pStyle w:val="Pamatteksts"/>
        <w:numPr>
          <w:ilvl w:val="0"/>
          <w:numId w:val="1"/>
        </w:numPr>
        <w:tabs>
          <w:tab w:val="left" w:pos="709"/>
        </w:tabs>
        <w:ind w:left="709" w:hanging="709"/>
        <w:jc w:val="both"/>
        <w:rPr>
          <w:rFonts w:ascii="Times New Roman" w:hAnsi="Times New Roman"/>
          <w:noProof/>
          <w:color w:val="231F20"/>
          <w:sz w:val="24"/>
        </w:rPr>
      </w:pPr>
      <w:r>
        <w:rPr>
          <w:rFonts w:ascii="Times New Roman" w:hAnsi="Times New Roman"/>
          <w:noProof/>
          <w:color w:val="231F20"/>
          <w:sz w:val="24"/>
        </w:rPr>
        <w:t>Jānostiprina institucionālās spējas datu vākšanas un informācijas izmantošanas jomā saistībā ar uzraudzību un novērtēšanu, lai tas būtu par pamatu TPIM stratēģijām un programmām, standartiem un izglītības programmām vai lai pielāgotu mācību metodes. Jāuzlabo saskaņotība starp datu vākšanu par TPIM valsts līmenī un par starptautiskajiem standartiem un iniciatīvām.</w:t>
      </w:r>
    </w:p>
    <w:p w:rsidR="00171C4A" w:rsidRPr="00C34B42" w:rsidRDefault="00171C4A" w:rsidP="00290272">
      <w:pPr>
        <w:tabs>
          <w:tab w:val="left" w:pos="709"/>
        </w:tabs>
        <w:ind w:left="709" w:hanging="709"/>
        <w:jc w:val="both"/>
        <w:rPr>
          <w:rFonts w:ascii="Times New Roman" w:eastAsia="Calibri" w:hAnsi="Times New Roman" w:cs="Calibri"/>
          <w:noProof/>
          <w:sz w:val="24"/>
          <w:szCs w:val="13"/>
        </w:rPr>
      </w:pPr>
    </w:p>
    <w:p w:rsidR="00171C4A" w:rsidRPr="00C34B42" w:rsidRDefault="00171C4A" w:rsidP="00290272">
      <w:pPr>
        <w:pStyle w:val="Pamatteksts"/>
        <w:numPr>
          <w:ilvl w:val="0"/>
          <w:numId w:val="1"/>
        </w:numPr>
        <w:tabs>
          <w:tab w:val="left" w:pos="709"/>
        </w:tabs>
        <w:ind w:left="709" w:hanging="709"/>
        <w:jc w:val="both"/>
        <w:rPr>
          <w:rFonts w:ascii="Times New Roman" w:hAnsi="Times New Roman"/>
          <w:noProof/>
          <w:color w:val="231F20"/>
          <w:sz w:val="24"/>
        </w:rPr>
      </w:pPr>
      <w:r>
        <w:rPr>
          <w:rFonts w:ascii="Times New Roman" w:hAnsi="Times New Roman"/>
          <w:noProof/>
          <w:color w:val="231F20"/>
          <w:sz w:val="24"/>
        </w:rPr>
        <w:t>TPIM uzraudzības un novērtēšanas procesiem jānodrošina attiecīgo ieinteresēto pušu plaša līdzdalība nolūkā uzlabot mācību procesus un stiprināt saikni starp iegūtajiem datiem, lēmumu pieņemšanu, pārredzamību un pārskatatbildību par rezultātiem.</w:t>
      </w:r>
    </w:p>
    <w:p w:rsidR="00171C4A" w:rsidRPr="00C34B42" w:rsidRDefault="00171C4A" w:rsidP="00C34B42">
      <w:pPr>
        <w:jc w:val="both"/>
        <w:rPr>
          <w:rFonts w:ascii="Times New Roman" w:eastAsia="Calibri" w:hAnsi="Times New Roman" w:cs="Calibri"/>
          <w:noProof/>
          <w:sz w:val="24"/>
          <w:szCs w:val="18"/>
        </w:rPr>
      </w:pPr>
    </w:p>
    <w:p w:rsidR="00171C4A" w:rsidRPr="00C34B42" w:rsidRDefault="00171C4A" w:rsidP="00C34B42">
      <w:pPr>
        <w:jc w:val="both"/>
        <w:rPr>
          <w:rFonts w:ascii="Times New Roman" w:eastAsia="Calibri" w:hAnsi="Times New Roman" w:cs="Calibri"/>
          <w:noProof/>
          <w:sz w:val="24"/>
          <w:szCs w:val="20"/>
        </w:rPr>
      </w:pPr>
    </w:p>
    <w:p w:rsidR="00171C4A" w:rsidRPr="00D77ADC" w:rsidRDefault="00290272" w:rsidP="00290272">
      <w:pPr>
        <w:pStyle w:val="Virsraksts1"/>
        <w:tabs>
          <w:tab w:val="left" w:pos="507"/>
          <w:tab w:val="left" w:pos="7487"/>
        </w:tabs>
        <w:ind w:left="0" w:firstLine="0"/>
        <w:jc w:val="both"/>
        <w:rPr>
          <w:rFonts w:ascii="Times New Roman" w:hAnsi="Times New Roman"/>
          <w:noProof/>
          <w:color w:val="0080AC"/>
          <w:sz w:val="28"/>
        </w:rPr>
      </w:pPr>
      <w:r w:rsidRPr="00D77ADC">
        <w:rPr>
          <w:rFonts w:ascii="Times New Roman" w:hAnsi="Times New Roman"/>
          <w:noProof/>
          <w:color w:val="0080AC"/>
          <w:sz w:val="28"/>
        </w:rPr>
        <w:t>VI. PĒTĪJUMI UN ZINĀŠANU PĀRVALDĪBA</w:t>
      </w:r>
    </w:p>
    <w:p w:rsidR="00290272" w:rsidRPr="00C34B42" w:rsidRDefault="00290272" w:rsidP="00290272">
      <w:pPr>
        <w:pStyle w:val="Virsraksts1"/>
        <w:tabs>
          <w:tab w:val="left" w:pos="507"/>
          <w:tab w:val="left" w:pos="7487"/>
        </w:tabs>
        <w:ind w:left="0" w:firstLine="0"/>
        <w:jc w:val="both"/>
        <w:rPr>
          <w:rFonts w:ascii="Times New Roman" w:hAnsi="Times New Roman"/>
          <w:noProof/>
          <w:color w:val="0080AC"/>
          <w:sz w:val="24"/>
          <w:u w:val="single" w:color="231F20"/>
        </w:rPr>
      </w:pPr>
    </w:p>
    <w:p w:rsidR="00171C4A" w:rsidRPr="00C34B42" w:rsidRDefault="00171C4A" w:rsidP="00290272">
      <w:pPr>
        <w:pStyle w:val="Pamatteksts"/>
        <w:numPr>
          <w:ilvl w:val="0"/>
          <w:numId w:val="1"/>
        </w:numPr>
        <w:tabs>
          <w:tab w:val="left" w:pos="709"/>
        </w:tabs>
        <w:ind w:left="709" w:hanging="709"/>
        <w:jc w:val="both"/>
        <w:rPr>
          <w:rFonts w:ascii="Times New Roman" w:hAnsi="Times New Roman"/>
          <w:noProof/>
          <w:color w:val="231F20"/>
          <w:sz w:val="24"/>
        </w:rPr>
      </w:pPr>
      <w:r>
        <w:rPr>
          <w:rFonts w:ascii="Times New Roman" w:hAnsi="Times New Roman"/>
          <w:noProof/>
          <w:color w:val="231F20"/>
          <w:sz w:val="24"/>
        </w:rPr>
        <w:t>Dalībvalstīm jāpadziļina zināšanu bāze par TPIM, veicot ilglaicīgus ieguldījumus starpdisciplīnu pētījumos, lai izstrādātu jaunu metodoloģiju un izpratni par TPIM plašā kontekstā un informētu par TPIM politiku un lēmumu pieņemšanu.</w:t>
      </w:r>
    </w:p>
    <w:p w:rsidR="00171C4A" w:rsidRPr="00C34B42" w:rsidRDefault="00171C4A" w:rsidP="00290272">
      <w:pPr>
        <w:tabs>
          <w:tab w:val="left" w:pos="709"/>
        </w:tabs>
        <w:ind w:left="709" w:hanging="709"/>
        <w:jc w:val="both"/>
        <w:rPr>
          <w:rFonts w:ascii="Times New Roman" w:eastAsia="Calibri" w:hAnsi="Times New Roman" w:cs="Calibri"/>
          <w:noProof/>
          <w:sz w:val="24"/>
          <w:szCs w:val="13"/>
        </w:rPr>
      </w:pPr>
    </w:p>
    <w:p w:rsidR="00171C4A" w:rsidRPr="00C34B42" w:rsidRDefault="00171C4A" w:rsidP="00290272">
      <w:pPr>
        <w:pStyle w:val="Pamatteksts"/>
        <w:numPr>
          <w:ilvl w:val="0"/>
          <w:numId w:val="1"/>
        </w:numPr>
        <w:tabs>
          <w:tab w:val="left" w:pos="709"/>
        </w:tabs>
        <w:ind w:left="709" w:hanging="709"/>
        <w:jc w:val="both"/>
        <w:rPr>
          <w:rFonts w:ascii="Times New Roman" w:hAnsi="Times New Roman"/>
          <w:noProof/>
          <w:color w:val="231F20"/>
          <w:sz w:val="24"/>
        </w:rPr>
      </w:pPr>
      <w:r>
        <w:rPr>
          <w:rFonts w:ascii="Times New Roman" w:hAnsi="Times New Roman"/>
          <w:noProof/>
          <w:color w:val="231F20"/>
          <w:sz w:val="24"/>
        </w:rPr>
        <w:t>Ieinteresētās puses attiecīgā gadījumā jāiesaista pētījumu pasūtīšanā, izmantošanā un novērtēšanā, kā arī zināšanu pārvaldības stratēģiju un sistēmu izstrādē. Atbilstoši kontekstam jāizmanto un jāpilnveido augstākās izglītības iestāžu, TPIM pakalpojumu sniedzēju, sociālo partneru un citu attiecīgo ieinteresēto pušu pētniecības iespējas. Pētījumu rezultāti jādara plaši pieejami, izmantojot publikācijas un elektroniskos līdzekļus.</w:t>
      </w:r>
    </w:p>
    <w:p w:rsidR="00171C4A" w:rsidRPr="00C34B42" w:rsidRDefault="00171C4A" w:rsidP="00C34B42">
      <w:pPr>
        <w:jc w:val="both"/>
        <w:rPr>
          <w:rFonts w:ascii="Times New Roman" w:eastAsia="Calibri" w:hAnsi="Times New Roman" w:cs="Calibri"/>
          <w:noProof/>
          <w:sz w:val="24"/>
          <w:szCs w:val="20"/>
        </w:rPr>
      </w:pPr>
    </w:p>
    <w:p w:rsidR="00171C4A" w:rsidRPr="00C34B42" w:rsidRDefault="00171C4A" w:rsidP="00C34B42">
      <w:pPr>
        <w:jc w:val="both"/>
        <w:rPr>
          <w:rFonts w:ascii="Times New Roman" w:eastAsia="Calibri" w:hAnsi="Times New Roman" w:cs="Calibri"/>
          <w:noProof/>
          <w:sz w:val="24"/>
          <w:szCs w:val="21"/>
        </w:rPr>
      </w:pPr>
    </w:p>
    <w:p w:rsidR="00171C4A" w:rsidRPr="00D77ADC" w:rsidRDefault="00290272" w:rsidP="00290272">
      <w:pPr>
        <w:pStyle w:val="Virsraksts1"/>
        <w:tabs>
          <w:tab w:val="left" w:pos="1714"/>
          <w:tab w:val="left" w:pos="8587"/>
        </w:tabs>
        <w:ind w:left="0" w:firstLine="0"/>
        <w:jc w:val="both"/>
        <w:rPr>
          <w:rFonts w:ascii="Times New Roman" w:hAnsi="Times New Roman"/>
          <w:noProof/>
          <w:color w:val="0080AC"/>
          <w:sz w:val="28"/>
        </w:rPr>
      </w:pPr>
      <w:r w:rsidRPr="00D77ADC">
        <w:rPr>
          <w:rFonts w:ascii="Times New Roman" w:hAnsi="Times New Roman"/>
          <w:noProof/>
          <w:color w:val="0080AC"/>
          <w:sz w:val="28"/>
        </w:rPr>
        <w:t>VII. STARPTAUTISKĀ SADARBĪBA</w:t>
      </w:r>
    </w:p>
    <w:p w:rsidR="00290272" w:rsidRPr="00C34B42" w:rsidRDefault="00290272" w:rsidP="00290272">
      <w:pPr>
        <w:pStyle w:val="Virsraksts1"/>
        <w:tabs>
          <w:tab w:val="left" w:pos="1714"/>
          <w:tab w:val="left" w:pos="8587"/>
        </w:tabs>
        <w:ind w:left="0" w:firstLine="0"/>
        <w:jc w:val="both"/>
        <w:rPr>
          <w:rFonts w:ascii="Times New Roman" w:hAnsi="Times New Roman"/>
          <w:noProof/>
          <w:color w:val="0080AC"/>
          <w:sz w:val="24"/>
          <w:u w:val="single" w:color="231F20"/>
        </w:rPr>
      </w:pPr>
    </w:p>
    <w:p w:rsidR="00171C4A" w:rsidRPr="00C34B42" w:rsidRDefault="00171C4A" w:rsidP="00290272">
      <w:pPr>
        <w:pStyle w:val="Pamatteksts"/>
        <w:numPr>
          <w:ilvl w:val="0"/>
          <w:numId w:val="1"/>
        </w:numPr>
        <w:tabs>
          <w:tab w:val="left" w:pos="1501"/>
        </w:tabs>
        <w:ind w:left="709" w:hanging="709"/>
        <w:jc w:val="both"/>
        <w:rPr>
          <w:rFonts w:ascii="Times New Roman" w:hAnsi="Times New Roman"/>
          <w:noProof/>
          <w:color w:val="231F20"/>
          <w:sz w:val="24"/>
        </w:rPr>
      </w:pPr>
      <w:r>
        <w:rPr>
          <w:rFonts w:ascii="Times New Roman" w:hAnsi="Times New Roman"/>
          <w:noProof/>
          <w:color w:val="231F20"/>
          <w:sz w:val="24"/>
        </w:rPr>
        <w:t>Dalībvalstīm jāapsver zināšanu, pieredzes un daudzsološas prakses apmaiņa, jāpastiprina TPIM datu vākšana starptautiskā līmenī un jāizmanto starptautiskie un reģionālie tīkli, konferences un citi fo</w:t>
      </w:r>
      <w:bookmarkStart w:id="0" w:name="_GoBack"/>
      <w:bookmarkEnd w:id="0"/>
      <w:r>
        <w:rPr>
          <w:rFonts w:ascii="Times New Roman" w:hAnsi="Times New Roman"/>
          <w:noProof/>
          <w:color w:val="231F20"/>
          <w:sz w:val="24"/>
        </w:rPr>
        <w:t xml:space="preserve">rumi. </w:t>
      </w:r>
      <w:r>
        <w:rPr>
          <w:rFonts w:ascii="Times New Roman" w:hAnsi="Times New Roman"/>
          <w:i/>
          <w:noProof/>
          <w:color w:val="231F20"/>
          <w:sz w:val="24"/>
        </w:rPr>
        <w:t>UNEVOC</w:t>
      </w:r>
      <w:r>
        <w:rPr>
          <w:rFonts w:ascii="Times New Roman" w:hAnsi="Times New Roman"/>
          <w:noProof/>
          <w:color w:val="231F20"/>
          <w:sz w:val="24"/>
        </w:rPr>
        <w:t xml:space="preserve"> tīkls ir stratēģisks resurss, kas dalībvalstīm pieejams, lai nodrošinātu savstarpēju mācīšanos un starptautiskās sadarbības virzību TPIM jomā.</w:t>
      </w:r>
    </w:p>
    <w:p w:rsidR="00171C4A" w:rsidRPr="00C34B42" w:rsidRDefault="00171C4A" w:rsidP="00290272">
      <w:pPr>
        <w:ind w:left="709" w:hanging="709"/>
        <w:jc w:val="both"/>
        <w:rPr>
          <w:rFonts w:ascii="Times New Roman" w:eastAsia="Calibri" w:hAnsi="Times New Roman" w:cs="Calibri"/>
          <w:noProof/>
          <w:sz w:val="24"/>
          <w:szCs w:val="13"/>
        </w:rPr>
      </w:pPr>
    </w:p>
    <w:p w:rsidR="00171C4A" w:rsidRPr="00290272" w:rsidRDefault="00171C4A" w:rsidP="00290272">
      <w:pPr>
        <w:pStyle w:val="Pamatteksts"/>
        <w:numPr>
          <w:ilvl w:val="0"/>
          <w:numId w:val="1"/>
        </w:numPr>
        <w:tabs>
          <w:tab w:val="left" w:pos="1501"/>
        </w:tabs>
        <w:ind w:left="709" w:hanging="709"/>
        <w:jc w:val="both"/>
        <w:rPr>
          <w:rFonts w:ascii="Times New Roman" w:hAnsi="Times New Roman"/>
          <w:noProof/>
          <w:color w:val="231F20"/>
          <w:sz w:val="24"/>
        </w:rPr>
      </w:pPr>
      <w:r>
        <w:rPr>
          <w:rFonts w:ascii="Times New Roman" w:hAnsi="Times New Roman"/>
          <w:noProof/>
          <w:color w:val="231F20"/>
          <w:sz w:val="24"/>
        </w:rPr>
        <w:t>Dalībvalstīm jāpiesaista ANO sistēmas iestādes, reģionālās struktūras, tostarp reģionālās ekonomikas kopienas, attiecīgās publiskā un privātā sektora ieinteresētās puses, pilsoniskās sabiedrības organizācijas un pētniecības tīkli, lai veicinātu sadarbību, uzlabotu savstarpējo un kooperatīvo palīdzību un vairotu potenciālu.</w:t>
      </w:r>
    </w:p>
    <w:sectPr w:rsidR="00171C4A" w:rsidRPr="00290272" w:rsidSect="00C34B42">
      <w:headerReference w:type="default" r:id="rId7"/>
      <w:footerReference w:type="even" r:id="rId8"/>
      <w:footerReference w:type="default" r:id="rId9"/>
      <w:headerReference w:type="first" r:id="rId10"/>
      <w:footerReference w:type="first" r:id="rId11"/>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1604" w:rsidRPr="00171C4A" w:rsidRDefault="00290272">
      <w:pPr>
        <w:rPr>
          <w:noProof/>
        </w:rPr>
      </w:pPr>
      <w:r w:rsidRPr="00171C4A">
        <w:rPr>
          <w:noProof/>
        </w:rPr>
        <w:separator/>
      </w:r>
    </w:p>
  </w:endnote>
  <w:endnote w:type="continuationSeparator" w:id="0">
    <w:p w:rsidR="00EA1604" w:rsidRPr="00171C4A" w:rsidRDefault="00290272">
      <w:pPr>
        <w:rPr>
          <w:noProof/>
        </w:rPr>
      </w:pPr>
      <w:r w:rsidRPr="00171C4A">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3F86" w:rsidRPr="00171C4A" w:rsidRDefault="004A3F86">
    <w:pPr>
      <w:spacing w:line="14" w:lineRule="auto"/>
      <w:rPr>
        <w:noProof/>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ADC" w:rsidRPr="004F5D11" w:rsidRDefault="00D77ADC" w:rsidP="00D77ADC">
    <w:pPr>
      <w:pStyle w:val="Galvene"/>
      <w:tabs>
        <w:tab w:val="clear" w:pos="4153"/>
        <w:tab w:val="clear" w:pos="8306"/>
        <w:tab w:val="left" w:pos="9072"/>
      </w:tabs>
      <w:jc w:val="both"/>
      <w:rPr>
        <w:rStyle w:val="Lappusesnumurs"/>
        <w:rFonts w:ascii="Times New Roman" w:hAnsi="Times New Roman"/>
        <w:sz w:val="20"/>
        <w:szCs w:val="20"/>
      </w:rPr>
    </w:pPr>
    <w:r w:rsidRPr="004F5D11">
      <w:rPr>
        <w:rFonts w:ascii="Times New Roman" w:hAnsi="Times New Roman"/>
        <w:sz w:val="20"/>
        <w:szCs w:val="20"/>
      </w:rPr>
      <w:tab/>
    </w:r>
  </w:p>
  <w:p w:rsidR="00D77ADC" w:rsidRPr="004F5D11" w:rsidRDefault="00D77ADC" w:rsidP="00D77ADC">
    <w:pPr>
      <w:pStyle w:val="Galvene"/>
      <w:tabs>
        <w:tab w:val="clear" w:pos="4153"/>
        <w:tab w:val="clear" w:pos="8306"/>
        <w:tab w:val="right" w:leader="underscore" w:pos="9072"/>
      </w:tabs>
      <w:jc w:val="both"/>
      <w:rPr>
        <w:rStyle w:val="Lappusesnumurs"/>
        <w:rFonts w:ascii="Times New Roman" w:hAnsi="Times New Roman"/>
        <w:sz w:val="20"/>
        <w:szCs w:val="20"/>
      </w:rPr>
    </w:pPr>
    <w:r w:rsidRPr="004F5D11">
      <w:rPr>
        <w:rStyle w:val="Lappusesnumurs"/>
        <w:rFonts w:ascii="Times New Roman" w:hAnsi="Times New Roman"/>
        <w:sz w:val="20"/>
        <w:szCs w:val="20"/>
      </w:rPr>
      <w:tab/>
    </w:r>
  </w:p>
  <w:p w:rsidR="00D77ADC" w:rsidRPr="004F5D11" w:rsidRDefault="00D77ADC" w:rsidP="00D77ADC">
    <w:pPr>
      <w:pStyle w:val="Galvene"/>
      <w:tabs>
        <w:tab w:val="clear" w:pos="4153"/>
        <w:tab w:val="clear" w:pos="8306"/>
        <w:tab w:val="right" w:pos="9072"/>
      </w:tabs>
      <w:jc w:val="both"/>
      <w:rPr>
        <w:rStyle w:val="Lappusesnumurs"/>
        <w:rFonts w:ascii="Times New Roman" w:hAnsi="Times New Roman"/>
        <w:sz w:val="20"/>
        <w:szCs w:val="20"/>
      </w:rPr>
    </w:pPr>
  </w:p>
  <w:p w:rsidR="00D77ADC" w:rsidRPr="004F5D11" w:rsidRDefault="00D77ADC" w:rsidP="00D77ADC">
    <w:pPr>
      <w:pStyle w:val="Kjene"/>
      <w:tabs>
        <w:tab w:val="clear" w:pos="4153"/>
        <w:tab w:val="clear" w:pos="8306"/>
        <w:tab w:val="right" w:pos="9072"/>
      </w:tabs>
      <w:jc w:val="both"/>
      <w:rPr>
        <w:rFonts w:ascii="Times New Roman" w:hAnsi="Times New Roman"/>
        <w:sz w:val="20"/>
        <w:szCs w:val="20"/>
      </w:rPr>
    </w:pPr>
    <w:r w:rsidRPr="004F5D11">
      <w:rPr>
        <w:rFonts w:ascii="Times New Roman" w:hAnsi="Times New Roman"/>
        <w:noProof/>
        <w:sz w:val="20"/>
        <w:szCs w:val="20"/>
      </w:rPr>
      <w:t xml:space="preserve">Tulkojums </w:t>
    </w:r>
    <w:r w:rsidRPr="004F5D11">
      <w:rPr>
        <w:rFonts w:ascii="Times New Roman" w:hAnsi="Times New Roman"/>
        <w:noProof/>
        <w:sz w:val="20"/>
        <w:szCs w:val="20"/>
      </w:rPr>
      <w:fldChar w:fldCharType="begin"/>
    </w:r>
    <w:r w:rsidRPr="004F5D11">
      <w:rPr>
        <w:rFonts w:ascii="Times New Roman" w:hAnsi="Times New Roman"/>
        <w:noProof/>
        <w:sz w:val="20"/>
        <w:szCs w:val="20"/>
      </w:rPr>
      <w:instrText>symbol 211 \f "Symbol" \s 9</w:instrText>
    </w:r>
    <w:r w:rsidRPr="004F5D11">
      <w:rPr>
        <w:rFonts w:ascii="Times New Roman" w:hAnsi="Times New Roman"/>
        <w:noProof/>
        <w:sz w:val="20"/>
        <w:szCs w:val="20"/>
      </w:rPr>
      <w:fldChar w:fldCharType="separate"/>
    </w:r>
    <w:r w:rsidRPr="004F5D11">
      <w:rPr>
        <w:rFonts w:ascii="Times New Roman" w:hAnsi="Times New Roman"/>
        <w:noProof/>
        <w:sz w:val="20"/>
        <w:szCs w:val="20"/>
      </w:rPr>
      <w:t>Ó</w:t>
    </w:r>
    <w:r w:rsidRPr="004F5D11">
      <w:rPr>
        <w:rFonts w:ascii="Times New Roman" w:hAnsi="Times New Roman"/>
        <w:noProof/>
        <w:sz w:val="20"/>
        <w:szCs w:val="20"/>
      </w:rPr>
      <w:fldChar w:fldCharType="end"/>
    </w:r>
    <w:r>
      <w:rPr>
        <w:rFonts w:ascii="Times New Roman" w:hAnsi="Times New Roman"/>
        <w:noProof/>
        <w:sz w:val="20"/>
        <w:szCs w:val="20"/>
      </w:rPr>
      <w:t xml:space="preserve"> Valsts valodas centrs, 201</w:t>
    </w:r>
    <w:r>
      <w:rPr>
        <w:rFonts w:ascii="Times New Roman" w:hAnsi="Times New Roman"/>
        <w:noProof/>
        <w:sz w:val="20"/>
        <w:szCs w:val="20"/>
      </w:rPr>
      <w:t>8</w:t>
    </w:r>
    <w:r w:rsidRPr="004F5D11">
      <w:rPr>
        <w:rFonts w:ascii="Times New Roman" w:hAnsi="Times New Roman"/>
        <w:sz w:val="20"/>
        <w:szCs w:val="20"/>
      </w:rPr>
      <w:tab/>
    </w:r>
    <w:r w:rsidRPr="004F5D11">
      <w:rPr>
        <w:rStyle w:val="Lappusesnumurs"/>
        <w:rFonts w:ascii="Times New Roman" w:hAnsi="Times New Roman"/>
        <w:sz w:val="20"/>
        <w:szCs w:val="20"/>
      </w:rPr>
      <w:fldChar w:fldCharType="begin"/>
    </w:r>
    <w:r w:rsidRPr="004F5D11">
      <w:rPr>
        <w:rStyle w:val="Lappusesnumurs"/>
        <w:rFonts w:ascii="Times New Roman" w:hAnsi="Times New Roman"/>
        <w:sz w:val="20"/>
        <w:szCs w:val="20"/>
      </w:rPr>
      <w:instrText xml:space="preserve">page </w:instrText>
    </w:r>
    <w:r w:rsidRPr="004F5D11">
      <w:rPr>
        <w:rStyle w:val="Lappusesnumurs"/>
        <w:rFonts w:ascii="Times New Roman" w:hAnsi="Times New Roman"/>
        <w:sz w:val="20"/>
        <w:szCs w:val="20"/>
      </w:rPr>
      <w:fldChar w:fldCharType="separate"/>
    </w:r>
    <w:r>
      <w:rPr>
        <w:rStyle w:val="Lappusesnumurs"/>
        <w:rFonts w:ascii="Times New Roman" w:hAnsi="Times New Roman"/>
        <w:sz w:val="20"/>
        <w:szCs w:val="20"/>
      </w:rPr>
      <w:t>2</w:t>
    </w:r>
    <w:r w:rsidRPr="004F5D11">
      <w:rPr>
        <w:rStyle w:val="Lappusesnumurs"/>
        <w:rFonts w:ascii="Times New Roman" w:hAnsi="Times New Roman"/>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ADC" w:rsidRPr="00D77ADC" w:rsidRDefault="00D77ADC" w:rsidP="00D77ADC">
    <w:pPr>
      <w:pStyle w:val="Galvene"/>
      <w:tabs>
        <w:tab w:val="clear" w:pos="4153"/>
        <w:tab w:val="clear" w:pos="8306"/>
        <w:tab w:val="left" w:pos="9072"/>
      </w:tabs>
      <w:jc w:val="both"/>
      <w:rPr>
        <w:rStyle w:val="Lappusesnumurs"/>
        <w:rFonts w:ascii="Times New Roman" w:hAnsi="Times New Roman" w:cs="Times New Roman"/>
        <w:sz w:val="20"/>
        <w:szCs w:val="20"/>
      </w:rPr>
    </w:pPr>
  </w:p>
  <w:p w:rsidR="00D77ADC" w:rsidRPr="00D77ADC" w:rsidRDefault="00D77ADC" w:rsidP="00D77ADC">
    <w:pPr>
      <w:pStyle w:val="Galvene"/>
      <w:tabs>
        <w:tab w:val="clear" w:pos="4153"/>
        <w:tab w:val="clear" w:pos="8306"/>
        <w:tab w:val="left" w:leader="underscore" w:pos="9072"/>
      </w:tabs>
      <w:jc w:val="both"/>
      <w:rPr>
        <w:rStyle w:val="Lappusesnumurs"/>
        <w:rFonts w:ascii="Times New Roman" w:hAnsi="Times New Roman" w:cs="Times New Roman"/>
        <w:sz w:val="20"/>
        <w:szCs w:val="20"/>
      </w:rPr>
    </w:pPr>
    <w:r w:rsidRPr="00D77ADC">
      <w:rPr>
        <w:rStyle w:val="Lappusesnumurs"/>
        <w:rFonts w:ascii="Times New Roman" w:hAnsi="Times New Roman" w:cs="Times New Roman"/>
        <w:sz w:val="20"/>
        <w:szCs w:val="20"/>
      </w:rPr>
      <w:tab/>
    </w:r>
  </w:p>
  <w:p w:rsidR="00D77ADC" w:rsidRPr="00D77ADC" w:rsidRDefault="00D77ADC" w:rsidP="00D77ADC">
    <w:pPr>
      <w:pStyle w:val="Galvene"/>
      <w:tabs>
        <w:tab w:val="clear" w:pos="4153"/>
        <w:tab w:val="clear" w:pos="8306"/>
        <w:tab w:val="left" w:pos="9072"/>
      </w:tabs>
      <w:jc w:val="both"/>
      <w:rPr>
        <w:rStyle w:val="Lappusesnumurs"/>
        <w:rFonts w:ascii="Times New Roman" w:hAnsi="Times New Roman" w:cs="Times New Roman"/>
        <w:sz w:val="20"/>
        <w:szCs w:val="20"/>
      </w:rPr>
    </w:pPr>
  </w:p>
  <w:p w:rsidR="00D77ADC" w:rsidRPr="00D77ADC" w:rsidRDefault="00D77ADC" w:rsidP="00D77ADC">
    <w:pPr>
      <w:pStyle w:val="Kjene"/>
      <w:jc w:val="both"/>
      <w:rPr>
        <w:rFonts w:ascii="Times New Roman" w:hAnsi="Times New Roman" w:cs="Times New Roman"/>
        <w:sz w:val="20"/>
        <w:szCs w:val="20"/>
      </w:rPr>
    </w:pPr>
    <w:r w:rsidRPr="00D77ADC">
      <w:rPr>
        <w:rFonts w:ascii="Times New Roman" w:hAnsi="Times New Roman" w:cs="Times New Roman"/>
        <w:noProof/>
        <w:sz w:val="20"/>
        <w:szCs w:val="20"/>
      </w:rPr>
      <w:t xml:space="preserve">Tulkojums </w:t>
    </w:r>
    <w:r w:rsidRPr="00D77ADC">
      <w:rPr>
        <w:rFonts w:ascii="Times New Roman" w:hAnsi="Times New Roman" w:cs="Times New Roman"/>
        <w:noProof/>
        <w:sz w:val="20"/>
        <w:szCs w:val="20"/>
      </w:rPr>
      <w:fldChar w:fldCharType="begin"/>
    </w:r>
    <w:r w:rsidRPr="00D77ADC">
      <w:rPr>
        <w:rFonts w:ascii="Times New Roman" w:hAnsi="Times New Roman" w:cs="Times New Roman"/>
        <w:noProof/>
        <w:sz w:val="20"/>
        <w:szCs w:val="20"/>
      </w:rPr>
      <w:instrText>symbol 211 \f "Symbol" \s 9</w:instrText>
    </w:r>
    <w:r w:rsidRPr="00D77ADC">
      <w:rPr>
        <w:rFonts w:ascii="Times New Roman" w:hAnsi="Times New Roman" w:cs="Times New Roman"/>
        <w:noProof/>
        <w:sz w:val="20"/>
        <w:szCs w:val="20"/>
      </w:rPr>
      <w:fldChar w:fldCharType="separate"/>
    </w:r>
    <w:r w:rsidRPr="00D77ADC">
      <w:rPr>
        <w:rFonts w:ascii="Times New Roman" w:hAnsi="Times New Roman" w:cs="Times New Roman"/>
        <w:noProof/>
        <w:sz w:val="20"/>
        <w:szCs w:val="20"/>
      </w:rPr>
      <w:t>Ó</w:t>
    </w:r>
    <w:r w:rsidRPr="00D77ADC">
      <w:rPr>
        <w:rFonts w:ascii="Times New Roman" w:hAnsi="Times New Roman" w:cs="Times New Roman"/>
        <w:noProof/>
        <w:sz w:val="20"/>
        <w:szCs w:val="20"/>
      </w:rPr>
      <w:fldChar w:fldCharType="end"/>
    </w:r>
    <w:r w:rsidRPr="00D77ADC">
      <w:rPr>
        <w:rFonts w:ascii="Times New Roman" w:hAnsi="Times New Roman" w:cs="Times New Roman"/>
        <w:noProof/>
        <w:sz w:val="20"/>
        <w:szCs w:val="20"/>
      </w:rPr>
      <w:t xml:space="preserve"> Valsts valodas centrs, 201</w:t>
    </w:r>
    <w:r w:rsidRPr="00D77ADC">
      <w:rPr>
        <w:rFonts w:ascii="Times New Roman" w:hAnsi="Times New Roman" w:cs="Times New Roman"/>
        <w:noProof/>
        <w:sz w:val="20"/>
        <w:szCs w:val="20"/>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1604" w:rsidRPr="00171C4A" w:rsidRDefault="00290272">
      <w:pPr>
        <w:rPr>
          <w:noProof/>
        </w:rPr>
      </w:pPr>
      <w:r w:rsidRPr="00171C4A">
        <w:rPr>
          <w:noProof/>
        </w:rPr>
        <w:separator/>
      </w:r>
    </w:p>
  </w:footnote>
  <w:footnote w:type="continuationSeparator" w:id="0">
    <w:p w:rsidR="00EA1604" w:rsidRPr="00171C4A" w:rsidRDefault="00290272">
      <w:pPr>
        <w:rPr>
          <w:noProof/>
        </w:rPr>
      </w:pPr>
      <w:r w:rsidRPr="00171C4A">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ADC" w:rsidRPr="00D77ADC" w:rsidRDefault="00D77ADC" w:rsidP="00D77ADC">
    <w:pPr>
      <w:pStyle w:val="Galvene"/>
      <w:tabs>
        <w:tab w:val="clear" w:pos="4153"/>
        <w:tab w:val="clear" w:pos="8306"/>
      </w:tabs>
      <w:jc w:val="both"/>
      <w:rPr>
        <w:rStyle w:val="Lappusesnumurs"/>
        <w:rFonts w:ascii="Times New Roman" w:hAnsi="Times New Roman"/>
        <w:sz w:val="20"/>
        <w:szCs w:val="20"/>
      </w:rPr>
    </w:pPr>
  </w:p>
  <w:p w:rsidR="00D77ADC" w:rsidRPr="00D77ADC" w:rsidRDefault="00D77ADC" w:rsidP="00D77ADC">
    <w:pPr>
      <w:pStyle w:val="Galvene"/>
      <w:tabs>
        <w:tab w:val="clear" w:pos="4153"/>
        <w:tab w:val="clear" w:pos="8306"/>
        <w:tab w:val="right" w:leader="underscore" w:pos="9072"/>
      </w:tabs>
      <w:jc w:val="both"/>
      <w:rPr>
        <w:rStyle w:val="Lappusesnumurs"/>
        <w:rFonts w:ascii="Times New Roman" w:hAnsi="Times New Roman"/>
        <w:sz w:val="20"/>
        <w:szCs w:val="20"/>
      </w:rPr>
    </w:pPr>
    <w:r w:rsidRPr="00D77ADC">
      <w:rPr>
        <w:rStyle w:val="Lappusesnumurs"/>
        <w:rFonts w:ascii="Times New Roman" w:hAnsi="Times New Roman"/>
        <w:sz w:val="20"/>
        <w:szCs w:val="20"/>
      </w:rPr>
      <w:tab/>
    </w:r>
  </w:p>
  <w:p w:rsidR="00D77ADC" w:rsidRPr="00D77ADC" w:rsidRDefault="00D77ADC" w:rsidP="00D77ADC">
    <w:pPr>
      <w:pStyle w:val="Galvene"/>
      <w:jc w:val="both"/>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ADC" w:rsidRPr="00D77ADC" w:rsidRDefault="00D77ADC" w:rsidP="00D77ADC">
    <w:pPr>
      <w:pBdr>
        <w:bottom w:val="single" w:sz="12" w:space="5" w:color="auto"/>
      </w:pBdr>
      <w:jc w:val="both"/>
      <w:rPr>
        <w:rFonts w:ascii="Times New Roman" w:hAnsi="Times New Roman" w:cs="Times New Roman"/>
        <w:spacing w:val="-2"/>
        <w:sz w:val="20"/>
        <w:szCs w:val="20"/>
      </w:rPr>
    </w:pPr>
  </w:p>
  <w:p w:rsidR="00D77ADC" w:rsidRPr="00D77ADC" w:rsidRDefault="00D77ADC" w:rsidP="00D77ADC">
    <w:pPr>
      <w:pStyle w:val="Galvene"/>
      <w:jc w:val="both"/>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E90D0C"/>
    <w:multiLevelType w:val="hybridMultilevel"/>
    <w:tmpl w:val="F9ACCF3A"/>
    <w:lvl w:ilvl="0" w:tplc="87F4272E">
      <w:start w:val="1"/>
      <w:numFmt w:val="decimal"/>
      <w:lvlText w:val="%1."/>
      <w:lvlJc w:val="left"/>
      <w:pPr>
        <w:ind w:left="400" w:hanging="284"/>
        <w:jc w:val="right"/>
      </w:pPr>
      <w:rPr>
        <w:rFonts w:ascii="Times New Roman" w:eastAsia="Calibri" w:hAnsi="Times New Roman" w:cs="Times New Roman" w:hint="default"/>
        <w:color w:val="231F20"/>
        <w:w w:val="87"/>
        <w:sz w:val="24"/>
        <w:szCs w:val="19"/>
      </w:rPr>
    </w:lvl>
    <w:lvl w:ilvl="1" w:tplc="A532147C">
      <w:start w:val="1"/>
      <w:numFmt w:val="bullet"/>
      <w:lvlText w:val="•"/>
      <w:lvlJc w:val="left"/>
      <w:pPr>
        <w:ind w:left="1229" w:hanging="284"/>
      </w:pPr>
      <w:rPr>
        <w:rFonts w:hint="default"/>
      </w:rPr>
    </w:lvl>
    <w:lvl w:ilvl="2" w:tplc="51209D78">
      <w:start w:val="1"/>
      <w:numFmt w:val="bullet"/>
      <w:lvlText w:val="•"/>
      <w:lvlJc w:val="left"/>
      <w:pPr>
        <w:ind w:left="2058" w:hanging="284"/>
      </w:pPr>
      <w:rPr>
        <w:rFonts w:hint="default"/>
      </w:rPr>
    </w:lvl>
    <w:lvl w:ilvl="3" w:tplc="80302E16">
      <w:start w:val="1"/>
      <w:numFmt w:val="bullet"/>
      <w:lvlText w:val="•"/>
      <w:lvlJc w:val="left"/>
      <w:pPr>
        <w:ind w:left="2887" w:hanging="284"/>
      </w:pPr>
      <w:rPr>
        <w:rFonts w:hint="default"/>
      </w:rPr>
    </w:lvl>
    <w:lvl w:ilvl="4" w:tplc="5882C7B2">
      <w:start w:val="1"/>
      <w:numFmt w:val="bullet"/>
      <w:lvlText w:val="•"/>
      <w:lvlJc w:val="left"/>
      <w:pPr>
        <w:ind w:left="3715" w:hanging="284"/>
      </w:pPr>
      <w:rPr>
        <w:rFonts w:hint="default"/>
      </w:rPr>
    </w:lvl>
    <w:lvl w:ilvl="5" w:tplc="AC5A6DD0">
      <w:start w:val="1"/>
      <w:numFmt w:val="bullet"/>
      <w:lvlText w:val="•"/>
      <w:lvlJc w:val="left"/>
      <w:pPr>
        <w:ind w:left="4544" w:hanging="284"/>
      </w:pPr>
      <w:rPr>
        <w:rFonts w:hint="default"/>
      </w:rPr>
    </w:lvl>
    <w:lvl w:ilvl="6" w:tplc="226A9FE6">
      <w:start w:val="1"/>
      <w:numFmt w:val="bullet"/>
      <w:lvlText w:val="•"/>
      <w:lvlJc w:val="left"/>
      <w:pPr>
        <w:ind w:left="5373" w:hanging="284"/>
      </w:pPr>
      <w:rPr>
        <w:rFonts w:hint="default"/>
      </w:rPr>
    </w:lvl>
    <w:lvl w:ilvl="7" w:tplc="C568D880">
      <w:start w:val="1"/>
      <w:numFmt w:val="bullet"/>
      <w:lvlText w:val="•"/>
      <w:lvlJc w:val="left"/>
      <w:pPr>
        <w:ind w:left="6201" w:hanging="284"/>
      </w:pPr>
      <w:rPr>
        <w:rFonts w:hint="default"/>
      </w:rPr>
    </w:lvl>
    <w:lvl w:ilvl="8" w:tplc="44EA4EE8">
      <w:start w:val="1"/>
      <w:numFmt w:val="bullet"/>
      <w:lvlText w:val="•"/>
      <w:lvlJc w:val="left"/>
      <w:pPr>
        <w:ind w:left="7030" w:hanging="284"/>
      </w:pPr>
      <w:rPr>
        <w:rFonts w:hint="default"/>
      </w:rPr>
    </w:lvl>
  </w:abstractNum>
  <w:abstractNum w:abstractNumId="1" w15:restartNumberingAfterBreak="0">
    <w:nsid w:val="2DB65305"/>
    <w:multiLevelType w:val="hybridMultilevel"/>
    <w:tmpl w:val="5C3862FC"/>
    <w:lvl w:ilvl="0" w:tplc="D5E09BCE">
      <w:start w:val="1"/>
      <w:numFmt w:val="decimal"/>
      <w:lvlText w:val="%1."/>
      <w:lvlJc w:val="left"/>
      <w:pPr>
        <w:ind w:left="1784" w:hanging="284"/>
        <w:jc w:val="left"/>
      </w:pPr>
      <w:rPr>
        <w:rFonts w:ascii="Times New Roman" w:eastAsia="Calibri" w:hAnsi="Times New Roman" w:cs="Times New Roman" w:hint="default"/>
        <w:color w:val="231F20"/>
        <w:w w:val="87"/>
        <w:sz w:val="24"/>
        <w:szCs w:val="19"/>
      </w:rPr>
    </w:lvl>
    <w:lvl w:ilvl="1" w:tplc="A09C022C">
      <w:start w:val="1"/>
      <w:numFmt w:val="bullet"/>
      <w:lvlText w:val="•"/>
      <w:lvlJc w:val="left"/>
      <w:pPr>
        <w:ind w:left="2476" w:hanging="284"/>
      </w:pPr>
      <w:rPr>
        <w:rFonts w:hint="default"/>
      </w:rPr>
    </w:lvl>
    <w:lvl w:ilvl="2" w:tplc="98C2C626">
      <w:start w:val="1"/>
      <w:numFmt w:val="bullet"/>
      <w:lvlText w:val="•"/>
      <w:lvlJc w:val="left"/>
      <w:pPr>
        <w:ind w:left="3169" w:hanging="284"/>
      </w:pPr>
      <w:rPr>
        <w:rFonts w:hint="default"/>
      </w:rPr>
    </w:lvl>
    <w:lvl w:ilvl="3" w:tplc="5464F5A2">
      <w:start w:val="1"/>
      <w:numFmt w:val="bullet"/>
      <w:lvlText w:val="•"/>
      <w:lvlJc w:val="left"/>
      <w:pPr>
        <w:ind w:left="3861" w:hanging="284"/>
      </w:pPr>
      <w:rPr>
        <w:rFonts w:hint="default"/>
      </w:rPr>
    </w:lvl>
    <w:lvl w:ilvl="4" w:tplc="0A1AD340">
      <w:start w:val="1"/>
      <w:numFmt w:val="bullet"/>
      <w:lvlText w:val="•"/>
      <w:lvlJc w:val="left"/>
      <w:pPr>
        <w:ind w:left="4553" w:hanging="284"/>
      </w:pPr>
      <w:rPr>
        <w:rFonts w:hint="default"/>
      </w:rPr>
    </w:lvl>
    <w:lvl w:ilvl="5" w:tplc="FA3448E2">
      <w:start w:val="1"/>
      <w:numFmt w:val="bullet"/>
      <w:lvlText w:val="•"/>
      <w:lvlJc w:val="left"/>
      <w:pPr>
        <w:ind w:left="5246" w:hanging="284"/>
      </w:pPr>
      <w:rPr>
        <w:rFonts w:hint="default"/>
      </w:rPr>
    </w:lvl>
    <w:lvl w:ilvl="6" w:tplc="7E064ADA">
      <w:start w:val="1"/>
      <w:numFmt w:val="bullet"/>
      <w:lvlText w:val="•"/>
      <w:lvlJc w:val="left"/>
      <w:pPr>
        <w:ind w:left="5938" w:hanging="284"/>
      </w:pPr>
      <w:rPr>
        <w:rFonts w:hint="default"/>
      </w:rPr>
    </w:lvl>
    <w:lvl w:ilvl="7" w:tplc="FCD2AD30">
      <w:start w:val="1"/>
      <w:numFmt w:val="bullet"/>
      <w:lvlText w:val="•"/>
      <w:lvlJc w:val="left"/>
      <w:pPr>
        <w:ind w:left="6630" w:hanging="284"/>
      </w:pPr>
      <w:rPr>
        <w:rFonts w:hint="default"/>
      </w:rPr>
    </w:lvl>
    <w:lvl w:ilvl="8" w:tplc="A27E3F4A">
      <w:start w:val="1"/>
      <w:numFmt w:val="bullet"/>
      <w:lvlText w:val="•"/>
      <w:lvlJc w:val="left"/>
      <w:pPr>
        <w:ind w:left="7323" w:hanging="284"/>
      </w:pPr>
      <w:rPr>
        <w:rFonts w:hint="default"/>
      </w:rPr>
    </w:lvl>
  </w:abstractNum>
  <w:abstractNum w:abstractNumId="2" w15:restartNumberingAfterBreak="0">
    <w:nsid w:val="52E54FC7"/>
    <w:multiLevelType w:val="hybridMultilevel"/>
    <w:tmpl w:val="B46290F4"/>
    <w:lvl w:ilvl="0" w:tplc="6CB02698">
      <w:start w:val="1"/>
      <w:numFmt w:val="upperRoman"/>
      <w:lvlText w:val="%1."/>
      <w:lvlJc w:val="left"/>
      <w:pPr>
        <w:ind w:left="317" w:hanging="197"/>
        <w:jc w:val="right"/>
      </w:pPr>
      <w:rPr>
        <w:rFonts w:hint="default"/>
        <w:spacing w:val="4"/>
        <w:u w:val="single" w:color="231F20"/>
      </w:rPr>
    </w:lvl>
    <w:lvl w:ilvl="1" w:tplc="D7B0084A">
      <w:start w:val="1"/>
      <w:numFmt w:val="bullet"/>
      <w:lvlText w:val="•"/>
      <w:lvlJc w:val="left"/>
      <w:pPr>
        <w:ind w:left="1154" w:hanging="197"/>
      </w:pPr>
      <w:rPr>
        <w:rFonts w:hint="default"/>
      </w:rPr>
    </w:lvl>
    <w:lvl w:ilvl="2" w:tplc="4A0AF59C">
      <w:start w:val="1"/>
      <w:numFmt w:val="bullet"/>
      <w:lvlText w:val="•"/>
      <w:lvlJc w:val="left"/>
      <w:pPr>
        <w:ind w:left="1991" w:hanging="197"/>
      </w:pPr>
      <w:rPr>
        <w:rFonts w:hint="default"/>
      </w:rPr>
    </w:lvl>
    <w:lvl w:ilvl="3" w:tplc="0686AD76">
      <w:start w:val="1"/>
      <w:numFmt w:val="bullet"/>
      <w:lvlText w:val="•"/>
      <w:lvlJc w:val="left"/>
      <w:pPr>
        <w:ind w:left="2828" w:hanging="197"/>
      </w:pPr>
      <w:rPr>
        <w:rFonts w:hint="default"/>
      </w:rPr>
    </w:lvl>
    <w:lvl w:ilvl="4" w:tplc="08446634">
      <w:start w:val="1"/>
      <w:numFmt w:val="bullet"/>
      <w:lvlText w:val="•"/>
      <w:lvlJc w:val="left"/>
      <w:pPr>
        <w:ind w:left="3665" w:hanging="197"/>
      </w:pPr>
      <w:rPr>
        <w:rFonts w:hint="default"/>
      </w:rPr>
    </w:lvl>
    <w:lvl w:ilvl="5" w:tplc="7578054A">
      <w:start w:val="1"/>
      <w:numFmt w:val="bullet"/>
      <w:lvlText w:val="•"/>
      <w:lvlJc w:val="left"/>
      <w:pPr>
        <w:ind w:left="4502" w:hanging="197"/>
      </w:pPr>
      <w:rPr>
        <w:rFonts w:hint="default"/>
      </w:rPr>
    </w:lvl>
    <w:lvl w:ilvl="6" w:tplc="278479AC">
      <w:start w:val="1"/>
      <w:numFmt w:val="bullet"/>
      <w:lvlText w:val="•"/>
      <w:lvlJc w:val="left"/>
      <w:pPr>
        <w:ind w:left="5339" w:hanging="197"/>
      </w:pPr>
      <w:rPr>
        <w:rFonts w:hint="default"/>
      </w:rPr>
    </w:lvl>
    <w:lvl w:ilvl="7" w:tplc="44D2A82C">
      <w:start w:val="1"/>
      <w:numFmt w:val="bullet"/>
      <w:lvlText w:val="•"/>
      <w:lvlJc w:val="left"/>
      <w:pPr>
        <w:ind w:left="6176" w:hanging="197"/>
      </w:pPr>
      <w:rPr>
        <w:rFonts w:hint="default"/>
      </w:rPr>
    </w:lvl>
    <w:lvl w:ilvl="8" w:tplc="09067E30">
      <w:start w:val="1"/>
      <w:numFmt w:val="bullet"/>
      <w:lvlText w:val="•"/>
      <w:lvlJc w:val="left"/>
      <w:pPr>
        <w:ind w:left="7013" w:hanging="197"/>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4A3F86"/>
    <w:rsid w:val="00171C4A"/>
    <w:rsid w:val="00290272"/>
    <w:rsid w:val="004A3F86"/>
    <w:rsid w:val="00C34B42"/>
    <w:rsid w:val="00D77ADC"/>
    <w:rsid w:val="00EA16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5C8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lv-LV" w:bidi="lv-LV"/>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uiPriority w:val="1"/>
    <w:qFormat/>
  </w:style>
  <w:style w:type="paragraph" w:styleId="Virsraksts1">
    <w:name w:val="heading 1"/>
    <w:basedOn w:val="Parasts"/>
    <w:uiPriority w:val="1"/>
    <w:qFormat/>
    <w:pPr>
      <w:ind w:left="317" w:hanging="492"/>
      <w:outlineLvl w:val="0"/>
    </w:pPr>
    <w:rPr>
      <w:rFonts w:ascii="Calibri" w:eastAsia="Calibri" w:hAnsi="Calibri"/>
      <w:b/>
      <w:bCs/>
      <w:sz w:val="40"/>
      <w:szCs w:val="40"/>
    </w:rPr>
  </w:style>
  <w:style w:type="paragraph" w:styleId="Virsraksts2">
    <w:name w:val="heading 2"/>
    <w:basedOn w:val="Parasts"/>
    <w:uiPriority w:val="1"/>
    <w:qFormat/>
    <w:pPr>
      <w:ind w:left="117"/>
      <w:outlineLvl w:val="1"/>
    </w:pPr>
    <w:rPr>
      <w:rFonts w:ascii="Calibri" w:eastAsia="Calibri" w:hAnsi="Calibri"/>
      <w:b/>
      <w:bC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uiPriority w:val="1"/>
    <w:qFormat/>
    <w:pPr>
      <w:ind w:left="400" w:hanging="283"/>
    </w:pPr>
    <w:rPr>
      <w:rFonts w:ascii="Calibri" w:eastAsia="Calibri" w:hAnsi="Calibri"/>
      <w:sz w:val="19"/>
      <w:szCs w:val="19"/>
    </w:rPr>
  </w:style>
  <w:style w:type="paragraph" w:styleId="Sarakstarindkopa">
    <w:name w:val="List Paragraph"/>
    <w:basedOn w:val="Parasts"/>
    <w:uiPriority w:val="1"/>
    <w:qFormat/>
  </w:style>
  <w:style w:type="paragraph" w:customStyle="1" w:styleId="TableParagraph">
    <w:name w:val="Table Paragraph"/>
    <w:basedOn w:val="Parasts"/>
    <w:uiPriority w:val="1"/>
    <w:qFormat/>
  </w:style>
  <w:style w:type="paragraph" w:styleId="Galvene">
    <w:name w:val="header"/>
    <w:basedOn w:val="Parasts"/>
    <w:link w:val="GalveneRakstz"/>
    <w:unhideWhenUsed/>
    <w:rsid w:val="00171C4A"/>
    <w:pPr>
      <w:tabs>
        <w:tab w:val="center" w:pos="4153"/>
        <w:tab w:val="right" w:pos="8306"/>
      </w:tabs>
    </w:pPr>
  </w:style>
  <w:style w:type="character" w:customStyle="1" w:styleId="GalveneRakstz">
    <w:name w:val="Galvene Rakstz."/>
    <w:basedOn w:val="Noklusjumarindkopasfonts"/>
    <w:link w:val="Galvene"/>
    <w:uiPriority w:val="99"/>
    <w:rsid w:val="00171C4A"/>
  </w:style>
  <w:style w:type="paragraph" w:styleId="Kjene">
    <w:name w:val="footer"/>
    <w:basedOn w:val="Parasts"/>
    <w:link w:val="KjeneRakstz"/>
    <w:unhideWhenUsed/>
    <w:rsid w:val="00171C4A"/>
    <w:pPr>
      <w:tabs>
        <w:tab w:val="center" w:pos="4153"/>
        <w:tab w:val="right" w:pos="8306"/>
      </w:tabs>
    </w:pPr>
  </w:style>
  <w:style w:type="character" w:customStyle="1" w:styleId="KjeneRakstz">
    <w:name w:val="Kājene Rakstz."/>
    <w:basedOn w:val="Noklusjumarindkopasfonts"/>
    <w:link w:val="Kjene"/>
    <w:uiPriority w:val="99"/>
    <w:rsid w:val="00171C4A"/>
  </w:style>
  <w:style w:type="character" w:styleId="Lappusesnumurs">
    <w:name w:val="page number"/>
    <w:basedOn w:val="Noklusjumarindkopasfonts"/>
    <w:semiHidden/>
    <w:rsid w:val="00D77A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17910</Words>
  <Characters>10209</Characters>
  <Application>Microsoft Office Word</Application>
  <DocSecurity>0</DocSecurity>
  <Lines>85</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lastModifiedBy/>
  <cp:revision>1</cp:revision>
  <dcterms:created xsi:type="dcterms:W3CDTF">2017-04-04T08:28:00Z</dcterms:created>
  <dcterms:modified xsi:type="dcterms:W3CDTF">2018-05-16T20:06:00Z</dcterms:modified>
</cp:coreProperties>
</file>