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7A58" w14:textId="77777777" w:rsidR="002809A3" w:rsidRPr="002809A3" w:rsidRDefault="002809A3" w:rsidP="002809A3">
      <w:pPr>
        <w:jc w:val="both"/>
        <w:rPr>
          <w:rFonts w:ascii="Times New Roman" w:eastAsia="Times New Roman" w:hAnsi="Times New Roman" w:cs="Times New Roman"/>
          <w:noProof/>
          <w:sz w:val="24"/>
          <w:szCs w:val="24"/>
          <w:lang w:val="en-US"/>
        </w:rPr>
      </w:pPr>
    </w:p>
    <w:p w14:paraId="7A814B05" w14:textId="77777777" w:rsidR="002809A3" w:rsidRPr="002809A3" w:rsidRDefault="002809A3" w:rsidP="002809A3">
      <w:pPr>
        <w:jc w:val="center"/>
        <w:rPr>
          <w:rFonts w:ascii="Times New Roman" w:eastAsia="Times New Roman" w:hAnsi="Times New Roman" w:cs="Times New Roman"/>
          <w:noProof/>
          <w:sz w:val="24"/>
          <w:szCs w:val="24"/>
          <w:lang w:val="en-US"/>
        </w:rPr>
      </w:pPr>
      <w:r w:rsidRPr="002809A3">
        <w:rPr>
          <w:rFonts w:ascii="Times New Roman" w:eastAsia="Times New Roman" w:hAnsi="Times New Roman" w:cs="Times New Roman"/>
          <w:noProof/>
          <w:sz w:val="24"/>
          <w:szCs w:val="24"/>
          <w:lang w:val="en-US"/>
        </w:rPr>
        <w:drawing>
          <wp:inline distT="0" distB="0" distL="0" distR="0" wp14:anchorId="3E6D5C9B" wp14:editId="04867549">
            <wp:extent cx="5760720" cy="562673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60720" cy="5626735"/>
                    </a:xfrm>
                    <a:prstGeom prst="rect">
                      <a:avLst/>
                    </a:prstGeom>
                  </pic:spPr>
                </pic:pic>
              </a:graphicData>
            </a:graphic>
          </wp:inline>
        </w:drawing>
      </w:r>
    </w:p>
    <w:p w14:paraId="4D2802D7" w14:textId="77777777" w:rsidR="002809A3" w:rsidRPr="002809A3" w:rsidRDefault="002809A3" w:rsidP="002809A3">
      <w:pPr>
        <w:jc w:val="both"/>
        <w:rPr>
          <w:rFonts w:ascii="Times New Roman" w:eastAsia="Times New Roman" w:hAnsi="Times New Roman" w:cs="Times New Roman"/>
          <w:noProof/>
          <w:sz w:val="24"/>
          <w:szCs w:val="24"/>
          <w:lang w:val="en-US"/>
        </w:rPr>
      </w:pPr>
    </w:p>
    <w:p w14:paraId="1301CE0C" w14:textId="77777777" w:rsidR="002809A3" w:rsidRPr="002809A3" w:rsidRDefault="002809A3" w:rsidP="002809A3">
      <w:pPr>
        <w:jc w:val="both"/>
        <w:rPr>
          <w:rFonts w:ascii="Times New Roman" w:eastAsia="Times New Roman" w:hAnsi="Times New Roman" w:cs="Times New Roman"/>
          <w:noProof/>
          <w:sz w:val="24"/>
          <w:szCs w:val="24"/>
          <w:lang w:val="en-US"/>
        </w:rPr>
      </w:pPr>
    </w:p>
    <w:p w14:paraId="474A50F7" w14:textId="77777777" w:rsidR="002809A3" w:rsidRPr="002809A3" w:rsidRDefault="002809A3" w:rsidP="002809A3">
      <w:pPr>
        <w:jc w:val="both"/>
        <w:rPr>
          <w:rFonts w:ascii="Times New Roman" w:eastAsia="Arial Black" w:hAnsi="Times New Roman" w:cs="Times New Roman"/>
          <w:b/>
          <w:bCs/>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2809A3" w:rsidRPr="002809A3" w14:paraId="695A0D01" w14:textId="77777777" w:rsidTr="008A563B">
        <w:tc>
          <w:tcPr>
            <w:tcW w:w="5000" w:type="pct"/>
          </w:tcPr>
          <w:p w14:paraId="0910ECD3" w14:textId="77777777" w:rsidR="002809A3" w:rsidRPr="002809A3" w:rsidRDefault="002809A3" w:rsidP="008A563B">
            <w:pPr>
              <w:jc w:val="right"/>
              <w:rPr>
                <w:rFonts w:ascii="Times New Roman" w:eastAsia="Arial Black" w:hAnsi="Times New Roman" w:cs="Times New Roman"/>
                <w:b/>
                <w:bCs/>
                <w:noProof/>
                <w:sz w:val="24"/>
                <w:szCs w:val="24"/>
                <w:lang w:val="en-US"/>
              </w:rPr>
            </w:pPr>
            <w:r w:rsidRPr="002809A3">
              <w:rPr>
                <w:rFonts w:ascii="Times New Roman" w:eastAsia="Arial Black" w:hAnsi="Times New Roman" w:cs="Times New Roman"/>
                <w:b/>
                <w:bCs/>
                <w:noProof/>
                <w:sz w:val="24"/>
                <w:szCs w:val="24"/>
                <w:lang w:val="en-US"/>
              </w:rPr>
              <w:drawing>
                <wp:inline distT="0" distB="0" distL="0" distR="0" wp14:anchorId="354E363B" wp14:editId="14833E91">
                  <wp:extent cx="2165036" cy="666750"/>
                  <wp:effectExtent l="0" t="0" r="0" b="0"/>
                  <wp:docPr id="2"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10;&#10;Description automatically generated"/>
                          <pic:cNvPicPr/>
                        </pic:nvPicPr>
                        <pic:blipFill>
                          <a:blip r:embed="rId11" cstate="print"/>
                          <a:stretch>
                            <a:fillRect/>
                          </a:stretch>
                        </pic:blipFill>
                        <pic:spPr>
                          <a:xfrm>
                            <a:off x="0" y="0"/>
                            <a:ext cx="2165036" cy="666750"/>
                          </a:xfrm>
                          <a:prstGeom prst="rect">
                            <a:avLst/>
                          </a:prstGeom>
                        </pic:spPr>
                      </pic:pic>
                    </a:graphicData>
                  </a:graphic>
                </wp:inline>
              </w:drawing>
            </w:r>
          </w:p>
        </w:tc>
      </w:tr>
      <w:tr w:rsidR="002809A3" w:rsidRPr="002809A3" w14:paraId="3FB39734" w14:textId="77777777" w:rsidTr="008A563B">
        <w:tc>
          <w:tcPr>
            <w:tcW w:w="5000" w:type="pct"/>
          </w:tcPr>
          <w:p w14:paraId="3EB1BB9A" w14:textId="77777777" w:rsidR="002809A3" w:rsidRPr="002809A3" w:rsidRDefault="002809A3" w:rsidP="008A563B">
            <w:pPr>
              <w:jc w:val="right"/>
              <w:rPr>
                <w:rFonts w:ascii="Times New Roman" w:hAnsi="Times New Roman"/>
                <w:b/>
                <w:noProof/>
                <w:sz w:val="24"/>
                <w:lang w:val="en-US"/>
              </w:rPr>
            </w:pPr>
            <w:r w:rsidRPr="002809A3">
              <w:rPr>
                <w:rFonts w:ascii="Times New Roman" w:hAnsi="Times New Roman"/>
                <w:b/>
                <w:noProof/>
                <w:sz w:val="24"/>
                <w:lang w:val="en-US"/>
              </w:rPr>
              <w:t>ESAO</w:t>
            </w:r>
          </w:p>
          <w:p w14:paraId="4376CD6D" w14:textId="77777777" w:rsidR="002809A3" w:rsidRPr="002809A3" w:rsidRDefault="002809A3" w:rsidP="008A563B">
            <w:pPr>
              <w:jc w:val="right"/>
              <w:rPr>
                <w:rFonts w:ascii="Times New Roman" w:hAnsi="Times New Roman"/>
                <w:b/>
                <w:noProof/>
                <w:sz w:val="20"/>
                <w:lang w:val="en-US"/>
              </w:rPr>
            </w:pPr>
            <w:r w:rsidRPr="002809A3">
              <w:rPr>
                <w:rFonts w:ascii="Times New Roman" w:hAnsi="Times New Roman"/>
                <w:b/>
                <w:noProof/>
                <w:sz w:val="20"/>
                <w:lang w:val="en-US"/>
              </w:rPr>
              <w:t>LABĀKA POLITIKA LABĀKAI DZĪVEI</w:t>
            </w:r>
          </w:p>
        </w:tc>
      </w:tr>
    </w:tbl>
    <w:p w14:paraId="67BC801A" w14:textId="77777777" w:rsidR="002809A3" w:rsidRPr="002809A3" w:rsidRDefault="002809A3" w:rsidP="002809A3">
      <w:pPr>
        <w:rPr>
          <w:noProof/>
          <w:lang w:val="en-US"/>
        </w:rPr>
      </w:pPr>
      <w:r w:rsidRPr="002809A3">
        <w:rPr>
          <w:noProof/>
          <w:lang w:val="en-US"/>
        </w:rPr>
        <w:br w:type="page"/>
      </w:r>
    </w:p>
    <w:p w14:paraId="458B59F5" w14:textId="77777777" w:rsidR="002809A3" w:rsidRPr="002809A3" w:rsidRDefault="002809A3" w:rsidP="002809A3">
      <w:pPr>
        <w:jc w:val="both"/>
        <w:rPr>
          <w:rFonts w:ascii="Times New Roman" w:eastAsia="Times New Roman" w:hAnsi="Times New Roman" w:cs="Times New Roman"/>
          <w:noProof/>
          <w:sz w:val="24"/>
          <w:szCs w:val="24"/>
          <w:lang w:val="en-US"/>
        </w:rPr>
      </w:pPr>
    </w:p>
    <w:p w14:paraId="0E06F728" w14:textId="77777777" w:rsidR="002809A3" w:rsidRPr="002809A3" w:rsidRDefault="002809A3" w:rsidP="002809A3">
      <w:pPr>
        <w:jc w:val="both"/>
        <w:rPr>
          <w:rFonts w:ascii="Times New Roman" w:hAnsi="Times New Roman"/>
          <w:noProof/>
          <w:sz w:val="24"/>
          <w:lang w:val="en-US"/>
        </w:rPr>
      </w:pPr>
      <w:r w:rsidRPr="002809A3">
        <w:rPr>
          <w:rFonts w:ascii="Times New Roman" w:hAnsi="Times New Roman"/>
          <w:noProof/>
          <w:sz w:val="24"/>
          <w:lang w:val="en-US"/>
        </w:rPr>
        <w:t>Par šā dokumenta publicēšanu atbildīgs ir ESAO ģenerālsekretārs. Šajā dokumentā reproducēti ESAO juridiskie instrumenti, un tajā var būt ietverti papildu materiāli. Papildu materiālos izteiktie uzskati un apgalvojumi ne vienmēr atspoguļo ESAO dalībvalstu oficiālos viedokļus.</w:t>
      </w:r>
    </w:p>
    <w:p w14:paraId="3C446344" w14:textId="77777777" w:rsidR="002809A3" w:rsidRPr="002809A3" w:rsidRDefault="002809A3" w:rsidP="002809A3">
      <w:pPr>
        <w:jc w:val="both"/>
        <w:rPr>
          <w:rFonts w:ascii="Times New Roman" w:eastAsia="Arial" w:hAnsi="Times New Roman" w:cs="Times New Roman"/>
          <w:noProof/>
          <w:sz w:val="24"/>
          <w:szCs w:val="24"/>
          <w:lang w:val="en-US"/>
        </w:rPr>
      </w:pPr>
    </w:p>
    <w:p w14:paraId="26A10836" w14:textId="77777777" w:rsidR="002809A3" w:rsidRPr="002809A3" w:rsidRDefault="002809A3" w:rsidP="002809A3">
      <w:pPr>
        <w:jc w:val="both"/>
        <w:rPr>
          <w:rFonts w:ascii="Times New Roman" w:hAnsi="Times New Roman"/>
          <w:noProof/>
          <w:sz w:val="24"/>
          <w:lang w:val="en-US"/>
        </w:rPr>
      </w:pPr>
      <w:r w:rsidRPr="002809A3">
        <w:rPr>
          <w:rFonts w:ascii="Times New Roman" w:hAnsi="Times New Roman"/>
          <w:noProof/>
          <w:sz w:val="24"/>
          <w:lang w:val="en-US"/>
        </w:rPr>
        <w:t>Ne šis dokuments, ne jebkādi tajā iekļautie dati un kartes nemaina nevienas teritorijas statusu vai suverenitāti pār šādu teritoriju, starptautiskās robežas un nevienas teritorijas, pilsētas vai apgabala nosaukumu.</w:t>
      </w:r>
    </w:p>
    <w:p w14:paraId="0AC4D7A9" w14:textId="77777777" w:rsidR="002809A3" w:rsidRPr="002809A3" w:rsidRDefault="002809A3" w:rsidP="002809A3">
      <w:pPr>
        <w:jc w:val="both"/>
        <w:rPr>
          <w:rFonts w:ascii="Times New Roman" w:eastAsia="Arial" w:hAnsi="Times New Roman" w:cs="Times New Roman"/>
          <w:noProof/>
          <w:sz w:val="24"/>
          <w:szCs w:val="24"/>
          <w:lang w:val="en-US"/>
        </w:rPr>
      </w:pPr>
    </w:p>
    <w:p w14:paraId="3C923248" w14:textId="77777777" w:rsidR="002809A3" w:rsidRPr="002809A3" w:rsidRDefault="002809A3" w:rsidP="002809A3">
      <w:pPr>
        <w:jc w:val="both"/>
        <w:rPr>
          <w:rFonts w:ascii="Times New Roman" w:eastAsia="Arial" w:hAnsi="Times New Roman" w:cs="Times New Roman"/>
          <w:noProof/>
          <w:sz w:val="24"/>
          <w:szCs w:val="24"/>
          <w:lang w:val="en-US"/>
        </w:rPr>
      </w:pPr>
    </w:p>
    <w:p w14:paraId="4F9FBD5C" w14:textId="77777777" w:rsidR="002809A3" w:rsidRPr="002809A3" w:rsidRDefault="002809A3" w:rsidP="002809A3">
      <w:pPr>
        <w:jc w:val="both"/>
        <w:rPr>
          <w:rFonts w:ascii="Times New Roman" w:eastAsia="Arial" w:hAnsi="Times New Roman" w:cs="Times New Roman"/>
          <w:noProof/>
          <w:sz w:val="24"/>
          <w:szCs w:val="24"/>
          <w:lang w:val="en-US"/>
        </w:rPr>
      </w:pPr>
    </w:p>
    <w:p w14:paraId="3E305E05" w14:textId="77777777" w:rsidR="002809A3" w:rsidRPr="002809A3" w:rsidRDefault="002809A3" w:rsidP="002809A3">
      <w:pPr>
        <w:jc w:val="both"/>
        <w:rPr>
          <w:rFonts w:ascii="Times New Roman" w:eastAsia="Arial" w:hAnsi="Times New Roman" w:cs="Times New Roman"/>
          <w:noProof/>
          <w:sz w:val="24"/>
          <w:szCs w:val="24"/>
          <w:lang w:val="en-US"/>
        </w:rPr>
      </w:pPr>
    </w:p>
    <w:p w14:paraId="6093B95C" w14:textId="77777777" w:rsidR="002809A3" w:rsidRPr="002809A3" w:rsidRDefault="002809A3" w:rsidP="002809A3">
      <w:pPr>
        <w:jc w:val="both"/>
        <w:rPr>
          <w:rFonts w:ascii="Times New Roman" w:eastAsia="Arial" w:hAnsi="Times New Roman" w:cs="Times New Roman"/>
          <w:noProof/>
          <w:sz w:val="24"/>
          <w:szCs w:val="24"/>
          <w:lang w:val="en-US"/>
        </w:rPr>
      </w:pPr>
    </w:p>
    <w:p w14:paraId="1E3AEC92" w14:textId="77777777" w:rsidR="002809A3" w:rsidRPr="002809A3" w:rsidRDefault="002809A3" w:rsidP="002809A3">
      <w:pPr>
        <w:jc w:val="both"/>
        <w:rPr>
          <w:rFonts w:ascii="Times New Roman" w:eastAsia="Arial" w:hAnsi="Times New Roman" w:cs="Times New Roman"/>
          <w:noProof/>
          <w:sz w:val="24"/>
          <w:szCs w:val="24"/>
          <w:lang w:val="en-US"/>
        </w:rPr>
      </w:pPr>
    </w:p>
    <w:p w14:paraId="559250F7" w14:textId="77777777" w:rsidR="002809A3" w:rsidRPr="002809A3" w:rsidRDefault="002809A3" w:rsidP="002809A3">
      <w:pPr>
        <w:jc w:val="both"/>
        <w:rPr>
          <w:rFonts w:ascii="Times New Roman" w:eastAsia="Arial" w:hAnsi="Times New Roman" w:cs="Times New Roman"/>
          <w:noProof/>
          <w:sz w:val="24"/>
          <w:szCs w:val="24"/>
          <w:lang w:val="en-US"/>
        </w:rPr>
      </w:pPr>
    </w:p>
    <w:p w14:paraId="6938E8D9" w14:textId="77777777" w:rsidR="002809A3" w:rsidRPr="002809A3" w:rsidRDefault="002809A3" w:rsidP="002809A3">
      <w:pPr>
        <w:jc w:val="both"/>
        <w:rPr>
          <w:rFonts w:ascii="Times New Roman" w:eastAsia="Arial" w:hAnsi="Times New Roman" w:cs="Times New Roman"/>
          <w:noProof/>
          <w:sz w:val="24"/>
          <w:szCs w:val="24"/>
          <w:lang w:val="en-US"/>
        </w:rPr>
      </w:pPr>
    </w:p>
    <w:p w14:paraId="4749B3DC" w14:textId="77777777" w:rsidR="002809A3" w:rsidRPr="002809A3" w:rsidRDefault="002809A3" w:rsidP="002809A3">
      <w:pPr>
        <w:jc w:val="both"/>
        <w:rPr>
          <w:rFonts w:ascii="Times New Roman" w:eastAsia="Arial" w:hAnsi="Times New Roman" w:cs="Times New Roman"/>
          <w:noProof/>
          <w:sz w:val="24"/>
          <w:szCs w:val="24"/>
          <w:lang w:val="en-US"/>
        </w:rPr>
      </w:pPr>
    </w:p>
    <w:p w14:paraId="7185CF64" w14:textId="77777777" w:rsidR="002809A3" w:rsidRPr="002809A3" w:rsidRDefault="002809A3" w:rsidP="002809A3">
      <w:pPr>
        <w:jc w:val="both"/>
        <w:rPr>
          <w:rFonts w:ascii="Times New Roman" w:eastAsia="Arial" w:hAnsi="Times New Roman" w:cs="Times New Roman"/>
          <w:noProof/>
          <w:sz w:val="24"/>
          <w:szCs w:val="24"/>
          <w:lang w:val="en-US"/>
        </w:rPr>
      </w:pPr>
    </w:p>
    <w:p w14:paraId="357232AE" w14:textId="77777777" w:rsidR="002809A3" w:rsidRPr="002809A3" w:rsidRDefault="002809A3" w:rsidP="002809A3">
      <w:pPr>
        <w:jc w:val="both"/>
        <w:rPr>
          <w:rFonts w:ascii="Times New Roman" w:eastAsia="Arial" w:hAnsi="Times New Roman" w:cs="Times New Roman"/>
          <w:noProof/>
          <w:sz w:val="24"/>
          <w:szCs w:val="24"/>
          <w:lang w:val="en-US"/>
        </w:rPr>
      </w:pPr>
    </w:p>
    <w:p w14:paraId="790F00B8" w14:textId="77777777" w:rsidR="002809A3" w:rsidRPr="002809A3" w:rsidRDefault="002809A3" w:rsidP="002809A3">
      <w:pPr>
        <w:jc w:val="both"/>
        <w:rPr>
          <w:rFonts w:ascii="Times New Roman" w:eastAsia="Arial" w:hAnsi="Times New Roman" w:cs="Times New Roman"/>
          <w:noProof/>
          <w:sz w:val="24"/>
          <w:szCs w:val="24"/>
          <w:lang w:val="en-US"/>
        </w:rPr>
      </w:pPr>
    </w:p>
    <w:p w14:paraId="4F9B85EF" w14:textId="77777777" w:rsidR="002809A3" w:rsidRPr="002809A3" w:rsidRDefault="002809A3" w:rsidP="002809A3">
      <w:pPr>
        <w:jc w:val="both"/>
        <w:rPr>
          <w:rFonts w:ascii="Times New Roman" w:eastAsia="Arial" w:hAnsi="Times New Roman" w:cs="Times New Roman"/>
          <w:noProof/>
          <w:sz w:val="24"/>
          <w:szCs w:val="24"/>
          <w:lang w:val="en-US"/>
        </w:rPr>
      </w:pPr>
    </w:p>
    <w:p w14:paraId="1C6DFBAA" w14:textId="77777777" w:rsidR="002809A3" w:rsidRPr="002809A3" w:rsidRDefault="002809A3" w:rsidP="002809A3">
      <w:pPr>
        <w:jc w:val="both"/>
        <w:rPr>
          <w:rFonts w:ascii="Times New Roman" w:eastAsia="Arial" w:hAnsi="Times New Roman" w:cs="Times New Roman"/>
          <w:noProof/>
          <w:sz w:val="24"/>
          <w:szCs w:val="24"/>
          <w:lang w:val="en-US"/>
        </w:rPr>
      </w:pPr>
    </w:p>
    <w:p w14:paraId="425C7A6E" w14:textId="77777777" w:rsidR="002809A3" w:rsidRPr="002809A3" w:rsidRDefault="002809A3" w:rsidP="002809A3">
      <w:pPr>
        <w:jc w:val="both"/>
        <w:rPr>
          <w:rFonts w:ascii="Times New Roman" w:eastAsia="Arial" w:hAnsi="Times New Roman" w:cs="Times New Roman"/>
          <w:noProof/>
          <w:sz w:val="24"/>
          <w:szCs w:val="24"/>
          <w:lang w:val="en-US"/>
        </w:rPr>
      </w:pPr>
    </w:p>
    <w:p w14:paraId="70D1A759" w14:textId="77777777" w:rsidR="002809A3" w:rsidRPr="002809A3" w:rsidRDefault="002809A3" w:rsidP="002809A3">
      <w:pPr>
        <w:jc w:val="both"/>
        <w:rPr>
          <w:rFonts w:ascii="Times New Roman" w:eastAsia="Arial" w:hAnsi="Times New Roman" w:cs="Times New Roman"/>
          <w:noProof/>
          <w:sz w:val="24"/>
          <w:szCs w:val="24"/>
          <w:lang w:val="en-US"/>
        </w:rPr>
      </w:pPr>
    </w:p>
    <w:p w14:paraId="360DF5EC" w14:textId="77777777" w:rsidR="002809A3" w:rsidRPr="002809A3" w:rsidRDefault="002809A3" w:rsidP="002809A3">
      <w:pPr>
        <w:jc w:val="both"/>
        <w:rPr>
          <w:rFonts w:ascii="Times New Roman" w:eastAsia="Arial" w:hAnsi="Times New Roman" w:cs="Times New Roman"/>
          <w:noProof/>
          <w:sz w:val="24"/>
          <w:szCs w:val="24"/>
          <w:lang w:val="en-US"/>
        </w:rPr>
      </w:pPr>
    </w:p>
    <w:p w14:paraId="50A02A7C" w14:textId="77777777" w:rsidR="002809A3" w:rsidRPr="002809A3" w:rsidRDefault="002809A3" w:rsidP="002809A3">
      <w:pPr>
        <w:jc w:val="both"/>
        <w:rPr>
          <w:rFonts w:ascii="Times New Roman" w:hAnsi="Times New Roman"/>
          <w:noProof/>
          <w:sz w:val="24"/>
          <w:lang w:val="en-US"/>
        </w:rPr>
      </w:pPr>
      <w:r w:rsidRPr="002809A3">
        <w:rPr>
          <w:rFonts w:ascii="Times New Roman" w:hAnsi="Times New Roman"/>
          <w:noProof/>
          <w:sz w:val="24"/>
          <w:lang w:val="en-US"/>
        </w:rPr>
        <w:t>Lai piekļūtu ESAO juridisko instrumentu oficiālajiem un jaunākajiem tekstiem, kā arī citai saistītajai informācijai, lūdzam skatīt ESAO juridisko instrumentu krājumu, kas atrodams http://legalinstruments.oecd.org.</w:t>
      </w:r>
    </w:p>
    <w:p w14:paraId="2B8AC964" w14:textId="77777777" w:rsidR="002809A3" w:rsidRPr="002809A3" w:rsidRDefault="002809A3" w:rsidP="002809A3">
      <w:pPr>
        <w:jc w:val="both"/>
        <w:rPr>
          <w:rFonts w:ascii="Times New Roman" w:eastAsia="Arial"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2809A3" w:rsidRPr="002809A3" w14:paraId="2FA77A57" w14:textId="77777777" w:rsidTr="008A563B">
        <w:tc>
          <w:tcPr>
            <w:tcW w:w="5000" w:type="pct"/>
          </w:tcPr>
          <w:p w14:paraId="065CBBDA" w14:textId="77777777" w:rsidR="002809A3" w:rsidRPr="002809A3" w:rsidRDefault="002809A3" w:rsidP="008A563B">
            <w:pPr>
              <w:spacing w:before="1"/>
              <w:rPr>
                <w:rFonts w:ascii="Times New Roman" w:hAnsi="Times New Roman"/>
                <w:b/>
                <w:noProof/>
                <w:lang w:val="en-US"/>
              </w:rPr>
            </w:pPr>
            <w:r w:rsidRPr="002809A3">
              <w:rPr>
                <w:rFonts w:ascii="Times New Roman" w:hAnsi="Times New Roman"/>
                <w:b/>
                <w:noProof/>
                <w:lang w:val="en-US"/>
              </w:rPr>
              <w:t>Citējot šo dokumentu, lūdzam izmantot šādu atsauci:</w:t>
            </w:r>
          </w:p>
          <w:p w14:paraId="2E9F485A" w14:textId="77777777" w:rsidR="002809A3" w:rsidRPr="002809A3" w:rsidRDefault="002809A3" w:rsidP="008A563B">
            <w:pPr>
              <w:spacing w:before="8" w:line="243" w:lineRule="auto"/>
              <w:ind w:right="1"/>
              <w:rPr>
                <w:rFonts w:ascii="Arial" w:eastAsia="Arial" w:hAnsi="Arial" w:cs="Arial"/>
                <w:noProof/>
                <w:sz w:val="18"/>
                <w:szCs w:val="18"/>
                <w:lang w:val="en-US"/>
              </w:rPr>
            </w:pPr>
            <w:r w:rsidRPr="002809A3">
              <w:rPr>
                <w:rFonts w:ascii="Times New Roman" w:hAnsi="Times New Roman"/>
                <w:noProof/>
                <w:lang w:val="en-US"/>
              </w:rPr>
              <w:t xml:space="preserve">“OECD, </w:t>
            </w:r>
            <w:r w:rsidRPr="002809A3">
              <w:rPr>
                <w:rFonts w:ascii="Times New Roman" w:hAnsi="Times New Roman"/>
                <w:i/>
                <w:noProof/>
                <w:lang w:val="en-US"/>
              </w:rPr>
              <w:t>Recommendation of the Council concerning Effective Action against Hard Core</w:t>
            </w:r>
            <w:r w:rsidRPr="002809A3">
              <w:rPr>
                <w:rFonts w:ascii="Times New Roman" w:hAnsi="Times New Roman"/>
                <w:noProof/>
                <w:lang w:val="en-US"/>
              </w:rPr>
              <w:t xml:space="preserve"> </w:t>
            </w:r>
            <w:r w:rsidRPr="002809A3">
              <w:rPr>
                <w:rFonts w:ascii="Times New Roman" w:hAnsi="Times New Roman"/>
                <w:i/>
                <w:noProof/>
                <w:lang w:val="en-US"/>
              </w:rPr>
              <w:t>Cartels</w:t>
            </w:r>
            <w:r w:rsidRPr="002809A3">
              <w:rPr>
                <w:rFonts w:ascii="Times New Roman" w:hAnsi="Times New Roman"/>
                <w:noProof/>
                <w:lang w:val="en-US"/>
              </w:rPr>
              <w:t xml:space="preserve">, OECD/LEGAL/0452” [ESAO, </w:t>
            </w:r>
            <w:r w:rsidRPr="002809A3">
              <w:rPr>
                <w:rFonts w:ascii="Times New Roman" w:hAnsi="Times New Roman"/>
                <w:i/>
                <w:iCs/>
                <w:noProof/>
                <w:lang w:val="en-US"/>
              </w:rPr>
              <w:t>Padomes Rekomendācija par efektīvu rīcību pret smagākajiem karteļa gadījumiem, OECD/LEGAL/0465</w:t>
            </w:r>
            <w:r w:rsidRPr="002809A3">
              <w:rPr>
                <w:rFonts w:ascii="Times New Roman" w:hAnsi="Times New Roman"/>
                <w:noProof/>
                <w:lang w:val="en-US"/>
              </w:rPr>
              <w:t>]</w:t>
            </w:r>
          </w:p>
        </w:tc>
      </w:tr>
    </w:tbl>
    <w:p w14:paraId="470D26AF" w14:textId="77777777" w:rsidR="002809A3" w:rsidRPr="002809A3" w:rsidRDefault="002809A3" w:rsidP="002809A3">
      <w:pPr>
        <w:jc w:val="both"/>
        <w:rPr>
          <w:rFonts w:ascii="Times New Roman" w:eastAsia="Arial" w:hAnsi="Times New Roman" w:cs="Times New Roman"/>
          <w:noProof/>
          <w:sz w:val="24"/>
          <w:szCs w:val="24"/>
          <w:lang w:val="en-US"/>
        </w:rPr>
      </w:pPr>
    </w:p>
    <w:p w14:paraId="5E91E190" w14:textId="77777777" w:rsidR="002809A3" w:rsidRPr="002809A3" w:rsidRDefault="002809A3" w:rsidP="002809A3">
      <w:pPr>
        <w:jc w:val="both"/>
        <w:rPr>
          <w:rFonts w:ascii="Times New Roman" w:hAnsi="Times New Roman"/>
          <w:noProof/>
          <w:sz w:val="24"/>
          <w:lang w:val="en-US"/>
        </w:rPr>
      </w:pPr>
      <w:r w:rsidRPr="002809A3">
        <w:rPr>
          <w:rFonts w:ascii="Times New Roman" w:hAnsi="Times New Roman"/>
          <w:noProof/>
          <w:sz w:val="24"/>
          <w:lang w:val="en-US"/>
        </w:rPr>
        <w:t>Sērija: ESAO juridiskie instrumenti</w:t>
      </w:r>
    </w:p>
    <w:p w14:paraId="1D8730EC" w14:textId="77777777" w:rsidR="002809A3" w:rsidRPr="002809A3" w:rsidRDefault="002809A3" w:rsidP="002809A3">
      <w:pPr>
        <w:jc w:val="both"/>
        <w:rPr>
          <w:rFonts w:ascii="Times New Roman" w:eastAsia="Arial" w:hAnsi="Times New Roman" w:cs="Times New Roman"/>
          <w:noProof/>
          <w:sz w:val="24"/>
          <w:szCs w:val="24"/>
          <w:lang w:val="en-US"/>
        </w:rPr>
      </w:pPr>
    </w:p>
    <w:p w14:paraId="666C9EE1" w14:textId="77777777" w:rsidR="002809A3" w:rsidRPr="002809A3" w:rsidRDefault="002809A3" w:rsidP="002809A3">
      <w:pPr>
        <w:jc w:val="both"/>
        <w:rPr>
          <w:rFonts w:ascii="Times New Roman" w:eastAsia="Arial" w:hAnsi="Times New Roman" w:cs="Times New Roman"/>
          <w:noProof/>
          <w:sz w:val="24"/>
          <w:szCs w:val="24"/>
          <w:lang w:val="en-US"/>
        </w:rPr>
      </w:pPr>
    </w:p>
    <w:p w14:paraId="70181313" w14:textId="77777777" w:rsidR="002809A3" w:rsidRPr="002809A3" w:rsidRDefault="002809A3" w:rsidP="002809A3">
      <w:pPr>
        <w:jc w:val="both"/>
        <w:rPr>
          <w:rFonts w:ascii="Times New Roman" w:eastAsia="Arial" w:hAnsi="Times New Roman" w:cs="Times New Roman"/>
          <w:noProof/>
          <w:sz w:val="24"/>
          <w:szCs w:val="24"/>
          <w:lang w:val="en-US"/>
        </w:rPr>
      </w:pPr>
      <w:r w:rsidRPr="002809A3">
        <w:rPr>
          <w:rFonts w:ascii="Times New Roman" w:hAnsi="Times New Roman"/>
          <w:b/>
          <w:noProof/>
          <w:sz w:val="24"/>
          <w:lang w:val="en-US"/>
        </w:rPr>
        <w:t xml:space="preserve">Izmantotās fotogrāfijas: </w:t>
      </w:r>
      <w:r w:rsidRPr="002809A3">
        <w:rPr>
          <w:rFonts w:ascii="Times New Roman" w:hAnsi="Times New Roman"/>
          <w:noProof/>
          <w:sz w:val="24"/>
          <w:lang w:val="en-US"/>
        </w:rPr>
        <w:t>© iStock/magurova</w:t>
      </w:r>
    </w:p>
    <w:p w14:paraId="66A0AAF9" w14:textId="77777777" w:rsidR="002809A3" w:rsidRPr="002809A3" w:rsidRDefault="002809A3" w:rsidP="002809A3">
      <w:pPr>
        <w:jc w:val="both"/>
        <w:rPr>
          <w:rFonts w:ascii="Times New Roman" w:eastAsia="Arial" w:hAnsi="Times New Roman" w:cs="Times New Roman"/>
          <w:noProof/>
          <w:sz w:val="24"/>
          <w:szCs w:val="24"/>
          <w:lang w:val="en-US"/>
        </w:rPr>
      </w:pPr>
    </w:p>
    <w:p w14:paraId="3CCC0207" w14:textId="77777777" w:rsidR="002809A3" w:rsidRPr="002809A3" w:rsidRDefault="002809A3" w:rsidP="002809A3">
      <w:pPr>
        <w:jc w:val="both"/>
        <w:rPr>
          <w:rFonts w:ascii="Times New Roman" w:hAnsi="Times New Roman"/>
          <w:noProof/>
          <w:sz w:val="24"/>
          <w:lang w:val="en-US"/>
        </w:rPr>
      </w:pPr>
      <w:r w:rsidRPr="002809A3">
        <w:rPr>
          <w:rFonts w:ascii="Times New Roman" w:hAnsi="Times New Roman"/>
          <w:noProof/>
          <w:sz w:val="24"/>
          <w:lang w:val="en-US"/>
        </w:rPr>
        <w:t>© ESAO 2021. gads</w:t>
      </w:r>
    </w:p>
    <w:p w14:paraId="79768BC6" w14:textId="77777777" w:rsidR="002809A3" w:rsidRPr="002809A3" w:rsidRDefault="002809A3" w:rsidP="002809A3">
      <w:pPr>
        <w:jc w:val="both"/>
        <w:rPr>
          <w:rFonts w:ascii="Times New Roman" w:eastAsia="Arial" w:hAnsi="Times New Roman" w:cs="Times New Roman"/>
          <w:noProof/>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2809A3" w:rsidRPr="002809A3" w14:paraId="4173BC1F" w14:textId="77777777" w:rsidTr="008A563B">
        <w:tc>
          <w:tcPr>
            <w:tcW w:w="9288" w:type="dxa"/>
          </w:tcPr>
          <w:p w14:paraId="53DD24D6" w14:textId="77777777" w:rsidR="002809A3" w:rsidRPr="002809A3" w:rsidRDefault="002809A3" w:rsidP="008A563B">
            <w:pPr>
              <w:jc w:val="both"/>
              <w:rPr>
                <w:rFonts w:ascii="Times New Roman" w:hAnsi="Times New Roman"/>
                <w:noProof/>
                <w:lang w:val="en-US"/>
              </w:rPr>
            </w:pPr>
            <w:r w:rsidRPr="002809A3">
              <w:rPr>
                <w:rFonts w:ascii="Times New Roman" w:hAnsi="Times New Roman"/>
                <w:noProof/>
                <w:lang w:val="en-US"/>
              </w:rPr>
              <w:t>Šis dokuments tiek nodrošināts bez maksas. To drīkst reproducēt un izplatīt bez maksas, nepieprasot nekādas turpmākas atļaujas, kamēr vien tas nekādā veidā netiek pārveidots. To nedrīkst pārdot.</w:t>
            </w:r>
          </w:p>
          <w:p w14:paraId="65DB13F6" w14:textId="77777777" w:rsidR="002809A3" w:rsidRPr="002809A3" w:rsidRDefault="002809A3" w:rsidP="008A563B">
            <w:pPr>
              <w:jc w:val="both"/>
              <w:rPr>
                <w:rFonts w:ascii="Times New Roman" w:eastAsia="Arial" w:hAnsi="Times New Roman" w:cs="Times New Roman"/>
                <w:noProof/>
                <w:lang w:val="en-US"/>
              </w:rPr>
            </w:pPr>
          </w:p>
          <w:p w14:paraId="2099A5A0" w14:textId="77777777" w:rsidR="002809A3" w:rsidRPr="002809A3" w:rsidRDefault="002809A3" w:rsidP="008A563B">
            <w:pPr>
              <w:jc w:val="both"/>
              <w:rPr>
                <w:rFonts w:ascii="Times New Roman" w:hAnsi="Times New Roman"/>
                <w:i/>
                <w:noProof/>
                <w:lang w:val="en-US"/>
              </w:rPr>
            </w:pPr>
            <w:r w:rsidRPr="002809A3">
              <w:rPr>
                <w:rFonts w:ascii="Times New Roman" w:hAnsi="Times New Roman"/>
                <w:noProof/>
                <w:lang w:val="en-US"/>
              </w:rPr>
              <w:t xml:space="preserve">Šis dokuments ir pieejams abās ESAO oficiālajās valodās (angļu un franču valodā). To drīkst tulkot citās valodās, ja tulkojums tiek apzīmēts ar uzrakstu “neoficiāls tulkojums” un ietver šādu atrunu: </w:t>
            </w:r>
            <w:r w:rsidRPr="002809A3">
              <w:rPr>
                <w:rFonts w:ascii="Times New Roman" w:hAnsi="Times New Roman"/>
                <w:i/>
                <w:noProof/>
                <w:lang w:val="en-US"/>
              </w:rPr>
              <w:t>“Šo tulkojumu ir sagatavojis [TULKOJUMA AUTORA VĀRDS, UZVĀRDS], un tas ir paredzēts tikai informatīviem mērķiem, un ESAO nevar garantēt tā pareizību. Vienīgās oficiālās versijas ir teksti angļu un franču valodā, kas pieejami ESAO tīmekļa vietnē http://legalinstruments.oecd.org.”</w:t>
            </w:r>
          </w:p>
        </w:tc>
      </w:tr>
    </w:tbl>
    <w:p w14:paraId="1004D8AA" w14:textId="77777777" w:rsidR="002809A3" w:rsidRPr="002809A3" w:rsidRDefault="002809A3" w:rsidP="002809A3">
      <w:pPr>
        <w:rPr>
          <w:noProof/>
          <w:lang w:val="en-US"/>
        </w:rPr>
      </w:pPr>
      <w:r w:rsidRPr="002809A3">
        <w:rPr>
          <w:noProof/>
          <w:lang w:val="en-US"/>
        </w:rPr>
        <w:br w:type="page"/>
      </w:r>
    </w:p>
    <w:p w14:paraId="24F8BEB6" w14:textId="77777777" w:rsidR="002809A3" w:rsidRPr="002809A3" w:rsidRDefault="002809A3" w:rsidP="002809A3">
      <w:pPr>
        <w:jc w:val="both"/>
        <w:rPr>
          <w:rFonts w:ascii="Times New Roman" w:eastAsia="Arial" w:hAnsi="Times New Roman" w:cs="Times New Roman"/>
          <w:i/>
          <w:noProof/>
          <w:sz w:val="24"/>
          <w:szCs w:val="24"/>
          <w:lang w:val="en-US"/>
        </w:rPr>
      </w:pPr>
    </w:p>
    <w:p w14:paraId="75B9147F" w14:textId="77777777" w:rsidR="002809A3" w:rsidRPr="002809A3" w:rsidRDefault="002809A3" w:rsidP="002809A3">
      <w:pPr>
        <w:pStyle w:val="Heading1"/>
        <w:spacing w:before="0"/>
        <w:ind w:left="0"/>
        <w:jc w:val="both"/>
        <w:rPr>
          <w:rFonts w:ascii="Times New Roman" w:hAnsi="Times New Roman"/>
          <w:noProof/>
          <w:color w:val="1E487C"/>
          <w:sz w:val="28"/>
          <w:lang w:val="en-US"/>
        </w:rPr>
      </w:pPr>
      <w:r w:rsidRPr="002809A3">
        <w:rPr>
          <w:rFonts w:ascii="Times New Roman" w:hAnsi="Times New Roman"/>
          <w:noProof/>
          <w:color w:val="1E487C"/>
          <w:sz w:val="28"/>
          <w:lang w:val="en-US"/>
        </w:rPr>
        <w:t>Vispārīga informācija</w:t>
      </w:r>
    </w:p>
    <w:p w14:paraId="585437CF" w14:textId="77777777" w:rsidR="002809A3" w:rsidRPr="002809A3" w:rsidRDefault="002809A3" w:rsidP="002809A3">
      <w:pPr>
        <w:jc w:val="both"/>
        <w:rPr>
          <w:rFonts w:ascii="Times New Roman" w:eastAsia="Arial" w:hAnsi="Times New Roman" w:cs="Times New Roman"/>
          <w:b/>
          <w:bCs/>
          <w:noProof/>
          <w:sz w:val="24"/>
          <w:szCs w:val="24"/>
          <w:lang w:val="en-US"/>
        </w:rPr>
      </w:pPr>
    </w:p>
    <w:p w14:paraId="31EDDACA"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noProof/>
          <w:sz w:val="24"/>
          <w:lang w:val="en-US"/>
        </w:rPr>
        <w:t>Rekomendāciju par efektīvu rīcību pret smagākajiem karteļa gadījumiem Padome pieņēma 2019. gada 2. jūlijā pēc Konkurences komitejas priekšlikuma. Ar šo rekomendāciju tiek atjaunināta un aizstāta 1998. gada Rekomendācija par efektīvu rīcību pret smagākajiem karteļa gadījumiem [</w:t>
      </w:r>
      <w:r w:rsidRPr="002809A3">
        <w:rPr>
          <w:rFonts w:ascii="Times New Roman" w:hAnsi="Times New Roman"/>
          <w:i/>
          <w:noProof/>
          <w:sz w:val="24"/>
          <w:lang w:val="en-US"/>
        </w:rPr>
        <w:t>OECD/LEGAL/0294</w:t>
      </w:r>
      <w:r w:rsidRPr="002809A3">
        <w:rPr>
          <w:rFonts w:ascii="Times New Roman" w:hAnsi="Times New Roman"/>
          <w:noProof/>
          <w:sz w:val="24"/>
          <w:lang w:val="en-US"/>
        </w:rPr>
        <w:t>].</w:t>
      </w:r>
    </w:p>
    <w:p w14:paraId="0CEF4204" w14:textId="77777777" w:rsidR="002809A3" w:rsidRPr="002809A3" w:rsidRDefault="002809A3" w:rsidP="002809A3">
      <w:pPr>
        <w:jc w:val="both"/>
        <w:rPr>
          <w:rFonts w:ascii="Times New Roman" w:eastAsia="Arial" w:hAnsi="Times New Roman" w:cs="Times New Roman"/>
          <w:noProof/>
          <w:sz w:val="24"/>
          <w:szCs w:val="24"/>
          <w:lang w:val="en-US"/>
        </w:rPr>
      </w:pPr>
    </w:p>
    <w:p w14:paraId="51C443A2"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1998. gada Rekomendācijas svarīgā nozīme bija neapstrīdama. Tā veicināja rīcību pret smagākajiem karteļa gadījumiem un sekmēja reformu konverģenci, lai varētu efektīvi piemērot tiesību aktus. 2019. gada Rekomendācijā atspoguļotas un konsolidētas norises attiecībā uz īstenotāju izpildes nodrošināšanas tiesību aktiem, politiku un praksi kopš 1998. gada. Tās mērķis ir dot norādījumus iekšējo reformu īstenošanai un palielināt pret karteļiem vērsto prasījuma izpildes darbību efektivitāti, pamatojoties uz vispārpieņemtiem standartiem.</w:t>
      </w:r>
    </w:p>
    <w:p w14:paraId="71636FD2" w14:textId="77777777" w:rsidR="002809A3" w:rsidRPr="002809A3" w:rsidRDefault="002809A3" w:rsidP="002809A3">
      <w:pPr>
        <w:jc w:val="both"/>
        <w:rPr>
          <w:rFonts w:ascii="Times New Roman" w:eastAsia="Arial" w:hAnsi="Times New Roman" w:cs="Times New Roman"/>
          <w:noProof/>
          <w:sz w:val="24"/>
          <w:szCs w:val="24"/>
          <w:lang w:val="en-US"/>
        </w:rPr>
      </w:pPr>
    </w:p>
    <w:p w14:paraId="0EC5C08E" w14:textId="77777777" w:rsidR="002809A3" w:rsidRPr="002809A3" w:rsidRDefault="002809A3" w:rsidP="002809A3">
      <w:pPr>
        <w:pStyle w:val="Heading3"/>
        <w:ind w:left="0"/>
        <w:jc w:val="both"/>
        <w:rPr>
          <w:rFonts w:ascii="Times New Roman" w:hAnsi="Times New Roman"/>
          <w:noProof/>
          <w:sz w:val="24"/>
          <w:lang w:val="en-US"/>
        </w:rPr>
      </w:pPr>
      <w:r w:rsidRPr="002809A3">
        <w:rPr>
          <w:rFonts w:ascii="Times New Roman" w:hAnsi="Times New Roman"/>
          <w:noProof/>
          <w:sz w:val="24"/>
          <w:lang w:val="en-US"/>
        </w:rPr>
        <w:t>Kas ir smagākie karteļa gadījumi un kādas ir to pastāvēšanas sekas?</w:t>
      </w:r>
    </w:p>
    <w:p w14:paraId="5378C567" w14:textId="77777777" w:rsidR="002809A3" w:rsidRPr="002809A3" w:rsidRDefault="002809A3" w:rsidP="002809A3">
      <w:pPr>
        <w:jc w:val="both"/>
        <w:rPr>
          <w:rFonts w:ascii="Times New Roman" w:eastAsia="Arial" w:hAnsi="Times New Roman" w:cs="Times New Roman"/>
          <w:b/>
          <w:bCs/>
          <w:i/>
          <w:noProof/>
          <w:sz w:val="24"/>
          <w:szCs w:val="24"/>
          <w:lang w:val="en-US"/>
        </w:rPr>
      </w:pPr>
    </w:p>
    <w:p w14:paraId="5B39D4A3"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Smagākie karteļa gadījumi ir pret konkurenci vērstas norunas vai darbības, ko īsteno konkurenti ar mērķi fiksēt un paaugstināt cenas, ierobežot piedāvājumu un dalīt vai sadalīt tirgus, tādējādi radot būtisku ekonomisko kaitējumu. Smagākie karteļa gadījumi ir smagākais konkurences tiesību pārkāpums.</w:t>
      </w:r>
    </w:p>
    <w:p w14:paraId="549F5159" w14:textId="77777777" w:rsidR="002809A3" w:rsidRPr="002809A3" w:rsidRDefault="002809A3" w:rsidP="002809A3">
      <w:pPr>
        <w:jc w:val="both"/>
        <w:rPr>
          <w:rFonts w:ascii="Times New Roman" w:eastAsia="Arial" w:hAnsi="Times New Roman" w:cs="Times New Roman"/>
          <w:noProof/>
          <w:sz w:val="24"/>
          <w:szCs w:val="24"/>
          <w:lang w:val="en-US"/>
        </w:rPr>
      </w:pPr>
    </w:p>
    <w:p w14:paraId="7F009EE4"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Laikposmā no 1990. gada līdz 2016. gadam starptautisko smagāko karteļa gadījumu nominālie ietekmētie pārdošanas apjomi pārsniedza 50 triljonus ASV dolāru. Karteļu bruto pārmaksa pārsniedza 1,5 triljonus ASV dolāru. Vairāk nekā 100 000 uzņēmējsabiedrību bija atbildīgas par starptautisko cenu noteikšanu. Nav pazīmju, ka karteļa darbību apmēri samazinātos – sešu gadu periodā no 2010. gada līdz 2016. gadam ik gadu tika atklāts rekordliels skaits jaunu starptautisko karteļu – 75. (Connor, J. (2016), The Private International Cartels (PIC) Data Set: Guide and Summary Statistics, 1990- July 2016, https://papers.ssrn.com/sol3/papers.cfm?abstract_id=2821254)</w:t>
      </w:r>
    </w:p>
    <w:p w14:paraId="55DC8FAE" w14:textId="77777777" w:rsidR="002809A3" w:rsidRPr="002809A3" w:rsidRDefault="002809A3" w:rsidP="002809A3">
      <w:pPr>
        <w:jc w:val="both"/>
        <w:rPr>
          <w:rFonts w:ascii="Times New Roman" w:eastAsia="Arial" w:hAnsi="Times New Roman" w:cs="Times New Roman"/>
          <w:noProof/>
          <w:sz w:val="24"/>
          <w:szCs w:val="24"/>
          <w:lang w:val="en-US"/>
        </w:rPr>
      </w:pPr>
    </w:p>
    <w:p w14:paraId="0980F3FC" w14:textId="77777777" w:rsidR="002809A3" w:rsidRPr="002809A3" w:rsidRDefault="002809A3" w:rsidP="002809A3">
      <w:pPr>
        <w:jc w:val="both"/>
        <w:rPr>
          <w:rFonts w:ascii="Times New Roman" w:eastAsia="Arial" w:hAnsi="Times New Roman"/>
          <w:noProof/>
          <w:sz w:val="24"/>
          <w:szCs w:val="20"/>
          <w:lang w:val="en-US"/>
        </w:rPr>
      </w:pPr>
      <w:r w:rsidRPr="002809A3">
        <w:rPr>
          <w:rFonts w:ascii="Times New Roman" w:eastAsia="Arial" w:hAnsi="Times New Roman"/>
          <w:noProof/>
          <w:sz w:val="24"/>
          <w:szCs w:val="20"/>
          <w:lang w:val="en-US"/>
        </w:rPr>
        <w:t>Smagāko karteļa gadījumu atklāšana un izmeklēšana ir ESAO politikas prioritārais mērķis un īstenotāju konkurences iestāžu izpildes darbību prioritāte.</w:t>
      </w:r>
    </w:p>
    <w:p w14:paraId="331CC1FF" w14:textId="77777777" w:rsidR="002809A3" w:rsidRPr="002809A3" w:rsidRDefault="002809A3" w:rsidP="002809A3">
      <w:pPr>
        <w:jc w:val="both"/>
        <w:rPr>
          <w:rFonts w:ascii="Times New Roman" w:eastAsia="Arial" w:hAnsi="Times New Roman" w:cs="Times New Roman"/>
          <w:noProof/>
          <w:sz w:val="24"/>
          <w:szCs w:val="24"/>
          <w:lang w:val="en-US"/>
        </w:rPr>
      </w:pPr>
    </w:p>
    <w:p w14:paraId="714B16FF" w14:textId="77777777" w:rsidR="002809A3" w:rsidRPr="002809A3" w:rsidRDefault="002809A3" w:rsidP="002809A3">
      <w:pPr>
        <w:pStyle w:val="Heading3"/>
        <w:ind w:left="0"/>
        <w:jc w:val="both"/>
        <w:rPr>
          <w:rFonts w:ascii="Times New Roman" w:hAnsi="Times New Roman"/>
          <w:noProof/>
          <w:sz w:val="24"/>
          <w:lang w:val="en-US"/>
        </w:rPr>
      </w:pPr>
      <w:r w:rsidRPr="002809A3">
        <w:rPr>
          <w:rFonts w:ascii="Times New Roman" w:hAnsi="Times New Roman"/>
          <w:noProof/>
          <w:sz w:val="24"/>
          <w:lang w:val="en-US"/>
        </w:rPr>
        <w:t>1998. gada Rekomendācijas mantojums</w:t>
      </w:r>
    </w:p>
    <w:p w14:paraId="68BE19CA" w14:textId="77777777" w:rsidR="002809A3" w:rsidRPr="002809A3" w:rsidRDefault="002809A3" w:rsidP="002809A3">
      <w:pPr>
        <w:jc w:val="both"/>
        <w:rPr>
          <w:rFonts w:ascii="Times New Roman" w:eastAsia="Arial" w:hAnsi="Times New Roman" w:cs="Times New Roman"/>
          <w:b/>
          <w:bCs/>
          <w:i/>
          <w:noProof/>
          <w:sz w:val="24"/>
          <w:szCs w:val="24"/>
          <w:lang w:val="en-US"/>
        </w:rPr>
      </w:pPr>
    </w:p>
    <w:p w14:paraId="5FF03C9D"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1998. gada Rekomendācija tās pieņemšanas laikā bija novatorisks dokuments, kas ietekmēja uzmanības pievēršanu karteļu pastāvēšanai un to radītajam kaitējumam, kā arī efektīvāku vietējo un starptautisko noteikumu, kā arī procedūru, kas vērstas pret karteļiem, izstrādes vadību. 1998. gada Rekomendācijā tika pievērsta uzmanība karteļu kaitīgajai ietekmei, kā arī tika ieteikts pieņemt efektīvus tiesību aktus, efektīvas sankcijas un izpildes procedūras, kā arī noteikt institūcijas, kurām ir pilnvaras atklāt smagākos karteļa gadījumus un sodīt par tiem.</w:t>
      </w:r>
    </w:p>
    <w:p w14:paraId="1E5231E6" w14:textId="77777777" w:rsidR="002809A3" w:rsidRPr="002809A3" w:rsidRDefault="002809A3" w:rsidP="002809A3">
      <w:pPr>
        <w:jc w:val="both"/>
        <w:rPr>
          <w:rFonts w:ascii="Times New Roman" w:eastAsia="Arial" w:hAnsi="Times New Roman" w:cs="Times New Roman"/>
          <w:noProof/>
          <w:sz w:val="24"/>
          <w:szCs w:val="24"/>
          <w:lang w:val="en-US"/>
        </w:rPr>
      </w:pPr>
    </w:p>
    <w:p w14:paraId="5250F662"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Kopš tās pieņemšanas izpildes nodrošināšanas prakse un politikas risinājumi attiecībā uz smagākajiem karteļa gadījumiem ir pakāpeniski mainījušies. Īstenotāji ir nostiprinājuši savu izpildes nodrošināšanas politiku un instrumentus. Karteļa darbības tikušas atklātas biežāk, un par tām noteiktie sodi ir palielinājušies. Līdztekus tam ESAO ar savas Konkurences komitejas starpniecību ir veidojusi attiecīgu politikas dialogu un palīdzējusi atbalstīt politikas attīstību.</w:t>
      </w:r>
    </w:p>
    <w:p w14:paraId="0708DF6D" w14:textId="77777777" w:rsidR="002809A3" w:rsidRPr="002809A3" w:rsidRDefault="002809A3" w:rsidP="002809A3">
      <w:pPr>
        <w:jc w:val="both"/>
        <w:rPr>
          <w:rFonts w:ascii="Times New Roman" w:eastAsia="Arial" w:hAnsi="Times New Roman" w:cs="Times New Roman"/>
          <w:noProof/>
          <w:sz w:val="24"/>
          <w:szCs w:val="24"/>
          <w:lang w:val="en-US"/>
        </w:rPr>
      </w:pPr>
    </w:p>
    <w:p w14:paraId="7A70198F" w14:textId="77777777" w:rsidR="002809A3" w:rsidRPr="002809A3" w:rsidRDefault="002809A3" w:rsidP="002809A3">
      <w:pPr>
        <w:pStyle w:val="Heading3"/>
        <w:keepNext/>
        <w:keepLines/>
        <w:ind w:left="0"/>
        <w:jc w:val="both"/>
        <w:rPr>
          <w:rFonts w:ascii="Times New Roman" w:hAnsi="Times New Roman"/>
          <w:noProof/>
          <w:sz w:val="24"/>
          <w:lang w:val="en-US"/>
        </w:rPr>
      </w:pPr>
      <w:r w:rsidRPr="002809A3">
        <w:rPr>
          <w:rFonts w:ascii="Times New Roman" w:hAnsi="Times New Roman"/>
          <w:noProof/>
          <w:sz w:val="24"/>
          <w:lang w:val="en-US"/>
        </w:rPr>
        <w:t>Nepieciešamība palielināt pret karteļiem vērsto prasījuma izpildes darbību efektivitāti</w:t>
      </w:r>
    </w:p>
    <w:p w14:paraId="39916F4C" w14:textId="77777777" w:rsidR="002809A3" w:rsidRPr="002809A3" w:rsidRDefault="002809A3" w:rsidP="002809A3">
      <w:pPr>
        <w:keepNext/>
        <w:keepLines/>
        <w:jc w:val="both"/>
        <w:rPr>
          <w:rFonts w:ascii="Times New Roman" w:eastAsia="Arial" w:hAnsi="Times New Roman" w:cs="Times New Roman"/>
          <w:b/>
          <w:bCs/>
          <w:i/>
          <w:noProof/>
          <w:sz w:val="24"/>
          <w:szCs w:val="24"/>
          <w:lang w:val="en-US"/>
        </w:rPr>
      </w:pPr>
    </w:p>
    <w:p w14:paraId="1B678343" w14:textId="77777777" w:rsidR="002809A3" w:rsidRPr="002809A3" w:rsidRDefault="002809A3" w:rsidP="002809A3">
      <w:pPr>
        <w:pStyle w:val="BodyText"/>
        <w:keepNext/>
        <w:keepLines/>
        <w:ind w:left="0"/>
        <w:jc w:val="both"/>
        <w:rPr>
          <w:rFonts w:ascii="Times New Roman" w:hAnsi="Times New Roman"/>
          <w:noProof/>
          <w:sz w:val="24"/>
          <w:lang w:val="en-US"/>
        </w:rPr>
      </w:pPr>
      <w:r w:rsidRPr="002809A3">
        <w:rPr>
          <w:rFonts w:ascii="Times New Roman" w:hAnsi="Times New Roman"/>
          <w:noProof/>
          <w:sz w:val="24"/>
          <w:lang w:val="en-US"/>
        </w:rPr>
        <w:t>2018. gadā Konkurences komiteja izskatīja 1998. gada Rekomendācijas īstenošanu un jaunākās norises. Attiecīgajā ziņojumā tika secināts, ka 1998. gada Rekomendācijai joprojām ir būtiska nozīme, taču tika secināts, ka tajā trūkst dažu nozīmīgu jauninājumu attiecībā uz pretkarteļu politiku un izpildes nodrošināšanas praksi pēdējos 20 gados. Tādēļ tika panākta vienošanās šo rekomendāciju atjaunināt, lai tajā būtu atspoguļotas un apkopotas norises attiecībā uz īstenotāju jaunāko praksi karteļu izmeklēšanā.</w:t>
      </w:r>
    </w:p>
    <w:p w14:paraId="6D237435" w14:textId="77777777" w:rsidR="002809A3" w:rsidRPr="002809A3" w:rsidRDefault="002809A3" w:rsidP="002809A3">
      <w:pPr>
        <w:jc w:val="both"/>
        <w:rPr>
          <w:rFonts w:ascii="Times New Roman" w:eastAsia="Arial" w:hAnsi="Times New Roman" w:cs="Times New Roman"/>
          <w:noProof/>
          <w:sz w:val="24"/>
          <w:szCs w:val="24"/>
          <w:lang w:val="en-US"/>
        </w:rPr>
      </w:pPr>
    </w:p>
    <w:p w14:paraId="042E116A"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Konkurences komiteja uzraudzīs šīs rekomendācijas īstenošanu. Tā vāks statistikas datus, ņemot vērā ESAO privāto starptautisko karteļu datubāzi, kurā ietverti visi zināmie starptautiskie vienas nozares karteļi, kas pastāvējuši kopš 1990. gada, kā arī tādu Sekretariāta vispārīgo statistiku par konkurences aģentūrām, kas ietver datus par izpildes darbībām un informāciju par aizstāvības iniciatīvām.</w:t>
      </w:r>
    </w:p>
    <w:p w14:paraId="765EC23B" w14:textId="77777777" w:rsidR="002809A3" w:rsidRPr="002809A3" w:rsidRDefault="002809A3" w:rsidP="002809A3">
      <w:pPr>
        <w:jc w:val="both"/>
        <w:rPr>
          <w:rFonts w:ascii="Times New Roman" w:eastAsia="Arial" w:hAnsi="Times New Roman" w:cs="Times New Roman"/>
          <w:noProof/>
          <w:sz w:val="24"/>
          <w:szCs w:val="24"/>
          <w:lang w:val="en-US"/>
        </w:rPr>
      </w:pPr>
    </w:p>
    <w:p w14:paraId="2C4E5083" w14:textId="77777777" w:rsidR="002809A3" w:rsidRPr="002809A3" w:rsidRDefault="002809A3" w:rsidP="002809A3">
      <w:pPr>
        <w:jc w:val="both"/>
        <w:rPr>
          <w:rFonts w:ascii="Times New Roman" w:eastAsia="Arial" w:hAnsi="Times New Roman" w:cs="Times New Roman"/>
          <w:noProof/>
          <w:sz w:val="24"/>
          <w:szCs w:val="24"/>
          <w:lang w:val="en-US"/>
        </w:rPr>
      </w:pPr>
      <w:r w:rsidRPr="002809A3">
        <w:rPr>
          <w:rFonts w:ascii="Times New Roman" w:eastAsia="Arial" w:hAnsi="Times New Roman" w:cs="Times New Roman"/>
          <w:noProof/>
          <w:sz w:val="24"/>
          <w:szCs w:val="24"/>
          <w:lang w:val="en-US"/>
        </w:rPr>
        <w:drawing>
          <wp:inline distT="0" distB="0" distL="0" distR="0" wp14:anchorId="0A03FEF2" wp14:editId="56583B37">
            <wp:extent cx="3558848" cy="3124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3558848" cy="312447"/>
                    </a:xfrm>
                    <a:prstGeom prst="rect">
                      <a:avLst/>
                    </a:prstGeom>
                  </pic:spPr>
                </pic:pic>
              </a:graphicData>
            </a:graphic>
          </wp:inline>
        </w:drawing>
      </w:r>
    </w:p>
    <w:p w14:paraId="53738DD3" w14:textId="77777777" w:rsidR="002809A3" w:rsidRPr="002809A3" w:rsidRDefault="002809A3" w:rsidP="002809A3">
      <w:pPr>
        <w:jc w:val="both"/>
        <w:rPr>
          <w:rFonts w:ascii="Times New Roman" w:eastAsia="Arial" w:hAnsi="Times New Roman" w:cs="Times New Roman"/>
          <w:noProof/>
          <w:sz w:val="24"/>
          <w:szCs w:val="24"/>
          <w:lang w:val="en-US"/>
        </w:rPr>
      </w:pPr>
    </w:p>
    <w:p w14:paraId="1314C87F"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Nopietnas krīzes laikā, piemēram, situācijā, ko izraisījusi Covid-19 krīze, konkurējošo uzņēmumu sadarbība var palīdzēt patērētājiem dažādos veidos, piemēram, nodrošinot būtiskus pakalpojumus (piemēram, transportu) vai izplatot tādas deficīta preces, kas ir pirmās nepieciešamības preces (piemēram, uzturot pārtikas ķēdi). Sadarbība var būt nepieciešama attiecībā uz pētniecības un attīstības projektiem, kas saistīti ar vakcīnu un medikamentu izstrādi, darbībām, kas var būt saistītas ar būtiskiem ieguldījumiem un riskiem atsevišķam uzņēmumam. Lai gan uzņēmumu sadarbība (jo īpaši krīzes neatliekamajā un steidzamajā fāzē) var būt noderīga, lai izpildītu noteiktus uzdevumus, konkurences iestādēm ir jāpanāk pareizais līdzsvars starp pasākumiem, kas dod iespēju šādām privātām iniciatīvām novērst tirgus nepilnības īstermiņā, un pasākumiem konkurences izkropļojumu nepieļaušanai ilgtermiņā. Šajā kontekstā šī rekomendācija var palīdzēt īstenotājiem veicināt tādu efektivitāti plašākā spektrā, ko var radīt šādas norunas, vienlaikus nodrošinot arī to, ka konkurences iestādes uzmanīgi seko riskam attiecībā uz to, ka šāda sadarbība var pārtapt būtiskos konkurences ierobežojumos, piemēram, cenu noteikšanas karteļos.</w:t>
      </w:r>
    </w:p>
    <w:p w14:paraId="1F5C78BF" w14:textId="77777777" w:rsidR="002809A3" w:rsidRPr="002809A3" w:rsidRDefault="002809A3" w:rsidP="002809A3">
      <w:pPr>
        <w:jc w:val="both"/>
        <w:rPr>
          <w:rFonts w:ascii="Times New Roman" w:eastAsia="Arial" w:hAnsi="Times New Roman" w:cs="Times New Roman"/>
          <w:noProof/>
          <w:sz w:val="24"/>
          <w:szCs w:val="24"/>
          <w:lang w:val="en-US"/>
        </w:rPr>
      </w:pPr>
    </w:p>
    <w:p w14:paraId="3990EB3D"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Sīkāku informāciju skatīt:</w:t>
      </w:r>
    </w:p>
    <w:p w14:paraId="079D5150" w14:textId="77777777" w:rsidR="002809A3" w:rsidRPr="002809A3" w:rsidRDefault="002809A3" w:rsidP="002809A3">
      <w:pPr>
        <w:jc w:val="both"/>
        <w:rPr>
          <w:rFonts w:ascii="Times New Roman" w:eastAsia="Arial" w:hAnsi="Times New Roman" w:cs="Times New Roman"/>
          <w:i/>
          <w:iCs/>
          <w:noProof/>
          <w:sz w:val="24"/>
          <w:szCs w:val="24"/>
          <w:lang w:val="en-US"/>
        </w:rPr>
      </w:pPr>
    </w:p>
    <w:p w14:paraId="39452ED9" w14:textId="77777777" w:rsidR="002809A3" w:rsidRPr="002809A3" w:rsidRDefault="002809A3" w:rsidP="002809A3">
      <w:pPr>
        <w:pStyle w:val="BodyText"/>
        <w:numPr>
          <w:ilvl w:val="0"/>
          <w:numId w:val="5"/>
        </w:numPr>
        <w:tabs>
          <w:tab w:val="left" w:pos="851"/>
        </w:tabs>
        <w:ind w:left="284" w:firstLine="0"/>
        <w:jc w:val="both"/>
        <w:rPr>
          <w:rFonts w:ascii="Times New Roman" w:hAnsi="Times New Roman"/>
          <w:noProof/>
          <w:sz w:val="24"/>
          <w:u w:color="0000ED"/>
          <w:lang w:val="en-US"/>
        </w:rPr>
      </w:pPr>
      <w:r w:rsidRPr="002809A3">
        <w:rPr>
          <w:rFonts w:ascii="Times New Roman" w:hAnsi="Times New Roman"/>
          <w:noProof/>
          <w:sz w:val="24"/>
          <w:u w:color="0000ED"/>
          <w:lang w:val="en-US"/>
        </w:rPr>
        <w:t>ESAO konkurences politikas pasākumi, reaģējot uz Covid-19</w:t>
      </w:r>
    </w:p>
    <w:p w14:paraId="2E230AEF" w14:textId="77777777" w:rsidR="002809A3" w:rsidRPr="002809A3" w:rsidRDefault="002809A3" w:rsidP="002809A3">
      <w:pPr>
        <w:jc w:val="both"/>
        <w:rPr>
          <w:rFonts w:ascii="Times New Roman" w:eastAsia="Arial" w:hAnsi="Times New Roman" w:cs="Times New Roman"/>
          <w:i/>
          <w:iCs/>
          <w:noProof/>
          <w:sz w:val="24"/>
          <w:szCs w:val="24"/>
          <w:lang w:val="en-US"/>
        </w:rPr>
      </w:pPr>
    </w:p>
    <w:p w14:paraId="11672CF9" w14:textId="77777777" w:rsidR="002809A3" w:rsidRPr="002809A3" w:rsidRDefault="002809A3" w:rsidP="002809A3">
      <w:pPr>
        <w:jc w:val="both"/>
        <w:rPr>
          <w:rFonts w:ascii="Times New Roman" w:hAnsi="Times New Roman"/>
          <w:i/>
          <w:noProof/>
          <w:sz w:val="24"/>
          <w:lang w:val="en-US"/>
        </w:rPr>
      </w:pPr>
      <w:r w:rsidRPr="002809A3">
        <w:rPr>
          <w:rFonts w:ascii="Times New Roman" w:hAnsi="Times New Roman"/>
          <w:i/>
          <w:noProof/>
          <w:sz w:val="24"/>
          <w:lang w:val="en-US"/>
        </w:rPr>
        <w:t>Papildu informācija pieejama šādā tīmekļa vietnē: www.oecd.org/competition/cartels/.</w:t>
      </w:r>
    </w:p>
    <w:p w14:paraId="3E34FE23" w14:textId="77777777" w:rsidR="002809A3" w:rsidRPr="002809A3" w:rsidRDefault="002809A3" w:rsidP="002809A3">
      <w:pPr>
        <w:jc w:val="both"/>
        <w:rPr>
          <w:rFonts w:ascii="Times New Roman" w:hAnsi="Times New Roman" w:cs="Times New Roman"/>
          <w:i/>
          <w:iCs/>
          <w:noProof/>
          <w:sz w:val="24"/>
          <w:szCs w:val="24"/>
          <w:lang w:val="en-US"/>
        </w:rPr>
      </w:pPr>
    </w:p>
    <w:p w14:paraId="1206489A" w14:textId="77777777" w:rsidR="002809A3" w:rsidRPr="002809A3" w:rsidRDefault="002809A3" w:rsidP="002809A3">
      <w:pPr>
        <w:jc w:val="both"/>
        <w:rPr>
          <w:rFonts w:ascii="Times New Roman" w:hAnsi="Times New Roman"/>
          <w:i/>
          <w:noProof/>
          <w:sz w:val="24"/>
          <w:lang w:val="en-US"/>
        </w:rPr>
      </w:pPr>
      <w:r w:rsidRPr="002809A3">
        <w:rPr>
          <w:rFonts w:ascii="Times New Roman" w:hAnsi="Times New Roman"/>
          <w:i/>
          <w:noProof/>
          <w:sz w:val="24"/>
          <w:lang w:val="en-US"/>
        </w:rPr>
        <w:t>Kontaktinformācija: DAFCOMPContact@oecd.org.</w:t>
      </w:r>
    </w:p>
    <w:p w14:paraId="161C0527" w14:textId="77777777" w:rsidR="002809A3" w:rsidRPr="002809A3" w:rsidRDefault="002809A3" w:rsidP="002809A3">
      <w:pPr>
        <w:rPr>
          <w:noProof/>
          <w:lang w:val="en-US"/>
        </w:rPr>
      </w:pPr>
      <w:r w:rsidRPr="002809A3">
        <w:rPr>
          <w:noProof/>
          <w:lang w:val="en-US"/>
        </w:rPr>
        <w:br w:type="page"/>
      </w:r>
    </w:p>
    <w:p w14:paraId="4BFE6E67" w14:textId="77777777" w:rsidR="002809A3" w:rsidRPr="002809A3" w:rsidRDefault="002809A3" w:rsidP="002809A3">
      <w:pPr>
        <w:jc w:val="both"/>
        <w:rPr>
          <w:rFonts w:ascii="Times New Roman" w:eastAsia="Arial" w:hAnsi="Times New Roman" w:cs="Times New Roman"/>
          <w:i/>
          <w:noProof/>
          <w:sz w:val="24"/>
          <w:szCs w:val="24"/>
          <w:lang w:val="en-US"/>
        </w:rPr>
      </w:pPr>
    </w:p>
    <w:p w14:paraId="7ADE38F6" w14:textId="77777777" w:rsidR="002809A3" w:rsidRPr="002809A3" w:rsidRDefault="002809A3" w:rsidP="002809A3">
      <w:pPr>
        <w:jc w:val="both"/>
        <w:rPr>
          <w:rFonts w:ascii="Times New Roman" w:eastAsia="Arial" w:hAnsi="Times New Roman" w:cs="Times New Roman"/>
          <w:noProof/>
          <w:sz w:val="24"/>
          <w:szCs w:val="24"/>
          <w:lang w:val="en-US"/>
        </w:rPr>
      </w:pPr>
      <w:r w:rsidRPr="002809A3">
        <w:rPr>
          <w:rFonts w:ascii="Times New Roman" w:hAnsi="Times New Roman"/>
          <w:b/>
          <w:bCs/>
          <w:noProof/>
          <w:sz w:val="24"/>
          <w:lang w:val="en-US"/>
        </w:rPr>
        <w:t>PADOME</w:t>
      </w:r>
      <w:r w:rsidRPr="002809A3">
        <w:rPr>
          <w:rFonts w:ascii="Times New Roman" w:hAnsi="Times New Roman"/>
          <w:noProof/>
          <w:sz w:val="24"/>
          <w:lang w:val="en-US"/>
        </w:rPr>
        <w:t>,</w:t>
      </w:r>
    </w:p>
    <w:p w14:paraId="3A3C2383" w14:textId="77777777" w:rsidR="002809A3" w:rsidRPr="002809A3" w:rsidRDefault="002809A3" w:rsidP="002809A3">
      <w:pPr>
        <w:jc w:val="both"/>
        <w:rPr>
          <w:rFonts w:ascii="Times New Roman" w:eastAsia="Arial" w:hAnsi="Times New Roman" w:cs="Times New Roman"/>
          <w:noProof/>
          <w:sz w:val="24"/>
          <w:szCs w:val="24"/>
          <w:lang w:val="en-US"/>
        </w:rPr>
      </w:pPr>
    </w:p>
    <w:p w14:paraId="302B3308"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b/>
          <w:noProof/>
          <w:sz w:val="24"/>
          <w:lang w:val="en-US"/>
        </w:rPr>
        <w:t xml:space="preserve">ŅEMOT VĒRĀ </w:t>
      </w:r>
      <w:r w:rsidRPr="002809A3">
        <w:rPr>
          <w:rFonts w:ascii="Times New Roman" w:hAnsi="Times New Roman"/>
          <w:noProof/>
          <w:sz w:val="24"/>
          <w:lang w:val="en-US"/>
        </w:rPr>
        <w:t>1960. gada 14. decembra Konvencijas par Ekonomiskās sadarbības un attīstības organizāciju 5. panta b) apakšpunktu;</w:t>
      </w:r>
    </w:p>
    <w:p w14:paraId="0451769A" w14:textId="77777777" w:rsidR="002809A3" w:rsidRPr="002809A3" w:rsidRDefault="002809A3" w:rsidP="002809A3">
      <w:pPr>
        <w:jc w:val="both"/>
        <w:rPr>
          <w:rFonts w:ascii="Times New Roman" w:hAnsi="Times New Roman"/>
          <w:noProof/>
          <w:sz w:val="24"/>
          <w:lang w:val="en-US"/>
        </w:rPr>
      </w:pPr>
    </w:p>
    <w:p w14:paraId="443FAA5E"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ŅEMOT VĒRĀ </w:t>
      </w:r>
      <w:r w:rsidRPr="002809A3">
        <w:rPr>
          <w:rFonts w:ascii="Times New Roman" w:hAnsi="Times New Roman"/>
          <w:noProof/>
          <w:sz w:val="24"/>
          <w:lang w:val="en-US"/>
        </w:rPr>
        <w:t>Padomes Rekomendāciju attiecībā uz to, kā apkarot manipulācijas ar cenas piedāvājumu publiskos iepirkumos [</w:t>
      </w:r>
      <w:r w:rsidRPr="002809A3">
        <w:rPr>
          <w:rFonts w:ascii="Times New Roman" w:hAnsi="Times New Roman"/>
          <w:i/>
          <w:noProof/>
          <w:sz w:val="24"/>
          <w:lang w:val="en-US"/>
        </w:rPr>
        <w:t>OECD/LEGAL/0396</w:t>
      </w:r>
      <w:r w:rsidRPr="002809A3">
        <w:rPr>
          <w:rFonts w:ascii="Times New Roman" w:hAnsi="Times New Roman"/>
          <w:noProof/>
          <w:sz w:val="24"/>
          <w:lang w:val="en-US"/>
        </w:rPr>
        <w:t>], un Padomes Rekomendāciju par starptautisko sadarbību konkurences lietu izmeklēšanā un tiesas procesos par konkurenci [</w:t>
      </w:r>
      <w:r w:rsidRPr="002809A3">
        <w:rPr>
          <w:rFonts w:ascii="Times New Roman" w:hAnsi="Times New Roman"/>
          <w:i/>
          <w:noProof/>
          <w:sz w:val="24"/>
          <w:lang w:val="en-US"/>
        </w:rPr>
        <w:t>OECD/LEGAL/0408</w:t>
      </w:r>
      <w:r w:rsidRPr="002809A3">
        <w:rPr>
          <w:rFonts w:ascii="Times New Roman" w:hAnsi="Times New Roman"/>
          <w:noProof/>
          <w:sz w:val="24"/>
          <w:lang w:val="en-US"/>
        </w:rPr>
        <w:t>], kurā ietverti sīki norādījumi par visiem sadarbības aspektiem konkurences tiesību aktu īstenošanas jomā, tostarp attiecībā uz sadarbību smagāko karteļa gadījumu lietās;</w:t>
      </w:r>
    </w:p>
    <w:p w14:paraId="5977A95F" w14:textId="77777777" w:rsidR="002809A3" w:rsidRPr="002809A3" w:rsidRDefault="002809A3" w:rsidP="002809A3">
      <w:pPr>
        <w:jc w:val="both"/>
        <w:rPr>
          <w:rFonts w:ascii="Times New Roman" w:eastAsia="Arial" w:hAnsi="Times New Roman" w:cs="Times New Roman"/>
          <w:noProof/>
          <w:sz w:val="24"/>
          <w:szCs w:val="24"/>
          <w:lang w:val="en-US"/>
        </w:rPr>
      </w:pPr>
    </w:p>
    <w:p w14:paraId="5EA97774"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ŅEMOT VĒRĀ </w:t>
      </w:r>
      <w:r w:rsidRPr="002809A3">
        <w:rPr>
          <w:rFonts w:ascii="Times New Roman" w:hAnsi="Times New Roman"/>
          <w:noProof/>
          <w:sz w:val="24"/>
          <w:lang w:val="en-US"/>
        </w:rPr>
        <w:t>norises saistībā ar tiesību aktu un politikas attiecībā uz smagākajiem karteļa gadījumiem izpildes nodrošināšanu, kas notikušas kopš Padomes Rekomendācijas par efektīvu rīcību pret smagākajiem karteļa gadījumiem [</w:t>
      </w:r>
      <w:r w:rsidRPr="002809A3">
        <w:rPr>
          <w:rFonts w:ascii="Times New Roman" w:hAnsi="Times New Roman"/>
          <w:i/>
          <w:noProof/>
          <w:sz w:val="24"/>
          <w:lang w:val="en-US"/>
        </w:rPr>
        <w:t>OECD/LEGAL/0294</w:t>
      </w:r>
      <w:r w:rsidRPr="002809A3">
        <w:rPr>
          <w:rFonts w:ascii="Times New Roman" w:hAnsi="Times New Roman"/>
          <w:noProof/>
          <w:sz w:val="24"/>
          <w:lang w:val="en-US"/>
        </w:rPr>
        <w:t>] pieņemšanas, kuru aizstāj šī rekomendācija;</w:t>
      </w:r>
    </w:p>
    <w:p w14:paraId="26588418" w14:textId="77777777" w:rsidR="002809A3" w:rsidRPr="002809A3" w:rsidRDefault="002809A3" w:rsidP="002809A3">
      <w:pPr>
        <w:jc w:val="both"/>
        <w:rPr>
          <w:rFonts w:ascii="Times New Roman" w:eastAsia="Arial" w:hAnsi="Times New Roman" w:cs="Times New Roman"/>
          <w:noProof/>
          <w:sz w:val="24"/>
          <w:szCs w:val="24"/>
          <w:lang w:val="en-US"/>
        </w:rPr>
      </w:pPr>
    </w:p>
    <w:p w14:paraId="2CD0563A"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ATZĪSTOT</w:t>
      </w:r>
      <w:r w:rsidRPr="002809A3">
        <w:rPr>
          <w:rFonts w:ascii="Times New Roman" w:hAnsi="Times New Roman"/>
          <w:noProof/>
          <w:sz w:val="24"/>
          <w:lang w:val="en-US"/>
        </w:rPr>
        <w:t>, ka smagākie karteļa gadījumi ir smagākais konkurences tiesību pārkāpums;</w:t>
      </w:r>
    </w:p>
    <w:p w14:paraId="4F88A9D0" w14:textId="77777777" w:rsidR="002809A3" w:rsidRPr="002809A3" w:rsidRDefault="002809A3" w:rsidP="002809A3">
      <w:pPr>
        <w:jc w:val="both"/>
        <w:rPr>
          <w:rFonts w:ascii="Times New Roman" w:eastAsia="Arial" w:hAnsi="Times New Roman" w:cs="Times New Roman"/>
          <w:noProof/>
          <w:sz w:val="24"/>
          <w:szCs w:val="24"/>
          <w:lang w:val="en-US"/>
        </w:rPr>
      </w:pPr>
    </w:p>
    <w:p w14:paraId="48E779FD"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ATZĪSTOT</w:t>
      </w:r>
      <w:r w:rsidRPr="002809A3">
        <w:rPr>
          <w:rFonts w:ascii="Times New Roman" w:hAnsi="Times New Roman"/>
          <w:noProof/>
          <w:sz w:val="24"/>
          <w:lang w:val="en-US"/>
        </w:rPr>
        <w:t>, ka globalizētajā ekonomikā starptautiskie karteļi kropļo konkurenci un negatīvi ietekmē patērētājus un tirgus dalībniekus;</w:t>
      </w:r>
    </w:p>
    <w:p w14:paraId="733FA830" w14:textId="77777777" w:rsidR="002809A3" w:rsidRPr="002809A3" w:rsidRDefault="002809A3" w:rsidP="002809A3">
      <w:pPr>
        <w:jc w:val="both"/>
        <w:rPr>
          <w:rFonts w:ascii="Times New Roman" w:eastAsia="Arial" w:hAnsi="Times New Roman" w:cs="Times New Roman"/>
          <w:noProof/>
          <w:sz w:val="24"/>
          <w:szCs w:val="24"/>
          <w:lang w:val="en-US"/>
        </w:rPr>
      </w:pPr>
    </w:p>
    <w:p w14:paraId="6C242C00"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ŅEMOT VĒRĀ </w:t>
      </w:r>
      <w:r w:rsidRPr="002809A3">
        <w:rPr>
          <w:rFonts w:ascii="Times New Roman" w:hAnsi="Times New Roman"/>
          <w:noProof/>
          <w:sz w:val="24"/>
          <w:lang w:val="en-US"/>
        </w:rPr>
        <w:t>to, ka dalībvalstīm un citām valstīm, kas nav dalībvalstis un īsteno šo rekomendāciju (turpmāk – “īstenotāji”), ir kopīgas intereses nepieļaut smagāko karteļa gadījumu izveidošanos un efektīvi piemērot savus tiesību aktus attiecībā uz tiem;</w:t>
      </w:r>
    </w:p>
    <w:p w14:paraId="42B8F1DD" w14:textId="77777777" w:rsidR="002809A3" w:rsidRPr="002809A3" w:rsidRDefault="002809A3" w:rsidP="002809A3">
      <w:pPr>
        <w:jc w:val="both"/>
        <w:rPr>
          <w:rFonts w:ascii="Times New Roman" w:eastAsia="Arial" w:hAnsi="Times New Roman" w:cs="Times New Roman"/>
          <w:noProof/>
          <w:sz w:val="24"/>
          <w:szCs w:val="24"/>
          <w:lang w:val="en-US"/>
        </w:rPr>
      </w:pPr>
    </w:p>
    <w:p w14:paraId="4C237A7C"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ŅEMOT VĒRĀ </w:t>
      </w:r>
      <w:r w:rsidRPr="002809A3">
        <w:rPr>
          <w:rFonts w:ascii="Times New Roman" w:hAnsi="Times New Roman"/>
          <w:noProof/>
          <w:sz w:val="24"/>
          <w:lang w:val="en-US"/>
        </w:rPr>
        <w:t>to, ka smagāko karteļa gadījumu izveidošanos var apturēt un novērst vienīgi tad, ja tiesību akti, sankcijas un izpildes procedūras, kas vērstas pret šādiem karteļiem, ir efektīvas, piemērotas un preventīvas;</w:t>
      </w:r>
    </w:p>
    <w:p w14:paraId="081EC0AA" w14:textId="77777777" w:rsidR="002809A3" w:rsidRPr="002809A3" w:rsidRDefault="002809A3" w:rsidP="002809A3">
      <w:pPr>
        <w:jc w:val="both"/>
        <w:rPr>
          <w:rFonts w:ascii="Times New Roman" w:eastAsia="Arial" w:hAnsi="Times New Roman" w:cs="Times New Roman"/>
          <w:noProof/>
          <w:sz w:val="24"/>
          <w:szCs w:val="24"/>
          <w:lang w:val="en-US"/>
        </w:rPr>
      </w:pPr>
    </w:p>
    <w:p w14:paraId="1ED1F687" w14:textId="77777777" w:rsidR="002809A3" w:rsidRPr="002809A3" w:rsidRDefault="002809A3" w:rsidP="002809A3">
      <w:pPr>
        <w:pStyle w:val="BodyText"/>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ATZĪSTOT</w:t>
      </w:r>
      <w:r w:rsidRPr="002809A3">
        <w:rPr>
          <w:rFonts w:ascii="Times New Roman" w:hAnsi="Times New Roman"/>
          <w:noProof/>
          <w:sz w:val="24"/>
          <w:lang w:val="en-US"/>
        </w:rPr>
        <w:t>, ka rīcībai pret smagākajiem karteļa gadījumiem ir svarīga loma starptautiskā mērogā un ka šī rīcība ir jo īpaši atkarīga no konkurences iestāžu starptautiskās sadarbības,</w:t>
      </w:r>
    </w:p>
    <w:p w14:paraId="77EB586E" w14:textId="77777777" w:rsidR="002809A3" w:rsidRPr="002809A3" w:rsidRDefault="002809A3" w:rsidP="002809A3">
      <w:pPr>
        <w:jc w:val="both"/>
        <w:rPr>
          <w:rFonts w:ascii="Times New Roman" w:eastAsia="Arial" w:hAnsi="Times New Roman" w:cs="Times New Roman"/>
          <w:noProof/>
          <w:sz w:val="24"/>
          <w:szCs w:val="24"/>
          <w:lang w:val="en-US"/>
        </w:rPr>
      </w:pPr>
    </w:p>
    <w:p w14:paraId="1AAC676E" w14:textId="77777777" w:rsidR="002809A3" w:rsidRPr="002809A3" w:rsidRDefault="002809A3" w:rsidP="002809A3">
      <w:pPr>
        <w:pStyle w:val="Heading2"/>
        <w:ind w:left="0"/>
        <w:jc w:val="both"/>
        <w:rPr>
          <w:rFonts w:ascii="Times New Roman" w:hAnsi="Times New Roman"/>
          <w:noProof/>
          <w:sz w:val="24"/>
          <w:lang w:val="en-US"/>
        </w:rPr>
      </w:pPr>
      <w:r w:rsidRPr="002809A3">
        <w:rPr>
          <w:rFonts w:ascii="Times New Roman" w:hAnsi="Times New Roman"/>
          <w:noProof/>
          <w:sz w:val="24"/>
          <w:lang w:val="en-US"/>
        </w:rPr>
        <w:t>pēc Konkurences komitejas priekšlikuma īsteno turpmāk minētās darbības.</w:t>
      </w:r>
    </w:p>
    <w:p w14:paraId="630896FD" w14:textId="77777777" w:rsidR="002809A3" w:rsidRPr="002809A3" w:rsidRDefault="002809A3" w:rsidP="002809A3">
      <w:pPr>
        <w:jc w:val="both"/>
        <w:rPr>
          <w:rFonts w:ascii="Times New Roman" w:eastAsia="Arial" w:hAnsi="Times New Roman" w:cs="Times New Roman"/>
          <w:b/>
          <w:bCs/>
          <w:noProof/>
          <w:sz w:val="24"/>
          <w:szCs w:val="24"/>
          <w:lang w:val="en-US"/>
        </w:rPr>
      </w:pPr>
    </w:p>
    <w:p w14:paraId="5B95524F" w14:textId="77777777" w:rsidR="002809A3" w:rsidRPr="002809A3" w:rsidRDefault="002809A3" w:rsidP="002809A3">
      <w:pPr>
        <w:pStyle w:val="BodyText"/>
        <w:tabs>
          <w:tab w:val="left" w:pos="1301"/>
        </w:tabs>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I. VIENOJAS</w:t>
      </w:r>
      <w:r w:rsidRPr="002809A3">
        <w:rPr>
          <w:rFonts w:ascii="Times New Roman" w:hAnsi="Times New Roman"/>
          <w:noProof/>
          <w:sz w:val="24"/>
          <w:lang w:val="en-US"/>
        </w:rPr>
        <w:t>, ka šajā rekomendācijā tiek izmantotas  turpmāk norādītās definīcijas.</w:t>
      </w:r>
    </w:p>
    <w:p w14:paraId="0A8377D8" w14:textId="77777777" w:rsidR="002809A3" w:rsidRPr="002809A3" w:rsidRDefault="002809A3" w:rsidP="002809A3">
      <w:pPr>
        <w:jc w:val="both"/>
        <w:rPr>
          <w:rFonts w:ascii="Times New Roman" w:eastAsia="Arial" w:hAnsi="Times New Roman" w:cs="Times New Roman"/>
          <w:noProof/>
          <w:sz w:val="24"/>
          <w:szCs w:val="24"/>
          <w:lang w:val="en-US"/>
        </w:rPr>
      </w:pPr>
    </w:p>
    <w:p w14:paraId="70995675" w14:textId="77777777" w:rsidR="002809A3" w:rsidRPr="002809A3" w:rsidRDefault="002809A3" w:rsidP="002809A3">
      <w:pPr>
        <w:pStyle w:val="BodyText"/>
        <w:numPr>
          <w:ilvl w:val="1"/>
          <w:numId w:val="4"/>
        </w:numPr>
        <w:tabs>
          <w:tab w:val="left" w:pos="851"/>
        </w:tabs>
        <w:ind w:left="284" w:firstLine="0"/>
        <w:jc w:val="both"/>
        <w:rPr>
          <w:rFonts w:ascii="Times New Roman" w:hAnsi="Times New Roman"/>
          <w:noProof/>
          <w:sz w:val="24"/>
          <w:lang w:val="en-US"/>
        </w:rPr>
      </w:pPr>
      <w:r w:rsidRPr="002809A3">
        <w:rPr>
          <w:rFonts w:ascii="Times New Roman" w:hAnsi="Times New Roman"/>
          <w:b/>
          <w:noProof/>
          <w:sz w:val="24"/>
          <w:lang w:val="en-US"/>
        </w:rPr>
        <w:t xml:space="preserve">Smagākie karteļa gadījumi </w:t>
      </w:r>
      <w:r w:rsidRPr="002809A3">
        <w:rPr>
          <w:rFonts w:ascii="Times New Roman" w:hAnsi="Times New Roman"/>
          <w:noProof/>
          <w:sz w:val="24"/>
          <w:lang w:val="en-US"/>
        </w:rPr>
        <w:t>ir faktisko vai iespējamo konkurentu pret konkurenci vērstas norunas, saskaņotas darbības vai vienošanās par cenām, manipulācijām ar piedāvājumiem (slepenas vienošanās par piedāvājumiem), izlaides ierobežojumu vai kvotu noteikšanu, tirgus dalīšanu vai sadalīšanu, piemēram, klientu, piegādātāju, teritoriju vai tirdzniecības nozaru sadali. Tie neietver: a) norunas, saskaņotas darbības vai vienošanās, kas ir objektīvi saistītas ar likumīgo saimnieciskās darbības integrāciju, kura paaugstina efektivitāti; b) norunas, saskaņotas darbības vai vienošanās, kas citādi būtu kvalificējamas kā smagākie karteļa gadījumi un uz ko tieši vai netieši neattiecas īstenotāja konkurences tiesību akti vai kas ir obligātas saskaņā ar īstenotāja tiesību aktiem.</w:t>
      </w:r>
    </w:p>
    <w:p w14:paraId="4596C129" w14:textId="77777777" w:rsidR="002809A3" w:rsidRPr="002809A3" w:rsidRDefault="002809A3" w:rsidP="002809A3">
      <w:pPr>
        <w:tabs>
          <w:tab w:val="left" w:pos="851"/>
        </w:tabs>
        <w:ind w:left="284"/>
        <w:jc w:val="both"/>
        <w:rPr>
          <w:rFonts w:ascii="Times New Roman" w:hAnsi="Times New Roman"/>
          <w:noProof/>
          <w:sz w:val="24"/>
          <w:lang w:val="en-US"/>
        </w:rPr>
      </w:pPr>
    </w:p>
    <w:p w14:paraId="437D2912" w14:textId="77777777" w:rsidR="002809A3" w:rsidRPr="002809A3" w:rsidRDefault="002809A3" w:rsidP="002809A3">
      <w:pPr>
        <w:pStyle w:val="BodyText"/>
        <w:numPr>
          <w:ilvl w:val="1"/>
          <w:numId w:val="4"/>
        </w:numPr>
        <w:tabs>
          <w:tab w:val="left" w:pos="851"/>
        </w:tabs>
        <w:ind w:left="284" w:firstLine="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Iecietības programmas </w:t>
      </w:r>
      <w:r w:rsidRPr="002809A3">
        <w:rPr>
          <w:rFonts w:ascii="Times New Roman" w:hAnsi="Times New Roman"/>
          <w:noProof/>
          <w:sz w:val="24"/>
          <w:lang w:val="en-US"/>
        </w:rPr>
        <w:t>ir mehānismi, kas dod karteļu dalībniekiem iespēju ziņot par savu rīcību, sniegt informāciju un pierādījumus, kā arī sadarboties izmeklēšanas procesā, par to saņemot imunitāti pret sankcijām vai nodrošinot sankciju samazināšanu, kā arī dažās jurisdikcijās – saņemot imunitāti attiecībā uz tiesvedību / saukšanu pie atbildības.</w:t>
      </w:r>
    </w:p>
    <w:p w14:paraId="339D75F3" w14:textId="77777777" w:rsidR="002809A3" w:rsidRPr="002809A3" w:rsidRDefault="002809A3" w:rsidP="002809A3">
      <w:pPr>
        <w:tabs>
          <w:tab w:val="left" w:pos="851"/>
        </w:tabs>
        <w:ind w:left="284"/>
        <w:jc w:val="both"/>
        <w:rPr>
          <w:rFonts w:ascii="Times New Roman" w:eastAsia="Arial" w:hAnsi="Times New Roman" w:cs="Times New Roman"/>
          <w:noProof/>
          <w:sz w:val="24"/>
          <w:szCs w:val="24"/>
          <w:lang w:val="en-US"/>
        </w:rPr>
      </w:pPr>
    </w:p>
    <w:p w14:paraId="3AC2C006" w14:textId="77777777" w:rsidR="002809A3" w:rsidRPr="002809A3" w:rsidRDefault="002809A3" w:rsidP="002809A3">
      <w:pPr>
        <w:pStyle w:val="BodyText"/>
        <w:numPr>
          <w:ilvl w:val="1"/>
          <w:numId w:val="4"/>
        </w:numPr>
        <w:tabs>
          <w:tab w:val="left" w:pos="851"/>
        </w:tabs>
        <w:ind w:left="284" w:firstLine="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Pārrunas un izlīgumi vainas atzīšanas gadījumā </w:t>
      </w:r>
      <w:r w:rsidRPr="002809A3">
        <w:rPr>
          <w:rFonts w:ascii="Times New Roman" w:hAnsi="Times New Roman"/>
          <w:noProof/>
          <w:sz w:val="24"/>
          <w:lang w:val="en-US"/>
        </w:rPr>
        <w:t>ir lietas atrisināšanas metodes, kas konkurences iestādēm dod iespēju izdarīt būtiskus konstatējumus, kā arī sekmēt un saīsināt procedūras karteļa lietā, sadarbojoties ar pusēm, attiecībā pret kurām tiek veikta izmeklēšana, apmaiņā pret sankciju samazināšanu.</w:t>
      </w:r>
    </w:p>
    <w:p w14:paraId="5C4D6A5D" w14:textId="77777777" w:rsidR="002809A3" w:rsidRPr="002809A3" w:rsidRDefault="002809A3" w:rsidP="002809A3">
      <w:pPr>
        <w:jc w:val="both"/>
        <w:rPr>
          <w:rFonts w:ascii="Times New Roman" w:eastAsia="Arial" w:hAnsi="Times New Roman" w:cs="Times New Roman"/>
          <w:noProof/>
          <w:sz w:val="24"/>
          <w:szCs w:val="24"/>
          <w:lang w:val="en-US"/>
        </w:rPr>
      </w:pPr>
    </w:p>
    <w:p w14:paraId="20F656DE"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b/>
          <w:noProof/>
          <w:sz w:val="24"/>
          <w:lang w:val="en-US"/>
        </w:rPr>
        <w:t xml:space="preserve">II. IESAKA </w:t>
      </w:r>
      <w:r w:rsidRPr="002809A3">
        <w:rPr>
          <w:rFonts w:ascii="Times New Roman" w:hAnsi="Times New Roman"/>
          <w:noProof/>
          <w:sz w:val="24"/>
          <w:lang w:val="en-US"/>
        </w:rPr>
        <w:t>īstenotājiem smagākos karteļa gadījumus aizliegt neatkarīgi no tā, vai ir pierādījumi par faktisko kaitīgo ietekmi uz tirgiem, un izstrādāt savus pretkarteļu tiesību aktus, politiku un izpildes nodrošināšanas praksi nolūkā nodrošināt to, lai tie smagākos karteļa gadījumus apturētu, kā arī atturētu no to izveidošanās un nodrošinātu efektīvu kompensāciju personām, kas cietušas karteļu darbības rezultātā, saskaņā ar īstenotāju tiesisko regulējumu, institucionālo sistēmu un procesuālajām garantijām. Šajā nolūkā īstenotājiem ir jāveic turpmāk norādītās darbības.</w:t>
      </w:r>
    </w:p>
    <w:p w14:paraId="256F3766" w14:textId="77777777" w:rsidR="002809A3" w:rsidRPr="002809A3" w:rsidRDefault="002809A3" w:rsidP="002809A3">
      <w:pPr>
        <w:jc w:val="both"/>
        <w:rPr>
          <w:rFonts w:ascii="Times New Roman" w:hAnsi="Times New Roman"/>
          <w:noProof/>
          <w:sz w:val="24"/>
          <w:lang w:val="en-US"/>
        </w:rPr>
      </w:pPr>
    </w:p>
    <w:p w14:paraId="36AD1919"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1. Tiem ir jāievieš efektīva karteļu atklāšanas sistēma,</w:t>
      </w:r>
    </w:p>
    <w:p w14:paraId="29A8B424" w14:textId="77777777" w:rsidR="002809A3" w:rsidRPr="002809A3" w:rsidRDefault="002809A3" w:rsidP="002809A3">
      <w:pPr>
        <w:jc w:val="both"/>
        <w:rPr>
          <w:rFonts w:ascii="Times New Roman" w:eastAsia="Arial" w:hAnsi="Times New Roman" w:cs="Times New Roman"/>
          <w:noProof/>
          <w:sz w:val="24"/>
          <w:szCs w:val="24"/>
          <w:lang w:val="en-US"/>
        </w:rPr>
      </w:pPr>
    </w:p>
    <w:p w14:paraId="48139DAC"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a) ieviešot efektīvas iecietības programmas, kas:</w:t>
      </w:r>
    </w:p>
    <w:p w14:paraId="3394AC19"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699B0209"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i) nosaka stimulus attiecībā uz brīvprātīgas ziņošanas gadījumiem, nodrošinot pilnīgu imunitāti pirmajam pieteikuma iesniedzējam, kas ziņo par savām karteļa darbībām un pilnībā sadarbojas ar konkurences iestādi, un nodrošinot sankciju samazināšanu nākamajiem pieteikuma iesniedzējiem;</w:t>
      </w:r>
    </w:p>
    <w:p w14:paraId="7AAA13FE"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ii) nodrošina skaidrību attiecībā uz noteikumiem un procedūrām, kas reglamentē iecietības programmas un saistītos ieguvumus;</w:t>
      </w:r>
    </w:p>
    <w:p w14:paraId="69CDF9B9"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iii) atvieglo ziņošanas procesu, izmantojot marķieru sistēmu, lai mudinātu ziņot agrāk un sniegtu skaidrību pieteikuma iesniedzējiem;</w:t>
      </w:r>
    </w:p>
    <w:p w14:paraId="1DF21131"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iv) nosaka skaidrus standartus attiecībā uz iecietības programmai atbilstošās informācijas veidu un kvalitāti;</w:t>
      </w:r>
    </w:p>
    <w:p w14:paraId="6A8A3640"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v) nodrošina pastāvīgu iecietības pieteikuma iesniedzēja un konkurences iestādes sadarbību visā izmeklēšanas gaitā, sankciju samazinājumu līmeņa noteikšanas procesā, ņemot vērā tādus faktorus kā iesniegtās informācijas vērtība un iesniegšanas laiks;</w:t>
      </w:r>
    </w:p>
    <w:p w14:paraId="535030F5"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vi) nodrošina aizsardzību pret sankcijām vai to samazināšanu to uzņēmumu pilnvarotajām amatpersonām un darbiniekiem, kas iesniedz pieteikumus par iecietības programmas piemērošanu;</w:t>
      </w:r>
    </w:p>
    <w:p w14:paraId="4672FC92"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vii) nosaka, ka imunitāte nav pieejama personām, kas piespiedušas piedalīties kartelī;</w:t>
      </w:r>
    </w:p>
    <w:p w14:paraId="44505783"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viii) nodrošina atbilstošu konfidencialitātes aizsardzību iecietības pieteikuma iesniedzējiem;</w:t>
      </w:r>
    </w:p>
    <w:p w14:paraId="593A1AB3" w14:textId="77777777" w:rsidR="002809A3" w:rsidRPr="002809A3" w:rsidRDefault="002809A3" w:rsidP="002809A3">
      <w:pPr>
        <w:pStyle w:val="BodyText"/>
        <w:tabs>
          <w:tab w:val="left" w:pos="1870"/>
        </w:tabs>
        <w:ind w:left="567"/>
        <w:jc w:val="both"/>
        <w:rPr>
          <w:rFonts w:ascii="Times New Roman" w:hAnsi="Times New Roman"/>
          <w:noProof/>
          <w:sz w:val="24"/>
          <w:lang w:val="en-US"/>
        </w:rPr>
      </w:pPr>
      <w:r w:rsidRPr="002809A3">
        <w:rPr>
          <w:rFonts w:ascii="Times New Roman" w:hAnsi="Times New Roman"/>
          <w:noProof/>
          <w:sz w:val="24"/>
          <w:lang w:val="en-US"/>
        </w:rPr>
        <w:t>ix) cenšas mazināt nevajadzīgu apgrūtinājumu pusēm, kas lūdz piemērot iecietības programmu;</w:t>
      </w:r>
    </w:p>
    <w:p w14:paraId="251F2443" w14:textId="77777777" w:rsidR="002809A3" w:rsidRPr="002809A3" w:rsidRDefault="002809A3" w:rsidP="002809A3">
      <w:pPr>
        <w:pStyle w:val="BodyText"/>
        <w:tabs>
          <w:tab w:val="left" w:pos="1303"/>
        </w:tabs>
        <w:ind w:left="284"/>
        <w:jc w:val="both"/>
        <w:rPr>
          <w:rFonts w:ascii="Times New Roman" w:hAnsi="Times New Roman" w:cs="Times New Roman"/>
          <w:noProof/>
          <w:sz w:val="24"/>
          <w:szCs w:val="24"/>
          <w:lang w:val="en-US"/>
        </w:rPr>
      </w:pPr>
    </w:p>
    <w:p w14:paraId="36BEF302"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b) izmantojot proaktīvas karteļu atklāšanas metodes, piemēram, publisko iepirkumu datu analīzi, lai uzsāktu un atbalstītu karteļu izmeklēšanu;</w:t>
      </w:r>
    </w:p>
    <w:p w14:paraId="567D774E"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2656D48A"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c) atvieglojot informācijas sniegšanu par karteļiem tiem ziņotājiem, kuri nav  iecietības pieteikuma iesniedzēji, nodrošinot atbilstošas tiesiskās garantijas, kas aizsargā informatoru anonimitāti.</w:t>
      </w:r>
    </w:p>
    <w:p w14:paraId="6C246681" w14:textId="77777777" w:rsidR="002809A3" w:rsidRPr="002809A3" w:rsidRDefault="002809A3" w:rsidP="002809A3">
      <w:pPr>
        <w:jc w:val="both"/>
        <w:rPr>
          <w:rFonts w:ascii="Times New Roman" w:eastAsia="Arial" w:hAnsi="Times New Roman" w:cs="Times New Roman"/>
          <w:noProof/>
          <w:sz w:val="24"/>
          <w:szCs w:val="24"/>
          <w:lang w:val="en-US"/>
        </w:rPr>
      </w:pPr>
    </w:p>
    <w:p w14:paraId="4B7D61CB"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2. Tiem ir jānodrošina, lai konkurences iestādēm būtu spēkā esošas pilnvaras veikt smagāko karteļa gadījumu izmeklēšanu, un tas jāveic, sniedzot tām šādas pilnvaras:</w:t>
      </w:r>
    </w:p>
    <w:p w14:paraId="241D7733" w14:textId="77777777" w:rsidR="002809A3" w:rsidRPr="002809A3" w:rsidRDefault="002809A3" w:rsidP="002809A3">
      <w:pPr>
        <w:jc w:val="both"/>
        <w:rPr>
          <w:rFonts w:ascii="Times New Roman" w:eastAsia="Arial" w:hAnsi="Times New Roman" w:cs="Times New Roman"/>
          <w:noProof/>
          <w:sz w:val="24"/>
          <w:szCs w:val="24"/>
          <w:lang w:val="en-US"/>
        </w:rPr>
      </w:pPr>
    </w:p>
    <w:p w14:paraId="197299D3"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a) veikt pārbaudes bez brīdinājuma (“rītausmas reidus”) uzņēmumu un privātajās telpās, kā arī piekļūt un iegūt visus dokumentus un informāciju, kas nepieciešama, lai pierādītu karteļa darbības;</w:t>
      </w:r>
    </w:p>
    <w:p w14:paraId="5C83F344" w14:textId="77777777" w:rsidR="002809A3" w:rsidRPr="002809A3" w:rsidRDefault="002809A3" w:rsidP="002809A3">
      <w:pPr>
        <w:jc w:val="both"/>
        <w:rPr>
          <w:rFonts w:ascii="Times New Roman" w:eastAsia="Arial" w:hAnsi="Times New Roman" w:cs="Times New Roman"/>
          <w:noProof/>
          <w:sz w:val="24"/>
          <w:szCs w:val="24"/>
          <w:lang w:val="en-US"/>
        </w:rPr>
      </w:pPr>
    </w:p>
    <w:p w14:paraId="4D1859B5"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b) piekļūt elektroniskajai informācijai, kas varētu palīdzēt konstatēt karteļa pārkāpumu, tostarp elektroniskiem materiāliem, kuri tiek uzglabāti attālināti (piemēram, “mākonī”); jābūt arī piekļuvei atbilstošiem izmeklēšanas paņēmieniem, piemēram, jābūt sakaru pārtveršanas iespējām un atļaujām veikt uzraudzību. Šajā nolūkā konkurences iestāžu rīcībā ir jābūt apmācītam specializētajam personālam, kā arī piemērotai aparatūrai un programmatūras aprīkojumam;</w:t>
      </w:r>
    </w:p>
    <w:p w14:paraId="3A366512" w14:textId="77777777" w:rsidR="002809A3" w:rsidRPr="002809A3" w:rsidRDefault="002809A3" w:rsidP="002809A3">
      <w:pPr>
        <w:jc w:val="both"/>
        <w:rPr>
          <w:rFonts w:ascii="Times New Roman" w:eastAsia="Arial" w:hAnsi="Times New Roman" w:cs="Times New Roman"/>
          <w:noProof/>
          <w:sz w:val="24"/>
          <w:szCs w:val="24"/>
          <w:lang w:val="en-US"/>
        </w:rPr>
      </w:pPr>
    </w:p>
    <w:p w14:paraId="53D04818"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c) pieprasīt un iegūt informāciju no pusēm, pret kurām tiek veikta izmeklēšana, un trešām pusēm, tostarp citām valsts iestādēm;</w:t>
      </w:r>
    </w:p>
    <w:p w14:paraId="786A916A" w14:textId="77777777" w:rsidR="002809A3" w:rsidRPr="002809A3" w:rsidRDefault="002809A3" w:rsidP="002809A3">
      <w:pPr>
        <w:jc w:val="both"/>
        <w:rPr>
          <w:rFonts w:ascii="Times New Roman" w:eastAsia="Arial" w:hAnsi="Times New Roman" w:cs="Times New Roman"/>
          <w:noProof/>
          <w:sz w:val="24"/>
          <w:szCs w:val="24"/>
          <w:lang w:val="en-US"/>
        </w:rPr>
      </w:pPr>
    </w:p>
    <w:p w14:paraId="2B598167"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d) iegūt mutiskas liecības no atsevišķiem lieciniekiem;</w:t>
      </w:r>
    </w:p>
    <w:p w14:paraId="23C6037E" w14:textId="77777777" w:rsidR="002809A3" w:rsidRPr="002809A3" w:rsidRDefault="002809A3" w:rsidP="002809A3">
      <w:pPr>
        <w:jc w:val="both"/>
        <w:rPr>
          <w:rFonts w:ascii="Times New Roman" w:eastAsia="Arial" w:hAnsi="Times New Roman" w:cs="Times New Roman"/>
          <w:noProof/>
          <w:sz w:val="24"/>
          <w:szCs w:val="24"/>
          <w:lang w:val="en-US"/>
        </w:rPr>
      </w:pPr>
    </w:p>
    <w:p w14:paraId="7E80BFA7"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e) noteikt sankcijas par likumīgo prasību nepildīšanu un izmeklēšanas traucēšanu.</w:t>
      </w:r>
    </w:p>
    <w:p w14:paraId="2C45636E" w14:textId="77777777" w:rsidR="002809A3" w:rsidRPr="002809A3" w:rsidRDefault="002809A3" w:rsidP="002809A3">
      <w:pPr>
        <w:jc w:val="both"/>
        <w:rPr>
          <w:rFonts w:ascii="Times New Roman" w:eastAsia="Arial" w:hAnsi="Times New Roman" w:cs="Times New Roman"/>
          <w:noProof/>
          <w:sz w:val="24"/>
          <w:szCs w:val="24"/>
          <w:lang w:val="en-US"/>
        </w:rPr>
      </w:pPr>
    </w:p>
    <w:p w14:paraId="7D042CE1"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3. Tiem ir jāsekmē savu konkurences iestāžu sadarbība ar citām valsts iestādēm, piemēram, publiskā iepirkuma iestādēm, prokuroriem un pretkorupcijas iestādēm, tostarp veicinot informācijas un pierādījumu apmaiņu starp dažādām valsts institūcijām, vienlaikus nodrošinot arī atbilstošas drošības pasākumus, lai sniegtu aizsardzību pret prettiesisku izpaušanu.</w:t>
      </w:r>
    </w:p>
    <w:p w14:paraId="243A9D3D" w14:textId="77777777" w:rsidR="002809A3" w:rsidRPr="002809A3" w:rsidRDefault="002809A3" w:rsidP="002809A3">
      <w:pPr>
        <w:jc w:val="both"/>
        <w:rPr>
          <w:rFonts w:ascii="Times New Roman" w:eastAsia="Arial" w:hAnsi="Times New Roman" w:cs="Times New Roman"/>
          <w:noProof/>
          <w:sz w:val="24"/>
          <w:szCs w:val="24"/>
          <w:lang w:val="en-US"/>
        </w:rPr>
      </w:pPr>
    </w:p>
    <w:p w14:paraId="77AEFD68"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4. Tiem ir jāsekmē un jāstimulē lietas ātrākas atrisināšanas metožu izmantošana, piemēram, pārrunas un izlīgumi vainas atzīšanas gadījumā; tādos gadījumos bieži vien ir nepieciešams atzīt vainu un/vai atzīt faktus (un/vai ir brīvprātīgi jāatsakās no tiesībām uz pārsūdzību).</w:t>
      </w:r>
    </w:p>
    <w:p w14:paraId="0F3C6D3B" w14:textId="77777777" w:rsidR="002809A3" w:rsidRPr="002809A3" w:rsidRDefault="002809A3" w:rsidP="002809A3">
      <w:pPr>
        <w:jc w:val="both"/>
        <w:rPr>
          <w:rFonts w:ascii="Times New Roman" w:eastAsia="Arial" w:hAnsi="Times New Roman" w:cs="Times New Roman"/>
          <w:noProof/>
          <w:sz w:val="24"/>
          <w:szCs w:val="24"/>
          <w:lang w:val="en-US"/>
        </w:rPr>
      </w:pPr>
    </w:p>
    <w:p w14:paraId="1C371A05"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5. Tiem ir jāparedz efektīvas tāda veida un līmeņa sankcijas, kas ir pietiekamas, lai atturētu uzņēmumus un privātpersonas no dalības smagākajos karteļa gadījumos un mudinātu karteļa dalībniekus atstāt karteli un sadarboties ar konkurences aģentūru. Šajā nolūkā īstenotājiem ir jāievieš sankciju kopums (civiltiesiskās, administratīvās un/vai krimināltiesiskās sankcijas, naudas sodi un beznaudas sankcijas), lai savā jurisdikcijā nodrošinātu pietiekamu atturēšanas efektu. Īstenotājiem ir jāapsver iespēja ieviest sankcijas pret privātpersonām, kas piedalījušās karteļos.</w:t>
      </w:r>
    </w:p>
    <w:p w14:paraId="08EE0464" w14:textId="77777777" w:rsidR="002809A3" w:rsidRPr="002809A3" w:rsidRDefault="002809A3" w:rsidP="002809A3">
      <w:pPr>
        <w:jc w:val="both"/>
        <w:rPr>
          <w:rFonts w:ascii="Times New Roman" w:eastAsia="Arial" w:hAnsi="Times New Roman" w:cs="Times New Roman"/>
          <w:noProof/>
          <w:sz w:val="24"/>
          <w:szCs w:val="24"/>
          <w:lang w:val="en-US"/>
        </w:rPr>
      </w:pPr>
    </w:p>
    <w:p w14:paraId="2E2B2A40"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6. Tiem ir jānodrošina mehānisms, kas ikvienam, kam nodarīts kaitējums smagākā karteļa gadījuma dēļ, dod tiesības saņemt atlīdzību vai pieprasīt kompensāciju par šo kaitējumu no personām vai struktūrām, kas to radījušas, un vienlaikus ir rūpīgi jāsabalansē sabiedrības un privātpersonu interesēs veikto piemērošanas darbību mijiedarbība, lai jo īpaši varētu aizsargāt iecietības programmas. Šajā nolūkā īstenotāju uzdevumiem ir jābūt šādiem:</w:t>
      </w:r>
    </w:p>
    <w:p w14:paraId="49009C63" w14:textId="77777777" w:rsidR="002809A3" w:rsidRPr="002809A3" w:rsidRDefault="002809A3" w:rsidP="002809A3">
      <w:pPr>
        <w:jc w:val="both"/>
        <w:rPr>
          <w:rFonts w:ascii="Times New Roman" w:eastAsia="Arial" w:hAnsi="Times New Roman" w:cs="Times New Roman"/>
          <w:noProof/>
          <w:sz w:val="24"/>
          <w:szCs w:val="24"/>
          <w:lang w:val="en-US"/>
        </w:rPr>
      </w:pPr>
    </w:p>
    <w:p w14:paraId="377C5237"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a) jāpieņem noteikumi, lai puses varētu piekļūt pierādījumiem, kas ir nepieciešami, lai iesniegtu kompensācijas prasību;</w:t>
      </w:r>
    </w:p>
    <w:p w14:paraId="376AD010"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17BCC59D"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b) jāaizsargā paziņojumi par iecietības programmas piemērošanu, kā arī iesniegumi par izlīgumu pret izpaušanu, lai nodrošinātu pareizo līdzsvaru starp tām noteikumu piemērošanas darbībām sabiedrības interesēs, ko veic konkurences iestādes, un tām noteikumu piemērošanas darbībām privātpersonu interesēs, ko veic personas, kas cietušas karteļu darbības rezultātā;</w:t>
      </w:r>
    </w:p>
    <w:p w14:paraId="3FF5DCAB"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561F74A5"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c) jāatļauj veikt tādas noteikumu piemērošanas darbības privātpersonu interesēs, kas neseko lēmumiem par pārkāpumu, ko pieņēmušas konkurences iestādes, tādā veidā, lai dotu iespēju piemērot noteikumus lietās, kurās nav iepriekšēja lēmuma;</w:t>
      </w:r>
    </w:p>
    <w:p w14:paraId="0FCAC6B2"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71354B97"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d) jāievieš kolektīvās tiesiskās aizsardzības mehānismi, kas dod iespēju līdzīgā situācijā nonākušu prasītāju grupām kopīgi pieprasīt kompensāciju;</w:t>
      </w:r>
    </w:p>
    <w:p w14:paraId="24A1D126"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6EE16ADB"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e) jāpiešķir atbilstoša pierādījuma vērtība galīgajiem lēmumiem par pārkāpumu, kurus pieņēmušas konkurences iestādes, attiecībā uz tām noteikumu piemērošanas darbībām privātpersonu interesēs, kuras attiecas uz to pašu smagāko karteļa gadījumu;</w:t>
      </w:r>
    </w:p>
    <w:p w14:paraId="58CD3B68" w14:textId="77777777" w:rsidR="002809A3" w:rsidRPr="002809A3" w:rsidRDefault="002809A3" w:rsidP="002809A3">
      <w:pPr>
        <w:pStyle w:val="BodyText"/>
        <w:tabs>
          <w:tab w:val="left" w:pos="1303"/>
        </w:tabs>
        <w:ind w:left="0"/>
        <w:jc w:val="both"/>
        <w:rPr>
          <w:rFonts w:ascii="Times New Roman" w:hAnsi="Times New Roman" w:cs="Times New Roman"/>
          <w:noProof/>
          <w:sz w:val="24"/>
          <w:szCs w:val="24"/>
          <w:lang w:val="en-US"/>
        </w:rPr>
      </w:pPr>
    </w:p>
    <w:p w14:paraId="546CFBB1" w14:textId="77777777" w:rsidR="002809A3" w:rsidRPr="002809A3" w:rsidRDefault="002809A3" w:rsidP="002809A3">
      <w:pPr>
        <w:pStyle w:val="BodyText"/>
        <w:tabs>
          <w:tab w:val="left" w:pos="1303"/>
        </w:tabs>
        <w:ind w:left="0"/>
        <w:jc w:val="both"/>
        <w:rPr>
          <w:rFonts w:ascii="Times New Roman" w:hAnsi="Times New Roman"/>
          <w:noProof/>
          <w:sz w:val="24"/>
          <w:lang w:val="en-US"/>
        </w:rPr>
      </w:pPr>
      <w:r w:rsidRPr="002809A3">
        <w:rPr>
          <w:rFonts w:ascii="Times New Roman" w:hAnsi="Times New Roman"/>
          <w:noProof/>
          <w:sz w:val="24"/>
          <w:lang w:val="en-US"/>
        </w:rPr>
        <w:t>f) uz konkurences iestādes veiktās izmeklēšanas laiku jāaptur noilguma termiņi noteikumu piemērošanas darbībām privātpersonu interesēs.</w:t>
      </w:r>
    </w:p>
    <w:p w14:paraId="74009941" w14:textId="77777777" w:rsidR="002809A3" w:rsidRPr="002809A3" w:rsidRDefault="002809A3" w:rsidP="002809A3">
      <w:pPr>
        <w:jc w:val="both"/>
        <w:rPr>
          <w:rFonts w:ascii="Times New Roman" w:eastAsia="Arial" w:hAnsi="Times New Roman" w:cs="Times New Roman"/>
          <w:noProof/>
          <w:sz w:val="24"/>
          <w:szCs w:val="24"/>
          <w:lang w:val="en-US"/>
        </w:rPr>
      </w:pPr>
    </w:p>
    <w:p w14:paraId="5604384A"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7. Tiem ir jāatbalsta tādi konkurences iestāžu aizstāvības centieni attiecībā pret privātajām un valsts ieinteresētajām pusēm, kas attiecas uz smagāko karteļa gadījumu novēršanu, atklāšanu un sodīšanu, kā arī noteikumiem slepenas rīcības novēršanai.</w:t>
      </w:r>
    </w:p>
    <w:p w14:paraId="7AF05B73" w14:textId="77777777" w:rsidR="002809A3" w:rsidRPr="002809A3" w:rsidRDefault="002809A3" w:rsidP="002809A3">
      <w:pPr>
        <w:jc w:val="both"/>
        <w:rPr>
          <w:rFonts w:ascii="Times New Roman" w:eastAsia="Arial" w:hAnsi="Times New Roman" w:cs="Times New Roman"/>
          <w:noProof/>
          <w:sz w:val="24"/>
          <w:szCs w:val="24"/>
          <w:lang w:val="en-US"/>
        </w:rPr>
      </w:pPr>
    </w:p>
    <w:p w14:paraId="71F1528B" w14:textId="77777777" w:rsidR="002809A3" w:rsidRPr="002809A3" w:rsidRDefault="002809A3" w:rsidP="002809A3">
      <w:pPr>
        <w:pStyle w:val="BodyText"/>
        <w:tabs>
          <w:tab w:val="left" w:pos="1301"/>
        </w:tabs>
        <w:ind w:left="0"/>
        <w:jc w:val="both"/>
        <w:rPr>
          <w:rFonts w:ascii="Times New Roman" w:hAnsi="Times New Roman"/>
          <w:noProof/>
          <w:sz w:val="24"/>
          <w:lang w:val="en-US"/>
        </w:rPr>
      </w:pPr>
      <w:r w:rsidRPr="002809A3">
        <w:rPr>
          <w:rFonts w:ascii="Times New Roman" w:hAnsi="Times New Roman"/>
          <w:noProof/>
          <w:sz w:val="24"/>
          <w:lang w:val="en-US"/>
        </w:rPr>
        <w:t>8. Tiem ir jāierobežo atbrīvojumi (ja tādi ir), kas noteikti īstenotāju tiesību aktos attiecībā uz smagākajiem karteļa gadījumiem, un jāpatur tikai tādi atbrīvojumi, kas ir nepieciešami, lai sasniegtu primāros politikas mērķus. Šajā nolūkā īstenotājiem to noteiktie atbrīvojumi jāpadara pārskatāmi un savi atbrīvojumi periodiski jāizvērtē, lai noteiktu, vai tie ir nepieciešami un paredzēti tikai to mērķa sasniegšanai.</w:t>
      </w:r>
    </w:p>
    <w:p w14:paraId="51F8A3CB" w14:textId="77777777" w:rsidR="002809A3" w:rsidRPr="002809A3" w:rsidRDefault="002809A3" w:rsidP="002809A3">
      <w:pPr>
        <w:jc w:val="both"/>
        <w:rPr>
          <w:rFonts w:ascii="Times New Roman" w:eastAsia="Arial" w:hAnsi="Times New Roman" w:cs="Times New Roman"/>
          <w:noProof/>
          <w:sz w:val="24"/>
          <w:szCs w:val="24"/>
          <w:lang w:val="en-US"/>
        </w:rPr>
      </w:pPr>
    </w:p>
    <w:p w14:paraId="4AB081FB" w14:textId="77777777" w:rsidR="002809A3" w:rsidRPr="002809A3" w:rsidRDefault="002809A3" w:rsidP="002809A3">
      <w:pPr>
        <w:pStyle w:val="BodyText"/>
        <w:tabs>
          <w:tab w:val="left" w:pos="1301"/>
        </w:tabs>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III. </w:t>
      </w:r>
      <w:r w:rsidRPr="002809A3">
        <w:rPr>
          <w:rFonts w:ascii="Times New Roman" w:hAnsi="Times New Roman"/>
          <w:b/>
          <w:bCs/>
          <w:noProof/>
          <w:sz w:val="24"/>
          <w:lang w:val="en-US"/>
        </w:rPr>
        <w:t xml:space="preserve">AICINA </w:t>
      </w:r>
      <w:r w:rsidRPr="002809A3">
        <w:rPr>
          <w:rFonts w:ascii="Times New Roman" w:hAnsi="Times New Roman"/>
          <w:noProof/>
          <w:sz w:val="24"/>
          <w:lang w:val="en-US"/>
        </w:rPr>
        <w:t>ģenerālsekretāru un īstenotājus izplatīt šo rekomendāciju.</w:t>
      </w:r>
    </w:p>
    <w:p w14:paraId="70774EDA" w14:textId="77777777" w:rsidR="002809A3" w:rsidRPr="002809A3" w:rsidRDefault="002809A3" w:rsidP="002809A3">
      <w:pPr>
        <w:jc w:val="both"/>
        <w:rPr>
          <w:rFonts w:ascii="Times New Roman" w:eastAsia="Arial" w:hAnsi="Times New Roman" w:cs="Times New Roman"/>
          <w:noProof/>
          <w:sz w:val="24"/>
          <w:szCs w:val="24"/>
          <w:lang w:val="en-US"/>
        </w:rPr>
      </w:pPr>
    </w:p>
    <w:p w14:paraId="2C18E4C7" w14:textId="77777777" w:rsidR="002809A3" w:rsidRPr="002809A3" w:rsidRDefault="002809A3" w:rsidP="002809A3">
      <w:pPr>
        <w:pStyle w:val="BodyText"/>
        <w:tabs>
          <w:tab w:val="left" w:pos="1301"/>
        </w:tabs>
        <w:ind w:left="0"/>
        <w:jc w:val="both"/>
        <w:rPr>
          <w:rFonts w:ascii="Times New Roman" w:hAnsi="Times New Roman" w:cs="Times New Roman"/>
          <w:noProof/>
          <w:sz w:val="24"/>
          <w:szCs w:val="24"/>
          <w:lang w:val="en-US"/>
        </w:rPr>
      </w:pPr>
      <w:r w:rsidRPr="002809A3">
        <w:rPr>
          <w:rFonts w:ascii="Times New Roman" w:hAnsi="Times New Roman"/>
          <w:b/>
          <w:noProof/>
          <w:sz w:val="24"/>
          <w:lang w:val="en-US"/>
        </w:rPr>
        <w:t xml:space="preserve">IV. AICINA </w:t>
      </w:r>
      <w:r w:rsidRPr="002809A3">
        <w:rPr>
          <w:rFonts w:ascii="Times New Roman" w:hAnsi="Times New Roman"/>
          <w:noProof/>
          <w:sz w:val="24"/>
          <w:lang w:val="en-US"/>
        </w:rPr>
        <w:t>valstis, kas nav īstenotāji, ņemt vērā un stingri ievērot šo rekomendāciju.</w:t>
      </w:r>
    </w:p>
    <w:p w14:paraId="520D6934" w14:textId="77777777" w:rsidR="002809A3" w:rsidRPr="002809A3" w:rsidRDefault="002809A3" w:rsidP="002809A3">
      <w:pPr>
        <w:jc w:val="both"/>
        <w:rPr>
          <w:rFonts w:ascii="Times New Roman" w:eastAsia="Arial" w:hAnsi="Times New Roman" w:cs="Times New Roman"/>
          <w:noProof/>
          <w:sz w:val="24"/>
          <w:szCs w:val="24"/>
          <w:lang w:val="en-US"/>
        </w:rPr>
      </w:pPr>
    </w:p>
    <w:p w14:paraId="6789D198" w14:textId="77777777" w:rsidR="002809A3" w:rsidRPr="002809A3" w:rsidRDefault="002809A3" w:rsidP="002809A3">
      <w:pPr>
        <w:tabs>
          <w:tab w:val="left" w:pos="1301"/>
        </w:tabs>
        <w:jc w:val="both"/>
        <w:rPr>
          <w:rFonts w:ascii="Times New Roman" w:eastAsia="Arial" w:hAnsi="Times New Roman" w:cs="Times New Roman"/>
          <w:noProof/>
          <w:sz w:val="24"/>
          <w:szCs w:val="24"/>
          <w:lang w:val="en-US"/>
        </w:rPr>
      </w:pPr>
      <w:r w:rsidRPr="002809A3">
        <w:rPr>
          <w:rFonts w:ascii="Times New Roman" w:hAnsi="Times New Roman"/>
          <w:b/>
          <w:noProof/>
          <w:sz w:val="24"/>
          <w:lang w:val="en-US"/>
        </w:rPr>
        <w:t xml:space="preserve">V. UZDOD </w:t>
      </w:r>
      <w:r w:rsidRPr="002809A3">
        <w:rPr>
          <w:rFonts w:ascii="Times New Roman" w:hAnsi="Times New Roman"/>
          <w:noProof/>
          <w:sz w:val="24"/>
          <w:lang w:val="en-US"/>
        </w:rPr>
        <w:t>Konkurences komitejai:</w:t>
      </w:r>
    </w:p>
    <w:p w14:paraId="2D3AAF07" w14:textId="77777777" w:rsidR="002809A3" w:rsidRPr="002809A3" w:rsidRDefault="002809A3" w:rsidP="002809A3">
      <w:pPr>
        <w:jc w:val="both"/>
        <w:rPr>
          <w:rFonts w:ascii="Times New Roman" w:eastAsia="Arial" w:hAnsi="Times New Roman" w:cs="Times New Roman"/>
          <w:noProof/>
          <w:sz w:val="24"/>
          <w:szCs w:val="24"/>
          <w:lang w:val="en-US"/>
        </w:rPr>
      </w:pPr>
    </w:p>
    <w:p w14:paraId="3F596E38" w14:textId="77777777" w:rsidR="002809A3" w:rsidRPr="002809A3" w:rsidRDefault="002809A3" w:rsidP="002809A3">
      <w:pPr>
        <w:pStyle w:val="BodyText"/>
        <w:tabs>
          <w:tab w:val="left" w:pos="1171"/>
        </w:tabs>
        <w:ind w:left="0"/>
        <w:jc w:val="both"/>
        <w:rPr>
          <w:rFonts w:ascii="Times New Roman" w:hAnsi="Times New Roman"/>
          <w:noProof/>
          <w:sz w:val="24"/>
          <w:lang w:val="en-US"/>
        </w:rPr>
      </w:pPr>
      <w:r w:rsidRPr="002809A3">
        <w:rPr>
          <w:rFonts w:ascii="Times New Roman" w:hAnsi="Times New Roman"/>
          <w:noProof/>
          <w:sz w:val="24"/>
          <w:lang w:val="en-US"/>
        </w:rPr>
        <w:t>a) apsvērt iespēju izstrādāt īstenošanas metodisko līdzekli, lai palīdzētu īstenotājiem īstenot šo rekomendāciju;</w:t>
      </w:r>
    </w:p>
    <w:p w14:paraId="64E6298B" w14:textId="77777777" w:rsidR="002809A3" w:rsidRPr="002809A3" w:rsidRDefault="002809A3" w:rsidP="002809A3">
      <w:pPr>
        <w:pStyle w:val="BodyText"/>
        <w:tabs>
          <w:tab w:val="left" w:pos="1171"/>
        </w:tabs>
        <w:ind w:left="0"/>
        <w:jc w:val="both"/>
        <w:rPr>
          <w:rFonts w:ascii="Times New Roman" w:hAnsi="Times New Roman" w:cs="Times New Roman"/>
          <w:noProof/>
          <w:sz w:val="24"/>
          <w:szCs w:val="24"/>
          <w:lang w:val="en-US"/>
        </w:rPr>
      </w:pPr>
    </w:p>
    <w:p w14:paraId="6CD4931C" w14:textId="77777777" w:rsidR="002809A3" w:rsidRPr="002809A3" w:rsidRDefault="002809A3" w:rsidP="002809A3">
      <w:pPr>
        <w:pStyle w:val="BodyText"/>
        <w:tabs>
          <w:tab w:val="left" w:pos="1171"/>
        </w:tabs>
        <w:ind w:left="0"/>
        <w:jc w:val="both"/>
        <w:rPr>
          <w:rFonts w:ascii="Times New Roman" w:hAnsi="Times New Roman"/>
          <w:noProof/>
          <w:sz w:val="24"/>
          <w:lang w:val="en-US"/>
        </w:rPr>
      </w:pPr>
      <w:r w:rsidRPr="002809A3">
        <w:rPr>
          <w:rFonts w:ascii="Times New Roman" w:hAnsi="Times New Roman"/>
          <w:noProof/>
          <w:sz w:val="24"/>
          <w:lang w:val="en-US"/>
        </w:rPr>
        <w:t>b) uzraudzīt Rekomendācijas īstenošanu un ziņot Padomei ne vēlāk kā pēc pieciem gadiem pēc šīs rekomendācijas pieņemšanas un pēc tam ne retāk kā ik pēc desmit gadiem.</w:t>
      </w:r>
    </w:p>
    <w:p w14:paraId="321C7C4E" w14:textId="77777777" w:rsidR="002809A3" w:rsidRPr="002809A3" w:rsidRDefault="002809A3" w:rsidP="002809A3">
      <w:pPr>
        <w:rPr>
          <w:noProof/>
          <w:lang w:val="en-US"/>
        </w:rPr>
      </w:pPr>
      <w:r w:rsidRPr="002809A3">
        <w:rPr>
          <w:noProof/>
          <w:lang w:val="en-US"/>
        </w:rPr>
        <w:br w:type="page"/>
      </w:r>
    </w:p>
    <w:p w14:paraId="09D97BCE" w14:textId="77777777" w:rsidR="002809A3" w:rsidRPr="002809A3" w:rsidRDefault="002809A3" w:rsidP="002809A3">
      <w:pPr>
        <w:jc w:val="both"/>
        <w:rPr>
          <w:rFonts w:ascii="Times New Roman" w:hAnsi="Times New Roman" w:cs="Times New Roman"/>
          <w:noProof/>
          <w:sz w:val="24"/>
          <w:szCs w:val="24"/>
          <w:lang w:val="en-US"/>
        </w:rPr>
      </w:pPr>
    </w:p>
    <w:p w14:paraId="776F3B8A" w14:textId="77777777" w:rsidR="002809A3" w:rsidRPr="002809A3" w:rsidRDefault="002809A3" w:rsidP="002809A3">
      <w:pPr>
        <w:pStyle w:val="Heading1"/>
        <w:spacing w:before="0"/>
        <w:ind w:left="0"/>
        <w:jc w:val="both"/>
        <w:rPr>
          <w:rFonts w:ascii="Times New Roman" w:hAnsi="Times New Roman"/>
          <w:noProof/>
          <w:color w:val="1F4679"/>
          <w:sz w:val="28"/>
          <w:lang w:val="en-US"/>
        </w:rPr>
      </w:pPr>
      <w:r w:rsidRPr="002809A3">
        <w:rPr>
          <w:rFonts w:ascii="Times New Roman" w:hAnsi="Times New Roman"/>
          <w:noProof/>
          <w:color w:val="1F4679"/>
          <w:sz w:val="28"/>
          <w:lang w:val="en-US"/>
        </w:rPr>
        <w:t>Par ESAO</w:t>
      </w:r>
      <w:bookmarkStart w:id="0" w:name="About_the_OECD"/>
      <w:bookmarkEnd w:id="0"/>
    </w:p>
    <w:p w14:paraId="014C15B2" w14:textId="77777777" w:rsidR="002809A3" w:rsidRPr="002809A3" w:rsidRDefault="002809A3" w:rsidP="002809A3">
      <w:pPr>
        <w:jc w:val="both"/>
        <w:rPr>
          <w:rFonts w:ascii="Times New Roman" w:eastAsia="Arial" w:hAnsi="Times New Roman" w:cs="Times New Roman"/>
          <w:b/>
          <w:bCs/>
          <w:noProof/>
          <w:sz w:val="24"/>
          <w:szCs w:val="24"/>
          <w:lang w:val="en-US"/>
        </w:rPr>
      </w:pPr>
    </w:p>
    <w:p w14:paraId="5EE90B2E"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Ekonomiskās sadarbības un attīstības organizācija (ESAO) ir unikāls forums, kurā valstis kopīgi meklē risinājumus ekonomiskiem, sociāliem un vides izaicinājumiem, ko rada globalizācija. ESAO arī velta ļoti daudz pūļu tam, lai sekmētu izpratni par jaunām parādībām un problēmām, piemēram, par korporatīvo pārvaldību, informācijas ekonomiku un izaicinājumiem, ko rada iedzīvotāju novecošana, un palīdzētu valdībām reaģēt uz šīm pārmaiņām. Šī organizācija nodrošina vidi, kurā valstis var salīdzināt politikas jomā gūto pieredzi, risināt kopīgas problēmas, noteikt paraugprakses piemērus un strādāt, lai saskaņotu politiku valsts un starptautiskā līmenī.</w:t>
      </w:r>
    </w:p>
    <w:p w14:paraId="2D5EC26C" w14:textId="77777777" w:rsidR="002809A3" w:rsidRPr="002809A3" w:rsidRDefault="002809A3" w:rsidP="002809A3">
      <w:pPr>
        <w:jc w:val="both"/>
        <w:rPr>
          <w:rFonts w:ascii="Times New Roman" w:eastAsia="Arial" w:hAnsi="Times New Roman" w:cs="Times New Roman"/>
          <w:noProof/>
          <w:sz w:val="24"/>
          <w:szCs w:val="24"/>
          <w:lang w:val="en-US"/>
        </w:rPr>
      </w:pPr>
    </w:p>
    <w:p w14:paraId="27557EF4"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ESAO dalībvalstis ir: Amerikas Savienotās Valstis, Apvienotā Karaliste, Austrālija, Austrija, Beļģija, Čehijas Republika, Čīle, Dānija, Francija, Grieķija, Igaunija, Islande, Itālija, Izraēla, Īrija, Japāna, Jaunzēlande, Kanāda, Kolumbija, Koreja, Kostarika, Latvija, Lietuva, Luksemburga, Meksika, Nīderlande, Norvēģija, Polija, Portugāle, Slovākijas Republika, Slovēnija, Somija, Spānija, Šveice, Turcija, Ungārija, Vācija un Zviedrija. Eiropas Savienība piedalās ESAO darbā.</w:t>
      </w:r>
    </w:p>
    <w:p w14:paraId="15F428B1" w14:textId="77777777" w:rsidR="002809A3" w:rsidRPr="002809A3" w:rsidRDefault="002809A3" w:rsidP="002809A3">
      <w:pPr>
        <w:jc w:val="both"/>
        <w:rPr>
          <w:rFonts w:ascii="Times New Roman" w:eastAsia="Arial" w:hAnsi="Times New Roman" w:cs="Times New Roman"/>
          <w:noProof/>
          <w:sz w:val="24"/>
          <w:szCs w:val="24"/>
          <w:lang w:val="en-US"/>
        </w:rPr>
      </w:pPr>
    </w:p>
    <w:p w14:paraId="52C9BDCE" w14:textId="77777777" w:rsidR="002809A3" w:rsidRPr="002809A3" w:rsidRDefault="002809A3" w:rsidP="002809A3">
      <w:pPr>
        <w:pStyle w:val="Heading1"/>
        <w:spacing w:before="0"/>
        <w:ind w:left="0"/>
        <w:jc w:val="both"/>
        <w:rPr>
          <w:rFonts w:ascii="Times New Roman" w:hAnsi="Times New Roman"/>
          <w:noProof/>
          <w:color w:val="1F4679"/>
          <w:sz w:val="28"/>
          <w:lang w:val="en-US"/>
        </w:rPr>
      </w:pPr>
      <w:r w:rsidRPr="002809A3">
        <w:rPr>
          <w:rFonts w:ascii="Times New Roman" w:hAnsi="Times New Roman"/>
          <w:noProof/>
          <w:color w:val="1F4679"/>
          <w:sz w:val="28"/>
          <w:lang w:val="en-US"/>
        </w:rPr>
        <w:t>ESAO juridiskie instrumenti</w:t>
      </w:r>
      <w:bookmarkStart w:id="1" w:name="OECD_Legal_Instruments"/>
      <w:bookmarkEnd w:id="1"/>
    </w:p>
    <w:p w14:paraId="208367D2" w14:textId="77777777" w:rsidR="002809A3" w:rsidRPr="002809A3" w:rsidRDefault="002809A3" w:rsidP="002809A3">
      <w:pPr>
        <w:jc w:val="both"/>
        <w:rPr>
          <w:rFonts w:ascii="Times New Roman" w:eastAsia="Arial" w:hAnsi="Times New Roman" w:cs="Times New Roman"/>
          <w:b/>
          <w:bCs/>
          <w:noProof/>
          <w:sz w:val="24"/>
          <w:szCs w:val="24"/>
          <w:lang w:val="en-US"/>
        </w:rPr>
      </w:pPr>
    </w:p>
    <w:p w14:paraId="6C32B0EA"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Kopš ESAO izveidošanas 1961. gadā tās ietvaros ir izstrādāti aptuveni 460 būtiski juridiskie instrumenti. Tie ir ESAO akti (t. i., lēmumi un rekomendācijas, ko saskaņā ar ESAO Konvenciju pieņēmusi ESAO Padome) un citi juridiskie instrumenti, kas izstrādāti ESAO ietvaros (piemēram, deklarācijas, starptautiskie nolīgumi).</w:t>
      </w:r>
    </w:p>
    <w:p w14:paraId="6FB9E1BD" w14:textId="77777777" w:rsidR="002809A3" w:rsidRPr="002809A3" w:rsidRDefault="002809A3" w:rsidP="002809A3">
      <w:pPr>
        <w:jc w:val="both"/>
        <w:rPr>
          <w:rFonts w:ascii="Times New Roman" w:eastAsia="Arial" w:hAnsi="Times New Roman" w:cs="Times New Roman"/>
          <w:noProof/>
          <w:sz w:val="24"/>
          <w:szCs w:val="24"/>
          <w:lang w:val="en-US"/>
        </w:rPr>
      </w:pPr>
    </w:p>
    <w:p w14:paraId="4915FCAE" w14:textId="77777777" w:rsidR="002809A3" w:rsidRPr="002809A3" w:rsidRDefault="002809A3" w:rsidP="002809A3">
      <w:pPr>
        <w:pStyle w:val="BodyText"/>
        <w:ind w:left="0"/>
        <w:jc w:val="both"/>
        <w:rPr>
          <w:rFonts w:ascii="Times New Roman" w:hAnsi="Times New Roman"/>
          <w:noProof/>
          <w:sz w:val="24"/>
          <w:lang w:val="en-US"/>
        </w:rPr>
      </w:pPr>
      <w:r w:rsidRPr="002809A3">
        <w:rPr>
          <w:rFonts w:ascii="Times New Roman" w:hAnsi="Times New Roman"/>
          <w:noProof/>
          <w:sz w:val="24"/>
          <w:lang w:val="en-US"/>
        </w:rPr>
        <w:t>Visi būtiskie ESAO juridiskie instrumenti – gan spēkā esošie, gan atceltie – ir uzskaitīti ESAO juridisko instrumentu tiešsaistes krājumā. Tie tiek grupēti piecās kategorijās.</w:t>
      </w:r>
    </w:p>
    <w:p w14:paraId="6B8B8423" w14:textId="77777777" w:rsidR="002809A3" w:rsidRPr="002809A3" w:rsidRDefault="002809A3" w:rsidP="002809A3">
      <w:pPr>
        <w:jc w:val="both"/>
        <w:rPr>
          <w:rFonts w:ascii="Times New Roman" w:eastAsia="Arial" w:hAnsi="Times New Roman" w:cs="Times New Roman"/>
          <w:noProof/>
          <w:sz w:val="24"/>
          <w:szCs w:val="24"/>
          <w:lang w:val="en-US"/>
        </w:rPr>
      </w:pPr>
    </w:p>
    <w:p w14:paraId="62592641" w14:textId="77777777" w:rsidR="002809A3" w:rsidRPr="002809A3" w:rsidRDefault="002809A3" w:rsidP="002809A3">
      <w:pPr>
        <w:pStyle w:val="BodyText"/>
        <w:numPr>
          <w:ilvl w:val="0"/>
          <w:numId w:val="1"/>
        </w:numPr>
        <w:tabs>
          <w:tab w:val="left" w:pos="851"/>
        </w:tabs>
        <w:ind w:left="284" w:firstLine="0"/>
        <w:jc w:val="both"/>
        <w:rPr>
          <w:rFonts w:ascii="Times New Roman" w:hAnsi="Times New Roman"/>
          <w:noProof/>
          <w:sz w:val="24"/>
          <w:lang w:val="en-US"/>
        </w:rPr>
      </w:pPr>
      <w:r w:rsidRPr="002809A3">
        <w:rPr>
          <w:rFonts w:ascii="Times New Roman" w:hAnsi="Times New Roman"/>
          <w:b/>
          <w:noProof/>
          <w:sz w:val="24"/>
          <w:lang w:val="en-US"/>
        </w:rPr>
        <w:t xml:space="preserve">Lēmumus </w:t>
      </w:r>
      <w:r w:rsidRPr="002809A3">
        <w:rPr>
          <w:rFonts w:ascii="Times New Roman" w:hAnsi="Times New Roman"/>
          <w:noProof/>
          <w:sz w:val="24"/>
          <w:lang w:val="en-US"/>
        </w:rPr>
        <w:t>pieņem Padome, un tie ir juridiski saistoši visām dalībvalstīm, izņemot tās, kas to pieņemšanas laikā ir atturējušās no balsošanas. Tajos noteiktas īpašas tiesības un pienākumi, un tajos var būt ietverti uzraudzības mehānismi.</w:t>
      </w:r>
    </w:p>
    <w:p w14:paraId="111D690D" w14:textId="77777777" w:rsidR="002809A3" w:rsidRPr="002809A3" w:rsidRDefault="002809A3" w:rsidP="002809A3">
      <w:pPr>
        <w:tabs>
          <w:tab w:val="left" w:pos="851"/>
        </w:tabs>
        <w:ind w:left="284"/>
        <w:jc w:val="both"/>
        <w:rPr>
          <w:rFonts w:ascii="Times New Roman" w:hAnsi="Times New Roman"/>
          <w:noProof/>
          <w:sz w:val="24"/>
          <w:lang w:val="en-US"/>
        </w:rPr>
      </w:pPr>
    </w:p>
    <w:p w14:paraId="3053DE9B" w14:textId="77777777" w:rsidR="002809A3" w:rsidRPr="002809A3" w:rsidRDefault="002809A3" w:rsidP="002809A3">
      <w:pPr>
        <w:pStyle w:val="BodyText"/>
        <w:numPr>
          <w:ilvl w:val="0"/>
          <w:numId w:val="1"/>
        </w:numPr>
        <w:tabs>
          <w:tab w:val="left" w:pos="851"/>
        </w:tabs>
        <w:ind w:left="284" w:firstLine="0"/>
        <w:jc w:val="both"/>
        <w:rPr>
          <w:rFonts w:ascii="Times New Roman" w:hAnsi="Times New Roman"/>
          <w:noProof/>
          <w:sz w:val="24"/>
          <w:lang w:val="en-US"/>
        </w:rPr>
      </w:pPr>
      <w:r w:rsidRPr="002809A3">
        <w:rPr>
          <w:rFonts w:ascii="Times New Roman" w:hAnsi="Times New Roman"/>
          <w:b/>
          <w:noProof/>
          <w:sz w:val="24"/>
          <w:lang w:val="en-US"/>
        </w:rPr>
        <w:t xml:space="preserve">Rekomendācijas </w:t>
      </w:r>
      <w:r w:rsidRPr="002809A3">
        <w:rPr>
          <w:rFonts w:ascii="Times New Roman" w:hAnsi="Times New Roman"/>
          <w:noProof/>
          <w:sz w:val="24"/>
          <w:lang w:val="en-US"/>
        </w:rPr>
        <w:t>pieņem Padome, un tās nav juridiski saistošas. Tajās atspoguļota politiska apņemšanās ievērot tajās ietvertos principus, un saskaņā ar tām tiek sagaidīts, ka īstenotāji darīs visu iespējamo, lai tās īstenotu.</w:t>
      </w:r>
    </w:p>
    <w:p w14:paraId="1C8FB3B5" w14:textId="77777777" w:rsidR="002809A3" w:rsidRPr="002809A3" w:rsidRDefault="002809A3" w:rsidP="002809A3">
      <w:pPr>
        <w:tabs>
          <w:tab w:val="left" w:pos="851"/>
        </w:tabs>
        <w:ind w:left="284"/>
        <w:jc w:val="both"/>
        <w:rPr>
          <w:rFonts w:ascii="Times New Roman" w:hAnsi="Times New Roman"/>
          <w:noProof/>
          <w:sz w:val="24"/>
          <w:lang w:val="en-US"/>
        </w:rPr>
      </w:pPr>
    </w:p>
    <w:p w14:paraId="4FEDE099" w14:textId="77777777" w:rsidR="002809A3" w:rsidRPr="002809A3" w:rsidRDefault="002809A3" w:rsidP="002809A3">
      <w:pPr>
        <w:pStyle w:val="BodyText"/>
        <w:numPr>
          <w:ilvl w:val="0"/>
          <w:numId w:val="1"/>
        </w:numPr>
        <w:tabs>
          <w:tab w:val="left" w:pos="851"/>
        </w:tabs>
        <w:ind w:left="284" w:firstLine="0"/>
        <w:jc w:val="both"/>
        <w:rPr>
          <w:rFonts w:ascii="Times New Roman" w:hAnsi="Times New Roman"/>
          <w:noProof/>
          <w:sz w:val="24"/>
          <w:lang w:val="en-US"/>
        </w:rPr>
      </w:pPr>
      <w:r w:rsidRPr="002809A3">
        <w:rPr>
          <w:rFonts w:ascii="Times New Roman" w:hAnsi="Times New Roman"/>
          <w:b/>
          <w:noProof/>
          <w:sz w:val="24"/>
          <w:lang w:val="en-US"/>
        </w:rPr>
        <w:t xml:space="preserve">Būtiskus apkopojošos dokumentus </w:t>
      </w:r>
      <w:r w:rsidRPr="002809A3">
        <w:rPr>
          <w:rFonts w:ascii="Times New Roman" w:hAnsi="Times New Roman"/>
          <w:noProof/>
          <w:sz w:val="24"/>
          <w:lang w:val="en-US"/>
        </w:rPr>
        <w:t>pieņem atsevišķi sarakstā ietvertie īstenotāji, nevis ESAO institūcija, un tie ir pieņemti ministru līmeņa, augsta līmeņa vai cita veida sanāksmes rezultātā Organizācijas ietvaros. Parasti tajos noteikti vispārējie principi vai ilgtermiņa mērķi, un tie ir oficiāli.</w:t>
      </w:r>
    </w:p>
    <w:p w14:paraId="73CE301C" w14:textId="77777777" w:rsidR="002809A3" w:rsidRPr="002809A3" w:rsidRDefault="002809A3" w:rsidP="002809A3">
      <w:pPr>
        <w:tabs>
          <w:tab w:val="left" w:pos="851"/>
        </w:tabs>
        <w:ind w:left="284"/>
        <w:jc w:val="both"/>
        <w:rPr>
          <w:rFonts w:ascii="Times New Roman" w:hAnsi="Times New Roman"/>
          <w:noProof/>
          <w:sz w:val="24"/>
          <w:lang w:val="en-US"/>
        </w:rPr>
      </w:pPr>
    </w:p>
    <w:p w14:paraId="48189CE7" w14:textId="77777777" w:rsidR="002809A3" w:rsidRPr="002809A3" w:rsidRDefault="002809A3" w:rsidP="002809A3">
      <w:pPr>
        <w:pStyle w:val="BodyText"/>
        <w:numPr>
          <w:ilvl w:val="0"/>
          <w:numId w:val="1"/>
        </w:numPr>
        <w:tabs>
          <w:tab w:val="left" w:pos="851"/>
        </w:tabs>
        <w:ind w:left="284" w:firstLine="0"/>
        <w:jc w:val="both"/>
        <w:rPr>
          <w:rFonts w:ascii="Times New Roman" w:hAnsi="Times New Roman"/>
          <w:noProof/>
          <w:sz w:val="24"/>
          <w:lang w:val="en-US"/>
        </w:rPr>
      </w:pPr>
      <w:r w:rsidRPr="002809A3">
        <w:rPr>
          <w:rFonts w:ascii="Times New Roman" w:hAnsi="Times New Roman"/>
          <w:b/>
          <w:noProof/>
          <w:sz w:val="24"/>
          <w:lang w:val="en-US"/>
        </w:rPr>
        <w:t xml:space="preserve">Starptautiskie nolīgumi </w:t>
      </w:r>
      <w:r w:rsidRPr="002809A3">
        <w:rPr>
          <w:rFonts w:ascii="Times New Roman" w:hAnsi="Times New Roman"/>
          <w:noProof/>
          <w:sz w:val="24"/>
          <w:lang w:val="en-US"/>
        </w:rPr>
        <w:t>tiek apspriesti un noslēgti Organizācijas ietvaros. Tie pusēm ir juridiski saistoši.</w:t>
      </w:r>
    </w:p>
    <w:p w14:paraId="73483822" w14:textId="77777777" w:rsidR="002809A3" w:rsidRPr="002809A3" w:rsidRDefault="002809A3" w:rsidP="002809A3">
      <w:pPr>
        <w:tabs>
          <w:tab w:val="left" w:pos="851"/>
        </w:tabs>
        <w:ind w:left="284"/>
        <w:jc w:val="both"/>
        <w:rPr>
          <w:rFonts w:ascii="Times New Roman" w:hAnsi="Times New Roman"/>
          <w:noProof/>
          <w:sz w:val="24"/>
          <w:lang w:val="en-US"/>
        </w:rPr>
      </w:pPr>
    </w:p>
    <w:p w14:paraId="349E77F9" w14:textId="77777777" w:rsidR="002809A3" w:rsidRPr="002809A3" w:rsidRDefault="002809A3" w:rsidP="002809A3">
      <w:pPr>
        <w:pStyle w:val="BodyText"/>
        <w:numPr>
          <w:ilvl w:val="0"/>
          <w:numId w:val="1"/>
        </w:numPr>
        <w:tabs>
          <w:tab w:val="left" w:pos="851"/>
        </w:tabs>
        <w:ind w:left="284" w:firstLine="0"/>
        <w:jc w:val="both"/>
        <w:rPr>
          <w:rFonts w:ascii="Times New Roman" w:hAnsi="Times New Roman" w:cs="Times New Roman"/>
          <w:noProof/>
          <w:sz w:val="24"/>
          <w:szCs w:val="24"/>
          <w:lang w:val="en-US"/>
        </w:rPr>
      </w:pPr>
      <w:r w:rsidRPr="002809A3">
        <w:rPr>
          <w:rFonts w:ascii="Times New Roman" w:hAnsi="Times New Roman"/>
          <w:b/>
          <w:noProof/>
          <w:sz w:val="24"/>
          <w:lang w:val="en-US"/>
        </w:rPr>
        <w:t>Vienošanās, saprašanās un citi instrumenti</w:t>
      </w:r>
      <w:r w:rsidRPr="002809A3">
        <w:rPr>
          <w:rFonts w:ascii="Times New Roman" w:hAnsi="Times New Roman"/>
          <w:noProof/>
          <w:sz w:val="24"/>
          <w:lang w:val="en-US"/>
        </w:rPr>
        <w:t>. Laika gaitā ESAO ietvaros ir izstrādāti vairāki būtiski citu veidu juridiskie instrumenti, piemēram, Vienošanās par oficiāli atbalstītiem eksporta kredītiem, Starptautiskā saprašanās par jūras transporta principiem un Attīstības palīdzības komitejas (</w:t>
      </w:r>
      <w:r w:rsidRPr="002809A3">
        <w:rPr>
          <w:rFonts w:ascii="Times New Roman" w:hAnsi="Times New Roman"/>
          <w:i/>
          <w:iCs/>
          <w:noProof/>
          <w:sz w:val="24"/>
          <w:lang w:val="en-US"/>
        </w:rPr>
        <w:t>DAC</w:t>
      </w:r>
      <w:r w:rsidRPr="002809A3">
        <w:rPr>
          <w:rFonts w:ascii="Times New Roman" w:hAnsi="Times New Roman"/>
          <w:noProof/>
          <w:sz w:val="24"/>
          <w:lang w:val="en-US"/>
        </w:rPr>
        <w:t>) rekomendācijas.</w:t>
      </w:r>
    </w:p>
    <w:sectPr w:rsidR="002809A3" w:rsidRPr="002809A3" w:rsidSect="00E9684F">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F4CD" w14:textId="77777777" w:rsidR="008E04F0" w:rsidRPr="002809A3" w:rsidRDefault="009735BB">
      <w:pPr>
        <w:rPr>
          <w:noProof/>
          <w:lang w:val="en-US"/>
        </w:rPr>
      </w:pPr>
      <w:r w:rsidRPr="002809A3">
        <w:rPr>
          <w:noProof/>
          <w:lang w:val="en-US"/>
        </w:rPr>
        <w:separator/>
      </w:r>
    </w:p>
  </w:endnote>
  <w:endnote w:type="continuationSeparator" w:id="0">
    <w:p w14:paraId="12A0F4CF" w14:textId="77777777" w:rsidR="008E04F0" w:rsidRPr="002809A3" w:rsidRDefault="009735BB">
      <w:pPr>
        <w:rPr>
          <w:noProof/>
          <w:lang w:val="en-US"/>
        </w:rPr>
      </w:pPr>
      <w:r w:rsidRPr="002809A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D54F" w14:textId="77777777" w:rsidR="002809A3" w:rsidRDefault="00280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6B77" w14:textId="77777777" w:rsidR="00974A7D" w:rsidRPr="002809A3" w:rsidRDefault="00974A7D" w:rsidP="00974A7D">
    <w:pPr>
      <w:pStyle w:val="Header"/>
      <w:tabs>
        <w:tab w:val="left" w:pos="9072"/>
      </w:tabs>
      <w:jc w:val="both"/>
      <w:rPr>
        <w:rStyle w:val="PageNumber"/>
        <w:rFonts w:ascii="Times New Roman" w:hAnsi="Times New Roman" w:cs="Times New Roman"/>
        <w:noProof/>
        <w:sz w:val="20"/>
        <w:szCs w:val="20"/>
        <w:lang w:val="en-US"/>
      </w:rPr>
    </w:pPr>
  </w:p>
  <w:p w14:paraId="3BD796C3" w14:textId="77777777" w:rsidR="00974A7D" w:rsidRPr="002809A3" w:rsidRDefault="00974A7D" w:rsidP="00974A7D">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2809A3">
      <w:rPr>
        <w:rFonts w:ascii="Times New Roman" w:hAnsi="Times New Roman" w:cs="Times New Roman"/>
        <w:noProof/>
        <w:sz w:val="20"/>
        <w:szCs w:val="20"/>
        <w:lang w:val="en-US"/>
      </w:rPr>
      <w:tab/>
    </w:r>
  </w:p>
  <w:p w14:paraId="58BF8B35" w14:textId="77777777" w:rsidR="00974A7D" w:rsidRPr="002809A3" w:rsidRDefault="00974A7D" w:rsidP="00974A7D">
    <w:pPr>
      <w:pStyle w:val="Header"/>
      <w:tabs>
        <w:tab w:val="right" w:pos="9072"/>
      </w:tabs>
      <w:jc w:val="both"/>
      <w:rPr>
        <w:rStyle w:val="PageNumber"/>
        <w:rFonts w:ascii="Times New Roman" w:hAnsi="Times New Roman" w:cs="Times New Roman"/>
        <w:noProof/>
        <w:sz w:val="20"/>
        <w:szCs w:val="20"/>
        <w:lang w:val="en-US"/>
      </w:rPr>
    </w:pPr>
  </w:p>
  <w:p w14:paraId="474C5E53" w14:textId="77777777" w:rsidR="00974A7D" w:rsidRPr="002809A3" w:rsidRDefault="00974A7D" w:rsidP="00974A7D">
    <w:pPr>
      <w:pStyle w:val="Footer"/>
      <w:tabs>
        <w:tab w:val="clear" w:pos="4513"/>
        <w:tab w:val="clear" w:pos="9026"/>
        <w:tab w:val="center" w:pos="9072"/>
      </w:tabs>
      <w:jc w:val="both"/>
      <w:rPr>
        <w:rFonts w:ascii="Times New Roman" w:hAnsi="Times New Roman" w:cs="Times New Roman"/>
        <w:noProof/>
        <w:sz w:val="20"/>
        <w:szCs w:val="20"/>
        <w:lang w:val="en-US"/>
      </w:rPr>
    </w:pPr>
    <w:r w:rsidRPr="002809A3">
      <w:rPr>
        <w:rFonts w:ascii="Times New Roman" w:hAnsi="Times New Roman" w:cs="Times New Roman"/>
        <w:noProof/>
        <w:sz w:val="20"/>
        <w:szCs w:val="20"/>
        <w:lang w:val="en-US"/>
      </w:rPr>
      <w:t xml:space="preserve">Tulkojums </w:t>
    </w:r>
    <w:r w:rsidRPr="002809A3">
      <w:rPr>
        <w:rFonts w:ascii="Times New Roman" w:hAnsi="Times New Roman" w:cs="Times New Roman"/>
        <w:noProof/>
        <w:sz w:val="20"/>
        <w:szCs w:val="20"/>
        <w:lang w:val="en-US"/>
      </w:rPr>
      <w:fldChar w:fldCharType="begin"/>
    </w:r>
    <w:r w:rsidRPr="002809A3">
      <w:rPr>
        <w:rFonts w:ascii="Times New Roman" w:hAnsi="Times New Roman" w:cs="Times New Roman"/>
        <w:noProof/>
        <w:sz w:val="20"/>
        <w:szCs w:val="20"/>
        <w:lang w:val="en-US"/>
      </w:rPr>
      <w:instrText>symbol 211 \f "Symbol" \s 9</w:instrText>
    </w:r>
    <w:r w:rsidRPr="002809A3">
      <w:rPr>
        <w:rFonts w:ascii="Times New Roman" w:hAnsi="Times New Roman" w:cs="Times New Roman"/>
        <w:noProof/>
        <w:sz w:val="20"/>
        <w:szCs w:val="20"/>
        <w:lang w:val="en-US"/>
      </w:rPr>
      <w:fldChar w:fldCharType="separate"/>
    </w:r>
    <w:r w:rsidRPr="002809A3">
      <w:rPr>
        <w:rFonts w:ascii="Times New Roman" w:hAnsi="Times New Roman" w:cs="Times New Roman"/>
        <w:noProof/>
        <w:sz w:val="20"/>
        <w:szCs w:val="20"/>
        <w:lang w:val="en-US"/>
      </w:rPr>
      <w:t>Ó</w:t>
    </w:r>
    <w:r w:rsidRPr="002809A3">
      <w:rPr>
        <w:rFonts w:ascii="Times New Roman" w:hAnsi="Times New Roman" w:cs="Times New Roman"/>
        <w:noProof/>
        <w:sz w:val="20"/>
        <w:szCs w:val="20"/>
        <w:lang w:val="en-US"/>
      </w:rPr>
      <w:fldChar w:fldCharType="end"/>
    </w:r>
    <w:r w:rsidRPr="002809A3">
      <w:rPr>
        <w:rFonts w:ascii="Times New Roman" w:hAnsi="Times New Roman" w:cs="Times New Roman"/>
        <w:noProof/>
        <w:sz w:val="20"/>
        <w:szCs w:val="20"/>
        <w:lang w:val="en-US"/>
      </w:rPr>
      <w:t xml:space="preserve"> Valsts valodas centrs, 2022</w:t>
    </w:r>
    <w:r w:rsidRPr="002809A3">
      <w:rPr>
        <w:rFonts w:ascii="Times New Roman" w:hAnsi="Times New Roman" w:cs="Times New Roman"/>
        <w:noProof/>
        <w:sz w:val="20"/>
        <w:szCs w:val="20"/>
        <w:lang w:val="en-US"/>
      </w:rPr>
      <w:tab/>
    </w:r>
    <w:r w:rsidRPr="002809A3">
      <w:rPr>
        <w:rStyle w:val="PageNumber"/>
        <w:rFonts w:ascii="Times New Roman" w:hAnsi="Times New Roman" w:cs="Times New Roman"/>
        <w:noProof/>
        <w:sz w:val="20"/>
        <w:szCs w:val="20"/>
        <w:lang w:val="en-US"/>
      </w:rPr>
      <w:fldChar w:fldCharType="begin"/>
    </w:r>
    <w:r w:rsidRPr="002809A3">
      <w:rPr>
        <w:rStyle w:val="PageNumber"/>
        <w:rFonts w:ascii="Times New Roman" w:hAnsi="Times New Roman" w:cs="Times New Roman"/>
        <w:noProof/>
        <w:sz w:val="20"/>
        <w:szCs w:val="20"/>
        <w:lang w:val="en-US"/>
      </w:rPr>
      <w:instrText xml:space="preserve">page </w:instrText>
    </w:r>
    <w:r w:rsidRPr="002809A3">
      <w:rPr>
        <w:rStyle w:val="PageNumber"/>
        <w:rFonts w:ascii="Times New Roman" w:hAnsi="Times New Roman" w:cs="Times New Roman"/>
        <w:noProof/>
        <w:sz w:val="20"/>
        <w:szCs w:val="20"/>
        <w:lang w:val="en-US"/>
      </w:rPr>
      <w:fldChar w:fldCharType="separate"/>
    </w:r>
    <w:r w:rsidRPr="002809A3">
      <w:rPr>
        <w:rStyle w:val="PageNumber"/>
        <w:rFonts w:ascii="Times New Roman" w:hAnsi="Times New Roman" w:cs="Times New Roman"/>
        <w:noProof/>
        <w:sz w:val="20"/>
        <w:szCs w:val="20"/>
        <w:lang w:val="en-US"/>
      </w:rPr>
      <w:t>2</w:t>
    </w:r>
    <w:r w:rsidRPr="002809A3">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5FAF" w14:textId="77777777" w:rsidR="00D26F9A" w:rsidRPr="002809A3" w:rsidRDefault="00D26F9A" w:rsidP="00D26F9A">
    <w:pPr>
      <w:pStyle w:val="Header"/>
      <w:tabs>
        <w:tab w:val="left" w:pos="9072"/>
      </w:tabs>
      <w:jc w:val="both"/>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3E3CAAB8" w14:textId="77777777" w:rsidR="00D26F9A" w:rsidRPr="002809A3" w:rsidRDefault="00D26F9A" w:rsidP="00D26F9A">
    <w:pPr>
      <w:pStyle w:val="Header"/>
      <w:tabs>
        <w:tab w:val="clear" w:pos="4513"/>
        <w:tab w:val="clear" w:pos="9026"/>
        <w:tab w:val="left" w:leader="underscore" w:pos="9072"/>
      </w:tabs>
      <w:jc w:val="both"/>
      <w:rPr>
        <w:rFonts w:ascii="Times New Roman" w:hAnsi="Times New Roman"/>
        <w:noProof/>
        <w:sz w:val="20"/>
        <w:szCs w:val="18"/>
        <w:lang w:val="en-US"/>
      </w:rPr>
    </w:pPr>
    <w:r w:rsidRPr="002809A3">
      <w:rPr>
        <w:rFonts w:ascii="Times New Roman" w:hAnsi="Times New Roman"/>
        <w:noProof/>
        <w:sz w:val="20"/>
        <w:szCs w:val="18"/>
        <w:lang w:val="en-US"/>
      </w:rPr>
      <w:tab/>
    </w:r>
  </w:p>
  <w:p w14:paraId="386E2F22" w14:textId="77777777" w:rsidR="00D26F9A" w:rsidRPr="002809A3" w:rsidRDefault="00D26F9A" w:rsidP="00D26F9A">
    <w:pPr>
      <w:pStyle w:val="Header"/>
      <w:tabs>
        <w:tab w:val="left" w:pos="9072"/>
      </w:tabs>
      <w:jc w:val="both"/>
      <w:rPr>
        <w:rStyle w:val="PageNumber"/>
        <w:rFonts w:ascii="Times New Roman" w:hAnsi="Times New Roman"/>
        <w:noProof/>
        <w:sz w:val="20"/>
        <w:szCs w:val="18"/>
        <w:lang w:val="en-US"/>
      </w:rPr>
    </w:pPr>
  </w:p>
  <w:p w14:paraId="76130078" w14:textId="77777777" w:rsidR="00D26F9A" w:rsidRPr="002809A3" w:rsidRDefault="00D26F9A" w:rsidP="00D26F9A">
    <w:pPr>
      <w:pStyle w:val="Footer"/>
      <w:jc w:val="both"/>
      <w:rPr>
        <w:rFonts w:ascii="Times New Roman" w:hAnsi="Times New Roman"/>
        <w:noProof/>
        <w:sz w:val="20"/>
        <w:szCs w:val="18"/>
        <w:lang w:val="en-US"/>
      </w:rPr>
    </w:pPr>
    <w:r w:rsidRPr="002809A3">
      <w:rPr>
        <w:rFonts w:ascii="Times New Roman" w:hAnsi="Times New Roman"/>
        <w:noProof/>
        <w:sz w:val="20"/>
        <w:szCs w:val="18"/>
        <w:lang w:val="en-US"/>
      </w:rPr>
      <w:t xml:space="preserve">Tulkojums </w:t>
    </w:r>
    <w:r w:rsidRPr="002809A3">
      <w:rPr>
        <w:rFonts w:ascii="Times New Roman" w:hAnsi="Times New Roman"/>
        <w:noProof/>
        <w:sz w:val="20"/>
        <w:szCs w:val="18"/>
        <w:lang w:val="en-US"/>
      </w:rPr>
      <w:fldChar w:fldCharType="begin"/>
    </w:r>
    <w:r w:rsidRPr="002809A3">
      <w:rPr>
        <w:rFonts w:ascii="Times New Roman" w:hAnsi="Times New Roman"/>
        <w:noProof/>
        <w:sz w:val="20"/>
        <w:szCs w:val="18"/>
        <w:lang w:val="en-US"/>
      </w:rPr>
      <w:instrText>symbol 211 \f "Symbol" \s 9</w:instrText>
    </w:r>
    <w:r w:rsidRPr="002809A3">
      <w:rPr>
        <w:rFonts w:ascii="Times New Roman" w:hAnsi="Times New Roman"/>
        <w:noProof/>
        <w:sz w:val="20"/>
        <w:szCs w:val="18"/>
        <w:lang w:val="en-US"/>
      </w:rPr>
      <w:fldChar w:fldCharType="separate"/>
    </w:r>
    <w:r w:rsidRPr="002809A3">
      <w:rPr>
        <w:rFonts w:ascii="Times New Roman" w:hAnsi="Times New Roman"/>
        <w:noProof/>
        <w:sz w:val="20"/>
        <w:szCs w:val="18"/>
        <w:lang w:val="en-US"/>
      </w:rPr>
      <w:t>Ó</w:t>
    </w:r>
    <w:r w:rsidRPr="002809A3">
      <w:rPr>
        <w:rFonts w:ascii="Times New Roman" w:hAnsi="Times New Roman"/>
        <w:noProof/>
        <w:sz w:val="20"/>
        <w:szCs w:val="18"/>
        <w:lang w:val="en-US"/>
      </w:rPr>
      <w:fldChar w:fldCharType="end"/>
    </w:r>
    <w:r w:rsidRPr="002809A3">
      <w:rPr>
        <w:rFonts w:ascii="Times New Roman" w:hAnsi="Times New Roman"/>
        <w:noProof/>
        <w:sz w:val="20"/>
        <w:szCs w:val="18"/>
        <w:lang w:val="en-US"/>
      </w:rPr>
      <w:t xml:space="preserve"> Valsts valodas centrs, 20</w:t>
    </w:r>
    <w:bookmarkEnd w:id="16"/>
    <w:bookmarkEnd w:id="17"/>
    <w:bookmarkEnd w:id="18"/>
    <w:r w:rsidRPr="002809A3">
      <w:rPr>
        <w:rFonts w:ascii="Times New Roman" w:hAnsi="Times New Roman"/>
        <w:noProof/>
        <w:sz w:val="20"/>
        <w:szCs w:val="18"/>
        <w:lang w:val="en-US"/>
      </w:rPr>
      <w:t>2</w:t>
    </w:r>
    <w:bookmarkEnd w:id="19"/>
    <w:bookmarkEnd w:id="20"/>
    <w:r w:rsidRPr="002809A3">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F4C9" w14:textId="77777777" w:rsidR="008E04F0" w:rsidRPr="002809A3" w:rsidRDefault="009735BB">
      <w:pPr>
        <w:rPr>
          <w:noProof/>
          <w:lang w:val="en-US"/>
        </w:rPr>
      </w:pPr>
      <w:r w:rsidRPr="002809A3">
        <w:rPr>
          <w:noProof/>
          <w:lang w:val="en-US"/>
        </w:rPr>
        <w:separator/>
      </w:r>
    </w:p>
  </w:footnote>
  <w:footnote w:type="continuationSeparator" w:id="0">
    <w:p w14:paraId="12A0F4CB" w14:textId="77777777" w:rsidR="008E04F0" w:rsidRPr="002809A3" w:rsidRDefault="009735BB">
      <w:pPr>
        <w:rPr>
          <w:noProof/>
          <w:lang w:val="en-US"/>
        </w:rPr>
      </w:pPr>
      <w:r w:rsidRPr="002809A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5779" w14:textId="77777777" w:rsidR="002809A3" w:rsidRDefault="00280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F6DF" w14:textId="77777777" w:rsidR="006B19F1" w:rsidRPr="002809A3" w:rsidRDefault="006B19F1" w:rsidP="006B19F1">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0F2AC924" w14:textId="77777777" w:rsidR="006B19F1" w:rsidRPr="002809A3" w:rsidRDefault="006B19F1" w:rsidP="006B19F1">
    <w:pPr>
      <w:pStyle w:val="Header"/>
      <w:tabs>
        <w:tab w:val="clear" w:pos="4513"/>
        <w:tab w:val="clear" w:pos="9026"/>
        <w:tab w:val="right" w:leader="underscore" w:pos="9072"/>
      </w:tabs>
      <w:rPr>
        <w:rFonts w:ascii="Times New Roman" w:hAnsi="Times New Roman" w:cs="Times New Roman"/>
        <w:noProof/>
        <w:sz w:val="20"/>
        <w:szCs w:val="20"/>
        <w:lang w:val="en-US"/>
      </w:rPr>
    </w:pPr>
    <w:r w:rsidRPr="002809A3">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777334EE" w14:textId="77777777" w:rsidR="006B19F1" w:rsidRPr="002809A3" w:rsidRDefault="006B19F1" w:rsidP="006B19F1">
    <w:pPr>
      <w:pStyle w:val="Header"/>
      <w:rPr>
        <w:rFonts w:ascii="Times New Roman" w:hAnsi="Times New Roman" w:cs="Times New Roman"/>
        <w:noProof/>
        <w:sz w:val="20"/>
        <w:szCs w:val="20"/>
        <w:lang w:val="en-US"/>
      </w:rPr>
    </w:pPr>
  </w:p>
  <w:p w14:paraId="12A0F4C8" w14:textId="77777777" w:rsidR="00B41116" w:rsidRPr="002809A3" w:rsidRDefault="00B41116">
    <w:pPr>
      <w:spacing w:line="14" w:lineRule="auto"/>
      <w:rPr>
        <w:noProof/>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E948" w14:textId="77777777" w:rsidR="0046567B" w:rsidRPr="002809A3" w:rsidRDefault="0046567B" w:rsidP="0046567B">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41AF6638" w14:textId="77777777" w:rsidR="0046567B" w:rsidRPr="002809A3" w:rsidRDefault="0046567B" w:rsidP="0046567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9489B"/>
    <w:multiLevelType w:val="hybridMultilevel"/>
    <w:tmpl w:val="3C5CEADA"/>
    <w:lvl w:ilvl="0" w:tplc="541AB92A">
      <w:start w:val="1"/>
      <w:numFmt w:val="decimal"/>
      <w:lvlText w:val="%1."/>
      <w:lvlJc w:val="left"/>
      <w:pPr>
        <w:ind w:left="450" w:hanging="850"/>
      </w:pPr>
      <w:rPr>
        <w:rFonts w:ascii="Arial" w:eastAsia="Arial" w:hAnsi="Arial" w:hint="default"/>
        <w:spacing w:val="-1"/>
        <w:w w:val="99"/>
        <w:sz w:val="20"/>
        <w:szCs w:val="20"/>
      </w:rPr>
    </w:lvl>
    <w:lvl w:ilvl="1" w:tplc="2AA42ED8">
      <w:start w:val="1"/>
      <w:numFmt w:val="lowerLetter"/>
      <w:lvlText w:val="%2."/>
      <w:lvlJc w:val="left"/>
      <w:pPr>
        <w:ind w:left="1302" w:hanging="569"/>
      </w:pPr>
      <w:rPr>
        <w:rFonts w:ascii="Arial" w:eastAsia="Arial" w:hAnsi="Arial" w:hint="default"/>
        <w:spacing w:val="-1"/>
        <w:w w:val="99"/>
        <w:sz w:val="20"/>
        <w:szCs w:val="20"/>
      </w:rPr>
    </w:lvl>
    <w:lvl w:ilvl="2" w:tplc="82C2ED82">
      <w:start w:val="1"/>
      <w:numFmt w:val="lowerRoman"/>
      <w:lvlText w:val="%3."/>
      <w:lvlJc w:val="left"/>
      <w:pPr>
        <w:ind w:left="1869" w:hanging="668"/>
        <w:jc w:val="right"/>
      </w:pPr>
      <w:rPr>
        <w:rFonts w:ascii="Arial" w:eastAsia="Arial" w:hAnsi="Arial" w:hint="default"/>
        <w:spacing w:val="-2"/>
        <w:w w:val="99"/>
        <w:sz w:val="20"/>
        <w:szCs w:val="20"/>
      </w:rPr>
    </w:lvl>
    <w:lvl w:ilvl="3" w:tplc="283CD318">
      <w:start w:val="1"/>
      <w:numFmt w:val="bullet"/>
      <w:lvlText w:val="•"/>
      <w:lvlJc w:val="left"/>
      <w:pPr>
        <w:ind w:left="2943" w:hanging="668"/>
      </w:pPr>
      <w:rPr>
        <w:rFonts w:hint="default"/>
      </w:rPr>
    </w:lvl>
    <w:lvl w:ilvl="4" w:tplc="FC4A2DF8">
      <w:start w:val="1"/>
      <w:numFmt w:val="bullet"/>
      <w:lvlText w:val="•"/>
      <w:lvlJc w:val="left"/>
      <w:pPr>
        <w:ind w:left="4018" w:hanging="668"/>
      </w:pPr>
      <w:rPr>
        <w:rFonts w:hint="default"/>
      </w:rPr>
    </w:lvl>
    <w:lvl w:ilvl="5" w:tplc="DF24F50C">
      <w:start w:val="1"/>
      <w:numFmt w:val="bullet"/>
      <w:lvlText w:val="•"/>
      <w:lvlJc w:val="left"/>
      <w:pPr>
        <w:ind w:left="5093" w:hanging="668"/>
      </w:pPr>
      <w:rPr>
        <w:rFonts w:hint="default"/>
      </w:rPr>
    </w:lvl>
    <w:lvl w:ilvl="6" w:tplc="89AACB4E">
      <w:start w:val="1"/>
      <w:numFmt w:val="bullet"/>
      <w:lvlText w:val="•"/>
      <w:lvlJc w:val="left"/>
      <w:pPr>
        <w:ind w:left="6167" w:hanging="668"/>
      </w:pPr>
      <w:rPr>
        <w:rFonts w:hint="default"/>
      </w:rPr>
    </w:lvl>
    <w:lvl w:ilvl="7" w:tplc="1A1E41D8">
      <w:start w:val="1"/>
      <w:numFmt w:val="bullet"/>
      <w:lvlText w:val="•"/>
      <w:lvlJc w:val="left"/>
      <w:pPr>
        <w:ind w:left="7242" w:hanging="668"/>
      </w:pPr>
      <w:rPr>
        <w:rFonts w:hint="default"/>
      </w:rPr>
    </w:lvl>
    <w:lvl w:ilvl="8" w:tplc="4FCA615A">
      <w:start w:val="1"/>
      <w:numFmt w:val="bullet"/>
      <w:lvlText w:val="•"/>
      <w:lvlJc w:val="left"/>
      <w:pPr>
        <w:ind w:left="8317" w:hanging="668"/>
      </w:pPr>
      <w:rPr>
        <w:rFonts w:hint="default"/>
      </w:rPr>
    </w:lvl>
  </w:abstractNum>
  <w:abstractNum w:abstractNumId="1" w15:restartNumberingAfterBreak="0">
    <w:nsid w:val="25AF5C8A"/>
    <w:multiLevelType w:val="hybridMultilevel"/>
    <w:tmpl w:val="A8F2E32C"/>
    <w:lvl w:ilvl="0" w:tplc="BE46FF40">
      <w:start w:val="1"/>
      <w:numFmt w:val="upperRoman"/>
      <w:lvlText w:val="%1."/>
      <w:lvlJc w:val="left"/>
      <w:pPr>
        <w:ind w:left="450" w:hanging="850"/>
      </w:pPr>
      <w:rPr>
        <w:rFonts w:ascii="Arial" w:eastAsia="Arial" w:hAnsi="Arial" w:hint="default"/>
        <w:b/>
        <w:bCs/>
        <w:spacing w:val="-1"/>
        <w:w w:val="99"/>
        <w:sz w:val="20"/>
        <w:szCs w:val="20"/>
      </w:rPr>
    </w:lvl>
    <w:lvl w:ilvl="1" w:tplc="E5C66E42">
      <w:start w:val="1"/>
      <w:numFmt w:val="bullet"/>
      <w:lvlText w:val="●"/>
      <w:lvlJc w:val="left"/>
      <w:pPr>
        <w:ind w:left="1302" w:hanging="569"/>
      </w:pPr>
      <w:rPr>
        <w:rFonts w:ascii="Calibri" w:eastAsia="Calibri" w:hAnsi="Calibri" w:hint="default"/>
        <w:w w:val="99"/>
        <w:sz w:val="20"/>
        <w:szCs w:val="20"/>
      </w:rPr>
    </w:lvl>
    <w:lvl w:ilvl="2" w:tplc="34A4EE5E">
      <w:start w:val="1"/>
      <w:numFmt w:val="bullet"/>
      <w:lvlText w:val="•"/>
      <w:lvlJc w:val="left"/>
      <w:pPr>
        <w:ind w:left="2320" w:hanging="569"/>
      </w:pPr>
      <w:rPr>
        <w:rFonts w:hint="default"/>
      </w:rPr>
    </w:lvl>
    <w:lvl w:ilvl="3" w:tplc="354AAD56">
      <w:start w:val="1"/>
      <w:numFmt w:val="bullet"/>
      <w:lvlText w:val="•"/>
      <w:lvlJc w:val="left"/>
      <w:pPr>
        <w:ind w:left="3339" w:hanging="569"/>
      </w:pPr>
      <w:rPr>
        <w:rFonts w:hint="default"/>
      </w:rPr>
    </w:lvl>
    <w:lvl w:ilvl="4" w:tplc="5BF67460">
      <w:start w:val="1"/>
      <w:numFmt w:val="bullet"/>
      <w:lvlText w:val="•"/>
      <w:lvlJc w:val="left"/>
      <w:pPr>
        <w:ind w:left="4357" w:hanging="569"/>
      </w:pPr>
      <w:rPr>
        <w:rFonts w:hint="default"/>
      </w:rPr>
    </w:lvl>
    <w:lvl w:ilvl="5" w:tplc="0324E7D6">
      <w:start w:val="1"/>
      <w:numFmt w:val="bullet"/>
      <w:lvlText w:val="•"/>
      <w:lvlJc w:val="left"/>
      <w:pPr>
        <w:ind w:left="5375" w:hanging="569"/>
      </w:pPr>
      <w:rPr>
        <w:rFonts w:hint="default"/>
      </w:rPr>
    </w:lvl>
    <w:lvl w:ilvl="6" w:tplc="C20E1650">
      <w:start w:val="1"/>
      <w:numFmt w:val="bullet"/>
      <w:lvlText w:val="•"/>
      <w:lvlJc w:val="left"/>
      <w:pPr>
        <w:ind w:left="6393" w:hanging="569"/>
      </w:pPr>
      <w:rPr>
        <w:rFonts w:hint="default"/>
      </w:rPr>
    </w:lvl>
    <w:lvl w:ilvl="7" w:tplc="83D87688">
      <w:start w:val="1"/>
      <w:numFmt w:val="bullet"/>
      <w:lvlText w:val="•"/>
      <w:lvlJc w:val="left"/>
      <w:pPr>
        <w:ind w:left="7411" w:hanging="569"/>
      </w:pPr>
      <w:rPr>
        <w:rFonts w:hint="default"/>
      </w:rPr>
    </w:lvl>
    <w:lvl w:ilvl="8" w:tplc="A302ECC6">
      <w:start w:val="1"/>
      <w:numFmt w:val="bullet"/>
      <w:lvlText w:val="•"/>
      <w:lvlJc w:val="left"/>
      <w:pPr>
        <w:ind w:left="8430" w:hanging="569"/>
      </w:pPr>
      <w:rPr>
        <w:rFonts w:hint="default"/>
      </w:rPr>
    </w:lvl>
  </w:abstractNum>
  <w:abstractNum w:abstractNumId="2" w15:restartNumberingAfterBreak="0">
    <w:nsid w:val="43AF5627"/>
    <w:multiLevelType w:val="hybridMultilevel"/>
    <w:tmpl w:val="B2C6DA3E"/>
    <w:lvl w:ilvl="0" w:tplc="348C44FC">
      <w:start w:val="1"/>
      <w:numFmt w:val="bullet"/>
      <w:lvlText w:val=""/>
      <w:lvlJc w:val="left"/>
      <w:pPr>
        <w:ind w:left="852" w:hanging="711"/>
      </w:pPr>
      <w:rPr>
        <w:rFonts w:ascii="Symbol" w:eastAsia="Symbol" w:hAnsi="Symbol" w:hint="default"/>
        <w:w w:val="95"/>
        <w:sz w:val="20"/>
        <w:szCs w:val="20"/>
      </w:rPr>
    </w:lvl>
    <w:lvl w:ilvl="1" w:tplc="0C100E9A">
      <w:start w:val="1"/>
      <w:numFmt w:val="bullet"/>
      <w:lvlText w:val="•"/>
      <w:lvlJc w:val="left"/>
      <w:pPr>
        <w:ind w:left="1705" w:hanging="711"/>
      </w:pPr>
      <w:rPr>
        <w:rFonts w:hint="default"/>
      </w:rPr>
    </w:lvl>
    <w:lvl w:ilvl="2" w:tplc="8C168AB8">
      <w:start w:val="1"/>
      <w:numFmt w:val="bullet"/>
      <w:lvlText w:val="•"/>
      <w:lvlJc w:val="left"/>
      <w:pPr>
        <w:ind w:left="2558" w:hanging="711"/>
      </w:pPr>
      <w:rPr>
        <w:rFonts w:hint="default"/>
      </w:rPr>
    </w:lvl>
    <w:lvl w:ilvl="3" w:tplc="3B5E01B6">
      <w:start w:val="1"/>
      <w:numFmt w:val="bullet"/>
      <w:lvlText w:val="•"/>
      <w:lvlJc w:val="left"/>
      <w:pPr>
        <w:ind w:left="3410" w:hanging="711"/>
      </w:pPr>
      <w:rPr>
        <w:rFonts w:hint="default"/>
      </w:rPr>
    </w:lvl>
    <w:lvl w:ilvl="4" w:tplc="ECEEF622">
      <w:start w:val="1"/>
      <w:numFmt w:val="bullet"/>
      <w:lvlText w:val="•"/>
      <w:lvlJc w:val="left"/>
      <w:pPr>
        <w:ind w:left="4263" w:hanging="711"/>
      </w:pPr>
      <w:rPr>
        <w:rFonts w:hint="default"/>
      </w:rPr>
    </w:lvl>
    <w:lvl w:ilvl="5" w:tplc="0F2A1326">
      <w:start w:val="1"/>
      <w:numFmt w:val="bullet"/>
      <w:lvlText w:val="•"/>
      <w:lvlJc w:val="left"/>
      <w:pPr>
        <w:ind w:left="5116" w:hanging="711"/>
      </w:pPr>
      <w:rPr>
        <w:rFonts w:hint="default"/>
      </w:rPr>
    </w:lvl>
    <w:lvl w:ilvl="6" w:tplc="061E0750">
      <w:start w:val="1"/>
      <w:numFmt w:val="bullet"/>
      <w:lvlText w:val="•"/>
      <w:lvlJc w:val="left"/>
      <w:pPr>
        <w:ind w:left="5969" w:hanging="711"/>
      </w:pPr>
      <w:rPr>
        <w:rFonts w:hint="default"/>
      </w:rPr>
    </w:lvl>
    <w:lvl w:ilvl="7" w:tplc="C2EC60A6">
      <w:start w:val="1"/>
      <w:numFmt w:val="bullet"/>
      <w:lvlText w:val="•"/>
      <w:lvlJc w:val="left"/>
      <w:pPr>
        <w:ind w:left="6821" w:hanging="711"/>
      </w:pPr>
      <w:rPr>
        <w:rFonts w:hint="default"/>
      </w:rPr>
    </w:lvl>
    <w:lvl w:ilvl="8" w:tplc="5CB623CC">
      <w:start w:val="1"/>
      <w:numFmt w:val="bullet"/>
      <w:lvlText w:val="•"/>
      <w:lvlJc w:val="left"/>
      <w:pPr>
        <w:ind w:left="7674" w:hanging="711"/>
      </w:pPr>
      <w:rPr>
        <w:rFonts w:hint="default"/>
      </w:rPr>
    </w:lvl>
  </w:abstractNum>
  <w:abstractNum w:abstractNumId="3" w15:restartNumberingAfterBreak="0">
    <w:nsid w:val="4D905539"/>
    <w:multiLevelType w:val="hybridMultilevel"/>
    <w:tmpl w:val="761810F0"/>
    <w:lvl w:ilvl="0" w:tplc="32044044">
      <w:start w:val="1"/>
      <w:numFmt w:val="lowerLetter"/>
      <w:lvlText w:val="%1."/>
      <w:lvlJc w:val="left"/>
      <w:pPr>
        <w:ind w:left="1170" w:hanging="360"/>
      </w:pPr>
      <w:rPr>
        <w:rFonts w:ascii="Arial" w:eastAsia="Arial" w:hAnsi="Arial" w:hint="default"/>
        <w:spacing w:val="-1"/>
        <w:w w:val="99"/>
        <w:sz w:val="20"/>
        <w:szCs w:val="20"/>
      </w:rPr>
    </w:lvl>
    <w:lvl w:ilvl="1" w:tplc="CF70ABC6">
      <w:start w:val="1"/>
      <w:numFmt w:val="bullet"/>
      <w:lvlText w:val="•"/>
      <w:lvlJc w:val="left"/>
      <w:pPr>
        <w:ind w:left="2100" w:hanging="360"/>
      </w:pPr>
      <w:rPr>
        <w:rFonts w:hint="default"/>
      </w:rPr>
    </w:lvl>
    <w:lvl w:ilvl="2" w:tplc="4B381CCE">
      <w:start w:val="1"/>
      <w:numFmt w:val="bullet"/>
      <w:lvlText w:val="•"/>
      <w:lvlJc w:val="left"/>
      <w:pPr>
        <w:ind w:left="3030" w:hanging="360"/>
      </w:pPr>
      <w:rPr>
        <w:rFonts w:hint="default"/>
      </w:rPr>
    </w:lvl>
    <w:lvl w:ilvl="3" w:tplc="7E004F26">
      <w:start w:val="1"/>
      <w:numFmt w:val="bullet"/>
      <w:lvlText w:val="•"/>
      <w:lvlJc w:val="left"/>
      <w:pPr>
        <w:ind w:left="3959" w:hanging="360"/>
      </w:pPr>
      <w:rPr>
        <w:rFonts w:hint="default"/>
      </w:rPr>
    </w:lvl>
    <w:lvl w:ilvl="4" w:tplc="DD488F68">
      <w:start w:val="1"/>
      <w:numFmt w:val="bullet"/>
      <w:lvlText w:val="•"/>
      <w:lvlJc w:val="left"/>
      <w:pPr>
        <w:ind w:left="4889" w:hanging="360"/>
      </w:pPr>
      <w:rPr>
        <w:rFonts w:hint="default"/>
      </w:rPr>
    </w:lvl>
    <w:lvl w:ilvl="5" w:tplc="1D2209C2">
      <w:start w:val="1"/>
      <w:numFmt w:val="bullet"/>
      <w:lvlText w:val="•"/>
      <w:lvlJc w:val="left"/>
      <w:pPr>
        <w:ind w:left="5818" w:hanging="360"/>
      </w:pPr>
      <w:rPr>
        <w:rFonts w:hint="default"/>
      </w:rPr>
    </w:lvl>
    <w:lvl w:ilvl="6" w:tplc="933ABBA2">
      <w:start w:val="1"/>
      <w:numFmt w:val="bullet"/>
      <w:lvlText w:val="•"/>
      <w:lvlJc w:val="left"/>
      <w:pPr>
        <w:ind w:left="6748" w:hanging="360"/>
      </w:pPr>
      <w:rPr>
        <w:rFonts w:hint="default"/>
      </w:rPr>
    </w:lvl>
    <w:lvl w:ilvl="7" w:tplc="B91C0370">
      <w:start w:val="1"/>
      <w:numFmt w:val="bullet"/>
      <w:lvlText w:val="•"/>
      <w:lvlJc w:val="left"/>
      <w:pPr>
        <w:ind w:left="7677" w:hanging="360"/>
      </w:pPr>
      <w:rPr>
        <w:rFonts w:hint="default"/>
      </w:rPr>
    </w:lvl>
    <w:lvl w:ilvl="8" w:tplc="59AC6DF8">
      <w:start w:val="1"/>
      <w:numFmt w:val="bullet"/>
      <w:lvlText w:val="•"/>
      <w:lvlJc w:val="left"/>
      <w:pPr>
        <w:ind w:left="8607" w:hanging="360"/>
      </w:pPr>
      <w:rPr>
        <w:rFonts w:hint="default"/>
      </w:rPr>
    </w:lvl>
  </w:abstractNum>
  <w:abstractNum w:abstractNumId="4" w15:restartNumberingAfterBreak="0">
    <w:nsid w:val="53BE6422"/>
    <w:multiLevelType w:val="hybridMultilevel"/>
    <w:tmpl w:val="7C320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94318579">
    <w:abstractNumId w:val="2"/>
  </w:num>
  <w:num w:numId="2" w16cid:durableId="389427126">
    <w:abstractNumId w:val="3"/>
  </w:num>
  <w:num w:numId="3" w16cid:durableId="1753115782">
    <w:abstractNumId w:val="0"/>
  </w:num>
  <w:num w:numId="4" w16cid:durableId="1265765836">
    <w:abstractNumId w:val="1"/>
  </w:num>
  <w:num w:numId="5" w16cid:durableId="64693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1116"/>
    <w:rsid w:val="00023209"/>
    <w:rsid w:val="00065980"/>
    <w:rsid w:val="001074A4"/>
    <w:rsid w:val="001A2B94"/>
    <w:rsid w:val="001B09DA"/>
    <w:rsid w:val="00256976"/>
    <w:rsid w:val="002758B0"/>
    <w:rsid w:val="002809A3"/>
    <w:rsid w:val="002949C9"/>
    <w:rsid w:val="002D74D5"/>
    <w:rsid w:val="002D7AE2"/>
    <w:rsid w:val="002F462A"/>
    <w:rsid w:val="00306429"/>
    <w:rsid w:val="00310E9C"/>
    <w:rsid w:val="00340E1B"/>
    <w:rsid w:val="00347CFE"/>
    <w:rsid w:val="003673FE"/>
    <w:rsid w:val="0040625F"/>
    <w:rsid w:val="00424D24"/>
    <w:rsid w:val="004626A4"/>
    <w:rsid w:val="0046567B"/>
    <w:rsid w:val="005655A0"/>
    <w:rsid w:val="0057593E"/>
    <w:rsid w:val="0058723F"/>
    <w:rsid w:val="005953AB"/>
    <w:rsid w:val="006506FF"/>
    <w:rsid w:val="006B19F1"/>
    <w:rsid w:val="006D4199"/>
    <w:rsid w:val="00702808"/>
    <w:rsid w:val="0074179A"/>
    <w:rsid w:val="007650EC"/>
    <w:rsid w:val="00780146"/>
    <w:rsid w:val="007E00A9"/>
    <w:rsid w:val="008E04F0"/>
    <w:rsid w:val="00906D33"/>
    <w:rsid w:val="00941E31"/>
    <w:rsid w:val="00956F84"/>
    <w:rsid w:val="009679CD"/>
    <w:rsid w:val="009735BB"/>
    <w:rsid w:val="00974A7D"/>
    <w:rsid w:val="00987118"/>
    <w:rsid w:val="00990C1F"/>
    <w:rsid w:val="00A04502"/>
    <w:rsid w:val="00AA0788"/>
    <w:rsid w:val="00AE1AAB"/>
    <w:rsid w:val="00AE3601"/>
    <w:rsid w:val="00B2655B"/>
    <w:rsid w:val="00B41116"/>
    <w:rsid w:val="00BA02C1"/>
    <w:rsid w:val="00BF7366"/>
    <w:rsid w:val="00C96B4F"/>
    <w:rsid w:val="00CB45DC"/>
    <w:rsid w:val="00D1263D"/>
    <w:rsid w:val="00D26F9A"/>
    <w:rsid w:val="00D642FC"/>
    <w:rsid w:val="00D95420"/>
    <w:rsid w:val="00DA57F8"/>
    <w:rsid w:val="00DE25D9"/>
    <w:rsid w:val="00E05F45"/>
    <w:rsid w:val="00E342B1"/>
    <w:rsid w:val="00E52BDD"/>
    <w:rsid w:val="00E618E1"/>
    <w:rsid w:val="00E63ABC"/>
    <w:rsid w:val="00E87D08"/>
    <w:rsid w:val="00E87DBD"/>
    <w:rsid w:val="00E9684F"/>
    <w:rsid w:val="00EF46C1"/>
    <w:rsid w:val="00F06A40"/>
    <w:rsid w:val="00FB42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A0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3"/>
      <w:ind w:left="116"/>
      <w:outlineLvl w:val="0"/>
    </w:pPr>
    <w:rPr>
      <w:rFonts w:ascii="Arial" w:eastAsia="Arial" w:hAnsi="Arial"/>
      <w:b/>
      <w:bCs/>
      <w:sz w:val="24"/>
      <w:szCs w:val="24"/>
    </w:rPr>
  </w:style>
  <w:style w:type="paragraph" w:styleId="Heading2">
    <w:name w:val="heading 2"/>
    <w:basedOn w:val="Normal"/>
    <w:uiPriority w:val="9"/>
    <w:unhideWhenUsed/>
    <w:qFormat/>
    <w:pPr>
      <w:ind w:left="40"/>
      <w:outlineLvl w:val="1"/>
    </w:pPr>
    <w:rPr>
      <w:rFonts w:ascii="Arial" w:eastAsia="Arial" w:hAnsi="Arial"/>
      <w:b/>
      <w:bCs/>
      <w:sz w:val="20"/>
      <w:szCs w:val="20"/>
    </w:rPr>
  </w:style>
  <w:style w:type="paragraph" w:styleId="Heading3">
    <w:name w:val="heading 3"/>
    <w:basedOn w:val="Normal"/>
    <w:uiPriority w:val="9"/>
    <w:unhideWhenUsed/>
    <w:qFormat/>
    <w:pPr>
      <w:ind w:left="797"/>
      <w:outlineLvl w:val="2"/>
    </w:pPr>
    <w:rPr>
      <w:rFonts w:ascii="Arial" w:eastAsia="Arial" w:hAnsi="Arial"/>
      <w:b/>
      <w:bCs/>
      <w: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E3601"/>
    <w:pPr>
      <w:tabs>
        <w:tab w:val="center" w:pos="4513"/>
        <w:tab w:val="right" w:pos="9026"/>
      </w:tabs>
    </w:pPr>
  </w:style>
  <w:style w:type="character" w:customStyle="1" w:styleId="HeaderChar">
    <w:name w:val="Header Char"/>
    <w:basedOn w:val="DefaultParagraphFont"/>
    <w:link w:val="Header"/>
    <w:rsid w:val="00AE3601"/>
  </w:style>
  <w:style w:type="paragraph" w:styleId="Footer">
    <w:name w:val="footer"/>
    <w:basedOn w:val="Normal"/>
    <w:link w:val="FooterChar"/>
    <w:unhideWhenUsed/>
    <w:rsid w:val="00AE3601"/>
    <w:pPr>
      <w:tabs>
        <w:tab w:val="center" w:pos="4513"/>
        <w:tab w:val="right" w:pos="9026"/>
      </w:tabs>
    </w:pPr>
  </w:style>
  <w:style w:type="character" w:customStyle="1" w:styleId="FooterChar">
    <w:name w:val="Footer Char"/>
    <w:basedOn w:val="DefaultParagraphFont"/>
    <w:link w:val="Footer"/>
    <w:rsid w:val="00AE3601"/>
  </w:style>
  <w:style w:type="table" w:styleId="TableGrid">
    <w:name w:val="Table Grid"/>
    <w:basedOn w:val="TableNormal"/>
    <w:uiPriority w:val="39"/>
    <w:rsid w:val="0029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8B0"/>
    <w:rPr>
      <w:color w:val="0000FF" w:themeColor="hyperlink"/>
      <w:u w:val="single"/>
    </w:rPr>
  </w:style>
  <w:style w:type="character" w:styleId="UnresolvedMention">
    <w:name w:val="Unresolved Mention"/>
    <w:basedOn w:val="DefaultParagraphFont"/>
    <w:uiPriority w:val="99"/>
    <w:semiHidden/>
    <w:unhideWhenUsed/>
    <w:rsid w:val="002758B0"/>
    <w:rPr>
      <w:color w:val="605E5C"/>
      <w:shd w:val="clear" w:color="auto" w:fill="E1DFDD"/>
    </w:rPr>
  </w:style>
  <w:style w:type="character" w:styleId="PageNumber">
    <w:name w:val="page number"/>
    <w:basedOn w:val="DefaultParagraphFont"/>
    <w:semiHidden/>
    <w:rsid w:val="00D2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FA002-60E5-4C5E-A798-9E74636A5E2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7C5FA74-A9CF-4CE5-BB14-DFAAD41C8699}">
  <ds:schemaRefs>
    <ds:schemaRef ds:uri="http://schemas.microsoft.com/sharepoint/v3/contenttype/forms"/>
  </ds:schemaRefs>
</ds:datastoreItem>
</file>

<file path=customXml/itemProps3.xml><?xml version="1.0" encoding="utf-8"?>
<ds:datastoreItem xmlns:ds="http://schemas.openxmlformats.org/officeDocument/2006/customXml" ds:itemID="{98741850-47EE-406D-92DE-487B17B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13427</Words>
  <Characters>7654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2022-01-24T10:19:00Z</dcterms:created>
  <dcterms:modified xsi:type="dcterms:W3CDTF">2022-08-05T07:59:00Z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