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75939" w14:textId="77777777" w:rsidR="008F613B" w:rsidRPr="008F613B" w:rsidRDefault="008F613B" w:rsidP="008F613B">
      <w:pPr>
        <w:jc w:val="both"/>
        <w:rPr>
          <w:rFonts w:ascii="Times New Roman" w:eastAsia="Times New Roman" w:hAnsi="Times New Roman" w:cs="Times New Roman"/>
          <w:noProof/>
          <w:sz w:val="24"/>
          <w:szCs w:val="24"/>
          <w:lang w:val="en-US"/>
        </w:rPr>
      </w:pPr>
    </w:p>
    <w:p w14:paraId="32C6C9A8" w14:textId="77777777" w:rsidR="008F613B" w:rsidRPr="008F613B" w:rsidRDefault="008F613B" w:rsidP="008F613B">
      <w:pPr>
        <w:jc w:val="center"/>
        <w:rPr>
          <w:rFonts w:ascii="Times New Roman" w:eastAsia="Times New Roman" w:hAnsi="Times New Roman" w:cs="Times New Roman"/>
          <w:noProof/>
          <w:sz w:val="24"/>
          <w:szCs w:val="24"/>
          <w:lang w:val="en-US"/>
        </w:rPr>
      </w:pPr>
      <w:r w:rsidRPr="008F613B">
        <w:rPr>
          <w:rFonts w:ascii="Times New Roman" w:eastAsia="Times New Roman" w:hAnsi="Times New Roman" w:cs="Times New Roman"/>
          <w:noProof/>
          <w:sz w:val="24"/>
          <w:szCs w:val="24"/>
          <w:lang w:val="en-US"/>
        </w:rPr>
        <w:drawing>
          <wp:inline distT="0" distB="0" distL="0" distR="0" wp14:anchorId="21F5C500" wp14:editId="6C935E53">
            <wp:extent cx="5676900" cy="5708650"/>
            <wp:effectExtent l="0" t="0" r="0" b="0"/>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rotWithShape="1">
                    <a:blip r:embed="rId10">
                      <a:extLst>
                        <a:ext uri="{28A0092B-C50C-407E-A947-70E740481C1C}">
                          <a14:useLocalDpi xmlns:a14="http://schemas.microsoft.com/office/drawing/2010/main" val="0"/>
                        </a:ext>
                      </a:extLst>
                    </a:blip>
                    <a:srcRect r="1455"/>
                    <a:stretch/>
                  </pic:blipFill>
                  <pic:spPr bwMode="auto">
                    <a:xfrm>
                      <a:off x="0" y="0"/>
                      <a:ext cx="5676900" cy="5708650"/>
                    </a:xfrm>
                    <a:prstGeom prst="rect">
                      <a:avLst/>
                    </a:prstGeom>
                    <a:ln>
                      <a:noFill/>
                    </a:ln>
                    <a:extLst>
                      <a:ext uri="{53640926-AAD7-44D8-BBD7-CCE9431645EC}">
                        <a14:shadowObscured xmlns:a14="http://schemas.microsoft.com/office/drawing/2010/main"/>
                      </a:ext>
                    </a:extLst>
                  </pic:spPr>
                </pic:pic>
              </a:graphicData>
            </a:graphic>
          </wp:inline>
        </w:drawing>
      </w:r>
    </w:p>
    <w:p w14:paraId="0F3305E1" w14:textId="77777777" w:rsidR="008F613B" w:rsidRPr="008F613B" w:rsidRDefault="008F613B" w:rsidP="008F613B">
      <w:pPr>
        <w:jc w:val="both"/>
        <w:rPr>
          <w:rFonts w:ascii="Times New Roman" w:eastAsia="Times New Roman" w:hAnsi="Times New Roman" w:cs="Times New Roman"/>
          <w:noProof/>
          <w:sz w:val="24"/>
          <w:szCs w:val="24"/>
          <w:lang w:val="en-US"/>
        </w:rPr>
      </w:pPr>
    </w:p>
    <w:p w14:paraId="33754608" w14:textId="77777777" w:rsidR="008F613B" w:rsidRPr="008F613B" w:rsidRDefault="008F613B" w:rsidP="008F613B">
      <w:pPr>
        <w:jc w:val="both"/>
        <w:rPr>
          <w:rFonts w:ascii="Times New Roman" w:eastAsia="Arial Black" w:hAnsi="Times New Roman" w:cs="Times New Roman"/>
          <w:b/>
          <w:bCs/>
          <w:noProof/>
          <w:sz w:val="24"/>
          <w:szCs w:val="24"/>
          <w:lang w:val="en-US"/>
        </w:rPr>
      </w:pPr>
    </w:p>
    <w:p w14:paraId="350C6AB6" w14:textId="77777777" w:rsidR="008F613B" w:rsidRPr="008F613B" w:rsidRDefault="008F613B" w:rsidP="008F613B">
      <w:pPr>
        <w:jc w:val="both"/>
        <w:rPr>
          <w:rFonts w:ascii="Times New Roman" w:eastAsia="Arial Black" w:hAnsi="Times New Roman" w:cs="Times New Roman"/>
          <w:b/>
          <w:bCs/>
          <w:noProof/>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28"/>
      </w:tblGrid>
      <w:tr w:rsidR="008F613B" w:rsidRPr="008F613B" w14:paraId="53E46B3C" w14:textId="77777777" w:rsidTr="00435609">
        <w:tc>
          <w:tcPr>
            <w:tcW w:w="5000" w:type="pct"/>
          </w:tcPr>
          <w:p w14:paraId="38669EBC" w14:textId="77777777" w:rsidR="008F613B" w:rsidRPr="008F613B" w:rsidRDefault="008F613B" w:rsidP="00435609">
            <w:pPr>
              <w:jc w:val="right"/>
              <w:rPr>
                <w:rFonts w:ascii="Times New Roman" w:eastAsia="Arial Black" w:hAnsi="Times New Roman" w:cs="Times New Roman"/>
                <w:b/>
                <w:bCs/>
                <w:noProof/>
                <w:sz w:val="24"/>
                <w:szCs w:val="24"/>
                <w:lang w:val="en-US"/>
              </w:rPr>
            </w:pPr>
            <w:r w:rsidRPr="008F613B">
              <w:rPr>
                <w:rFonts w:ascii="Times New Roman" w:eastAsia="Arial Black" w:hAnsi="Times New Roman" w:cs="Times New Roman"/>
                <w:b/>
                <w:bCs/>
                <w:noProof/>
                <w:sz w:val="24"/>
                <w:szCs w:val="24"/>
                <w:lang w:val="en-US"/>
              </w:rPr>
              <w:drawing>
                <wp:inline distT="0" distB="0" distL="0" distR="0" wp14:anchorId="6C96815F" wp14:editId="64EE1704">
                  <wp:extent cx="2165036" cy="666750"/>
                  <wp:effectExtent l="0" t="0" r="0" b="0"/>
                  <wp:docPr id="2" name="image2.pn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A picture containing text&#10;&#10;Description automatically generated"/>
                          <pic:cNvPicPr/>
                        </pic:nvPicPr>
                        <pic:blipFill>
                          <a:blip r:embed="rId11" cstate="print"/>
                          <a:stretch>
                            <a:fillRect/>
                          </a:stretch>
                        </pic:blipFill>
                        <pic:spPr>
                          <a:xfrm>
                            <a:off x="0" y="0"/>
                            <a:ext cx="2165036" cy="666750"/>
                          </a:xfrm>
                          <a:prstGeom prst="rect">
                            <a:avLst/>
                          </a:prstGeom>
                        </pic:spPr>
                      </pic:pic>
                    </a:graphicData>
                  </a:graphic>
                </wp:inline>
              </w:drawing>
            </w:r>
          </w:p>
        </w:tc>
      </w:tr>
      <w:tr w:rsidR="008F613B" w:rsidRPr="008F613B" w14:paraId="0B63EDEE" w14:textId="77777777" w:rsidTr="00435609">
        <w:tc>
          <w:tcPr>
            <w:tcW w:w="5000" w:type="pct"/>
          </w:tcPr>
          <w:p w14:paraId="7CF2CDEF" w14:textId="77777777" w:rsidR="008F613B" w:rsidRPr="008F613B" w:rsidRDefault="008F613B" w:rsidP="00435609">
            <w:pPr>
              <w:jc w:val="right"/>
              <w:rPr>
                <w:rFonts w:ascii="Times New Roman" w:hAnsi="Times New Roman"/>
                <w:b/>
                <w:noProof/>
                <w:sz w:val="24"/>
                <w:lang w:val="en-US"/>
              </w:rPr>
            </w:pPr>
            <w:r w:rsidRPr="008F613B">
              <w:rPr>
                <w:rFonts w:ascii="Times New Roman" w:hAnsi="Times New Roman"/>
                <w:b/>
                <w:noProof/>
                <w:sz w:val="24"/>
                <w:lang w:val="en-US"/>
              </w:rPr>
              <w:t>ESAO</w:t>
            </w:r>
          </w:p>
          <w:p w14:paraId="09D354AC" w14:textId="77777777" w:rsidR="008F613B" w:rsidRPr="008F613B" w:rsidRDefault="008F613B" w:rsidP="00435609">
            <w:pPr>
              <w:jc w:val="right"/>
              <w:rPr>
                <w:rFonts w:ascii="Times New Roman" w:hAnsi="Times New Roman"/>
                <w:b/>
                <w:noProof/>
                <w:sz w:val="20"/>
                <w:lang w:val="en-US"/>
              </w:rPr>
            </w:pPr>
            <w:r w:rsidRPr="008F613B">
              <w:rPr>
                <w:rFonts w:ascii="Times New Roman" w:hAnsi="Times New Roman"/>
                <w:b/>
                <w:noProof/>
                <w:sz w:val="20"/>
                <w:lang w:val="en-US"/>
              </w:rPr>
              <w:t>LABĀKA POLITIKA LABĀKAI DZĪVEI</w:t>
            </w:r>
          </w:p>
        </w:tc>
      </w:tr>
    </w:tbl>
    <w:p w14:paraId="13AB73B8" w14:textId="77777777" w:rsidR="008F613B" w:rsidRPr="008F613B" w:rsidRDefault="008F613B" w:rsidP="008F613B">
      <w:pPr>
        <w:rPr>
          <w:rFonts w:ascii="Times New Roman" w:eastAsia="Arial Black" w:hAnsi="Times New Roman" w:cs="Times New Roman"/>
          <w:b/>
          <w:bCs/>
          <w:noProof/>
          <w:sz w:val="24"/>
          <w:szCs w:val="24"/>
          <w:lang w:val="en-US"/>
        </w:rPr>
      </w:pPr>
    </w:p>
    <w:p w14:paraId="33830C6C" w14:textId="77777777" w:rsidR="008F613B" w:rsidRPr="008F613B" w:rsidRDefault="008F613B" w:rsidP="008F613B">
      <w:pPr>
        <w:rPr>
          <w:noProof/>
          <w:lang w:val="en-US"/>
        </w:rPr>
      </w:pPr>
      <w:r w:rsidRPr="008F613B">
        <w:rPr>
          <w:noProof/>
          <w:lang w:val="en-US"/>
        </w:rPr>
        <w:br w:type="page"/>
      </w:r>
    </w:p>
    <w:p w14:paraId="45805603" w14:textId="77777777" w:rsidR="008F613B" w:rsidRPr="008F613B" w:rsidRDefault="008F613B" w:rsidP="008F613B">
      <w:pPr>
        <w:jc w:val="both"/>
        <w:rPr>
          <w:rFonts w:ascii="Times New Roman" w:eastAsia="Arial Black" w:hAnsi="Times New Roman" w:cs="Times New Roman"/>
          <w:noProof/>
          <w:sz w:val="24"/>
          <w:szCs w:val="24"/>
          <w:lang w:val="en-US"/>
        </w:rPr>
      </w:pPr>
    </w:p>
    <w:p w14:paraId="67709591" w14:textId="77777777" w:rsidR="008F613B" w:rsidRPr="008F613B" w:rsidRDefault="008F613B" w:rsidP="008F613B">
      <w:pPr>
        <w:jc w:val="both"/>
        <w:rPr>
          <w:rFonts w:ascii="Times New Roman" w:hAnsi="Times New Roman"/>
          <w:noProof/>
          <w:sz w:val="24"/>
          <w:lang w:val="en-US"/>
        </w:rPr>
      </w:pPr>
      <w:r w:rsidRPr="008F613B">
        <w:rPr>
          <w:rFonts w:ascii="Times New Roman" w:hAnsi="Times New Roman"/>
          <w:noProof/>
          <w:sz w:val="24"/>
          <w:lang w:val="en-US"/>
        </w:rPr>
        <w:t>Par šā dokumenta publicēšanu atbildīgs ir ESAO ģenerālsekretārs. Šajā dokumentā reproducēti ESAO juridiskie instrumenti, un tajā var būt ietverti papildu materiāli. Papildu materiālos izteiktie uzskati un apgalvojumi ne vienmēr atspoguļo ESAO dalībvalstu oficiālos viedokļus.</w:t>
      </w:r>
    </w:p>
    <w:p w14:paraId="6526CBC4" w14:textId="77777777" w:rsidR="008F613B" w:rsidRPr="008F613B" w:rsidRDefault="008F613B" w:rsidP="008F613B">
      <w:pPr>
        <w:jc w:val="both"/>
        <w:rPr>
          <w:rFonts w:ascii="Times New Roman" w:eastAsia="Arial" w:hAnsi="Times New Roman" w:cs="Times New Roman"/>
          <w:noProof/>
          <w:sz w:val="24"/>
          <w:szCs w:val="24"/>
          <w:lang w:val="en-US"/>
        </w:rPr>
      </w:pPr>
    </w:p>
    <w:p w14:paraId="1C641438" w14:textId="77777777" w:rsidR="008F613B" w:rsidRPr="008F613B" w:rsidRDefault="008F613B" w:rsidP="008F613B">
      <w:pPr>
        <w:jc w:val="both"/>
        <w:rPr>
          <w:rFonts w:ascii="Times New Roman" w:hAnsi="Times New Roman"/>
          <w:noProof/>
          <w:sz w:val="24"/>
          <w:lang w:val="en-US"/>
        </w:rPr>
      </w:pPr>
      <w:r w:rsidRPr="008F613B">
        <w:rPr>
          <w:rFonts w:ascii="Times New Roman" w:hAnsi="Times New Roman"/>
          <w:noProof/>
          <w:sz w:val="24"/>
          <w:lang w:val="en-US"/>
        </w:rPr>
        <w:t>Ne šis dokuments, ne jebkādi tajā iekļautie dati un kartes nemaina nevienas teritorijas statusu vai suverenitāti pār šādu teritoriju, starptautiskās robežas un nevienas teritorijas, pilsētas vai apgabala nosaukumu.</w:t>
      </w:r>
    </w:p>
    <w:p w14:paraId="46685F0B" w14:textId="77777777" w:rsidR="008F613B" w:rsidRPr="008F613B" w:rsidRDefault="008F613B" w:rsidP="008F613B">
      <w:pPr>
        <w:jc w:val="both"/>
        <w:rPr>
          <w:rFonts w:ascii="Times New Roman" w:eastAsia="Arial" w:hAnsi="Times New Roman" w:cs="Times New Roman"/>
          <w:noProof/>
          <w:sz w:val="24"/>
          <w:szCs w:val="24"/>
          <w:lang w:val="en-US"/>
        </w:rPr>
      </w:pPr>
    </w:p>
    <w:p w14:paraId="2D12F367" w14:textId="77777777" w:rsidR="008F613B" w:rsidRPr="008F613B" w:rsidRDefault="008F613B" w:rsidP="008F613B">
      <w:pPr>
        <w:jc w:val="both"/>
        <w:rPr>
          <w:rFonts w:ascii="Times New Roman" w:eastAsia="Arial" w:hAnsi="Times New Roman" w:cs="Times New Roman"/>
          <w:noProof/>
          <w:sz w:val="24"/>
          <w:szCs w:val="24"/>
          <w:lang w:val="en-US"/>
        </w:rPr>
      </w:pPr>
    </w:p>
    <w:p w14:paraId="4B10780E" w14:textId="77777777" w:rsidR="008F613B" w:rsidRPr="008F613B" w:rsidRDefault="008F613B" w:rsidP="008F613B">
      <w:pPr>
        <w:jc w:val="both"/>
        <w:rPr>
          <w:rFonts w:ascii="Times New Roman" w:eastAsia="Arial" w:hAnsi="Times New Roman" w:cs="Times New Roman"/>
          <w:noProof/>
          <w:sz w:val="24"/>
          <w:szCs w:val="24"/>
          <w:lang w:val="en-US"/>
        </w:rPr>
      </w:pPr>
    </w:p>
    <w:p w14:paraId="51DA8F6B" w14:textId="77777777" w:rsidR="008F613B" w:rsidRPr="008F613B" w:rsidRDefault="008F613B" w:rsidP="008F613B">
      <w:pPr>
        <w:jc w:val="both"/>
        <w:rPr>
          <w:rFonts w:ascii="Times New Roman" w:eastAsia="Arial" w:hAnsi="Times New Roman" w:cs="Times New Roman"/>
          <w:noProof/>
          <w:sz w:val="24"/>
          <w:szCs w:val="24"/>
          <w:lang w:val="en-US"/>
        </w:rPr>
      </w:pPr>
    </w:p>
    <w:p w14:paraId="48BCF002" w14:textId="77777777" w:rsidR="008F613B" w:rsidRPr="008F613B" w:rsidRDefault="008F613B" w:rsidP="008F613B">
      <w:pPr>
        <w:jc w:val="both"/>
        <w:rPr>
          <w:rFonts w:ascii="Times New Roman" w:eastAsia="Arial" w:hAnsi="Times New Roman" w:cs="Times New Roman"/>
          <w:noProof/>
          <w:sz w:val="24"/>
          <w:szCs w:val="24"/>
          <w:lang w:val="en-US"/>
        </w:rPr>
      </w:pPr>
    </w:p>
    <w:p w14:paraId="13506B66" w14:textId="77777777" w:rsidR="008F613B" w:rsidRPr="008F613B" w:rsidRDefault="008F613B" w:rsidP="008F613B">
      <w:pPr>
        <w:jc w:val="both"/>
        <w:rPr>
          <w:rFonts w:ascii="Times New Roman" w:eastAsia="Arial" w:hAnsi="Times New Roman" w:cs="Times New Roman"/>
          <w:noProof/>
          <w:sz w:val="24"/>
          <w:szCs w:val="24"/>
          <w:lang w:val="en-US"/>
        </w:rPr>
      </w:pPr>
    </w:p>
    <w:p w14:paraId="0F34E666" w14:textId="77777777" w:rsidR="008F613B" w:rsidRPr="008F613B" w:rsidRDefault="008F613B" w:rsidP="008F613B">
      <w:pPr>
        <w:jc w:val="both"/>
        <w:rPr>
          <w:rFonts w:ascii="Times New Roman" w:eastAsia="Arial" w:hAnsi="Times New Roman" w:cs="Times New Roman"/>
          <w:noProof/>
          <w:sz w:val="24"/>
          <w:szCs w:val="24"/>
          <w:lang w:val="en-US"/>
        </w:rPr>
      </w:pPr>
    </w:p>
    <w:p w14:paraId="7B778F53" w14:textId="77777777" w:rsidR="008F613B" w:rsidRPr="008F613B" w:rsidRDefault="008F613B" w:rsidP="008F613B">
      <w:pPr>
        <w:jc w:val="both"/>
        <w:rPr>
          <w:rFonts w:ascii="Times New Roman" w:eastAsia="Arial" w:hAnsi="Times New Roman" w:cs="Times New Roman"/>
          <w:noProof/>
          <w:sz w:val="24"/>
          <w:szCs w:val="24"/>
          <w:lang w:val="en-US"/>
        </w:rPr>
      </w:pPr>
    </w:p>
    <w:p w14:paraId="34C24CCD" w14:textId="77777777" w:rsidR="008F613B" w:rsidRPr="008F613B" w:rsidRDefault="008F613B" w:rsidP="008F613B">
      <w:pPr>
        <w:jc w:val="both"/>
        <w:rPr>
          <w:rFonts w:ascii="Times New Roman" w:eastAsia="Arial" w:hAnsi="Times New Roman" w:cs="Times New Roman"/>
          <w:noProof/>
          <w:sz w:val="24"/>
          <w:szCs w:val="24"/>
          <w:lang w:val="en-US"/>
        </w:rPr>
      </w:pPr>
    </w:p>
    <w:p w14:paraId="1D0932CF" w14:textId="77777777" w:rsidR="008F613B" w:rsidRPr="008F613B" w:rsidRDefault="008F613B" w:rsidP="008F613B">
      <w:pPr>
        <w:jc w:val="both"/>
        <w:rPr>
          <w:rFonts w:ascii="Times New Roman" w:eastAsia="Arial" w:hAnsi="Times New Roman" w:cs="Times New Roman"/>
          <w:noProof/>
          <w:sz w:val="24"/>
          <w:szCs w:val="24"/>
          <w:lang w:val="en-US"/>
        </w:rPr>
      </w:pPr>
    </w:p>
    <w:p w14:paraId="04EEFCFB" w14:textId="77777777" w:rsidR="008F613B" w:rsidRPr="008F613B" w:rsidRDefault="008F613B" w:rsidP="008F613B">
      <w:pPr>
        <w:jc w:val="both"/>
        <w:rPr>
          <w:rFonts w:ascii="Times New Roman" w:eastAsia="Arial" w:hAnsi="Times New Roman" w:cs="Times New Roman"/>
          <w:noProof/>
          <w:sz w:val="24"/>
          <w:szCs w:val="24"/>
          <w:lang w:val="en-US"/>
        </w:rPr>
      </w:pPr>
    </w:p>
    <w:p w14:paraId="5F6BCB20" w14:textId="77777777" w:rsidR="008F613B" w:rsidRPr="008F613B" w:rsidRDefault="008F613B" w:rsidP="008F613B">
      <w:pPr>
        <w:jc w:val="both"/>
        <w:rPr>
          <w:rFonts w:ascii="Times New Roman" w:eastAsia="Arial" w:hAnsi="Times New Roman" w:cs="Times New Roman"/>
          <w:noProof/>
          <w:sz w:val="24"/>
          <w:szCs w:val="24"/>
          <w:lang w:val="en-US"/>
        </w:rPr>
      </w:pPr>
    </w:p>
    <w:p w14:paraId="455C6F54" w14:textId="77777777" w:rsidR="008F613B" w:rsidRPr="008F613B" w:rsidRDefault="008F613B" w:rsidP="008F613B">
      <w:pPr>
        <w:jc w:val="both"/>
        <w:rPr>
          <w:rFonts w:ascii="Times New Roman" w:eastAsia="Arial" w:hAnsi="Times New Roman" w:cs="Times New Roman"/>
          <w:noProof/>
          <w:sz w:val="24"/>
          <w:szCs w:val="24"/>
          <w:lang w:val="en-US"/>
        </w:rPr>
      </w:pPr>
    </w:p>
    <w:p w14:paraId="0627C827" w14:textId="77777777" w:rsidR="008F613B" w:rsidRPr="008F613B" w:rsidRDefault="008F613B" w:rsidP="008F613B">
      <w:pPr>
        <w:jc w:val="both"/>
        <w:rPr>
          <w:rFonts w:ascii="Times New Roman" w:eastAsia="Arial" w:hAnsi="Times New Roman" w:cs="Times New Roman"/>
          <w:noProof/>
          <w:sz w:val="24"/>
          <w:szCs w:val="24"/>
          <w:lang w:val="en-US"/>
        </w:rPr>
      </w:pPr>
    </w:p>
    <w:p w14:paraId="3F364374" w14:textId="77777777" w:rsidR="008F613B" w:rsidRPr="008F613B" w:rsidRDefault="008F613B" w:rsidP="008F613B">
      <w:pPr>
        <w:jc w:val="both"/>
        <w:rPr>
          <w:rFonts w:ascii="Times New Roman" w:eastAsia="Arial" w:hAnsi="Times New Roman" w:cs="Times New Roman"/>
          <w:noProof/>
          <w:sz w:val="24"/>
          <w:szCs w:val="24"/>
          <w:lang w:val="en-US"/>
        </w:rPr>
      </w:pPr>
    </w:p>
    <w:p w14:paraId="1FC69754" w14:textId="77777777" w:rsidR="008F613B" w:rsidRPr="008F613B" w:rsidRDefault="008F613B" w:rsidP="008F613B">
      <w:pPr>
        <w:jc w:val="both"/>
        <w:rPr>
          <w:rFonts w:ascii="Times New Roman" w:eastAsia="Arial" w:hAnsi="Times New Roman" w:cs="Times New Roman"/>
          <w:noProof/>
          <w:sz w:val="24"/>
          <w:szCs w:val="24"/>
          <w:lang w:val="en-US"/>
        </w:rPr>
      </w:pPr>
    </w:p>
    <w:p w14:paraId="20A8315B" w14:textId="77777777" w:rsidR="008F613B" w:rsidRPr="008F613B" w:rsidRDefault="008F613B" w:rsidP="008F613B">
      <w:pPr>
        <w:jc w:val="both"/>
        <w:rPr>
          <w:rFonts w:ascii="Times New Roman" w:eastAsia="Arial" w:hAnsi="Times New Roman" w:cs="Times New Roman"/>
          <w:noProof/>
          <w:sz w:val="24"/>
          <w:szCs w:val="24"/>
          <w:lang w:val="en-US"/>
        </w:rPr>
      </w:pPr>
    </w:p>
    <w:p w14:paraId="6F7A409B" w14:textId="77777777" w:rsidR="008F613B" w:rsidRPr="008F613B" w:rsidRDefault="008F613B" w:rsidP="008F613B">
      <w:pPr>
        <w:jc w:val="both"/>
        <w:rPr>
          <w:rFonts w:ascii="Times New Roman" w:hAnsi="Times New Roman"/>
          <w:noProof/>
          <w:sz w:val="24"/>
          <w:lang w:val="en-US"/>
        </w:rPr>
      </w:pPr>
      <w:r w:rsidRPr="008F613B">
        <w:rPr>
          <w:rFonts w:ascii="Times New Roman" w:hAnsi="Times New Roman"/>
          <w:noProof/>
          <w:sz w:val="24"/>
          <w:lang w:val="en-US"/>
        </w:rPr>
        <w:t>Lai piekļūtu ESAO juridisko instrumentu oficiālajiem un jaunākajiem tekstiem, kā arī citai saistītajai informācijai, lūdzam skatīt ESAO juridisko instrumentu krājumu, kas atrodams http://legalinstruments.oecd.org.</w:t>
      </w:r>
    </w:p>
    <w:p w14:paraId="400D5E43" w14:textId="77777777" w:rsidR="008F613B" w:rsidRPr="008F613B" w:rsidRDefault="008F613B" w:rsidP="008F613B">
      <w:pPr>
        <w:jc w:val="both"/>
        <w:rPr>
          <w:rFonts w:ascii="Times New Roman" w:eastAsia="Arial" w:hAnsi="Times New Roman" w:cs="Times New Roman"/>
          <w:noProof/>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8F613B" w:rsidRPr="008F613B" w14:paraId="3D4AAF7F" w14:textId="77777777" w:rsidTr="00435609">
        <w:tc>
          <w:tcPr>
            <w:tcW w:w="5000" w:type="pct"/>
          </w:tcPr>
          <w:p w14:paraId="5BE6162A" w14:textId="77777777" w:rsidR="008F613B" w:rsidRPr="008F613B" w:rsidRDefault="008F613B" w:rsidP="00435609">
            <w:pPr>
              <w:spacing w:before="1"/>
              <w:rPr>
                <w:rFonts w:ascii="Times New Roman" w:hAnsi="Times New Roman"/>
                <w:b/>
                <w:noProof/>
                <w:lang w:val="en-US"/>
              </w:rPr>
            </w:pPr>
            <w:r w:rsidRPr="008F613B">
              <w:rPr>
                <w:rFonts w:ascii="Times New Roman" w:hAnsi="Times New Roman"/>
                <w:b/>
                <w:noProof/>
                <w:lang w:val="en-US"/>
              </w:rPr>
              <w:t>Citējot šo dokumentu, lūdzam izmantot šādu atsauci:</w:t>
            </w:r>
          </w:p>
          <w:p w14:paraId="24ED43B1" w14:textId="77777777" w:rsidR="008F613B" w:rsidRPr="008F613B" w:rsidRDefault="008F613B" w:rsidP="00435609">
            <w:pPr>
              <w:spacing w:before="8"/>
              <w:rPr>
                <w:rFonts w:ascii="Times New Roman" w:eastAsia="Arial" w:hAnsi="Times New Roman" w:cs="Times New Roman"/>
                <w:noProof/>
                <w:sz w:val="18"/>
                <w:szCs w:val="18"/>
                <w:lang w:val="en-US"/>
              </w:rPr>
            </w:pPr>
            <w:r w:rsidRPr="008F613B">
              <w:rPr>
                <w:rFonts w:ascii="Times New Roman" w:hAnsi="Times New Roman"/>
                <w:noProof/>
                <w:lang w:val="en-US"/>
              </w:rPr>
              <w:t xml:space="preserve">“OECD, </w:t>
            </w:r>
            <w:r w:rsidRPr="008F613B">
              <w:rPr>
                <w:rFonts w:ascii="Times New Roman" w:hAnsi="Times New Roman"/>
                <w:i/>
                <w:noProof/>
                <w:lang w:val="en-US"/>
              </w:rPr>
              <w:t>Recommendation of the Council on Competition Assessment</w:t>
            </w:r>
            <w:r w:rsidRPr="008F613B">
              <w:rPr>
                <w:rFonts w:ascii="Times New Roman" w:hAnsi="Times New Roman"/>
                <w:noProof/>
                <w:lang w:val="en-US"/>
              </w:rPr>
              <w:t xml:space="preserve">, OECD/LEGAL/0455” [ESAO </w:t>
            </w:r>
            <w:r w:rsidRPr="008F613B">
              <w:rPr>
                <w:rFonts w:ascii="Times New Roman" w:hAnsi="Times New Roman"/>
                <w:i/>
                <w:noProof/>
                <w:lang w:val="en-US"/>
              </w:rPr>
              <w:t>Padomes Rekomendācija par konkurences novērtēšanu</w:t>
            </w:r>
            <w:r w:rsidRPr="008F613B">
              <w:rPr>
                <w:rFonts w:ascii="Times New Roman" w:hAnsi="Times New Roman"/>
                <w:noProof/>
                <w:lang w:val="en-US"/>
              </w:rPr>
              <w:t xml:space="preserve">, </w:t>
            </w:r>
            <w:r w:rsidRPr="008F613B">
              <w:rPr>
                <w:rFonts w:ascii="Times New Roman" w:hAnsi="Times New Roman"/>
                <w:i/>
                <w:noProof/>
                <w:lang w:val="en-US"/>
              </w:rPr>
              <w:t>OECD/LEGAL/0455</w:t>
            </w:r>
            <w:r w:rsidRPr="008F613B">
              <w:rPr>
                <w:rFonts w:ascii="Times New Roman" w:hAnsi="Times New Roman"/>
                <w:noProof/>
                <w:lang w:val="en-US"/>
              </w:rPr>
              <w:t>].</w:t>
            </w:r>
          </w:p>
        </w:tc>
      </w:tr>
    </w:tbl>
    <w:p w14:paraId="753B7EF0" w14:textId="77777777" w:rsidR="008F613B" w:rsidRPr="008F613B" w:rsidRDefault="008F613B" w:rsidP="008F613B">
      <w:pPr>
        <w:jc w:val="both"/>
        <w:rPr>
          <w:rFonts w:ascii="Times New Roman" w:eastAsia="Arial" w:hAnsi="Times New Roman" w:cs="Times New Roman"/>
          <w:noProof/>
          <w:sz w:val="24"/>
          <w:szCs w:val="24"/>
          <w:lang w:val="en-US"/>
        </w:rPr>
      </w:pPr>
    </w:p>
    <w:p w14:paraId="0681BB4C" w14:textId="77777777" w:rsidR="008F613B" w:rsidRPr="008F613B" w:rsidRDefault="008F613B" w:rsidP="008F613B">
      <w:pPr>
        <w:jc w:val="both"/>
        <w:rPr>
          <w:rFonts w:ascii="Times New Roman" w:hAnsi="Times New Roman"/>
          <w:noProof/>
          <w:sz w:val="24"/>
          <w:lang w:val="en-US"/>
        </w:rPr>
      </w:pPr>
      <w:r w:rsidRPr="008F613B">
        <w:rPr>
          <w:rFonts w:ascii="Times New Roman" w:hAnsi="Times New Roman"/>
          <w:noProof/>
          <w:sz w:val="24"/>
          <w:lang w:val="en-US"/>
        </w:rPr>
        <w:t>Sērija: ESAO juridiskie instrumenti</w:t>
      </w:r>
    </w:p>
    <w:p w14:paraId="39FAFAB2" w14:textId="77777777" w:rsidR="008F613B" w:rsidRPr="008F613B" w:rsidRDefault="008F613B" w:rsidP="008F613B">
      <w:pPr>
        <w:jc w:val="both"/>
        <w:rPr>
          <w:rFonts w:ascii="Times New Roman" w:eastAsia="Arial" w:hAnsi="Times New Roman" w:cs="Times New Roman"/>
          <w:noProof/>
          <w:sz w:val="24"/>
          <w:szCs w:val="24"/>
          <w:lang w:val="en-US"/>
        </w:rPr>
      </w:pPr>
    </w:p>
    <w:p w14:paraId="6C705F52" w14:textId="77777777" w:rsidR="008F613B" w:rsidRPr="008F613B" w:rsidRDefault="008F613B" w:rsidP="008F613B">
      <w:pPr>
        <w:jc w:val="both"/>
        <w:rPr>
          <w:rFonts w:ascii="Times New Roman" w:eastAsia="Arial" w:hAnsi="Times New Roman" w:cs="Times New Roman"/>
          <w:noProof/>
          <w:sz w:val="24"/>
          <w:szCs w:val="24"/>
          <w:lang w:val="en-US"/>
        </w:rPr>
      </w:pPr>
    </w:p>
    <w:p w14:paraId="2E05B2C5" w14:textId="77777777" w:rsidR="008F613B" w:rsidRPr="008F613B" w:rsidRDefault="008F613B" w:rsidP="008F613B">
      <w:pPr>
        <w:jc w:val="both"/>
        <w:rPr>
          <w:rFonts w:ascii="Times New Roman" w:eastAsia="Arial" w:hAnsi="Times New Roman" w:cs="Times New Roman"/>
          <w:noProof/>
          <w:sz w:val="24"/>
          <w:szCs w:val="24"/>
          <w:lang w:val="en-US"/>
        </w:rPr>
      </w:pPr>
      <w:r w:rsidRPr="008F613B">
        <w:rPr>
          <w:rFonts w:ascii="Times New Roman" w:hAnsi="Times New Roman"/>
          <w:b/>
          <w:noProof/>
          <w:sz w:val="24"/>
          <w:lang w:val="en-US"/>
        </w:rPr>
        <w:t xml:space="preserve">Izmantotās fotogrāfijas: </w:t>
      </w:r>
      <w:r w:rsidRPr="008F613B">
        <w:rPr>
          <w:rFonts w:ascii="Times New Roman" w:hAnsi="Times New Roman"/>
          <w:noProof/>
          <w:sz w:val="24"/>
          <w:lang w:val="en-US"/>
        </w:rPr>
        <w:t>© ESAO</w:t>
      </w:r>
    </w:p>
    <w:p w14:paraId="2BA7EB49" w14:textId="77777777" w:rsidR="008F613B" w:rsidRPr="008F613B" w:rsidRDefault="008F613B" w:rsidP="008F613B">
      <w:pPr>
        <w:jc w:val="both"/>
        <w:rPr>
          <w:rFonts w:ascii="Times New Roman" w:eastAsia="Arial" w:hAnsi="Times New Roman" w:cs="Times New Roman"/>
          <w:noProof/>
          <w:sz w:val="24"/>
          <w:szCs w:val="24"/>
          <w:lang w:val="en-US"/>
        </w:rPr>
      </w:pPr>
    </w:p>
    <w:p w14:paraId="63FA2071" w14:textId="77777777" w:rsidR="008F613B" w:rsidRPr="008F613B" w:rsidRDefault="008F613B" w:rsidP="008F613B">
      <w:pPr>
        <w:jc w:val="both"/>
        <w:rPr>
          <w:rFonts w:ascii="Times New Roman" w:hAnsi="Times New Roman"/>
          <w:noProof/>
          <w:sz w:val="24"/>
          <w:lang w:val="en-US"/>
        </w:rPr>
      </w:pPr>
      <w:r w:rsidRPr="008F613B">
        <w:rPr>
          <w:rFonts w:ascii="Times New Roman" w:hAnsi="Times New Roman"/>
          <w:noProof/>
          <w:sz w:val="24"/>
          <w:lang w:val="en-US"/>
        </w:rPr>
        <w:t>© ESAO 2021. gads</w:t>
      </w:r>
    </w:p>
    <w:p w14:paraId="0DBB6F7D" w14:textId="77777777" w:rsidR="008F613B" w:rsidRPr="008F613B" w:rsidRDefault="008F613B" w:rsidP="008F613B">
      <w:pPr>
        <w:jc w:val="both"/>
        <w:rPr>
          <w:rFonts w:ascii="Times New Roman" w:eastAsia="Arial" w:hAnsi="Times New Roman" w:cs="Times New Roman"/>
          <w:noProof/>
          <w:sz w:val="24"/>
          <w:szCs w:val="24"/>
          <w:lang w:val="en-US"/>
        </w:rPr>
      </w:pPr>
    </w:p>
    <w:tbl>
      <w:tblPr>
        <w:tblStyle w:val="TableGrid"/>
        <w:tblW w:w="0" w:type="auto"/>
        <w:tblBorders>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28"/>
      </w:tblGrid>
      <w:tr w:rsidR="008F613B" w:rsidRPr="008F613B" w14:paraId="7352B54F" w14:textId="77777777" w:rsidTr="00435609">
        <w:tc>
          <w:tcPr>
            <w:tcW w:w="9288" w:type="dxa"/>
          </w:tcPr>
          <w:p w14:paraId="6AB0B91E" w14:textId="77777777" w:rsidR="008F613B" w:rsidRPr="008F613B" w:rsidRDefault="008F613B" w:rsidP="00435609">
            <w:pPr>
              <w:jc w:val="both"/>
              <w:rPr>
                <w:rFonts w:ascii="Times New Roman" w:hAnsi="Times New Roman"/>
                <w:noProof/>
                <w:lang w:val="en-US"/>
              </w:rPr>
            </w:pPr>
            <w:r w:rsidRPr="008F613B">
              <w:rPr>
                <w:rFonts w:ascii="Times New Roman" w:hAnsi="Times New Roman"/>
                <w:noProof/>
                <w:lang w:val="en-US"/>
              </w:rPr>
              <w:t>Šis dokuments tiek nodrošināts bez maksas. To drīkst reproducēt un izplatīt bez maksas, nepieprasot nekādas turpmākas atļaujas, kamēr vien tas nekādā veidā netiek pārveidots. To nedrīkst pārdot.</w:t>
            </w:r>
          </w:p>
          <w:p w14:paraId="18BAA245" w14:textId="77777777" w:rsidR="008F613B" w:rsidRPr="008F613B" w:rsidRDefault="008F613B" w:rsidP="00435609">
            <w:pPr>
              <w:jc w:val="both"/>
              <w:rPr>
                <w:rFonts w:ascii="Times New Roman" w:eastAsia="Arial" w:hAnsi="Times New Roman" w:cs="Times New Roman"/>
                <w:noProof/>
                <w:lang w:val="en-US"/>
              </w:rPr>
            </w:pPr>
          </w:p>
          <w:p w14:paraId="4AEFF9E5" w14:textId="77777777" w:rsidR="008F613B" w:rsidRPr="008F613B" w:rsidRDefault="008F613B" w:rsidP="00435609">
            <w:pPr>
              <w:jc w:val="both"/>
              <w:rPr>
                <w:rFonts w:ascii="Times New Roman" w:hAnsi="Times New Roman"/>
                <w:i/>
                <w:noProof/>
                <w:lang w:val="en-US"/>
              </w:rPr>
            </w:pPr>
            <w:r w:rsidRPr="008F613B">
              <w:rPr>
                <w:rFonts w:ascii="Times New Roman" w:hAnsi="Times New Roman"/>
                <w:noProof/>
                <w:lang w:val="en-US"/>
              </w:rPr>
              <w:t xml:space="preserve">Šis dokuments ir pieejams abās ESAO oficiālajās valodās (angļu un franču valodā). To drīkst tulkot citās valodās, ja tulkojums tiek apzīmēts ar uzrakstu “neoficiāls tulkojums” un ietver šādu atrunu: </w:t>
            </w:r>
            <w:r w:rsidRPr="008F613B">
              <w:rPr>
                <w:rFonts w:ascii="Times New Roman" w:hAnsi="Times New Roman"/>
                <w:i/>
                <w:noProof/>
                <w:lang w:val="en-US"/>
              </w:rPr>
              <w:t>“Šo tulkojumu ir sagatavojis [TULKOJUMA AUTORA VĀRDS, UZVĀRDS], un tas ir paredzēts tikai informatīviem mērķiem, un ESAO nevar garantēt tā pareizību. Vienīgās oficiālās versijas ir teksti angļu un franču valodā, kas pieejami ESAO tīmekļa vietnē http://legalinstruments.oecd.org.”</w:t>
            </w:r>
          </w:p>
        </w:tc>
      </w:tr>
    </w:tbl>
    <w:p w14:paraId="47027FD9" w14:textId="77777777" w:rsidR="008F613B" w:rsidRPr="008F613B" w:rsidRDefault="008F613B" w:rsidP="008F613B">
      <w:pPr>
        <w:rPr>
          <w:noProof/>
          <w:lang w:val="en-US"/>
        </w:rPr>
      </w:pPr>
      <w:r w:rsidRPr="008F613B">
        <w:rPr>
          <w:noProof/>
          <w:lang w:val="en-US"/>
        </w:rPr>
        <w:br w:type="page"/>
      </w:r>
    </w:p>
    <w:p w14:paraId="45EF9441" w14:textId="77777777" w:rsidR="008F613B" w:rsidRPr="008F613B" w:rsidRDefault="008F613B" w:rsidP="008F613B">
      <w:pPr>
        <w:jc w:val="both"/>
        <w:rPr>
          <w:rFonts w:ascii="Times New Roman" w:eastAsia="Arial" w:hAnsi="Times New Roman" w:cs="Times New Roman"/>
          <w:iCs/>
          <w:noProof/>
          <w:sz w:val="24"/>
          <w:szCs w:val="24"/>
          <w:lang w:val="en-US"/>
        </w:rPr>
      </w:pPr>
    </w:p>
    <w:p w14:paraId="13175516" w14:textId="77777777" w:rsidR="008F613B" w:rsidRPr="008F613B" w:rsidRDefault="008F613B" w:rsidP="008F613B">
      <w:pPr>
        <w:pStyle w:val="Heading1"/>
        <w:spacing w:before="0"/>
        <w:ind w:left="0"/>
        <w:jc w:val="both"/>
        <w:rPr>
          <w:rFonts w:ascii="Times New Roman" w:hAnsi="Times New Roman"/>
          <w:noProof/>
          <w:color w:val="1E487C"/>
          <w:sz w:val="28"/>
          <w:lang w:val="en-US"/>
        </w:rPr>
      </w:pPr>
      <w:r w:rsidRPr="008F613B">
        <w:rPr>
          <w:rFonts w:ascii="Times New Roman" w:hAnsi="Times New Roman"/>
          <w:noProof/>
          <w:color w:val="1E487C"/>
          <w:sz w:val="28"/>
          <w:lang w:val="en-US"/>
        </w:rPr>
        <w:t>Vispārīga informācija</w:t>
      </w:r>
    </w:p>
    <w:p w14:paraId="0127EDCF" w14:textId="77777777" w:rsidR="008F613B" w:rsidRPr="008F613B" w:rsidRDefault="008F613B" w:rsidP="008F613B">
      <w:pPr>
        <w:jc w:val="both"/>
        <w:rPr>
          <w:rFonts w:ascii="Times New Roman" w:eastAsia="Arial" w:hAnsi="Times New Roman" w:cs="Times New Roman"/>
          <w:b/>
          <w:bCs/>
          <w:noProof/>
          <w:sz w:val="24"/>
          <w:szCs w:val="24"/>
          <w:lang w:val="en-US"/>
        </w:rPr>
      </w:pPr>
    </w:p>
    <w:p w14:paraId="73DAD63E" w14:textId="77777777" w:rsidR="008F613B" w:rsidRPr="008F613B" w:rsidRDefault="008F613B" w:rsidP="008F613B">
      <w:pPr>
        <w:pStyle w:val="BodyText"/>
        <w:ind w:left="0"/>
        <w:jc w:val="both"/>
        <w:rPr>
          <w:rFonts w:ascii="Times New Roman" w:hAnsi="Times New Roman"/>
          <w:noProof/>
          <w:sz w:val="24"/>
          <w:lang w:val="en-US"/>
        </w:rPr>
      </w:pPr>
      <w:r w:rsidRPr="008F613B">
        <w:rPr>
          <w:rFonts w:ascii="Times New Roman" w:hAnsi="Times New Roman"/>
          <w:noProof/>
          <w:sz w:val="24"/>
          <w:lang w:val="en-US"/>
        </w:rPr>
        <w:t>Rekomendāciju par konkurences novērtēšanu (turpmāk – “Rekomendācija”) 2019. gada 11. decembrī ESAO Padome pieņēma pēc Konkurences komitejas priekšlikuma. Ar to tiek pārskatīta, konsolidēta un aizstāta 1979. gada Rekomendācija par konkurences politiku un atbrīvotajiem vai regulētajiem sektoriem [</w:t>
      </w:r>
      <w:r w:rsidRPr="008F613B">
        <w:rPr>
          <w:rFonts w:ascii="Times New Roman" w:hAnsi="Times New Roman"/>
          <w:i/>
          <w:noProof/>
          <w:sz w:val="24"/>
          <w:lang w:val="en-US"/>
        </w:rPr>
        <w:t>OECD/LEGAL/0181</w:t>
      </w:r>
      <w:r w:rsidRPr="008F613B">
        <w:rPr>
          <w:rFonts w:ascii="Times New Roman" w:hAnsi="Times New Roman"/>
          <w:noProof/>
          <w:sz w:val="24"/>
          <w:lang w:val="en-US"/>
        </w:rPr>
        <w:t>] un 2009. gada Rekomendācija par konkurences novērtēšanu [</w:t>
      </w:r>
      <w:r w:rsidRPr="008F613B">
        <w:rPr>
          <w:rFonts w:ascii="Times New Roman" w:hAnsi="Times New Roman"/>
          <w:i/>
          <w:noProof/>
          <w:sz w:val="24"/>
          <w:lang w:val="en-US"/>
        </w:rPr>
        <w:t>OECD/LEGAL/0376</w:t>
      </w:r>
      <w:r w:rsidRPr="008F613B">
        <w:rPr>
          <w:rFonts w:ascii="Times New Roman" w:hAnsi="Times New Roman"/>
          <w:noProof/>
          <w:sz w:val="24"/>
          <w:lang w:val="en-US"/>
        </w:rPr>
        <w:t>]. Šajā rekomendācijā īstenotāji tiek aicināti identificēt esošos vai ierosinātos valsts politikas pasākumus, kas pārmērīgi ierobežo konkurenci, un tos pārskatīt, pieņemot alternatīvas, kas vairāk veicina konkurenci. Tajā arī ir ieteikts īstenotājiem izveidot institucionālos mehānismus, lai varētu veikt šādu pārskatīšanu.</w:t>
      </w:r>
    </w:p>
    <w:p w14:paraId="2D5A03A2" w14:textId="77777777" w:rsidR="008F613B" w:rsidRPr="008F613B" w:rsidRDefault="008F613B" w:rsidP="008F613B">
      <w:pPr>
        <w:jc w:val="both"/>
        <w:rPr>
          <w:rFonts w:ascii="Times New Roman" w:hAnsi="Times New Roman"/>
          <w:noProof/>
          <w:sz w:val="24"/>
          <w:lang w:val="en-US"/>
        </w:rPr>
      </w:pPr>
    </w:p>
    <w:p w14:paraId="714A2DA6" w14:textId="77777777" w:rsidR="008F613B" w:rsidRPr="008F613B" w:rsidRDefault="008F613B" w:rsidP="008F613B">
      <w:pPr>
        <w:pStyle w:val="Heading3"/>
        <w:ind w:left="0" w:firstLine="0"/>
        <w:jc w:val="both"/>
        <w:rPr>
          <w:rFonts w:ascii="Times New Roman" w:hAnsi="Times New Roman"/>
          <w:noProof/>
          <w:sz w:val="24"/>
          <w:lang w:val="en-US"/>
        </w:rPr>
      </w:pPr>
      <w:r w:rsidRPr="008F613B">
        <w:rPr>
          <w:rFonts w:ascii="Times New Roman" w:hAnsi="Times New Roman"/>
          <w:noProof/>
          <w:sz w:val="24"/>
          <w:lang w:val="en-US"/>
        </w:rPr>
        <w:t>ESAO konkurences novērtēšanas standarti – 1979. un 2009. gada rekomendācijas</w:t>
      </w:r>
    </w:p>
    <w:p w14:paraId="45C6244D" w14:textId="77777777" w:rsidR="008F613B" w:rsidRPr="008F613B" w:rsidRDefault="008F613B" w:rsidP="008F613B">
      <w:pPr>
        <w:jc w:val="both"/>
        <w:rPr>
          <w:rFonts w:ascii="Times New Roman" w:eastAsia="Arial" w:hAnsi="Times New Roman" w:cs="Times New Roman"/>
          <w:b/>
          <w:bCs/>
          <w:i/>
          <w:noProof/>
          <w:sz w:val="24"/>
          <w:szCs w:val="24"/>
          <w:lang w:val="en-US"/>
        </w:rPr>
      </w:pPr>
    </w:p>
    <w:p w14:paraId="5D6B867F" w14:textId="77777777" w:rsidR="008F613B" w:rsidRPr="008F613B" w:rsidRDefault="008F613B" w:rsidP="008F613B">
      <w:pPr>
        <w:pStyle w:val="BodyText"/>
        <w:ind w:left="0"/>
        <w:jc w:val="both"/>
        <w:rPr>
          <w:rFonts w:ascii="Times New Roman" w:hAnsi="Times New Roman"/>
          <w:noProof/>
          <w:sz w:val="24"/>
          <w:lang w:val="en-US"/>
        </w:rPr>
      </w:pPr>
      <w:r w:rsidRPr="008F613B">
        <w:rPr>
          <w:rFonts w:ascii="Times New Roman" w:hAnsi="Times New Roman"/>
          <w:noProof/>
          <w:sz w:val="24"/>
          <w:lang w:val="en-US"/>
        </w:rPr>
        <w:t>Lielāka konkurence veicina augstāku ekonomikas produktivitāti un izaugsmi, kā arī mazina nevienlīdzību. Tomēr daudzās jurisdikcijās likumi, noteikumi vai citi valdību noteikti ierobežojumi pārmērīgi kavē tirgus darbības. Viens svarīgs solis šo šķēršļu novēršanai ir “konkurences novērtēšana”, proti, politikas novērtēšana, lai noskaidrotu tos šķēršļus, kas nevajadzīgi ierobežo konkurenci, nolūkā izstrādāt alternatīvu politiku, kas nodrošina to pašu uzdevumu izpildi, radot mazāku kaitējumu konkurencei. 1979. gadā ESAO Padome pieņēma Rekomendāciju par konkurences politiku un atbrīvotajiem vai regulētajiem sektoriem, kurā īstenotāji tika mudināti periodiski izvērtēt konkrētās vajadzības pieņemt atsevišķus noteikumus un noteikt saistītos atbrīvojumus no konkurences tiesībām, un, kad iespējams, vairāk paļauties uz konkurenci un likumu, kas attiecas uz ierobežojošu uzņēmējdarbības praksi, piemērošanu.</w:t>
      </w:r>
    </w:p>
    <w:p w14:paraId="01139EE4" w14:textId="77777777" w:rsidR="008F613B" w:rsidRPr="008F613B" w:rsidRDefault="008F613B" w:rsidP="008F613B">
      <w:pPr>
        <w:jc w:val="both"/>
        <w:rPr>
          <w:rFonts w:ascii="Times New Roman" w:eastAsia="Arial" w:hAnsi="Times New Roman" w:cs="Times New Roman"/>
          <w:noProof/>
          <w:sz w:val="24"/>
          <w:szCs w:val="24"/>
          <w:lang w:val="en-US"/>
        </w:rPr>
      </w:pPr>
    </w:p>
    <w:p w14:paraId="68C341C1" w14:textId="77777777" w:rsidR="008F613B" w:rsidRPr="008F613B" w:rsidRDefault="008F613B" w:rsidP="008F613B">
      <w:pPr>
        <w:pStyle w:val="BodyText"/>
        <w:ind w:left="0"/>
        <w:jc w:val="both"/>
        <w:rPr>
          <w:rFonts w:ascii="Times New Roman" w:hAnsi="Times New Roman"/>
          <w:noProof/>
          <w:sz w:val="24"/>
          <w:lang w:val="en-US"/>
        </w:rPr>
      </w:pPr>
      <w:r w:rsidRPr="008F613B">
        <w:rPr>
          <w:rFonts w:ascii="Times New Roman" w:hAnsi="Times New Roman"/>
          <w:noProof/>
          <w:sz w:val="24"/>
          <w:lang w:val="en-US"/>
        </w:rPr>
        <w:t>Trīsdesmit gadus vēlāk 2009. gada Rekomendācijā par konkurences novērtēšanu šī politika tika papildināta, un tajā īstenotāji tika aicināti izveidot institucionālos mehānismus, lai varētu veikt šādu pārskatīšanu. Nolūkā atbalstīt tās īstenošanu Konkurences komiteja izstrādāja ESAO Konkurences novērtēšanas metodisko līdzekli, kas palīdz īstenotājiem novērst konkurenci ierobežojošos šķēršļus, izmantojot metodi nevajadzīgu tirgus darbības ierobežojumu noskaidrošanai, un izstrādāt alternatīvus, mazāk ierobežojošus pasākumus, ar kuriem joprojām ir iespējams sasniegt valsts politikas mērķus. 2014. gadā ESAO sagatavoja pārskatu par to, kā īstenotāji īsteno 2009. gada Rekomendāciju; šajā pārskatā tika secināts, ka šī rekomendācija un tās metodiskais līdzeklis ir ļoti sekmīgi veicinājuši konkurences novērtēšanas procesus.</w:t>
      </w:r>
    </w:p>
    <w:p w14:paraId="25BE7A68" w14:textId="77777777" w:rsidR="008F613B" w:rsidRPr="008F613B" w:rsidRDefault="008F613B" w:rsidP="008F613B">
      <w:pPr>
        <w:jc w:val="both"/>
        <w:rPr>
          <w:rFonts w:ascii="Times New Roman" w:eastAsia="Arial" w:hAnsi="Times New Roman" w:cs="Times New Roman"/>
          <w:noProof/>
          <w:sz w:val="24"/>
          <w:szCs w:val="24"/>
          <w:lang w:val="en-US"/>
        </w:rPr>
      </w:pPr>
    </w:p>
    <w:p w14:paraId="176ABF4D" w14:textId="77777777" w:rsidR="008F613B" w:rsidRPr="008F613B" w:rsidRDefault="008F613B" w:rsidP="008F613B">
      <w:pPr>
        <w:pStyle w:val="Heading3"/>
        <w:ind w:left="0" w:firstLine="0"/>
        <w:jc w:val="both"/>
        <w:rPr>
          <w:rFonts w:ascii="Times New Roman" w:hAnsi="Times New Roman"/>
          <w:noProof/>
          <w:sz w:val="24"/>
          <w:lang w:val="en-US"/>
        </w:rPr>
      </w:pPr>
      <w:r w:rsidRPr="008F613B">
        <w:rPr>
          <w:rFonts w:ascii="Times New Roman" w:hAnsi="Times New Roman"/>
          <w:noProof/>
          <w:sz w:val="24"/>
          <w:lang w:val="en-US"/>
        </w:rPr>
        <w:t>2019. gada Rekomendācijas izstrādāšanas pamatojums</w:t>
      </w:r>
    </w:p>
    <w:p w14:paraId="7539A671" w14:textId="77777777" w:rsidR="008F613B" w:rsidRPr="008F613B" w:rsidRDefault="008F613B" w:rsidP="008F613B">
      <w:pPr>
        <w:jc w:val="both"/>
        <w:rPr>
          <w:rFonts w:ascii="Times New Roman" w:eastAsia="Arial" w:hAnsi="Times New Roman" w:cs="Times New Roman"/>
          <w:b/>
          <w:bCs/>
          <w:i/>
          <w:noProof/>
          <w:sz w:val="24"/>
          <w:szCs w:val="24"/>
          <w:lang w:val="en-US"/>
        </w:rPr>
      </w:pPr>
    </w:p>
    <w:p w14:paraId="3FB3231A" w14:textId="77777777" w:rsidR="008F613B" w:rsidRPr="008F613B" w:rsidRDefault="008F613B" w:rsidP="008F613B">
      <w:pPr>
        <w:pStyle w:val="BodyText"/>
        <w:ind w:left="0"/>
        <w:jc w:val="both"/>
        <w:rPr>
          <w:rFonts w:ascii="Times New Roman" w:hAnsi="Times New Roman"/>
          <w:noProof/>
          <w:sz w:val="24"/>
          <w:lang w:val="en-US"/>
        </w:rPr>
      </w:pPr>
      <w:r w:rsidRPr="008F613B">
        <w:rPr>
          <w:rFonts w:ascii="Times New Roman" w:hAnsi="Times New Roman"/>
          <w:noProof/>
          <w:sz w:val="24"/>
          <w:lang w:val="en-US"/>
        </w:rPr>
        <w:t>Veicot visas ESAO mērogā īstenoto normatīvu izstrādes pārskatīšanu, ko 2016. gadā uzsāka ESAO ģenerālsekretārs, lai stiprinātu un pārskatītu visus ESAO instrumentus, Konkurences komiteja vienojās konsolidēt 1979. un 2009. gada Rekomendācijas vienā dokumentā. Konkurences komiteja jo īpaši ņēma vērā to, ka 2009. gada Rekomendācija bija pilnīgāka un aktuālāka nekā 1979. gada Rekomendācija, un atzīmēja, ka, kaut gan tajā galvenā uzmanība netika pievērsta sektoriem piešķirtajiem atbrīvojumiem no konkurences tiesībām, tajā piedāvātā metodoloģija joprojām ir piemērota, lai izvērtētu šādu atbrīvojumu ietekmi.</w:t>
      </w:r>
    </w:p>
    <w:p w14:paraId="56568592" w14:textId="77777777" w:rsidR="008F613B" w:rsidRPr="008F613B" w:rsidRDefault="008F613B" w:rsidP="008F613B">
      <w:pPr>
        <w:jc w:val="both"/>
        <w:rPr>
          <w:rFonts w:ascii="Times New Roman" w:eastAsia="Arial" w:hAnsi="Times New Roman" w:cs="Times New Roman"/>
          <w:noProof/>
          <w:sz w:val="24"/>
          <w:szCs w:val="24"/>
          <w:lang w:val="en-US"/>
        </w:rPr>
      </w:pPr>
    </w:p>
    <w:p w14:paraId="504F05CF" w14:textId="77777777" w:rsidR="008F613B" w:rsidRPr="008F613B" w:rsidRDefault="008F613B" w:rsidP="008F613B">
      <w:pPr>
        <w:pStyle w:val="Heading3"/>
        <w:keepNext/>
        <w:keepLines/>
        <w:ind w:left="0" w:firstLine="0"/>
        <w:jc w:val="both"/>
        <w:rPr>
          <w:rFonts w:ascii="Times New Roman" w:hAnsi="Times New Roman"/>
          <w:noProof/>
          <w:sz w:val="24"/>
          <w:lang w:val="en-US"/>
        </w:rPr>
      </w:pPr>
      <w:r w:rsidRPr="008F613B">
        <w:rPr>
          <w:rFonts w:ascii="Times New Roman" w:hAnsi="Times New Roman"/>
          <w:noProof/>
          <w:sz w:val="24"/>
          <w:lang w:val="en-US"/>
        </w:rPr>
        <w:lastRenderedPageBreak/>
        <w:t>Atbalsts īstenošanai, kas tiek sniegts, izmantojot Konkurences novērtēšanas metodisko līdzekli</w:t>
      </w:r>
    </w:p>
    <w:p w14:paraId="029EB2E4" w14:textId="77777777" w:rsidR="008F613B" w:rsidRPr="008F613B" w:rsidRDefault="008F613B" w:rsidP="008F613B">
      <w:pPr>
        <w:keepNext/>
        <w:keepLines/>
        <w:jc w:val="both"/>
        <w:rPr>
          <w:rFonts w:ascii="Times New Roman" w:eastAsia="Arial" w:hAnsi="Times New Roman" w:cs="Times New Roman"/>
          <w:b/>
          <w:bCs/>
          <w:i/>
          <w:noProof/>
          <w:sz w:val="24"/>
          <w:szCs w:val="24"/>
          <w:lang w:val="en-US"/>
        </w:rPr>
      </w:pPr>
    </w:p>
    <w:p w14:paraId="1D417C65" w14:textId="77777777" w:rsidR="008F613B" w:rsidRPr="008F613B" w:rsidRDefault="008F613B" w:rsidP="008F613B">
      <w:pPr>
        <w:pStyle w:val="BodyText"/>
        <w:keepNext/>
        <w:keepLines/>
        <w:ind w:left="0"/>
        <w:jc w:val="both"/>
        <w:rPr>
          <w:rFonts w:ascii="Times New Roman" w:hAnsi="Times New Roman"/>
          <w:noProof/>
          <w:sz w:val="24"/>
          <w:lang w:val="en-US"/>
        </w:rPr>
      </w:pPr>
      <w:r w:rsidRPr="008F613B">
        <w:rPr>
          <w:rFonts w:ascii="Times New Roman" w:hAnsi="Times New Roman"/>
          <w:noProof/>
          <w:sz w:val="24"/>
          <w:lang w:val="en-US"/>
        </w:rPr>
        <w:t>Rekomendāciju palīdzēs īstenot Konkurences novērtēšanas metodiskais līdzeklis, kurā izklāstītas iespējas un laba prakse konkurenci ierobežojošo šķēršļu novēršanai, pamatojoties uz īstenotāju pieredzi. Turklāt ESAO turpinās pilnveidot attiecīgo analītisko darbu, rīkojot apaļā galda diskusijas, uzklausīšanas, seminārus un konferences.</w:t>
      </w:r>
    </w:p>
    <w:p w14:paraId="744DDE92" w14:textId="77777777" w:rsidR="008F613B" w:rsidRPr="008F613B" w:rsidRDefault="008F613B" w:rsidP="008F613B">
      <w:pPr>
        <w:jc w:val="both"/>
        <w:rPr>
          <w:rFonts w:ascii="Times New Roman" w:eastAsia="Arial" w:hAnsi="Times New Roman" w:cs="Times New Roman"/>
          <w:noProof/>
          <w:sz w:val="24"/>
          <w:szCs w:val="24"/>
          <w:lang w:val="en-US"/>
        </w:rPr>
      </w:pPr>
    </w:p>
    <w:p w14:paraId="6A607A80" w14:textId="77777777" w:rsidR="008F613B" w:rsidRPr="008F613B" w:rsidRDefault="008F613B" w:rsidP="008F613B">
      <w:pPr>
        <w:jc w:val="both"/>
        <w:rPr>
          <w:rFonts w:ascii="Times New Roman" w:eastAsia="Arial" w:hAnsi="Times New Roman" w:cs="Times New Roman"/>
          <w:noProof/>
          <w:sz w:val="24"/>
          <w:szCs w:val="24"/>
          <w:lang w:val="en-US"/>
        </w:rPr>
      </w:pPr>
      <w:r w:rsidRPr="008F613B">
        <w:rPr>
          <w:rFonts w:ascii="Times New Roman" w:eastAsia="Arial" w:hAnsi="Times New Roman" w:cs="Times New Roman"/>
          <w:noProof/>
          <w:sz w:val="24"/>
          <w:szCs w:val="24"/>
          <w:lang w:val="en-US"/>
        </w:rPr>
        <w:drawing>
          <wp:inline distT="0" distB="0" distL="0" distR="0" wp14:anchorId="1CF5D7E3" wp14:editId="1E67D45E">
            <wp:extent cx="3558848" cy="31244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3558848" cy="312447"/>
                    </a:xfrm>
                    <a:prstGeom prst="rect">
                      <a:avLst/>
                    </a:prstGeom>
                  </pic:spPr>
                </pic:pic>
              </a:graphicData>
            </a:graphic>
          </wp:inline>
        </w:drawing>
      </w:r>
    </w:p>
    <w:p w14:paraId="12487D42" w14:textId="77777777" w:rsidR="008F613B" w:rsidRPr="008F613B" w:rsidRDefault="008F613B" w:rsidP="008F613B">
      <w:pPr>
        <w:jc w:val="both"/>
        <w:rPr>
          <w:rFonts w:ascii="Times New Roman" w:eastAsia="Arial" w:hAnsi="Times New Roman" w:cs="Times New Roman"/>
          <w:noProof/>
          <w:sz w:val="24"/>
          <w:szCs w:val="24"/>
          <w:lang w:val="en-US"/>
        </w:rPr>
      </w:pPr>
    </w:p>
    <w:p w14:paraId="01FA1104" w14:textId="77777777" w:rsidR="008F613B" w:rsidRPr="008F613B" w:rsidRDefault="008F613B" w:rsidP="008F613B">
      <w:pPr>
        <w:pStyle w:val="BodyText"/>
        <w:ind w:left="0"/>
        <w:jc w:val="both"/>
        <w:rPr>
          <w:rFonts w:ascii="Times New Roman" w:hAnsi="Times New Roman"/>
          <w:noProof/>
          <w:sz w:val="24"/>
          <w:lang w:val="en-US"/>
        </w:rPr>
      </w:pPr>
      <w:r w:rsidRPr="008F613B">
        <w:rPr>
          <w:rFonts w:ascii="Times New Roman" w:hAnsi="Times New Roman"/>
          <w:noProof/>
          <w:sz w:val="24"/>
          <w:lang w:val="en-US"/>
        </w:rPr>
        <w:t>Pašreizējā Covid-19 krīzē valstīm varbūt ir jānodrošina tas, lai uzņēmumiem joprojām būtu pieejama pietiekama likviditāte, un jānovērš dubultie triecieni pieprasījumam un piedāvājumam, kurus izraisa efektīvu uzņēmumu nonākšana situācijā, kad tiem jāaiziet no tirgus; tādējādi tiktu saglabāta saimnieciskās darbības nepārtrauktība Covid-19 krīzes laikā un pēc tās. To var īstenot, izmantojot dotācijas, subsīdijas, bankas garantijas un cita veida valsts atbalstu. Tomēr pastāv bīstamība, ka tad, ja valsts atbalsts nav rūpīgi izstrādāts, tas var radīt konkurences izkropļojumus un nelīdzvērtīgus konkurences apstākļus uzņēmējsabiedrībām, kas saņem palīdzību, un konkurentiem, kas to nesaņem. Šajā kontekstā šī rekomendācija var palīdzēt valdībām identificēt esošos vai ierosinātos valsts politikas pasākumus, kas pārmērīgi ierobežo konkurenci, un tos pārskatīt, pieņemot alternatīvas, kas vairāk veicina konkurenci.</w:t>
      </w:r>
    </w:p>
    <w:p w14:paraId="716B773B" w14:textId="77777777" w:rsidR="008F613B" w:rsidRPr="008F613B" w:rsidRDefault="008F613B" w:rsidP="008F613B">
      <w:pPr>
        <w:jc w:val="both"/>
        <w:rPr>
          <w:rFonts w:ascii="Times New Roman" w:eastAsia="Arial" w:hAnsi="Times New Roman" w:cs="Times New Roman"/>
          <w:noProof/>
          <w:sz w:val="24"/>
          <w:szCs w:val="24"/>
          <w:lang w:val="en-US"/>
        </w:rPr>
      </w:pPr>
    </w:p>
    <w:p w14:paraId="42C9F5CA" w14:textId="77777777" w:rsidR="008F613B" w:rsidRPr="008F613B" w:rsidRDefault="008F613B" w:rsidP="008F613B">
      <w:pPr>
        <w:pStyle w:val="BodyText"/>
        <w:ind w:left="0"/>
        <w:jc w:val="both"/>
        <w:rPr>
          <w:rFonts w:ascii="Times New Roman" w:hAnsi="Times New Roman"/>
          <w:noProof/>
          <w:sz w:val="24"/>
          <w:lang w:val="en-US"/>
        </w:rPr>
      </w:pPr>
      <w:r w:rsidRPr="008F613B">
        <w:rPr>
          <w:rFonts w:ascii="Times New Roman" w:hAnsi="Times New Roman"/>
          <w:noProof/>
          <w:sz w:val="24"/>
          <w:lang w:val="en-US"/>
        </w:rPr>
        <w:t>Sīkāku informāciju skatīt:</w:t>
      </w:r>
    </w:p>
    <w:p w14:paraId="58E731C1" w14:textId="77777777" w:rsidR="008F613B" w:rsidRPr="008F613B" w:rsidRDefault="008F613B" w:rsidP="008F613B">
      <w:pPr>
        <w:jc w:val="both"/>
        <w:rPr>
          <w:rFonts w:ascii="Times New Roman" w:eastAsia="Arial" w:hAnsi="Times New Roman" w:cs="Times New Roman"/>
          <w:noProof/>
          <w:sz w:val="24"/>
          <w:szCs w:val="24"/>
          <w:lang w:val="en-US"/>
        </w:rPr>
      </w:pPr>
    </w:p>
    <w:p w14:paraId="386C9E1E" w14:textId="77777777" w:rsidR="008F613B" w:rsidRPr="008F613B" w:rsidRDefault="008F613B" w:rsidP="008F613B">
      <w:pPr>
        <w:pStyle w:val="BodyText"/>
        <w:numPr>
          <w:ilvl w:val="0"/>
          <w:numId w:val="5"/>
        </w:numPr>
        <w:tabs>
          <w:tab w:val="left" w:pos="851"/>
        </w:tabs>
        <w:ind w:left="284" w:firstLine="0"/>
        <w:jc w:val="both"/>
        <w:rPr>
          <w:rFonts w:ascii="Times New Roman" w:hAnsi="Times New Roman"/>
          <w:noProof/>
          <w:sz w:val="24"/>
          <w:lang w:val="en-US"/>
        </w:rPr>
      </w:pPr>
      <w:r w:rsidRPr="008F613B">
        <w:rPr>
          <w:rFonts w:ascii="Times New Roman" w:hAnsi="Times New Roman"/>
          <w:noProof/>
          <w:sz w:val="24"/>
          <w:lang w:val="en-US"/>
        </w:rPr>
        <w:t>ESAO konkurences politikas pasākumi, reaģējot uz Covid-19</w:t>
      </w:r>
    </w:p>
    <w:p w14:paraId="39FAB90B" w14:textId="77777777" w:rsidR="008F613B" w:rsidRPr="008F613B" w:rsidRDefault="008F613B" w:rsidP="008F613B">
      <w:pPr>
        <w:jc w:val="both"/>
        <w:rPr>
          <w:rFonts w:ascii="Times New Roman" w:eastAsia="Arial" w:hAnsi="Times New Roman" w:cs="Times New Roman"/>
          <w:noProof/>
          <w:sz w:val="24"/>
          <w:szCs w:val="24"/>
          <w:lang w:val="en-US"/>
        </w:rPr>
      </w:pPr>
    </w:p>
    <w:p w14:paraId="6299B429" w14:textId="77777777" w:rsidR="008F613B" w:rsidRPr="008F613B" w:rsidRDefault="008F613B" w:rsidP="008F613B">
      <w:pPr>
        <w:rPr>
          <w:rFonts w:ascii="Times New Roman" w:hAnsi="Times New Roman"/>
          <w:i/>
          <w:noProof/>
          <w:sz w:val="24"/>
          <w:lang w:val="en-US"/>
        </w:rPr>
      </w:pPr>
      <w:r w:rsidRPr="008F613B">
        <w:rPr>
          <w:rFonts w:ascii="Times New Roman" w:hAnsi="Times New Roman"/>
          <w:i/>
          <w:noProof/>
          <w:sz w:val="24"/>
          <w:lang w:val="en-US"/>
        </w:rPr>
        <w:t>Papildu informācija pieejama šādā tīmekļa vietnē: https://www.oecd.org/daf/competition/oecdrecommendationoncompetitionassessment.htm.</w:t>
      </w:r>
    </w:p>
    <w:p w14:paraId="3DA16894" w14:textId="77777777" w:rsidR="008F613B" w:rsidRPr="008F613B" w:rsidRDefault="008F613B" w:rsidP="008F613B">
      <w:pPr>
        <w:jc w:val="both"/>
        <w:rPr>
          <w:rFonts w:ascii="Times New Roman" w:hAnsi="Times New Roman" w:cs="Times New Roman"/>
          <w:i/>
          <w:noProof/>
          <w:sz w:val="24"/>
          <w:szCs w:val="24"/>
          <w:lang w:val="en-US"/>
        </w:rPr>
      </w:pPr>
    </w:p>
    <w:p w14:paraId="7435CDE1" w14:textId="77777777" w:rsidR="008F613B" w:rsidRPr="008F613B" w:rsidRDefault="008F613B" w:rsidP="008F613B">
      <w:pPr>
        <w:jc w:val="both"/>
        <w:rPr>
          <w:rFonts w:ascii="Times New Roman" w:hAnsi="Times New Roman"/>
          <w:i/>
          <w:noProof/>
          <w:sz w:val="24"/>
          <w:lang w:val="en-US"/>
        </w:rPr>
      </w:pPr>
      <w:r w:rsidRPr="008F613B">
        <w:rPr>
          <w:rFonts w:ascii="Times New Roman" w:hAnsi="Times New Roman"/>
          <w:i/>
          <w:noProof/>
          <w:sz w:val="24"/>
          <w:lang w:val="en-US"/>
        </w:rPr>
        <w:t>Kontaktinformācija: DAFCOMPAssistants@oecd.org.</w:t>
      </w:r>
    </w:p>
    <w:p w14:paraId="4F2821F4" w14:textId="77777777" w:rsidR="008F613B" w:rsidRPr="008F613B" w:rsidRDefault="008F613B" w:rsidP="008F613B">
      <w:pPr>
        <w:rPr>
          <w:noProof/>
          <w:lang w:val="en-US"/>
        </w:rPr>
      </w:pPr>
      <w:r w:rsidRPr="008F613B">
        <w:rPr>
          <w:noProof/>
          <w:lang w:val="en-US"/>
        </w:rPr>
        <w:br w:type="page"/>
      </w:r>
    </w:p>
    <w:p w14:paraId="51AB7929" w14:textId="77777777" w:rsidR="008F613B" w:rsidRPr="008F613B" w:rsidRDefault="008F613B" w:rsidP="008F613B">
      <w:pPr>
        <w:jc w:val="both"/>
        <w:rPr>
          <w:rFonts w:ascii="Times New Roman" w:eastAsia="Arial" w:hAnsi="Times New Roman" w:cs="Times New Roman"/>
          <w:iCs/>
          <w:noProof/>
          <w:sz w:val="24"/>
          <w:szCs w:val="24"/>
          <w:lang w:val="en-US"/>
        </w:rPr>
      </w:pPr>
    </w:p>
    <w:p w14:paraId="3A540CD6" w14:textId="77777777" w:rsidR="008F613B" w:rsidRPr="008F613B" w:rsidRDefault="008F613B" w:rsidP="008F613B">
      <w:pPr>
        <w:jc w:val="both"/>
        <w:rPr>
          <w:rFonts w:ascii="Times New Roman" w:eastAsia="Arial" w:hAnsi="Times New Roman" w:cs="Times New Roman"/>
          <w:noProof/>
          <w:sz w:val="24"/>
          <w:szCs w:val="24"/>
          <w:lang w:val="en-US"/>
        </w:rPr>
      </w:pPr>
      <w:r w:rsidRPr="008F613B">
        <w:rPr>
          <w:rFonts w:ascii="Times New Roman" w:hAnsi="Times New Roman"/>
          <w:b/>
          <w:bCs/>
          <w:noProof/>
          <w:sz w:val="24"/>
          <w:lang w:val="en-US"/>
        </w:rPr>
        <w:t>PADOME</w:t>
      </w:r>
      <w:r w:rsidRPr="008F613B">
        <w:rPr>
          <w:rFonts w:ascii="Times New Roman" w:hAnsi="Times New Roman"/>
          <w:noProof/>
          <w:sz w:val="24"/>
          <w:lang w:val="en-US"/>
        </w:rPr>
        <w:t>,</w:t>
      </w:r>
    </w:p>
    <w:p w14:paraId="457D39A5" w14:textId="77777777" w:rsidR="008F613B" w:rsidRPr="008F613B" w:rsidRDefault="008F613B" w:rsidP="008F613B">
      <w:pPr>
        <w:jc w:val="both"/>
        <w:rPr>
          <w:rFonts w:ascii="Times New Roman" w:eastAsia="Arial" w:hAnsi="Times New Roman" w:cs="Times New Roman"/>
          <w:noProof/>
          <w:sz w:val="24"/>
          <w:szCs w:val="24"/>
          <w:lang w:val="en-US"/>
        </w:rPr>
      </w:pPr>
    </w:p>
    <w:p w14:paraId="701948DA" w14:textId="77777777" w:rsidR="008F613B" w:rsidRPr="008F613B" w:rsidRDefault="008F613B" w:rsidP="008F613B">
      <w:pPr>
        <w:pStyle w:val="BodyText"/>
        <w:ind w:left="0"/>
        <w:jc w:val="both"/>
        <w:rPr>
          <w:rFonts w:ascii="Times New Roman" w:hAnsi="Times New Roman"/>
          <w:noProof/>
          <w:sz w:val="24"/>
          <w:lang w:val="en-US"/>
        </w:rPr>
      </w:pPr>
      <w:r w:rsidRPr="008F613B">
        <w:rPr>
          <w:rFonts w:ascii="Times New Roman" w:hAnsi="Times New Roman"/>
          <w:b/>
          <w:noProof/>
          <w:sz w:val="24"/>
          <w:lang w:val="en-US"/>
        </w:rPr>
        <w:t xml:space="preserve">ŅEMOT VĒRĀ </w:t>
      </w:r>
      <w:r w:rsidRPr="008F613B">
        <w:rPr>
          <w:rFonts w:ascii="Times New Roman" w:hAnsi="Times New Roman"/>
          <w:noProof/>
          <w:sz w:val="24"/>
          <w:lang w:val="en-US"/>
        </w:rPr>
        <w:t>1960. gada 14. decembra Konvencijas par Ekonomiskās sadarbības un attīstības organizāciju 5. panta b) apakšpunktu;</w:t>
      </w:r>
    </w:p>
    <w:p w14:paraId="150CD234" w14:textId="77777777" w:rsidR="008F613B" w:rsidRPr="008F613B" w:rsidRDefault="008F613B" w:rsidP="008F613B">
      <w:pPr>
        <w:jc w:val="both"/>
        <w:rPr>
          <w:rFonts w:ascii="Times New Roman" w:hAnsi="Times New Roman"/>
          <w:noProof/>
          <w:sz w:val="24"/>
          <w:lang w:val="en-US"/>
        </w:rPr>
      </w:pPr>
    </w:p>
    <w:p w14:paraId="27E8C3DF" w14:textId="77777777" w:rsidR="008F613B" w:rsidRPr="008F613B" w:rsidRDefault="008F613B" w:rsidP="008F613B">
      <w:pPr>
        <w:pStyle w:val="BodyText"/>
        <w:ind w:left="0"/>
        <w:jc w:val="both"/>
        <w:rPr>
          <w:rFonts w:ascii="Times New Roman" w:hAnsi="Times New Roman"/>
          <w:noProof/>
          <w:sz w:val="24"/>
          <w:lang w:val="en-US"/>
        </w:rPr>
      </w:pPr>
      <w:r w:rsidRPr="008F613B">
        <w:rPr>
          <w:rFonts w:ascii="Times New Roman" w:hAnsi="Times New Roman"/>
          <w:b/>
          <w:bCs/>
          <w:noProof/>
          <w:sz w:val="24"/>
          <w:lang w:val="en-US"/>
        </w:rPr>
        <w:t xml:space="preserve">ŅEMOT VĒRĀ </w:t>
      </w:r>
      <w:r w:rsidRPr="008F613B">
        <w:rPr>
          <w:rFonts w:ascii="Times New Roman" w:hAnsi="Times New Roman"/>
          <w:noProof/>
          <w:sz w:val="24"/>
          <w:lang w:val="en-US"/>
        </w:rPr>
        <w:t>1997. gada Padomes tikšanās ministru līmenī laikā panākto vienošanos, ka konkurences ierobežojumi bieži ir dārgi un nav efektīvi sabiedrības interešu veicināšanai un ka ir jāatturas no to izmantošanas [C/MIN(97)10)];</w:t>
      </w:r>
    </w:p>
    <w:p w14:paraId="27AF1795" w14:textId="77777777" w:rsidR="008F613B" w:rsidRPr="008F613B" w:rsidRDefault="008F613B" w:rsidP="008F613B">
      <w:pPr>
        <w:jc w:val="both"/>
        <w:rPr>
          <w:rFonts w:ascii="Times New Roman" w:hAnsi="Times New Roman"/>
          <w:noProof/>
          <w:sz w:val="24"/>
          <w:lang w:val="en-US"/>
        </w:rPr>
      </w:pPr>
    </w:p>
    <w:p w14:paraId="0328733E" w14:textId="77777777" w:rsidR="008F613B" w:rsidRPr="008F613B" w:rsidRDefault="008F613B" w:rsidP="008F613B">
      <w:pPr>
        <w:pStyle w:val="BodyText"/>
        <w:ind w:left="0"/>
        <w:jc w:val="both"/>
        <w:rPr>
          <w:rFonts w:ascii="Times New Roman" w:hAnsi="Times New Roman" w:cs="Times New Roman"/>
          <w:noProof/>
          <w:sz w:val="24"/>
          <w:szCs w:val="24"/>
          <w:lang w:val="en-US"/>
        </w:rPr>
      </w:pPr>
      <w:r w:rsidRPr="008F613B">
        <w:rPr>
          <w:rFonts w:ascii="Times New Roman" w:hAnsi="Times New Roman"/>
          <w:b/>
          <w:bCs/>
          <w:noProof/>
          <w:sz w:val="24"/>
          <w:lang w:val="en-US"/>
        </w:rPr>
        <w:t xml:space="preserve">ŅEMOT VĒRĀ </w:t>
      </w:r>
      <w:r w:rsidRPr="008F613B">
        <w:rPr>
          <w:rFonts w:ascii="Times New Roman" w:hAnsi="Times New Roman"/>
          <w:noProof/>
          <w:sz w:val="24"/>
          <w:lang w:val="en-US"/>
        </w:rPr>
        <w:t>Padomes Rekomendāciju par konkurences politiku un atbrīvotajiem vai regulētajiem sektoriem [OECD/LEGAL/0181] un Padomes Rekomendāciju par konkurences novērtēšanu [OECD/LEGAL/0376], kas tiek aizstāta ar šo rekomendāciju;</w:t>
      </w:r>
    </w:p>
    <w:p w14:paraId="41D9C945" w14:textId="77777777" w:rsidR="008F613B" w:rsidRPr="008F613B" w:rsidRDefault="008F613B" w:rsidP="008F613B">
      <w:pPr>
        <w:jc w:val="both"/>
        <w:rPr>
          <w:rFonts w:ascii="Times New Roman" w:eastAsia="Arial" w:hAnsi="Times New Roman" w:cs="Times New Roman"/>
          <w:noProof/>
          <w:sz w:val="24"/>
          <w:szCs w:val="24"/>
          <w:lang w:val="en-US"/>
        </w:rPr>
      </w:pPr>
    </w:p>
    <w:p w14:paraId="5B0B3B4D" w14:textId="77777777" w:rsidR="008F613B" w:rsidRPr="008F613B" w:rsidRDefault="008F613B" w:rsidP="008F613B">
      <w:pPr>
        <w:pStyle w:val="BodyText"/>
        <w:ind w:left="0"/>
        <w:jc w:val="both"/>
        <w:rPr>
          <w:rFonts w:ascii="Times New Roman" w:hAnsi="Times New Roman" w:cs="Times New Roman"/>
          <w:noProof/>
          <w:sz w:val="24"/>
          <w:szCs w:val="24"/>
          <w:lang w:val="en-US"/>
        </w:rPr>
      </w:pPr>
      <w:r w:rsidRPr="008F613B">
        <w:rPr>
          <w:rFonts w:ascii="Times New Roman" w:hAnsi="Times New Roman"/>
          <w:b/>
          <w:bCs/>
          <w:noProof/>
          <w:sz w:val="24"/>
          <w:lang w:val="en-US"/>
        </w:rPr>
        <w:t xml:space="preserve">ŅEMOT VĒRĀ </w:t>
      </w:r>
      <w:r w:rsidRPr="008F613B">
        <w:rPr>
          <w:rFonts w:ascii="Times New Roman" w:hAnsi="Times New Roman"/>
          <w:noProof/>
          <w:sz w:val="24"/>
          <w:lang w:val="en-US"/>
        </w:rPr>
        <w:t>Padomes Rekomendāciju par regulatīvo politiku un pārvaldību [C(2012)37], kas aicina valstis pārbaudīt jaunu normatīvo aktu priekšlikumu un spēkā esošo normatīvo aktu ietekmi uz konkurenci;</w:t>
      </w:r>
    </w:p>
    <w:p w14:paraId="58EEE4A5" w14:textId="77777777" w:rsidR="008F613B" w:rsidRPr="008F613B" w:rsidRDefault="008F613B" w:rsidP="008F613B">
      <w:pPr>
        <w:jc w:val="both"/>
        <w:rPr>
          <w:rFonts w:ascii="Times New Roman" w:eastAsia="Arial" w:hAnsi="Times New Roman" w:cs="Times New Roman"/>
          <w:noProof/>
          <w:sz w:val="24"/>
          <w:szCs w:val="24"/>
          <w:lang w:val="en-US"/>
        </w:rPr>
      </w:pPr>
    </w:p>
    <w:p w14:paraId="5FC66874" w14:textId="77777777" w:rsidR="008F613B" w:rsidRPr="008F613B" w:rsidRDefault="008F613B" w:rsidP="008F613B">
      <w:pPr>
        <w:pStyle w:val="BodyText"/>
        <w:ind w:left="0"/>
        <w:jc w:val="both"/>
        <w:rPr>
          <w:rFonts w:ascii="Times New Roman" w:hAnsi="Times New Roman" w:cs="Times New Roman"/>
          <w:noProof/>
          <w:sz w:val="24"/>
          <w:szCs w:val="24"/>
          <w:lang w:val="en-US"/>
        </w:rPr>
      </w:pPr>
      <w:r w:rsidRPr="008F613B">
        <w:rPr>
          <w:rFonts w:ascii="Times New Roman" w:hAnsi="Times New Roman"/>
          <w:b/>
          <w:bCs/>
          <w:noProof/>
          <w:sz w:val="24"/>
          <w:lang w:val="en-US"/>
        </w:rPr>
        <w:t>ATZĪSTOT</w:t>
      </w:r>
      <w:r w:rsidRPr="008F613B">
        <w:rPr>
          <w:rFonts w:ascii="Times New Roman" w:hAnsi="Times New Roman"/>
          <w:noProof/>
          <w:sz w:val="24"/>
          <w:lang w:val="en-US"/>
        </w:rPr>
        <w:t>, ka konkurence veicina efektivitāti, palīdzot nodrošināt to, ka patērētājiem piedāvātās preces un pakalpojumi labāk atbilst patērētāju vēlmēm, un sniedzot tādus labumus kā zemākas cenas, labāku kvalitāti, inovācijas pieaugumu un augstāku produktivitāti;</w:t>
      </w:r>
    </w:p>
    <w:p w14:paraId="59A2142A" w14:textId="77777777" w:rsidR="008F613B" w:rsidRPr="008F613B" w:rsidRDefault="008F613B" w:rsidP="008F613B">
      <w:pPr>
        <w:jc w:val="both"/>
        <w:rPr>
          <w:rFonts w:ascii="Times New Roman" w:eastAsia="Arial" w:hAnsi="Times New Roman" w:cs="Times New Roman"/>
          <w:noProof/>
          <w:sz w:val="24"/>
          <w:szCs w:val="24"/>
          <w:lang w:val="en-US"/>
        </w:rPr>
      </w:pPr>
    </w:p>
    <w:p w14:paraId="39EC69EC" w14:textId="77777777" w:rsidR="008F613B" w:rsidRPr="008F613B" w:rsidRDefault="008F613B" w:rsidP="008F613B">
      <w:pPr>
        <w:pStyle w:val="BodyText"/>
        <w:ind w:left="0"/>
        <w:jc w:val="both"/>
        <w:rPr>
          <w:rFonts w:ascii="Times New Roman" w:hAnsi="Times New Roman" w:cs="Times New Roman"/>
          <w:noProof/>
          <w:sz w:val="24"/>
          <w:szCs w:val="24"/>
          <w:lang w:val="en-US"/>
        </w:rPr>
      </w:pPr>
      <w:r w:rsidRPr="008F613B">
        <w:rPr>
          <w:rFonts w:ascii="Times New Roman" w:hAnsi="Times New Roman"/>
          <w:b/>
          <w:bCs/>
          <w:noProof/>
          <w:sz w:val="24"/>
          <w:lang w:val="en-US"/>
        </w:rPr>
        <w:t>ATZĪSTOT</w:t>
      </w:r>
      <w:r w:rsidRPr="008F613B">
        <w:rPr>
          <w:rFonts w:ascii="Times New Roman" w:hAnsi="Times New Roman"/>
          <w:noProof/>
          <w:sz w:val="24"/>
          <w:lang w:val="en-US"/>
        </w:rPr>
        <w:t>, ka augstāka produktivitāte ir svarīga ekonomiskai izaugsmei un nodarbinātības līmeņa paaugstināšanai;</w:t>
      </w:r>
    </w:p>
    <w:p w14:paraId="3DA85455" w14:textId="77777777" w:rsidR="008F613B" w:rsidRPr="008F613B" w:rsidRDefault="008F613B" w:rsidP="008F613B">
      <w:pPr>
        <w:jc w:val="both"/>
        <w:rPr>
          <w:rFonts w:ascii="Times New Roman" w:eastAsia="Arial" w:hAnsi="Times New Roman" w:cs="Times New Roman"/>
          <w:noProof/>
          <w:sz w:val="24"/>
          <w:szCs w:val="24"/>
          <w:lang w:val="en-US"/>
        </w:rPr>
      </w:pPr>
    </w:p>
    <w:p w14:paraId="7DB8134C" w14:textId="77777777" w:rsidR="008F613B" w:rsidRPr="008F613B" w:rsidRDefault="008F613B" w:rsidP="008F613B">
      <w:pPr>
        <w:pStyle w:val="BodyText"/>
        <w:ind w:left="0"/>
        <w:jc w:val="both"/>
        <w:rPr>
          <w:rFonts w:ascii="Times New Roman" w:hAnsi="Times New Roman" w:cs="Times New Roman"/>
          <w:noProof/>
          <w:sz w:val="24"/>
          <w:szCs w:val="24"/>
          <w:lang w:val="en-US"/>
        </w:rPr>
      </w:pPr>
      <w:r w:rsidRPr="008F613B">
        <w:rPr>
          <w:rFonts w:ascii="Times New Roman" w:hAnsi="Times New Roman"/>
          <w:b/>
          <w:bCs/>
          <w:noProof/>
          <w:sz w:val="24"/>
          <w:lang w:val="en-US"/>
        </w:rPr>
        <w:t>ATZĪSTOT</w:t>
      </w:r>
      <w:r w:rsidRPr="008F613B">
        <w:rPr>
          <w:rFonts w:ascii="Times New Roman" w:hAnsi="Times New Roman"/>
          <w:noProof/>
          <w:sz w:val="24"/>
          <w:lang w:val="en-US"/>
        </w:rPr>
        <w:t>, ka valsts politikas pasākumi tiek izstrādāti daudzu dažādu komerciālu, sociālu, veselības aizsardzības, drošības, aizsardzības, vides un citu mērķu sasniegšanai;</w:t>
      </w:r>
    </w:p>
    <w:p w14:paraId="19C94352" w14:textId="77777777" w:rsidR="008F613B" w:rsidRPr="008F613B" w:rsidRDefault="008F613B" w:rsidP="008F613B">
      <w:pPr>
        <w:jc w:val="both"/>
        <w:rPr>
          <w:rFonts w:ascii="Times New Roman" w:eastAsia="Arial" w:hAnsi="Times New Roman" w:cs="Times New Roman"/>
          <w:noProof/>
          <w:sz w:val="24"/>
          <w:szCs w:val="24"/>
          <w:lang w:val="en-US"/>
        </w:rPr>
      </w:pPr>
    </w:p>
    <w:p w14:paraId="59286C3E" w14:textId="77777777" w:rsidR="008F613B" w:rsidRPr="008F613B" w:rsidRDefault="008F613B" w:rsidP="008F613B">
      <w:pPr>
        <w:pStyle w:val="BodyText"/>
        <w:ind w:left="0"/>
        <w:jc w:val="both"/>
        <w:rPr>
          <w:rFonts w:ascii="Times New Roman" w:hAnsi="Times New Roman" w:cs="Times New Roman"/>
          <w:noProof/>
          <w:sz w:val="24"/>
          <w:szCs w:val="24"/>
          <w:lang w:val="en-US"/>
        </w:rPr>
      </w:pPr>
      <w:r w:rsidRPr="008F613B">
        <w:rPr>
          <w:rFonts w:ascii="Times New Roman" w:hAnsi="Times New Roman"/>
          <w:b/>
          <w:bCs/>
          <w:noProof/>
          <w:sz w:val="24"/>
          <w:lang w:val="en-US"/>
        </w:rPr>
        <w:t>ATZĪSTOT</w:t>
      </w:r>
      <w:r w:rsidRPr="008F613B">
        <w:rPr>
          <w:rFonts w:ascii="Times New Roman" w:hAnsi="Times New Roman"/>
          <w:noProof/>
          <w:sz w:val="24"/>
          <w:lang w:val="en-US"/>
        </w:rPr>
        <w:t>, ka dažkārt valsts politikas pasākumi pārmērīgi ierobežo konkurenci;</w:t>
      </w:r>
    </w:p>
    <w:p w14:paraId="7ECD5CFD" w14:textId="77777777" w:rsidR="008F613B" w:rsidRPr="008F613B" w:rsidRDefault="008F613B" w:rsidP="008F613B">
      <w:pPr>
        <w:jc w:val="both"/>
        <w:rPr>
          <w:rFonts w:ascii="Times New Roman" w:eastAsia="Arial" w:hAnsi="Times New Roman" w:cs="Times New Roman"/>
          <w:noProof/>
          <w:sz w:val="24"/>
          <w:szCs w:val="24"/>
          <w:lang w:val="en-US"/>
        </w:rPr>
      </w:pPr>
    </w:p>
    <w:p w14:paraId="27754747" w14:textId="77777777" w:rsidR="008F613B" w:rsidRPr="008F613B" w:rsidRDefault="008F613B" w:rsidP="008F613B">
      <w:pPr>
        <w:pStyle w:val="BodyText"/>
        <w:ind w:left="0"/>
        <w:jc w:val="both"/>
        <w:rPr>
          <w:rFonts w:ascii="Times New Roman" w:hAnsi="Times New Roman" w:cs="Times New Roman"/>
          <w:noProof/>
          <w:sz w:val="24"/>
          <w:szCs w:val="24"/>
          <w:lang w:val="en-US"/>
        </w:rPr>
      </w:pPr>
      <w:r w:rsidRPr="008F613B">
        <w:rPr>
          <w:rFonts w:ascii="Times New Roman" w:hAnsi="Times New Roman"/>
          <w:b/>
          <w:bCs/>
          <w:noProof/>
          <w:sz w:val="24"/>
          <w:lang w:val="en-US"/>
        </w:rPr>
        <w:t>ATZĪSTOT</w:t>
      </w:r>
      <w:r w:rsidRPr="008F613B">
        <w:rPr>
          <w:rFonts w:ascii="Times New Roman" w:hAnsi="Times New Roman"/>
          <w:noProof/>
          <w:sz w:val="24"/>
          <w:lang w:val="en-US"/>
        </w:rPr>
        <w:t>, ka šādi pārmērīgi ierobežojumi var rasties nejauši, pat ja attiecīgie valsts politikas pasākumi nav vērsti uz ekonomisko regulēšanu un to mērķis nav ietekmēt konkurenci;</w:t>
      </w:r>
    </w:p>
    <w:p w14:paraId="593C41E3" w14:textId="77777777" w:rsidR="008F613B" w:rsidRPr="008F613B" w:rsidRDefault="008F613B" w:rsidP="008F613B">
      <w:pPr>
        <w:jc w:val="both"/>
        <w:rPr>
          <w:rFonts w:ascii="Times New Roman" w:eastAsia="Arial" w:hAnsi="Times New Roman" w:cs="Times New Roman"/>
          <w:noProof/>
          <w:sz w:val="24"/>
          <w:szCs w:val="24"/>
          <w:lang w:val="en-US"/>
        </w:rPr>
      </w:pPr>
    </w:p>
    <w:p w14:paraId="77B88C29" w14:textId="77777777" w:rsidR="008F613B" w:rsidRPr="008F613B" w:rsidRDefault="008F613B" w:rsidP="008F613B">
      <w:pPr>
        <w:pStyle w:val="BodyText"/>
        <w:ind w:left="0"/>
        <w:jc w:val="both"/>
        <w:rPr>
          <w:rFonts w:ascii="Times New Roman" w:hAnsi="Times New Roman" w:cs="Times New Roman"/>
          <w:noProof/>
          <w:sz w:val="24"/>
          <w:szCs w:val="24"/>
          <w:lang w:val="en-US"/>
        </w:rPr>
      </w:pPr>
      <w:r w:rsidRPr="008F613B">
        <w:rPr>
          <w:rFonts w:ascii="Times New Roman" w:hAnsi="Times New Roman"/>
          <w:b/>
          <w:bCs/>
          <w:noProof/>
          <w:sz w:val="24"/>
          <w:lang w:val="en-US"/>
        </w:rPr>
        <w:t>ATZĪSTOT</w:t>
      </w:r>
      <w:r w:rsidRPr="008F613B">
        <w:rPr>
          <w:rFonts w:ascii="Times New Roman" w:hAnsi="Times New Roman"/>
          <w:noProof/>
          <w:sz w:val="24"/>
          <w:lang w:val="en-US"/>
        </w:rPr>
        <w:t>, ka valsts politikas pasākumus, kas pārmērīgi ierobežo konkurenci, bieži var reformēt tādējādi, lai tie veicinātu konkurenci tirgū, vienlaicīgi sasniedzot arī valsts politikas mērķus;</w:t>
      </w:r>
    </w:p>
    <w:p w14:paraId="7DE5F3E8" w14:textId="77777777" w:rsidR="008F613B" w:rsidRPr="008F613B" w:rsidRDefault="008F613B" w:rsidP="008F613B">
      <w:pPr>
        <w:jc w:val="both"/>
        <w:rPr>
          <w:rFonts w:ascii="Times New Roman" w:eastAsia="Arial" w:hAnsi="Times New Roman" w:cs="Times New Roman"/>
          <w:noProof/>
          <w:sz w:val="24"/>
          <w:szCs w:val="24"/>
          <w:lang w:val="en-US"/>
        </w:rPr>
      </w:pPr>
    </w:p>
    <w:p w14:paraId="79CB0496" w14:textId="77777777" w:rsidR="008F613B" w:rsidRPr="008F613B" w:rsidRDefault="008F613B" w:rsidP="008F613B">
      <w:pPr>
        <w:pStyle w:val="BodyText"/>
        <w:ind w:left="0"/>
        <w:jc w:val="both"/>
        <w:rPr>
          <w:rFonts w:ascii="Times New Roman" w:hAnsi="Times New Roman" w:cs="Times New Roman"/>
          <w:noProof/>
          <w:sz w:val="24"/>
          <w:szCs w:val="24"/>
          <w:lang w:val="en-US"/>
        </w:rPr>
      </w:pPr>
      <w:r w:rsidRPr="008F613B">
        <w:rPr>
          <w:rFonts w:ascii="Times New Roman" w:hAnsi="Times New Roman"/>
          <w:b/>
          <w:bCs/>
          <w:noProof/>
          <w:sz w:val="24"/>
          <w:lang w:val="en-US"/>
        </w:rPr>
        <w:t>ATZĪSTOT</w:t>
      </w:r>
      <w:r w:rsidRPr="008F613B">
        <w:rPr>
          <w:rFonts w:ascii="Times New Roman" w:hAnsi="Times New Roman"/>
          <w:noProof/>
          <w:sz w:val="24"/>
          <w:lang w:val="en-US"/>
        </w:rPr>
        <w:t>, ka regulēšanai un regulēto nozaru reformai parasti nepieciešama detalizēta iespējamās ietekmes uz konkurenci novērtēšana;</w:t>
      </w:r>
    </w:p>
    <w:p w14:paraId="7C7BF1B0" w14:textId="77777777" w:rsidR="008F613B" w:rsidRPr="008F613B" w:rsidRDefault="008F613B" w:rsidP="008F613B">
      <w:pPr>
        <w:jc w:val="both"/>
        <w:rPr>
          <w:rFonts w:ascii="Times New Roman" w:eastAsia="Arial" w:hAnsi="Times New Roman" w:cs="Times New Roman"/>
          <w:noProof/>
          <w:sz w:val="24"/>
          <w:szCs w:val="24"/>
          <w:lang w:val="en-US"/>
        </w:rPr>
      </w:pPr>
    </w:p>
    <w:p w14:paraId="39F3EF3D" w14:textId="77777777" w:rsidR="008F613B" w:rsidRPr="008F613B" w:rsidRDefault="008F613B" w:rsidP="008F613B">
      <w:pPr>
        <w:pStyle w:val="BodyText"/>
        <w:ind w:left="0"/>
        <w:jc w:val="both"/>
        <w:rPr>
          <w:rFonts w:ascii="Times New Roman" w:hAnsi="Times New Roman" w:cs="Times New Roman"/>
          <w:noProof/>
          <w:sz w:val="24"/>
          <w:szCs w:val="24"/>
          <w:lang w:val="en-US"/>
        </w:rPr>
      </w:pPr>
      <w:r w:rsidRPr="008F613B">
        <w:rPr>
          <w:rFonts w:ascii="Times New Roman" w:hAnsi="Times New Roman"/>
          <w:b/>
          <w:noProof/>
          <w:sz w:val="24"/>
          <w:lang w:val="en-US"/>
        </w:rPr>
        <w:t>ATZĪSTOT</w:t>
      </w:r>
      <w:r w:rsidRPr="008F613B">
        <w:rPr>
          <w:rFonts w:ascii="Times New Roman" w:hAnsi="Times New Roman"/>
          <w:noProof/>
          <w:sz w:val="24"/>
          <w:lang w:val="en-US"/>
        </w:rPr>
        <w:t>, ka tad, ja citi apstākļi ir līdzīgi, priekšroka jādod tādiem valsts politikas pasākumiem, kas mazāk kaitē konkurencei, nevis tādiem, kas rada lielāku kaitējumu konkurencei, ar nosacījumu, ka ar to palīdzību tiek sasniegti noteiktie valsts politikas mērķi;</w:t>
      </w:r>
    </w:p>
    <w:p w14:paraId="5E2DCC34" w14:textId="77777777" w:rsidR="008F613B" w:rsidRPr="008F613B" w:rsidRDefault="008F613B" w:rsidP="008F613B">
      <w:pPr>
        <w:jc w:val="both"/>
        <w:rPr>
          <w:rFonts w:ascii="Times New Roman" w:eastAsia="Arial" w:hAnsi="Times New Roman" w:cs="Times New Roman"/>
          <w:noProof/>
          <w:sz w:val="24"/>
          <w:szCs w:val="24"/>
          <w:lang w:val="en-US"/>
        </w:rPr>
      </w:pPr>
    </w:p>
    <w:p w14:paraId="1DFFC6F3" w14:textId="77777777" w:rsidR="008F613B" w:rsidRPr="008F613B" w:rsidRDefault="008F613B" w:rsidP="008F613B">
      <w:pPr>
        <w:pStyle w:val="BodyText"/>
        <w:ind w:left="0"/>
        <w:jc w:val="both"/>
        <w:rPr>
          <w:rFonts w:ascii="Times New Roman" w:hAnsi="Times New Roman" w:cs="Times New Roman"/>
          <w:noProof/>
          <w:sz w:val="24"/>
          <w:szCs w:val="24"/>
          <w:lang w:val="en-US"/>
        </w:rPr>
      </w:pPr>
      <w:r w:rsidRPr="008F613B">
        <w:rPr>
          <w:rFonts w:ascii="Times New Roman" w:hAnsi="Times New Roman"/>
          <w:b/>
          <w:bCs/>
          <w:noProof/>
          <w:sz w:val="24"/>
          <w:lang w:val="en-US"/>
        </w:rPr>
        <w:t>ATZĪMĒJOT</w:t>
      </w:r>
      <w:r w:rsidRPr="008F613B">
        <w:rPr>
          <w:rFonts w:ascii="Times New Roman" w:hAnsi="Times New Roman"/>
          <w:noProof/>
          <w:sz w:val="24"/>
          <w:lang w:val="en-US"/>
        </w:rPr>
        <w:t>, ka daudzas valstis jau veic konkurences novērtējumu;</w:t>
      </w:r>
    </w:p>
    <w:p w14:paraId="78802CDE" w14:textId="77777777" w:rsidR="008F613B" w:rsidRPr="008F613B" w:rsidRDefault="008F613B" w:rsidP="008F613B">
      <w:pPr>
        <w:jc w:val="both"/>
        <w:rPr>
          <w:rFonts w:ascii="Times New Roman" w:eastAsia="Arial" w:hAnsi="Times New Roman" w:cs="Times New Roman"/>
          <w:noProof/>
          <w:sz w:val="24"/>
          <w:szCs w:val="24"/>
          <w:lang w:val="en-US"/>
        </w:rPr>
      </w:pPr>
    </w:p>
    <w:p w14:paraId="6846439F" w14:textId="77777777" w:rsidR="008F613B" w:rsidRPr="008F613B" w:rsidRDefault="008F613B" w:rsidP="008F613B">
      <w:pPr>
        <w:pStyle w:val="BodyText"/>
        <w:ind w:left="0"/>
        <w:jc w:val="both"/>
        <w:rPr>
          <w:rFonts w:ascii="Times New Roman" w:hAnsi="Times New Roman" w:cs="Times New Roman"/>
          <w:noProof/>
          <w:sz w:val="24"/>
          <w:szCs w:val="24"/>
          <w:lang w:val="en-US"/>
        </w:rPr>
      </w:pPr>
      <w:r w:rsidRPr="008F613B">
        <w:rPr>
          <w:rFonts w:ascii="Times New Roman" w:hAnsi="Times New Roman"/>
          <w:b/>
          <w:bCs/>
          <w:noProof/>
          <w:sz w:val="24"/>
          <w:lang w:val="en-US"/>
        </w:rPr>
        <w:t>ATZĪMĒJOT</w:t>
      </w:r>
      <w:r w:rsidRPr="008F613B">
        <w:rPr>
          <w:rFonts w:ascii="Times New Roman" w:hAnsi="Times New Roman"/>
          <w:noProof/>
          <w:sz w:val="24"/>
          <w:lang w:val="en-US"/>
        </w:rPr>
        <w:t>, ka ESAO un daudzas ESAO dalībvalstis ir izstrādājušas konkurences novērtēšanas metodiskos līdzekļus,</w:t>
      </w:r>
    </w:p>
    <w:p w14:paraId="6A9D1814" w14:textId="77777777" w:rsidR="008F613B" w:rsidRPr="008F613B" w:rsidRDefault="008F613B" w:rsidP="008F613B">
      <w:pPr>
        <w:jc w:val="both"/>
        <w:rPr>
          <w:rFonts w:ascii="Times New Roman" w:eastAsia="Arial" w:hAnsi="Times New Roman" w:cs="Times New Roman"/>
          <w:noProof/>
          <w:sz w:val="24"/>
          <w:szCs w:val="24"/>
          <w:lang w:val="en-US"/>
        </w:rPr>
      </w:pPr>
    </w:p>
    <w:p w14:paraId="27B1B7FF" w14:textId="77777777" w:rsidR="008F613B" w:rsidRPr="008F613B" w:rsidRDefault="008F613B" w:rsidP="008F613B">
      <w:pPr>
        <w:pStyle w:val="BodyText"/>
        <w:keepNext/>
        <w:keepLines/>
        <w:tabs>
          <w:tab w:val="left" w:pos="1301"/>
        </w:tabs>
        <w:ind w:left="0"/>
        <w:jc w:val="both"/>
        <w:rPr>
          <w:rFonts w:ascii="Times New Roman" w:hAnsi="Times New Roman" w:cs="Times New Roman"/>
          <w:noProof/>
          <w:sz w:val="24"/>
          <w:szCs w:val="24"/>
          <w:lang w:val="en-US"/>
        </w:rPr>
      </w:pPr>
      <w:r w:rsidRPr="008F613B">
        <w:rPr>
          <w:rFonts w:ascii="Times New Roman" w:hAnsi="Times New Roman"/>
          <w:b/>
          <w:noProof/>
          <w:sz w:val="24"/>
          <w:lang w:val="en-US"/>
        </w:rPr>
        <w:lastRenderedPageBreak/>
        <w:t>I. VIENOJAS</w:t>
      </w:r>
      <w:r w:rsidRPr="008F613B">
        <w:rPr>
          <w:rFonts w:ascii="Times New Roman" w:hAnsi="Times New Roman"/>
          <w:noProof/>
          <w:sz w:val="24"/>
          <w:lang w:val="en-US"/>
        </w:rPr>
        <w:t>, ka šajā rekomendācijā tiek izmantotas turpmāk norādītās definīcijas.</w:t>
      </w:r>
    </w:p>
    <w:p w14:paraId="67EC675C" w14:textId="77777777" w:rsidR="008F613B" w:rsidRPr="008F613B" w:rsidRDefault="008F613B" w:rsidP="008F613B">
      <w:pPr>
        <w:keepNext/>
        <w:keepLines/>
        <w:jc w:val="both"/>
        <w:rPr>
          <w:rFonts w:ascii="Times New Roman" w:eastAsia="Arial" w:hAnsi="Times New Roman" w:cs="Times New Roman"/>
          <w:noProof/>
          <w:sz w:val="24"/>
          <w:szCs w:val="24"/>
          <w:lang w:val="en-US"/>
        </w:rPr>
      </w:pPr>
    </w:p>
    <w:p w14:paraId="73461753" w14:textId="77777777" w:rsidR="008F613B" w:rsidRPr="008F613B" w:rsidRDefault="008F613B" w:rsidP="008F613B">
      <w:pPr>
        <w:pStyle w:val="BodyText"/>
        <w:keepNext/>
        <w:keepLines/>
        <w:numPr>
          <w:ilvl w:val="1"/>
          <w:numId w:val="4"/>
        </w:numPr>
        <w:tabs>
          <w:tab w:val="left" w:pos="851"/>
        </w:tabs>
        <w:ind w:left="284" w:firstLine="0"/>
        <w:jc w:val="both"/>
        <w:rPr>
          <w:rFonts w:ascii="Times New Roman" w:hAnsi="Times New Roman"/>
          <w:noProof/>
          <w:sz w:val="24"/>
          <w:lang w:val="en-US"/>
        </w:rPr>
      </w:pPr>
      <w:r w:rsidRPr="008F613B">
        <w:rPr>
          <w:rFonts w:ascii="Times New Roman" w:hAnsi="Times New Roman"/>
          <w:noProof/>
          <w:sz w:val="24"/>
          <w:lang w:val="en-US"/>
        </w:rPr>
        <w:t>“Valsts politikas pasākumi” ir normatīvie akti.</w:t>
      </w:r>
    </w:p>
    <w:p w14:paraId="62F9C25D" w14:textId="77777777" w:rsidR="008F613B" w:rsidRPr="008F613B" w:rsidRDefault="008F613B" w:rsidP="008F613B">
      <w:pPr>
        <w:pStyle w:val="BodyText"/>
        <w:keepNext/>
        <w:keepLines/>
        <w:numPr>
          <w:ilvl w:val="1"/>
          <w:numId w:val="4"/>
        </w:numPr>
        <w:tabs>
          <w:tab w:val="left" w:pos="851"/>
        </w:tabs>
        <w:ind w:left="284" w:firstLine="0"/>
        <w:jc w:val="both"/>
        <w:rPr>
          <w:rFonts w:ascii="Times New Roman" w:hAnsi="Times New Roman"/>
          <w:noProof/>
          <w:sz w:val="24"/>
          <w:lang w:val="en-US"/>
        </w:rPr>
      </w:pPr>
      <w:r w:rsidRPr="008F613B">
        <w:rPr>
          <w:rFonts w:ascii="Times New Roman" w:hAnsi="Times New Roman"/>
          <w:noProof/>
          <w:sz w:val="24"/>
          <w:lang w:val="en-US"/>
        </w:rPr>
        <w:t>“Pārmērīgi ierobežo konkurenci” nozīmē to, ka konkurences ierobežojumi, kas nepieciešami, lai sasniegtu sabiedrības interešu mērķus, ir lielāki, nekā tas ir nepieciešams, ņemot vērā iespējamās alternatīvas un to izmaksas.</w:t>
      </w:r>
    </w:p>
    <w:p w14:paraId="22A24354" w14:textId="77777777" w:rsidR="008F613B" w:rsidRPr="008F613B" w:rsidRDefault="008F613B" w:rsidP="008F613B">
      <w:pPr>
        <w:pStyle w:val="BodyText"/>
        <w:numPr>
          <w:ilvl w:val="1"/>
          <w:numId w:val="4"/>
        </w:numPr>
        <w:tabs>
          <w:tab w:val="left" w:pos="851"/>
        </w:tabs>
        <w:ind w:left="284" w:firstLine="0"/>
        <w:jc w:val="both"/>
        <w:rPr>
          <w:rFonts w:ascii="Times New Roman" w:hAnsi="Times New Roman"/>
          <w:noProof/>
          <w:sz w:val="24"/>
          <w:lang w:val="en-US"/>
        </w:rPr>
      </w:pPr>
      <w:r w:rsidRPr="008F613B">
        <w:rPr>
          <w:rFonts w:ascii="Times New Roman" w:hAnsi="Times New Roman"/>
          <w:noProof/>
          <w:sz w:val="24"/>
          <w:lang w:val="en-US"/>
        </w:rPr>
        <w:t>“Tirgus dalībnieki” ir komercsabiedrības, indivīdi vai valsts uzņēmumi, kas nodarbojas ar preču vai pakalpojumu piegādi vai pirkšanu.</w:t>
      </w:r>
    </w:p>
    <w:p w14:paraId="45FDA350" w14:textId="77777777" w:rsidR="008F613B" w:rsidRPr="008F613B" w:rsidRDefault="008F613B" w:rsidP="008F613B">
      <w:pPr>
        <w:pStyle w:val="BodyText"/>
        <w:tabs>
          <w:tab w:val="left" w:pos="851"/>
        </w:tabs>
        <w:ind w:left="284"/>
        <w:jc w:val="both"/>
        <w:rPr>
          <w:rFonts w:ascii="Times New Roman" w:hAnsi="Times New Roman" w:cs="Times New Roman"/>
          <w:noProof/>
          <w:sz w:val="24"/>
          <w:szCs w:val="24"/>
          <w:lang w:val="en-US"/>
        </w:rPr>
      </w:pPr>
    </w:p>
    <w:p w14:paraId="2E6F1DF0" w14:textId="77777777" w:rsidR="008F613B" w:rsidRPr="008F613B" w:rsidRDefault="008F613B" w:rsidP="008F613B">
      <w:pPr>
        <w:pStyle w:val="BodyText"/>
        <w:numPr>
          <w:ilvl w:val="1"/>
          <w:numId w:val="4"/>
        </w:numPr>
        <w:tabs>
          <w:tab w:val="left" w:pos="851"/>
        </w:tabs>
        <w:ind w:left="284" w:firstLine="0"/>
        <w:jc w:val="both"/>
        <w:rPr>
          <w:rFonts w:ascii="Times New Roman" w:hAnsi="Times New Roman"/>
          <w:noProof/>
          <w:sz w:val="24"/>
          <w:lang w:val="en-US"/>
        </w:rPr>
      </w:pPr>
      <w:r w:rsidRPr="008F613B">
        <w:rPr>
          <w:rFonts w:ascii="Times New Roman" w:hAnsi="Times New Roman"/>
          <w:noProof/>
          <w:sz w:val="24"/>
          <w:lang w:val="en-US"/>
        </w:rPr>
        <w:t>“Konkurences uzraudzības iestādes” ir valsts institūcijas, tostarp valsts konkurences iestāde, kuru uzdevums ir</w:t>
      </w:r>
    </w:p>
    <w:p w14:paraId="77DC4CE9" w14:textId="77777777" w:rsidR="008F613B" w:rsidRPr="008F613B" w:rsidRDefault="008F613B" w:rsidP="008F613B">
      <w:pPr>
        <w:pStyle w:val="BodyText"/>
        <w:tabs>
          <w:tab w:val="left" w:pos="851"/>
        </w:tabs>
        <w:ind w:left="284"/>
        <w:jc w:val="both"/>
        <w:rPr>
          <w:rFonts w:ascii="Times New Roman" w:hAnsi="Times New Roman"/>
          <w:noProof/>
          <w:sz w:val="24"/>
          <w:lang w:val="en-US"/>
        </w:rPr>
      </w:pPr>
      <w:r w:rsidRPr="008F613B">
        <w:rPr>
          <w:rFonts w:ascii="Times New Roman" w:hAnsi="Times New Roman"/>
          <w:noProof/>
          <w:sz w:val="24"/>
          <w:lang w:val="en-US"/>
        </w:rPr>
        <w:t>atbalstīt, veicināt un palielināt konkurenci tirgū.</w:t>
      </w:r>
    </w:p>
    <w:p w14:paraId="597F86D8" w14:textId="77777777" w:rsidR="008F613B" w:rsidRPr="008F613B" w:rsidRDefault="008F613B" w:rsidP="008F613B">
      <w:pPr>
        <w:pStyle w:val="BodyText"/>
        <w:numPr>
          <w:ilvl w:val="1"/>
          <w:numId w:val="4"/>
        </w:numPr>
        <w:tabs>
          <w:tab w:val="left" w:pos="851"/>
        </w:tabs>
        <w:ind w:left="284" w:firstLine="0"/>
        <w:jc w:val="both"/>
        <w:rPr>
          <w:rFonts w:ascii="Times New Roman" w:hAnsi="Times New Roman"/>
          <w:noProof/>
          <w:sz w:val="24"/>
          <w:lang w:val="en-US"/>
        </w:rPr>
      </w:pPr>
      <w:r w:rsidRPr="008F613B">
        <w:rPr>
          <w:rFonts w:ascii="Times New Roman" w:hAnsi="Times New Roman"/>
          <w:noProof/>
          <w:sz w:val="24"/>
          <w:lang w:val="en-US"/>
        </w:rPr>
        <w:t>“Procesi konkurencei par tirgu” ir valsts organizēti konkursa procesi, lai piešķirtu tiesības apgādāt attiecīgo tirgu vai noteiktu laiku izmantot valsts resursus.</w:t>
      </w:r>
    </w:p>
    <w:p w14:paraId="0C650495" w14:textId="77777777" w:rsidR="008F613B" w:rsidRPr="008F613B" w:rsidRDefault="008F613B" w:rsidP="008F613B">
      <w:pPr>
        <w:pStyle w:val="BodyText"/>
        <w:numPr>
          <w:ilvl w:val="1"/>
          <w:numId w:val="4"/>
        </w:numPr>
        <w:tabs>
          <w:tab w:val="left" w:pos="851"/>
        </w:tabs>
        <w:ind w:left="284" w:firstLine="0"/>
        <w:jc w:val="both"/>
        <w:rPr>
          <w:rFonts w:ascii="Times New Roman" w:hAnsi="Times New Roman"/>
          <w:noProof/>
          <w:sz w:val="24"/>
          <w:lang w:val="en-US"/>
        </w:rPr>
      </w:pPr>
      <w:r w:rsidRPr="008F613B">
        <w:rPr>
          <w:rFonts w:ascii="Times New Roman" w:hAnsi="Times New Roman"/>
          <w:noProof/>
          <w:sz w:val="24"/>
          <w:lang w:val="en-US"/>
        </w:rPr>
        <w:t>“Konkurences novērtēšana” ir valsts politikas pasākumu ietekmes uz konkurenci pārbaude, tostarp alternatīvu un konkurenci mazāk kropļojošu politikas pasākumu apsvēršana. Konkurences novērtēšanas principi attiecas uz visiem valsts pārvaldes līmeņiem.</w:t>
      </w:r>
    </w:p>
    <w:p w14:paraId="1A6D8220" w14:textId="77777777" w:rsidR="008F613B" w:rsidRPr="008F613B" w:rsidRDefault="008F613B" w:rsidP="008F613B">
      <w:pPr>
        <w:jc w:val="both"/>
        <w:rPr>
          <w:rFonts w:ascii="Times New Roman" w:eastAsia="Arial" w:hAnsi="Times New Roman" w:cs="Times New Roman"/>
          <w:noProof/>
          <w:sz w:val="24"/>
          <w:szCs w:val="24"/>
          <w:lang w:val="en-US"/>
        </w:rPr>
      </w:pPr>
    </w:p>
    <w:p w14:paraId="7625CFBA" w14:textId="77777777" w:rsidR="008F613B" w:rsidRPr="008F613B" w:rsidRDefault="008F613B" w:rsidP="008F613B">
      <w:pPr>
        <w:pStyle w:val="BodyText"/>
        <w:tabs>
          <w:tab w:val="left" w:pos="1301"/>
          <w:tab w:val="left" w:pos="4550"/>
          <w:tab w:val="left" w:pos="6116"/>
        </w:tabs>
        <w:ind w:left="0"/>
        <w:jc w:val="both"/>
        <w:rPr>
          <w:rFonts w:ascii="Times New Roman" w:hAnsi="Times New Roman" w:cs="Times New Roman"/>
          <w:noProof/>
          <w:sz w:val="24"/>
          <w:szCs w:val="24"/>
          <w:lang w:val="en-US"/>
        </w:rPr>
      </w:pPr>
      <w:r w:rsidRPr="008F613B">
        <w:rPr>
          <w:rFonts w:ascii="Times New Roman" w:hAnsi="Times New Roman"/>
          <w:b/>
          <w:noProof/>
          <w:sz w:val="24"/>
          <w:lang w:val="en-US"/>
        </w:rPr>
        <w:t xml:space="preserve">II. IESAKA </w:t>
      </w:r>
      <w:r w:rsidRPr="008F613B">
        <w:rPr>
          <w:rFonts w:ascii="Times New Roman" w:hAnsi="Times New Roman"/>
          <w:noProof/>
          <w:sz w:val="24"/>
          <w:lang w:val="en-US"/>
        </w:rPr>
        <w:t>dalībvalstīm un citām valstīm, kas nav dalībvalstis un īsteno šo rekomendāciju (turpmāk “īstenotāji”), rīkoties atbilstoši tam, kā noteikts turpmāk.</w:t>
      </w:r>
    </w:p>
    <w:p w14:paraId="239F0510" w14:textId="77777777" w:rsidR="008F613B" w:rsidRPr="008F613B" w:rsidRDefault="008F613B" w:rsidP="008F613B">
      <w:pPr>
        <w:jc w:val="both"/>
        <w:rPr>
          <w:rFonts w:ascii="Times New Roman" w:eastAsia="Arial" w:hAnsi="Times New Roman" w:cs="Times New Roman"/>
          <w:noProof/>
          <w:sz w:val="24"/>
          <w:szCs w:val="24"/>
          <w:lang w:val="en-US"/>
        </w:rPr>
      </w:pPr>
    </w:p>
    <w:p w14:paraId="2691FF45" w14:textId="77777777" w:rsidR="008F613B" w:rsidRPr="008F613B" w:rsidRDefault="008F613B" w:rsidP="008F613B">
      <w:pPr>
        <w:pStyle w:val="Heading3"/>
        <w:tabs>
          <w:tab w:val="left" w:pos="705"/>
        </w:tabs>
        <w:ind w:left="0" w:firstLine="0"/>
        <w:jc w:val="both"/>
        <w:rPr>
          <w:rFonts w:ascii="Times New Roman" w:hAnsi="Times New Roman"/>
          <w:noProof/>
          <w:sz w:val="24"/>
          <w:lang w:val="en-US"/>
        </w:rPr>
      </w:pPr>
      <w:r w:rsidRPr="008F613B">
        <w:rPr>
          <w:rFonts w:ascii="Times New Roman" w:hAnsi="Times New Roman"/>
          <w:noProof/>
          <w:sz w:val="24"/>
          <w:lang w:val="en-US"/>
        </w:rPr>
        <w:t>A. Noskaidrot tos spēkā esošos vai ierosinātos valsts politikas pasākumus, kuri pārmērīgi ierobežo konkurenci</w:t>
      </w:r>
    </w:p>
    <w:p w14:paraId="49FAC658" w14:textId="77777777" w:rsidR="008F613B" w:rsidRPr="008F613B" w:rsidRDefault="008F613B" w:rsidP="008F613B">
      <w:pPr>
        <w:jc w:val="both"/>
        <w:rPr>
          <w:rFonts w:ascii="Times New Roman" w:eastAsia="Arial" w:hAnsi="Times New Roman" w:cs="Times New Roman"/>
          <w:b/>
          <w:bCs/>
          <w:i/>
          <w:noProof/>
          <w:sz w:val="24"/>
          <w:szCs w:val="24"/>
          <w:lang w:val="en-US"/>
        </w:rPr>
      </w:pPr>
    </w:p>
    <w:p w14:paraId="3497F45D" w14:textId="77777777" w:rsidR="008F613B" w:rsidRPr="008F613B" w:rsidRDefault="008F613B" w:rsidP="008F613B">
      <w:pPr>
        <w:pStyle w:val="BodyText"/>
        <w:tabs>
          <w:tab w:val="left" w:pos="1303"/>
        </w:tabs>
        <w:ind w:left="0"/>
        <w:jc w:val="both"/>
        <w:rPr>
          <w:rFonts w:ascii="Times New Roman" w:hAnsi="Times New Roman"/>
          <w:noProof/>
          <w:sz w:val="24"/>
          <w:lang w:val="en-US"/>
        </w:rPr>
      </w:pPr>
      <w:r w:rsidRPr="008F613B">
        <w:rPr>
          <w:rFonts w:ascii="Times New Roman" w:hAnsi="Times New Roman"/>
          <w:noProof/>
          <w:sz w:val="24"/>
          <w:lang w:val="en-US"/>
        </w:rPr>
        <w:t>1. Valstīm jāuzsāk atbilstošs process, lai noteiktu tos spēkā esošos vai ierosinātos valsts politikas pasākumus, kuri pārmērīgi ierobežo konkurenci, un jāizstrādā īpaši un skaidri kritēriji konkurences novērtējuma veikšanai, tostarp jāsagatavo pārbaudes līdzekļi.</w:t>
      </w:r>
    </w:p>
    <w:p w14:paraId="448657D2" w14:textId="77777777" w:rsidR="008F613B" w:rsidRPr="008F613B" w:rsidRDefault="008F613B" w:rsidP="008F613B">
      <w:pPr>
        <w:pStyle w:val="BodyText"/>
        <w:tabs>
          <w:tab w:val="left" w:pos="1303"/>
        </w:tabs>
        <w:ind w:left="0"/>
        <w:jc w:val="both"/>
        <w:rPr>
          <w:rFonts w:ascii="Times New Roman" w:hAnsi="Times New Roman" w:cs="Times New Roman"/>
          <w:noProof/>
          <w:sz w:val="24"/>
          <w:szCs w:val="24"/>
          <w:lang w:val="en-US"/>
        </w:rPr>
      </w:pPr>
    </w:p>
    <w:p w14:paraId="70E3EA6E" w14:textId="77777777" w:rsidR="008F613B" w:rsidRPr="008F613B" w:rsidRDefault="008F613B" w:rsidP="008F613B">
      <w:pPr>
        <w:pStyle w:val="BodyText"/>
        <w:tabs>
          <w:tab w:val="left" w:pos="1303"/>
        </w:tabs>
        <w:ind w:left="0"/>
        <w:jc w:val="both"/>
        <w:rPr>
          <w:rFonts w:ascii="Times New Roman" w:hAnsi="Times New Roman"/>
          <w:noProof/>
          <w:sz w:val="24"/>
          <w:lang w:val="en-US"/>
        </w:rPr>
      </w:pPr>
      <w:r w:rsidRPr="008F613B">
        <w:rPr>
          <w:rFonts w:ascii="Times New Roman" w:hAnsi="Times New Roman"/>
          <w:noProof/>
          <w:sz w:val="24"/>
          <w:lang w:val="en-US"/>
        </w:rPr>
        <w:t>2. Veicot konkurences novērtējumu, valstīm jāpievērš īpaša uzmanība tiem politikas pasākumiem, kas ierobežo:</w:t>
      </w:r>
    </w:p>
    <w:p w14:paraId="72A56150" w14:textId="77777777" w:rsidR="008F613B" w:rsidRPr="008F613B" w:rsidRDefault="008F613B" w:rsidP="008F613B">
      <w:pPr>
        <w:pStyle w:val="BodyText"/>
        <w:tabs>
          <w:tab w:val="left" w:pos="1303"/>
        </w:tabs>
        <w:ind w:left="0"/>
        <w:jc w:val="both"/>
        <w:rPr>
          <w:rFonts w:ascii="Times New Roman" w:hAnsi="Times New Roman" w:cs="Times New Roman"/>
          <w:noProof/>
          <w:sz w:val="24"/>
          <w:szCs w:val="24"/>
          <w:lang w:val="en-US"/>
        </w:rPr>
      </w:pPr>
    </w:p>
    <w:p w14:paraId="4D9334DF" w14:textId="77777777" w:rsidR="008F613B" w:rsidRPr="008F613B" w:rsidRDefault="008F613B" w:rsidP="008F613B">
      <w:pPr>
        <w:pStyle w:val="BodyText"/>
        <w:tabs>
          <w:tab w:val="left" w:pos="1870"/>
        </w:tabs>
        <w:ind w:left="284"/>
        <w:jc w:val="both"/>
        <w:rPr>
          <w:rFonts w:ascii="Times New Roman" w:hAnsi="Times New Roman"/>
          <w:noProof/>
          <w:sz w:val="24"/>
          <w:lang w:val="en-US"/>
        </w:rPr>
      </w:pPr>
      <w:r w:rsidRPr="008F613B">
        <w:rPr>
          <w:rFonts w:ascii="Times New Roman" w:hAnsi="Times New Roman"/>
          <w:noProof/>
          <w:sz w:val="24"/>
          <w:lang w:val="en-US"/>
        </w:rPr>
        <w:t>i) tirgus dalībnieku skaitu vai loku;</w:t>
      </w:r>
    </w:p>
    <w:p w14:paraId="23601DC3" w14:textId="77777777" w:rsidR="008F613B" w:rsidRPr="008F613B" w:rsidRDefault="008F613B" w:rsidP="008F613B">
      <w:pPr>
        <w:pStyle w:val="BodyText"/>
        <w:tabs>
          <w:tab w:val="left" w:pos="1870"/>
        </w:tabs>
        <w:ind w:left="284"/>
        <w:jc w:val="both"/>
        <w:rPr>
          <w:rFonts w:ascii="Times New Roman" w:hAnsi="Times New Roman"/>
          <w:noProof/>
          <w:sz w:val="24"/>
          <w:lang w:val="en-US"/>
        </w:rPr>
      </w:pPr>
      <w:r w:rsidRPr="008F613B">
        <w:rPr>
          <w:rFonts w:ascii="Times New Roman" w:hAnsi="Times New Roman"/>
          <w:noProof/>
          <w:sz w:val="24"/>
          <w:lang w:val="en-US"/>
        </w:rPr>
        <w:t>ii) darbības, kuras tirgus dalībnieki drīkst veikt;</w:t>
      </w:r>
    </w:p>
    <w:p w14:paraId="39629802" w14:textId="77777777" w:rsidR="008F613B" w:rsidRPr="008F613B" w:rsidRDefault="008F613B" w:rsidP="008F613B">
      <w:pPr>
        <w:pStyle w:val="BodyText"/>
        <w:tabs>
          <w:tab w:val="left" w:pos="1870"/>
        </w:tabs>
        <w:ind w:left="284"/>
        <w:jc w:val="both"/>
        <w:rPr>
          <w:rFonts w:ascii="Times New Roman" w:hAnsi="Times New Roman"/>
          <w:noProof/>
          <w:sz w:val="24"/>
          <w:lang w:val="en-US"/>
        </w:rPr>
      </w:pPr>
      <w:r w:rsidRPr="008F613B">
        <w:rPr>
          <w:rFonts w:ascii="Times New Roman" w:hAnsi="Times New Roman"/>
          <w:noProof/>
          <w:sz w:val="24"/>
          <w:lang w:val="en-US"/>
        </w:rPr>
        <w:t>iii) tirgus dalībnieku stimulu sacensties ar saviem konkurentiem;</w:t>
      </w:r>
    </w:p>
    <w:p w14:paraId="166E5A39" w14:textId="77777777" w:rsidR="008F613B" w:rsidRPr="008F613B" w:rsidRDefault="008F613B" w:rsidP="008F613B">
      <w:pPr>
        <w:pStyle w:val="BodyText"/>
        <w:tabs>
          <w:tab w:val="left" w:pos="1870"/>
        </w:tabs>
        <w:ind w:left="284"/>
        <w:jc w:val="both"/>
        <w:rPr>
          <w:rFonts w:ascii="Times New Roman" w:hAnsi="Times New Roman"/>
          <w:noProof/>
          <w:sz w:val="24"/>
          <w:lang w:val="en-US"/>
        </w:rPr>
      </w:pPr>
      <w:r w:rsidRPr="008F613B">
        <w:rPr>
          <w:rFonts w:ascii="Times New Roman" w:hAnsi="Times New Roman"/>
          <w:noProof/>
          <w:sz w:val="24"/>
          <w:lang w:val="en-US"/>
        </w:rPr>
        <w:t>iv) patērētājiem pieejamās izvēles iespējas un informāciju.</w:t>
      </w:r>
    </w:p>
    <w:p w14:paraId="2287F9DA" w14:textId="77777777" w:rsidR="008F613B" w:rsidRPr="008F613B" w:rsidRDefault="008F613B" w:rsidP="008F613B">
      <w:pPr>
        <w:pStyle w:val="BodyText"/>
        <w:tabs>
          <w:tab w:val="left" w:pos="1303"/>
        </w:tabs>
        <w:ind w:left="0"/>
        <w:jc w:val="both"/>
        <w:rPr>
          <w:rFonts w:ascii="Times New Roman" w:hAnsi="Times New Roman" w:cs="Times New Roman"/>
          <w:noProof/>
          <w:sz w:val="24"/>
          <w:szCs w:val="24"/>
          <w:lang w:val="en-US"/>
        </w:rPr>
      </w:pPr>
    </w:p>
    <w:p w14:paraId="5588DC10" w14:textId="77777777" w:rsidR="008F613B" w:rsidRPr="008F613B" w:rsidRDefault="008F613B" w:rsidP="008F613B">
      <w:pPr>
        <w:pStyle w:val="BodyText"/>
        <w:tabs>
          <w:tab w:val="left" w:pos="1303"/>
        </w:tabs>
        <w:ind w:left="0"/>
        <w:jc w:val="both"/>
        <w:rPr>
          <w:rFonts w:ascii="Times New Roman" w:hAnsi="Times New Roman"/>
          <w:noProof/>
          <w:sz w:val="24"/>
          <w:lang w:val="en-US"/>
        </w:rPr>
      </w:pPr>
      <w:r w:rsidRPr="008F613B">
        <w:rPr>
          <w:rFonts w:ascii="Times New Roman" w:hAnsi="Times New Roman"/>
          <w:noProof/>
          <w:sz w:val="24"/>
          <w:lang w:val="en-US"/>
        </w:rPr>
        <w:t>3. Valstīm ir jānodrošina, ka konkurences tiesību piemērošanas izņēmumi nav plašāki kā nepieciešams, lai sasniegtu sabiedrības interešu mērķus, un ka šie izņēmumi tiek interpretēti šauri. Izņēmumi ir jāattiecina tikai uz to uzņēmējdarbību, kas ir nepieciešama, lai sasniegtu noteikto politikas mērķi. Šis princips nozīmē arī to, ka visi jaunie izņēmumi ir jānosaka uz ierobežotu laiku, parasti norādot beigu datumu, lai neviens izņēmums nepaliktu spēkā ilgāk kā nepieciešams noteiktā politikas mērķa sasniegšanai.</w:t>
      </w:r>
    </w:p>
    <w:p w14:paraId="7E6F30AB" w14:textId="77777777" w:rsidR="008F613B" w:rsidRPr="008F613B" w:rsidRDefault="008F613B" w:rsidP="008F613B">
      <w:pPr>
        <w:pStyle w:val="BodyText"/>
        <w:tabs>
          <w:tab w:val="left" w:pos="1303"/>
        </w:tabs>
        <w:ind w:left="0"/>
        <w:jc w:val="both"/>
        <w:rPr>
          <w:rFonts w:ascii="Times New Roman" w:hAnsi="Times New Roman" w:cs="Times New Roman"/>
          <w:noProof/>
          <w:sz w:val="24"/>
          <w:szCs w:val="24"/>
          <w:lang w:val="en-US"/>
        </w:rPr>
      </w:pPr>
    </w:p>
    <w:p w14:paraId="0AAB0EAE" w14:textId="77777777" w:rsidR="008F613B" w:rsidRPr="008F613B" w:rsidRDefault="008F613B" w:rsidP="008F613B">
      <w:pPr>
        <w:pStyle w:val="BodyText"/>
        <w:tabs>
          <w:tab w:val="left" w:pos="1303"/>
        </w:tabs>
        <w:ind w:left="0"/>
        <w:jc w:val="both"/>
        <w:rPr>
          <w:rFonts w:ascii="Times New Roman" w:hAnsi="Times New Roman"/>
          <w:noProof/>
          <w:sz w:val="24"/>
          <w:lang w:val="en-US"/>
        </w:rPr>
      </w:pPr>
      <w:r w:rsidRPr="008F613B">
        <w:rPr>
          <w:rFonts w:ascii="Times New Roman" w:hAnsi="Times New Roman"/>
          <w:noProof/>
          <w:sz w:val="24"/>
          <w:lang w:val="en-US"/>
        </w:rPr>
        <w:t>4. Attiecībā uz valsts politikas pasākumiem konkurences novērtējums ir jāveic pat tad, ja šo politikas pasākumu mērķis ir veicināt konkurenci, un sevišķi tad, ja tie:</w:t>
      </w:r>
    </w:p>
    <w:p w14:paraId="5F5ED4BE" w14:textId="77777777" w:rsidR="008F613B" w:rsidRPr="008F613B" w:rsidRDefault="008F613B" w:rsidP="008F613B">
      <w:pPr>
        <w:pStyle w:val="BodyText"/>
        <w:tabs>
          <w:tab w:val="left" w:pos="1303"/>
        </w:tabs>
        <w:ind w:left="0"/>
        <w:jc w:val="both"/>
        <w:rPr>
          <w:rFonts w:ascii="Times New Roman" w:hAnsi="Times New Roman" w:cs="Times New Roman"/>
          <w:noProof/>
          <w:sz w:val="24"/>
          <w:szCs w:val="24"/>
          <w:lang w:val="en-US"/>
        </w:rPr>
      </w:pPr>
    </w:p>
    <w:p w14:paraId="54146B51" w14:textId="77777777" w:rsidR="008F613B" w:rsidRPr="008F613B" w:rsidRDefault="008F613B" w:rsidP="008F613B">
      <w:pPr>
        <w:pStyle w:val="BodyText"/>
        <w:tabs>
          <w:tab w:val="left" w:pos="1870"/>
        </w:tabs>
        <w:ind w:left="284"/>
        <w:jc w:val="both"/>
        <w:rPr>
          <w:rFonts w:ascii="Times New Roman" w:hAnsi="Times New Roman"/>
          <w:noProof/>
          <w:sz w:val="24"/>
          <w:lang w:val="en-US"/>
        </w:rPr>
      </w:pPr>
      <w:r w:rsidRPr="008F613B">
        <w:rPr>
          <w:rFonts w:ascii="Times New Roman" w:hAnsi="Times New Roman"/>
          <w:noProof/>
          <w:sz w:val="24"/>
          <w:lang w:val="en-US"/>
        </w:rPr>
        <w:t>i) izveido vai maina regulatīvo iestādi vai režīmu (piemēram, novērtēšanā jāpārliecinās par to, vai regulators tostarp ir pienācīgi nošķirts no regulētās nozares);</w:t>
      </w:r>
    </w:p>
    <w:p w14:paraId="2E65EAA7" w14:textId="77777777" w:rsidR="008F613B" w:rsidRPr="008F613B" w:rsidRDefault="008F613B" w:rsidP="008F613B">
      <w:pPr>
        <w:pStyle w:val="BodyText"/>
        <w:tabs>
          <w:tab w:val="left" w:pos="1870"/>
        </w:tabs>
        <w:ind w:left="284"/>
        <w:jc w:val="both"/>
        <w:rPr>
          <w:rFonts w:ascii="Times New Roman" w:hAnsi="Times New Roman"/>
          <w:noProof/>
          <w:sz w:val="24"/>
          <w:lang w:val="en-US"/>
        </w:rPr>
      </w:pPr>
      <w:r w:rsidRPr="008F613B">
        <w:rPr>
          <w:rFonts w:ascii="Times New Roman" w:hAnsi="Times New Roman"/>
          <w:noProof/>
          <w:sz w:val="24"/>
          <w:lang w:val="en-US"/>
        </w:rPr>
        <w:t>ii) ievieš cenu vai ieiešanas tirgū regulēšanas sistēmu (piemēram, novērtēšanā jāpārliecinās par to, vai nav citu samērīgu, konkurenci mazāk kropļojošu iejaukšanās iespēju);</w:t>
      </w:r>
    </w:p>
    <w:p w14:paraId="16E7D58C" w14:textId="77777777" w:rsidR="008F613B" w:rsidRPr="008F613B" w:rsidRDefault="008F613B" w:rsidP="008F613B">
      <w:pPr>
        <w:pStyle w:val="BodyText"/>
        <w:tabs>
          <w:tab w:val="left" w:pos="1870"/>
        </w:tabs>
        <w:ind w:left="284"/>
        <w:jc w:val="both"/>
        <w:rPr>
          <w:rFonts w:ascii="Times New Roman" w:hAnsi="Times New Roman"/>
          <w:noProof/>
          <w:sz w:val="24"/>
          <w:lang w:val="en-US"/>
        </w:rPr>
      </w:pPr>
      <w:r w:rsidRPr="008F613B">
        <w:rPr>
          <w:rFonts w:ascii="Times New Roman" w:hAnsi="Times New Roman"/>
          <w:noProof/>
          <w:sz w:val="24"/>
          <w:lang w:val="en-US"/>
        </w:rPr>
        <w:lastRenderedPageBreak/>
        <w:t>iii) pārstrukturē pašreizējos monopolus (piem., novērtēšanā jāpārliecinās par to, vai pārstrukturēšanas pasākumi patiešām sasniedz konkurenci veicinošos mērķus);</w:t>
      </w:r>
    </w:p>
    <w:p w14:paraId="56F81D45" w14:textId="77777777" w:rsidR="008F613B" w:rsidRPr="008F613B" w:rsidRDefault="008F613B" w:rsidP="008F613B">
      <w:pPr>
        <w:pStyle w:val="BodyText"/>
        <w:tabs>
          <w:tab w:val="left" w:pos="1870"/>
        </w:tabs>
        <w:ind w:left="284"/>
        <w:jc w:val="both"/>
        <w:rPr>
          <w:rFonts w:ascii="Times New Roman" w:hAnsi="Times New Roman"/>
          <w:noProof/>
          <w:sz w:val="24"/>
          <w:lang w:val="en-US"/>
        </w:rPr>
      </w:pPr>
      <w:r w:rsidRPr="008F613B">
        <w:rPr>
          <w:rFonts w:ascii="Times New Roman" w:hAnsi="Times New Roman"/>
          <w:noProof/>
          <w:sz w:val="24"/>
          <w:lang w:val="en-US"/>
        </w:rPr>
        <w:t>iv) ievieš procesus konkurencei par tirgu (piemēram, novērtēšanā jāpārliecinās par to, vai konkursa process rada stimulu efektīvi darboties patērētāju labā);</w:t>
      </w:r>
    </w:p>
    <w:p w14:paraId="0787CFDD" w14:textId="77777777" w:rsidR="008F613B" w:rsidRPr="008F613B" w:rsidRDefault="008F613B" w:rsidP="008F613B">
      <w:pPr>
        <w:pStyle w:val="BodyText"/>
        <w:tabs>
          <w:tab w:val="left" w:pos="1870"/>
        </w:tabs>
        <w:ind w:left="284"/>
        <w:jc w:val="both"/>
        <w:rPr>
          <w:rFonts w:ascii="Times New Roman" w:hAnsi="Times New Roman"/>
          <w:noProof/>
          <w:sz w:val="24"/>
          <w:lang w:val="en-US"/>
        </w:rPr>
      </w:pPr>
      <w:r w:rsidRPr="008F613B">
        <w:rPr>
          <w:rFonts w:ascii="Times New Roman" w:hAnsi="Times New Roman"/>
          <w:noProof/>
          <w:sz w:val="24"/>
          <w:lang w:val="en-US"/>
        </w:rPr>
        <w:t>v) nosaka izņēmumu no konkurences tiesībām saistībā ar kādu konkrētu mērķi (piemēram, novērtēšanā jāpārliecinās par to, vai izņēmums ir absolūti nepieciešams, lai sasniegtu noteiktos politikas mērķus).</w:t>
      </w:r>
    </w:p>
    <w:p w14:paraId="003E0511" w14:textId="77777777" w:rsidR="008F613B" w:rsidRPr="008F613B" w:rsidRDefault="008F613B" w:rsidP="008F613B">
      <w:pPr>
        <w:jc w:val="both"/>
        <w:rPr>
          <w:rFonts w:ascii="Times New Roman" w:eastAsia="Arial" w:hAnsi="Times New Roman" w:cs="Times New Roman"/>
          <w:noProof/>
          <w:sz w:val="24"/>
          <w:szCs w:val="24"/>
          <w:lang w:val="en-US"/>
        </w:rPr>
      </w:pPr>
    </w:p>
    <w:p w14:paraId="6654FDFE" w14:textId="77777777" w:rsidR="008F613B" w:rsidRPr="008F613B" w:rsidRDefault="008F613B" w:rsidP="008F613B">
      <w:pPr>
        <w:pStyle w:val="Heading3"/>
        <w:tabs>
          <w:tab w:val="left" w:pos="705"/>
        </w:tabs>
        <w:ind w:left="0" w:firstLine="0"/>
        <w:jc w:val="both"/>
        <w:rPr>
          <w:rFonts w:ascii="Times New Roman" w:hAnsi="Times New Roman"/>
          <w:noProof/>
          <w:sz w:val="24"/>
          <w:lang w:val="en-US"/>
        </w:rPr>
      </w:pPr>
      <w:r w:rsidRPr="008F613B">
        <w:rPr>
          <w:rFonts w:ascii="Times New Roman" w:hAnsi="Times New Roman"/>
          <w:noProof/>
          <w:sz w:val="24"/>
          <w:lang w:val="en-US"/>
        </w:rPr>
        <w:t>B. Pārskatīt valsts politikas pasākumus, kuri pārmērīgi ierobežo konkurenci</w:t>
      </w:r>
    </w:p>
    <w:p w14:paraId="65A0E88B" w14:textId="77777777" w:rsidR="008F613B" w:rsidRPr="008F613B" w:rsidRDefault="008F613B" w:rsidP="008F613B">
      <w:pPr>
        <w:jc w:val="both"/>
        <w:rPr>
          <w:rFonts w:ascii="Times New Roman" w:eastAsia="Arial" w:hAnsi="Times New Roman" w:cs="Times New Roman"/>
          <w:b/>
          <w:bCs/>
          <w:i/>
          <w:noProof/>
          <w:sz w:val="24"/>
          <w:szCs w:val="24"/>
          <w:lang w:val="en-US"/>
        </w:rPr>
      </w:pPr>
    </w:p>
    <w:p w14:paraId="6905FA9B" w14:textId="77777777" w:rsidR="008F613B" w:rsidRPr="008F613B" w:rsidRDefault="008F613B" w:rsidP="008F613B">
      <w:pPr>
        <w:pStyle w:val="BodyText"/>
        <w:tabs>
          <w:tab w:val="left" w:pos="1164"/>
        </w:tabs>
        <w:ind w:left="0"/>
        <w:jc w:val="both"/>
        <w:rPr>
          <w:rFonts w:ascii="Times New Roman" w:hAnsi="Times New Roman"/>
          <w:noProof/>
          <w:sz w:val="24"/>
          <w:lang w:val="en-US"/>
        </w:rPr>
      </w:pPr>
      <w:r w:rsidRPr="008F613B">
        <w:rPr>
          <w:rFonts w:ascii="Times New Roman" w:hAnsi="Times New Roman"/>
          <w:noProof/>
          <w:sz w:val="24"/>
          <w:lang w:val="en-US"/>
        </w:rPr>
        <w:t>1. Valstīm jāuzsāk atbilstošs process, lai pārskatītu spēkā esošos vai ierosinātos valsts politikas pasākumus, kas pārmērīgi ierobežo konkurenci, un jāizstrādā īpaši un skaidri kritēriji piemērotu alternatīvu izvērtēšanai.</w:t>
      </w:r>
    </w:p>
    <w:p w14:paraId="256BEB8B" w14:textId="77777777" w:rsidR="008F613B" w:rsidRPr="008F613B" w:rsidRDefault="008F613B" w:rsidP="008F613B">
      <w:pPr>
        <w:jc w:val="both"/>
        <w:rPr>
          <w:rFonts w:ascii="Times New Roman" w:hAnsi="Times New Roman" w:cs="Times New Roman"/>
          <w:noProof/>
          <w:sz w:val="24"/>
          <w:szCs w:val="24"/>
          <w:lang w:val="en-US"/>
        </w:rPr>
      </w:pPr>
    </w:p>
    <w:p w14:paraId="3838082A" w14:textId="77777777" w:rsidR="008F613B" w:rsidRPr="008F613B" w:rsidRDefault="008F613B" w:rsidP="008F613B">
      <w:pPr>
        <w:pStyle w:val="BodyText"/>
        <w:tabs>
          <w:tab w:val="left" w:pos="1171"/>
        </w:tabs>
        <w:ind w:left="0"/>
        <w:jc w:val="both"/>
        <w:rPr>
          <w:rFonts w:ascii="Times New Roman" w:hAnsi="Times New Roman"/>
          <w:noProof/>
          <w:sz w:val="24"/>
          <w:lang w:val="en-US"/>
        </w:rPr>
      </w:pPr>
      <w:r w:rsidRPr="008F613B">
        <w:rPr>
          <w:rFonts w:ascii="Times New Roman" w:hAnsi="Times New Roman"/>
          <w:noProof/>
          <w:sz w:val="24"/>
          <w:lang w:val="en-US"/>
        </w:rPr>
        <w:t>2. Valstīm jāpieņem tā alternatīva, kas visvairāk sekmē konkurenci un ko var savienot ar nospraustajiem sabiedrības interešu mērķiem, izvērtējot šīs alternatīvas priekšrocības un ieviešanas izmaksas.</w:t>
      </w:r>
    </w:p>
    <w:p w14:paraId="589E16D6" w14:textId="77777777" w:rsidR="008F613B" w:rsidRPr="008F613B" w:rsidRDefault="008F613B" w:rsidP="008F613B">
      <w:pPr>
        <w:jc w:val="both"/>
        <w:rPr>
          <w:rFonts w:ascii="Times New Roman" w:eastAsia="Arial" w:hAnsi="Times New Roman" w:cs="Times New Roman"/>
          <w:noProof/>
          <w:sz w:val="24"/>
          <w:szCs w:val="24"/>
          <w:lang w:val="en-US"/>
        </w:rPr>
      </w:pPr>
    </w:p>
    <w:p w14:paraId="43DEF8F1" w14:textId="77777777" w:rsidR="008F613B" w:rsidRPr="008F613B" w:rsidRDefault="008F613B" w:rsidP="008F613B">
      <w:pPr>
        <w:pStyle w:val="Heading3"/>
        <w:tabs>
          <w:tab w:val="left" w:pos="705"/>
        </w:tabs>
        <w:ind w:left="0" w:firstLine="0"/>
        <w:jc w:val="both"/>
        <w:rPr>
          <w:rFonts w:ascii="Times New Roman" w:hAnsi="Times New Roman"/>
          <w:noProof/>
          <w:sz w:val="24"/>
          <w:lang w:val="en-US"/>
        </w:rPr>
      </w:pPr>
      <w:r w:rsidRPr="008F613B">
        <w:rPr>
          <w:rFonts w:ascii="Times New Roman" w:hAnsi="Times New Roman"/>
          <w:noProof/>
          <w:sz w:val="24"/>
          <w:lang w:val="en-US"/>
        </w:rPr>
        <w:t>C. Institucionālais ietvars</w:t>
      </w:r>
    </w:p>
    <w:p w14:paraId="5C01104A" w14:textId="77777777" w:rsidR="008F613B" w:rsidRPr="008F613B" w:rsidRDefault="008F613B" w:rsidP="008F613B">
      <w:pPr>
        <w:jc w:val="both"/>
        <w:rPr>
          <w:rFonts w:ascii="Times New Roman" w:eastAsia="Arial" w:hAnsi="Times New Roman" w:cs="Times New Roman"/>
          <w:b/>
          <w:bCs/>
          <w:i/>
          <w:noProof/>
          <w:sz w:val="24"/>
          <w:szCs w:val="24"/>
          <w:lang w:val="en-US"/>
        </w:rPr>
      </w:pPr>
    </w:p>
    <w:p w14:paraId="2FDABF73" w14:textId="77777777" w:rsidR="008F613B" w:rsidRPr="008F613B" w:rsidRDefault="008F613B" w:rsidP="008F613B">
      <w:pPr>
        <w:pStyle w:val="BodyText"/>
        <w:tabs>
          <w:tab w:val="left" w:pos="1164"/>
        </w:tabs>
        <w:ind w:left="0"/>
        <w:jc w:val="both"/>
        <w:rPr>
          <w:rFonts w:ascii="Times New Roman" w:hAnsi="Times New Roman"/>
          <w:noProof/>
          <w:sz w:val="24"/>
          <w:lang w:val="en-US"/>
        </w:rPr>
      </w:pPr>
      <w:r w:rsidRPr="008F613B">
        <w:rPr>
          <w:rFonts w:ascii="Times New Roman" w:hAnsi="Times New Roman"/>
          <w:noProof/>
          <w:sz w:val="24"/>
          <w:lang w:val="en-US"/>
        </w:rPr>
        <w:t>1. Konkurences novērtēšanai jābūt iekļautai valsts politikas pasākumu izskatīšanā visiedarbīgākajā un visefektīvākajā veidā, kāds iespējams, ņemot vērā institucionālos un resursu ierobežojumus.</w:t>
      </w:r>
    </w:p>
    <w:p w14:paraId="75EF6D13" w14:textId="77777777" w:rsidR="008F613B" w:rsidRPr="008F613B" w:rsidRDefault="008F613B" w:rsidP="008F613B">
      <w:pPr>
        <w:pStyle w:val="BodyText"/>
        <w:tabs>
          <w:tab w:val="left" w:pos="1164"/>
        </w:tabs>
        <w:ind w:left="0"/>
        <w:jc w:val="both"/>
        <w:rPr>
          <w:rFonts w:ascii="Times New Roman" w:hAnsi="Times New Roman" w:cs="Times New Roman"/>
          <w:noProof/>
          <w:sz w:val="24"/>
          <w:szCs w:val="24"/>
          <w:lang w:val="en-US"/>
        </w:rPr>
      </w:pPr>
    </w:p>
    <w:p w14:paraId="7D386AFC" w14:textId="77777777" w:rsidR="008F613B" w:rsidRPr="008F613B" w:rsidRDefault="008F613B" w:rsidP="008F613B">
      <w:pPr>
        <w:pStyle w:val="BodyText"/>
        <w:tabs>
          <w:tab w:val="left" w:pos="1164"/>
        </w:tabs>
        <w:ind w:left="0"/>
        <w:jc w:val="both"/>
        <w:rPr>
          <w:rFonts w:ascii="Times New Roman" w:hAnsi="Times New Roman"/>
          <w:noProof/>
          <w:sz w:val="24"/>
          <w:lang w:val="en-US"/>
        </w:rPr>
      </w:pPr>
      <w:r w:rsidRPr="008F613B">
        <w:rPr>
          <w:rFonts w:ascii="Times New Roman" w:hAnsi="Times New Roman"/>
          <w:noProof/>
          <w:sz w:val="24"/>
          <w:lang w:val="en-US"/>
        </w:rPr>
        <w:t>2. Konkurences novērtēšanas procesā jābūt iesaistītām gan konkurences uzraudzības iestādēm, gan konkurences jautājumos kompetentām amatpersonām.</w:t>
      </w:r>
    </w:p>
    <w:p w14:paraId="786D33C3" w14:textId="77777777" w:rsidR="008F613B" w:rsidRPr="008F613B" w:rsidRDefault="008F613B" w:rsidP="008F613B">
      <w:pPr>
        <w:pStyle w:val="BodyText"/>
        <w:tabs>
          <w:tab w:val="left" w:pos="1171"/>
        </w:tabs>
        <w:ind w:left="0"/>
        <w:jc w:val="both"/>
        <w:rPr>
          <w:rFonts w:ascii="Times New Roman" w:hAnsi="Times New Roman" w:cs="Times New Roman"/>
          <w:noProof/>
          <w:sz w:val="24"/>
          <w:szCs w:val="24"/>
          <w:lang w:val="en-US"/>
        </w:rPr>
      </w:pPr>
    </w:p>
    <w:p w14:paraId="1067C78A" w14:textId="77777777" w:rsidR="008F613B" w:rsidRPr="008F613B" w:rsidRDefault="008F613B" w:rsidP="008F613B">
      <w:pPr>
        <w:pStyle w:val="BodyText"/>
        <w:tabs>
          <w:tab w:val="left" w:pos="1171"/>
        </w:tabs>
        <w:ind w:left="0"/>
        <w:jc w:val="both"/>
        <w:rPr>
          <w:rFonts w:ascii="Times New Roman" w:hAnsi="Times New Roman"/>
          <w:noProof/>
          <w:sz w:val="24"/>
          <w:lang w:val="en-US"/>
        </w:rPr>
      </w:pPr>
      <w:r w:rsidRPr="008F613B">
        <w:rPr>
          <w:rFonts w:ascii="Times New Roman" w:hAnsi="Times New Roman"/>
          <w:noProof/>
          <w:sz w:val="24"/>
          <w:lang w:val="en-US"/>
        </w:rPr>
        <w:t>3. Konkurences novērtēšana attiecībā uz ierosinātiem valsts politikas pasākumiem jāveic agrīnā politikas veidošanas procesa posmā.</w:t>
      </w:r>
    </w:p>
    <w:p w14:paraId="785EAACF" w14:textId="77777777" w:rsidR="008F613B" w:rsidRPr="008F613B" w:rsidRDefault="008F613B" w:rsidP="008F613B">
      <w:pPr>
        <w:jc w:val="both"/>
        <w:rPr>
          <w:rFonts w:ascii="Times New Roman" w:eastAsia="Arial" w:hAnsi="Times New Roman" w:cs="Times New Roman"/>
          <w:noProof/>
          <w:sz w:val="24"/>
          <w:szCs w:val="24"/>
          <w:lang w:val="en-US"/>
        </w:rPr>
      </w:pPr>
    </w:p>
    <w:p w14:paraId="62CBB172" w14:textId="77777777" w:rsidR="008F613B" w:rsidRPr="008F613B" w:rsidRDefault="008F613B" w:rsidP="008F613B">
      <w:pPr>
        <w:pStyle w:val="BodyText"/>
        <w:tabs>
          <w:tab w:val="left" w:pos="1301"/>
        </w:tabs>
        <w:ind w:left="0"/>
        <w:jc w:val="both"/>
        <w:rPr>
          <w:rFonts w:ascii="Times New Roman" w:hAnsi="Times New Roman" w:cs="Times New Roman"/>
          <w:noProof/>
          <w:sz w:val="24"/>
          <w:szCs w:val="24"/>
          <w:lang w:val="en-US"/>
        </w:rPr>
      </w:pPr>
      <w:r w:rsidRPr="008F613B">
        <w:rPr>
          <w:rFonts w:ascii="Times New Roman" w:hAnsi="Times New Roman"/>
          <w:b/>
          <w:noProof/>
          <w:sz w:val="24"/>
          <w:lang w:val="en-US"/>
        </w:rPr>
        <w:t xml:space="preserve">III. AICINA </w:t>
      </w:r>
      <w:r w:rsidRPr="008F613B">
        <w:rPr>
          <w:rFonts w:ascii="Times New Roman" w:hAnsi="Times New Roman"/>
          <w:noProof/>
          <w:sz w:val="24"/>
          <w:lang w:val="en-US"/>
        </w:rPr>
        <w:t>ģenerālsekretāru un īstenotājus izplatīt šo rekomendāciju, it īpaši konkurences uzraugu vidū un citu attiecīgo politikas veidotāju vidū.</w:t>
      </w:r>
    </w:p>
    <w:p w14:paraId="3B635222" w14:textId="77777777" w:rsidR="008F613B" w:rsidRPr="008F613B" w:rsidRDefault="008F613B" w:rsidP="008F613B">
      <w:pPr>
        <w:jc w:val="both"/>
        <w:rPr>
          <w:rFonts w:ascii="Times New Roman" w:eastAsia="Arial" w:hAnsi="Times New Roman" w:cs="Times New Roman"/>
          <w:noProof/>
          <w:sz w:val="24"/>
          <w:szCs w:val="24"/>
          <w:lang w:val="en-US"/>
        </w:rPr>
      </w:pPr>
    </w:p>
    <w:p w14:paraId="6C52B585" w14:textId="77777777" w:rsidR="008F613B" w:rsidRPr="008F613B" w:rsidRDefault="008F613B" w:rsidP="008F613B">
      <w:pPr>
        <w:pStyle w:val="BodyText"/>
        <w:tabs>
          <w:tab w:val="left" w:pos="1301"/>
        </w:tabs>
        <w:ind w:left="0"/>
        <w:jc w:val="both"/>
        <w:rPr>
          <w:rFonts w:ascii="Times New Roman" w:hAnsi="Times New Roman" w:cs="Times New Roman"/>
          <w:noProof/>
          <w:sz w:val="24"/>
          <w:szCs w:val="24"/>
          <w:lang w:val="en-US"/>
        </w:rPr>
      </w:pPr>
      <w:r w:rsidRPr="008F613B">
        <w:rPr>
          <w:rFonts w:ascii="Times New Roman" w:hAnsi="Times New Roman"/>
          <w:b/>
          <w:noProof/>
          <w:sz w:val="24"/>
          <w:lang w:val="en-US"/>
        </w:rPr>
        <w:t xml:space="preserve">IV. AICINA </w:t>
      </w:r>
      <w:r w:rsidRPr="008F613B">
        <w:rPr>
          <w:rFonts w:ascii="Times New Roman" w:hAnsi="Times New Roman"/>
          <w:noProof/>
          <w:sz w:val="24"/>
          <w:lang w:val="en-US"/>
        </w:rPr>
        <w:t>valstis, kas nav īstenotāji, pienācīgi ņemt vērā un īstenot šo rekomendāciju.</w:t>
      </w:r>
    </w:p>
    <w:p w14:paraId="3C0AA0FC" w14:textId="77777777" w:rsidR="008F613B" w:rsidRPr="008F613B" w:rsidRDefault="008F613B" w:rsidP="008F613B">
      <w:pPr>
        <w:jc w:val="both"/>
        <w:rPr>
          <w:rFonts w:ascii="Times New Roman" w:eastAsia="Arial" w:hAnsi="Times New Roman" w:cs="Times New Roman"/>
          <w:noProof/>
          <w:sz w:val="24"/>
          <w:szCs w:val="24"/>
          <w:lang w:val="en-US"/>
        </w:rPr>
      </w:pPr>
    </w:p>
    <w:p w14:paraId="7ECEAC26" w14:textId="77777777" w:rsidR="008F613B" w:rsidRPr="008F613B" w:rsidRDefault="008F613B" w:rsidP="008F613B">
      <w:pPr>
        <w:tabs>
          <w:tab w:val="left" w:pos="1301"/>
        </w:tabs>
        <w:jc w:val="both"/>
        <w:rPr>
          <w:rFonts w:ascii="Times New Roman" w:eastAsia="Arial" w:hAnsi="Times New Roman" w:cs="Times New Roman"/>
          <w:noProof/>
          <w:sz w:val="24"/>
          <w:szCs w:val="24"/>
          <w:lang w:val="en-US"/>
        </w:rPr>
      </w:pPr>
      <w:r w:rsidRPr="008F613B">
        <w:rPr>
          <w:rFonts w:ascii="Times New Roman" w:hAnsi="Times New Roman"/>
          <w:b/>
          <w:noProof/>
          <w:sz w:val="24"/>
          <w:lang w:val="en-US"/>
        </w:rPr>
        <w:t xml:space="preserve">V. UZDOD </w:t>
      </w:r>
      <w:r w:rsidRPr="008F613B">
        <w:rPr>
          <w:rFonts w:ascii="Times New Roman" w:hAnsi="Times New Roman"/>
          <w:noProof/>
          <w:sz w:val="24"/>
          <w:lang w:val="en-US"/>
        </w:rPr>
        <w:t>Konkurences komitejai:</w:t>
      </w:r>
    </w:p>
    <w:p w14:paraId="59AF2E61" w14:textId="77777777" w:rsidR="008F613B" w:rsidRPr="008F613B" w:rsidRDefault="008F613B" w:rsidP="008F613B">
      <w:pPr>
        <w:jc w:val="both"/>
        <w:rPr>
          <w:rFonts w:ascii="Times New Roman" w:eastAsia="Arial" w:hAnsi="Times New Roman" w:cs="Times New Roman"/>
          <w:noProof/>
          <w:sz w:val="24"/>
          <w:szCs w:val="24"/>
          <w:lang w:val="en-US"/>
        </w:rPr>
      </w:pPr>
    </w:p>
    <w:p w14:paraId="309333C1" w14:textId="77777777" w:rsidR="008F613B" w:rsidRPr="008F613B" w:rsidRDefault="008F613B" w:rsidP="008F613B">
      <w:pPr>
        <w:pStyle w:val="BodyText"/>
        <w:tabs>
          <w:tab w:val="left" w:pos="1164"/>
        </w:tabs>
        <w:ind w:left="0"/>
        <w:jc w:val="both"/>
        <w:rPr>
          <w:rFonts w:ascii="Times New Roman" w:hAnsi="Times New Roman"/>
          <w:noProof/>
          <w:sz w:val="24"/>
          <w:lang w:val="en-US"/>
        </w:rPr>
      </w:pPr>
      <w:r w:rsidRPr="008F613B">
        <w:rPr>
          <w:rFonts w:ascii="Times New Roman" w:hAnsi="Times New Roman"/>
          <w:noProof/>
          <w:sz w:val="24"/>
          <w:lang w:val="en-US"/>
        </w:rPr>
        <w:t>a) nodrošināt forumu ar šo rekomendāciju saistītas pieredzes apmaiņai;</w:t>
      </w:r>
    </w:p>
    <w:p w14:paraId="1A3537E6" w14:textId="77777777" w:rsidR="008F613B" w:rsidRPr="008F613B" w:rsidRDefault="008F613B" w:rsidP="008F613B">
      <w:pPr>
        <w:pStyle w:val="BodyText"/>
        <w:tabs>
          <w:tab w:val="left" w:pos="1164"/>
        </w:tabs>
        <w:ind w:left="0"/>
        <w:jc w:val="both"/>
        <w:rPr>
          <w:rFonts w:ascii="Times New Roman" w:hAnsi="Times New Roman" w:cs="Times New Roman"/>
          <w:noProof/>
          <w:sz w:val="24"/>
          <w:szCs w:val="24"/>
          <w:lang w:val="en-US"/>
        </w:rPr>
      </w:pPr>
    </w:p>
    <w:p w14:paraId="06AE42A8" w14:textId="77777777" w:rsidR="008F613B" w:rsidRPr="008F613B" w:rsidRDefault="008F613B" w:rsidP="008F613B">
      <w:pPr>
        <w:pStyle w:val="BodyText"/>
        <w:tabs>
          <w:tab w:val="left" w:pos="1164"/>
        </w:tabs>
        <w:ind w:left="0"/>
        <w:jc w:val="both"/>
        <w:rPr>
          <w:rFonts w:ascii="Times New Roman" w:hAnsi="Times New Roman"/>
          <w:noProof/>
          <w:sz w:val="24"/>
          <w:lang w:val="en-US"/>
        </w:rPr>
      </w:pPr>
      <w:r w:rsidRPr="008F613B">
        <w:rPr>
          <w:rFonts w:ascii="Times New Roman" w:hAnsi="Times New Roman"/>
          <w:noProof/>
          <w:sz w:val="24"/>
          <w:lang w:val="en-US"/>
        </w:rPr>
        <w:t>b) ziņot Padomei ne vēlāk kā pēc pieciem gadiem pēc rekomendācijas pieņemšanas un pēc tam ne retāk kā ik pēc desmit gadiem.</w:t>
      </w:r>
    </w:p>
    <w:p w14:paraId="663FE12C" w14:textId="77777777" w:rsidR="008F613B" w:rsidRPr="008F613B" w:rsidRDefault="008F613B" w:rsidP="008F613B">
      <w:pPr>
        <w:rPr>
          <w:noProof/>
          <w:lang w:val="en-US"/>
        </w:rPr>
      </w:pPr>
      <w:r w:rsidRPr="008F613B">
        <w:rPr>
          <w:noProof/>
          <w:lang w:val="en-US"/>
        </w:rPr>
        <w:br w:type="page"/>
      </w:r>
    </w:p>
    <w:p w14:paraId="3BAE5364" w14:textId="77777777" w:rsidR="008F613B" w:rsidRPr="008F613B" w:rsidRDefault="008F613B" w:rsidP="008F613B">
      <w:pPr>
        <w:jc w:val="both"/>
        <w:rPr>
          <w:rFonts w:ascii="Times New Roman" w:hAnsi="Times New Roman" w:cs="Times New Roman"/>
          <w:noProof/>
          <w:sz w:val="24"/>
          <w:szCs w:val="24"/>
          <w:lang w:val="en-US"/>
        </w:rPr>
      </w:pPr>
    </w:p>
    <w:p w14:paraId="29C1E737" w14:textId="77777777" w:rsidR="008F613B" w:rsidRPr="008F613B" w:rsidRDefault="008F613B" w:rsidP="008F613B">
      <w:pPr>
        <w:pStyle w:val="Heading1"/>
        <w:spacing w:before="0"/>
        <w:ind w:left="0"/>
        <w:jc w:val="both"/>
        <w:rPr>
          <w:rFonts w:ascii="Times New Roman" w:hAnsi="Times New Roman"/>
          <w:noProof/>
          <w:color w:val="1F4679"/>
          <w:sz w:val="28"/>
          <w:lang w:val="en-US"/>
        </w:rPr>
      </w:pPr>
      <w:r w:rsidRPr="008F613B">
        <w:rPr>
          <w:rFonts w:ascii="Times New Roman" w:hAnsi="Times New Roman"/>
          <w:noProof/>
          <w:color w:val="1F4679"/>
          <w:sz w:val="28"/>
          <w:lang w:val="en-US"/>
        </w:rPr>
        <w:t>Par ESAO</w:t>
      </w:r>
      <w:bookmarkStart w:id="0" w:name="About_the_OECD"/>
      <w:bookmarkEnd w:id="0"/>
    </w:p>
    <w:p w14:paraId="0ECFF230" w14:textId="77777777" w:rsidR="008F613B" w:rsidRPr="008F613B" w:rsidRDefault="008F613B" w:rsidP="008F613B">
      <w:pPr>
        <w:jc w:val="both"/>
        <w:rPr>
          <w:rFonts w:ascii="Times New Roman" w:eastAsia="Arial" w:hAnsi="Times New Roman" w:cs="Times New Roman"/>
          <w:b/>
          <w:bCs/>
          <w:noProof/>
          <w:sz w:val="24"/>
          <w:szCs w:val="24"/>
          <w:lang w:val="en-US"/>
        </w:rPr>
      </w:pPr>
    </w:p>
    <w:p w14:paraId="5A8AE0AC" w14:textId="77777777" w:rsidR="008F613B" w:rsidRPr="008F613B" w:rsidRDefault="008F613B" w:rsidP="008F613B">
      <w:pPr>
        <w:pStyle w:val="BodyText"/>
        <w:ind w:left="0"/>
        <w:jc w:val="both"/>
        <w:rPr>
          <w:rFonts w:ascii="Times New Roman" w:hAnsi="Times New Roman"/>
          <w:noProof/>
          <w:sz w:val="24"/>
          <w:lang w:val="en-US"/>
        </w:rPr>
      </w:pPr>
      <w:r w:rsidRPr="008F613B">
        <w:rPr>
          <w:rFonts w:ascii="Times New Roman" w:hAnsi="Times New Roman"/>
          <w:noProof/>
          <w:sz w:val="24"/>
          <w:lang w:val="en-US"/>
        </w:rPr>
        <w:t>Ekonomiskās sadarbības un attīstības organizācija (ESAO) ir unikāls forums, kurā valstis kopīgi meklē risinājumus ekonomiskiem, sociāliem un vides izaicinājumiem, ko rada globalizācija. ESAO arī velta ļoti daudz pūļu tam, lai sekmētu izpratni par jaunām parādībām un problēmām, piemēram, par korporatīvo pārvaldību, informācijas ekonomiku un izaicinājumiem, ko rada iedzīvotāju novecošana, un palīdzētu valdībām reaģēt uz šīm pārmaiņām. Šī organizācija nodrošina vidi, kurā valstis var salīdzināt politikas jomā gūto pieredzi, risināt kopīgas problēmas, noteikt paraugprakses piemērus un strādāt, lai saskaņotu politiku valsts un starptautiskā līmenī.</w:t>
      </w:r>
    </w:p>
    <w:p w14:paraId="1CD9FA08" w14:textId="77777777" w:rsidR="008F613B" w:rsidRPr="008F613B" w:rsidRDefault="008F613B" w:rsidP="008F613B">
      <w:pPr>
        <w:jc w:val="both"/>
        <w:rPr>
          <w:rFonts w:ascii="Times New Roman" w:eastAsia="Arial" w:hAnsi="Times New Roman" w:cs="Times New Roman"/>
          <w:noProof/>
          <w:sz w:val="24"/>
          <w:szCs w:val="24"/>
          <w:lang w:val="en-US"/>
        </w:rPr>
      </w:pPr>
    </w:p>
    <w:p w14:paraId="7159CCAF" w14:textId="77777777" w:rsidR="008F613B" w:rsidRPr="008F613B" w:rsidRDefault="008F613B" w:rsidP="008F613B">
      <w:pPr>
        <w:pStyle w:val="BodyText"/>
        <w:ind w:left="0"/>
        <w:jc w:val="both"/>
        <w:rPr>
          <w:rFonts w:ascii="Times New Roman" w:hAnsi="Times New Roman"/>
          <w:noProof/>
          <w:sz w:val="24"/>
          <w:lang w:val="en-US"/>
        </w:rPr>
      </w:pPr>
      <w:r w:rsidRPr="008F613B">
        <w:rPr>
          <w:rFonts w:ascii="Times New Roman" w:hAnsi="Times New Roman"/>
          <w:noProof/>
          <w:sz w:val="24"/>
          <w:lang w:val="en-US"/>
        </w:rPr>
        <w:t>ESAO dalībvalstis ir: Amerikas Savienotās Valstis, Apvienotā Karaliste, Austrālija, Austrija, Beļģija, Čehijas Republika, Čīle, Dānija, Francija, Grieķija, Igaunija, Islande, Itālija, Izraēla, Īrija, Japāna, Jaunzēlande, Kanāda, Kolumbija, Koreja, Kostarika, Latvija, Lietuva, Luksemburga, Meksika, Nīderlande, Norvēģija, Polija, Portugāle, Slovākijas Republika, Slovēnija, Somija, Spānija, Šveice, Turcija, Ungārija, Vācija un Zviedrija. Eiropas Savienība piedalās ESAO darbā.</w:t>
      </w:r>
    </w:p>
    <w:p w14:paraId="1D0E563B" w14:textId="77777777" w:rsidR="008F613B" w:rsidRPr="008F613B" w:rsidRDefault="008F613B" w:rsidP="008F613B">
      <w:pPr>
        <w:jc w:val="both"/>
        <w:rPr>
          <w:rFonts w:ascii="Times New Roman" w:eastAsia="Arial" w:hAnsi="Times New Roman" w:cs="Times New Roman"/>
          <w:noProof/>
          <w:sz w:val="24"/>
          <w:szCs w:val="24"/>
          <w:lang w:val="en-US"/>
        </w:rPr>
      </w:pPr>
    </w:p>
    <w:p w14:paraId="4A0EC443" w14:textId="77777777" w:rsidR="008F613B" w:rsidRPr="008F613B" w:rsidRDefault="008F613B" w:rsidP="008F613B">
      <w:pPr>
        <w:pStyle w:val="Heading1"/>
        <w:spacing w:before="0"/>
        <w:ind w:left="0"/>
        <w:jc w:val="both"/>
        <w:rPr>
          <w:rFonts w:ascii="Times New Roman" w:hAnsi="Times New Roman"/>
          <w:noProof/>
          <w:color w:val="1F4679"/>
          <w:sz w:val="28"/>
          <w:lang w:val="en-US"/>
        </w:rPr>
      </w:pPr>
      <w:r w:rsidRPr="008F613B">
        <w:rPr>
          <w:rFonts w:ascii="Times New Roman" w:hAnsi="Times New Roman"/>
          <w:noProof/>
          <w:color w:val="1F4679"/>
          <w:sz w:val="28"/>
          <w:lang w:val="en-US"/>
        </w:rPr>
        <w:t>ESAO juridiskie instrumenti</w:t>
      </w:r>
      <w:bookmarkStart w:id="1" w:name="OECD_Legal_Instruments"/>
      <w:bookmarkEnd w:id="1"/>
    </w:p>
    <w:p w14:paraId="338C2C56" w14:textId="77777777" w:rsidR="008F613B" w:rsidRPr="008F613B" w:rsidRDefault="008F613B" w:rsidP="008F613B">
      <w:pPr>
        <w:jc w:val="both"/>
        <w:rPr>
          <w:rFonts w:ascii="Times New Roman" w:eastAsia="Arial" w:hAnsi="Times New Roman" w:cs="Times New Roman"/>
          <w:b/>
          <w:bCs/>
          <w:noProof/>
          <w:sz w:val="24"/>
          <w:szCs w:val="24"/>
          <w:lang w:val="en-US"/>
        </w:rPr>
      </w:pPr>
    </w:p>
    <w:p w14:paraId="238DAB99" w14:textId="77777777" w:rsidR="008F613B" w:rsidRPr="008F613B" w:rsidRDefault="008F613B" w:rsidP="008F613B">
      <w:pPr>
        <w:pStyle w:val="BodyText"/>
        <w:ind w:left="0"/>
        <w:jc w:val="both"/>
        <w:rPr>
          <w:rFonts w:ascii="Times New Roman" w:hAnsi="Times New Roman"/>
          <w:noProof/>
          <w:sz w:val="24"/>
          <w:lang w:val="en-US"/>
        </w:rPr>
      </w:pPr>
      <w:r w:rsidRPr="008F613B">
        <w:rPr>
          <w:rFonts w:ascii="Times New Roman" w:hAnsi="Times New Roman"/>
          <w:noProof/>
          <w:sz w:val="24"/>
          <w:lang w:val="en-US"/>
        </w:rPr>
        <w:t>Kopš ESAO izveidošanas 1961. gadā tās ietvaros ir izstrādāti aptuveni 460 būtiski juridiskie instrumenti. Tie ir ESAO akti (t. i., lēmumi un rekomendācijas, ko saskaņā ar ESAO Konvenciju pieņēmusi ESAO Padome) un citi juridiskie instrumenti, kas izstrādāti ESAO ietvaros (piemēram, deklarācijas, starptautiskie nolīgumi).</w:t>
      </w:r>
    </w:p>
    <w:p w14:paraId="0CFCC395" w14:textId="77777777" w:rsidR="008F613B" w:rsidRPr="008F613B" w:rsidRDefault="008F613B" w:rsidP="008F613B">
      <w:pPr>
        <w:jc w:val="both"/>
        <w:rPr>
          <w:rFonts w:ascii="Times New Roman" w:eastAsia="Arial" w:hAnsi="Times New Roman" w:cs="Times New Roman"/>
          <w:noProof/>
          <w:sz w:val="24"/>
          <w:szCs w:val="24"/>
          <w:lang w:val="en-US"/>
        </w:rPr>
      </w:pPr>
    </w:p>
    <w:p w14:paraId="57E7EB0B" w14:textId="77777777" w:rsidR="008F613B" w:rsidRPr="008F613B" w:rsidRDefault="008F613B" w:rsidP="008F613B">
      <w:pPr>
        <w:pStyle w:val="BodyText"/>
        <w:ind w:left="0"/>
        <w:jc w:val="both"/>
        <w:rPr>
          <w:rFonts w:ascii="Times New Roman" w:hAnsi="Times New Roman"/>
          <w:noProof/>
          <w:sz w:val="24"/>
          <w:lang w:val="en-US"/>
        </w:rPr>
      </w:pPr>
      <w:r w:rsidRPr="008F613B">
        <w:rPr>
          <w:rFonts w:ascii="Times New Roman" w:hAnsi="Times New Roman"/>
          <w:noProof/>
          <w:sz w:val="24"/>
          <w:lang w:val="en-US"/>
        </w:rPr>
        <w:t>Visi būtiskie ESAO juridiskie instrumenti – gan spēkā esošie, gan atceltie – ir uzskaitīti ESAO juridisko instrumentu tiešsaistes krājumā. Tie tiek grupēti piecās kategorijās.</w:t>
      </w:r>
    </w:p>
    <w:p w14:paraId="7730DC82" w14:textId="77777777" w:rsidR="008F613B" w:rsidRPr="008F613B" w:rsidRDefault="008F613B" w:rsidP="008F613B">
      <w:pPr>
        <w:jc w:val="both"/>
        <w:rPr>
          <w:rFonts w:ascii="Times New Roman" w:eastAsia="Arial" w:hAnsi="Times New Roman" w:cs="Times New Roman"/>
          <w:noProof/>
          <w:sz w:val="24"/>
          <w:szCs w:val="24"/>
          <w:lang w:val="en-US"/>
        </w:rPr>
      </w:pPr>
    </w:p>
    <w:p w14:paraId="28886D6D" w14:textId="77777777" w:rsidR="008F613B" w:rsidRPr="008F613B" w:rsidRDefault="008F613B" w:rsidP="008F613B">
      <w:pPr>
        <w:pStyle w:val="BodyText"/>
        <w:numPr>
          <w:ilvl w:val="0"/>
          <w:numId w:val="1"/>
        </w:numPr>
        <w:tabs>
          <w:tab w:val="left" w:pos="853"/>
        </w:tabs>
        <w:ind w:left="284" w:firstLine="0"/>
        <w:jc w:val="both"/>
        <w:rPr>
          <w:rFonts w:ascii="Times New Roman" w:hAnsi="Times New Roman"/>
          <w:noProof/>
          <w:sz w:val="24"/>
          <w:lang w:val="en-US"/>
        </w:rPr>
      </w:pPr>
      <w:r w:rsidRPr="008F613B">
        <w:rPr>
          <w:rFonts w:ascii="Times New Roman" w:hAnsi="Times New Roman"/>
          <w:b/>
          <w:noProof/>
          <w:sz w:val="24"/>
          <w:lang w:val="en-US"/>
        </w:rPr>
        <w:t xml:space="preserve">Lēmumus </w:t>
      </w:r>
      <w:r w:rsidRPr="008F613B">
        <w:rPr>
          <w:rFonts w:ascii="Times New Roman" w:hAnsi="Times New Roman"/>
          <w:noProof/>
          <w:sz w:val="24"/>
          <w:lang w:val="en-US"/>
        </w:rPr>
        <w:t>pieņem Padome, un tie ir juridiski saistoši visām dalībvalstīm, izņemot tās, kas to pieņemšanas laikā ir atturējušās no balsošanas. Tajos noteiktas īpašas tiesības un pienākumi, un tajos var būt ietverti uzraudzības mehānismi.</w:t>
      </w:r>
    </w:p>
    <w:p w14:paraId="14DAAE5D" w14:textId="77777777" w:rsidR="008F613B" w:rsidRPr="008F613B" w:rsidRDefault="008F613B" w:rsidP="008F613B">
      <w:pPr>
        <w:tabs>
          <w:tab w:val="left" w:pos="853"/>
        </w:tabs>
        <w:ind w:left="284"/>
        <w:jc w:val="both"/>
        <w:rPr>
          <w:rFonts w:ascii="Times New Roman" w:hAnsi="Times New Roman"/>
          <w:noProof/>
          <w:sz w:val="24"/>
          <w:lang w:val="en-US"/>
        </w:rPr>
      </w:pPr>
    </w:p>
    <w:p w14:paraId="245FEF5E" w14:textId="77777777" w:rsidR="008F613B" w:rsidRPr="008F613B" w:rsidRDefault="008F613B" w:rsidP="008F613B">
      <w:pPr>
        <w:pStyle w:val="BodyText"/>
        <w:numPr>
          <w:ilvl w:val="0"/>
          <w:numId w:val="1"/>
        </w:numPr>
        <w:tabs>
          <w:tab w:val="left" w:pos="853"/>
        </w:tabs>
        <w:ind w:left="284" w:firstLine="0"/>
        <w:jc w:val="both"/>
        <w:rPr>
          <w:rFonts w:ascii="Times New Roman" w:hAnsi="Times New Roman"/>
          <w:noProof/>
          <w:sz w:val="24"/>
          <w:lang w:val="en-US"/>
        </w:rPr>
      </w:pPr>
      <w:r w:rsidRPr="008F613B">
        <w:rPr>
          <w:rFonts w:ascii="Times New Roman" w:hAnsi="Times New Roman"/>
          <w:b/>
          <w:noProof/>
          <w:sz w:val="24"/>
          <w:lang w:val="en-US"/>
        </w:rPr>
        <w:t xml:space="preserve">Rekomendācijas </w:t>
      </w:r>
      <w:r w:rsidRPr="008F613B">
        <w:rPr>
          <w:rFonts w:ascii="Times New Roman" w:hAnsi="Times New Roman"/>
          <w:noProof/>
          <w:sz w:val="24"/>
          <w:lang w:val="en-US"/>
        </w:rPr>
        <w:t>pieņem Padome, un tās nav juridiski saistošas. Tajās atspoguļota politiska apņemšanās ievērot tajās ietvertos principus, un saskaņā ar tām tiek sagaidīts, ka īstenotāji darīs visu iespējamo, lai tās īstenotu.</w:t>
      </w:r>
    </w:p>
    <w:p w14:paraId="0F6EAADD" w14:textId="77777777" w:rsidR="008F613B" w:rsidRPr="008F613B" w:rsidRDefault="008F613B" w:rsidP="008F613B">
      <w:pPr>
        <w:tabs>
          <w:tab w:val="left" w:pos="853"/>
        </w:tabs>
        <w:ind w:left="284"/>
        <w:jc w:val="both"/>
        <w:rPr>
          <w:rFonts w:ascii="Times New Roman" w:hAnsi="Times New Roman"/>
          <w:noProof/>
          <w:sz w:val="24"/>
          <w:lang w:val="en-US"/>
        </w:rPr>
      </w:pPr>
    </w:p>
    <w:p w14:paraId="239D9F3A" w14:textId="77777777" w:rsidR="008F613B" w:rsidRPr="008F613B" w:rsidRDefault="008F613B" w:rsidP="008F613B">
      <w:pPr>
        <w:pStyle w:val="BodyText"/>
        <w:numPr>
          <w:ilvl w:val="0"/>
          <w:numId w:val="1"/>
        </w:numPr>
        <w:tabs>
          <w:tab w:val="left" w:pos="853"/>
        </w:tabs>
        <w:ind w:left="284" w:firstLine="0"/>
        <w:jc w:val="both"/>
        <w:rPr>
          <w:rFonts w:ascii="Times New Roman" w:hAnsi="Times New Roman"/>
          <w:noProof/>
          <w:sz w:val="24"/>
          <w:lang w:val="en-US"/>
        </w:rPr>
      </w:pPr>
      <w:r w:rsidRPr="008F613B">
        <w:rPr>
          <w:rFonts w:ascii="Times New Roman" w:hAnsi="Times New Roman"/>
          <w:b/>
          <w:noProof/>
          <w:sz w:val="24"/>
          <w:lang w:val="en-US"/>
        </w:rPr>
        <w:t xml:space="preserve">Būtiskus apkopojošos dokumentus </w:t>
      </w:r>
      <w:r w:rsidRPr="008F613B">
        <w:rPr>
          <w:rFonts w:ascii="Times New Roman" w:hAnsi="Times New Roman"/>
          <w:noProof/>
          <w:sz w:val="24"/>
          <w:lang w:val="en-US"/>
        </w:rPr>
        <w:t>pieņem atsevišķi sarakstā ietvertie īstenotāji, nevis ESAO institūcija, un tie ir pieņemti ministru līmeņa, augsta līmeņa vai cita veida sanāksmes rezultātā Organizācijas ietvaros. Parasti tajos noteikti vispārējie principi vai ilgtermiņa mērķi, un tie ir oficiāli.</w:t>
      </w:r>
    </w:p>
    <w:p w14:paraId="70F23DB9" w14:textId="77777777" w:rsidR="008F613B" w:rsidRPr="008F613B" w:rsidRDefault="008F613B" w:rsidP="008F613B">
      <w:pPr>
        <w:tabs>
          <w:tab w:val="left" w:pos="853"/>
        </w:tabs>
        <w:ind w:left="284"/>
        <w:jc w:val="both"/>
        <w:rPr>
          <w:rFonts w:ascii="Times New Roman" w:hAnsi="Times New Roman"/>
          <w:noProof/>
          <w:sz w:val="24"/>
          <w:lang w:val="en-US"/>
        </w:rPr>
      </w:pPr>
    </w:p>
    <w:p w14:paraId="1836D141" w14:textId="77777777" w:rsidR="008F613B" w:rsidRPr="008F613B" w:rsidRDefault="008F613B" w:rsidP="008F613B">
      <w:pPr>
        <w:pStyle w:val="BodyText"/>
        <w:numPr>
          <w:ilvl w:val="0"/>
          <w:numId w:val="1"/>
        </w:numPr>
        <w:tabs>
          <w:tab w:val="left" w:pos="853"/>
        </w:tabs>
        <w:ind w:left="284" w:firstLine="0"/>
        <w:jc w:val="both"/>
        <w:rPr>
          <w:rFonts w:ascii="Times New Roman" w:hAnsi="Times New Roman"/>
          <w:noProof/>
          <w:sz w:val="24"/>
          <w:lang w:val="en-US"/>
        </w:rPr>
      </w:pPr>
      <w:r w:rsidRPr="008F613B">
        <w:rPr>
          <w:rFonts w:ascii="Times New Roman" w:hAnsi="Times New Roman"/>
          <w:b/>
          <w:noProof/>
          <w:sz w:val="24"/>
          <w:lang w:val="en-US"/>
        </w:rPr>
        <w:t xml:space="preserve">Starptautiskie nolīgumi </w:t>
      </w:r>
      <w:r w:rsidRPr="008F613B">
        <w:rPr>
          <w:rFonts w:ascii="Times New Roman" w:hAnsi="Times New Roman"/>
          <w:noProof/>
          <w:sz w:val="24"/>
          <w:lang w:val="en-US"/>
        </w:rPr>
        <w:t>tiek apspriesti un noslēgti Organizācijas ietvaros. Tie pusēm ir juridiski saistoši.</w:t>
      </w:r>
    </w:p>
    <w:p w14:paraId="0A066596" w14:textId="77777777" w:rsidR="008F613B" w:rsidRPr="008F613B" w:rsidRDefault="008F613B" w:rsidP="008F613B">
      <w:pPr>
        <w:tabs>
          <w:tab w:val="left" w:pos="853"/>
        </w:tabs>
        <w:ind w:left="284"/>
        <w:jc w:val="both"/>
        <w:rPr>
          <w:rFonts w:ascii="Times New Roman" w:hAnsi="Times New Roman"/>
          <w:noProof/>
          <w:sz w:val="24"/>
          <w:lang w:val="en-US"/>
        </w:rPr>
      </w:pPr>
    </w:p>
    <w:p w14:paraId="3273DD19" w14:textId="77777777" w:rsidR="008F613B" w:rsidRPr="008F613B" w:rsidRDefault="008F613B" w:rsidP="008F613B">
      <w:pPr>
        <w:pStyle w:val="BodyText"/>
        <w:numPr>
          <w:ilvl w:val="0"/>
          <w:numId w:val="1"/>
        </w:numPr>
        <w:tabs>
          <w:tab w:val="left" w:pos="853"/>
        </w:tabs>
        <w:ind w:left="284" w:firstLine="0"/>
        <w:jc w:val="both"/>
        <w:rPr>
          <w:rFonts w:ascii="Times New Roman" w:hAnsi="Times New Roman" w:cs="Times New Roman"/>
          <w:noProof/>
          <w:sz w:val="24"/>
          <w:szCs w:val="24"/>
          <w:lang w:val="en-US"/>
        </w:rPr>
      </w:pPr>
      <w:r w:rsidRPr="008F613B">
        <w:rPr>
          <w:rFonts w:ascii="Times New Roman" w:hAnsi="Times New Roman"/>
          <w:b/>
          <w:noProof/>
          <w:sz w:val="24"/>
          <w:lang w:val="en-US"/>
        </w:rPr>
        <w:t>Vienošanās, saprašanās un citi instrumenti</w:t>
      </w:r>
      <w:r w:rsidRPr="008F613B">
        <w:rPr>
          <w:rFonts w:ascii="Times New Roman" w:hAnsi="Times New Roman"/>
          <w:noProof/>
          <w:sz w:val="24"/>
          <w:lang w:val="en-US"/>
        </w:rPr>
        <w:t>. Laika gaitā ESAO ietvaros ir izstrādāti vairāki būtiski citu veidu juridiskie instrumenti, piemēram, Vienošanās par oficiāli atbalstītiem eksporta kredītiem, Starptautiskā saprašanās par jūras transporta principiem un Attīstības palīdzības komitejas (</w:t>
      </w:r>
      <w:r w:rsidRPr="008F613B">
        <w:rPr>
          <w:rFonts w:ascii="Times New Roman" w:hAnsi="Times New Roman"/>
          <w:i/>
          <w:iCs/>
          <w:noProof/>
          <w:sz w:val="24"/>
          <w:lang w:val="en-US"/>
        </w:rPr>
        <w:t>DAC</w:t>
      </w:r>
      <w:r w:rsidRPr="008F613B">
        <w:rPr>
          <w:rFonts w:ascii="Times New Roman" w:hAnsi="Times New Roman"/>
          <w:noProof/>
          <w:sz w:val="24"/>
          <w:lang w:val="en-US"/>
        </w:rPr>
        <w:t>) rekomendācijas.</w:t>
      </w:r>
    </w:p>
    <w:sectPr w:rsidR="008F613B" w:rsidRPr="008F613B" w:rsidSect="00D630A7">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850F6" w14:textId="77777777" w:rsidR="006F0D85" w:rsidRPr="008F613B" w:rsidRDefault="006F0D85">
      <w:pPr>
        <w:rPr>
          <w:noProof/>
          <w:lang w:val="en-US"/>
        </w:rPr>
      </w:pPr>
      <w:r w:rsidRPr="008F613B">
        <w:rPr>
          <w:noProof/>
          <w:lang w:val="en-US"/>
        </w:rPr>
        <w:separator/>
      </w:r>
    </w:p>
  </w:endnote>
  <w:endnote w:type="continuationSeparator" w:id="0">
    <w:p w14:paraId="0A5274D3" w14:textId="77777777" w:rsidR="006F0D85" w:rsidRPr="008F613B" w:rsidRDefault="006F0D85">
      <w:pPr>
        <w:rPr>
          <w:noProof/>
          <w:lang w:val="en-US"/>
        </w:rPr>
      </w:pPr>
      <w:r w:rsidRPr="008F613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B91C" w14:textId="77777777" w:rsidR="008F613B" w:rsidRDefault="008F6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5BB47" w14:textId="77777777" w:rsidR="005916DC" w:rsidRPr="008F613B" w:rsidRDefault="005916DC" w:rsidP="005916DC">
    <w:pPr>
      <w:pStyle w:val="Header"/>
      <w:tabs>
        <w:tab w:val="left" w:pos="9072"/>
      </w:tabs>
      <w:jc w:val="both"/>
      <w:rPr>
        <w:rStyle w:val="PageNumber"/>
        <w:rFonts w:ascii="Times New Roman" w:hAnsi="Times New Roman" w:cs="Times New Roman"/>
        <w:noProof/>
        <w:sz w:val="20"/>
        <w:szCs w:val="20"/>
        <w:lang w:val="en-US"/>
      </w:rPr>
    </w:pPr>
  </w:p>
  <w:p w14:paraId="682E449E" w14:textId="77777777" w:rsidR="005916DC" w:rsidRPr="008F613B" w:rsidRDefault="005916DC" w:rsidP="005916DC">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8F613B">
      <w:rPr>
        <w:rFonts w:ascii="Times New Roman" w:hAnsi="Times New Roman" w:cs="Times New Roman"/>
        <w:noProof/>
        <w:sz w:val="20"/>
        <w:szCs w:val="20"/>
        <w:lang w:val="en-US"/>
      </w:rPr>
      <w:tab/>
    </w:r>
  </w:p>
  <w:p w14:paraId="520B5995" w14:textId="77777777" w:rsidR="005916DC" w:rsidRPr="008F613B" w:rsidRDefault="005916DC" w:rsidP="005916DC">
    <w:pPr>
      <w:pStyle w:val="Header"/>
      <w:tabs>
        <w:tab w:val="right" w:pos="9072"/>
      </w:tabs>
      <w:jc w:val="both"/>
      <w:rPr>
        <w:rStyle w:val="PageNumber"/>
        <w:rFonts w:ascii="Times New Roman" w:hAnsi="Times New Roman" w:cs="Times New Roman"/>
        <w:noProof/>
        <w:sz w:val="20"/>
        <w:szCs w:val="20"/>
        <w:lang w:val="en-US"/>
      </w:rPr>
    </w:pPr>
  </w:p>
  <w:p w14:paraId="18789075" w14:textId="77777777" w:rsidR="005916DC" w:rsidRPr="008F613B" w:rsidRDefault="005916DC" w:rsidP="005916DC">
    <w:pPr>
      <w:pStyle w:val="Footer"/>
      <w:tabs>
        <w:tab w:val="clear" w:pos="4513"/>
        <w:tab w:val="clear" w:pos="9026"/>
        <w:tab w:val="center" w:pos="9072"/>
      </w:tabs>
      <w:jc w:val="both"/>
      <w:rPr>
        <w:rFonts w:ascii="Times New Roman" w:hAnsi="Times New Roman" w:cs="Times New Roman"/>
        <w:noProof/>
        <w:sz w:val="20"/>
        <w:szCs w:val="20"/>
        <w:lang w:val="en-US"/>
      </w:rPr>
    </w:pPr>
    <w:r w:rsidRPr="008F613B">
      <w:rPr>
        <w:rFonts w:ascii="Times New Roman" w:hAnsi="Times New Roman" w:cs="Times New Roman"/>
        <w:noProof/>
        <w:sz w:val="20"/>
        <w:szCs w:val="20"/>
        <w:lang w:val="en-US"/>
      </w:rPr>
      <w:t xml:space="preserve">Tulkojums </w:t>
    </w:r>
    <w:r w:rsidRPr="008F613B">
      <w:rPr>
        <w:rFonts w:ascii="Times New Roman" w:hAnsi="Times New Roman" w:cs="Times New Roman"/>
        <w:noProof/>
        <w:sz w:val="20"/>
        <w:szCs w:val="20"/>
        <w:lang w:val="en-US"/>
      </w:rPr>
      <w:fldChar w:fldCharType="begin"/>
    </w:r>
    <w:r w:rsidRPr="008F613B">
      <w:rPr>
        <w:rFonts w:ascii="Times New Roman" w:hAnsi="Times New Roman" w:cs="Times New Roman"/>
        <w:noProof/>
        <w:sz w:val="20"/>
        <w:szCs w:val="20"/>
        <w:lang w:val="en-US"/>
      </w:rPr>
      <w:instrText>symbol 211 \f "Symbol" \s 9</w:instrText>
    </w:r>
    <w:r w:rsidRPr="008F613B">
      <w:rPr>
        <w:rFonts w:ascii="Times New Roman" w:hAnsi="Times New Roman" w:cs="Times New Roman"/>
        <w:noProof/>
        <w:sz w:val="20"/>
        <w:szCs w:val="20"/>
        <w:lang w:val="en-US"/>
      </w:rPr>
      <w:fldChar w:fldCharType="separate"/>
    </w:r>
    <w:r w:rsidRPr="008F613B">
      <w:rPr>
        <w:rFonts w:ascii="Times New Roman" w:hAnsi="Times New Roman" w:cs="Times New Roman"/>
        <w:noProof/>
        <w:sz w:val="20"/>
        <w:szCs w:val="20"/>
        <w:lang w:val="en-US"/>
      </w:rPr>
      <w:t>Ó</w:t>
    </w:r>
    <w:r w:rsidRPr="008F613B">
      <w:rPr>
        <w:rFonts w:ascii="Times New Roman" w:hAnsi="Times New Roman" w:cs="Times New Roman"/>
        <w:noProof/>
        <w:sz w:val="20"/>
        <w:szCs w:val="20"/>
        <w:lang w:val="en-US"/>
      </w:rPr>
      <w:fldChar w:fldCharType="end"/>
    </w:r>
    <w:r w:rsidRPr="008F613B">
      <w:rPr>
        <w:rFonts w:ascii="Times New Roman" w:hAnsi="Times New Roman" w:cs="Times New Roman"/>
        <w:noProof/>
        <w:sz w:val="20"/>
        <w:szCs w:val="20"/>
        <w:lang w:val="en-US"/>
      </w:rPr>
      <w:t xml:space="preserve"> Valsts valodas centrs, 2022</w:t>
    </w:r>
    <w:r w:rsidRPr="008F613B">
      <w:rPr>
        <w:rFonts w:ascii="Times New Roman" w:hAnsi="Times New Roman" w:cs="Times New Roman"/>
        <w:noProof/>
        <w:sz w:val="20"/>
        <w:szCs w:val="20"/>
        <w:lang w:val="en-US"/>
      </w:rPr>
      <w:tab/>
    </w:r>
    <w:r w:rsidRPr="008F613B">
      <w:rPr>
        <w:rStyle w:val="PageNumber"/>
        <w:rFonts w:ascii="Times New Roman" w:hAnsi="Times New Roman" w:cs="Times New Roman"/>
        <w:noProof/>
        <w:sz w:val="20"/>
        <w:szCs w:val="20"/>
        <w:lang w:val="en-US"/>
      </w:rPr>
      <w:fldChar w:fldCharType="begin"/>
    </w:r>
    <w:r w:rsidRPr="008F613B">
      <w:rPr>
        <w:rStyle w:val="PageNumber"/>
        <w:rFonts w:ascii="Times New Roman" w:hAnsi="Times New Roman" w:cs="Times New Roman"/>
        <w:noProof/>
        <w:sz w:val="20"/>
        <w:szCs w:val="20"/>
        <w:lang w:val="en-US"/>
      </w:rPr>
      <w:instrText xml:space="preserve">page </w:instrText>
    </w:r>
    <w:r w:rsidRPr="008F613B">
      <w:rPr>
        <w:rStyle w:val="PageNumber"/>
        <w:rFonts w:ascii="Times New Roman" w:hAnsi="Times New Roman" w:cs="Times New Roman"/>
        <w:noProof/>
        <w:sz w:val="20"/>
        <w:szCs w:val="20"/>
        <w:lang w:val="en-US"/>
      </w:rPr>
      <w:fldChar w:fldCharType="separate"/>
    </w:r>
    <w:r w:rsidRPr="008F613B">
      <w:rPr>
        <w:rStyle w:val="PageNumber"/>
        <w:rFonts w:ascii="Times New Roman" w:hAnsi="Times New Roman" w:cs="Times New Roman"/>
        <w:noProof/>
        <w:sz w:val="20"/>
        <w:szCs w:val="20"/>
        <w:lang w:val="en-US"/>
      </w:rPr>
      <w:t>2</w:t>
    </w:r>
    <w:r w:rsidRPr="008F613B">
      <w:rPr>
        <w:rStyle w:val="PageNumber"/>
        <w:rFonts w:ascii="Times New Roman" w:hAnsi="Times New Roman" w:cs="Times New Roman"/>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3851" w14:textId="77777777" w:rsidR="009C6591" w:rsidRPr="008F613B" w:rsidRDefault="009C6591" w:rsidP="009C6591">
    <w:pPr>
      <w:pStyle w:val="Header"/>
      <w:tabs>
        <w:tab w:val="left" w:pos="9072"/>
      </w:tabs>
      <w:jc w:val="both"/>
      <w:rPr>
        <w:rStyle w:val="PageNumber"/>
        <w:rFonts w:ascii="Times New Roman" w:hAnsi="Times New Roman"/>
        <w:noProof/>
        <w:sz w:val="20"/>
        <w:szCs w:val="18"/>
        <w:lang w:val="en-US"/>
      </w:rPr>
    </w:pPr>
    <w:bookmarkStart w:id="16" w:name="_Hlk496261764"/>
    <w:bookmarkStart w:id="17" w:name="_Hlk496261765"/>
    <w:bookmarkStart w:id="18" w:name="_Hlk496261766"/>
    <w:bookmarkStart w:id="19" w:name="_Hlk30491075"/>
    <w:bookmarkStart w:id="20" w:name="_Hlk30491076"/>
  </w:p>
  <w:p w14:paraId="6E1F5244" w14:textId="77777777" w:rsidR="009C6591" w:rsidRPr="008F613B" w:rsidRDefault="009C6591" w:rsidP="009C6591">
    <w:pPr>
      <w:pStyle w:val="Header"/>
      <w:tabs>
        <w:tab w:val="clear" w:pos="4513"/>
        <w:tab w:val="clear" w:pos="9026"/>
        <w:tab w:val="left" w:leader="underscore" w:pos="9072"/>
      </w:tabs>
      <w:jc w:val="both"/>
      <w:rPr>
        <w:rFonts w:ascii="Times New Roman" w:hAnsi="Times New Roman"/>
        <w:noProof/>
        <w:sz w:val="20"/>
        <w:szCs w:val="18"/>
        <w:lang w:val="en-US"/>
      </w:rPr>
    </w:pPr>
    <w:r w:rsidRPr="008F613B">
      <w:rPr>
        <w:rFonts w:ascii="Times New Roman" w:hAnsi="Times New Roman"/>
        <w:noProof/>
        <w:sz w:val="20"/>
        <w:szCs w:val="18"/>
        <w:lang w:val="en-US"/>
      </w:rPr>
      <w:tab/>
    </w:r>
  </w:p>
  <w:p w14:paraId="42A3E88C" w14:textId="77777777" w:rsidR="009C6591" w:rsidRPr="008F613B" w:rsidRDefault="009C6591" w:rsidP="009C6591">
    <w:pPr>
      <w:pStyle w:val="Header"/>
      <w:tabs>
        <w:tab w:val="left" w:pos="9072"/>
      </w:tabs>
      <w:jc w:val="both"/>
      <w:rPr>
        <w:rStyle w:val="PageNumber"/>
        <w:rFonts w:ascii="Times New Roman" w:hAnsi="Times New Roman"/>
        <w:noProof/>
        <w:sz w:val="20"/>
        <w:szCs w:val="18"/>
        <w:lang w:val="en-US"/>
      </w:rPr>
    </w:pPr>
  </w:p>
  <w:p w14:paraId="251D27CA" w14:textId="77777777" w:rsidR="009C6591" w:rsidRPr="008F613B" w:rsidRDefault="009C6591" w:rsidP="009C6591">
    <w:pPr>
      <w:pStyle w:val="Footer"/>
      <w:jc w:val="both"/>
      <w:rPr>
        <w:rFonts w:ascii="Times New Roman" w:hAnsi="Times New Roman"/>
        <w:noProof/>
        <w:sz w:val="20"/>
        <w:szCs w:val="18"/>
        <w:lang w:val="en-US"/>
      </w:rPr>
    </w:pPr>
    <w:r w:rsidRPr="008F613B">
      <w:rPr>
        <w:rFonts w:ascii="Times New Roman" w:hAnsi="Times New Roman"/>
        <w:noProof/>
        <w:sz w:val="20"/>
        <w:szCs w:val="18"/>
        <w:lang w:val="en-US"/>
      </w:rPr>
      <w:t xml:space="preserve">Tulkojums </w:t>
    </w:r>
    <w:r w:rsidRPr="008F613B">
      <w:rPr>
        <w:rFonts w:ascii="Times New Roman" w:hAnsi="Times New Roman"/>
        <w:noProof/>
        <w:sz w:val="20"/>
        <w:szCs w:val="18"/>
        <w:lang w:val="en-US"/>
      </w:rPr>
      <w:fldChar w:fldCharType="begin"/>
    </w:r>
    <w:r w:rsidRPr="008F613B">
      <w:rPr>
        <w:rFonts w:ascii="Times New Roman" w:hAnsi="Times New Roman"/>
        <w:noProof/>
        <w:sz w:val="20"/>
        <w:szCs w:val="18"/>
        <w:lang w:val="en-US"/>
      </w:rPr>
      <w:instrText>symbol 211 \f "Symbol" \s 9</w:instrText>
    </w:r>
    <w:r w:rsidRPr="008F613B">
      <w:rPr>
        <w:rFonts w:ascii="Times New Roman" w:hAnsi="Times New Roman"/>
        <w:noProof/>
        <w:sz w:val="20"/>
        <w:szCs w:val="18"/>
        <w:lang w:val="en-US"/>
      </w:rPr>
      <w:fldChar w:fldCharType="separate"/>
    </w:r>
    <w:r w:rsidRPr="008F613B">
      <w:rPr>
        <w:rFonts w:ascii="Times New Roman" w:hAnsi="Times New Roman"/>
        <w:noProof/>
        <w:sz w:val="20"/>
        <w:szCs w:val="18"/>
        <w:lang w:val="en-US"/>
      </w:rPr>
      <w:t>Ó</w:t>
    </w:r>
    <w:r w:rsidRPr="008F613B">
      <w:rPr>
        <w:rFonts w:ascii="Times New Roman" w:hAnsi="Times New Roman"/>
        <w:noProof/>
        <w:sz w:val="20"/>
        <w:szCs w:val="18"/>
        <w:lang w:val="en-US"/>
      </w:rPr>
      <w:fldChar w:fldCharType="end"/>
    </w:r>
    <w:r w:rsidRPr="008F613B">
      <w:rPr>
        <w:rFonts w:ascii="Times New Roman" w:hAnsi="Times New Roman"/>
        <w:noProof/>
        <w:sz w:val="20"/>
        <w:szCs w:val="18"/>
        <w:lang w:val="en-US"/>
      </w:rPr>
      <w:t xml:space="preserve"> Valsts valodas centrs, 20</w:t>
    </w:r>
    <w:bookmarkEnd w:id="16"/>
    <w:bookmarkEnd w:id="17"/>
    <w:bookmarkEnd w:id="18"/>
    <w:r w:rsidRPr="008F613B">
      <w:rPr>
        <w:rFonts w:ascii="Times New Roman" w:hAnsi="Times New Roman"/>
        <w:noProof/>
        <w:sz w:val="20"/>
        <w:szCs w:val="18"/>
        <w:lang w:val="en-US"/>
      </w:rPr>
      <w:t>2</w:t>
    </w:r>
    <w:bookmarkEnd w:id="19"/>
    <w:bookmarkEnd w:id="20"/>
    <w:r w:rsidRPr="008F613B">
      <w:rPr>
        <w:rFonts w:ascii="Times New Roman" w:hAnsi="Times New Roman"/>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EBDA6" w14:textId="77777777" w:rsidR="006F0D85" w:rsidRPr="008F613B" w:rsidRDefault="006F0D85">
      <w:pPr>
        <w:rPr>
          <w:noProof/>
          <w:lang w:val="en-US"/>
        </w:rPr>
      </w:pPr>
      <w:r w:rsidRPr="008F613B">
        <w:rPr>
          <w:noProof/>
          <w:lang w:val="en-US"/>
        </w:rPr>
        <w:separator/>
      </w:r>
    </w:p>
  </w:footnote>
  <w:footnote w:type="continuationSeparator" w:id="0">
    <w:p w14:paraId="4FA82CCC" w14:textId="77777777" w:rsidR="006F0D85" w:rsidRPr="008F613B" w:rsidRDefault="006F0D85">
      <w:pPr>
        <w:rPr>
          <w:noProof/>
          <w:lang w:val="en-US"/>
        </w:rPr>
      </w:pPr>
      <w:r w:rsidRPr="008F613B">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54817" w14:textId="77777777" w:rsidR="007E32F2" w:rsidRPr="00B804A1" w:rsidRDefault="007E32F2">
    <w:pPr>
      <w:spacing w:line="14" w:lineRule="auto"/>
      <w:rPr>
        <w:noProof/>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5F19" w14:textId="77777777" w:rsidR="004D6512" w:rsidRPr="008F613B" w:rsidRDefault="004D6512" w:rsidP="004D6512">
    <w:pPr>
      <w:pStyle w:val="Header"/>
      <w:rPr>
        <w:rStyle w:val="PageNumber"/>
        <w:rFonts w:ascii="Times New Roman" w:hAnsi="Times New Roman" w:cs="Times New Roman"/>
        <w:noProof/>
        <w:sz w:val="20"/>
        <w:szCs w:val="20"/>
        <w:lang w:val="en-US"/>
      </w:rPr>
    </w:pPr>
    <w:bookmarkStart w:id="2" w:name="_Hlk496261784"/>
    <w:bookmarkStart w:id="3" w:name="_Hlk496261785"/>
    <w:bookmarkStart w:id="4" w:name="_Hlk496261786"/>
    <w:bookmarkStart w:id="5" w:name="_Hlk502757728"/>
    <w:bookmarkStart w:id="6" w:name="_Hlk502757729"/>
    <w:bookmarkStart w:id="7" w:name="_Hlk502757738"/>
    <w:bookmarkStart w:id="8" w:name="_Hlk502757739"/>
    <w:bookmarkStart w:id="9" w:name="_Hlk30491084"/>
    <w:bookmarkStart w:id="10" w:name="_Hlk30491085"/>
  </w:p>
  <w:p w14:paraId="3317236A" w14:textId="77777777" w:rsidR="004D6512" w:rsidRPr="008F613B" w:rsidRDefault="004D6512" w:rsidP="004D6512">
    <w:pPr>
      <w:pStyle w:val="Header"/>
      <w:tabs>
        <w:tab w:val="clear" w:pos="4513"/>
        <w:tab w:val="clear" w:pos="9026"/>
        <w:tab w:val="right" w:leader="underscore" w:pos="9072"/>
      </w:tabs>
      <w:rPr>
        <w:rFonts w:ascii="Times New Roman" w:hAnsi="Times New Roman" w:cs="Times New Roman"/>
        <w:noProof/>
        <w:sz w:val="20"/>
        <w:szCs w:val="20"/>
        <w:lang w:val="en-US"/>
      </w:rPr>
    </w:pPr>
    <w:r w:rsidRPr="008F613B">
      <w:rPr>
        <w:rFonts w:ascii="Times New Roman" w:hAnsi="Times New Roman" w:cs="Times New Roman"/>
        <w:noProof/>
        <w:sz w:val="20"/>
        <w:szCs w:val="20"/>
        <w:lang w:val="en-US"/>
      </w:rPr>
      <w:tab/>
    </w:r>
  </w:p>
  <w:bookmarkEnd w:id="2"/>
  <w:bookmarkEnd w:id="3"/>
  <w:bookmarkEnd w:id="4"/>
  <w:bookmarkEnd w:id="5"/>
  <w:bookmarkEnd w:id="6"/>
  <w:bookmarkEnd w:id="7"/>
  <w:bookmarkEnd w:id="8"/>
  <w:bookmarkEnd w:id="9"/>
  <w:bookmarkEnd w:id="10"/>
  <w:p w14:paraId="19B6717A" w14:textId="77777777" w:rsidR="004D6512" w:rsidRPr="008F613B" w:rsidRDefault="004D6512" w:rsidP="004D6512">
    <w:pPr>
      <w:pStyle w:val="Header"/>
      <w:rPr>
        <w:rFonts w:ascii="Times New Roman" w:hAnsi="Times New Roman" w:cs="Times New Roman"/>
        <w:noProof/>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E9C04" w14:textId="77777777" w:rsidR="007C26A9" w:rsidRPr="008F613B" w:rsidRDefault="007C26A9" w:rsidP="007C26A9">
    <w:pPr>
      <w:pBdr>
        <w:bottom w:val="single" w:sz="12" w:space="5" w:color="auto"/>
      </w:pBdr>
      <w:rPr>
        <w:rFonts w:ascii="Times New Roman" w:hAnsi="Times New Roman" w:cs="Times New Roman"/>
        <w:noProof/>
        <w:sz w:val="20"/>
        <w:szCs w:val="20"/>
        <w:lang w:val="en-US"/>
      </w:rPr>
    </w:pPr>
    <w:bookmarkStart w:id="11" w:name="_Hlk496261745"/>
    <w:bookmarkStart w:id="12" w:name="_Hlk496261746"/>
    <w:bookmarkStart w:id="13" w:name="_Hlk496261747"/>
    <w:bookmarkStart w:id="14" w:name="_Hlk30491063"/>
    <w:bookmarkStart w:id="15" w:name="_Hlk30491064"/>
  </w:p>
  <w:bookmarkEnd w:id="11"/>
  <w:bookmarkEnd w:id="12"/>
  <w:bookmarkEnd w:id="13"/>
  <w:bookmarkEnd w:id="14"/>
  <w:bookmarkEnd w:id="15"/>
  <w:p w14:paraId="58641F71" w14:textId="77777777" w:rsidR="007C26A9" w:rsidRPr="008F613B" w:rsidRDefault="007C26A9" w:rsidP="007C26A9">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D1C2F"/>
    <w:multiLevelType w:val="hybridMultilevel"/>
    <w:tmpl w:val="D0224F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D6326BD"/>
    <w:multiLevelType w:val="hybridMultilevel"/>
    <w:tmpl w:val="F43055B8"/>
    <w:lvl w:ilvl="0" w:tplc="04260019">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1FE566D"/>
    <w:multiLevelType w:val="hybridMultilevel"/>
    <w:tmpl w:val="9DAEAFBA"/>
    <w:lvl w:ilvl="0" w:tplc="189A1E5A">
      <w:start w:val="1"/>
      <w:numFmt w:val="upperRoman"/>
      <w:lvlText w:val="%1."/>
      <w:lvlJc w:val="left"/>
      <w:pPr>
        <w:ind w:left="450" w:hanging="850"/>
      </w:pPr>
      <w:rPr>
        <w:rFonts w:ascii="Arial" w:eastAsia="Arial" w:hAnsi="Arial" w:hint="default"/>
        <w:b/>
        <w:bCs/>
        <w:spacing w:val="-1"/>
        <w:w w:val="99"/>
        <w:sz w:val="20"/>
        <w:szCs w:val="20"/>
      </w:rPr>
    </w:lvl>
    <w:lvl w:ilvl="1" w:tplc="AD36A330">
      <w:start w:val="1"/>
      <w:numFmt w:val="bullet"/>
      <w:lvlText w:val="●"/>
      <w:lvlJc w:val="left"/>
      <w:pPr>
        <w:ind w:left="1302" w:hanging="569"/>
      </w:pPr>
      <w:rPr>
        <w:rFonts w:ascii="Calibri" w:eastAsia="Calibri" w:hAnsi="Calibri" w:hint="default"/>
        <w:w w:val="99"/>
        <w:sz w:val="20"/>
        <w:szCs w:val="20"/>
      </w:rPr>
    </w:lvl>
    <w:lvl w:ilvl="2" w:tplc="F7AE7B3A">
      <w:start w:val="1"/>
      <w:numFmt w:val="bullet"/>
      <w:lvlText w:val="•"/>
      <w:lvlJc w:val="left"/>
      <w:pPr>
        <w:ind w:left="2320" w:hanging="569"/>
      </w:pPr>
      <w:rPr>
        <w:rFonts w:hint="default"/>
      </w:rPr>
    </w:lvl>
    <w:lvl w:ilvl="3" w:tplc="05E23008">
      <w:start w:val="1"/>
      <w:numFmt w:val="bullet"/>
      <w:lvlText w:val="•"/>
      <w:lvlJc w:val="left"/>
      <w:pPr>
        <w:ind w:left="3339" w:hanging="569"/>
      </w:pPr>
      <w:rPr>
        <w:rFonts w:hint="default"/>
      </w:rPr>
    </w:lvl>
    <w:lvl w:ilvl="4" w:tplc="0C9AB8C4">
      <w:start w:val="1"/>
      <w:numFmt w:val="bullet"/>
      <w:lvlText w:val="•"/>
      <w:lvlJc w:val="left"/>
      <w:pPr>
        <w:ind w:left="4357" w:hanging="569"/>
      </w:pPr>
      <w:rPr>
        <w:rFonts w:hint="default"/>
      </w:rPr>
    </w:lvl>
    <w:lvl w:ilvl="5" w:tplc="D1AEB296">
      <w:start w:val="1"/>
      <w:numFmt w:val="bullet"/>
      <w:lvlText w:val="•"/>
      <w:lvlJc w:val="left"/>
      <w:pPr>
        <w:ind w:left="5375" w:hanging="569"/>
      </w:pPr>
      <w:rPr>
        <w:rFonts w:hint="default"/>
      </w:rPr>
    </w:lvl>
    <w:lvl w:ilvl="6" w:tplc="D5ACA570">
      <w:start w:val="1"/>
      <w:numFmt w:val="bullet"/>
      <w:lvlText w:val="•"/>
      <w:lvlJc w:val="left"/>
      <w:pPr>
        <w:ind w:left="6393" w:hanging="569"/>
      </w:pPr>
      <w:rPr>
        <w:rFonts w:hint="default"/>
      </w:rPr>
    </w:lvl>
    <w:lvl w:ilvl="7" w:tplc="2C7E3BAA">
      <w:start w:val="1"/>
      <w:numFmt w:val="bullet"/>
      <w:lvlText w:val="•"/>
      <w:lvlJc w:val="left"/>
      <w:pPr>
        <w:ind w:left="7411" w:hanging="569"/>
      </w:pPr>
      <w:rPr>
        <w:rFonts w:hint="default"/>
      </w:rPr>
    </w:lvl>
    <w:lvl w:ilvl="8" w:tplc="44001C98">
      <w:start w:val="1"/>
      <w:numFmt w:val="bullet"/>
      <w:lvlText w:val="•"/>
      <w:lvlJc w:val="left"/>
      <w:pPr>
        <w:ind w:left="8430" w:hanging="569"/>
      </w:pPr>
      <w:rPr>
        <w:rFonts w:hint="default"/>
      </w:rPr>
    </w:lvl>
  </w:abstractNum>
  <w:abstractNum w:abstractNumId="3" w15:restartNumberingAfterBreak="0">
    <w:nsid w:val="38D45297"/>
    <w:multiLevelType w:val="hybridMultilevel"/>
    <w:tmpl w:val="59B265FE"/>
    <w:lvl w:ilvl="0" w:tplc="44225C58">
      <w:start w:val="1"/>
      <w:numFmt w:val="lowerLetter"/>
      <w:lvlText w:val="%1)"/>
      <w:lvlJc w:val="left"/>
      <w:pPr>
        <w:ind w:left="1163" w:hanging="356"/>
      </w:pPr>
      <w:rPr>
        <w:rFonts w:ascii="Arial" w:eastAsia="Arial" w:hAnsi="Arial" w:hint="default"/>
        <w:spacing w:val="-1"/>
        <w:w w:val="99"/>
        <w:sz w:val="20"/>
        <w:szCs w:val="20"/>
      </w:rPr>
    </w:lvl>
    <w:lvl w:ilvl="1" w:tplc="36B2BDEA">
      <w:start w:val="1"/>
      <w:numFmt w:val="bullet"/>
      <w:lvlText w:val="•"/>
      <w:lvlJc w:val="left"/>
      <w:pPr>
        <w:ind w:left="2093" w:hanging="356"/>
      </w:pPr>
      <w:rPr>
        <w:rFonts w:hint="default"/>
      </w:rPr>
    </w:lvl>
    <w:lvl w:ilvl="2" w:tplc="2CEA603C">
      <w:start w:val="1"/>
      <w:numFmt w:val="bullet"/>
      <w:lvlText w:val="•"/>
      <w:lvlJc w:val="left"/>
      <w:pPr>
        <w:ind w:left="3024" w:hanging="356"/>
      </w:pPr>
      <w:rPr>
        <w:rFonts w:hint="default"/>
      </w:rPr>
    </w:lvl>
    <w:lvl w:ilvl="3" w:tplc="469C61B6">
      <w:start w:val="1"/>
      <w:numFmt w:val="bullet"/>
      <w:lvlText w:val="•"/>
      <w:lvlJc w:val="left"/>
      <w:pPr>
        <w:ind w:left="3954" w:hanging="356"/>
      </w:pPr>
      <w:rPr>
        <w:rFonts w:hint="default"/>
      </w:rPr>
    </w:lvl>
    <w:lvl w:ilvl="4" w:tplc="02FCDB02">
      <w:start w:val="1"/>
      <w:numFmt w:val="bullet"/>
      <w:lvlText w:val="•"/>
      <w:lvlJc w:val="left"/>
      <w:pPr>
        <w:ind w:left="4884" w:hanging="356"/>
      </w:pPr>
      <w:rPr>
        <w:rFonts w:hint="default"/>
      </w:rPr>
    </w:lvl>
    <w:lvl w:ilvl="5" w:tplc="85407A8E">
      <w:start w:val="1"/>
      <w:numFmt w:val="bullet"/>
      <w:lvlText w:val="•"/>
      <w:lvlJc w:val="left"/>
      <w:pPr>
        <w:ind w:left="5815" w:hanging="356"/>
      </w:pPr>
      <w:rPr>
        <w:rFonts w:hint="default"/>
      </w:rPr>
    </w:lvl>
    <w:lvl w:ilvl="6" w:tplc="2460E75A">
      <w:start w:val="1"/>
      <w:numFmt w:val="bullet"/>
      <w:lvlText w:val="•"/>
      <w:lvlJc w:val="left"/>
      <w:pPr>
        <w:ind w:left="6745" w:hanging="356"/>
      </w:pPr>
      <w:rPr>
        <w:rFonts w:hint="default"/>
      </w:rPr>
    </w:lvl>
    <w:lvl w:ilvl="7" w:tplc="08144A3E">
      <w:start w:val="1"/>
      <w:numFmt w:val="bullet"/>
      <w:lvlText w:val="•"/>
      <w:lvlJc w:val="left"/>
      <w:pPr>
        <w:ind w:left="7675" w:hanging="356"/>
      </w:pPr>
      <w:rPr>
        <w:rFonts w:hint="default"/>
      </w:rPr>
    </w:lvl>
    <w:lvl w:ilvl="8" w:tplc="9F20F56A">
      <w:start w:val="1"/>
      <w:numFmt w:val="bullet"/>
      <w:lvlText w:val="•"/>
      <w:lvlJc w:val="left"/>
      <w:pPr>
        <w:ind w:left="8605" w:hanging="356"/>
      </w:pPr>
      <w:rPr>
        <w:rFonts w:hint="default"/>
      </w:rPr>
    </w:lvl>
  </w:abstractNum>
  <w:abstractNum w:abstractNumId="4" w15:restartNumberingAfterBreak="0">
    <w:nsid w:val="47AD7204"/>
    <w:multiLevelType w:val="hybridMultilevel"/>
    <w:tmpl w:val="B8B231CE"/>
    <w:lvl w:ilvl="0" w:tplc="102EF118">
      <w:start w:val="1"/>
      <w:numFmt w:val="upperLetter"/>
      <w:lvlText w:val="%1."/>
      <w:lvlJc w:val="left"/>
      <w:pPr>
        <w:ind w:left="704" w:hanging="255"/>
      </w:pPr>
      <w:rPr>
        <w:rFonts w:ascii="Arial" w:eastAsia="Arial" w:hAnsi="Arial" w:hint="default"/>
        <w:b/>
        <w:bCs/>
        <w:i/>
        <w:spacing w:val="-1"/>
        <w:w w:val="99"/>
        <w:sz w:val="20"/>
        <w:szCs w:val="20"/>
      </w:rPr>
    </w:lvl>
    <w:lvl w:ilvl="1" w:tplc="C9881E82">
      <w:start w:val="1"/>
      <w:numFmt w:val="decimal"/>
      <w:lvlText w:val="%2."/>
      <w:lvlJc w:val="left"/>
      <w:pPr>
        <w:ind w:left="1302" w:hanging="569"/>
      </w:pPr>
      <w:rPr>
        <w:rFonts w:ascii="Arial" w:eastAsia="Arial" w:hAnsi="Arial" w:hint="default"/>
        <w:spacing w:val="-1"/>
        <w:w w:val="99"/>
        <w:sz w:val="20"/>
        <w:szCs w:val="20"/>
      </w:rPr>
    </w:lvl>
    <w:lvl w:ilvl="2" w:tplc="B6DEFFA4">
      <w:start w:val="1"/>
      <w:numFmt w:val="lowerRoman"/>
      <w:lvlText w:val="%3)"/>
      <w:lvlJc w:val="left"/>
      <w:pPr>
        <w:ind w:left="1869" w:hanging="567"/>
      </w:pPr>
      <w:rPr>
        <w:rFonts w:ascii="Arial" w:eastAsia="Arial" w:hAnsi="Arial" w:hint="default"/>
        <w:spacing w:val="-2"/>
        <w:w w:val="99"/>
        <w:sz w:val="20"/>
        <w:szCs w:val="20"/>
      </w:rPr>
    </w:lvl>
    <w:lvl w:ilvl="3" w:tplc="BF8A9EBA">
      <w:start w:val="1"/>
      <w:numFmt w:val="bullet"/>
      <w:lvlText w:val="•"/>
      <w:lvlJc w:val="left"/>
      <w:pPr>
        <w:ind w:left="1869" w:hanging="567"/>
      </w:pPr>
      <w:rPr>
        <w:rFonts w:hint="default"/>
      </w:rPr>
    </w:lvl>
    <w:lvl w:ilvl="4" w:tplc="D1125D70">
      <w:start w:val="1"/>
      <w:numFmt w:val="bullet"/>
      <w:lvlText w:val="•"/>
      <w:lvlJc w:val="left"/>
      <w:pPr>
        <w:ind w:left="3097" w:hanging="567"/>
      </w:pPr>
      <w:rPr>
        <w:rFonts w:hint="default"/>
      </w:rPr>
    </w:lvl>
    <w:lvl w:ilvl="5" w:tplc="075465A6">
      <w:start w:val="1"/>
      <w:numFmt w:val="bullet"/>
      <w:lvlText w:val="•"/>
      <w:lvlJc w:val="left"/>
      <w:pPr>
        <w:ind w:left="4325" w:hanging="567"/>
      </w:pPr>
      <w:rPr>
        <w:rFonts w:hint="default"/>
      </w:rPr>
    </w:lvl>
    <w:lvl w:ilvl="6" w:tplc="F970EE82">
      <w:start w:val="1"/>
      <w:numFmt w:val="bullet"/>
      <w:lvlText w:val="•"/>
      <w:lvlJc w:val="left"/>
      <w:pPr>
        <w:ind w:left="5553" w:hanging="567"/>
      </w:pPr>
      <w:rPr>
        <w:rFonts w:hint="default"/>
      </w:rPr>
    </w:lvl>
    <w:lvl w:ilvl="7" w:tplc="83A02EFA">
      <w:start w:val="1"/>
      <w:numFmt w:val="bullet"/>
      <w:lvlText w:val="•"/>
      <w:lvlJc w:val="left"/>
      <w:pPr>
        <w:ind w:left="6781" w:hanging="567"/>
      </w:pPr>
      <w:rPr>
        <w:rFonts w:hint="default"/>
      </w:rPr>
    </w:lvl>
    <w:lvl w:ilvl="8" w:tplc="9286A72E">
      <w:start w:val="1"/>
      <w:numFmt w:val="bullet"/>
      <w:lvlText w:val="•"/>
      <w:lvlJc w:val="left"/>
      <w:pPr>
        <w:ind w:left="8010" w:hanging="567"/>
      </w:pPr>
      <w:rPr>
        <w:rFonts w:hint="default"/>
      </w:rPr>
    </w:lvl>
  </w:abstractNum>
  <w:abstractNum w:abstractNumId="5" w15:restartNumberingAfterBreak="0">
    <w:nsid w:val="68926411"/>
    <w:multiLevelType w:val="hybridMultilevel"/>
    <w:tmpl w:val="64C2F38E"/>
    <w:lvl w:ilvl="0" w:tplc="0DD4C45A">
      <w:start w:val="1"/>
      <w:numFmt w:val="bullet"/>
      <w:lvlText w:val=""/>
      <w:lvlJc w:val="left"/>
      <w:pPr>
        <w:ind w:left="852" w:hanging="711"/>
      </w:pPr>
      <w:rPr>
        <w:rFonts w:ascii="Symbol" w:eastAsia="Symbol" w:hAnsi="Symbol" w:hint="default"/>
        <w:w w:val="95"/>
        <w:sz w:val="20"/>
        <w:szCs w:val="20"/>
      </w:rPr>
    </w:lvl>
    <w:lvl w:ilvl="1" w:tplc="28583C52">
      <w:start w:val="1"/>
      <w:numFmt w:val="bullet"/>
      <w:lvlText w:val="•"/>
      <w:lvlJc w:val="left"/>
      <w:pPr>
        <w:ind w:left="1705" w:hanging="711"/>
      </w:pPr>
      <w:rPr>
        <w:rFonts w:hint="default"/>
      </w:rPr>
    </w:lvl>
    <w:lvl w:ilvl="2" w:tplc="8F286382">
      <w:start w:val="1"/>
      <w:numFmt w:val="bullet"/>
      <w:lvlText w:val="•"/>
      <w:lvlJc w:val="left"/>
      <w:pPr>
        <w:ind w:left="2558" w:hanging="711"/>
      </w:pPr>
      <w:rPr>
        <w:rFonts w:hint="default"/>
      </w:rPr>
    </w:lvl>
    <w:lvl w:ilvl="3" w:tplc="0DB06668">
      <w:start w:val="1"/>
      <w:numFmt w:val="bullet"/>
      <w:lvlText w:val="•"/>
      <w:lvlJc w:val="left"/>
      <w:pPr>
        <w:ind w:left="3410" w:hanging="711"/>
      </w:pPr>
      <w:rPr>
        <w:rFonts w:hint="default"/>
      </w:rPr>
    </w:lvl>
    <w:lvl w:ilvl="4" w:tplc="0BAAEB88">
      <w:start w:val="1"/>
      <w:numFmt w:val="bullet"/>
      <w:lvlText w:val="•"/>
      <w:lvlJc w:val="left"/>
      <w:pPr>
        <w:ind w:left="4263" w:hanging="711"/>
      </w:pPr>
      <w:rPr>
        <w:rFonts w:hint="default"/>
      </w:rPr>
    </w:lvl>
    <w:lvl w:ilvl="5" w:tplc="6FC69928">
      <w:start w:val="1"/>
      <w:numFmt w:val="bullet"/>
      <w:lvlText w:val="•"/>
      <w:lvlJc w:val="left"/>
      <w:pPr>
        <w:ind w:left="5116" w:hanging="711"/>
      </w:pPr>
      <w:rPr>
        <w:rFonts w:hint="default"/>
      </w:rPr>
    </w:lvl>
    <w:lvl w:ilvl="6" w:tplc="435C7E4E">
      <w:start w:val="1"/>
      <w:numFmt w:val="bullet"/>
      <w:lvlText w:val="•"/>
      <w:lvlJc w:val="left"/>
      <w:pPr>
        <w:ind w:left="5969" w:hanging="711"/>
      </w:pPr>
      <w:rPr>
        <w:rFonts w:hint="default"/>
      </w:rPr>
    </w:lvl>
    <w:lvl w:ilvl="7" w:tplc="DB389FC2">
      <w:start w:val="1"/>
      <w:numFmt w:val="bullet"/>
      <w:lvlText w:val="•"/>
      <w:lvlJc w:val="left"/>
      <w:pPr>
        <w:ind w:left="6821" w:hanging="711"/>
      </w:pPr>
      <w:rPr>
        <w:rFonts w:hint="default"/>
      </w:rPr>
    </w:lvl>
    <w:lvl w:ilvl="8" w:tplc="5D62EC0E">
      <w:start w:val="1"/>
      <w:numFmt w:val="bullet"/>
      <w:lvlText w:val="•"/>
      <w:lvlJc w:val="left"/>
      <w:pPr>
        <w:ind w:left="7674" w:hanging="711"/>
      </w:pPr>
      <w:rPr>
        <w:rFonts w:hint="default"/>
      </w:rPr>
    </w:lvl>
  </w:abstractNum>
  <w:num w:numId="1" w16cid:durableId="1370492701">
    <w:abstractNumId w:val="5"/>
  </w:num>
  <w:num w:numId="2" w16cid:durableId="493297884">
    <w:abstractNumId w:val="3"/>
  </w:num>
  <w:num w:numId="3" w16cid:durableId="117576625">
    <w:abstractNumId w:val="4"/>
  </w:num>
  <w:num w:numId="4" w16cid:durableId="931091347">
    <w:abstractNumId w:val="2"/>
  </w:num>
  <w:num w:numId="5" w16cid:durableId="1133861678">
    <w:abstractNumId w:val="0"/>
  </w:num>
  <w:num w:numId="6" w16cid:durableId="1800149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E32F2"/>
    <w:rsid w:val="0004482E"/>
    <w:rsid w:val="000A1590"/>
    <w:rsid w:val="0013470C"/>
    <w:rsid w:val="001D142E"/>
    <w:rsid w:val="00294862"/>
    <w:rsid w:val="002D341F"/>
    <w:rsid w:val="002D66B7"/>
    <w:rsid w:val="003A5D0F"/>
    <w:rsid w:val="003C016C"/>
    <w:rsid w:val="0044138C"/>
    <w:rsid w:val="004D6512"/>
    <w:rsid w:val="004E42F7"/>
    <w:rsid w:val="005916DC"/>
    <w:rsid w:val="005C0D71"/>
    <w:rsid w:val="00691AE9"/>
    <w:rsid w:val="006D5993"/>
    <w:rsid w:val="006F0D85"/>
    <w:rsid w:val="00714B65"/>
    <w:rsid w:val="007C26A9"/>
    <w:rsid w:val="007E32F2"/>
    <w:rsid w:val="008616F9"/>
    <w:rsid w:val="008A2635"/>
    <w:rsid w:val="008F613B"/>
    <w:rsid w:val="00917ABB"/>
    <w:rsid w:val="009C6591"/>
    <w:rsid w:val="009E6AD3"/>
    <w:rsid w:val="00A75700"/>
    <w:rsid w:val="00AF4167"/>
    <w:rsid w:val="00B11357"/>
    <w:rsid w:val="00B12EE3"/>
    <w:rsid w:val="00B45EEC"/>
    <w:rsid w:val="00B804A1"/>
    <w:rsid w:val="00B91741"/>
    <w:rsid w:val="00C335DE"/>
    <w:rsid w:val="00C7383A"/>
    <w:rsid w:val="00CE6087"/>
    <w:rsid w:val="00D61959"/>
    <w:rsid w:val="00D630A7"/>
    <w:rsid w:val="00D9753D"/>
    <w:rsid w:val="00F11064"/>
    <w:rsid w:val="00FD22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54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53"/>
      <w:ind w:left="116"/>
      <w:outlineLvl w:val="0"/>
    </w:pPr>
    <w:rPr>
      <w:rFonts w:ascii="Arial" w:eastAsia="Arial" w:hAnsi="Arial"/>
      <w:b/>
      <w:bCs/>
      <w:sz w:val="24"/>
      <w:szCs w:val="24"/>
    </w:rPr>
  </w:style>
  <w:style w:type="paragraph" w:styleId="Heading2">
    <w:name w:val="heading 2"/>
    <w:basedOn w:val="Normal"/>
    <w:uiPriority w:val="9"/>
    <w:unhideWhenUsed/>
    <w:qFormat/>
    <w:pPr>
      <w:ind w:left="40"/>
      <w:outlineLvl w:val="1"/>
    </w:pPr>
    <w:rPr>
      <w:rFonts w:ascii="Arial" w:eastAsia="Arial" w:hAnsi="Arial"/>
      <w:b/>
      <w:bCs/>
      <w:sz w:val="20"/>
      <w:szCs w:val="20"/>
    </w:rPr>
  </w:style>
  <w:style w:type="paragraph" w:styleId="Heading3">
    <w:name w:val="heading 3"/>
    <w:basedOn w:val="Normal"/>
    <w:uiPriority w:val="9"/>
    <w:unhideWhenUsed/>
    <w:qFormat/>
    <w:pPr>
      <w:ind w:left="704" w:hanging="254"/>
      <w:outlineLvl w:val="2"/>
    </w:pPr>
    <w:rPr>
      <w:rFonts w:ascii="Arial" w:eastAsia="Arial" w:hAnsi="Arial"/>
      <w:b/>
      <w:bCs/>
      <w:i/>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5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B804A1"/>
    <w:pPr>
      <w:tabs>
        <w:tab w:val="center" w:pos="4513"/>
        <w:tab w:val="right" w:pos="9026"/>
      </w:tabs>
    </w:pPr>
  </w:style>
  <w:style w:type="character" w:customStyle="1" w:styleId="HeaderChar">
    <w:name w:val="Header Char"/>
    <w:basedOn w:val="DefaultParagraphFont"/>
    <w:link w:val="Header"/>
    <w:rsid w:val="00B804A1"/>
  </w:style>
  <w:style w:type="paragraph" w:styleId="Footer">
    <w:name w:val="footer"/>
    <w:basedOn w:val="Normal"/>
    <w:link w:val="FooterChar"/>
    <w:unhideWhenUsed/>
    <w:rsid w:val="00B804A1"/>
    <w:pPr>
      <w:tabs>
        <w:tab w:val="center" w:pos="4513"/>
        <w:tab w:val="right" w:pos="9026"/>
      </w:tabs>
    </w:pPr>
  </w:style>
  <w:style w:type="character" w:customStyle="1" w:styleId="FooterChar">
    <w:name w:val="Footer Char"/>
    <w:basedOn w:val="DefaultParagraphFont"/>
    <w:link w:val="Footer"/>
    <w:rsid w:val="00B804A1"/>
  </w:style>
  <w:style w:type="table" w:styleId="TableGrid">
    <w:name w:val="Table Grid"/>
    <w:basedOn w:val="TableNormal"/>
    <w:uiPriority w:val="39"/>
    <w:rsid w:val="005C0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9C6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6A91BB-1DF1-4EFF-BE19-D29A116DFBFE}">
  <ds:schemaRefs>
    <ds:schemaRef ds:uri="http://schemas.microsoft.com/sharepoint/v3/contenttype/forms"/>
  </ds:schemaRefs>
</ds:datastoreItem>
</file>

<file path=customXml/itemProps2.xml><?xml version="1.0" encoding="utf-8"?>
<ds:datastoreItem xmlns:ds="http://schemas.openxmlformats.org/officeDocument/2006/customXml" ds:itemID="{0B27E897-59B6-407C-A0CE-19B00C5F05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C039E0-5648-4BF3-8342-8F8664F83148}"/>
</file>

<file path=docProps/app.xml><?xml version="1.0" encoding="utf-8"?>
<Properties xmlns="http://schemas.openxmlformats.org/officeDocument/2006/extended-properties" xmlns:vt="http://schemas.openxmlformats.org/officeDocument/2006/docPropsVTypes">
  <Template>Normal</Template>
  <TotalTime>0</TotalTime>
  <Pages>8</Pages>
  <Words>10681</Words>
  <Characters>6089</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2022-01-24T08:53:00Z</dcterms:created>
  <dcterms:modified xsi:type="dcterms:W3CDTF">2022-04-25T06:26:00Z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