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1"/>
      </w:tblGrid>
      <w:tr w:rsidR="00464794" w:rsidRPr="00D347BE" w:rsidTr="00464794">
        <w:tc>
          <w:tcPr>
            <w:tcW w:w="2830" w:type="dxa"/>
            <w:tcBorders>
              <w:bottom w:val="single" w:sz="4" w:space="0" w:color="auto"/>
            </w:tcBorders>
          </w:tcPr>
          <w:p w:rsidR="00464794" w:rsidRPr="00D347BE" w:rsidRDefault="00464794" w:rsidP="00D347BE">
            <w:pPr>
              <w:jc w:val="both"/>
              <w:rPr>
                <w:rFonts w:ascii="Times New Roman" w:hAnsi="Times New Roman" w:cs="Times New Roman"/>
                <w:sz w:val="24"/>
              </w:rPr>
            </w:pPr>
            <w:r w:rsidRPr="00D347BE">
              <w:rPr>
                <w:rFonts w:ascii="Times New Roman" w:hAnsi="Times New Roman"/>
                <w:b/>
                <w:caps/>
                <w:noProof/>
                <w:color w:val="000000"/>
                <w:sz w:val="24"/>
              </w:rPr>
              <w:t>IETEIKUMS</w:t>
            </w:r>
          </w:p>
        </w:tc>
        <w:tc>
          <w:tcPr>
            <w:tcW w:w="6231" w:type="dxa"/>
            <w:tcBorders>
              <w:bottom w:val="single" w:sz="4" w:space="0" w:color="auto"/>
            </w:tcBorders>
          </w:tcPr>
          <w:p w:rsidR="00464794" w:rsidRPr="00D347BE" w:rsidRDefault="00464794" w:rsidP="00D347BE">
            <w:pPr>
              <w:jc w:val="both"/>
              <w:rPr>
                <w:rFonts w:ascii="Times New Roman" w:hAnsi="Times New Roman" w:cs="Times New Roman"/>
                <w:sz w:val="24"/>
              </w:rPr>
            </w:pPr>
            <w:r w:rsidRPr="00D347BE">
              <w:rPr>
                <w:rFonts w:ascii="Times New Roman" w:hAnsi="Times New Roman"/>
                <w:b/>
                <w:caps/>
                <w:noProof/>
                <w:color w:val="000000"/>
                <w:sz w:val="24"/>
              </w:rPr>
              <w:t>STATISTIKA UN STATISTIKAS POLITIKA</w:t>
            </w:r>
          </w:p>
        </w:tc>
      </w:tr>
      <w:tr w:rsidR="00464794" w:rsidRPr="00D347BE" w:rsidTr="005837C8">
        <w:tc>
          <w:tcPr>
            <w:tcW w:w="2830" w:type="dxa"/>
            <w:tcBorders>
              <w:top w:val="single" w:sz="4" w:space="0" w:color="auto"/>
              <w:bottom w:val="single" w:sz="4" w:space="0" w:color="auto"/>
            </w:tcBorders>
          </w:tcPr>
          <w:p w:rsidR="00464794" w:rsidRPr="00D347BE" w:rsidRDefault="00464794" w:rsidP="00D347BE">
            <w:pPr>
              <w:jc w:val="both"/>
              <w:rPr>
                <w:rFonts w:ascii="Times New Roman" w:eastAsia="Times New Roman" w:hAnsi="Times New Roman" w:cs="Times New Roman"/>
                <w:b/>
                <w:bCs/>
                <w:caps/>
                <w:noProof/>
                <w:color w:val="000000"/>
                <w:sz w:val="24"/>
                <w:szCs w:val="20"/>
              </w:rPr>
            </w:pPr>
            <w:r w:rsidRPr="00D347BE">
              <w:rPr>
                <w:rFonts w:ascii="Times New Roman" w:eastAsia="Times New Roman" w:hAnsi="Times New Roman" w:cs="Times New Roman"/>
                <w:noProof/>
                <w:color w:val="000000"/>
                <w:sz w:val="24"/>
                <w:szCs w:val="20"/>
                <w:lang w:bidi="ar-SA"/>
              </w:rPr>
              <w:drawing>
                <wp:inline distT="0" distB="0" distL="0" distR="0" wp14:anchorId="0334AC97" wp14:editId="16CDDC9F">
                  <wp:extent cx="1457325" cy="942975"/>
                  <wp:effectExtent l="0" t="0" r="9525" b="9525"/>
                  <wp:docPr id="2" name="Picture 2" descr="http://acts.oecd.org/Images/OECD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ts.oecd.org/Images/OECDLogo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942975"/>
                          </a:xfrm>
                          <a:prstGeom prst="rect">
                            <a:avLst/>
                          </a:prstGeom>
                          <a:noFill/>
                          <a:ln>
                            <a:noFill/>
                          </a:ln>
                        </pic:spPr>
                      </pic:pic>
                    </a:graphicData>
                  </a:graphic>
                </wp:inline>
              </w:drawing>
            </w:r>
          </w:p>
        </w:tc>
        <w:tc>
          <w:tcPr>
            <w:tcW w:w="6231" w:type="dxa"/>
            <w:tcBorders>
              <w:top w:val="single" w:sz="4" w:space="0" w:color="auto"/>
              <w:bottom w:val="single" w:sz="4" w:space="0" w:color="auto"/>
            </w:tcBorders>
            <w:vAlign w:val="center"/>
          </w:tcPr>
          <w:p w:rsidR="00464794" w:rsidRPr="00D347BE" w:rsidRDefault="00464794" w:rsidP="00D347BE">
            <w:pPr>
              <w:jc w:val="both"/>
              <w:rPr>
                <w:rFonts w:ascii="Times New Roman" w:eastAsia="Times New Roman" w:hAnsi="Times New Roman" w:cs="Times New Roman"/>
                <w:b/>
                <w:bCs/>
                <w:caps/>
                <w:noProof/>
                <w:color w:val="000000"/>
                <w:sz w:val="24"/>
                <w:szCs w:val="28"/>
              </w:rPr>
            </w:pPr>
            <w:r w:rsidRPr="00D347BE">
              <w:rPr>
                <w:rFonts w:ascii="Times New Roman" w:hAnsi="Times New Roman"/>
                <w:b/>
                <w:noProof/>
                <w:color w:val="0067A3"/>
                <w:sz w:val="24"/>
              </w:rPr>
              <w:t>Padomes ieteikums par labu praksi statistikā</w:t>
            </w:r>
          </w:p>
        </w:tc>
      </w:tr>
    </w:tbl>
    <w:p w:rsidR="00464794" w:rsidRPr="00D347BE" w:rsidRDefault="00464794" w:rsidP="00D347BE">
      <w:pPr>
        <w:spacing w:after="0" w:line="240" w:lineRule="auto"/>
        <w:jc w:val="both"/>
        <w:rPr>
          <w:rFonts w:ascii="Times New Roman" w:hAnsi="Times New Roman" w:cs="Times New Roman"/>
          <w:sz w:val="24"/>
        </w:rPr>
      </w:pPr>
    </w:p>
    <w:p w:rsidR="00464794" w:rsidRPr="00D347BE" w:rsidRDefault="005837C8" w:rsidP="00D347BE">
      <w:pPr>
        <w:spacing w:after="0" w:line="240" w:lineRule="auto"/>
        <w:jc w:val="center"/>
        <w:rPr>
          <w:rFonts w:ascii="Times New Roman" w:hAnsi="Times New Roman" w:cs="Times New Roman"/>
          <w:sz w:val="24"/>
        </w:rPr>
      </w:pPr>
      <w:r w:rsidRPr="00D347BE">
        <w:rPr>
          <w:rFonts w:ascii="Times New Roman" w:hAnsi="Times New Roman"/>
          <w:b/>
          <w:noProof/>
          <w:color w:val="000000"/>
          <w:sz w:val="24"/>
        </w:rPr>
        <w:t>2015. gada 23. novembris C(2015)128 - C(2015)128/CORR1</w:t>
      </w:r>
    </w:p>
    <w:p w:rsidR="00464794" w:rsidRPr="00D347BE" w:rsidRDefault="00464794" w:rsidP="00D347BE">
      <w:pPr>
        <w:spacing w:after="0" w:line="240" w:lineRule="auto"/>
        <w:jc w:val="both"/>
        <w:rPr>
          <w:rFonts w:ascii="Times New Roman" w:hAnsi="Times New Roman" w:cs="Times New Roman"/>
          <w:sz w:val="24"/>
        </w:rPr>
      </w:pPr>
    </w:p>
    <w:p w:rsidR="00464794" w:rsidRPr="00D347BE" w:rsidRDefault="00464794" w:rsidP="00D347BE">
      <w:pPr>
        <w:spacing w:after="0" w:line="240" w:lineRule="auto"/>
        <w:jc w:val="both"/>
        <w:rPr>
          <w:rFonts w:ascii="Times New Roman" w:hAnsi="Times New Roman" w:cs="Times New Roman"/>
          <w:sz w:val="24"/>
        </w:rPr>
      </w:pPr>
    </w:p>
    <w:p w:rsidR="005837C8" w:rsidRPr="00D347BE" w:rsidRDefault="005837C8" w:rsidP="00D347BE">
      <w:pPr>
        <w:spacing w:after="0" w:line="240" w:lineRule="auto"/>
        <w:jc w:val="both"/>
        <w:rPr>
          <w:rFonts w:ascii="Times New Roman" w:eastAsia="Times New Roman" w:hAnsi="Times New Roman" w:cs="Times New Roman"/>
          <w:caps/>
          <w:noProof/>
          <w:color w:val="000000"/>
          <w:sz w:val="24"/>
          <w:szCs w:val="20"/>
        </w:rPr>
      </w:pPr>
      <w:r w:rsidRPr="00D347BE">
        <w:rPr>
          <w:rFonts w:ascii="Times New Roman" w:hAnsi="Times New Roman"/>
          <w:b/>
          <w:sz w:val="24"/>
        </w:rPr>
        <w:t>PADOME</w:t>
      </w:r>
      <w:r w:rsidRPr="00D347BE">
        <w:rPr>
          <w:rFonts w:ascii="Times New Roman" w:hAnsi="Times New Roman"/>
          <w:caps/>
          <w:noProof/>
          <w:color w:val="000000"/>
          <w:sz w:val="24"/>
        </w:rPr>
        <w:t>,</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caps/>
          <w:noProof/>
          <w:color w:val="000000"/>
          <w:sz w:val="24"/>
        </w:rPr>
        <w:t>ŅEMOT VĒRĀ</w:t>
      </w:r>
      <w:r w:rsidRPr="00D347BE">
        <w:rPr>
          <w:rFonts w:ascii="Times New Roman" w:hAnsi="Times New Roman"/>
          <w:sz w:val="24"/>
        </w:rPr>
        <w:t> 1960. gada 14. decembra Ekonomiskās sadarbības un attīstības organizācijas konvencijas 5. panta b) punktu;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ŅEMOT VĒRĀ</w:t>
      </w:r>
      <w:r w:rsidRPr="00D347BE">
        <w:rPr>
          <w:rFonts w:ascii="Times New Roman" w:hAnsi="Times New Roman"/>
          <w:sz w:val="24"/>
        </w:rPr>
        <w:t xml:space="preserve"> to, ka analītiskā darba un ziņošanas sistēmas vajadzībām sagatavotās ESAO statistikas kvalitāte ir lielā mērā atkarīga no valstu sagatavotās oficiālās statistikas kvalitātes;</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ŅEMOT VĒRĀ</w:t>
      </w:r>
      <w:r w:rsidRPr="00D347BE">
        <w:rPr>
          <w:rFonts w:ascii="Times New Roman" w:hAnsi="Times New Roman"/>
          <w:sz w:val="24"/>
        </w:rPr>
        <w:t xml:space="preserve"> attiecīgās starptautiskās vadlīnijas, piemēram, Apvienoto Nāciju Organizācijas Oficiālās statistikas pamatprincipus un Eiropas Statistikas prakses kodeksu;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UZSKATOT</w:t>
      </w:r>
      <w:r w:rsidRPr="00D347BE">
        <w:rPr>
          <w:rFonts w:ascii="Times New Roman" w:hAnsi="Times New Roman"/>
          <w:sz w:val="24"/>
        </w:rPr>
        <w:t>, ka kvalitatīva statistika ir neaizstājama, lai veiktu labu analīzi, pārskatāmību, atbildību un – galarezultātā – pamatotu lēmumu pieņemšanu un demokrātisko valstu darbību;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ATZĪMĒJOT</w:t>
      </w:r>
      <w:r w:rsidRPr="00D347BE">
        <w:rPr>
          <w:rFonts w:ascii="Times New Roman" w:hAnsi="Times New Roman"/>
          <w:sz w:val="24"/>
        </w:rPr>
        <w:t>, ka starptautiskās vadlīnijas un prakses kodeksus, kas tagad attiecas uz visu ESAO, var lietderīgi papildināt ar ieteikumiem, kuri ir pietiekami specifiski un kuros ir uzsvērti aspekti, kas atbilst attīstītām statistikas sistēmām;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ATZĪSTOT</w:t>
      </w:r>
      <w:r w:rsidRPr="00D347BE">
        <w:rPr>
          <w:rFonts w:ascii="Times New Roman" w:hAnsi="Times New Roman"/>
          <w:sz w:val="24"/>
        </w:rPr>
        <w:t>, ka konkrēts un uz praksi vērsts ieteikumu kopums būtu ļoti noderīgs dalībvalstīm un ārpus ESAO esošajām valstīm, kas vēlas izvērtēt savas statistikas sistēmas un formulēt politiku statistikas jomā,</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r w:rsidRPr="00D347BE">
        <w:rPr>
          <w:rFonts w:ascii="Times New Roman" w:hAnsi="Times New Roman"/>
          <w:b/>
          <w:noProof/>
          <w:color w:val="000000"/>
          <w:sz w:val="24"/>
        </w:rPr>
        <w:t>saskaņā ar Statistikas un statistikas politikas komitejas (SSPK) priekšlikumu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noProof/>
          <w:color w:val="000000"/>
          <w:sz w:val="24"/>
        </w:rPr>
        <w:t>I</w:t>
      </w:r>
      <w:r w:rsidR="00D347BE">
        <w:rPr>
          <w:rFonts w:ascii="Times New Roman" w:hAnsi="Times New Roman"/>
          <w:sz w:val="24"/>
        </w:rPr>
        <w:tab/>
      </w:r>
      <w:r w:rsidRPr="00D347BE">
        <w:rPr>
          <w:rFonts w:ascii="Times New Roman" w:hAnsi="Times New Roman"/>
          <w:b/>
          <w:sz w:val="24"/>
        </w:rPr>
        <w:t>PIEKRĪT</w:t>
      </w:r>
      <w:r w:rsidRPr="00D347BE">
        <w:rPr>
          <w:rFonts w:ascii="Times New Roman" w:hAnsi="Times New Roman"/>
          <w:sz w:val="24"/>
        </w:rPr>
        <w:t>, ka šajā ieteikumā tiek izmantotas turpmākās definīcijas.</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Administratīvo datu avots</w:t>
      </w:r>
      <w:r w:rsidRPr="00D347BE">
        <w:rPr>
          <w:rFonts w:ascii="Times New Roman" w:hAnsi="Times New Roman"/>
          <w:noProof/>
          <w:color w:val="000000"/>
          <w:sz w:val="24"/>
        </w:rPr>
        <w:t xml:space="preserve"> ir organizatoriskā struktūrvienība, kas ir atbildīga par kāda tiesību akta (vai tiesību aktu kopuma) ieviešanu, kā vajadzībām attiecīgo vienību reģistru un transakcijas uzskata par statistikas datu avotu.</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Valstu statistikas sistēmas koordinācija</w:t>
      </w:r>
      <w:r w:rsidRPr="00D347BE">
        <w:rPr>
          <w:rFonts w:ascii="Times New Roman" w:hAnsi="Times New Roman"/>
          <w:noProof/>
          <w:color w:val="000000"/>
          <w:sz w:val="24"/>
        </w:rPr>
        <w:t xml:space="preserve"> ir procedūras, kas ļauj nodrošināt efektīvu koordināciju starp statistikas iestādēm, lai nodrošinātu statistikas sistēmas saskaņotību un efektivitāti.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Valsts statistikas iestāde</w:t>
      </w:r>
      <w:r w:rsidRPr="00D347BE">
        <w:rPr>
          <w:rFonts w:ascii="Times New Roman" w:hAnsi="Times New Roman"/>
          <w:noProof/>
          <w:color w:val="000000"/>
          <w:sz w:val="24"/>
        </w:rPr>
        <w:t>s ir vadošā statistikas iestāde valsts statistikas sistēmā, kas ir atbildīgas par statistikas politikas plānošanu saskaņā ar attiecīgo valstu tiesību aktiem.</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Valsts statistikas iestāde</w:t>
      </w:r>
      <w:r w:rsidRPr="00D347BE">
        <w:rPr>
          <w:rFonts w:ascii="Times New Roman" w:hAnsi="Times New Roman"/>
          <w:noProof/>
          <w:color w:val="000000"/>
          <w:sz w:val="24"/>
        </w:rPr>
        <w:t xml:space="preserve"> (VSI) ir vadošā statistikas iestāde valsts statistikas sistēmā.</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Valsts statistikas sistēma</w:t>
      </w:r>
      <w:r w:rsidRPr="00D347BE">
        <w:rPr>
          <w:rFonts w:ascii="Times New Roman" w:hAnsi="Times New Roman"/>
          <w:noProof/>
          <w:color w:val="000000"/>
          <w:sz w:val="24"/>
        </w:rPr>
        <w:t xml:space="preserve"> (VSS) ir valstī esošo statistikas iestāžu un struktūrvienību kopums, kas kopā vāc, apstrādā un izplata oficiālo statistiku valsts valdības vārdā.</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lastRenderedPageBreak/>
        <w:t xml:space="preserve">- </w:t>
      </w:r>
      <w:r w:rsidRPr="00D347BE">
        <w:rPr>
          <w:rFonts w:ascii="Times New Roman" w:hAnsi="Times New Roman"/>
          <w:b/>
          <w:i/>
          <w:noProof/>
          <w:color w:val="000000"/>
          <w:sz w:val="24"/>
        </w:rPr>
        <w:t>Oficiālā statistika</w:t>
      </w:r>
      <w:r w:rsidRPr="00D347BE">
        <w:rPr>
          <w:rFonts w:ascii="Times New Roman" w:hAnsi="Times New Roman"/>
          <w:noProof/>
          <w:color w:val="000000"/>
          <w:sz w:val="24"/>
        </w:rPr>
        <w:t xml:space="preserve"> ir statistika, kuru izplata valsts statistikas sistēma.</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Statistikas datu un metadatu apmaiņa</w:t>
      </w:r>
      <w:r w:rsidRPr="00D347BE">
        <w:rPr>
          <w:rFonts w:ascii="Times New Roman" w:hAnsi="Times New Roman"/>
          <w:noProof/>
          <w:color w:val="000000"/>
          <w:sz w:val="24"/>
        </w:rPr>
        <w:t xml:space="preserve"> (SDMX) ir iniciatīva statistiskās informācijas apmaiņas standartu veicināšanai, ko atbalsta Starptautisko norēķinu banka (BIS), Eiropas Centrālā banka (ECB), Eiropas Savienības Statistikas birojs (Eurostat), Starptautiskais Valūtas fonds (SVF), Ekonomiskās sadarbības un attīstības organizācija (ESAO), Apvienoto Nāciju Organizācija (ANO) un Pasaules Banka.</w:t>
      </w:r>
    </w:p>
    <w:p w:rsidR="005837C8" w:rsidRPr="00D347BE" w:rsidRDefault="005837C8" w:rsidP="00D347BE">
      <w:pPr>
        <w:spacing w:after="0" w:line="240" w:lineRule="auto"/>
        <w:jc w:val="both"/>
        <w:rPr>
          <w:rFonts w:ascii="Times New Roman" w:eastAsia="Times New Roman" w:hAnsi="Times New Roman" w:cs="Times New Roman"/>
          <w:i/>
          <w:i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sz w:val="24"/>
        </w:rPr>
        <w:t>-</w:t>
      </w:r>
      <w:r w:rsidR="00D347BE">
        <w:rPr>
          <w:rFonts w:ascii="Times New Roman" w:hAnsi="Times New Roman"/>
          <w:sz w:val="24"/>
        </w:rPr>
        <w:t xml:space="preserve"> </w:t>
      </w:r>
      <w:r w:rsidRPr="00D347BE">
        <w:rPr>
          <w:rFonts w:ascii="Times New Roman" w:hAnsi="Times New Roman"/>
          <w:b/>
          <w:i/>
          <w:sz w:val="24"/>
        </w:rPr>
        <w:t>Statistikas dati</w:t>
      </w:r>
      <w:r w:rsidRPr="00D347BE">
        <w:rPr>
          <w:rFonts w:ascii="Times New Roman" w:hAnsi="Times New Roman"/>
          <w:sz w:val="24"/>
        </w:rPr>
        <w:t xml:space="preserve"> ir apsekojuma vai administratīvā datu avota dati, ko izmanto, lai sagatavotu statistiku un/vai datus, kas satur attiecīgo statistiku.</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 </w:t>
      </w:r>
      <w:r w:rsidRPr="00D347BE">
        <w:rPr>
          <w:rFonts w:ascii="Times New Roman" w:hAnsi="Times New Roman"/>
          <w:b/>
          <w:i/>
          <w:noProof/>
          <w:color w:val="000000"/>
          <w:sz w:val="24"/>
        </w:rPr>
        <w:t>Statistikas sagatavotājs</w:t>
      </w:r>
      <w:r w:rsidRPr="00D347BE">
        <w:rPr>
          <w:rFonts w:ascii="Times New Roman" w:hAnsi="Times New Roman"/>
          <w:noProof/>
          <w:color w:val="000000"/>
          <w:sz w:val="24"/>
        </w:rPr>
        <w:t xml:space="preserve"> ir oficiālās statistikas sagatavotājs.</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II</w:t>
      </w:r>
      <w:r>
        <w:rPr>
          <w:rFonts w:ascii="Times New Roman" w:hAnsi="Times New Roman"/>
          <w:b/>
          <w:noProof/>
          <w:color w:val="000000"/>
          <w:sz w:val="24"/>
        </w:rPr>
        <w:tab/>
      </w:r>
      <w:r w:rsidR="005837C8" w:rsidRPr="00D347BE">
        <w:rPr>
          <w:rFonts w:ascii="Times New Roman" w:hAnsi="Times New Roman"/>
          <w:b/>
          <w:sz w:val="24"/>
        </w:rPr>
        <w:t>IESAKA</w:t>
      </w:r>
      <w:r w:rsidR="005837C8" w:rsidRPr="00D347BE">
        <w:rPr>
          <w:rFonts w:ascii="Times New Roman" w:hAnsi="Times New Roman"/>
          <w:sz w:val="24"/>
        </w:rPr>
        <w:t xml:space="preserve"> dalībvalstīm un ārpus ESAO esošajām valstīm, kas ievēro šo ieteikumu (turpmāk “Piekritējiem”) veikt turpmāko.</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1.</w:t>
      </w:r>
      <w:r w:rsidR="00D347BE">
        <w:rPr>
          <w:rFonts w:ascii="Times New Roman" w:hAnsi="Times New Roman"/>
          <w:noProof/>
          <w:color w:val="000000"/>
          <w:sz w:val="24"/>
        </w:rPr>
        <w:tab/>
      </w:r>
      <w:r w:rsidRPr="00D347BE">
        <w:rPr>
          <w:rFonts w:ascii="Times New Roman" w:hAnsi="Times New Roman"/>
          <w:b/>
          <w:noProof/>
          <w:color w:val="000000"/>
          <w:sz w:val="24"/>
        </w:rPr>
        <w:t>Ieviest skaidru juridisku un institucionālu ietvaru</w:t>
      </w:r>
      <w:r w:rsidRPr="00D347BE">
        <w:rPr>
          <w:rFonts w:ascii="Times New Roman" w:hAnsi="Times New Roman"/>
          <w:noProof/>
          <w:color w:val="000000"/>
          <w:sz w:val="24"/>
        </w:rPr>
        <w:t xml:space="preserve"> oficiālās statistikas vajadzībām, kas jo īpaši sniegtu:</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detalizētu informāciju par VSS organizatorisko sistēmu, VSI juridisko statusu un lomu, kā arī citu VSS iestāžu juridisko statusu, funkcijām, sasaisti, tiesībām un pienākumiem;</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skaidras pilnvaras VSS iestādēm vākt datus statistikas vajadzībām.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2.</w:t>
      </w:r>
      <w:r>
        <w:rPr>
          <w:rFonts w:ascii="Times New Roman" w:hAnsi="Times New Roman"/>
          <w:b/>
          <w:noProof/>
          <w:color w:val="000000"/>
          <w:sz w:val="24"/>
        </w:rPr>
        <w:tab/>
      </w:r>
      <w:r w:rsidR="005837C8" w:rsidRPr="00D347BE">
        <w:rPr>
          <w:rFonts w:ascii="Times New Roman" w:hAnsi="Times New Roman"/>
          <w:b/>
          <w:sz w:val="24"/>
        </w:rPr>
        <w:t>Nodrošināt valstu statistikas iestāžu profesionālo neatkarību</w:t>
      </w:r>
      <w:r w:rsidR="005837C8" w:rsidRPr="00D347BE">
        <w:rPr>
          <w:rFonts w:ascii="Times New Roman" w:hAnsi="Times New Roman"/>
          <w:sz w:val="24"/>
        </w:rPr>
        <w:t>.</w:t>
      </w:r>
      <w:r w:rsidR="005837C8" w:rsidRPr="00D347BE">
        <w:rPr>
          <w:rFonts w:ascii="Times New Roman" w:hAnsi="Times New Roman"/>
          <w:noProof/>
          <w:color w:val="000000"/>
          <w:sz w:val="24"/>
        </w:rPr>
        <w:t xml:space="preserve"> Šim nolūkam Piekritējiem jānodrošina, lai valstu statistikas iestādes</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ir profesionāli neatkarīgas no citām politiskām, reglamentējošām vai pārvaldes institūcijām un struktūrām, kā arī no privātā sektora pārstāvjiem, ņemot vērā to, ka oficiālās statistikas sagatavotāju profesionālā neatkarība ir būtiska objektīvas statistikas sagatavošanai un izplatīšanai;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īstenojot savu profesionālo neatkarību, būtu pilnvarotas ekskluzīvi lemt par statistikas metodēm un izplatīšanu;</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iii) iekļaujot skaidri formulētus noteikumus tiesību aktos par statistiku, ir aizsargātas no politiskas un cita veida iejaukšanās oficiālās statistikas izstrādē, veidošanā un izplatīšanā.</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3.</w:t>
      </w:r>
      <w:r>
        <w:rPr>
          <w:rFonts w:ascii="Times New Roman" w:hAnsi="Times New Roman"/>
          <w:b/>
          <w:noProof/>
          <w:color w:val="000000"/>
          <w:sz w:val="24"/>
        </w:rPr>
        <w:tab/>
      </w:r>
      <w:r w:rsidR="005837C8" w:rsidRPr="00D347BE">
        <w:rPr>
          <w:rFonts w:ascii="Times New Roman" w:hAnsi="Times New Roman"/>
          <w:b/>
          <w:sz w:val="24"/>
        </w:rPr>
        <w:t>Nodrošināt adekvātus cilvēku, finanšu un tehniskos resursus</w:t>
      </w:r>
      <w:r w:rsidR="005837C8" w:rsidRPr="00D347BE">
        <w:rPr>
          <w:rFonts w:ascii="Times New Roman" w:hAnsi="Times New Roman"/>
          <w:sz w:val="24"/>
        </w:rPr>
        <w:t>, kas būtu pieejami valsts statistikas iestādēm oficiālās statistikas sagatavošanai un izplatīšanai.</w:t>
      </w:r>
      <w:r w:rsidR="005837C8" w:rsidRPr="00D347BE">
        <w:rPr>
          <w:rFonts w:ascii="Times New Roman" w:hAnsi="Times New Roman"/>
          <w:noProof/>
          <w:color w:val="000000"/>
          <w:sz w:val="24"/>
        </w:rPr>
        <w:t xml:space="preserve"> Šim nolūkam Piekritējiem jānodrošina, ka resursi ir:</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pietiekami, lai ļautu valsts statistikas iestādēm izpildīt savas saistības attiecībā uz kvalitāti un nodrošināt atbilstību profesionālajiem standartiem, tādējādi pildot savu uzdevumu valsts un starptautiskām vajadzībām sniegt ticamus, atbilstīgus un pieejamus datus;</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atbilstoši, lai sagatavotu pamatdatu minimumu, kas jānosaka valsts vai starptautiskajā mērogā, ekonomikas, sabiedrības un vides monitoringa vajadzībām.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4.</w:t>
      </w:r>
      <w:r>
        <w:rPr>
          <w:rFonts w:ascii="Times New Roman" w:hAnsi="Times New Roman"/>
          <w:b/>
          <w:noProof/>
          <w:color w:val="000000"/>
          <w:sz w:val="24"/>
        </w:rPr>
        <w:tab/>
      </w:r>
      <w:r w:rsidR="005837C8" w:rsidRPr="00D347BE">
        <w:rPr>
          <w:rFonts w:ascii="Times New Roman" w:hAnsi="Times New Roman"/>
          <w:b/>
          <w:sz w:val="24"/>
        </w:rPr>
        <w:t>Aizsargāt datu sniedzēju (tostarp indivīdu, mājsaimniecību, uzņēmumu, valsts institūciju un visu valdības līmeņu) privātumu</w:t>
      </w:r>
      <w:r w:rsidR="005837C8" w:rsidRPr="00D347BE">
        <w:rPr>
          <w:rFonts w:ascii="Times New Roman" w:hAnsi="Times New Roman"/>
          <w:sz w:val="24"/>
        </w:rPr>
        <w:t xml:space="preserve"> un likumā garantēt individuāli sniegtās informācijas konfidencialitāti un tās izmantošanu tikai statistiskiem mērķiem.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5.</w:t>
      </w:r>
      <w:r>
        <w:rPr>
          <w:rFonts w:ascii="Times New Roman" w:hAnsi="Times New Roman"/>
          <w:b/>
          <w:noProof/>
          <w:color w:val="000000"/>
          <w:sz w:val="24"/>
        </w:rPr>
        <w:tab/>
      </w:r>
      <w:r w:rsidR="005837C8" w:rsidRPr="00D347BE">
        <w:rPr>
          <w:rFonts w:ascii="Times New Roman" w:hAnsi="Times New Roman"/>
          <w:b/>
          <w:noProof/>
          <w:color w:val="000000"/>
          <w:sz w:val="24"/>
        </w:rPr>
        <w:t>Nodrošināt tiesības piekļūt administratīvajiem avotiem</w:t>
      </w:r>
      <w:r w:rsidR="005837C8" w:rsidRPr="00D347BE">
        <w:rPr>
          <w:rFonts w:ascii="Times New Roman" w:hAnsi="Times New Roman"/>
          <w:noProof/>
          <w:color w:val="000000"/>
          <w:sz w:val="24"/>
        </w:rPr>
        <w:t xml:space="preserve"> oficiālās statistikas sagatavošanai. Šim nolūkam Piekritējiem jānodrošina, lai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valstu statistikas iestādēm būtu tiesības parastajā kārtībā piekļūt administratīvajiem datiem oficiālās statistikas sagatavošanai un tos izmantot, lai nodrošinātu oficiālās statistikas kvalitāti, paaugstinātu oficiālās statistikas analītisko vērtību, samazinātu slodzi apsekojumu respondentiem un statistikas programmu izmaksas;</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valstu statistikas iestādes sadarbojas ar administratīvo datu avotu īpašniekiem jautājumos par administratīvo datu avotu ierakstu kvalitāti un būtu pilnvarotas piedalīties administratīvo datu avotu ierakstu sākotnējā izstrādē, turpmākajā pilnveidošanā un lēmuma pieņemšanā par to izmantošanas pārtraukšanu, nodrošinot, ka administratīvo datu avotu ieraksti der oficiālās statistikas nodrošināšanas mērķiem.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6.</w:t>
      </w:r>
      <w:r>
        <w:rPr>
          <w:rFonts w:ascii="Times New Roman" w:hAnsi="Times New Roman"/>
          <w:b/>
          <w:noProof/>
          <w:color w:val="000000"/>
          <w:sz w:val="24"/>
        </w:rPr>
        <w:tab/>
      </w:r>
      <w:r w:rsidR="005837C8" w:rsidRPr="00D347BE">
        <w:rPr>
          <w:rFonts w:ascii="Times New Roman" w:hAnsi="Times New Roman"/>
          <w:b/>
          <w:noProof/>
          <w:color w:val="000000"/>
          <w:sz w:val="24"/>
        </w:rPr>
        <w:t>Nodrošināt oficiālās statistikas neitralitāti, objektivitāti un pārskatāmību</w:t>
      </w:r>
      <w:r w:rsidR="005837C8" w:rsidRPr="00D347BE">
        <w:rPr>
          <w:rFonts w:ascii="Times New Roman" w:hAnsi="Times New Roman"/>
          <w:noProof/>
          <w:color w:val="000000"/>
          <w:sz w:val="24"/>
        </w:rPr>
        <w:t>, valstu statistikas iestādēm veidojot, sagatavojot un izplatot statistiku tā, lai tiktu ievērota zinātniskā neatkarība, kas īstenota objektīvā, profesionālā un pārskatāmā veidā. Vienlīdzīga attieksme jo īpaši nozīmē, ka visiem lietotājiem ir vienlīdzīga piekļuve datiem.</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7.</w:t>
      </w:r>
      <w:r>
        <w:rPr>
          <w:rFonts w:ascii="Times New Roman" w:hAnsi="Times New Roman"/>
          <w:b/>
          <w:noProof/>
          <w:color w:val="000000"/>
          <w:sz w:val="24"/>
        </w:rPr>
        <w:tab/>
      </w:r>
      <w:r w:rsidR="005837C8" w:rsidRPr="00D347BE">
        <w:rPr>
          <w:rFonts w:ascii="Times New Roman" w:hAnsi="Times New Roman"/>
          <w:b/>
          <w:noProof/>
          <w:color w:val="000000"/>
          <w:sz w:val="24"/>
        </w:rPr>
        <w:t>Izmantot</w:t>
      </w:r>
      <w:r w:rsidR="005837C8" w:rsidRPr="00D347BE">
        <w:rPr>
          <w:rFonts w:ascii="Times New Roman" w:hAnsi="Times New Roman"/>
          <w:noProof/>
          <w:color w:val="000000"/>
          <w:sz w:val="24"/>
        </w:rPr>
        <w:t xml:space="preserve"> </w:t>
      </w:r>
      <w:r w:rsidR="005837C8" w:rsidRPr="00D347BE">
        <w:rPr>
          <w:rFonts w:ascii="Times New Roman" w:hAnsi="Times New Roman"/>
          <w:b/>
          <w:noProof/>
          <w:color w:val="000000"/>
          <w:sz w:val="24"/>
        </w:rPr>
        <w:t>pamatotu metodoloģiju un apņemties ievērot profesionālos standartus,</w:t>
      </w:r>
      <w:r w:rsidR="005837C8" w:rsidRPr="00D347BE">
        <w:rPr>
          <w:rFonts w:ascii="Times New Roman" w:hAnsi="Times New Roman"/>
          <w:noProof/>
          <w:color w:val="000000"/>
          <w:sz w:val="24"/>
        </w:rPr>
        <w:t xml:space="preserve"> ko izmanto oficiālās statistikas sagatavošanā. Šim nolūkam Piekritējiem</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jāpiemēro atbilstošas statistikas procedūras un metodes, tostarp noteikta revīzijas politika;</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jācenšas ievērot starptautiskās normas un standartus, piemēram, Apvienoto Nāciju Statistikas komisijas vai ESAO izstrādātās metodoloģiskās rokasgrāmatas un starptautiskās klasifikācijas ESAO savāktajā statistikā.</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8.</w:t>
      </w:r>
      <w:r>
        <w:rPr>
          <w:rFonts w:ascii="Times New Roman" w:hAnsi="Times New Roman"/>
          <w:b/>
          <w:noProof/>
          <w:color w:val="000000"/>
          <w:sz w:val="24"/>
        </w:rPr>
        <w:tab/>
      </w:r>
      <w:r w:rsidR="005837C8" w:rsidRPr="00D347BE">
        <w:rPr>
          <w:rFonts w:ascii="Times New Roman" w:hAnsi="Times New Roman"/>
          <w:b/>
          <w:noProof/>
          <w:color w:val="000000"/>
          <w:sz w:val="24"/>
        </w:rPr>
        <w:t>Apņemties nodrošināt statistikas rezultātu un procesu kvalitāti</w:t>
      </w:r>
      <w:r w:rsidR="005837C8" w:rsidRPr="00D347BE">
        <w:rPr>
          <w:rFonts w:ascii="Times New Roman" w:hAnsi="Times New Roman"/>
          <w:noProof/>
          <w:color w:val="000000"/>
          <w:sz w:val="24"/>
        </w:rPr>
        <w:t>, jo īpaši svarīgākajos kvalitātes aspektos, kas noteikti valsts un starptautiskajos kvalitātes novērtēšanas ietvaros, piemēram, ESAO Statistisko darbību kvalitātes ietvarā un vadlīnijās (Quality Framework and Guidelines for OECD Statistical Activities): savlaicīgumu un punktualitāti (statistiku izplata savlaicīgi un punktuāli); atbilstību (statistika atbilst lietotāju vajadzībām); precizitāti (statistika precīzi un uzticami atspoguļo situāciju); uzticamību (statistikas produkti vieš lietotājos uzticību); saskaņotību un salīdzināmību (statistika ir iekšēji saskanīga laikā un telpā un dod iespēju kombinēt un kopīgi izmantot datus no dažādiem avotiem) un interpretējamību un pieejamību (skatīt 9. ieteikumu).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9.</w:t>
      </w:r>
      <w:r>
        <w:rPr>
          <w:rFonts w:ascii="Times New Roman" w:hAnsi="Times New Roman"/>
          <w:b/>
          <w:noProof/>
          <w:color w:val="000000"/>
          <w:sz w:val="24"/>
        </w:rPr>
        <w:tab/>
      </w:r>
      <w:r w:rsidR="005837C8" w:rsidRPr="00D347BE">
        <w:rPr>
          <w:rFonts w:ascii="Times New Roman" w:hAnsi="Times New Roman"/>
          <w:b/>
          <w:noProof/>
          <w:color w:val="000000"/>
          <w:sz w:val="24"/>
        </w:rPr>
        <w:t>Nodrošināt lietotājiem draudzīgu piekļuvi datiem un izplatīšanu</w:t>
      </w:r>
      <w:r w:rsidR="005837C8" w:rsidRPr="00D347BE">
        <w:rPr>
          <w:rFonts w:ascii="Times New Roman" w:hAnsi="Times New Roman"/>
          <w:noProof/>
          <w:color w:val="000000"/>
          <w:sz w:val="24"/>
        </w:rPr>
        <w:t xml:space="preserve"> tā, lai statistika ir atspoguļota skaidri un saprotami, izplatīta piemērotā un ērtā, tostarp mašīnlasāmā atvērto datu veidā, būtu viegli atrodama, pieejama un sasniedzama kopā ar attiecīgajiem metadatiem un norādījumiem atbilstoši vienlīdzības principam.  Tas nozīmē arī apņemšanos svarīgākajos gadījumos reaģēt uz nepareizu interpretāciju, ko pieļāvuši datu lietotāji.</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10.</w:t>
      </w:r>
      <w:r>
        <w:rPr>
          <w:rFonts w:ascii="Times New Roman" w:hAnsi="Times New Roman"/>
          <w:b/>
          <w:noProof/>
          <w:color w:val="000000"/>
          <w:sz w:val="24"/>
        </w:rPr>
        <w:tab/>
      </w:r>
      <w:r w:rsidR="005837C8" w:rsidRPr="00D347BE">
        <w:rPr>
          <w:rFonts w:ascii="Times New Roman" w:hAnsi="Times New Roman"/>
          <w:b/>
          <w:noProof/>
          <w:color w:val="000000"/>
          <w:sz w:val="24"/>
        </w:rPr>
        <w:t>Noteikt pienākumus attiecībā uz statistikas darbību koordinēšanu</w:t>
      </w:r>
      <w:r w:rsidR="005837C8" w:rsidRPr="00D347BE">
        <w:rPr>
          <w:rFonts w:ascii="Times New Roman" w:hAnsi="Times New Roman"/>
          <w:noProof/>
          <w:color w:val="000000"/>
          <w:sz w:val="24"/>
        </w:rPr>
        <w:t xml:space="preserve"> valsts statistikas sistēmā. Šim nolūkam Piekritējiem jānodrošina, lai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 izmantojot standarta jēdzienus un klasifikācijas, tiek veikta statistisko darbību koordinēšana starp statistikas sagatavotājiem un darbs netiek veikts divkārši;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pienākumi šādas koordinācijas funkcijas veikšanai būtu skaidri noteikti un nostiprināti tiesību aktos par statistiku.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11.</w:t>
      </w:r>
      <w:r>
        <w:rPr>
          <w:rFonts w:ascii="Times New Roman" w:hAnsi="Times New Roman"/>
          <w:b/>
          <w:noProof/>
          <w:color w:val="000000"/>
          <w:sz w:val="24"/>
        </w:rPr>
        <w:tab/>
      </w:r>
      <w:r w:rsidR="005837C8" w:rsidRPr="00D347BE">
        <w:rPr>
          <w:rFonts w:ascii="Times New Roman" w:hAnsi="Times New Roman"/>
          <w:b/>
          <w:noProof/>
          <w:color w:val="000000"/>
          <w:sz w:val="24"/>
        </w:rPr>
        <w:t>Apņemties sadarboties starptautiskā mērogā.</w:t>
      </w:r>
      <w:r w:rsidR="005837C8" w:rsidRPr="00D347BE">
        <w:rPr>
          <w:rFonts w:ascii="Times New Roman" w:hAnsi="Times New Roman"/>
          <w:noProof/>
          <w:color w:val="000000"/>
          <w:sz w:val="24"/>
        </w:rPr>
        <w:t xml:space="preserve"> Šim nolūkam Piekritējiem</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 xml:space="preserve">i) jāmudina statistikas sagatavotājus sasniegt kopējus mērķus statistikas jomā kopā ar  </w:t>
      </w:r>
      <w:r w:rsidRPr="00D347BE">
        <w:rPr>
          <w:rFonts w:ascii="Times New Roman" w:eastAsia="Times New Roman" w:hAnsi="Times New Roman" w:cs="Times New Roman"/>
          <w:noProof/>
          <w:color w:val="000000"/>
          <w:sz w:val="24"/>
          <w:szCs w:val="20"/>
        </w:rPr>
        <w:br/>
      </w:r>
      <w:r w:rsidRPr="00D347BE">
        <w:rPr>
          <w:rFonts w:ascii="Times New Roman" w:hAnsi="Times New Roman"/>
          <w:noProof/>
          <w:color w:val="000000"/>
          <w:sz w:val="24"/>
        </w:rPr>
        <w:t>statistikas sagatavotājiem citās valstīs un starptautiskajām  organizācijām, tiecoties izveidot starptautiski salīdzināmu statistiku, izstrādājot starptautiskos standartus un apmainoties ar informāciju par labu praksi;</w:t>
      </w: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noProof/>
          <w:color w:val="000000"/>
          <w:sz w:val="24"/>
        </w:rPr>
        <w:t>ii) jānodrošina vajadzīgie dati ESAO ziņošanas sistēmai un analītiskajam darbam, kas atbilstu ESAO atzītajiem starptautiskajiem statistiskajiem standartiem, vēlams izmantojot statistikas datu un metadatu apmaiņas metodi/standartu, jo īpaši statistikas jomās ar starptautiski apstiprinātām datu struktūras definīcijām (DSD).</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12.</w:t>
      </w:r>
      <w:r>
        <w:rPr>
          <w:rFonts w:ascii="Times New Roman" w:hAnsi="Times New Roman"/>
          <w:b/>
          <w:noProof/>
          <w:color w:val="000000"/>
          <w:sz w:val="24"/>
        </w:rPr>
        <w:tab/>
      </w:r>
      <w:r w:rsidR="005837C8" w:rsidRPr="00D347BE">
        <w:rPr>
          <w:rFonts w:ascii="Times New Roman" w:hAnsi="Times New Roman"/>
          <w:b/>
          <w:noProof/>
          <w:color w:val="000000"/>
          <w:sz w:val="24"/>
        </w:rPr>
        <w:t>Veicināt inovatīvu metožu, kā arī jaunu un alternatīvu datu avotu kā ienākošo datu izpēti oficiālās statistikas vajadzībām</w:t>
      </w:r>
      <w:r w:rsidR="005837C8" w:rsidRPr="00D347BE">
        <w:rPr>
          <w:rFonts w:ascii="Times New Roman" w:hAnsi="Times New Roman"/>
          <w:noProof/>
          <w:color w:val="000000"/>
          <w:sz w:val="24"/>
        </w:rPr>
        <w:t>, un jo īpaši veicināt, lai statistikas iestādes aktīvi pētītu iespējas izmantot jaunus datu avotus (tostarp lielas, privātajam sektoram piederošas datu kopas) vai kombinēt esošos datus ar jauniem datu avotiem, tos izmantojot kā ienākošos datus oficiālās statistikas vajadzībām. Tajā pašā laikā šīs iespējas jāizsver, ņemot vērā ierobežojumus, izmantojot modernās informācijas tehnoloģijas; Tajā pašā laikā šīs iespējas jāizsver, ņemot vērā trūkumus, kas piemīt modernās tehnoloģijas izmantošanai, un vajadzību uzturēt oficiālās statistikas kvalitāti.</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III</w:t>
      </w:r>
      <w:r>
        <w:rPr>
          <w:rFonts w:ascii="Times New Roman" w:hAnsi="Times New Roman"/>
          <w:b/>
          <w:noProof/>
          <w:color w:val="000000"/>
          <w:sz w:val="24"/>
        </w:rPr>
        <w:tab/>
      </w:r>
      <w:r w:rsidR="005837C8" w:rsidRPr="00D347BE">
        <w:rPr>
          <w:rFonts w:ascii="Times New Roman" w:hAnsi="Times New Roman"/>
          <w:b/>
          <w:sz w:val="24"/>
        </w:rPr>
        <w:t>AICINA</w:t>
      </w:r>
      <w:r w:rsidR="005837C8" w:rsidRPr="00D347BE">
        <w:rPr>
          <w:rFonts w:ascii="Times New Roman" w:hAnsi="Times New Roman"/>
          <w:sz w:val="24"/>
        </w:rPr>
        <w:t xml:space="preserve"> Piekritējus un ģenerālsekretāru izplatīt šo ieteikumu.</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D347BE" w:rsidP="00D347BE">
      <w:pPr>
        <w:spacing w:after="0" w:line="240" w:lineRule="auto"/>
        <w:jc w:val="both"/>
        <w:rPr>
          <w:rFonts w:ascii="Times New Roman" w:eastAsia="Times New Roman" w:hAnsi="Times New Roman" w:cs="Times New Roman"/>
          <w:noProof/>
          <w:color w:val="000000"/>
          <w:sz w:val="24"/>
          <w:szCs w:val="20"/>
        </w:rPr>
      </w:pPr>
      <w:r>
        <w:rPr>
          <w:rFonts w:ascii="Times New Roman" w:hAnsi="Times New Roman"/>
          <w:b/>
          <w:noProof/>
          <w:color w:val="000000"/>
          <w:sz w:val="24"/>
        </w:rPr>
        <w:t>IV</w:t>
      </w:r>
      <w:r>
        <w:rPr>
          <w:rFonts w:ascii="Times New Roman" w:hAnsi="Times New Roman"/>
          <w:b/>
          <w:noProof/>
          <w:color w:val="000000"/>
          <w:sz w:val="24"/>
        </w:rPr>
        <w:tab/>
      </w:r>
      <w:r w:rsidR="005837C8" w:rsidRPr="00D347BE">
        <w:rPr>
          <w:rFonts w:ascii="Times New Roman" w:hAnsi="Times New Roman"/>
          <w:b/>
          <w:sz w:val="24"/>
        </w:rPr>
        <w:t>AICINA</w:t>
      </w:r>
      <w:r w:rsidR="005837C8" w:rsidRPr="00D347BE">
        <w:rPr>
          <w:rFonts w:ascii="Times New Roman" w:hAnsi="Times New Roman"/>
          <w:sz w:val="24"/>
        </w:rPr>
        <w:t xml:space="preserve"> Piekritējus izplatīt šo ieteikumu visos valdības līmeņos;</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5837C8" w:rsidRPr="00D347BE" w:rsidRDefault="005837C8" w:rsidP="00D347BE">
      <w:pPr>
        <w:spacing w:after="0" w:line="240" w:lineRule="auto"/>
        <w:jc w:val="both"/>
        <w:rPr>
          <w:rFonts w:ascii="Times New Roman" w:eastAsia="Times New Roman" w:hAnsi="Times New Roman" w:cs="Times New Roman"/>
          <w:noProof/>
          <w:color w:val="000000"/>
          <w:sz w:val="24"/>
          <w:szCs w:val="20"/>
        </w:rPr>
      </w:pPr>
      <w:r w:rsidRPr="00D347BE">
        <w:rPr>
          <w:rFonts w:ascii="Times New Roman" w:hAnsi="Times New Roman"/>
          <w:b/>
          <w:sz w:val="24"/>
        </w:rPr>
        <w:t>V</w:t>
      </w:r>
      <w:r w:rsidR="00D347BE">
        <w:rPr>
          <w:rFonts w:ascii="Times New Roman" w:hAnsi="Times New Roman"/>
          <w:sz w:val="24"/>
        </w:rPr>
        <w:tab/>
      </w:r>
      <w:r w:rsidRPr="00D347BE">
        <w:rPr>
          <w:rFonts w:ascii="Times New Roman" w:hAnsi="Times New Roman"/>
          <w:b/>
          <w:sz w:val="24"/>
        </w:rPr>
        <w:t>AICINA</w:t>
      </w:r>
      <w:r w:rsidRPr="00D347BE">
        <w:rPr>
          <w:rFonts w:ascii="Times New Roman" w:hAnsi="Times New Roman"/>
          <w:sz w:val="24"/>
        </w:rPr>
        <w:t xml:space="preserve"> ārpus ESAO esošās valstis, kas nepiemēro Ieteikumu, ņemt to vērā un ievērot;</w:t>
      </w:r>
    </w:p>
    <w:p w:rsidR="005837C8" w:rsidRPr="00D347BE" w:rsidRDefault="005837C8" w:rsidP="00D347BE">
      <w:pPr>
        <w:spacing w:after="0" w:line="240" w:lineRule="auto"/>
        <w:jc w:val="both"/>
        <w:rPr>
          <w:rFonts w:ascii="Times New Roman" w:eastAsia="Times New Roman" w:hAnsi="Times New Roman" w:cs="Times New Roman"/>
          <w:b/>
          <w:bCs/>
          <w:noProof/>
          <w:color w:val="000000"/>
          <w:sz w:val="24"/>
          <w:szCs w:val="20"/>
        </w:rPr>
      </w:pPr>
    </w:p>
    <w:p w:rsidR="00464794" w:rsidRPr="00D347BE" w:rsidRDefault="00D347BE" w:rsidP="00D347BE">
      <w:pPr>
        <w:spacing w:after="0" w:line="240" w:lineRule="auto"/>
        <w:jc w:val="both"/>
        <w:rPr>
          <w:rFonts w:ascii="Times New Roman" w:hAnsi="Times New Roman" w:cs="Times New Roman"/>
          <w:sz w:val="24"/>
        </w:rPr>
      </w:pPr>
      <w:r>
        <w:rPr>
          <w:rFonts w:ascii="Times New Roman" w:hAnsi="Times New Roman"/>
          <w:b/>
          <w:noProof/>
          <w:color w:val="000000"/>
          <w:sz w:val="24"/>
        </w:rPr>
        <w:t>VI</w:t>
      </w:r>
      <w:r>
        <w:rPr>
          <w:rFonts w:ascii="Times New Roman" w:hAnsi="Times New Roman"/>
          <w:b/>
          <w:noProof/>
          <w:color w:val="000000"/>
          <w:sz w:val="24"/>
        </w:rPr>
        <w:tab/>
      </w:r>
      <w:bookmarkStart w:id="0" w:name="_GoBack"/>
      <w:bookmarkEnd w:id="0"/>
      <w:r w:rsidR="005837C8" w:rsidRPr="00D347BE">
        <w:rPr>
          <w:rFonts w:ascii="Times New Roman" w:hAnsi="Times New Roman"/>
          <w:b/>
          <w:sz w:val="24"/>
        </w:rPr>
        <w:t>DOD RĪKOJUMU</w:t>
      </w:r>
      <w:r w:rsidR="005837C8" w:rsidRPr="00D347BE">
        <w:rPr>
          <w:rFonts w:ascii="Times New Roman" w:hAnsi="Times New Roman"/>
          <w:sz w:val="24"/>
        </w:rPr>
        <w:t xml:space="preserve"> Statistikas un statistikas politikas komitejai pārraudzīt šī ieteikuma ieviešanu un ziņot par to Padomei ne vēlāk kā trīs gadus pēc tā pieņemšanas un pēc tam – ar regulāriem starplaikiem.</w:t>
      </w:r>
    </w:p>
    <w:p w:rsidR="00464794" w:rsidRPr="00D347BE" w:rsidRDefault="00464794" w:rsidP="00D347BE">
      <w:pPr>
        <w:spacing w:after="0" w:line="240" w:lineRule="auto"/>
        <w:jc w:val="both"/>
        <w:rPr>
          <w:rFonts w:ascii="Times New Roman" w:hAnsi="Times New Roman" w:cs="Times New Roman"/>
          <w:sz w:val="24"/>
        </w:rPr>
      </w:pPr>
    </w:p>
    <w:p w:rsidR="00464794" w:rsidRPr="00D347BE" w:rsidRDefault="00464794" w:rsidP="00D347BE">
      <w:pPr>
        <w:spacing w:after="0" w:line="240" w:lineRule="auto"/>
        <w:jc w:val="both"/>
        <w:rPr>
          <w:rFonts w:ascii="Times New Roman" w:hAnsi="Times New Roman" w:cs="Times New Roman"/>
          <w:sz w:val="24"/>
        </w:rPr>
      </w:pPr>
    </w:p>
    <w:p w:rsidR="005837C8" w:rsidRPr="00D347BE" w:rsidRDefault="005837C8" w:rsidP="00D347BE">
      <w:pPr>
        <w:spacing w:after="0" w:line="240" w:lineRule="auto"/>
        <w:jc w:val="both"/>
        <w:rPr>
          <w:rFonts w:ascii="Times New Roman" w:hAnsi="Times New Roman" w:cs="Times New Roman"/>
          <w:sz w:val="24"/>
        </w:rPr>
      </w:pPr>
      <w:r w:rsidRPr="00D347BE">
        <w:rPr>
          <w:rFonts w:ascii="Times New Roman" w:hAnsi="Times New Roman"/>
          <w:noProof/>
          <w:sz w:val="24"/>
        </w:rPr>
        <w:t>Attiecīgā iestāde – Statistikas un statistikas politikas komiteja.</w:t>
      </w:r>
    </w:p>
    <w:p w:rsidR="005837C8" w:rsidRPr="00D347BE" w:rsidRDefault="005837C8" w:rsidP="00D347BE">
      <w:pPr>
        <w:spacing w:after="0" w:line="240" w:lineRule="auto"/>
        <w:jc w:val="both"/>
        <w:rPr>
          <w:rFonts w:ascii="Times New Roman" w:hAnsi="Times New Roman" w:cs="Times New Roman"/>
          <w:sz w:val="24"/>
        </w:rPr>
      </w:pPr>
    </w:p>
    <w:p w:rsidR="005837C8" w:rsidRPr="00D347BE" w:rsidRDefault="005837C8" w:rsidP="00D347BE">
      <w:pPr>
        <w:spacing w:after="0" w:line="240" w:lineRule="auto"/>
        <w:jc w:val="both"/>
        <w:rPr>
          <w:rFonts w:ascii="Times New Roman" w:hAnsi="Times New Roman" w:cs="Times New Roman"/>
          <w:sz w:val="24"/>
        </w:rPr>
      </w:pPr>
    </w:p>
    <w:p w:rsidR="005837C8" w:rsidRPr="00D347BE" w:rsidRDefault="005837C8" w:rsidP="00D347BE">
      <w:pPr>
        <w:spacing w:after="0" w:line="240" w:lineRule="auto"/>
        <w:jc w:val="both"/>
        <w:rPr>
          <w:rFonts w:ascii="Times New Roman" w:eastAsia="Times New Roman" w:hAnsi="Times New Roman" w:cs="Times New Roman"/>
          <w:noProof/>
          <w:sz w:val="24"/>
          <w:szCs w:val="9"/>
        </w:rPr>
      </w:pPr>
      <w:r w:rsidRPr="00D347BE">
        <w:rPr>
          <w:rFonts w:ascii="Times New Roman" w:hAnsi="Times New Roman"/>
          <w:noProof/>
          <w:sz w:val="24"/>
        </w:rPr>
        <w:t>Lūdzam ņemt vērā, ka šī ir izdrukas versija. Šī juridiskā dokumenta vienīgā oficiālā un atjauninātā versija ir pieejama tiešsaistē vietnē http://acts.oecd.org.</w:t>
      </w:r>
    </w:p>
    <w:p w:rsidR="005837C8" w:rsidRPr="00D347BE" w:rsidRDefault="005837C8" w:rsidP="00D347BE">
      <w:pPr>
        <w:spacing w:after="0" w:line="240" w:lineRule="auto"/>
        <w:jc w:val="both"/>
        <w:rPr>
          <w:rFonts w:ascii="Times New Roman" w:hAnsi="Times New Roman" w:cs="Times New Roman"/>
          <w:sz w:val="24"/>
        </w:rPr>
      </w:pPr>
    </w:p>
    <w:p w:rsidR="005837C8" w:rsidRPr="00D347BE" w:rsidRDefault="005837C8" w:rsidP="00D347BE">
      <w:pPr>
        <w:spacing w:after="0" w:line="240" w:lineRule="auto"/>
        <w:jc w:val="both"/>
        <w:rPr>
          <w:rFonts w:ascii="Times New Roman" w:hAnsi="Times New Roman" w:cs="Times New Roman"/>
          <w:sz w:val="24"/>
        </w:rPr>
      </w:pPr>
    </w:p>
    <w:sectPr w:rsidR="005837C8" w:rsidRPr="00D347BE" w:rsidSect="00D347BE">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A9" w:rsidRPr="000979A9" w:rsidRDefault="000979A9" w:rsidP="000979A9">
      <w:pPr>
        <w:spacing w:after="0" w:line="240" w:lineRule="auto"/>
        <w:rPr>
          <w:noProof/>
          <w:lang w:val="en-US"/>
        </w:rPr>
      </w:pPr>
      <w:r w:rsidRPr="000979A9">
        <w:rPr>
          <w:noProof/>
          <w:lang w:val="en-US"/>
        </w:rPr>
        <w:separator/>
      </w:r>
    </w:p>
  </w:endnote>
  <w:endnote w:type="continuationSeparator" w:id="0">
    <w:p w:rsidR="000979A9" w:rsidRPr="000979A9" w:rsidRDefault="000979A9" w:rsidP="000979A9">
      <w:pPr>
        <w:spacing w:after="0" w:line="240" w:lineRule="auto"/>
        <w:rPr>
          <w:noProof/>
          <w:lang w:val="en-US"/>
        </w:rPr>
      </w:pPr>
      <w:r w:rsidRPr="000979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BE" w:rsidRPr="00A73CA0" w:rsidRDefault="00D347BE" w:rsidP="00D347BE">
    <w:pPr>
      <w:pStyle w:val="Header"/>
      <w:tabs>
        <w:tab w:val="clear" w:pos="4153"/>
        <w:tab w:val="clear" w:pos="8306"/>
        <w:tab w:val="left" w:pos="9072"/>
      </w:tabs>
      <w:rPr>
        <w:rStyle w:val="PageNumber"/>
        <w:rFonts w:ascii="Times New Roman" w:hAnsi="Times New Roman"/>
        <w:sz w:val="20"/>
        <w:szCs w:val="20"/>
      </w:rPr>
    </w:pPr>
    <w:r w:rsidRPr="00A73CA0">
      <w:rPr>
        <w:sz w:val="20"/>
        <w:szCs w:val="20"/>
      </w:rPr>
      <w:tab/>
    </w:r>
  </w:p>
  <w:p w:rsidR="00D347BE" w:rsidRPr="00A73CA0" w:rsidRDefault="00D347BE" w:rsidP="00D347BE">
    <w:pPr>
      <w:pStyle w:val="Header"/>
      <w:tabs>
        <w:tab w:val="clear" w:pos="4153"/>
        <w:tab w:val="clear" w:pos="8306"/>
        <w:tab w:val="right" w:leader="underscore" w:pos="9072"/>
      </w:tabs>
      <w:rPr>
        <w:rStyle w:val="PageNumber"/>
        <w:rFonts w:ascii="Times New Roman" w:hAnsi="Times New Roman"/>
        <w:sz w:val="20"/>
        <w:szCs w:val="20"/>
      </w:rPr>
    </w:pPr>
    <w:r w:rsidRPr="00A73CA0">
      <w:rPr>
        <w:rStyle w:val="PageNumber"/>
        <w:rFonts w:ascii="Times New Roman" w:hAnsi="Times New Roman"/>
        <w:sz w:val="20"/>
        <w:szCs w:val="20"/>
      </w:rPr>
      <w:tab/>
    </w:r>
  </w:p>
  <w:p w:rsidR="00D347BE" w:rsidRPr="00A73CA0" w:rsidRDefault="00D347BE" w:rsidP="00D347BE">
    <w:pPr>
      <w:pStyle w:val="Header"/>
      <w:tabs>
        <w:tab w:val="clear" w:pos="4153"/>
        <w:tab w:val="clear" w:pos="8306"/>
        <w:tab w:val="right" w:pos="9072"/>
      </w:tabs>
      <w:rPr>
        <w:rStyle w:val="PageNumber"/>
        <w:rFonts w:ascii="Times New Roman" w:hAnsi="Times New Roman"/>
        <w:sz w:val="20"/>
        <w:szCs w:val="20"/>
      </w:rPr>
    </w:pPr>
  </w:p>
  <w:p w:rsidR="00D347BE" w:rsidRPr="00A73CA0" w:rsidRDefault="00D347BE" w:rsidP="00D347BE">
    <w:pPr>
      <w:pStyle w:val="Footer"/>
      <w:tabs>
        <w:tab w:val="clear" w:pos="4153"/>
        <w:tab w:val="clear" w:pos="8306"/>
        <w:tab w:val="right" w:pos="9072"/>
      </w:tabs>
      <w:rPr>
        <w:rFonts w:ascii="Times New Roman" w:hAnsi="Times New Roman"/>
        <w:sz w:val="20"/>
        <w:szCs w:val="20"/>
      </w:rPr>
    </w:pPr>
    <w:r w:rsidRPr="00A73CA0">
      <w:rPr>
        <w:rFonts w:ascii="Times New Roman" w:hAnsi="Times New Roman"/>
        <w:noProof/>
        <w:sz w:val="20"/>
        <w:szCs w:val="20"/>
      </w:rPr>
      <w:t xml:space="preserve">Tulkojums </w:t>
    </w:r>
    <w:r w:rsidRPr="00A73CA0">
      <w:rPr>
        <w:rFonts w:ascii="Times New Roman" w:hAnsi="Times New Roman"/>
        <w:noProof/>
        <w:sz w:val="20"/>
        <w:szCs w:val="20"/>
      </w:rPr>
      <w:fldChar w:fldCharType="begin"/>
    </w:r>
    <w:r w:rsidRPr="00A73CA0">
      <w:rPr>
        <w:rFonts w:ascii="Times New Roman" w:hAnsi="Times New Roman"/>
        <w:noProof/>
        <w:sz w:val="20"/>
        <w:szCs w:val="20"/>
      </w:rPr>
      <w:instrText>symbol 211 \f "Symbol" \s 9</w:instrText>
    </w:r>
    <w:r w:rsidRPr="00A73CA0">
      <w:rPr>
        <w:rFonts w:ascii="Times New Roman" w:hAnsi="Times New Roman"/>
        <w:noProof/>
        <w:sz w:val="20"/>
        <w:szCs w:val="20"/>
      </w:rPr>
      <w:fldChar w:fldCharType="separate"/>
    </w:r>
    <w:r w:rsidRPr="00A73CA0">
      <w:rPr>
        <w:rFonts w:ascii="Times New Roman" w:hAnsi="Times New Roman"/>
        <w:noProof/>
        <w:sz w:val="20"/>
        <w:szCs w:val="20"/>
      </w:rPr>
      <w:t>Ó</w:t>
    </w:r>
    <w:r w:rsidRPr="00A73CA0">
      <w:rPr>
        <w:rFonts w:ascii="Times New Roman" w:hAnsi="Times New Roman"/>
        <w:noProof/>
        <w:sz w:val="20"/>
        <w:szCs w:val="20"/>
      </w:rPr>
      <w:fldChar w:fldCharType="end"/>
    </w:r>
    <w:r w:rsidRPr="00A73CA0">
      <w:rPr>
        <w:rFonts w:ascii="Times New Roman" w:hAnsi="Times New Roman"/>
        <w:noProof/>
        <w:sz w:val="20"/>
        <w:szCs w:val="20"/>
      </w:rPr>
      <w:t xml:space="preserve"> Valsts valodas centrs, 2016</w:t>
    </w:r>
    <w:r w:rsidRPr="00A73CA0">
      <w:rPr>
        <w:rFonts w:ascii="Times New Roman" w:hAnsi="Times New Roman"/>
        <w:sz w:val="20"/>
        <w:szCs w:val="20"/>
      </w:rPr>
      <w:tab/>
    </w:r>
    <w:r w:rsidRPr="00A73CA0">
      <w:rPr>
        <w:rStyle w:val="PageNumber"/>
        <w:rFonts w:ascii="Times New Roman" w:hAnsi="Times New Roman"/>
        <w:sz w:val="20"/>
        <w:szCs w:val="20"/>
      </w:rPr>
      <w:fldChar w:fldCharType="begin"/>
    </w:r>
    <w:r w:rsidRPr="00A73CA0">
      <w:rPr>
        <w:rStyle w:val="PageNumber"/>
        <w:rFonts w:ascii="Times New Roman" w:hAnsi="Times New Roman"/>
        <w:sz w:val="20"/>
        <w:szCs w:val="20"/>
      </w:rPr>
      <w:instrText xml:space="preserve">page </w:instrText>
    </w:r>
    <w:r w:rsidRPr="00A73CA0">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A73CA0">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BE" w:rsidRPr="00953675" w:rsidRDefault="00D347BE" w:rsidP="00D347BE">
    <w:pPr>
      <w:pStyle w:val="Header"/>
      <w:tabs>
        <w:tab w:val="clear" w:pos="4153"/>
        <w:tab w:val="clear" w:pos="8306"/>
        <w:tab w:val="left" w:pos="9072"/>
      </w:tabs>
      <w:rPr>
        <w:rStyle w:val="PageNumber"/>
        <w:rFonts w:ascii="Times New Roman" w:hAnsi="Times New Roman"/>
        <w:sz w:val="20"/>
        <w:szCs w:val="20"/>
      </w:rPr>
    </w:pPr>
  </w:p>
  <w:p w:rsidR="00D347BE" w:rsidRPr="00953675" w:rsidRDefault="00D347BE" w:rsidP="00D347BE">
    <w:pPr>
      <w:pStyle w:val="Header"/>
      <w:tabs>
        <w:tab w:val="clear" w:pos="4153"/>
        <w:tab w:val="clear" w:pos="8306"/>
        <w:tab w:val="left" w:leader="underscore" w:pos="9072"/>
      </w:tabs>
      <w:rPr>
        <w:rStyle w:val="PageNumber"/>
        <w:rFonts w:ascii="Times New Roman" w:hAnsi="Times New Roman"/>
        <w:sz w:val="20"/>
        <w:szCs w:val="20"/>
      </w:rPr>
    </w:pPr>
    <w:r w:rsidRPr="00953675">
      <w:rPr>
        <w:rStyle w:val="PageNumber"/>
        <w:rFonts w:ascii="Times New Roman" w:hAnsi="Times New Roman"/>
        <w:sz w:val="20"/>
        <w:szCs w:val="20"/>
      </w:rPr>
      <w:tab/>
    </w:r>
  </w:p>
  <w:p w:rsidR="00D347BE" w:rsidRPr="00953675" w:rsidRDefault="00D347BE" w:rsidP="00D347BE">
    <w:pPr>
      <w:pStyle w:val="Header"/>
      <w:tabs>
        <w:tab w:val="clear" w:pos="4153"/>
        <w:tab w:val="clear" w:pos="8306"/>
        <w:tab w:val="left" w:pos="9072"/>
      </w:tabs>
      <w:rPr>
        <w:rStyle w:val="PageNumber"/>
        <w:rFonts w:ascii="Times New Roman" w:hAnsi="Times New Roman"/>
        <w:sz w:val="20"/>
        <w:szCs w:val="20"/>
      </w:rPr>
    </w:pPr>
  </w:p>
  <w:p w:rsidR="00D347BE" w:rsidRPr="00953675" w:rsidRDefault="00D347BE" w:rsidP="00D347BE">
    <w:pPr>
      <w:pStyle w:val="Footer"/>
      <w:rPr>
        <w:rFonts w:ascii="Times New Roman" w:hAnsi="Times New Roman"/>
        <w:sz w:val="20"/>
        <w:szCs w:val="20"/>
      </w:rPr>
    </w:pPr>
    <w:r w:rsidRPr="00953675">
      <w:rPr>
        <w:rFonts w:ascii="Times New Roman" w:hAnsi="Times New Roman"/>
        <w:noProof/>
        <w:sz w:val="20"/>
        <w:szCs w:val="20"/>
      </w:rPr>
      <w:t xml:space="preserve">Tulkojums </w:t>
    </w:r>
    <w:r w:rsidRPr="00953675">
      <w:rPr>
        <w:rFonts w:ascii="Times New Roman" w:hAnsi="Times New Roman"/>
        <w:noProof/>
        <w:sz w:val="20"/>
        <w:szCs w:val="20"/>
      </w:rPr>
      <w:fldChar w:fldCharType="begin"/>
    </w:r>
    <w:r w:rsidRPr="00953675">
      <w:rPr>
        <w:rFonts w:ascii="Times New Roman" w:hAnsi="Times New Roman"/>
        <w:noProof/>
        <w:sz w:val="20"/>
        <w:szCs w:val="20"/>
      </w:rPr>
      <w:instrText>symbol 211 \f "Symbol" \s 9</w:instrText>
    </w:r>
    <w:r w:rsidRPr="00953675">
      <w:rPr>
        <w:rFonts w:ascii="Times New Roman" w:hAnsi="Times New Roman"/>
        <w:noProof/>
        <w:sz w:val="20"/>
        <w:szCs w:val="20"/>
      </w:rPr>
      <w:fldChar w:fldCharType="separate"/>
    </w:r>
    <w:r w:rsidRPr="00953675">
      <w:rPr>
        <w:rFonts w:ascii="Times New Roman" w:hAnsi="Times New Roman"/>
        <w:noProof/>
        <w:sz w:val="20"/>
        <w:szCs w:val="20"/>
      </w:rPr>
      <w:t>Ó</w:t>
    </w:r>
    <w:r w:rsidRPr="00953675">
      <w:rPr>
        <w:rFonts w:ascii="Times New Roman" w:hAnsi="Times New Roman"/>
        <w:noProof/>
        <w:sz w:val="20"/>
        <w:szCs w:val="20"/>
      </w:rPr>
      <w:fldChar w:fldCharType="end"/>
    </w:r>
    <w:r w:rsidRPr="00953675">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A9" w:rsidRPr="000979A9" w:rsidRDefault="000979A9" w:rsidP="000979A9">
      <w:pPr>
        <w:spacing w:after="0" w:line="240" w:lineRule="auto"/>
        <w:rPr>
          <w:noProof/>
          <w:lang w:val="en-US"/>
        </w:rPr>
      </w:pPr>
      <w:r w:rsidRPr="000979A9">
        <w:rPr>
          <w:noProof/>
          <w:lang w:val="en-US"/>
        </w:rPr>
        <w:separator/>
      </w:r>
    </w:p>
  </w:footnote>
  <w:footnote w:type="continuationSeparator" w:id="0">
    <w:p w:rsidR="000979A9" w:rsidRPr="000979A9" w:rsidRDefault="000979A9" w:rsidP="000979A9">
      <w:pPr>
        <w:spacing w:after="0" w:line="240" w:lineRule="auto"/>
        <w:rPr>
          <w:noProof/>
          <w:lang w:val="en-US"/>
        </w:rPr>
      </w:pPr>
      <w:r w:rsidRPr="000979A9">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BE" w:rsidRPr="00953675" w:rsidRDefault="00D347BE" w:rsidP="00D347BE">
    <w:pPr>
      <w:pStyle w:val="Header"/>
      <w:tabs>
        <w:tab w:val="clear" w:pos="4153"/>
        <w:tab w:val="clear" w:pos="8306"/>
      </w:tabs>
      <w:rPr>
        <w:rStyle w:val="PageNumber"/>
        <w:rFonts w:ascii="Times New Roman" w:hAnsi="Times New Roman"/>
        <w:sz w:val="20"/>
        <w:szCs w:val="20"/>
      </w:rPr>
    </w:pPr>
  </w:p>
  <w:p w:rsidR="00D347BE" w:rsidRPr="00953675" w:rsidRDefault="00D347BE" w:rsidP="00D347BE">
    <w:pPr>
      <w:pStyle w:val="Header"/>
      <w:tabs>
        <w:tab w:val="clear" w:pos="4153"/>
        <w:tab w:val="clear" w:pos="8306"/>
        <w:tab w:val="right" w:leader="underscore" w:pos="9072"/>
      </w:tabs>
      <w:rPr>
        <w:rStyle w:val="PageNumber"/>
        <w:rFonts w:ascii="Times New Roman" w:hAnsi="Times New Roman"/>
        <w:sz w:val="20"/>
        <w:szCs w:val="20"/>
      </w:rPr>
    </w:pPr>
    <w:r w:rsidRPr="00953675">
      <w:rPr>
        <w:rStyle w:val="PageNumber"/>
        <w:rFonts w:ascii="Times New Roman" w:hAnsi="Times New Roman"/>
        <w:sz w:val="20"/>
        <w:szCs w:val="20"/>
      </w:rPr>
      <w:tab/>
    </w:r>
  </w:p>
  <w:p w:rsidR="00D347BE" w:rsidRPr="00A73CA0" w:rsidRDefault="00D347BE" w:rsidP="00D347BE">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BE" w:rsidRPr="00953675" w:rsidRDefault="00D347BE" w:rsidP="00D347BE">
    <w:pPr>
      <w:pBdr>
        <w:bottom w:val="single" w:sz="12" w:space="5" w:color="auto"/>
      </w:pBdr>
      <w:rPr>
        <w:rFonts w:ascii="Times New Roman" w:hAnsi="Times New Roman"/>
        <w:spacing w:val="-2"/>
        <w:sz w:val="20"/>
        <w:szCs w:val="20"/>
      </w:rPr>
    </w:pPr>
  </w:p>
  <w:p w:rsidR="00D347BE" w:rsidRPr="00953675" w:rsidRDefault="00D347BE" w:rsidP="00D347BE">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F0"/>
    <w:rsid w:val="000979A9"/>
    <w:rsid w:val="00464794"/>
    <w:rsid w:val="004705AF"/>
    <w:rsid w:val="005837C8"/>
    <w:rsid w:val="00AA41F0"/>
    <w:rsid w:val="00D347BE"/>
    <w:rsid w:val="00E65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41F0"/>
  </w:style>
  <w:style w:type="paragraph" w:customStyle="1" w:styleId="normal-p">
    <w:name w:val="normal-p"/>
    <w:basedOn w:val="Normal"/>
    <w:rsid w:val="00AA4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AA41F0"/>
  </w:style>
  <w:style w:type="character" w:styleId="Hyperlink">
    <w:name w:val="Hyperlink"/>
    <w:basedOn w:val="DefaultParagraphFont"/>
    <w:uiPriority w:val="99"/>
    <w:semiHidden/>
    <w:unhideWhenUsed/>
    <w:rsid w:val="00AA41F0"/>
    <w:rPr>
      <w:color w:val="0000FF"/>
      <w:u w:val="single"/>
    </w:rPr>
  </w:style>
  <w:style w:type="paragraph" w:styleId="Header">
    <w:name w:val="header"/>
    <w:basedOn w:val="Normal"/>
    <w:link w:val="HeaderChar"/>
    <w:unhideWhenUsed/>
    <w:rsid w:val="000979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9A9"/>
  </w:style>
  <w:style w:type="paragraph" w:styleId="Footer">
    <w:name w:val="footer"/>
    <w:basedOn w:val="Normal"/>
    <w:link w:val="FooterChar"/>
    <w:unhideWhenUsed/>
    <w:rsid w:val="000979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9A9"/>
  </w:style>
  <w:style w:type="table" w:styleId="TableGrid">
    <w:name w:val="Table Grid"/>
    <w:basedOn w:val="TableNormal"/>
    <w:uiPriority w:val="39"/>
    <w:rsid w:val="0046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D347BE"/>
  </w:style>
  <w:style w:type="paragraph" w:styleId="ListParagraph">
    <w:name w:val="List Paragraph"/>
    <w:basedOn w:val="Normal"/>
    <w:uiPriority w:val="34"/>
    <w:qFormat/>
    <w:rsid w:val="00D34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9707">
      <w:bodyDiv w:val="1"/>
      <w:marLeft w:val="0"/>
      <w:marRight w:val="0"/>
      <w:marTop w:val="0"/>
      <w:marBottom w:val="0"/>
      <w:divBdr>
        <w:top w:val="none" w:sz="0" w:space="0" w:color="auto"/>
        <w:left w:val="none" w:sz="0" w:space="0" w:color="auto"/>
        <w:bottom w:val="none" w:sz="0" w:space="0" w:color="auto"/>
        <w:right w:val="none" w:sz="0" w:space="0" w:color="auto"/>
      </w:divBdr>
      <w:divsChild>
        <w:div w:id="15353887">
          <w:marLeft w:val="0"/>
          <w:marRight w:val="0"/>
          <w:marTop w:val="0"/>
          <w:marBottom w:val="0"/>
          <w:divBdr>
            <w:top w:val="none" w:sz="0" w:space="0" w:color="auto"/>
            <w:left w:val="none" w:sz="0" w:space="0" w:color="auto"/>
            <w:bottom w:val="none" w:sz="0" w:space="0" w:color="auto"/>
            <w:right w:val="none" w:sz="0" w:space="0" w:color="auto"/>
          </w:divBdr>
          <w:divsChild>
            <w:div w:id="1988821997">
              <w:marLeft w:val="0"/>
              <w:marRight w:val="0"/>
              <w:marTop w:val="0"/>
              <w:marBottom w:val="0"/>
              <w:divBdr>
                <w:top w:val="none" w:sz="0" w:space="0" w:color="auto"/>
                <w:left w:val="none" w:sz="0" w:space="0" w:color="auto"/>
                <w:bottom w:val="none" w:sz="0" w:space="0" w:color="auto"/>
                <w:right w:val="none" w:sz="0" w:space="0" w:color="auto"/>
              </w:divBdr>
              <w:divsChild>
                <w:div w:id="2056421345">
                  <w:marLeft w:val="2794"/>
                  <w:marRight w:val="0"/>
                  <w:marTop w:val="0"/>
                  <w:marBottom w:val="0"/>
                  <w:divBdr>
                    <w:top w:val="none" w:sz="0" w:space="0" w:color="auto"/>
                    <w:left w:val="none" w:sz="0" w:space="0" w:color="auto"/>
                    <w:bottom w:val="none" w:sz="0" w:space="0" w:color="auto"/>
                    <w:right w:val="none" w:sz="0" w:space="0" w:color="auto"/>
                  </w:divBdr>
                </w:div>
              </w:divsChild>
            </w:div>
            <w:div w:id="314798536">
              <w:marLeft w:val="0"/>
              <w:marRight w:val="0"/>
              <w:marTop w:val="0"/>
              <w:marBottom w:val="0"/>
              <w:divBdr>
                <w:top w:val="none" w:sz="0" w:space="0" w:color="auto"/>
                <w:left w:val="none" w:sz="0" w:space="0" w:color="auto"/>
                <w:bottom w:val="none" w:sz="0" w:space="0" w:color="auto"/>
                <w:right w:val="none" w:sz="0" w:space="0" w:color="auto"/>
              </w:divBdr>
            </w:div>
            <w:div w:id="675612747">
              <w:marLeft w:val="0"/>
              <w:marRight w:val="0"/>
              <w:marTop w:val="0"/>
              <w:marBottom w:val="0"/>
              <w:divBdr>
                <w:top w:val="none" w:sz="0" w:space="0" w:color="auto"/>
                <w:left w:val="none" w:sz="0" w:space="0" w:color="auto"/>
                <w:bottom w:val="none" w:sz="0" w:space="0" w:color="auto"/>
                <w:right w:val="none" w:sz="0" w:space="0" w:color="auto"/>
              </w:divBdr>
              <w:divsChild>
                <w:div w:id="10173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6696</Words>
  <Characters>3818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2016-02-04T09:27:00Z</dcterms:created>
  <dcterms:modified xsi:type="dcterms:W3CDTF">2016-07-11T10:27:00Z</dcterms:modified>
</cp:coreProperties>
</file>