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455" w:rsidRPr="004D15CC" w:rsidRDefault="00A74455" w:rsidP="004D15CC">
      <w:pPr>
        <w:jc w:val="both"/>
        <w:rPr>
          <w:noProof/>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936"/>
        <w:gridCol w:w="3366"/>
      </w:tblGrid>
      <w:tr w:rsidR="00A74455" w:rsidRPr="004D15CC" w:rsidTr="00AB5925">
        <w:tc>
          <w:tcPr>
            <w:tcW w:w="2160" w:type="dxa"/>
            <w:tcBorders>
              <w:top w:val="nil"/>
              <w:left w:val="nil"/>
              <w:bottom w:val="single" w:sz="6" w:space="0" w:color="auto"/>
              <w:right w:val="nil"/>
            </w:tcBorders>
            <w:vAlign w:val="center"/>
          </w:tcPr>
          <w:p w:rsidR="00A74455" w:rsidRPr="004D15CC" w:rsidRDefault="00A74455" w:rsidP="00AB5925">
            <w:pPr>
              <w:jc w:val="center"/>
              <w:rPr>
                <w:b/>
                <w:noProof/>
              </w:rPr>
            </w:pPr>
            <w:r>
              <w:rPr>
                <w:b/>
                <w:noProof/>
              </w:rPr>
              <w:t>APVIENOTO NĀCIJU ORGANIZĀCIJA</w:t>
            </w:r>
          </w:p>
        </w:tc>
        <w:tc>
          <w:tcPr>
            <w:tcW w:w="3936" w:type="dxa"/>
            <w:tcBorders>
              <w:top w:val="nil"/>
              <w:left w:val="nil"/>
              <w:bottom w:val="single" w:sz="6" w:space="0" w:color="auto"/>
              <w:right w:val="nil"/>
            </w:tcBorders>
            <w:vAlign w:val="center"/>
          </w:tcPr>
          <w:p w:rsidR="00A74455" w:rsidRPr="004D15CC" w:rsidRDefault="00A74455" w:rsidP="00AB5925">
            <w:pPr>
              <w:jc w:val="center"/>
              <w:rPr>
                <w:noProof/>
              </w:rPr>
            </w:pPr>
          </w:p>
        </w:tc>
        <w:tc>
          <w:tcPr>
            <w:tcW w:w="3366" w:type="dxa"/>
            <w:tcBorders>
              <w:top w:val="nil"/>
              <w:left w:val="nil"/>
              <w:bottom w:val="single" w:sz="6" w:space="0" w:color="auto"/>
              <w:right w:val="nil"/>
            </w:tcBorders>
            <w:vAlign w:val="center"/>
          </w:tcPr>
          <w:p w:rsidR="00A74455" w:rsidRPr="00AB5925" w:rsidRDefault="00A74455" w:rsidP="00AB5925">
            <w:pPr>
              <w:jc w:val="right"/>
              <w:rPr>
                <w:b/>
                <w:noProof/>
                <w:sz w:val="44"/>
              </w:rPr>
            </w:pPr>
            <w:r w:rsidRPr="00AB5925">
              <w:rPr>
                <w:b/>
                <w:noProof/>
                <w:sz w:val="44"/>
              </w:rPr>
              <w:t>BTK</w:t>
            </w:r>
          </w:p>
        </w:tc>
      </w:tr>
      <w:tr w:rsidR="00A74455" w:rsidRPr="004D15CC" w:rsidTr="00AB5925">
        <w:tc>
          <w:tcPr>
            <w:tcW w:w="2160" w:type="dxa"/>
            <w:tcBorders>
              <w:top w:val="single" w:sz="6" w:space="0" w:color="auto"/>
              <w:left w:val="nil"/>
              <w:bottom w:val="single" w:sz="36" w:space="0" w:color="auto"/>
              <w:right w:val="nil"/>
            </w:tcBorders>
            <w:vAlign w:val="center"/>
          </w:tcPr>
          <w:p w:rsidR="00A74455" w:rsidRPr="004D15CC" w:rsidRDefault="00A74455" w:rsidP="00AB5925">
            <w:pPr>
              <w:jc w:val="center"/>
              <w:rPr>
                <w:noProof/>
              </w:rPr>
            </w:pPr>
            <w:r>
              <w:rPr>
                <w:noProof/>
              </w:rP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65pt" o:ole="" fillcolor="window">
                  <v:imagedata r:id="rId7" o:title=""/>
                </v:shape>
                <o:OLEObject Type="Embed" ProgID="Word.Picture.8" ShapeID="_x0000_i1025" DrawAspect="Content" ObjectID="_1564914797" r:id="rId8"/>
              </w:object>
            </w:r>
            <w:bookmarkStart w:id="0" w:name="_992683145"/>
            <w:bookmarkEnd w:id="0"/>
          </w:p>
        </w:tc>
        <w:tc>
          <w:tcPr>
            <w:tcW w:w="3936" w:type="dxa"/>
            <w:tcBorders>
              <w:top w:val="single" w:sz="6" w:space="0" w:color="auto"/>
              <w:left w:val="nil"/>
              <w:bottom w:val="single" w:sz="36" w:space="0" w:color="auto"/>
              <w:right w:val="nil"/>
            </w:tcBorders>
            <w:vAlign w:val="center"/>
          </w:tcPr>
          <w:p w:rsidR="00A74455" w:rsidRPr="004D15CC" w:rsidRDefault="00A74455" w:rsidP="00AB5925">
            <w:pPr>
              <w:jc w:val="center"/>
              <w:rPr>
                <w:noProof/>
              </w:rPr>
            </w:pPr>
            <w:r w:rsidRPr="00AB5925">
              <w:rPr>
                <w:b/>
                <w:noProof/>
                <w:sz w:val="44"/>
              </w:rPr>
              <w:t>Bērnu tiesību konvencija</w:t>
            </w:r>
          </w:p>
        </w:tc>
        <w:tc>
          <w:tcPr>
            <w:tcW w:w="3366" w:type="dxa"/>
            <w:tcBorders>
              <w:top w:val="single" w:sz="6" w:space="0" w:color="auto"/>
              <w:left w:val="nil"/>
              <w:bottom w:val="single" w:sz="36" w:space="0" w:color="auto"/>
              <w:right w:val="nil"/>
            </w:tcBorders>
            <w:vAlign w:val="center"/>
          </w:tcPr>
          <w:p w:rsidR="00A74455" w:rsidRPr="004D15CC" w:rsidRDefault="00A74455" w:rsidP="00AB5925">
            <w:pPr>
              <w:jc w:val="both"/>
              <w:rPr>
                <w:noProof/>
              </w:rPr>
            </w:pPr>
            <w:r>
              <w:t>Izpl.:</w:t>
            </w:r>
          </w:p>
          <w:p w:rsidR="00A74455" w:rsidRPr="004D15CC" w:rsidRDefault="00A74455" w:rsidP="00AB5925">
            <w:pPr>
              <w:jc w:val="both"/>
              <w:rPr>
                <w:noProof/>
              </w:rPr>
            </w:pPr>
            <w:r>
              <w:rPr>
                <w:noProof/>
              </w:rPr>
              <w:fldChar w:fldCharType="begin"/>
            </w:r>
            <w:r>
              <w:rPr>
                <w:noProof/>
              </w:rPr>
              <w:instrText xml:space="preserve"> FILLIN "Izpl.:" \* MERGEFORMAT </w:instrText>
            </w:r>
            <w:r>
              <w:rPr>
                <w:noProof/>
              </w:rPr>
              <w:fldChar w:fldCharType="separate"/>
            </w:r>
            <w:r>
              <w:t>VISPĀRĒJAS LIETOŠANAS</w:t>
            </w:r>
            <w:r>
              <w:fldChar w:fldCharType="end"/>
            </w:r>
          </w:p>
          <w:p w:rsidR="004D15CC" w:rsidRDefault="004D15CC" w:rsidP="00AB5925">
            <w:pPr>
              <w:jc w:val="both"/>
              <w:rPr>
                <w:noProof/>
              </w:rPr>
            </w:pPr>
          </w:p>
          <w:p w:rsidR="00A74455" w:rsidRPr="004D15CC" w:rsidRDefault="00A74455" w:rsidP="00AB5925">
            <w:pPr>
              <w:jc w:val="both"/>
              <w:rPr>
                <w:noProof/>
              </w:rPr>
            </w:pPr>
            <w:r>
              <w:rPr>
                <w:noProof/>
              </w:rPr>
              <w:fldChar w:fldCharType="begin"/>
            </w:r>
            <w:r>
              <w:rPr>
                <w:noProof/>
              </w:rPr>
              <w:instrText xml:space="preserve"> FILLIN "Simbols" \* MERGEFORMAT </w:instrText>
            </w:r>
            <w:r>
              <w:rPr>
                <w:noProof/>
              </w:rPr>
              <w:fldChar w:fldCharType="separate"/>
            </w:r>
            <w:r>
              <w:t>CRC/GC/2002/2</w:t>
            </w:r>
            <w:r>
              <w:fldChar w:fldCharType="end"/>
            </w:r>
          </w:p>
          <w:p w:rsidR="00A74455" w:rsidRPr="004D15CC" w:rsidRDefault="00A74455" w:rsidP="00AB5925">
            <w:pPr>
              <w:jc w:val="both"/>
              <w:rPr>
                <w:noProof/>
              </w:rPr>
            </w:pPr>
            <w:r>
              <w:rPr>
                <w:noProof/>
              </w:rPr>
              <w:fldChar w:fldCharType="begin"/>
            </w:r>
            <w:r>
              <w:rPr>
                <w:noProof/>
              </w:rPr>
              <w:instrText xml:space="preserve"> FILLIN "Datums" \* MERGEFORMAT </w:instrText>
            </w:r>
            <w:r>
              <w:rPr>
                <w:noProof/>
              </w:rPr>
              <w:fldChar w:fldCharType="separate"/>
            </w:r>
            <w:r>
              <w:t>2002. gada 15. novembris</w:t>
            </w:r>
            <w:r>
              <w:fldChar w:fldCharType="end"/>
            </w:r>
          </w:p>
          <w:p w:rsidR="00A74455" w:rsidRPr="004D15CC" w:rsidRDefault="00A74455" w:rsidP="00AB5925">
            <w:pPr>
              <w:jc w:val="both"/>
              <w:rPr>
                <w:noProof/>
              </w:rPr>
            </w:pPr>
          </w:p>
          <w:p w:rsidR="00A74455" w:rsidRPr="004D15CC" w:rsidRDefault="00A74455" w:rsidP="00AB5925">
            <w:pPr>
              <w:jc w:val="both"/>
              <w:rPr>
                <w:noProof/>
              </w:rPr>
            </w:pPr>
            <w:r>
              <w:t xml:space="preserve">Oriģināls: </w:t>
            </w:r>
            <w:r>
              <w:rPr>
                <w:noProof/>
              </w:rPr>
              <w:fldChar w:fldCharType="begin"/>
            </w:r>
            <w:r>
              <w:rPr>
                <w:noProof/>
              </w:rPr>
              <w:instrText xml:space="preserve"> FILLIN "Oriģ. Val." \* MERGEFORMAT </w:instrText>
            </w:r>
            <w:r>
              <w:rPr>
                <w:noProof/>
              </w:rPr>
              <w:fldChar w:fldCharType="separate"/>
            </w:r>
            <w:r>
              <w:t>ANGĻU VALODĀ</w:t>
            </w:r>
            <w:r>
              <w:fldChar w:fldCharType="end"/>
            </w:r>
          </w:p>
        </w:tc>
      </w:tr>
    </w:tbl>
    <w:p w:rsidR="00A74455" w:rsidRPr="004D15CC" w:rsidRDefault="00A74455" w:rsidP="004D15CC">
      <w:pPr>
        <w:jc w:val="both"/>
        <w:rPr>
          <w:noProof/>
        </w:rPr>
      </w:pPr>
    </w:p>
    <w:p w:rsidR="00A74455" w:rsidRPr="004D15CC" w:rsidRDefault="00A74455" w:rsidP="004D15CC">
      <w:pPr>
        <w:jc w:val="both"/>
        <w:rPr>
          <w:noProof/>
        </w:rPr>
      </w:pPr>
      <w:r>
        <w:t>BĒRNU TIESĪBU KOMITEJA</w:t>
      </w:r>
    </w:p>
    <w:p w:rsidR="00A74455" w:rsidRPr="004D15CC" w:rsidRDefault="00A74455" w:rsidP="004D15CC">
      <w:pPr>
        <w:jc w:val="both"/>
        <w:rPr>
          <w:noProof/>
        </w:rPr>
      </w:pPr>
      <w:r>
        <w:t>Trīsdesmit otrā sesija</w:t>
      </w:r>
    </w:p>
    <w:p w:rsidR="00A74455" w:rsidRPr="004D15CC" w:rsidRDefault="00A74455" w:rsidP="004D15CC">
      <w:pPr>
        <w:jc w:val="both"/>
        <w:rPr>
          <w:noProof/>
        </w:rPr>
      </w:pPr>
      <w:r>
        <w:t>2003. gada 13.–31. janvāris</w:t>
      </w:r>
    </w:p>
    <w:p w:rsidR="00A74455" w:rsidRPr="004D15CC" w:rsidRDefault="00A74455" w:rsidP="004D15CC">
      <w:pPr>
        <w:jc w:val="both"/>
        <w:rPr>
          <w:noProof/>
        </w:rPr>
      </w:pPr>
    </w:p>
    <w:p w:rsidR="00A74455" w:rsidRPr="004D15CC" w:rsidRDefault="00A74455" w:rsidP="004D15CC">
      <w:pPr>
        <w:jc w:val="both"/>
        <w:rPr>
          <w:noProof/>
        </w:rPr>
      </w:pPr>
    </w:p>
    <w:p w:rsidR="00A74455" w:rsidRPr="004D15CC" w:rsidRDefault="005302ED" w:rsidP="004D15CC">
      <w:pPr>
        <w:jc w:val="center"/>
        <w:rPr>
          <w:b/>
          <w:bCs/>
          <w:noProof/>
        </w:rPr>
      </w:pPr>
      <w:r>
        <w:rPr>
          <w:b/>
          <w:noProof/>
        </w:rPr>
        <w:t>VISPĀRĒJAIS</w:t>
      </w:r>
      <w:r w:rsidR="00A74455">
        <w:rPr>
          <w:b/>
          <w:noProof/>
        </w:rPr>
        <w:t xml:space="preserve"> </w:t>
      </w:r>
      <w:r>
        <w:rPr>
          <w:b/>
          <w:noProof/>
        </w:rPr>
        <w:t>KOMENTĀRS</w:t>
      </w:r>
      <w:r w:rsidR="00A74455">
        <w:rPr>
          <w:b/>
          <w:noProof/>
        </w:rPr>
        <w:t> Nr. 2 (2002)</w:t>
      </w:r>
    </w:p>
    <w:p w:rsidR="00A74455" w:rsidRPr="004D15CC" w:rsidRDefault="00A74455" w:rsidP="004D15CC">
      <w:pPr>
        <w:pStyle w:val="Pamatteksts"/>
        <w:rPr>
          <w:noProof/>
          <w:u w:val="none"/>
        </w:rPr>
      </w:pPr>
    </w:p>
    <w:p w:rsidR="00A74455" w:rsidRPr="004D15CC" w:rsidRDefault="00A74455" w:rsidP="004D15CC">
      <w:pPr>
        <w:pStyle w:val="Virsraksts1"/>
        <w:keepNext w:val="0"/>
        <w:rPr>
          <w:noProof/>
          <w:kern w:val="0"/>
        </w:rPr>
      </w:pPr>
      <w:r>
        <w:t>Neatkarīgu valsts cilvēktiesību iestāžu loma</w:t>
      </w:r>
    </w:p>
    <w:p w:rsidR="00A74455" w:rsidRPr="004D15CC" w:rsidRDefault="00A74455" w:rsidP="004D15CC">
      <w:pPr>
        <w:pStyle w:val="Virsraksts1"/>
        <w:keepNext w:val="0"/>
        <w:rPr>
          <w:noProof/>
          <w:kern w:val="0"/>
        </w:rPr>
      </w:pPr>
      <w:r>
        <w:t>bērnu tiesību veicināšanā un aizsardzībā</w:t>
      </w:r>
    </w:p>
    <w:p w:rsidR="00A74455" w:rsidRPr="004D15CC" w:rsidRDefault="00A74455" w:rsidP="004D15CC">
      <w:pPr>
        <w:jc w:val="both"/>
        <w:rPr>
          <w:noProof/>
          <w:u w:val="single"/>
        </w:rPr>
      </w:pPr>
    </w:p>
    <w:p w:rsidR="00A74455" w:rsidRPr="004D15CC" w:rsidRDefault="00A74455" w:rsidP="004D15CC">
      <w:pPr>
        <w:pStyle w:val="ParaNo"/>
        <w:tabs>
          <w:tab w:val="clear" w:pos="360"/>
        </w:tabs>
        <w:ind w:left="0"/>
        <w:jc w:val="both"/>
        <w:rPr>
          <w:noProof/>
        </w:rPr>
      </w:pPr>
      <w:bookmarkStart w:id="1" w:name="_GoBack"/>
      <w:r>
        <w:t xml:space="preserve">Saskaņā ar Bērnu tiesību konvencijas 4. pantu dalībvalstis “veic visus attiecīgos </w:t>
      </w:r>
      <w:bookmarkEnd w:id="1"/>
      <w:r>
        <w:t>likumdošanas, administratīvos un citus pasākumus, lai īstenotu šajā konvencijā atzītās tiesības”. Neatkarīgas valsts cilvēktiesību iestādes (VCI) ir svarīgs mehānisms Konvencijas īstenošanas veicināšanai un nodrošināšanai, un Bērnu tiesību komiteja uzskata, ka viens no pienākumiem, ko dalībvalstis ir uzņēmušās, ratificējot Konvenciju, ir šādu struktūru izveide, lai nodrošinātu Konvencijas īstenošanu un sekmētu bērnu tiesību vispārēju ieviešanu praksē. Šajā saistībā Komiteja ir atzinīgi novērtējusi VCI un bērnu tiesībsargu/bērnu lietu komisāru amatu, un līdzīgu neatkarīgu struktūru izveidi vairākās dalībvalstīs, lai veicinātu un uzraudzītu Konvencijas īstenošanu.</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Kom</w:t>
      </w:r>
      <w:r w:rsidR="005302ED">
        <w:t>iteja izdod šo vispārējo komentāru</w:t>
      </w:r>
      <w:r>
        <w:t xml:space="preserve"> ar mērķi mudināt dalībvalstis veidot neatkarīgas iestādes, lai veicinātu un uzraudzītu Konvencijas īstenošanu, un atbalstīt tās šajā saistībā, izstrādājot šo iestāžu pamatelementus un nosakot darbības, kas tām būtu jāveic. Ja šādas iestādes jau ir izveidotas, Komiteja aicina valstis pārskatīt šo iestāžu statusu un to, cik efektīvi tās veicina un aizsargā Bērnu tiesību konvencijā un citos attiecīgos starptautiskos dokumentos noteiktās bērnu tiesības.</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1993. gadā Pasaules Cilvēktiesību konference pieņēma Vīnes deklarāciju un rīcības programmu, kurā atkārtoti apstiprināja, ka “valsts iestādēm (..) ir būtiska un konstruktīva nozīme cilvēktiesību sekmēšanā un aizsardzībā”, un mudināja “izveidot vai stiprināt savas (..) iestādes”. ANO Ģenerālā asambleja un GE.02-45736 (E) 061202 Cilvēktiesību komisija ir atkārtoti aicinājusi dibināt valsts cilvēktiesību iestādes, uzsverot, ka VCI ir svarīga loma cilvēktiesību veicināšanā un aizsardzībā, kā arī sabiedrības informēšanā par šīm tiesībām. Tā kā savās vispārējās pamatnostādnēs attiecībā uz periodisko ziņojumu sagatavošanu Komiteja pieprasa dalībvalstīm sniegt informāciju par “visām neatkarīgajām iestādēm, kas izveidotas, lai veicinātu un aizsargātu bērnu tiesības (..)”,</w:t>
      </w:r>
      <w:r>
        <w:rPr>
          <w:rStyle w:val="Beiguvresatsauce"/>
          <w:noProof/>
        </w:rPr>
        <w:endnoteReference w:id="1"/>
      </w:r>
      <w:r>
        <w:t xml:space="preserve"> tā šo jautājumu konsekventi skata savā dialogā ar dalībvalstīm.</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lastRenderedPageBreak/>
        <w:t>VCI jāveido atbilstoši Principiem, kuri attiecas uz cilvēktiesību aizsardzības un veicināšanas valsts iestāžu statusu (“Parīzes principi”), ko Ģenerālā asambleja pieņēma 1993. gadā</w:t>
      </w:r>
      <w:r>
        <w:rPr>
          <w:rStyle w:val="Beiguvresatsauce"/>
          <w:noProof/>
        </w:rPr>
        <w:endnoteReference w:id="2"/>
      </w:r>
      <w:r>
        <w:t xml:space="preserve"> un Cilvēktiesību komisija nosūtīja 1992. gadā.</w:t>
      </w:r>
      <w:r>
        <w:rPr>
          <w:b/>
          <w:noProof/>
          <w:vertAlign w:val="superscript"/>
        </w:rPr>
        <w:endnoteReference w:id="3"/>
      </w:r>
      <w:r>
        <w:rPr>
          <w:b/>
          <w:noProof/>
          <w:vertAlign w:val="superscript"/>
        </w:rPr>
        <w:t xml:space="preserve"> </w:t>
      </w:r>
      <w:r>
        <w:t>Šajos minimālajos standartos ir sniegti norādījumi par šādu valsts iestāžu izveidi, kompetenci, pienākumiem, sastāvu, tostarp plurālismu, neatkarību, darbības metodēm un tiesas iestāžu darbībām pielīdzināmām darbībām.</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Lai gan pieaugušajiem, kā arī bērniem ir nepieciešamas neatkarīgas VCI, kas aizsargātu viņu cilvēktiesības, pastāv vēl arī citi iemesli, kāpēc bērnu cilvēktiesībām ir jāpievērš īpaša uzmanība. Viens no šiem iemesliem ir fakts, ka bērnu attīstības stāvokļa dēļ viņi ir mazāk aizsargāti pret cilvēktiesību pārkāpumiem, kā arī tas, ka joprojām reti ņem vērā bērnu viedokli un vairumam bērnu nav balsstiesību, un viņi nevar būtiski ietekmēt politisko procesu, no kura ir atkarīga valdības reaģēšana cilvēktiesību jautājumos; turklāt bērniem ir grūti izmantot tiesu sistēmu savu tiesību aizsardzībai vai tiesiskos aizsardzības līdzekļus, kad tiek pārkāptas viņu tiesības, un parasti bērniem ir ierobežota piekļuve tām organizācijām, kas varētu aizsargāt viņu tiesības.</w:t>
      </w:r>
    </w:p>
    <w:p w:rsidR="00A74455" w:rsidRPr="004D15CC" w:rsidRDefault="00A74455" w:rsidP="004D15CC">
      <w:pPr>
        <w:jc w:val="both"/>
        <w:rPr>
          <w:bCs/>
          <w:noProof/>
        </w:rPr>
      </w:pPr>
    </w:p>
    <w:p w:rsidR="00A74455" w:rsidRPr="004D15CC" w:rsidRDefault="00A74455" w:rsidP="004D15CC">
      <w:pPr>
        <w:pStyle w:val="ParaNo"/>
        <w:tabs>
          <w:tab w:val="clear" w:pos="360"/>
        </w:tabs>
        <w:ind w:left="0"/>
        <w:jc w:val="both"/>
        <w:rPr>
          <w:bCs/>
          <w:noProof/>
        </w:rPr>
      </w:pPr>
      <w:r>
        <w:t>Pieaug to dalībvalstu skaits, kas izveido neatkarīgu speciālistu bērnu cilvēktiesību iestādes un tādas institūcijas kā bērnu tiesībsargs un komisārs bērnu lietās.</w:t>
      </w:r>
      <w:r>
        <w:rPr>
          <w:noProof/>
          <w:color w:val="000000"/>
        </w:rPr>
        <w:t xml:space="preserve"> </w:t>
      </w:r>
      <w:r>
        <w:t>Ja resursi ir ierobežoti, ir jāapsver, kā visefektīvāk izlietot pieejamos resursus, lai veicinātu un aizsargātu ikvienas personas, tostarp bērnu, cilvēktiesības, un šajā saistībā, iespējams, vislabākā pieeja ir izveidot vispārēju VCI, kas īpašu uzmanību pievērš bērniem. Vispārējas VCI struktūrā jāiekļauj vai nu identificējams komisārs, kas ir īpaši atbildīgs par bērnu tiesību aizsardzību, vai kāda konkrēta nodaļa vai struktūra, kas ir atbildīga par bērnu tiesību aizsardzību.</w:t>
      </w:r>
    </w:p>
    <w:p w:rsidR="00A74455" w:rsidRPr="004D15CC" w:rsidRDefault="00A74455" w:rsidP="004D15CC">
      <w:pPr>
        <w:jc w:val="both"/>
        <w:rPr>
          <w:bCs/>
          <w:noProof/>
        </w:rPr>
      </w:pPr>
    </w:p>
    <w:p w:rsidR="00A74455" w:rsidRPr="004D15CC" w:rsidRDefault="00A74455" w:rsidP="004D15CC">
      <w:pPr>
        <w:pStyle w:val="ParaNo"/>
        <w:tabs>
          <w:tab w:val="clear" w:pos="360"/>
        </w:tabs>
        <w:ind w:left="0"/>
        <w:jc w:val="both"/>
        <w:rPr>
          <w:bCs/>
          <w:noProof/>
        </w:rPr>
      </w:pPr>
      <w:r>
        <w:t>Komiteja uzskata, ka katrai valstij ir nepieciešama neatkarīga cilvēktiesību iestāde, kas ir atbildīga par bērnu tiesību veicināšanu un aizsardzību. Komiteja galvenokārt rūpējas par to, lai šī iestāde, lai kāds būtu tās veids, spētu neatkarīgā un efektīvā veidā uzraudzīt bērnu tiesību ievērošanu un veicināt un aizsargāt šīs tiesības. Ir būtiski izveidot “integrētu pieeju” bērnu tiesību veicināšanai un aizsardzībai un nodrošināt, lai šajā nolūkā cieši sadarbojas visas valstī esošās cilvēktiesību iestādes.</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Uzdevumi un pilnvaras</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Ja iespējams, VCI darbībai ir jābūt konstitucionālai un tās uzdevumiem ir jābūt vismaz noteiktiem tiesību aktos. Komiteja uzskata, ka šo iestāžu uzdevumos ir jāiekļauj pēc iespējas plašāks cilvēktiesību veicināšanas un aizsardzības darbību spektrs, pamatojoties uz Bērnu tiesību konvenciju, tās papildu protokoliem un citiem atbilstošiem starptautiskajiem cilvēktiesību dokumentiem, tādējādi faktiski aptverot bērnu cilvēktiesības, jo īpaši viņu pilsoniskās, politiskās, ekonomiskās, sociālās un kultūras tiesības. Tiesību aktos ir jāiekļauj noteikumi, kuros jānosaka konkrētas, ar Bērnu tiesību konvenciju un tās papildu protokoliem saistītas funkcijas, pilnvaras un pienākumi attiecībā uz bērniem. Ja VCI ir izveidota pirms Konvencijas pieņemšanas vai ja tā ir izveidota, skaidri nenorādot Konvenciju kā dibināšanas pamatu, ir jāveic nepieciešamie pasākumi, tostarp jāievieš vai jāgroza tiesību akti, lai nodrošinātu attiecīgās iestādes uzdevumu atbilstību Konvencijas principiem un noteikumiem.</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VCI jāpiešķir nepieciešamās pilnvaras, lai tās varētu efektīvi pildīt savus uzdevumus, tostarp tām jāpiešķir pilnvaras uzklausīt ikvienu personu un iegūt informāciju un dokumentus, kas nepieciešami to kompetencē ietilpstošu situāciju novērtēšanai.</w:t>
      </w:r>
      <w:r>
        <w:rPr>
          <w:noProof/>
          <w:color w:val="000000"/>
        </w:rPr>
        <w:t xml:space="preserve"> </w:t>
      </w:r>
      <w:r>
        <w:t>Šo pilnvaru vidū jābūt pilnvarām veicināt un aizsargāt visu dalībvalsts jurisdikcijā esošo bērnu tiesības ne tikai saistībā ar konkrēto valsti, bet arī saistībā ar visām attiecīgajām valsts un privātajām struktūrām.</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lastRenderedPageBreak/>
        <w:t>Iestādes izveides process</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VCI izveides procesam jābūt konsultatīvam, iekļaujošam un caurspīdīgam, tas jāsāk un jāatbalsta valdības augstākajos līmeņos, un tajā jāietver visi attiecīgie valsts, likumdošanas un pilsoniskās sabiedrības elementi. Lai nodrošinātu VCI neatkarību un efektīvu darbību, tām ir nepieciešama atbilstoša infrastruktūra, finansējums (tostarp vispārējām iestādēm – finansējums, kas paredzēts tieši bērnu tiesību aizsardzībai), personāls, telpas un brīvība no tādas finanšu kontroles, kas var mazināt to neatkarību.</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Resursi</w:t>
      </w:r>
    </w:p>
    <w:p w:rsidR="00A74455" w:rsidRPr="004D15CC" w:rsidRDefault="00A74455" w:rsidP="004D15CC">
      <w:pPr>
        <w:jc w:val="both"/>
        <w:rPr>
          <w:iCs/>
          <w:noProof/>
        </w:rPr>
      </w:pPr>
    </w:p>
    <w:p w:rsidR="00A74455" w:rsidRPr="004D15CC" w:rsidRDefault="00A74455" w:rsidP="004D15CC">
      <w:pPr>
        <w:pStyle w:val="ParaNo"/>
        <w:tabs>
          <w:tab w:val="clear" w:pos="360"/>
        </w:tabs>
        <w:ind w:left="0"/>
        <w:jc w:val="both"/>
        <w:rPr>
          <w:iCs/>
          <w:noProof/>
        </w:rPr>
      </w:pPr>
      <w:r>
        <w:t>Lai gan Komiteja atzīst, ka šis ir ļoti delikāts jautājums un ka dalībvalstu rīcībā ir atšķirīgs daudzums ekonomisko resursu, Komiteja uzskata, ka valstu pienākums ir paredzēt saprātīgu finansiālo nodrošinājumu valsts cilvēktiesību iestāžu darbībai, paturot prātā Konvencijas 4. pantu. Ja valsts iestādēm nav līdzekļu, lai tās varētu efektīvi izmantot savas pilnvaras, to uzdevumiem un pilnvarām var nebūt jēgas, vai arī to pilnvaru īstenošana var būt ierobežota.</w:t>
      </w:r>
    </w:p>
    <w:p w:rsidR="00A74455" w:rsidRPr="004D15CC" w:rsidRDefault="00A74455" w:rsidP="004D15CC">
      <w:pPr>
        <w:jc w:val="both"/>
        <w:rPr>
          <w:iCs/>
          <w:noProof/>
        </w:rPr>
      </w:pPr>
    </w:p>
    <w:p w:rsidR="00A74455" w:rsidRPr="004D15CC" w:rsidRDefault="00A74455" w:rsidP="004D15CC">
      <w:pPr>
        <w:pStyle w:val="Virsraksts3"/>
        <w:keepNext w:val="0"/>
        <w:jc w:val="both"/>
        <w:rPr>
          <w:noProof/>
        </w:rPr>
      </w:pPr>
      <w:r>
        <w:t>Plurālistiska pārstāvība</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VCI ir jānodrošina, lai to sastāvā būtu plurālistiskā veidā pārstāvēti dažādi pilsoniskās sabiedrības elementi, kas piedalās cilvēktiesību veicināšanā un aizsardzībā. Tām ir jācenšas šajā procesā cita starpā iesaistīt tās nevalstiskās organizācijas (NVO), kas darbojas cilvēktiesību, diskriminācijas novēršanas un bērnu tiesību jomā, tostarp bērnu un jauniešu vadītas organizācijas, kā arī arodbiedrības, sociālās un profesionālās (ārstu, juristu, žurnālistu, zinātnieku u. c.) organizācijas, augstākās mācību iestādes un ekspertus, tostarp ekspertus bērnu tiesību jomā. Valdības departamenti šajā procesā jāiesaista tikai padomdevēju statusā. VCI jāizveido atbilstošas un caurspīdīgas amatā iecelšanas procedūras, tostarp atklāts un konkurētspējīgs darbinieku atlases process.</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Tiesiskās aizsardzības līdzekļu nodrošināšana bērnu tiesību pārkāpumu gadījumos</w:t>
      </w:r>
    </w:p>
    <w:p w:rsidR="00A74455" w:rsidRPr="004D15CC" w:rsidRDefault="00A74455" w:rsidP="004D15CC">
      <w:pPr>
        <w:jc w:val="both"/>
        <w:rPr>
          <w:noProof/>
          <w:u w:val="single"/>
        </w:rPr>
      </w:pPr>
    </w:p>
    <w:p w:rsidR="00A74455" w:rsidRPr="004D15CC" w:rsidRDefault="00A74455" w:rsidP="004D15CC">
      <w:pPr>
        <w:pStyle w:val="ParaNo"/>
        <w:tabs>
          <w:tab w:val="clear" w:pos="360"/>
        </w:tabs>
        <w:ind w:left="0"/>
        <w:jc w:val="both"/>
        <w:rPr>
          <w:noProof/>
        </w:rPr>
      </w:pPr>
      <w:r>
        <w:t>VCI jābūt pilnvarotām izskatīt atsevišķas sūdzības un lūgumus, tostarp tās sūdzības un lūgumus, ko iesnieguši bērni vai kas iesniegti bērnu vārdā, un veikt izmeklēšanu. Lai varētu efektīvi veikt šādu izmeklēšanu, tām ir jābūt pilnvarotām izjautāt lieciniekus un piespiest viņus atbildēt, piekļūt atbilstošajiem dokumentārajiem pierādījumiem un piekļūt aizturēšanas vietām. Tām ir arī pienākums censties nodrošināt, lai bērniem jebkuros viņu tiesību pārkāpumu gadījumos ir pieejami efektīvi tiesiskās aizsardzības līdzekļi – neatkarīgu personu padomi, aizstāvība un sūdzību iesniegšanas procedūras. Atbilstošā gadījumā VCI jāuzņemas starpniecība un sūdzībā iesaistīto pušu samierināšana.</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 xml:space="preserve">VCI ir </w:t>
      </w:r>
      <w:r w:rsidR="005302ED">
        <w:t>tiesības atbalstīt bērnu lietu izskatīšanu tiesā</w:t>
      </w:r>
      <w:r>
        <w:t>, tostarp a) savā vārdā ierosināt tiesā lietas saistībā ar bērniem un b) iestāties tiesā ierosinātajās lietās, lai informētu tiesu par tiem cilvēktiesību jautājumiem, kas ir saistīti ar konkrētajām lietām.</w:t>
      </w:r>
    </w:p>
    <w:p w:rsidR="00A74455" w:rsidRPr="004D15CC" w:rsidRDefault="00A74455" w:rsidP="004D15CC">
      <w:pPr>
        <w:jc w:val="both"/>
        <w:rPr>
          <w:bCs/>
          <w:noProof/>
        </w:rPr>
      </w:pPr>
    </w:p>
    <w:p w:rsidR="00A74455" w:rsidRPr="004D15CC" w:rsidRDefault="00A74455" w:rsidP="004D15CC">
      <w:pPr>
        <w:pStyle w:val="Virsraksts3"/>
        <w:keepNext w:val="0"/>
        <w:jc w:val="both"/>
        <w:rPr>
          <w:noProof/>
        </w:rPr>
      </w:pPr>
      <w:r>
        <w:t>Pieejamība un līdzdalība</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 xml:space="preserve">VCI jābūt ģeogrāfiski un fiziski pieejamām visiem bērniem. Paturot prātā Konvencijas 2. pantu, tām ir proaktīvi jāuzrunā visas bērnu grupas, jo īpaši pašas neaizsargātās grupas un grupas, kas atrodas visnelabvēlīgākajā situācijā, piemēram (bet ne tikai), bērni aprūpes vai aizturēšanas iestādēs, bērni no mazākumtautību un pamatiedzīvotāju grupas, bērni ar </w:t>
      </w:r>
      <w:r>
        <w:lastRenderedPageBreak/>
        <w:t>invaliditāti, bērni, kas dzīvo nabadzībā, bēgļu un migrantu bērni, ielu bērni un bērni ar īpašām vajadzībām tādās jomās kā kultūra, valoda, veselības aprūpe un izglītība. Ar VCI saistītajos tiesību aktos ir jāiekļauj šīs iestādes tiesības konfidenciāli piekļūt tiem bērniem, kas atrodas jebkura veida alternatīvajā aprūpē, un jebkurām iestādēm, kurās atrodas bērni.</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Saskaņā ar Konvencijas 12. pantu VCI ir būtiska nozīme cieņas veicināšanā pret bērniem visos jautājumos, kas viņus skar, gan valdībā, gan visā sabiedrībā. Šis vispārējais princips jāpiemēro valsts cilvēktiesību iestāžu izveidei, organizēšanai un darbībām. Iestādēm ir jānodrošina, ka tās var tiešā veidā sazināties ar bērniem un ka bērni ir pienācīgi iesaistīti un uzklausīti. Varētu veidot bērnu padomes, kas varētu kalpot kā padomdevējas struktūras VCI, lai veicinātu bērnu līdzdalību jautājumos, kas skar viņu intereses.</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Lai nodrošinātu pilnīgu atbilstību Konvencijas 12. pantam, VCI jāizstrādā īpaši piemērotas konsultāciju programmas un radošas komunikācijas stratēģijas. Jāizstrādā dažādi piemēroti veidi, kādos bērni var sazināties ar iestādi.</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VCI jābūt tiesīgām tiešā veidā, neatkarīgi un katrā gadījumā atsevišķi ziņot par stāvokli bērnu tiesību jomā gan sabiedrībai, gan parlamenta struktūrām. Šajā ziņā dalībvalstīm ir jārīko ikgadējas debates parlamentā, lai deputātiem būtu iespēja apspriest VCI darbu attiecībā uz bērnu tiesībām un to, kā valsts ievēro Konvenciju.</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Ieteicamās darbības</w:t>
      </w:r>
    </w:p>
    <w:p w:rsidR="00A74455" w:rsidRPr="004D15CC" w:rsidRDefault="00A74455" w:rsidP="004D15CC">
      <w:pPr>
        <w:jc w:val="both"/>
        <w:rPr>
          <w:bCs/>
          <w:noProof/>
        </w:rPr>
      </w:pPr>
    </w:p>
    <w:p w:rsidR="00A74455" w:rsidRPr="004D15CC" w:rsidRDefault="00A74455" w:rsidP="004D15CC">
      <w:pPr>
        <w:pStyle w:val="ParaNo"/>
        <w:tabs>
          <w:tab w:val="clear" w:pos="360"/>
        </w:tabs>
        <w:ind w:left="0"/>
        <w:jc w:val="both"/>
        <w:rPr>
          <w:bCs/>
          <w:noProof/>
        </w:rPr>
      </w:pPr>
      <w:r>
        <w:t>Turpmāk tekstā ir sniegts informatīvs, bet ne pilnīgs to darbību uzskaitījums, kas VCI jāveic saistībā ar bērnu tiesību īstenošanu, paturot prātā Konvencijas vispārējos principus. Tām ir:</w:t>
      </w:r>
    </w:p>
    <w:p w:rsidR="00A74455" w:rsidRPr="004D15CC" w:rsidRDefault="00A74455" w:rsidP="004D15CC">
      <w:pPr>
        <w:jc w:val="both"/>
        <w:rPr>
          <w:bCs/>
          <w:noProof/>
        </w:rPr>
      </w:pPr>
    </w:p>
    <w:p w:rsidR="00A74455" w:rsidRPr="004D15CC" w:rsidRDefault="00A74455" w:rsidP="004D15CC">
      <w:pPr>
        <w:ind w:firstLine="720"/>
        <w:jc w:val="both"/>
        <w:rPr>
          <w:bCs/>
          <w:noProof/>
        </w:rPr>
      </w:pPr>
      <w:r>
        <w:t>a) jāizmeklē ikviens bērnu tiesību pārkāpums, pamatojoties uz sūdzību vai pēc savas iniciatīvas, ievērojot savas pilnvaras;</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b) jāievāc dati par jautājumiem, kas saistīti ar bērnu tiesībām;</w:t>
      </w:r>
    </w:p>
    <w:p w:rsidR="00A74455" w:rsidRPr="004D15CC" w:rsidRDefault="00A74455" w:rsidP="004D15CC">
      <w:pPr>
        <w:ind w:firstLine="720"/>
        <w:jc w:val="both"/>
        <w:rPr>
          <w:bCs/>
          <w:noProof/>
        </w:rPr>
      </w:pPr>
    </w:p>
    <w:p w:rsidR="00A74455" w:rsidRPr="004D15CC" w:rsidRDefault="00A74455" w:rsidP="004D15CC">
      <w:pPr>
        <w:ind w:firstLine="720"/>
        <w:jc w:val="both"/>
        <w:rPr>
          <w:bCs/>
          <w:noProof/>
        </w:rPr>
      </w:pPr>
      <w:r>
        <w:t>c) pēc valsts iestāžu pieprasījuma vai pēc savas iniciatīvas jāsagatavo un jāpublicē atzinumi, ieteikumi un ziņojumi par jebkuru jautājumu, kas saistīts ar bērnu tiesību veicināšanu un aizsardzību;</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d) jāpārskata ar bērnu tiesību aizsardzību saistīto tiesību aktu un praktiskas darbības atbilstība un efektivitāte;</w:t>
      </w:r>
    </w:p>
    <w:p w:rsidR="00A74455" w:rsidRPr="004D15CC" w:rsidRDefault="00A74455" w:rsidP="004D15CC">
      <w:pPr>
        <w:ind w:firstLine="720"/>
        <w:jc w:val="both"/>
        <w:rPr>
          <w:bCs/>
          <w:noProof/>
        </w:rPr>
      </w:pPr>
    </w:p>
    <w:p w:rsidR="00A74455" w:rsidRPr="004D15CC" w:rsidRDefault="00A74455" w:rsidP="004D15CC">
      <w:pPr>
        <w:ind w:firstLine="720"/>
        <w:jc w:val="both"/>
        <w:rPr>
          <w:bCs/>
          <w:noProof/>
        </w:rPr>
      </w:pPr>
      <w:r>
        <w:t>e) jāveicina valsts tiesību aktu, noteikumu un praktiskas darbības saskaņošana ar Bērnu tiesību konvenciju, tās papildu protokoliem un citiem starptautiskajiem cilvēktiesību dokumentiem, kas attiecas uz bērnu tiesībām, un jāveicina to efektīva īstenošana, tostarp sniedzot padomus valsts un privātajām struktūrām par to, kā izskaidrot un piemērot Konvenciju;</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f) jānodrošina, lai valsts ekonomikas politikas izstrādātāji ņemtu vērā bērnu tiesības, nosakot un izvērtējot valsts ekonomikas un attīstības plānus;</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g) jāpārskata un jāziņo par to, kā valdība īsteno bērnu tiesības un uzrauga situāciju šajā jomā, cenšoties nodrošināt, lai tiktu atbilstoši sagrupēti statistikas dati un regulāri vākta cita informācija ar mērķi noteikt, kas darāms, lai īstenotu bērnu tiesības;</w:t>
      </w:r>
    </w:p>
    <w:p w:rsidR="00A74455" w:rsidRPr="004D15CC" w:rsidRDefault="00A74455" w:rsidP="004D15CC">
      <w:pPr>
        <w:ind w:firstLine="720"/>
        <w:jc w:val="both"/>
        <w:rPr>
          <w:bCs/>
          <w:noProof/>
        </w:rPr>
      </w:pPr>
    </w:p>
    <w:p w:rsidR="00A74455" w:rsidRPr="004D15CC" w:rsidRDefault="00A74455" w:rsidP="004D15CC">
      <w:pPr>
        <w:ind w:firstLine="720"/>
        <w:jc w:val="both"/>
        <w:rPr>
          <w:bCs/>
          <w:noProof/>
        </w:rPr>
      </w:pPr>
      <w:r>
        <w:lastRenderedPageBreak/>
        <w:t>h) jāmudina ratificēt visus atbilstošos starptautiskos cilvēktiesību dokumentus vai pievienoties tiem;</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i) saskaņā ar Konvencijas 3. pantu, kas paredz, ka visās darbībās attiecībā uz bērniem primārajam apsvērumam jābūt viņu interesēm, jānodrošina, lai tiktu rūpīgi apsvērta tiesību aktu un politikas nostādņu ietekme, sākot no to izstrādes posma un beidzot ar īstenošanu, un pat pēc tam;</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j) paturot prātā 12. pantu, jānodrošina, lai bērni paustu savus viedokļus un šie viedokļi tiktu uzklausīti visos jautājumos, kas skar viņu cilvēktiesības, un izšķirošos jautājumos, kas attiecas uz viņu tiesībām;</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k) jāaizstāv un jāveicina jēgpilna bērnu tiesību NVO, tostarp pašu bērnu organizāciju, līdzdalība to valsts tiesību aktu un starptautisko dokumentu izstrādē, kas skar bērnus;</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l) jāveicina sabiedrības izpratne un informētība par bērnu tiesību svarīgumu, tālab cieši jāsadarbojas ar plašsaziņas līdzekļiem un jāveic vai jāfinansē izpētes un izglītības pasākumi šajā jomā;</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m) saskaņā ar Konvencijas 42. pantu, kas nosaka dalībvalstīm pienākumu “ar piemērotiem un efektīviem līdzekļiem plaši informēt par Konvencijas principiem un noteikumiem gan pieaugušos, gan bērnus”, jāvairo valdības, valsts aģentūru un plašas sabiedrības izpratne par Konvencijas noteikumiem un jāuzrauga veidi, kādos valsts pilda savus pienākumus šajā saistībā;</w:t>
      </w:r>
    </w:p>
    <w:p w:rsidR="00A74455" w:rsidRPr="004D15CC" w:rsidRDefault="00A74455" w:rsidP="004D15CC">
      <w:pPr>
        <w:ind w:firstLine="720"/>
        <w:jc w:val="both"/>
        <w:rPr>
          <w:noProof/>
        </w:rPr>
      </w:pPr>
      <w:r>
        <w:t>n) jāpalīdz formulēt mācību programmas bērnu tiesību jomā, pētīt šīs tiesības un integrēt tās skolu, augstāko mācību iestāžu mācību programmās un speciālistu aprindās;</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o) jāveic izglītošana cilvēktiesību jomā, īpašu uzmanību pievēršot bērniem (papildus plašas sabiedrības izpratnes vairošanai par bērnu tiesību svarīgumu);</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p) jāierosina tiesvedības, lai aizstāvētu bērnu tiesības valstī vai nodrošinātu juridisko palīdzību bērniem;</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q) ja vajadzīgs, jāiesaistās starpniecības vai samierināšanas procesos pirms tiesvedību ierosināšanas;</w:t>
      </w:r>
    </w:p>
    <w:p w:rsidR="00A74455" w:rsidRPr="004D15CC" w:rsidRDefault="00A74455" w:rsidP="004D15CC">
      <w:pPr>
        <w:ind w:firstLine="720"/>
        <w:jc w:val="both"/>
        <w:rPr>
          <w:bCs/>
          <w:noProof/>
        </w:rPr>
      </w:pPr>
    </w:p>
    <w:p w:rsidR="00A74455" w:rsidRPr="004D15CC" w:rsidRDefault="00A74455" w:rsidP="004D15CC">
      <w:pPr>
        <w:ind w:firstLine="720"/>
        <w:jc w:val="both"/>
        <w:rPr>
          <w:noProof/>
        </w:rPr>
      </w:pPr>
      <w:r>
        <w:t xml:space="preserve">r) jāsniedz tiesām eksperta slēdzieni bērnu tiesību jomā attiecīgi </w:t>
      </w:r>
      <w:r>
        <w:rPr>
          <w:i/>
        </w:rPr>
        <w:t xml:space="preserve">amicus curiae </w:t>
      </w:r>
      <w:r>
        <w:t>statusā vai kā personai, kas iestājas tiesvedībā;</w:t>
      </w:r>
    </w:p>
    <w:p w:rsidR="00A74455" w:rsidRPr="004D15CC" w:rsidRDefault="00A74455" w:rsidP="004D15CC">
      <w:pPr>
        <w:ind w:firstLine="720"/>
        <w:jc w:val="both"/>
        <w:rPr>
          <w:bCs/>
          <w:noProof/>
        </w:rPr>
      </w:pPr>
    </w:p>
    <w:p w:rsidR="00A74455" w:rsidRPr="004D15CC" w:rsidRDefault="00A74455" w:rsidP="004D15CC">
      <w:pPr>
        <w:ind w:firstLine="720"/>
        <w:jc w:val="both"/>
        <w:rPr>
          <w:noProof/>
          <w:color w:val="000000"/>
        </w:rPr>
      </w:pPr>
      <w:r>
        <w:t>s) saskaņā ar Konvencijas 3. pantu, kas nosaka, ka dalībvalstis “nodrošina to, lai iestādes, dienesti un struktūras, kas ir atbildīgas par bērnu aprūpi vai aizsardzību, atbilstu kompetentu iestāžu noteiktajiem standartiem, īpaši drošības, veselības un personāla lieluma un piemērotības ziņā, kā arī tiktu veikta kompetenta uzraudzība”, jāapmeklē jauniešu aizturēšanas iestādes (un visas vietas, kur bērni tiek aizturēti labošanas vai sodīšanas nolūkos) un aprūpes iestādes, lai ziņotu par situāciju un sniegtu ieteikumus uzlabojumiem;</w:t>
      </w:r>
    </w:p>
    <w:p w:rsidR="00A74455" w:rsidRPr="004D15CC" w:rsidRDefault="00A74455" w:rsidP="004D15CC">
      <w:pPr>
        <w:ind w:firstLine="720"/>
        <w:jc w:val="both"/>
        <w:rPr>
          <w:bCs/>
          <w:noProof/>
        </w:rPr>
      </w:pPr>
    </w:p>
    <w:p w:rsidR="00A74455" w:rsidRPr="004D15CC" w:rsidRDefault="00A74455" w:rsidP="004D15CC">
      <w:pPr>
        <w:ind w:firstLine="720"/>
        <w:jc w:val="both"/>
        <w:rPr>
          <w:noProof/>
          <w:color w:val="000000"/>
        </w:rPr>
      </w:pPr>
      <w:r>
        <w:t>t) jāveic citi ar iepriekš minētajām darbībām saistīti pasākumi.</w:t>
      </w:r>
    </w:p>
    <w:p w:rsidR="00AB5925" w:rsidRDefault="00AB5925">
      <w:pPr>
        <w:rPr>
          <w:noProof/>
        </w:rPr>
      </w:pPr>
      <w:r>
        <w:rPr>
          <w:noProof/>
        </w:rPr>
        <w:br w:type="page"/>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Ziņošana Bērnu tiesību komitejai un sadarbība starp VCI un Apvienoto Nāciju Organizācijas aģentūrām, un cilvēktiesību mehānismi</w:t>
      </w:r>
    </w:p>
    <w:p w:rsidR="00A74455" w:rsidRPr="004D15CC" w:rsidRDefault="00A74455" w:rsidP="004D15CC">
      <w:pPr>
        <w:jc w:val="both"/>
        <w:rPr>
          <w:bCs/>
          <w:noProof/>
        </w:rPr>
      </w:pPr>
    </w:p>
    <w:p w:rsidR="004D15CC" w:rsidRDefault="00A74455" w:rsidP="004D15CC">
      <w:pPr>
        <w:pStyle w:val="ParaNo"/>
        <w:tabs>
          <w:tab w:val="clear" w:pos="360"/>
        </w:tabs>
        <w:ind w:left="0"/>
        <w:jc w:val="both"/>
        <w:rPr>
          <w:noProof/>
        </w:rPr>
      </w:pPr>
      <w:r>
        <w:t>VCI jāsniedz neatkarīgs ieguldījums ziņošanas procesā atbilstīgi Konvencijai un citiem starptautiskajiem dokumentiem un jāuzrauga to ziņojumu patiesums, kurus valdība sniedz starptautiskajām cilvēktiesību līguma struktūrām saistībā ar bērnu tiesību ievērošanu, tostarp VCI šim nolūkam var izmantot dialogu ar Bērnu tiesību komiteju tās pirmssesijas darba grupā un citās atbilstošās līgumu izpildes uzraudzības iestādēs.</w:t>
      </w:r>
    </w:p>
    <w:p w:rsidR="00A74455" w:rsidRPr="004D15CC" w:rsidRDefault="00A74455" w:rsidP="004D15CC">
      <w:pPr>
        <w:pStyle w:val="ParaNo"/>
        <w:numPr>
          <w:ilvl w:val="0"/>
          <w:numId w:val="0"/>
        </w:numPr>
        <w:ind w:left="1"/>
        <w:jc w:val="both"/>
        <w:rPr>
          <w:noProof/>
        </w:rPr>
      </w:pPr>
    </w:p>
    <w:p w:rsidR="004D15CC" w:rsidRDefault="00A74455" w:rsidP="004D15CC">
      <w:pPr>
        <w:pStyle w:val="ParaNo"/>
        <w:tabs>
          <w:tab w:val="clear" w:pos="360"/>
        </w:tabs>
        <w:ind w:left="0"/>
        <w:jc w:val="both"/>
        <w:rPr>
          <w:noProof/>
        </w:rPr>
      </w:pPr>
      <w:r>
        <w:t>Komiteja pieprasa, lai dalībvalstis savos ziņojumos Komitejai iekļauj sīku informāciju par VCI juridisko pamatu, uzdevumiem un galvenajām atbilstošajām darbībām. Sagatavojot ziņojumus Komitejai, dalībvalstīm ir lietderīgi konsultēties ar neatkarīgām cilvēktiesību iestādēm. Tomēr dalībvalstīm ir jārespektē šo iestāžu neatkarība un to neatkarīgās funkcijas saistībā ar informācijas sniegšanu Komitejai. Nav atbilstīgi deleģēt ziņojumu izstrādi VCI vai iekļaut to pārstāvjus valdības delegācijās, kuras nosūta pārskatīt ziņojumus Komitejā.</w:t>
      </w:r>
    </w:p>
    <w:p w:rsidR="00A74455" w:rsidRPr="004D15CC" w:rsidRDefault="00A74455" w:rsidP="004D15CC">
      <w:pPr>
        <w:pStyle w:val="ParaNo"/>
        <w:numPr>
          <w:ilvl w:val="0"/>
          <w:numId w:val="0"/>
        </w:numPr>
        <w:ind w:left="1"/>
        <w:jc w:val="both"/>
        <w:rPr>
          <w:noProof/>
        </w:rPr>
      </w:pPr>
    </w:p>
    <w:p w:rsidR="00A74455" w:rsidRPr="004D15CC" w:rsidRDefault="00A74455" w:rsidP="004D15CC">
      <w:pPr>
        <w:pStyle w:val="ParaNo"/>
        <w:tabs>
          <w:tab w:val="clear" w:pos="360"/>
        </w:tabs>
        <w:ind w:left="0"/>
        <w:jc w:val="both"/>
        <w:rPr>
          <w:noProof/>
        </w:rPr>
      </w:pPr>
      <w:r>
        <w:t>Turklāt VCI ir jāsadarbojas Bērnu tiesību komitejas īpašo procedūru ietvaros, tostarp ar valsts un tematiskajiem mehānismiem, jo īpaši ar Īpašo ziņotāju par bērnu tirdzniecību, bērnu prostitūciju un bērnu pornogrāfiju un ar ģenerālsekretāra īpašo pārstāvi jautājumos par bērniem un bruņotiem konfliktiem.</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Apvienoto Nāciju Organizācijai ir ilgtermiņa palīdzības programma valsts cilvēktiesību iestāžu izveidei un stiprināšanai. Šī programma, ko galvenokārt īsteno Augstā cilvēktiesību komisāra birojs (</w:t>
      </w:r>
      <w:r>
        <w:rPr>
          <w:i/>
        </w:rPr>
        <w:t>OHCHR</w:t>
      </w:r>
      <w:r>
        <w:t>), sniedz tehnisku palīdzību un veicina reģionāla un pasaules mēroga sadarbību un informācijas apmaiņu starp valstu cilvēktiesību iestādēm. Ja vajadzīgs, dalībvalstīm jāizmanto šī palīdzība. Arī Apvienoto Nāciju Organizācijas Bērnu fonds (</w:t>
      </w:r>
      <w:r>
        <w:rPr>
          <w:i/>
        </w:rPr>
        <w:t>UNICEF</w:t>
      </w:r>
      <w:r>
        <w:t>) piedāvā dalīties ar savu kompetenci un veidot tehnisko sadarbību šajā jomā.</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 xml:space="preserve">Turklāt saskaņā ar Konvencijas 45. pantu Komiteja gadījumos, kuros tā šādu rīcību uzskata par atbilstošu, var specializētajām ANO aģentūrām, </w:t>
      </w:r>
      <w:r>
        <w:rPr>
          <w:i/>
        </w:rPr>
        <w:t>OHCHR </w:t>
      </w:r>
      <w:r>
        <w:t>un jebkurai citai kompetentai struktūrai pārsūtīt tos dalībvalstu ziņojumus, kuros ir iekļauts lūgums vai norādīta nepieciešamība saņemt tehnisku padomu vai palīdzību VCI izveides jomā.</w:t>
      </w:r>
    </w:p>
    <w:p w:rsidR="00A74455" w:rsidRPr="004D15CC" w:rsidRDefault="00A74455" w:rsidP="004D15CC">
      <w:pPr>
        <w:jc w:val="both"/>
        <w:rPr>
          <w:noProof/>
        </w:rPr>
      </w:pPr>
    </w:p>
    <w:p w:rsidR="00A74455" w:rsidRPr="004D15CC" w:rsidRDefault="00A74455" w:rsidP="004D15CC">
      <w:pPr>
        <w:pStyle w:val="Virsraksts3"/>
        <w:keepNext w:val="0"/>
        <w:jc w:val="both"/>
        <w:rPr>
          <w:noProof/>
        </w:rPr>
      </w:pPr>
      <w:r>
        <w:t>VCI un dalībvalstis</w:t>
      </w:r>
    </w:p>
    <w:p w:rsidR="00A74455" w:rsidRPr="004D15CC" w:rsidRDefault="00A74455" w:rsidP="004D15CC">
      <w:pPr>
        <w:jc w:val="both"/>
        <w:rPr>
          <w:iCs/>
          <w:noProof/>
        </w:rPr>
      </w:pPr>
    </w:p>
    <w:p w:rsidR="004D15CC" w:rsidRDefault="00A74455" w:rsidP="004D15CC">
      <w:pPr>
        <w:pStyle w:val="ParaNo"/>
        <w:tabs>
          <w:tab w:val="clear" w:pos="360"/>
        </w:tabs>
        <w:ind w:left="0"/>
        <w:jc w:val="both"/>
        <w:rPr>
          <w:iCs/>
          <w:noProof/>
        </w:rPr>
      </w:pPr>
      <w:r>
        <w:t>Valsts ratificē Bērnu tiesību konvenciju un apņemas to pilnībā īstenot. VCI uzdevums ir neatkarīgā veidā uzraudzīt valstu atbilstību Konvencijai un valstu panākumus ceļā uz tās īstenošanu un darīt visu iespējamo, lai nodrošinātu pilnīgu bērnu ties</w:t>
      </w:r>
      <w:r w:rsidR="005302ED">
        <w:t>ību ievērošanu. Lai gan iestādei</w:t>
      </w:r>
      <w:r>
        <w:t xml:space="preserve"> var nākties izstrādāt projektus, lai veicinātu un aizsargātu bērnu tiesības, valdība nedrīkst deleģēt </w:t>
      </w:r>
      <w:r w:rsidR="005302ED">
        <w:t xml:space="preserve">VCI </w:t>
      </w:r>
      <w:r>
        <w:t>savus uzraudzība</w:t>
      </w:r>
      <w:r w:rsidR="005302ED">
        <w:t>s pienākumus. Ir būtiski, ka</w:t>
      </w:r>
      <w:r>
        <w:t xml:space="preserve"> iestādes var pašas brīvi noteikt savu darba kārtību un lemt par savām darbībām.</w:t>
      </w:r>
    </w:p>
    <w:p w:rsidR="00A74455" w:rsidRPr="004D15CC" w:rsidRDefault="00A74455" w:rsidP="004D15CC">
      <w:pPr>
        <w:jc w:val="both"/>
        <w:rPr>
          <w:iCs/>
          <w:noProof/>
        </w:rPr>
      </w:pPr>
    </w:p>
    <w:p w:rsidR="00A74455" w:rsidRPr="004D15CC" w:rsidRDefault="00A74455" w:rsidP="004D15CC">
      <w:pPr>
        <w:pStyle w:val="Virsraksts3"/>
        <w:keepNext w:val="0"/>
        <w:jc w:val="both"/>
        <w:rPr>
          <w:noProof/>
        </w:rPr>
      </w:pPr>
      <w:r>
        <w:t>VCI un NVO</w:t>
      </w:r>
    </w:p>
    <w:p w:rsidR="00A74455" w:rsidRPr="004D15CC" w:rsidRDefault="00A74455" w:rsidP="004D15CC">
      <w:pPr>
        <w:jc w:val="both"/>
        <w:rPr>
          <w:iCs/>
          <w:noProof/>
        </w:rPr>
      </w:pPr>
    </w:p>
    <w:p w:rsidR="004D15CC" w:rsidRDefault="00A74455" w:rsidP="004D15CC">
      <w:pPr>
        <w:pStyle w:val="ParaNo"/>
        <w:tabs>
          <w:tab w:val="clear" w:pos="360"/>
        </w:tabs>
        <w:ind w:left="0"/>
        <w:jc w:val="both"/>
        <w:rPr>
          <w:iCs/>
          <w:noProof/>
        </w:rPr>
      </w:pPr>
      <w:r>
        <w:t>Nevalstiskajām organizācijām ir svarīga loma cilvēktiesību un bērnu tiesību veicināšanā. Ņemot vērā VCI juridisko pamatu un īpašās pilnvaras, šīm iestādēm ir papildu loma. Ir būtiski, lai iestādes cieši sadarbotos ar NVO un valdības respektētu gan VCI, gan NVO neatkarību.</w:t>
      </w:r>
    </w:p>
    <w:p w:rsidR="00AB5925" w:rsidRDefault="00AB5925">
      <w:pPr>
        <w:rPr>
          <w:noProof/>
          <w:u w:val="single"/>
        </w:rPr>
      </w:pPr>
      <w:r>
        <w:rPr>
          <w:noProof/>
          <w:u w:val="single"/>
        </w:rPr>
        <w:br w:type="page"/>
      </w:r>
    </w:p>
    <w:p w:rsidR="00A74455" w:rsidRPr="004D15CC" w:rsidRDefault="00A74455" w:rsidP="004D15CC">
      <w:pPr>
        <w:jc w:val="both"/>
        <w:rPr>
          <w:noProof/>
          <w:u w:val="single"/>
        </w:rPr>
      </w:pPr>
    </w:p>
    <w:p w:rsidR="00A74455" w:rsidRPr="004D15CC" w:rsidRDefault="00A74455" w:rsidP="004D15CC">
      <w:pPr>
        <w:pStyle w:val="Virsraksts3"/>
        <w:keepNext w:val="0"/>
        <w:jc w:val="both"/>
        <w:rPr>
          <w:noProof/>
        </w:rPr>
      </w:pPr>
      <w:r>
        <w:t>Reģionālā un starptautiskā sadarbība</w:t>
      </w:r>
    </w:p>
    <w:p w:rsidR="00A74455" w:rsidRPr="004D15CC" w:rsidRDefault="00A74455" w:rsidP="004D15CC">
      <w:pPr>
        <w:jc w:val="both"/>
        <w:rPr>
          <w:noProof/>
          <w:u w:val="single"/>
        </w:rPr>
      </w:pPr>
    </w:p>
    <w:p w:rsidR="004D15CC" w:rsidRDefault="00A74455" w:rsidP="004D15CC">
      <w:pPr>
        <w:pStyle w:val="ParaNo"/>
        <w:tabs>
          <w:tab w:val="clear" w:pos="360"/>
        </w:tabs>
        <w:ind w:left="0"/>
        <w:jc w:val="both"/>
        <w:rPr>
          <w:noProof/>
        </w:rPr>
      </w:pPr>
      <w:r>
        <w:t>Reģionāli un starptautiski procesi un mehānismi, kuru ietvaros VCI dalās ar savu pieredzi un prasmēm, var stiprināt un vienot šīs iestādes, jo, savās attiecīgajās valstīs veicinot un aizsargājot cilvēktiesības, tās saskaras ar vienādām problēmām.</w:t>
      </w:r>
    </w:p>
    <w:p w:rsidR="00A74455" w:rsidRPr="004D15CC" w:rsidRDefault="00A74455" w:rsidP="004D15CC">
      <w:pPr>
        <w:jc w:val="both"/>
        <w:rPr>
          <w:noProof/>
        </w:rPr>
      </w:pPr>
    </w:p>
    <w:p w:rsidR="00A74455" w:rsidRPr="004D15CC" w:rsidRDefault="00A74455" w:rsidP="004D15CC">
      <w:pPr>
        <w:pStyle w:val="ParaNo"/>
        <w:tabs>
          <w:tab w:val="clear" w:pos="360"/>
        </w:tabs>
        <w:ind w:left="0"/>
        <w:jc w:val="both"/>
        <w:rPr>
          <w:noProof/>
        </w:rPr>
      </w:pPr>
      <w:r>
        <w:t>Šajā saistībā bērnu tiesību jautājumos VCI ir jāapspriežas un jāsadarbojas ar atbilstošajām valsts, reģionālajām un starptautiskajām organizācijām un iestādēm.</w:t>
      </w:r>
    </w:p>
    <w:p w:rsidR="00A74455" w:rsidRPr="004D15CC" w:rsidRDefault="00A74455" w:rsidP="004D15CC">
      <w:pPr>
        <w:jc w:val="both"/>
        <w:rPr>
          <w:noProof/>
        </w:rPr>
      </w:pPr>
    </w:p>
    <w:p w:rsidR="004D15CC" w:rsidRDefault="00A74455" w:rsidP="004D15CC">
      <w:pPr>
        <w:pStyle w:val="ParaNo"/>
        <w:tabs>
          <w:tab w:val="clear" w:pos="360"/>
        </w:tabs>
        <w:ind w:left="0"/>
        <w:jc w:val="both"/>
        <w:rPr>
          <w:noProof/>
        </w:rPr>
      </w:pPr>
      <w:r>
        <w:t>Bērnu cilvēktiesību jautājumus neierobežo valstu robežas, un arvien pieaug nepieciešamība pēc atbilstošiem reģionālajiem un starptautiskajiem pasākumiem reaģēšanai dažādu bērnu cilvēktiesību pārkāpumu gadījumos (tostarp tādos kā sieviešu un bērnu nelikumīga pārvadāšana, bērnu pornogrāfija, bērni kareivji, bērnu darbs, slikta izturēšanās pret bērniem, bēgļu un migrantu bērni u. c.). Tiek veicināti starptautiski un reģionāli mehānismi un informācijas apmaiņa, jo tādā veidā VCI var mācīties no citu VCI pieredzes, kopīgi stiprināt viena otras pozīcijas un sniegt ieguldījumu tādu cilvēktiesību problēmu risināšanā, kas skar gan valstis, gan reģionus.</w:t>
      </w:r>
    </w:p>
    <w:p w:rsidR="00A74455" w:rsidRDefault="00A74455" w:rsidP="004D15CC">
      <w:pPr>
        <w:pStyle w:val="ParaNo"/>
        <w:numPr>
          <w:ilvl w:val="0"/>
          <w:numId w:val="0"/>
        </w:numPr>
        <w:jc w:val="both"/>
        <w:rPr>
          <w:noProof/>
        </w:rPr>
      </w:pPr>
    </w:p>
    <w:p w:rsidR="00AB5925" w:rsidRPr="004D15CC" w:rsidRDefault="00AB5925" w:rsidP="004D15CC">
      <w:pPr>
        <w:pStyle w:val="ParaNo"/>
        <w:numPr>
          <w:ilvl w:val="0"/>
          <w:numId w:val="0"/>
        </w:numPr>
        <w:jc w:val="both"/>
        <w:rPr>
          <w:noProof/>
        </w:rPr>
      </w:pPr>
    </w:p>
    <w:sectPr w:rsidR="00AB5925" w:rsidRPr="004D15CC" w:rsidSect="004D15CC">
      <w:headerReference w:type="default" r:id="rId9"/>
      <w:footerReference w:type="default" r:id="rId10"/>
      <w:headerReference w:type="first" r:id="rId11"/>
      <w:footerReference w:type="first" r:id="rId12"/>
      <w:endnotePr>
        <w:numFmt w:val="decimal"/>
      </w:endnotePr>
      <w:type w:val="continuous"/>
      <w:pgSz w:w="11907" w:h="16840" w:code="9"/>
      <w:pgMar w:top="1134" w:right="1134" w:bottom="1134" w:left="1701" w:header="567"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701" w:rsidRDefault="00C81701">
      <w:pPr>
        <w:pStyle w:val="Kjene"/>
      </w:pPr>
    </w:p>
  </w:endnote>
  <w:endnote w:type="continuationSeparator" w:id="0">
    <w:p w:rsidR="00C81701" w:rsidRDefault="00C81701">
      <w:pPr>
        <w:pStyle w:val="Kjene"/>
      </w:pPr>
    </w:p>
  </w:endnote>
  <w:endnote w:id="1">
    <w:p w:rsidR="00A74455" w:rsidRPr="00A74455" w:rsidRDefault="00A74455" w:rsidP="00A74455">
      <w:pPr>
        <w:pStyle w:val="Virsraksts1"/>
        <w:rPr>
          <w:noProof/>
          <w:kern w:val="0"/>
          <w:lang w:val="en-US"/>
        </w:rPr>
      </w:pPr>
      <w:r>
        <w:t>Piezīmes</w:t>
      </w:r>
    </w:p>
    <w:p w:rsidR="00A74455" w:rsidRPr="00A74455" w:rsidRDefault="00A74455" w:rsidP="00A74455">
      <w:pPr>
        <w:rPr>
          <w:noProof/>
          <w:lang w:val="en-US"/>
        </w:rPr>
      </w:pPr>
    </w:p>
    <w:p w:rsidR="00AB5925" w:rsidRDefault="00A74455" w:rsidP="00A74455">
      <w:r>
        <w:rPr>
          <w:rStyle w:val="Beiguvresatsauce"/>
          <w:noProof/>
        </w:rPr>
        <w:endnoteRef/>
      </w:r>
      <w:r w:rsidR="00AB5925">
        <w:t xml:space="preserve"> </w:t>
      </w:r>
      <w:r>
        <w:t>Vispārējās pamatnostādnes par to periodisko ziņojumu formu un saturu, kas dalībvalstīm jāiesniedz atbilstoši Konvencijas 44. panta 1. punkta b) apakšpunktam (CRC/C/58), 18. punkts.</w:t>
      </w:r>
    </w:p>
    <w:p w:rsidR="00A74455" w:rsidRPr="00A74455" w:rsidRDefault="00A74455" w:rsidP="00A74455">
      <w:pPr>
        <w:rPr>
          <w:noProof/>
          <w:sz w:val="20"/>
          <w:lang w:val="en-US"/>
        </w:rPr>
      </w:pPr>
    </w:p>
  </w:endnote>
  <w:endnote w:id="2">
    <w:p w:rsidR="00A74455" w:rsidRPr="00A74455" w:rsidRDefault="00A74455" w:rsidP="00A74455">
      <w:pPr>
        <w:pStyle w:val="Beiguvresteksts"/>
        <w:rPr>
          <w:noProof/>
          <w:szCs w:val="16"/>
          <w:lang w:val="en-US"/>
        </w:rPr>
      </w:pPr>
      <w:r>
        <w:rPr>
          <w:rStyle w:val="Beiguvresatsauce"/>
          <w:noProof/>
        </w:rPr>
        <w:endnoteRef/>
      </w:r>
      <w:r w:rsidR="00AB5925">
        <w:t xml:space="preserve"> </w:t>
      </w:r>
      <w:r>
        <w:t>Principi, kuri attiecas uz cilvēktiesību aizsardzības un veicināšanas valsts iestāžu statusu (“Parīzes principi”), Ģenerālās asamblejas 1993. gada 20. decembra Rezolūcija 48/134, pielikums.</w:t>
      </w:r>
    </w:p>
    <w:p w:rsidR="00A74455" w:rsidRPr="00A74455" w:rsidRDefault="00A74455" w:rsidP="00A74455">
      <w:pPr>
        <w:pStyle w:val="Beiguvresteksts"/>
        <w:rPr>
          <w:noProof/>
          <w:sz w:val="16"/>
          <w:szCs w:val="16"/>
          <w:lang w:val="en-US"/>
        </w:rPr>
      </w:pPr>
    </w:p>
  </w:endnote>
  <w:endnote w:id="3">
    <w:p w:rsidR="00A74455" w:rsidRPr="00A74455" w:rsidRDefault="00A74455" w:rsidP="00A74455">
      <w:pPr>
        <w:pStyle w:val="Beiguvresteksts"/>
        <w:rPr>
          <w:noProof/>
          <w:sz w:val="16"/>
          <w:szCs w:val="16"/>
          <w:lang w:val="en-US"/>
        </w:rPr>
      </w:pPr>
      <w:r>
        <w:rPr>
          <w:rStyle w:val="Beiguvresatsauce"/>
          <w:noProof/>
        </w:rPr>
        <w:endnoteRef/>
      </w:r>
      <w:r w:rsidR="00AB5925">
        <w:t xml:space="preserve"> </w:t>
      </w:r>
      <w:r>
        <w:t>Cilvēktiesību komisijas 1992. gada 3. marta Rezolūcija 1992/54, pielikums.</w:t>
      </w:r>
    </w:p>
    <w:p w:rsidR="00A74455" w:rsidRPr="00A74455" w:rsidRDefault="00A74455" w:rsidP="00A74455">
      <w:pPr>
        <w:pStyle w:val="Beiguvresteksts"/>
        <w:rPr>
          <w:noProof/>
          <w:lang w:val="en-US"/>
        </w:rPr>
      </w:pPr>
    </w:p>
    <w:p w:rsidR="00A74455" w:rsidRPr="00A74455" w:rsidRDefault="00A74455" w:rsidP="00A74455">
      <w:pPr>
        <w:pStyle w:val="Beiguvresteksts"/>
        <w:jc w:val="center"/>
        <w:rPr>
          <w:noProof/>
          <w:lang w:val="en-US"/>
        </w:rPr>
      </w:pPr>
      <w:r>
        <w:t>- - -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25" w:rsidRPr="004F5D11" w:rsidRDefault="00AB5925" w:rsidP="00AB5925">
    <w:pPr>
      <w:pStyle w:val="Galvene"/>
      <w:tabs>
        <w:tab w:val="clear" w:pos="4320"/>
        <w:tab w:val="clear" w:pos="8640"/>
        <w:tab w:val="right" w:pos="9072"/>
      </w:tabs>
      <w:jc w:val="both"/>
      <w:rPr>
        <w:rStyle w:val="Lappusesnumurs"/>
        <w:sz w:val="20"/>
      </w:rPr>
    </w:pPr>
    <w:r w:rsidRPr="004F5D11">
      <w:rPr>
        <w:sz w:val="20"/>
      </w:rPr>
      <w:tab/>
    </w:r>
  </w:p>
  <w:p w:rsidR="00AB5925" w:rsidRPr="004F5D11" w:rsidRDefault="00AB5925" w:rsidP="00AB5925">
    <w:pPr>
      <w:pStyle w:val="Galvene"/>
      <w:tabs>
        <w:tab w:val="clear" w:pos="4320"/>
        <w:tab w:val="clear" w:pos="8640"/>
        <w:tab w:val="right" w:leader="underscore" w:pos="9072"/>
      </w:tabs>
      <w:jc w:val="both"/>
      <w:rPr>
        <w:rStyle w:val="Lappusesnumurs"/>
        <w:sz w:val="20"/>
      </w:rPr>
    </w:pPr>
    <w:r>
      <w:rPr>
        <w:rStyle w:val="Lappusesnumurs"/>
        <w:sz w:val="20"/>
      </w:rPr>
      <w:tab/>
    </w:r>
  </w:p>
  <w:p w:rsidR="00AB5925" w:rsidRPr="004F5D11" w:rsidRDefault="00AB5925" w:rsidP="00AB5925">
    <w:pPr>
      <w:pStyle w:val="Galvene"/>
      <w:tabs>
        <w:tab w:val="clear" w:pos="4320"/>
        <w:tab w:val="clear" w:pos="8640"/>
        <w:tab w:val="right" w:pos="9072"/>
      </w:tabs>
      <w:jc w:val="both"/>
      <w:rPr>
        <w:rStyle w:val="Lappusesnumurs"/>
        <w:sz w:val="20"/>
      </w:rPr>
    </w:pPr>
  </w:p>
  <w:p w:rsidR="00AB5925" w:rsidRPr="004F5D11" w:rsidRDefault="00AB5925" w:rsidP="00AB5925">
    <w:pPr>
      <w:pStyle w:val="Kjene"/>
      <w:tabs>
        <w:tab w:val="clear" w:pos="4320"/>
        <w:tab w:val="clear" w:pos="8640"/>
        <w:tab w:val="right" w:pos="9072"/>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sidR="005302ED">
      <w:rPr>
        <w:rStyle w:val="Lappusesnumurs"/>
        <w:noProof/>
        <w:sz w:val="20"/>
      </w:rPr>
      <w:t>2</w:t>
    </w:r>
    <w:r w:rsidRPr="004F5D11">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25" w:rsidRPr="004F5D11" w:rsidRDefault="00AB5925" w:rsidP="00AB5925">
    <w:pPr>
      <w:pStyle w:val="Galvene"/>
      <w:tabs>
        <w:tab w:val="left" w:pos="9072"/>
      </w:tabs>
      <w:jc w:val="both"/>
      <w:rPr>
        <w:rStyle w:val="Lappusesnumurs"/>
        <w:sz w:val="20"/>
      </w:rPr>
    </w:pPr>
  </w:p>
  <w:p w:rsidR="00AB5925" w:rsidRPr="004F5D11" w:rsidRDefault="00AB5925" w:rsidP="00AB5925">
    <w:pPr>
      <w:pStyle w:val="Galvene"/>
      <w:tabs>
        <w:tab w:val="clear" w:pos="4320"/>
        <w:tab w:val="clear" w:pos="8640"/>
        <w:tab w:val="left" w:leader="underscore" w:pos="9072"/>
      </w:tabs>
      <w:jc w:val="both"/>
      <w:rPr>
        <w:rStyle w:val="Lappusesnumurs"/>
        <w:sz w:val="20"/>
      </w:rPr>
    </w:pPr>
    <w:r>
      <w:rPr>
        <w:rStyle w:val="Lappusesnumurs"/>
        <w:sz w:val="20"/>
      </w:rPr>
      <w:tab/>
    </w:r>
  </w:p>
  <w:p w:rsidR="00AB5925" w:rsidRPr="004F5D11" w:rsidRDefault="00AB5925" w:rsidP="00AB5925">
    <w:pPr>
      <w:pStyle w:val="Galvene"/>
      <w:tabs>
        <w:tab w:val="left" w:pos="9072"/>
      </w:tabs>
      <w:jc w:val="both"/>
      <w:rPr>
        <w:rStyle w:val="Lappusesnumurs"/>
        <w:sz w:val="20"/>
      </w:rPr>
    </w:pPr>
  </w:p>
  <w:p w:rsidR="00AB5925" w:rsidRPr="004F5D11" w:rsidRDefault="00AB5925" w:rsidP="00AB5925">
    <w:pPr>
      <w:pStyle w:val="Kjene"/>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701" w:rsidRPr="00A74455" w:rsidRDefault="004D15CC">
      <w:pPr>
        <w:rPr>
          <w:noProof/>
          <w:lang w:val="en-US"/>
        </w:rPr>
      </w:pPr>
      <w:r w:rsidRPr="00A74455">
        <w:rPr>
          <w:noProof/>
          <w:lang w:val="en-US"/>
        </w:rPr>
        <w:separator/>
      </w:r>
    </w:p>
  </w:footnote>
  <w:footnote w:type="continuationSeparator" w:id="0">
    <w:p w:rsidR="00C81701" w:rsidRPr="00A74455" w:rsidRDefault="004D15CC">
      <w:pPr>
        <w:rPr>
          <w:noProof/>
          <w:lang w:val="en-US"/>
        </w:rPr>
      </w:pPr>
      <w:r w:rsidRPr="00A7445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25" w:rsidRPr="004F5D11" w:rsidRDefault="00AB5925" w:rsidP="00AB5925">
    <w:pPr>
      <w:pStyle w:val="Galvene"/>
      <w:jc w:val="both"/>
      <w:rPr>
        <w:rStyle w:val="Lappusesnumurs"/>
        <w:sz w:val="20"/>
      </w:rPr>
    </w:pPr>
  </w:p>
  <w:p w:rsidR="00AB5925" w:rsidRPr="004F5D11" w:rsidRDefault="00AB5925" w:rsidP="00AB5925">
    <w:pPr>
      <w:pStyle w:val="Galvene"/>
      <w:tabs>
        <w:tab w:val="clear" w:pos="4320"/>
        <w:tab w:val="clear" w:pos="8640"/>
        <w:tab w:val="right" w:leader="underscore" w:pos="9072"/>
      </w:tabs>
      <w:jc w:val="both"/>
      <w:rPr>
        <w:rStyle w:val="Lappusesnumurs"/>
        <w:sz w:val="20"/>
      </w:rPr>
    </w:pPr>
    <w:r>
      <w:rPr>
        <w:rStyle w:val="Lappusesnumurs"/>
        <w:sz w:val="20"/>
      </w:rPr>
      <w:tab/>
    </w:r>
  </w:p>
  <w:p w:rsidR="00AB5925" w:rsidRPr="004F5D11" w:rsidRDefault="00AB5925" w:rsidP="00AB5925">
    <w:pPr>
      <w:pStyle w:val="Galvene"/>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25" w:rsidRPr="004F5D11" w:rsidRDefault="00AB5925" w:rsidP="00AB5925">
    <w:pPr>
      <w:pBdr>
        <w:bottom w:val="single" w:sz="12" w:space="5" w:color="auto"/>
      </w:pBdr>
      <w:jc w:val="both"/>
      <w:rPr>
        <w:spacing w:val="-2"/>
        <w:sz w:val="20"/>
      </w:rPr>
    </w:pPr>
  </w:p>
  <w:p w:rsidR="00AB5925" w:rsidRPr="004F5D11" w:rsidRDefault="00AB5925" w:rsidP="00AB5925">
    <w:pPr>
      <w:pStyle w:val="Galvene"/>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hideSpellingErrors/>
  <w:hideGrammaticalErrors/>
  <w:defaultTabStop w:val="720"/>
  <w:doNotHyphenateCaps/>
  <w:drawingGridHorizontalSpacing w:val="90"/>
  <w:drawingGridVerticalSpacing w:val="245"/>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01"/>
    <w:rsid w:val="004D15CC"/>
    <w:rsid w:val="00513BE9"/>
    <w:rsid w:val="005302ED"/>
    <w:rsid w:val="00A74455"/>
    <w:rsid w:val="00AB5925"/>
    <w:rsid w:val="00C8170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0E4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sz w:val="24"/>
    </w:rPr>
  </w:style>
  <w:style w:type="paragraph" w:styleId="Virsraksts1">
    <w:name w:val="heading 1"/>
    <w:basedOn w:val="Parasts"/>
    <w:next w:val="Parasts"/>
    <w:qFormat/>
    <w:pPr>
      <w:keepNext/>
      <w:jc w:val="center"/>
      <w:outlineLvl w:val="0"/>
    </w:pPr>
    <w:rPr>
      <w:b/>
      <w:kern w:val="28"/>
    </w:rPr>
  </w:style>
  <w:style w:type="paragraph" w:styleId="Virsraksts2">
    <w:name w:val="heading 2"/>
    <w:basedOn w:val="Parasts"/>
    <w:next w:val="Parasts"/>
    <w:qFormat/>
    <w:pPr>
      <w:keepNext/>
      <w:jc w:val="center"/>
      <w:outlineLvl w:val="1"/>
    </w:pPr>
    <w:rPr>
      <w:b/>
      <w:caps/>
    </w:rPr>
  </w:style>
  <w:style w:type="paragraph" w:styleId="Virsraksts3">
    <w:name w:val="heading 3"/>
    <w:basedOn w:val="Parasts"/>
    <w:next w:val="Parasts"/>
    <w:qFormat/>
    <w:pPr>
      <w:keepNext/>
      <w:outlineLvl w:val="2"/>
    </w:pPr>
    <w:rPr>
      <w:b/>
    </w:rPr>
  </w:style>
  <w:style w:type="paragraph" w:styleId="Virsraksts4">
    <w:name w:val="heading 4"/>
    <w:basedOn w:val="Parasts"/>
    <w:next w:val="Parasts"/>
    <w:qFormat/>
    <w:pPr>
      <w:keepNext/>
      <w:outlineLvl w:val="3"/>
    </w:pPr>
    <w:rPr>
      <w:b/>
      <w:i/>
    </w:rPr>
  </w:style>
  <w:style w:type="paragraph" w:styleId="Virsraksts5">
    <w:name w:val="heading 5"/>
    <w:basedOn w:val="Parasts"/>
    <w:next w:val="Parasts"/>
    <w:qFormat/>
    <w:pPr>
      <w:keepNext/>
      <w:outlineLvl w:val="4"/>
    </w:pPr>
    <w:rPr>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paragraph" w:customStyle="1" w:styleId="Rom1">
    <w:name w:val="Rom1"/>
    <w:basedOn w:val="Parasts"/>
    <w:pPr>
      <w:numPr>
        <w:numId w:val="2"/>
      </w:numPr>
      <w:ind w:left="1441" w:hanging="590"/>
    </w:pPr>
  </w:style>
  <w:style w:type="paragraph" w:customStyle="1" w:styleId="Rom2">
    <w:name w:val="Rom2"/>
    <w:basedOn w:val="Parasts"/>
    <w:pPr>
      <w:numPr>
        <w:numId w:val="3"/>
      </w:numPr>
    </w:pPr>
  </w:style>
  <w:style w:type="paragraph" w:customStyle="1" w:styleId="ParaNo">
    <w:name w:val="ParaNo."/>
    <w:basedOn w:val="Parasts"/>
    <w:pPr>
      <w:numPr>
        <w:numId w:val="1"/>
      </w:numPr>
      <w:tabs>
        <w:tab w:val="left" w:pos="737"/>
      </w:tabs>
    </w:pPr>
  </w:style>
  <w:style w:type="character" w:styleId="Vresatsauce">
    <w:name w:val="footnote reference"/>
    <w:semiHidden/>
    <w:rPr>
      <w:b/>
      <w:vertAlign w:val="superscript"/>
    </w:rPr>
  </w:style>
  <w:style w:type="paragraph" w:styleId="Vresteksts">
    <w:name w:val="footnote text"/>
    <w:basedOn w:val="Parasts"/>
    <w:semiHidden/>
  </w:style>
  <w:style w:type="character" w:styleId="Lappusesnumurs">
    <w:name w:val="page number"/>
    <w:basedOn w:val="Noklusjumarindkopasfonts"/>
    <w:semiHidden/>
  </w:style>
  <w:style w:type="paragraph" w:styleId="Pamatteksts">
    <w:name w:val="Body Text"/>
    <w:basedOn w:val="Parasts"/>
    <w:semiHidden/>
    <w:pPr>
      <w:jc w:val="center"/>
    </w:pPr>
    <w:rPr>
      <w:b/>
      <w:bCs/>
      <w:szCs w:val="24"/>
      <w:u w:val="single"/>
    </w:rPr>
  </w:style>
  <w:style w:type="paragraph" w:styleId="Beiguvresteksts">
    <w:name w:val="endnote text"/>
    <w:basedOn w:val="Parasts"/>
    <w:semiHidden/>
  </w:style>
  <w:style w:type="character" w:styleId="Beiguvresatsauce">
    <w:name w:val="endnote reference"/>
    <w:semiHidden/>
    <w:rPr>
      <w:b/>
      <w:sz w:val="24"/>
      <w:vertAlign w:val="superscript"/>
    </w:rPr>
  </w:style>
  <w:style w:type="paragraph" w:styleId="Pamatteksts2">
    <w:name w:val="Body Text 2"/>
    <w:basedOn w:val="Parasts"/>
    <w:semiHidden/>
    <w:pPr>
      <w:jc w:val="both"/>
    </w:pPr>
    <w:rPr>
      <w:szCs w:val="24"/>
    </w:rPr>
  </w:style>
  <w:style w:type="paragraph" w:styleId="Pamatteksts3">
    <w:name w:val="Body Text 3"/>
    <w:basedOn w:val="Parasts"/>
    <w:semiHidden/>
    <w:rPr>
      <w:szCs w:val="24"/>
      <w:u w:val="single"/>
    </w:rPr>
  </w:style>
  <w:style w:type="character" w:customStyle="1" w:styleId="GalveneRakstz">
    <w:name w:val="Galvene Rakstz."/>
    <w:basedOn w:val="Noklusjumarindkopasfonts"/>
    <w:link w:val="Galvene"/>
    <w:uiPriority w:val="99"/>
    <w:rsid w:val="00AB5925"/>
    <w:rPr>
      <w:sz w:val="24"/>
    </w:rPr>
  </w:style>
  <w:style w:type="character" w:customStyle="1" w:styleId="KjeneRakstz">
    <w:name w:val="Kājene Rakstz."/>
    <w:basedOn w:val="Noklusjumarindkopasfonts"/>
    <w:link w:val="Kjene"/>
    <w:uiPriority w:val="99"/>
    <w:rsid w:val="00AB59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12375</Words>
  <Characters>7055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2017-04-03T06:48:00Z</dcterms:created>
  <dcterms:modified xsi:type="dcterms:W3CDTF">2017-08-22T10:47:00Z</dcterms:modified>
</cp:coreProperties>
</file>