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4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3936"/>
        <w:gridCol w:w="3366"/>
      </w:tblGrid>
      <w:tr w:rsidR="007A4A64" w:rsidRPr="00F967A2" w:rsidTr="00D82788">
        <w:tc>
          <w:tcPr>
            <w:tcW w:w="2160" w:type="dxa"/>
            <w:tcBorders>
              <w:top w:val="nil"/>
              <w:left w:val="nil"/>
              <w:bottom w:val="single" w:sz="6" w:space="0" w:color="auto"/>
              <w:right w:val="nil"/>
            </w:tcBorders>
          </w:tcPr>
          <w:p w:rsidR="007A4A64" w:rsidRPr="00F967A2" w:rsidRDefault="007A4A64" w:rsidP="00D82788">
            <w:pPr>
              <w:spacing w:after="0"/>
              <w:jc w:val="center"/>
              <w:rPr>
                <w:b/>
                <w:noProof/>
              </w:rPr>
            </w:pPr>
            <w:r>
              <w:rPr>
                <w:b/>
                <w:noProof/>
              </w:rPr>
              <w:t>APVIENOTO NĀCIJU ORGANIZĀCIJA</w:t>
            </w:r>
          </w:p>
        </w:tc>
        <w:tc>
          <w:tcPr>
            <w:tcW w:w="3936" w:type="dxa"/>
            <w:tcBorders>
              <w:top w:val="nil"/>
              <w:left w:val="nil"/>
              <w:bottom w:val="single" w:sz="6" w:space="0" w:color="auto"/>
              <w:right w:val="nil"/>
            </w:tcBorders>
          </w:tcPr>
          <w:p w:rsidR="007A4A64" w:rsidRPr="00F967A2" w:rsidRDefault="007A4A64" w:rsidP="00F967A2">
            <w:pPr>
              <w:spacing w:after="0"/>
              <w:jc w:val="both"/>
              <w:rPr>
                <w:noProof/>
              </w:rPr>
            </w:pPr>
          </w:p>
        </w:tc>
        <w:tc>
          <w:tcPr>
            <w:tcW w:w="3366" w:type="dxa"/>
            <w:tcBorders>
              <w:top w:val="nil"/>
              <w:left w:val="nil"/>
              <w:bottom w:val="single" w:sz="6" w:space="0" w:color="auto"/>
              <w:right w:val="nil"/>
            </w:tcBorders>
            <w:vAlign w:val="center"/>
          </w:tcPr>
          <w:p w:rsidR="007A4A64" w:rsidRPr="00F967A2" w:rsidRDefault="007A4A64" w:rsidP="00D82788">
            <w:pPr>
              <w:spacing w:after="0"/>
              <w:jc w:val="right"/>
              <w:rPr>
                <w:b/>
                <w:noProof/>
              </w:rPr>
            </w:pPr>
            <w:r w:rsidRPr="00D82788">
              <w:rPr>
                <w:b/>
                <w:noProof/>
                <w:sz w:val="44"/>
              </w:rPr>
              <w:t>BTK</w:t>
            </w:r>
          </w:p>
        </w:tc>
      </w:tr>
      <w:tr w:rsidR="007A4A64" w:rsidRPr="00F967A2" w:rsidTr="00D82788">
        <w:tc>
          <w:tcPr>
            <w:tcW w:w="2160" w:type="dxa"/>
            <w:tcBorders>
              <w:top w:val="single" w:sz="6" w:space="0" w:color="auto"/>
              <w:left w:val="nil"/>
              <w:bottom w:val="single" w:sz="36" w:space="0" w:color="auto"/>
              <w:right w:val="nil"/>
            </w:tcBorders>
            <w:vAlign w:val="center"/>
          </w:tcPr>
          <w:p w:rsidR="007A4A64" w:rsidRPr="00F967A2" w:rsidRDefault="007A4A64" w:rsidP="00D82788">
            <w:pPr>
              <w:spacing w:after="0"/>
              <w:jc w:val="center"/>
              <w:rPr>
                <w:noProof/>
              </w:rPr>
            </w:pPr>
            <w:r>
              <w:rPr>
                <w:noProof/>
              </w:rPr>
              <w:object w:dxaOrig="1441" w:dyaOrig="1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67pt" o:ole="" fillcolor="window">
                  <v:imagedata r:id="rId7" o:title=""/>
                </v:shape>
                <o:OLEObject Type="Embed" ProgID="Word.Picture.8" ShapeID="_x0000_i1025" DrawAspect="Content" ObjectID="_1564479769" r:id="rId8"/>
              </w:object>
            </w:r>
            <w:bookmarkStart w:id="0" w:name="_MON_1114341189"/>
            <w:bookmarkStart w:id="1" w:name="_992683145"/>
            <w:bookmarkEnd w:id="0"/>
            <w:bookmarkEnd w:id="1"/>
          </w:p>
        </w:tc>
        <w:tc>
          <w:tcPr>
            <w:tcW w:w="3936" w:type="dxa"/>
            <w:tcBorders>
              <w:top w:val="single" w:sz="6" w:space="0" w:color="auto"/>
              <w:left w:val="nil"/>
              <w:bottom w:val="single" w:sz="36" w:space="0" w:color="auto"/>
              <w:right w:val="nil"/>
            </w:tcBorders>
            <w:vAlign w:val="center"/>
          </w:tcPr>
          <w:p w:rsidR="007A4A64" w:rsidRPr="00D82788" w:rsidRDefault="007A4A64" w:rsidP="00D82788">
            <w:pPr>
              <w:spacing w:after="0"/>
              <w:jc w:val="center"/>
              <w:rPr>
                <w:b/>
                <w:noProof/>
              </w:rPr>
            </w:pPr>
            <w:r w:rsidRPr="00D82788">
              <w:rPr>
                <w:b/>
                <w:noProof/>
                <w:sz w:val="44"/>
              </w:rPr>
              <w:t>Bērnu tiesību konvencija</w:t>
            </w:r>
          </w:p>
        </w:tc>
        <w:tc>
          <w:tcPr>
            <w:tcW w:w="3366" w:type="dxa"/>
            <w:tcBorders>
              <w:top w:val="single" w:sz="6" w:space="0" w:color="auto"/>
              <w:left w:val="nil"/>
              <w:bottom w:val="single" w:sz="36" w:space="0" w:color="auto"/>
              <w:right w:val="nil"/>
            </w:tcBorders>
          </w:tcPr>
          <w:p w:rsidR="00F967A2" w:rsidRDefault="007A4A64" w:rsidP="00F967A2">
            <w:pPr>
              <w:spacing w:after="0"/>
              <w:jc w:val="both"/>
              <w:rPr>
                <w:noProof/>
              </w:rPr>
            </w:pPr>
            <w:r>
              <w:t>Izpl.:</w:t>
            </w:r>
          </w:p>
          <w:p w:rsidR="007A4A64" w:rsidRPr="00F967A2" w:rsidRDefault="007A4A64" w:rsidP="00F967A2">
            <w:pPr>
              <w:spacing w:after="0"/>
              <w:jc w:val="both"/>
              <w:rPr>
                <w:noProof/>
              </w:rPr>
            </w:pPr>
            <w:r>
              <w:rPr>
                <w:noProof/>
              </w:rPr>
              <w:fldChar w:fldCharType="begin"/>
            </w:r>
            <w:r>
              <w:rPr>
                <w:noProof/>
              </w:rPr>
              <w:instrText xml:space="preserve"> FILLIN "Izpl.:" \* MERGEFORMAT </w:instrText>
            </w:r>
            <w:r>
              <w:rPr>
                <w:noProof/>
              </w:rPr>
              <w:fldChar w:fldCharType="separate"/>
            </w:r>
            <w:r>
              <w:t>VISPĀRĒJAI LIETOŠANAI</w:t>
            </w:r>
            <w:r>
              <w:fldChar w:fldCharType="end"/>
            </w:r>
          </w:p>
          <w:p w:rsidR="00F967A2" w:rsidRDefault="00F967A2" w:rsidP="00F967A2">
            <w:pPr>
              <w:spacing w:after="0"/>
              <w:jc w:val="both"/>
              <w:rPr>
                <w:noProof/>
              </w:rPr>
            </w:pPr>
          </w:p>
          <w:p w:rsidR="00F967A2" w:rsidRDefault="007A4A64" w:rsidP="00F967A2">
            <w:pPr>
              <w:spacing w:after="0"/>
              <w:jc w:val="both"/>
              <w:rPr>
                <w:noProof/>
              </w:rPr>
            </w:pPr>
            <w:r>
              <w:rPr>
                <w:noProof/>
              </w:rPr>
              <w:fldChar w:fldCharType="begin"/>
            </w:r>
            <w:r>
              <w:rPr>
                <w:noProof/>
              </w:rPr>
              <w:instrText xml:space="preserve"> FILLIN "Simbols" \* MERGEFORMAT </w:instrText>
            </w:r>
            <w:r>
              <w:rPr>
                <w:noProof/>
              </w:rPr>
              <w:fldChar w:fldCharType="separate"/>
            </w:r>
            <w:r>
              <w:t>CRC/GC/2003/4</w:t>
            </w:r>
            <w:r>
              <w:fldChar w:fldCharType="end"/>
            </w:r>
          </w:p>
          <w:p w:rsidR="007A4A64" w:rsidRPr="00F967A2" w:rsidRDefault="007A4A64" w:rsidP="00F967A2">
            <w:pPr>
              <w:spacing w:after="0"/>
              <w:jc w:val="both"/>
              <w:rPr>
                <w:noProof/>
              </w:rPr>
            </w:pPr>
            <w:r>
              <w:rPr>
                <w:noProof/>
              </w:rPr>
              <w:fldChar w:fldCharType="begin"/>
            </w:r>
            <w:r>
              <w:rPr>
                <w:noProof/>
              </w:rPr>
              <w:instrText xml:space="preserve"> FILLIN "Datums" \* MERGEFORMAT </w:instrText>
            </w:r>
            <w:r>
              <w:rPr>
                <w:noProof/>
              </w:rPr>
              <w:fldChar w:fldCharType="separate"/>
            </w:r>
            <w:r>
              <w:t>2003. gada 1. jūlijs</w:t>
            </w:r>
            <w:r>
              <w:fldChar w:fldCharType="end"/>
            </w:r>
          </w:p>
          <w:p w:rsidR="00F967A2" w:rsidRDefault="00F967A2" w:rsidP="00F967A2">
            <w:pPr>
              <w:spacing w:after="0"/>
              <w:jc w:val="both"/>
              <w:rPr>
                <w:noProof/>
              </w:rPr>
            </w:pPr>
          </w:p>
          <w:p w:rsidR="007A4A64" w:rsidRPr="00F967A2" w:rsidRDefault="007A4A64" w:rsidP="00F967A2">
            <w:pPr>
              <w:spacing w:after="0"/>
              <w:jc w:val="both"/>
              <w:rPr>
                <w:noProof/>
              </w:rPr>
            </w:pPr>
            <w:r>
              <w:t xml:space="preserve">Oriģināls: </w:t>
            </w:r>
            <w:r>
              <w:rPr>
                <w:noProof/>
              </w:rPr>
              <w:fldChar w:fldCharType="begin"/>
            </w:r>
            <w:r>
              <w:rPr>
                <w:noProof/>
              </w:rPr>
              <w:instrText xml:space="preserve"> FILLIN "Oriģ. val." \* MERGEFORMAT </w:instrText>
            </w:r>
            <w:r>
              <w:rPr>
                <w:noProof/>
              </w:rPr>
              <w:fldChar w:fldCharType="separate"/>
            </w:r>
            <w:r>
              <w:t>ANGĻU VALODĀ</w:t>
            </w:r>
            <w:r>
              <w:fldChar w:fldCharType="end"/>
            </w:r>
          </w:p>
        </w:tc>
      </w:tr>
    </w:tbl>
    <w:p w:rsidR="00F967A2" w:rsidRDefault="00F967A2" w:rsidP="00F967A2">
      <w:pPr>
        <w:spacing w:after="0"/>
        <w:jc w:val="both"/>
        <w:rPr>
          <w:noProof/>
        </w:rPr>
      </w:pPr>
    </w:p>
    <w:p w:rsidR="00F967A2" w:rsidRDefault="007A4A64" w:rsidP="00F967A2">
      <w:pPr>
        <w:spacing w:after="0"/>
        <w:jc w:val="both"/>
        <w:rPr>
          <w:noProof/>
        </w:rPr>
      </w:pPr>
      <w:r>
        <w:t>BĒRNU TIESĪBU KOMITEJA</w:t>
      </w:r>
    </w:p>
    <w:p w:rsidR="00F967A2" w:rsidRDefault="007A4A64" w:rsidP="00F967A2">
      <w:pPr>
        <w:spacing w:after="0"/>
        <w:jc w:val="both"/>
        <w:rPr>
          <w:noProof/>
        </w:rPr>
      </w:pPr>
      <w:r>
        <w:t>Trīsdesmit trešā sesija</w:t>
      </w:r>
    </w:p>
    <w:p w:rsidR="007A4A64" w:rsidRDefault="007A4A64" w:rsidP="00F967A2">
      <w:pPr>
        <w:spacing w:after="0"/>
        <w:jc w:val="both"/>
        <w:rPr>
          <w:noProof/>
        </w:rPr>
      </w:pPr>
      <w:r>
        <w:t>2003. gada 16. maijs–6. jūnijs</w:t>
      </w:r>
    </w:p>
    <w:p w:rsidR="00F967A2" w:rsidRDefault="00F967A2" w:rsidP="00F967A2">
      <w:pPr>
        <w:spacing w:after="0"/>
        <w:jc w:val="both"/>
        <w:rPr>
          <w:noProof/>
        </w:rPr>
      </w:pPr>
    </w:p>
    <w:p w:rsidR="00D82788" w:rsidRPr="00F967A2" w:rsidRDefault="00D82788" w:rsidP="00F967A2">
      <w:pPr>
        <w:spacing w:after="0"/>
        <w:jc w:val="both"/>
        <w:rPr>
          <w:noProof/>
        </w:rPr>
      </w:pPr>
    </w:p>
    <w:p w:rsidR="007A4A64" w:rsidRPr="00F967A2" w:rsidRDefault="007A4A64" w:rsidP="00F967A2">
      <w:pPr>
        <w:pStyle w:val="Virsraksts1"/>
        <w:keepNext w:val="0"/>
        <w:spacing w:after="0"/>
        <w:rPr>
          <w:noProof/>
        </w:rPr>
      </w:pPr>
      <w:r>
        <w:t>Vispārējais komentārs Nr. 4 (2003)</w:t>
      </w:r>
    </w:p>
    <w:p w:rsidR="007A4A64" w:rsidRPr="00F967A2" w:rsidRDefault="007A4A64" w:rsidP="00F967A2">
      <w:pPr>
        <w:pStyle w:val="Virsraksts2"/>
        <w:keepNext w:val="0"/>
        <w:spacing w:after="0"/>
        <w:rPr>
          <w:noProof/>
        </w:rPr>
      </w:pPr>
      <w:r>
        <w:t>Pusaudžu veselība un attīstība Bērnu tiesību konvencijas kontekstā</w:t>
      </w:r>
    </w:p>
    <w:p w:rsidR="00F967A2" w:rsidRDefault="00F967A2" w:rsidP="00F967A2">
      <w:pPr>
        <w:pStyle w:val="Virsraksts2"/>
        <w:keepNext w:val="0"/>
        <w:spacing w:after="0"/>
        <w:jc w:val="both"/>
        <w:rPr>
          <w:noProof/>
        </w:rPr>
      </w:pPr>
    </w:p>
    <w:p w:rsidR="007A4A64" w:rsidRPr="00F967A2" w:rsidRDefault="007A4A64" w:rsidP="00D82788">
      <w:pPr>
        <w:pStyle w:val="Virsraksts2"/>
        <w:keepNext w:val="0"/>
        <w:spacing w:after="0"/>
        <w:rPr>
          <w:noProof/>
        </w:rPr>
      </w:pPr>
      <w:r>
        <w:t>Ievads</w:t>
      </w:r>
    </w:p>
    <w:p w:rsidR="00F967A2" w:rsidRDefault="00F967A2" w:rsidP="00F967A2">
      <w:pPr>
        <w:pStyle w:val="ParaNo"/>
        <w:numPr>
          <w:ilvl w:val="0"/>
          <w:numId w:val="0"/>
        </w:numPr>
        <w:spacing w:after="0"/>
        <w:ind w:left="1"/>
        <w:jc w:val="both"/>
        <w:rPr>
          <w:noProof/>
        </w:rPr>
      </w:pPr>
    </w:p>
    <w:p w:rsidR="007A4A64" w:rsidRPr="00F967A2" w:rsidRDefault="00F967A2" w:rsidP="00F967A2">
      <w:pPr>
        <w:pStyle w:val="ParaNo"/>
        <w:numPr>
          <w:ilvl w:val="0"/>
          <w:numId w:val="0"/>
        </w:numPr>
        <w:spacing w:after="0"/>
        <w:ind w:left="1"/>
        <w:jc w:val="both"/>
        <w:rPr>
          <w:noProof/>
        </w:rPr>
      </w:pPr>
      <w:r>
        <w:t>1. Bērnu tiesību konvencijā par bērnu tiek uzskatīts “ikviens cilvēks, kas nav sasniedzis 18 gadu vecumu, ja vien saskaņā ar attiecīgiem tiesību aktiem pilngadība neiestājas agrāk” (1. pants). Tādējādi līdz pat 18 gadu vecumam uz pusaudžiem attiecas visas Konvencijā paredzētās tiesības; viņiem ir tiesības uz īpašiem aizsardzības pasākumiem, un šīs tiesības viņi var pakāpeniski izmantot atbilstoši savai attīstības pakāpei. (5. pants).</w:t>
      </w:r>
    </w:p>
    <w:p w:rsidR="00F967A2" w:rsidRDefault="00F967A2" w:rsidP="00F967A2">
      <w:pPr>
        <w:pStyle w:val="ParaNo"/>
        <w:numPr>
          <w:ilvl w:val="0"/>
          <w:numId w:val="0"/>
        </w:numPr>
        <w:spacing w:after="0"/>
        <w:jc w:val="both"/>
        <w:rPr>
          <w:noProof/>
        </w:rPr>
      </w:pPr>
    </w:p>
    <w:p w:rsidR="007A4A64" w:rsidRPr="00F967A2" w:rsidRDefault="00F967A2" w:rsidP="00F967A2">
      <w:pPr>
        <w:pStyle w:val="ParaNo"/>
        <w:numPr>
          <w:ilvl w:val="0"/>
          <w:numId w:val="0"/>
        </w:numPr>
        <w:spacing w:after="0"/>
        <w:jc w:val="both"/>
        <w:rPr>
          <w:noProof/>
        </w:rPr>
      </w:pPr>
      <w:r>
        <w:t>2. Pusaudža vecums ir laiks, kurā notiek straujas fiziskas, kognitīvas un sociālas pārmaiņas, tostarp sākas seksuālās un reproduktīvās nobriešanas process; pakāpeniski veidojas spēja pieņemt pieaugušo uzvedības normas un uzņemties pienākumus un atbildību, kas prasa jaunas zināšanas un prasmes. Lai gan kopumā pusaudži veido veselīgu sabiedrības daļu, pusaudža gados rodas arī tādas jaunas problēmas veselībai un attīstībai, kuras izraisa viņu relatīvā neaizsargātība un sabiedrības, tostarp vienaudžu, spiediens izvēlēties veselībai bīstamu rīcību. Šīs problēmas cita starpā rada arī nepieciešamība izveidot savu</w:t>
      </w:r>
      <w:r w:rsidR="00595B32">
        <w:t xml:space="preserve"> personīgo identitāti un izzināt savu seksualitāti</w:t>
      </w:r>
      <w:r>
        <w:t>. Dinamiskais pārejas periods no bērna par pieaugušo parasti ir arī pozitīvu pārmaiņu laiks, ko veicina pusaudžu būtiski svarīgā spēja ātri iemācīties, piedzīvot jaunas un dažādas situācijas, attīstīt un izmantot kritisko domāšanu, izbaudīt brīvības iespējas, būt radošiem un socializēties.</w:t>
      </w:r>
    </w:p>
    <w:p w:rsidR="007A4A64" w:rsidRPr="00F967A2" w:rsidRDefault="007A4A64" w:rsidP="00F967A2">
      <w:pPr>
        <w:spacing w:after="0"/>
        <w:jc w:val="both"/>
        <w:rPr>
          <w:noProof/>
        </w:rPr>
      </w:pPr>
      <w:r>
        <w:t>GE.03-42724 (E) 100803</w:t>
      </w:r>
    </w:p>
    <w:p w:rsidR="00F967A2" w:rsidRDefault="00F967A2" w:rsidP="00F967A2">
      <w:pPr>
        <w:pStyle w:val="ParaNo"/>
        <w:numPr>
          <w:ilvl w:val="0"/>
          <w:numId w:val="0"/>
        </w:numPr>
        <w:spacing w:after="0"/>
        <w:ind w:left="1"/>
        <w:jc w:val="both"/>
        <w:rPr>
          <w:noProof/>
        </w:rPr>
      </w:pPr>
    </w:p>
    <w:p w:rsidR="007A4A64" w:rsidRPr="00F967A2" w:rsidRDefault="00F967A2" w:rsidP="00F967A2">
      <w:pPr>
        <w:pStyle w:val="ParaNo"/>
        <w:numPr>
          <w:ilvl w:val="0"/>
          <w:numId w:val="0"/>
        </w:numPr>
        <w:spacing w:after="0"/>
        <w:ind w:left="1"/>
        <w:jc w:val="both"/>
        <w:rPr>
          <w:noProof/>
        </w:rPr>
      </w:pPr>
      <w:r>
        <w:t>3. Bērnu tiesību komiteja ar bažām norāda, ka Konvencijas dalībvalstis savu pienākumu izpildē nav pietiekami pievērsušas uzmanību tam, ka pusaudžiem, uz kuriem arī at</w:t>
      </w:r>
      <w:r w:rsidR="00595B32">
        <w:t>tiecas bērnu tiesības, ir konkrēti apsvērumi</w:t>
      </w:r>
      <w:r>
        <w:t xml:space="preserve"> un ka ir jāveicina viņu veselība un attīstība. Tas ir mudinājis komiteju pieņemt šo vispārējo komentāru, lai veicinātu izpratni un nodrošinātu Konvencijas dalībvalstīm vadlīnijas un atbalstu to centienos garantēt pusaudžu tiesību ievērošanu, aizsardzību un īstenošanu, tostarp izstrādāt īpašas stratēģijas un politikas nostādnes.</w:t>
      </w:r>
    </w:p>
    <w:p w:rsidR="00F967A2" w:rsidRDefault="00F967A2" w:rsidP="00F967A2">
      <w:pPr>
        <w:pStyle w:val="ParaNo"/>
        <w:numPr>
          <w:ilvl w:val="0"/>
          <w:numId w:val="0"/>
        </w:numPr>
        <w:spacing w:after="0"/>
        <w:ind w:left="1"/>
        <w:jc w:val="both"/>
        <w:rPr>
          <w:noProof/>
        </w:rPr>
      </w:pPr>
    </w:p>
    <w:p w:rsidR="007A4A64" w:rsidRDefault="00F967A2" w:rsidP="00F967A2">
      <w:pPr>
        <w:pStyle w:val="ParaNo"/>
        <w:numPr>
          <w:ilvl w:val="0"/>
          <w:numId w:val="0"/>
        </w:numPr>
        <w:spacing w:after="0"/>
        <w:ind w:left="1"/>
        <w:jc w:val="both"/>
        <w:rPr>
          <w:noProof/>
        </w:rPr>
      </w:pPr>
      <w:r>
        <w:t xml:space="preserve">4. Komitejas izpratnē jēdzieni “veselība un attīstība” aptver daudz plašāku piemērošanas jomu nekā tikai to, kas noteikta Konvencijas 6. pantā (tiesības uz dzīvību, izdzīvošanu un attīstību) un 24. pantā (tiesības uz veselības aprūpi). Viens no šā vispārējā komentāra mērķiem ir precīzi noteikt galvenās cilvēktiesības, kas ir jāveicina un jāaizsargā, lai nodrošinātu, ka pusaudžiem </w:t>
      </w:r>
      <w:r>
        <w:lastRenderedPageBreak/>
        <w:t>tiek piemērots visaugstvērtīgākais pieejamais veselības standarts, ka viņi var līdzsvaroti attīsties un būt tik pietiekami sagatavoti pieauguša cilvēka dzīvei, lai viņu iesaiste savas apkaimes dzīvē un sabiedrībā kopumā viestu pozitīvas pārmaiņas. Šis vispārējais komentārs ir jālasa kopā ar Konvenciju un tās diviem papildu protokoliem par tirdzniecību ar bērniem, bērnu prostitūciju un bērnu pornogrāfiju un par bērnu iesaistīšanu bruņotos konfliktos, kā arī citiem attiecīgiem starptautiskiem dokumentiem un standartiem cilvēktiesību jomā.</w:t>
      </w:r>
      <w:r>
        <w:rPr>
          <w:rStyle w:val="Beiguvresatsauce"/>
          <w:noProof/>
        </w:rPr>
        <w:endnoteReference w:id="2"/>
      </w:r>
    </w:p>
    <w:p w:rsidR="00F967A2" w:rsidRPr="00F967A2" w:rsidRDefault="00F967A2" w:rsidP="00F967A2">
      <w:pPr>
        <w:pStyle w:val="ParaNo"/>
        <w:numPr>
          <w:ilvl w:val="0"/>
          <w:numId w:val="0"/>
        </w:numPr>
        <w:spacing w:after="0"/>
        <w:ind w:left="1"/>
        <w:jc w:val="both"/>
        <w:rPr>
          <w:noProof/>
        </w:rPr>
      </w:pPr>
    </w:p>
    <w:p w:rsidR="007A4A64" w:rsidRDefault="00F967A2" w:rsidP="00D82788">
      <w:pPr>
        <w:pStyle w:val="Virsraksts1"/>
        <w:keepNext w:val="0"/>
        <w:tabs>
          <w:tab w:val="left" w:pos="2145"/>
        </w:tabs>
        <w:spacing w:after="0"/>
        <w:rPr>
          <w:noProof/>
        </w:rPr>
      </w:pPr>
      <w:r>
        <w:t>I. Konvencijas dalībvalstu pamatprincipi un citi pienākumi</w:t>
      </w:r>
    </w:p>
    <w:p w:rsidR="00F967A2" w:rsidRDefault="00F967A2" w:rsidP="00F967A2">
      <w:pPr>
        <w:pStyle w:val="ParaNo"/>
        <w:numPr>
          <w:ilvl w:val="0"/>
          <w:numId w:val="0"/>
        </w:numPr>
        <w:spacing w:after="0"/>
        <w:ind w:left="1"/>
        <w:jc w:val="both"/>
        <w:rPr>
          <w:noProof/>
        </w:rPr>
      </w:pPr>
    </w:p>
    <w:p w:rsidR="007A4A64" w:rsidRPr="00F967A2" w:rsidRDefault="00F967A2" w:rsidP="00F967A2">
      <w:pPr>
        <w:pStyle w:val="ParaNo"/>
        <w:numPr>
          <w:ilvl w:val="0"/>
          <w:numId w:val="0"/>
        </w:numPr>
        <w:spacing w:after="0"/>
        <w:ind w:left="1"/>
        <w:jc w:val="both"/>
        <w:rPr>
          <w:noProof/>
        </w:rPr>
      </w:pPr>
      <w:r>
        <w:t>5. Komiteja atkārtoti apliecina to, ko jau atzinusi Pasaules Cilvēktiesību konference (1993), proti, ka arī bērnu tiesības ir nedalāmas un savstarpēji saistītas. Papildus tam, kas noteikts 6. un 24. pantā, arī citi Konvencijā ietvertie nosacījumi un principi ir būtiski svarīgi, lai nodrošinātu, ka pusaudži pilnā mērā var izmantot savas tiesības uz veselību un attīstību.</w:t>
      </w:r>
    </w:p>
    <w:p w:rsidR="00F967A2" w:rsidRDefault="00F967A2" w:rsidP="00F967A2">
      <w:pPr>
        <w:pStyle w:val="Virsraksts3"/>
        <w:keepNext w:val="0"/>
        <w:spacing w:after="0"/>
        <w:jc w:val="both"/>
        <w:rPr>
          <w:noProof/>
        </w:rPr>
      </w:pPr>
    </w:p>
    <w:p w:rsidR="007A4A64" w:rsidRDefault="007A4A64" w:rsidP="00F967A2">
      <w:pPr>
        <w:pStyle w:val="Virsraksts3"/>
        <w:keepNext w:val="0"/>
        <w:spacing w:after="0"/>
        <w:jc w:val="both"/>
        <w:rPr>
          <w:noProof/>
        </w:rPr>
      </w:pPr>
      <w:r>
        <w:t>Tiesības netikt diskriminētam</w:t>
      </w:r>
    </w:p>
    <w:p w:rsidR="00F967A2" w:rsidRDefault="00F967A2" w:rsidP="00F967A2">
      <w:pPr>
        <w:pStyle w:val="ParaNo"/>
        <w:numPr>
          <w:ilvl w:val="0"/>
          <w:numId w:val="0"/>
        </w:numPr>
        <w:spacing w:after="0"/>
        <w:ind w:left="1"/>
        <w:jc w:val="both"/>
        <w:rPr>
          <w:noProof/>
        </w:rPr>
      </w:pPr>
    </w:p>
    <w:p w:rsidR="007A4A64" w:rsidRDefault="00F967A2" w:rsidP="00F967A2">
      <w:pPr>
        <w:pStyle w:val="ParaNo"/>
        <w:numPr>
          <w:ilvl w:val="0"/>
          <w:numId w:val="0"/>
        </w:numPr>
        <w:spacing w:after="0"/>
        <w:ind w:left="1"/>
        <w:jc w:val="both"/>
        <w:rPr>
          <w:noProof/>
        </w:rPr>
      </w:pPr>
      <w:r>
        <w:t>6. Konvencijas dalībvalstīm ir jānodrošina, ka ikviens cilvēks, kas nav sasniedzis 18 gadu vecumu, var izmantot visas Konvencijā noteiktās tiesības bez jebkādas diskriminācijas (2. pants), tostarp neatkarīgi no viņa “rases, ādas krāsas, dzimuma, valodas, reliģiskās piederības, politiskās vai citas pārliecības, nacionālās, etniskās vai sociālās izcelsmes, mantiskā stāvokļa, veselības stāvokļa un dzimšanas apstākļiem vai jebkādiem citiem apstākļiem”. Šie nosacījumi ietver arī pusaudža seksuālo orientāciju un veselības stāvokli (tostarp saslimšanu ar HIV/AIDS un garīgās veselības slimībām). Pusaudži, kas tiek diskriminēti, ir daudz neaizsargātāki pret ļaunprātīgu izmantošanu, citiem vardarbības veidiem un ekspluatāciju, un viņu veselība un attīstība ir pakļautas lielākam riskam. Tāpēc viņiem ir tiesības saņemt īpašu uzmanību un aizsardzību visās sabiedrības grupās.</w:t>
      </w:r>
    </w:p>
    <w:p w:rsidR="00F967A2" w:rsidRPr="00F967A2" w:rsidRDefault="00F967A2" w:rsidP="00F967A2">
      <w:pPr>
        <w:pStyle w:val="ParaNo"/>
        <w:numPr>
          <w:ilvl w:val="0"/>
          <w:numId w:val="0"/>
        </w:numPr>
        <w:spacing w:after="0"/>
        <w:ind w:left="1"/>
        <w:jc w:val="both"/>
        <w:rPr>
          <w:noProof/>
        </w:rPr>
      </w:pPr>
    </w:p>
    <w:p w:rsidR="007A4A64" w:rsidRPr="00F967A2" w:rsidRDefault="007A4A64" w:rsidP="00F967A2">
      <w:pPr>
        <w:pStyle w:val="Virsraksts3"/>
        <w:keepNext w:val="0"/>
        <w:spacing w:after="0"/>
        <w:jc w:val="both"/>
        <w:rPr>
          <w:noProof/>
        </w:rPr>
      </w:pPr>
      <w:r>
        <w:t>Atbilstoši padomi par tiesību izmantošanu</w:t>
      </w:r>
    </w:p>
    <w:p w:rsidR="00F967A2" w:rsidRDefault="00F967A2" w:rsidP="00F967A2">
      <w:pPr>
        <w:pStyle w:val="ParaNo"/>
        <w:numPr>
          <w:ilvl w:val="0"/>
          <w:numId w:val="0"/>
        </w:numPr>
        <w:spacing w:after="0"/>
        <w:ind w:left="1"/>
        <w:jc w:val="both"/>
        <w:rPr>
          <w:noProof/>
        </w:rPr>
      </w:pPr>
    </w:p>
    <w:p w:rsidR="007A4A64" w:rsidRDefault="00F967A2" w:rsidP="00F967A2">
      <w:pPr>
        <w:pStyle w:val="ParaNo"/>
        <w:numPr>
          <w:ilvl w:val="0"/>
          <w:numId w:val="0"/>
        </w:numPr>
        <w:spacing w:after="0"/>
        <w:ind w:left="1"/>
        <w:jc w:val="both"/>
        <w:rPr>
          <w:noProof/>
        </w:rPr>
      </w:pPr>
      <w:r>
        <w:t>7. Konvencijā ir atzīta vecāku (vai citu par bērnu tiesiski atbildīgo personu) atbildība, tiesības un pienākumi “nodrošināt ikvienam bērnam viņa attīstības pakāpei atbilstošu palīdzību un padomus šajā konvencijā atzīto tiesību izmantošanā” (5. pants). Komiteja ir pārliecināta, ka vecākiem vai citām par bērnu tiesiski atbildīgām personām ir rūpīgi jāpilda pienākums un jāuzņemas atbildība par to, lai nodrošinātu savam pusaudža vecuma bērnam palīdzību un padomus viņa tiesību izmantošanā. Viņiem ir pienākums ņemt vērā pusaudža viedokli atbilstīgi viņa vecumam un briedumam un radīt drošu un atbalstošu vidi, kurā pusaudzis var attīstīties. Pusaudža ģimenes locekļiem ir jāapzinās un jāatzīst, ka pusaudzis ir aktīvs tiesību subjekts, kurš spēs kļūt par pilnvērtīgu un atbildīgu pilsoni, ja vien saņems atbilstošus padomus un palīdzību.</w:t>
      </w:r>
    </w:p>
    <w:p w:rsidR="00F967A2" w:rsidRPr="00F967A2" w:rsidRDefault="00F967A2" w:rsidP="00F967A2">
      <w:pPr>
        <w:pStyle w:val="ParaNo"/>
        <w:numPr>
          <w:ilvl w:val="0"/>
          <w:numId w:val="0"/>
        </w:numPr>
        <w:spacing w:after="0"/>
        <w:ind w:left="1"/>
        <w:jc w:val="both"/>
        <w:rPr>
          <w:noProof/>
        </w:rPr>
      </w:pPr>
    </w:p>
    <w:p w:rsidR="007A4A64" w:rsidRPr="00F967A2" w:rsidRDefault="007A4A64" w:rsidP="00F967A2">
      <w:pPr>
        <w:pStyle w:val="Virsraksts3"/>
        <w:keepNext w:val="0"/>
        <w:spacing w:after="0"/>
        <w:jc w:val="both"/>
        <w:rPr>
          <w:noProof/>
        </w:rPr>
      </w:pPr>
      <w:r>
        <w:t>Bērna viedokļa cienīšana</w:t>
      </w:r>
    </w:p>
    <w:p w:rsidR="00F967A2" w:rsidRDefault="00F967A2" w:rsidP="00F967A2">
      <w:pPr>
        <w:pStyle w:val="ParaNo"/>
        <w:numPr>
          <w:ilvl w:val="0"/>
          <w:numId w:val="0"/>
        </w:numPr>
        <w:spacing w:after="0"/>
        <w:ind w:left="1"/>
        <w:jc w:val="both"/>
        <w:rPr>
          <w:noProof/>
        </w:rPr>
      </w:pPr>
    </w:p>
    <w:p w:rsidR="007A4A64" w:rsidRDefault="00F967A2" w:rsidP="00F967A2">
      <w:pPr>
        <w:pStyle w:val="ParaNo"/>
        <w:numPr>
          <w:ilvl w:val="0"/>
          <w:numId w:val="0"/>
        </w:numPr>
        <w:spacing w:after="0"/>
        <w:ind w:left="1"/>
        <w:jc w:val="both"/>
        <w:rPr>
          <w:noProof/>
        </w:rPr>
      </w:pPr>
      <w:r>
        <w:t>8. Tiesības brīvi paust viedokli, kas tiek pienācīgi ņemts vērā (12. pants), arī ir būtiski svarīgas, lai īstenotu pusaudža tiesības uz veselību un attīstību. Konvencijas dalībvalstīm ir jānodrošina, ka pusaudžiem tiek patiesi dota iespēja brīvi izteikt savu viedokli par visiem jautājumiem, kas viņus ietekmē, jo īpaši ģimenē, skolā un vietējā sabiedrībā. Lai pusaudži varētu droši un pienācīgi īstenot savas tiesības, valsts iestādēm, vecākiem un citiem pieaugušajiem, kas strādā ar bērniem vai viņu interesēs, ir jārada vide, kura pamatojas uz uzticību, informācijas sniegšanu, spēju uzklausīt un sniegt saprātīgus padomus un kura veicina pusaudžu vienlīdzīgu iesaisti, tostarp lēmumu pieņemšanas procesos.</w:t>
      </w:r>
    </w:p>
    <w:p w:rsidR="00F967A2" w:rsidRPr="00F967A2" w:rsidRDefault="00F967A2" w:rsidP="00F967A2">
      <w:pPr>
        <w:pStyle w:val="ParaNo"/>
        <w:numPr>
          <w:ilvl w:val="0"/>
          <w:numId w:val="0"/>
        </w:numPr>
        <w:spacing w:after="0"/>
        <w:ind w:left="1"/>
        <w:jc w:val="both"/>
        <w:rPr>
          <w:noProof/>
        </w:rPr>
      </w:pPr>
    </w:p>
    <w:p w:rsidR="007A4A64" w:rsidRPr="00F967A2" w:rsidRDefault="007A4A64" w:rsidP="00F967A2">
      <w:pPr>
        <w:pStyle w:val="Virsraksts3"/>
        <w:keepNext w:val="0"/>
        <w:spacing w:after="0"/>
        <w:jc w:val="both"/>
        <w:rPr>
          <w:noProof/>
        </w:rPr>
      </w:pPr>
      <w:r>
        <w:lastRenderedPageBreak/>
        <w:t>Tiesiskie un juridiskie pasākumi un procesi</w:t>
      </w:r>
    </w:p>
    <w:p w:rsidR="00F967A2" w:rsidRDefault="00F967A2" w:rsidP="00F967A2">
      <w:pPr>
        <w:pStyle w:val="ParaNo"/>
        <w:numPr>
          <w:ilvl w:val="0"/>
          <w:numId w:val="0"/>
        </w:numPr>
        <w:spacing w:after="0"/>
        <w:ind w:left="1"/>
        <w:jc w:val="both"/>
        <w:rPr>
          <w:noProof/>
        </w:rPr>
      </w:pPr>
    </w:p>
    <w:p w:rsidR="007A4A64" w:rsidRDefault="00F967A2" w:rsidP="00F967A2">
      <w:pPr>
        <w:pStyle w:val="ParaNo"/>
        <w:numPr>
          <w:ilvl w:val="0"/>
          <w:numId w:val="0"/>
        </w:numPr>
        <w:spacing w:after="0"/>
        <w:ind w:left="1"/>
        <w:jc w:val="both"/>
        <w:rPr>
          <w:noProof/>
        </w:rPr>
      </w:pPr>
      <w:r>
        <w:t>9. Konvencijas 4. pantā noteikts, ka “dalībvalstis veic visus attiecīgos likumdošanas, administratīvos un citus pasākumus, lai īstenotu [šajā konvencijā] atzītās tiesības.” Saistībā ar pusaudžu tiesībām uz veselību un attīstību Konvencijas dalībvalstīm jānodrošina, ka valsts tiesību aktos ir noteiktas īpašas tiesiskās normas, tostarp tādas, kas paredz minimālo dzimumpilngadības un laulībā stāšanās vecumu, kā arī vecumu, no kura iespējams saņemt medicīnisko palīdzību bez vecāku piekrišanas. Šāds minimālais vecums ir jānosaka attiecībā gan uz zēniem, gan meitenē</w:t>
      </w:r>
      <w:r w:rsidR="00595B32">
        <w:t>m</w:t>
      </w:r>
      <w:r>
        <w:t xml:space="preserve"> (Konvencijas 2. pants), un tam ir jāatspoguļo fakts, ka ikviens cilvēks, kas nav sasniedzis 18 gadu vecumu, ir tiesību subjekts atbilstoši viņa attīstības pakāpei, vecumam un briedumam (5. pants un 12.–17. pants). Turklāt ir jānodrošina pusaudžiem vienkārša piekļuve individualizētai sūdzību izskatīšanas sistēmai, kā arī tiesu sistēmai un piemērotiem ārpustiesas tiesiskās aizsardzības mehānismiem, kas garantē godīgu un laikus īstenotu procesu, kurā īpaša uzmanība pievērsta tiesībām uz privātumu (16. pants).</w:t>
      </w:r>
    </w:p>
    <w:p w:rsidR="00F967A2" w:rsidRPr="00F967A2" w:rsidRDefault="00F967A2" w:rsidP="00F967A2">
      <w:pPr>
        <w:pStyle w:val="ParaNo"/>
        <w:numPr>
          <w:ilvl w:val="0"/>
          <w:numId w:val="0"/>
        </w:numPr>
        <w:spacing w:after="0"/>
        <w:ind w:left="1"/>
        <w:jc w:val="both"/>
        <w:rPr>
          <w:noProof/>
        </w:rPr>
      </w:pPr>
    </w:p>
    <w:p w:rsidR="007A4A64" w:rsidRPr="00F967A2" w:rsidRDefault="007A4A64" w:rsidP="00F967A2">
      <w:pPr>
        <w:pStyle w:val="Virsraksts3"/>
        <w:keepNext w:val="0"/>
        <w:spacing w:after="0"/>
        <w:jc w:val="both"/>
        <w:rPr>
          <w:noProof/>
        </w:rPr>
      </w:pPr>
      <w:r>
        <w:t>Pilsoniskās tiesības un brīvības</w:t>
      </w:r>
    </w:p>
    <w:p w:rsidR="00F967A2" w:rsidRDefault="00F967A2" w:rsidP="00F967A2">
      <w:pPr>
        <w:pStyle w:val="ParaNo"/>
        <w:numPr>
          <w:ilvl w:val="0"/>
          <w:numId w:val="0"/>
        </w:numPr>
        <w:spacing w:after="0"/>
        <w:ind w:left="1"/>
        <w:jc w:val="both"/>
        <w:rPr>
          <w:noProof/>
        </w:rPr>
      </w:pPr>
    </w:p>
    <w:p w:rsidR="007A4A64" w:rsidRPr="00F967A2" w:rsidRDefault="00F967A2" w:rsidP="00F967A2">
      <w:pPr>
        <w:pStyle w:val="ParaNo"/>
        <w:numPr>
          <w:ilvl w:val="0"/>
          <w:numId w:val="0"/>
        </w:numPr>
        <w:spacing w:after="0"/>
        <w:ind w:left="1"/>
        <w:jc w:val="both"/>
        <w:rPr>
          <w:noProof/>
        </w:rPr>
      </w:pPr>
      <w:r>
        <w:t>10. Bērnu un pusaudžu pilsoniskās tiesības un brīvības ir noteiktas Konvencijas 13.–17. pantā. Tie ir pamatnosacījumi, lai garantētu pusaudžiem tiesības uz veselību un attīstību. Konvencijas 17. pantā noteikts, ka bērnam ir tiesības uz piekļuvi informācijai un materiāliem no dažādiem vietējiem un starptautiskiem avotiem, jo īpaši tādai informācijai un materiāliem, kuru mērķis ir sekmēt bērnu sociālo, garīgo un morālo labklājību, kā arī fizisko un garīgo veselību. Pusaudžu tiesības piekļūt atbilstošai informācijai ir ārkārtīgi būtiskas, ja Konvencijas dalībvalstis ir paredzējušas veicināt rentablus pasākumus, tostarp ieviest tos likumdošanā, politikas nostādnēs un programmās, attiecībā uz dažādām ar veselību saistītām situācijām, tostarp tām, kas ietvertas 24. un 33. pantā, piemēram, ģimenes plānošanu, negadījumu novēršanu, aizsardzību pret kaitīgām tradicionālām ieražām, tostarp agrīnām laulībām un sieviešu dzimumorgānu kropļošanu, kā arī attiecībā uz alkohola, tabakas un citu kaitīgu vielu lietošanu.</w:t>
      </w:r>
    </w:p>
    <w:p w:rsidR="00F967A2" w:rsidRDefault="00F967A2" w:rsidP="00F967A2">
      <w:pPr>
        <w:pStyle w:val="ParaNo"/>
        <w:numPr>
          <w:ilvl w:val="0"/>
          <w:numId w:val="0"/>
        </w:numPr>
        <w:spacing w:after="0"/>
        <w:ind w:left="1"/>
        <w:jc w:val="both"/>
        <w:rPr>
          <w:noProof/>
        </w:rPr>
      </w:pPr>
    </w:p>
    <w:p w:rsidR="007A4A64" w:rsidRDefault="00F967A2" w:rsidP="00F967A2">
      <w:pPr>
        <w:pStyle w:val="ParaNo"/>
        <w:numPr>
          <w:ilvl w:val="0"/>
          <w:numId w:val="0"/>
        </w:numPr>
        <w:spacing w:after="0"/>
        <w:ind w:left="1"/>
        <w:jc w:val="both"/>
        <w:rPr>
          <w:noProof/>
        </w:rPr>
      </w:pPr>
      <w:r>
        <w:t>11. Lai veicinātu pusaudžu veselību un attīstību, Konvencijas dalībvalstis tiek mudinātas arī stingri ievērot viņu tiesības uz privātumu un konfidencialitāti, tostarp attiecībā uz padomu un palīdzības sniegšanu veselības jautājumos (16. pants). Ņemot vērā Konvencijas pamatprincipus, veselības aprūpes sniedzējiem ir pienākums saglabāt konfidenciālu medicīnisko informāciju par pusaudžiem. Šāda informācija var tikt izpausta tikai ar pusaudža piekrišanu vai tādos pašos gadījumos, kādos drīkst pārkāpt konfidencialitātes prasību attiecībā uz pieaugušajiem. Tā kā pusaudžus uzskata par pietiekami nobriedušiem saņemt padomus bez vecāku vai citas personas klātbūtnes, viņiem ir tiesības uz privātumu un viņi var pieprasīt konfidenciālus pakalpojumus, tostarp konfidenciālu ārstēšanu.</w:t>
      </w:r>
    </w:p>
    <w:p w:rsidR="00F967A2" w:rsidRPr="00F967A2" w:rsidRDefault="00F967A2" w:rsidP="00F967A2">
      <w:pPr>
        <w:pStyle w:val="ParaNo"/>
        <w:numPr>
          <w:ilvl w:val="0"/>
          <w:numId w:val="0"/>
        </w:numPr>
        <w:spacing w:after="0"/>
        <w:ind w:left="1"/>
        <w:jc w:val="both"/>
        <w:rPr>
          <w:noProof/>
        </w:rPr>
      </w:pPr>
    </w:p>
    <w:p w:rsidR="007A4A64" w:rsidRPr="00F967A2" w:rsidRDefault="007A4A64" w:rsidP="00F967A2">
      <w:pPr>
        <w:pStyle w:val="Virsraksts3"/>
        <w:keepNext w:val="0"/>
        <w:spacing w:after="0"/>
        <w:jc w:val="both"/>
        <w:rPr>
          <w:noProof/>
        </w:rPr>
      </w:pPr>
      <w:r>
        <w:t>Aizsardzība pret jebkādu ļaunprātīgu izmantošanu, nevērīgu izturēšanos, vardarbību un ekspluatāciju</w:t>
      </w:r>
      <w:r>
        <w:rPr>
          <w:noProof/>
          <w:vertAlign w:val="superscript"/>
        </w:rPr>
        <w:endnoteReference w:id="3"/>
      </w:r>
    </w:p>
    <w:p w:rsidR="00F967A2" w:rsidRDefault="00F967A2" w:rsidP="00F967A2">
      <w:pPr>
        <w:pStyle w:val="ParaNo"/>
        <w:numPr>
          <w:ilvl w:val="0"/>
          <w:numId w:val="0"/>
        </w:numPr>
        <w:spacing w:after="0"/>
        <w:ind w:left="1"/>
        <w:jc w:val="both"/>
        <w:rPr>
          <w:noProof/>
        </w:rPr>
      </w:pPr>
    </w:p>
    <w:p w:rsidR="007A4A64" w:rsidRDefault="00F967A2" w:rsidP="00F967A2">
      <w:pPr>
        <w:pStyle w:val="ParaNo"/>
        <w:numPr>
          <w:ilvl w:val="0"/>
          <w:numId w:val="0"/>
        </w:numPr>
        <w:spacing w:after="0"/>
        <w:ind w:left="1"/>
        <w:jc w:val="both"/>
        <w:rPr>
          <w:noProof/>
        </w:rPr>
      </w:pPr>
      <w:r>
        <w:t xml:space="preserve">12. Konvencijas dalībvalstīm ir jāveic efektīvi pasākumi, lai nodrošinātu, ka pusaudži ir aizsargāti pret jebkādu vardarbību, ļaunprātīgu izmantošanu, nevērīgu izturēšanos un ekspluatāciju (19. 32.–36. un 38. pants), pievēršot pastiprinātu uzmanību īpašām ļaunprātīgas izmantošanas, nevērīgas izturēšanās, vardarbības un ekspluatācijas formām, kas ietekmē šo vecuma grupa. Proti, tām ir jāizstrādā īpaši pasākumi, lai nodrošinātu fizisko, seksuālo un garīgo neaizskaramību pusaudžiem ar invaliditāti, jo viņi ir īpašu neaizsargāti pret ļaunprātīgu izmantošanu un nevērīgu izturēšanos. Konvencijas dalībvalstīm ir arī jānodrošina, ka nabadzībai pakļautie pusaudži, kas ir sociāli atstumti, netiek pievērsti noziedzībai. Šajā saistībā ir jāpiešķir finansiāli līdzekļi un cilvēkresursi, lai veicinātu tādu pētījumu veikšanu, kas </w:t>
      </w:r>
      <w:r>
        <w:lastRenderedPageBreak/>
        <w:t>palīdzētu pieņemt efektīvus vietējus un valsts tiesību aktus, politikas nostādnes un programmas. Politikas nostādnes un stratēģijas ir attiecīgi regulāri jāpārskata un jāpārstrādā. Veicot šos pasākumus, Konvencijas dalībvalstīm ir jāņem vērā pusaudžu attīstības pakāpe un atbilstoši jāiesaista viņi to pasākumu un programmu izstrādē, kas ir paredzēti viņu aizsardzībai. Šajā saistībā komiteja uzsver, ka pozitīvi var ietekmēt līdzinieku izglītība un piemēroti izcilu personību piemēri, jo īpaši to, kas darbojas mākslas, izklaides un sporta jomā.</w:t>
      </w:r>
    </w:p>
    <w:p w:rsidR="00F967A2" w:rsidRPr="00F967A2" w:rsidRDefault="00F967A2" w:rsidP="00F967A2">
      <w:pPr>
        <w:pStyle w:val="ParaNo"/>
        <w:numPr>
          <w:ilvl w:val="0"/>
          <w:numId w:val="0"/>
        </w:numPr>
        <w:spacing w:after="0"/>
        <w:ind w:left="1"/>
        <w:jc w:val="both"/>
        <w:rPr>
          <w:noProof/>
        </w:rPr>
      </w:pPr>
    </w:p>
    <w:p w:rsidR="007A4A64" w:rsidRPr="00F967A2" w:rsidRDefault="007A4A64" w:rsidP="00F967A2">
      <w:pPr>
        <w:pStyle w:val="Virsraksts3"/>
        <w:keepNext w:val="0"/>
        <w:spacing w:after="0"/>
        <w:jc w:val="both"/>
        <w:rPr>
          <w:noProof/>
        </w:rPr>
      </w:pPr>
      <w:r>
        <w:t>Datu vākšana</w:t>
      </w:r>
    </w:p>
    <w:p w:rsidR="00F967A2" w:rsidRDefault="00F967A2" w:rsidP="00F967A2">
      <w:pPr>
        <w:pStyle w:val="ParaNo"/>
        <w:numPr>
          <w:ilvl w:val="0"/>
          <w:numId w:val="0"/>
        </w:numPr>
        <w:spacing w:after="0"/>
        <w:ind w:left="1"/>
        <w:jc w:val="both"/>
        <w:rPr>
          <w:noProof/>
        </w:rPr>
      </w:pPr>
    </w:p>
    <w:p w:rsidR="007A4A64" w:rsidRDefault="00F967A2" w:rsidP="00F967A2">
      <w:pPr>
        <w:pStyle w:val="ParaNo"/>
        <w:numPr>
          <w:ilvl w:val="0"/>
          <w:numId w:val="0"/>
        </w:numPr>
        <w:spacing w:after="0"/>
        <w:ind w:left="1"/>
        <w:jc w:val="both"/>
        <w:rPr>
          <w:noProof/>
        </w:rPr>
      </w:pPr>
      <w:r>
        <w:t xml:space="preserve">13. Sistemātiska datu vākšana ir nepieciešama, lai Konvencijas dalībvalstis varētu pārraudzīt pusaudžu veselību un attīstību. Konvencijas dalībvalstīm ir jāizstrādā datu vākšanas mehānismi, kas ļauj datus šķirot pēc dzimuma, vecuma, izcelsmes un sociāli ekonomiskā statusa, lai tādējādi varētu izprast dažādo grupu situāciju. Dati ir jāvāc arī tāpēc, lai pētītu, kāda ir situācija konkrētām grupām, piemēram, etniskām un/vai pamatiedzīvotāju minoritātēm, migrantu vai bēgļu pusaudžiem, pusaudžiem ar invaliditāti, strādājošiem pusaudžiem utt. Vajadzības gadījumā pusaudži var piedalīties datu analīzē, lai nodrošinātu, ka informācija ir izprasta un izmantota, ņemot vērā pusaudža vecuma specifiku. </w:t>
      </w:r>
    </w:p>
    <w:p w:rsidR="00F967A2" w:rsidRPr="00F967A2" w:rsidRDefault="00F967A2" w:rsidP="00F967A2">
      <w:pPr>
        <w:pStyle w:val="ParaNo"/>
        <w:numPr>
          <w:ilvl w:val="0"/>
          <w:numId w:val="0"/>
        </w:numPr>
        <w:spacing w:after="0"/>
        <w:ind w:left="1"/>
        <w:jc w:val="both"/>
        <w:rPr>
          <w:noProof/>
        </w:rPr>
      </w:pPr>
    </w:p>
    <w:p w:rsidR="007A4A64" w:rsidRPr="00F967A2" w:rsidRDefault="007A4A64" w:rsidP="00F967A2">
      <w:pPr>
        <w:pStyle w:val="Virsraksts1"/>
        <w:keepNext w:val="0"/>
        <w:spacing w:after="0"/>
        <w:rPr>
          <w:noProof/>
        </w:rPr>
      </w:pPr>
      <w:r>
        <w:t>II. Drošas un atbalstošas vides radīšana</w:t>
      </w:r>
    </w:p>
    <w:p w:rsidR="00F967A2" w:rsidRDefault="00F967A2" w:rsidP="00F967A2">
      <w:pPr>
        <w:pStyle w:val="ParaNo"/>
        <w:numPr>
          <w:ilvl w:val="0"/>
          <w:numId w:val="0"/>
        </w:numPr>
        <w:spacing w:after="0"/>
        <w:ind w:left="1"/>
        <w:jc w:val="both"/>
        <w:rPr>
          <w:noProof/>
        </w:rPr>
      </w:pPr>
    </w:p>
    <w:p w:rsidR="007A4A64" w:rsidRPr="00F967A2" w:rsidRDefault="00F967A2" w:rsidP="00F967A2">
      <w:pPr>
        <w:pStyle w:val="ParaNo"/>
        <w:numPr>
          <w:ilvl w:val="0"/>
          <w:numId w:val="0"/>
        </w:numPr>
        <w:spacing w:after="0"/>
        <w:ind w:left="1"/>
        <w:jc w:val="both"/>
        <w:rPr>
          <w:noProof/>
        </w:rPr>
      </w:pPr>
      <w:r>
        <w:t>14. Pusaudžu veselību un attīstību ļoti lielā mērā nosaka vide, kurā viņi dzīvo. Lai radītu drošu un atbalstošu vidi, ir jārisina jautājumi, kuri saistīti ar attieksmi un darbībām, kas izpaužas gan pusaudža tiešajā apkārtnē – ģimenē, vienaudžu starpā, skolā un piedāvātajos pakalpojumos –, gan arī plašākā vidē, ko cita starpā izveidojusi sabiedrība, reliģiskie vadītāji, plašsaziņas līdzekļi, valsts un vietēja mēroga politika un likumdošana. Pusaudžu tiesības uz veselību un attīstību var garantēt tikai tad, ja tiek veicināti un īstenoti Konvencijas nosacījumi un principi, jo īpaši 2.–6., 12.–17., 24., 28., 29. un 31. pants. Konvencijas dalībvalstīm ir jāveic pasākumi, lai veicinātu izpratni un stimulētu un/vai reglamentētu darbības, proti, tām ir jāizstrādā politikas nostādnes vai jāpieņem tiesību akti un jāīsteno programmas, kas īpaši paredzēti pusaudžiem.</w:t>
      </w:r>
    </w:p>
    <w:p w:rsidR="00F967A2" w:rsidRDefault="00F967A2" w:rsidP="00F967A2">
      <w:pPr>
        <w:pStyle w:val="ParaNo"/>
        <w:numPr>
          <w:ilvl w:val="0"/>
          <w:numId w:val="0"/>
        </w:numPr>
        <w:spacing w:after="0"/>
        <w:ind w:left="1"/>
        <w:jc w:val="both"/>
        <w:rPr>
          <w:noProof/>
        </w:rPr>
      </w:pPr>
    </w:p>
    <w:p w:rsidR="007A4A64" w:rsidRPr="00F967A2" w:rsidRDefault="00F967A2" w:rsidP="00F967A2">
      <w:pPr>
        <w:pStyle w:val="ParaNo"/>
        <w:numPr>
          <w:ilvl w:val="0"/>
          <w:numId w:val="0"/>
        </w:numPr>
        <w:spacing w:after="0"/>
        <w:ind w:left="1"/>
        <w:jc w:val="both"/>
        <w:rPr>
          <w:noProof/>
        </w:rPr>
      </w:pPr>
      <w:r>
        <w:t>15. Komiteja uzsver to, cik nozīmīga ir ģimenes vide, tostarp paplašinātās ģimenes locekļi, un sabiedrība vai citas par bērnu vai pusaudzi tiesiski atbildīgas personas  (5. un 18. pants). Lai gan vairums pusaudžu uzaug labi funkcionējošā ģimenē, dažiem ģimene nav droša un atbalstoša vide.</w:t>
      </w:r>
    </w:p>
    <w:p w:rsidR="00F967A2" w:rsidRDefault="00F967A2" w:rsidP="00F967A2">
      <w:pPr>
        <w:pStyle w:val="ParaNo"/>
        <w:numPr>
          <w:ilvl w:val="0"/>
          <w:numId w:val="0"/>
        </w:numPr>
        <w:spacing w:after="0"/>
        <w:ind w:left="1"/>
        <w:jc w:val="both"/>
        <w:rPr>
          <w:noProof/>
        </w:rPr>
      </w:pPr>
    </w:p>
    <w:p w:rsidR="007A4A64" w:rsidRPr="00F967A2" w:rsidRDefault="00F967A2" w:rsidP="00F967A2">
      <w:pPr>
        <w:pStyle w:val="ParaNo"/>
        <w:numPr>
          <w:ilvl w:val="0"/>
          <w:numId w:val="0"/>
        </w:numPr>
        <w:spacing w:after="0"/>
        <w:ind w:left="1"/>
        <w:jc w:val="both"/>
        <w:rPr>
          <w:noProof/>
        </w:rPr>
      </w:pPr>
      <w:r>
        <w:t xml:space="preserve">16. Komiteja aicina Konvencijas dalībvalstis izstrādāt un atbilstoši pusaudžu attīstības pakāpei īstenot tiesību aktus, politikas nostādnes un programmas, lai veicinātu pusaudžu veselību un attīstību, un šajā saistībā a) nodrošināt vecākiem (vai likumīgiem aizbildņiem) vajadzīgo palīdzību, izveidojot iestādes, aprīkojumu un pakalpojumus, kas var atbilstoši stiprināt pusaudža labklājību, tostarp vajadzības gadījumā nodrošināt viņiem materiālo palīdzību un atbalstu attiecībā uz uzturu, apģērbu un mājokli (27. panta 3. punkts); b) nodrošināt pietiekamu informāciju un atbalstu vecākiem, lai veicinātu uzticības un paļāvības pilnu attiecību izveidi, kas ļautu tādus jautājumus kā seksualitāte, seksuālā uzvedība un riskants dzīvesveids atklāti apspriest un rast pieņemamus risinājumus, kuros respektē pusaudža tiesības (27. panta 3. punkts); c) nodrošināt pusaugu mātēm un tēviem atbalstu un padomus gan viņu pašu, gan viņu bērnu labklājības sekmēšanai (24. panta 2. punkta f) apakšpunkts, 27. panta 2. un 3. punkts); d) ievērojot etnisko un citu minoritāšu vērtības un normas, pievērst īpašu uzmanību, sniegt padomus un atbalstu tiem pusaudžiem un vecākiem (vai likumīgajiem aizbildņiem), kuru tradīcijas un normas var atšķirties no tām, kas valda sabiedrībā, kurā viņi dzīvo, un e) nodrošināt, ka iejaukšanās ģimenes dzīvē nolūkā aizsargāt pusaudzi un vajadzības gadījumā šķirt viņu no ģimenes, piemēram, ļaunprātīgas izmantošanas vai nevērīgas izturēšanās </w:t>
      </w:r>
      <w:r>
        <w:lastRenderedPageBreak/>
        <w:t>gadījumā, notiek saskaņā ar piemērojamiem tiesību aktiem un procedūrām. Šādi tiesību akti un procedūras ir jāpārskata, lai nodrošinātu, ka tie atbilst Konvencijas principiem.</w:t>
      </w:r>
    </w:p>
    <w:p w:rsidR="00F967A2" w:rsidRDefault="00F967A2" w:rsidP="00F967A2">
      <w:pPr>
        <w:pStyle w:val="ParaNo"/>
        <w:numPr>
          <w:ilvl w:val="0"/>
          <w:numId w:val="0"/>
        </w:numPr>
        <w:spacing w:after="0"/>
        <w:ind w:left="1"/>
        <w:jc w:val="both"/>
        <w:rPr>
          <w:noProof/>
        </w:rPr>
      </w:pPr>
    </w:p>
    <w:p w:rsidR="007A4A64" w:rsidRPr="00F967A2" w:rsidRDefault="00F967A2" w:rsidP="00F967A2">
      <w:pPr>
        <w:pStyle w:val="ParaNo"/>
        <w:numPr>
          <w:ilvl w:val="0"/>
          <w:numId w:val="0"/>
        </w:numPr>
        <w:spacing w:after="0"/>
        <w:ind w:left="1"/>
        <w:jc w:val="both"/>
        <w:rPr>
          <w:noProof/>
        </w:rPr>
      </w:pPr>
      <w:r>
        <w:t>17. Daudzu pusaudžu dzīvē svarīga nozīme ir skolai, jo tā ir mācību, pilnveidošanās un socializēšanās vieta. Konvencijas 29. panta 1. punktā ir teikts, ka izglītībai jābūt virzītai tā, lai palīdzētu “attīstīt bērna personību, pilnībā izkopt viņa talantus, kā arī garīgās un fiziskās spējas”. Turklāt vispārējā komentārā Nr. 1, kas veltīts izglītības mērķiem, ir noteikts: “Izglītībai jābūt vērstai arī uz to, lai katrs bērns (..) pēc skolas beigšanas būtu gatavs risināt problēmas, ar kurām iespējams sastapties dzīves laikā.</w:t>
      </w:r>
      <w:r w:rsidR="00D82788">
        <w:t xml:space="preserve"> </w:t>
      </w:r>
      <w:r>
        <w:t>Pamatprasmes ir (..) arī tādas dzīves prasmes kā, piemēram, spēja pieņemt līdzsvarotus lēmumus, nevardarbīgi atrisināt konfliktus un ievērot veselīgu dzīvesveidu, dibināt labas sociālās attiecības (..)”. Ņemot vērā to, ka piemērota izglītība ir ļoti svarīga pusaudžu, kā arī viņu bērnu pašreizējās un turpmākās veselības un attīstības sekmēšanai, komiteja mudina Konvencijas dalībvalstis saskaņā ar Konvencijas 28. un 29. pantu a) nodrošināt, ka kvalitatīva sākumskola ir obligāts nosacījums un brīvi pieejama un sasniedzama ikvienam un ka pamatskolas un vidusskolas izglītība ir pieejama un iespējama ikvienam pusaudzim; b) nodrošināt labi funkcionējošas skolu telpas un atpūtas un izklaides vietas, kas nerada risku skolēniem, tostarp nodrošināt ūdens apgādi un sanitāriju, kā arī drošu nokļūšanu uz skolu; c) veikt nepieciešamos pasākumus, lai novērstu un aizliegtu iespēju, ka skolas personāls, kā arī skolēni savā starpā pieļauj jebkādu vardarbību un ļaunprātīgu izmantošanu, tostarp seksuālu izmantošanu, miesas sodus un citu necilvēcīgu, pazemojošu vai cieņu aizskarošu izturēšanos vai sodu skolā; d) ierosināt un atbalstīt pasākumus, attieksmi un darbības, kas sekmē veselīgu dzīvesveidu, tostarp iekļaut atbilstošus tematus mācību programmā.</w:t>
      </w:r>
    </w:p>
    <w:p w:rsidR="00F967A2" w:rsidRDefault="00F967A2" w:rsidP="00F967A2">
      <w:pPr>
        <w:pStyle w:val="ParaNo"/>
        <w:numPr>
          <w:ilvl w:val="0"/>
          <w:numId w:val="0"/>
        </w:numPr>
        <w:spacing w:after="0"/>
        <w:ind w:left="1"/>
        <w:jc w:val="both"/>
        <w:rPr>
          <w:noProof/>
        </w:rPr>
      </w:pPr>
    </w:p>
    <w:p w:rsidR="007A4A64" w:rsidRPr="00F967A2" w:rsidRDefault="00F967A2" w:rsidP="00F967A2">
      <w:pPr>
        <w:pStyle w:val="ParaNo"/>
        <w:numPr>
          <w:ilvl w:val="0"/>
          <w:numId w:val="0"/>
        </w:numPr>
        <w:spacing w:after="0"/>
        <w:ind w:left="1"/>
        <w:jc w:val="both"/>
        <w:rPr>
          <w:noProof/>
        </w:rPr>
      </w:pPr>
      <w:r>
        <w:t>18. Arvien palielinās to jauniešu skaits, kas pusaudža vecumā pamet mācības, lai sāktu strādāt un palīdzētu atbalstīt savu ģimeni vai vienkārši strādātu algotu darbu oficiālajā vai neoficiālajā sektorā. Nodarbinātība, kas tiek īstenota saskaņā ar starptautiskajiem standartiem, var labvēlīgi ietekmēt pusaudža attīstību, ja vien tiek ievērotas visas pusaudžu tiesības, tostarp tiesības uz veselību un izglītību. Komiteja mudina Konvencijas dalībvalstis veikt visus nepieciešamos pasākumus, lai likvidētu bērnu darbu jebkādā formā, jo īpaši tā smagākās formas, un lai pastāvīgi pārskatītu valsts tiesību aktus attiecībā uz minimālo darba algu un nodrošinātu to atbilstību starptautiskajiem standartiem, kā arī reglamentētu darba vidi un nosacījumus strādājošiem pusaudžiem (saskaņā ar Konvencijas 32. pantu, kā arī SDO Konvenciju Nr. 138 un Nr. 182), tādējādi garantējot, ka viņi ir pilnīgi aizsargāti un viņiem ir piekļuve likumīgiem tiesiskās aizsardzības mehānismiem.</w:t>
      </w:r>
    </w:p>
    <w:p w:rsidR="00F967A2" w:rsidRDefault="00F967A2" w:rsidP="00F967A2">
      <w:pPr>
        <w:pStyle w:val="ParaNo"/>
        <w:numPr>
          <w:ilvl w:val="0"/>
          <w:numId w:val="0"/>
        </w:numPr>
        <w:spacing w:after="0"/>
        <w:ind w:left="1"/>
        <w:jc w:val="both"/>
        <w:rPr>
          <w:noProof/>
        </w:rPr>
      </w:pPr>
    </w:p>
    <w:p w:rsidR="007A4A64" w:rsidRPr="00F967A2" w:rsidRDefault="00F967A2" w:rsidP="00F967A2">
      <w:pPr>
        <w:pStyle w:val="ParaNo"/>
        <w:numPr>
          <w:ilvl w:val="0"/>
          <w:numId w:val="0"/>
        </w:numPr>
        <w:spacing w:after="0"/>
        <w:ind w:left="1"/>
        <w:jc w:val="both"/>
        <w:rPr>
          <w:noProof/>
        </w:rPr>
      </w:pPr>
      <w:r>
        <w:t>19. Komiteja arī uzsver, ka saskaņā ar Konvencijas 23. panta 3. punktu ir jāņem vērā īpašās tiesības, kas noteiktas pusaudžiem ar invaliditāti, un jānodrošina vajadzīgā palīdzība, lai bērnam/pusaudzim ar invaliditāti būtu reālas iespējas saņemt un viņš arī saņemtu kvalitatīvu izglītību. Dalībvalstīm ir jāatzīst, ka parastajās skolās, kurās vien tas ir iespējams, ir jāievēro princips, kas nosaka, ka bērniem/pusaudžiem ar garīgiem vai fiziskiem traucējumiem jābūt vienlīd</w:t>
      </w:r>
      <w:r w:rsidR="00595B32">
        <w:t>zīgām iespējām iegūt pamatskolas</w:t>
      </w:r>
      <w:r>
        <w:t xml:space="preserve">, </w:t>
      </w:r>
      <w:r w:rsidR="00595B32">
        <w:t>vidusskolas</w:t>
      </w:r>
      <w:r>
        <w:t xml:space="preserve"> un terciāro izglītību.</w:t>
      </w:r>
    </w:p>
    <w:p w:rsidR="00F967A2" w:rsidRDefault="00F967A2" w:rsidP="00F967A2">
      <w:pPr>
        <w:pStyle w:val="ParaNo"/>
        <w:numPr>
          <w:ilvl w:val="0"/>
          <w:numId w:val="0"/>
        </w:numPr>
        <w:spacing w:after="0"/>
        <w:ind w:left="1"/>
        <w:jc w:val="both"/>
        <w:rPr>
          <w:noProof/>
        </w:rPr>
      </w:pPr>
    </w:p>
    <w:p w:rsidR="007A4A64" w:rsidRPr="00F967A2" w:rsidRDefault="00F967A2" w:rsidP="00F967A2">
      <w:pPr>
        <w:pStyle w:val="ParaNo"/>
        <w:numPr>
          <w:ilvl w:val="0"/>
          <w:numId w:val="0"/>
        </w:numPr>
        <w:spacing w:after="0"/>
        <w:ind w:left="1"/>
        <w:jc w:val="both"/>
        <w:rPr>
          <w:noProof/>
        </w:rPr>
      </w:pPr>
      <w:r>
        <w:t xml:space="preserve">20. Komiteja pauž bažas, ka agrīnas laulības un grūtniecība ir būtiski faktori, kas izraisa ar seksuālo un reproduktīvo veselību saistītas veselības problēmas, tostarp HIV/AIDS. Vairākās dalībvalstīs joprojām ir ļoti zems gan likumīgi noteiktais laulājamo minimālais vecums, gan faktiskais vecums, kurā tiek noslēgtas laulības, jo īpaši attiecībā uz meitenēm. Šajā saistībā rodas arī problēmas, kas neattiecas uz veselību, proti, bērniem, kas apprecas, jo īpaši meitenēm, parasti ir jāpamet izglītības sistēma, un viņi tiek atstumti no sociāli aktīvas dzīves. Turklāt dažās Konvencijas dalībvalstīs laulāti bērni tiek juridiski uzskatīti par pieaugušajiem, pat ja nav sasnieguši 18 gadu vecumu, tādējādi viņiem tiek liegta iespēja saņemt īpašos aizsardzības </w:t>
      </w:r>
      <w:r>
        <w:lastRenderedPageBreak/>
        <w:t>pasākumus, uz kuriem viņiem ir tiesības saskaņā ar Konvenciju. Komiteja stingri iesaka Konvencijas dalībvalstīm pārskatīt tiesību aktus un vajadzības gadījumā veikt reformas likumdošanā, lai paaugstinātu laulājamo – gan zēnu, gan meiteņu – minimālo vecumu līdz 18 gadiem neatkarīgi no tā, vai tam piekrīt viņu vecāki. Līdzīgu ieteikumu ir sniegusi Sieviešu diskriminācijas izskaušanas komiteja (Vispārējais komentārs Nr. 21, 1994. gads).</w:t>
      </w:r>
    </w:p>
    <w:p w:rsidR="00F967A2" w:rsidRDefault="00F967A2" w:rsidP="00F967A2">
      <w:pPr>
        <w:pStyle w:val="ParaNo"/>
        <w:numPr>
          <w:ilvl w:val="0"/>
          <w:numId w:val="0"/>
        </w:numPr>
        <w:spacing w:after="0"/>
        <w:ind w:left="1"/>
        <w:jc w:val="both"/>
        <w:rPr>
          <w:noProof/>
        </w:rPr>
      </w:pPr>
    </w:p>
    <w:p w:rsidR="007A4A64" w:rsidRPr="00F967A2" w:rsidRDefault="00F967A2" w:rsidP="00F967A2">
      <w:pPr>
        <w:pStyle w:val="ParaNo"/>
        <w:numPr>
          <w:ilvl w:val="0"/>
          <w:numId w:val="0"/>
        </w:numPr>
        <w:spacing w:after="0"/>
        <w:ind w:left="1"/>
        <w:jc w:val="both"/>
        <w:rPr>
          <w:noProof/>
        </w:rPr>
      </w:pPr>
      <w:r>
        <w:t>21. Vairumā valstu pusaudžu nāves vai pastāvīgas invaliditātes galvenais cēlonis ir negadījuma izraisīti savainojumi vai vardarbības radītas traumas. Šajā saistībā komitejas pauž bažas par to, ka ceļu satiksmes negadījumu rezultātā gūto traumu un nāves gadījumu īpatsvars pusaudžu vidū ir nesamērīgi liels. Konvencijas dalībvalstīm būtu jāpieņem un jāīsteno tiesību akti un programmas, lai uzlabotu ceļu satiksmes drošību, tostarp jāizstrādā autovadītāju mācību kursi un zināšanu pārbaude pusaudžiem, kā arī jāpieņem vai jāpastiprina tādi tiesību akti, kuriem ir pierādīti augsta, labvēlīga ietekme, piemēram, noteikumi, kas paredz derīgas autovadītāja apliecības nepieciešamību, prasību lietot drošības jostas un aizsargķiveres, kā arī noteikt gājējiem paredzētas zonas.</w:t>
      </w:r>
    </w:p>
    <w:p w:rsidR="00F967A2" w:rsidRDefault="00F967A2" w:rsidP="00F967A2">
      <w:pPr>
        <w:pStyle w:val="ParaNo"/>
        <w:numPr>
          <w:ilvl w:val="0"/>
          <w:numId w:val="0"/>
        </w:numPr>
        <w:spacing w:after="0"/>
        <w:ind w:left="1"/>
        <w:jc w:val="both"/>
        <w:rPr>
          <w:noProof/>
        </w:rPr>
      </w:pPr>
    </w:p>
    <w:p w:rsidR="007A4A64" w:rsidRPr="00F967A2" w:rsidRDefault="00F967A2" w:rsidP="00F967A2">
      <w:pPr>
        <w:pStyle w:val="ParaNo"/>
        <w:numPr>
          <w:ilvl w:val="0"/>
          <w:numId w:val="0"/>
        </w:numPr>
        <w:spacing w:after="0"/>
        <w:ind w:left="1"/>
        <w:jc w:val="both"/>
        <w:rPr>
          <w:noProof/>
        </w:rPr>
      </w:pPr>
      <w:r>
        <w:t>22. Komitejai lielas bažas raisa arī pašnāvību augstais skaits šajā vecuma grupā. Garīgās veselības traucējumi un psihosociālo problēmu izraisīta saslimšana ir diezgan izplatītas parādības pusaudžu vidū. Daudzās valstīs palielinās tādu simptomu skaits kā depresija, ēšanas traucējumi un pašiznīcinoša uzvedība, kas reizēm noved līdz pašizraisītiem savainojumiem un pašnāvības. Tie cita starpā var būt sekas vardarbībai, sliktai attieksmei, nevērīgas izturēšanās gadījumiem, ļaunprātīgai izmantošanai, tostarp seksuālai izmantošanai, nepamatoti augstām cerībām un/vai iebiedēšanai vai fiziskai un psiholoģiskai pazemošanai skolā vai ārpus tās. Konvencijas dalībvalstīm jānodrošina šiem pusaudžiem visi nepieciešamie pakalpojumi.</w:t>
      </w:r>
    </w:p>
    <w:p w:rsidR="00F967A2" w:rsidRDefault="00F967A2" w:rsidP="00F967A2">
      <w:pPr>
        <w:pStyle w:val="ParaNo"/>
        <w:numPr>
          <w:ilvl w:val="0"/>
          <w:numId w:val="0"/>
        </w:numPr>
        <w:spacing w:after="0"/>
        <w:ind w:left="1"/>
        <w:jc w:val="both"/>
        <w:rPr>
          <w:noProof/>
        </w:rPr>
      </w:pPr>
    </w:p>
    <w:p w:rsidR="007A4A64" w:rsidRPr="00F967A2" w:rsidRDefault="00F967A2" w:rsidP="00F967A2">
      <w:pPr>
        <w:pStyle w:val="ParaNo"/>
        <w:numPr>
          <w:ilvl w:val="0"/>
          <w:numId w:val="0"/>
        </w:numPr>
        <w:spacing w:after="0"/>
        <w:ind w:left="1"/>
        <w:jc w:val="both"/>
        <w:rPr>
          <w:noProof/>
        </w:rPr>
      </w:pPr>
      <w:r>
        <w:t>23. Vardarbība ir rezultāts konkrētā indivīda, ģimenes, sabiedrības un sociālo faktoru sarežģītai mijiedarbībai. Neaizsargāti pusaudži, pie</w:t>
      </w:r>
      <w:r w:rsidR="00595B32">
        <w:t>mēram, bezpajumtnieki vai tie, kas dzīvo institūcijās</w:t>
      </w:r>
      <w:r>
        <w:t>, noziedzīgos grupējumos iesaistītie vai bērni, kas savervēti kā kareivji, ir īpaši pakļauti gan institucionālai, gan savstarpējai vardarbībai. Saskaņā ar Konvencijas 19. pantu dalībvalstīm ir jāveic visi vajadzīgie pasākumi</w:t>
      </w:r>
      <w:r>
        <w:rPr>
          <w:b/>
          <w:noProof/>
          <w:vertAlign w:val="superscript"/>
        </w:rPr>
        <w:endnoteReference w:id="4"/>
      </w:r>
      <w:r>
        <w:t>, lai novērstu un izskaustu a) institucionālo vardarbību pret pusaudžiem, tostarp jāveic likumdošanas un administratīvie pasākumi attiecība uz publiskām un privātām iestādēm, kurās uzturas pusaudži (skolām, iestādēm, kas paredzētas pusaudžiem ar garīgiem vai fiziskiem traucējumiem, jauniešu pāraudzināšanas iestādēm u. c.), un jāizglīto un jāpārrauga darbinieki, kas ir atbildīgi par bērniem, kuri atrodas aprūpes iestādēs, vai kam jebkādā citā veidā ir saskare ar bērniem savu darba pienākumu izpildē, tostarp strādājot policijā, un b) pusaudžu savstarpējo vardarbību, tostarp jāpalīdz vecākiem nodrošināt atbilstošu audzināšanu un iespējas sociālai un izglītojošai attīstībai agrīnā bērnībā, jāveicina nevardarbīgas kultūras normas un vērtības (kā paredzēts Konvencijas 29. pantā), stingri kontrolējot ieroču apriti un ierobežojot piekļuvi alkoholam un narkotikām.</w:t>
      </w:r>
    </w:p>
    <w:p w:rsidR="00F967A2" w:rsidRDefault="00F967A2" w:rsidP="00F967A2">
      <w:pPr>
        <w:pStyle w:val="ParaNo"/>
        <w:numPr>
          <w:ilvl w:val="0"/>
          <w:numId w:val="0"/>
        </w:numPr>
        <w:spacing w:after="0"/>
        <w:ind w:left="1"/>
        <w:jc w:val="both"/>
        <w:rPr>
          <w:noProof/>
        </w:rPr>
      </w:pPr>
    </w:p>
    <w:p w:rsidR="007A4A64" w:rsidRPr="00F967A2" w:rsidRDefault="00F967A2" w:rsidP="00F967A2">
      <w:pPr>
        <w:pStyle w:val="ParaNo"/>
        <w:numPr>
          <w:ilvl w:val="0"/>
          <w:numId w:val="0"/>
        </w:numPr>
        <w:spacing w:after="0"/>
        <w:ind w:left="1"/>
        <w:jc w:val="both"/>
        <w:rPr>
          <w:noProof/>
        </w:rPr>
      </w:pPr>
      <w:r>
        <w:t>24. Ņemot vērā Konvencijas 3., 6., 12., 19. pantu un 24. panta 3. punktu, Konvencijas dalībvalstīm ir jāveic efektīvi pasākumi, lai novērstu jebkādu rīcību un darbības, kas apdraud pusaudža tiesības uz dzīvību, tostarp jāaizliedz tā sauktās goda slepkavības. Komiteja stingri uzstāj, lai Konvencijas dalībvalstis izstrādātu un ieviestu izpratnes veicināšanas kampaņas, izglītības programmas un tiesību aktus, kuru mērķis ir mainīt dominējošo attieksmi, un pievērstos jautājumiem par dzimumu lomu un stereotipiem, jo tie veicina kaitīgas tradicionālās ieražas. Papildus tam Konvencijas dalībvalstīm ir jāsekmē daudznozaru informācijas un konsultāciju centru izveide, kuri izglītotu par dažu tradicionālo ieražu kaitīgumu, tostarp attiecībā uz agrīnām laulībām un sieviešu dzimumorgānu kropļošanu.</w:t>
      </w:r>
    </w:p>
    <w:p w:rsidR="00F967A2" w:rsidRDefault="00F967A2" w:rsidP="00F967A2">
      <w:pPr>
        <w:pStyle w:val="ParaNo"/>
        <w:numPr>
          <w:ilvl w:val="0"/>
          <w:numId w:val="0"/>
        </w:numPr>
        <w:spacing w:after="0"/>
        <w:ind w:left="1"/>
        <w:jc w:val="both"/>
        <w:rPr>
          <w:noProof/>
        </w:rPr>
      </w:pPr>
    </w:p>
    <w:p w:rsidR="007A4A64" w:rsidRDefault="00F967A2" w:rsidP="00F967A2">
      <w:pPr>
        <w:pStyle w:val="ParaNo"/>
        <w:numPr>
          <w:ilvl w:val="0"/>
          <w:numId w:val="0"/>
        </w:numPr>
        <w:spacing w:after="0"/>
        <w:ind w:left="1"/>
        <w:jc w:val="both"/>
        <w:rPr>
          <w:noProof/>
        </w:rPr>
      </w:pPr>
      <w:r>
        <w:lastRenderedPageBreak/>
        <w:t>25. Komitejai ir norūpējusies par to, ka neveselīgu produktu tirdzniecība un neveselīga dzīvesveida reklamēšana ietekmē pusaudžu izpratni par veselīgiem ieradumiem. Saskaņā ar Konvencijas 17. pantu Konvencijas dalībvalstis tiek mudinātas aizsargāt pusaudžus no informācijas, kas ir kaitīga viņu veselībai un attīstībai, bet vienlaikus nemazināt viņu tiesības piekļūt informācijai un materiāliem no dažādiem vietējiem un starptautiskiem avotiem. Tāpēc Konvencijas dalībvalstis tiek mudinātas reglamentēt vai aizliegt informācijas sniegšanu par tādām vielām kā alkohols un tabaka un šādu vielu tirgošanu, jo īpaši, ja tās tiek mērķtiecīgi vērstas uz bērnu un pusaudžu auditoriju</w:t>
      </w:r>
      <w:r>
        <w:rPr>
          <w:rStyle w:val="Beiguvresatsauce"/>
          <w:noProof/>
        </w:rPr>
        <w:endnoteReference w:id="5"/>
      </w:r>
      <w:r>
        <w:t>.</w:t>
      </w:r>
    </w:p>
    <w:p w:rsidR="00F967A2" w:rsidRPr="00F967A2" w:rsidRDefault="00F967A2" w:rsidP="00F967A2">
      <w:pPr>
        <w:pStyle w:val="ParaNo"/>
        <w:numPr>
          <w:ilvl w:val="0"/>
          <w:numId w:val="0"/>
        </w:numPr>
        <w:spacing w:after="0"/>
        <w:ind w:left="1"/>
        <w:jc w:val="both"/>
        <w:rPr>
          <w:noProof/>
        </w:rPr>
      </w:pPr>
    </w:p>
    <w:p w:rsidR="007A4A64" w:rsidRPr="00F967A2" w:rsidRDefault="00F967A2" w:rsidP="00F967A2">
      <w:pPr>
        <w:pStyle w:val="Virsraksts1"/>
        <w:keepNext w:val="0"/>
        <w:spacing w:after="0"/>
        <w:rPr>
          <w:noProof/>
        </w:rPr>
      </w:pPr>
      <w:r>
        <w:t>III. Informācija, prasmju pilnveide, padomdošana un veselības aprūpes pakalpojumi</w:t>
      </w:r>
    </w:p>
    <w:p w:rsidR="00F967A2" w:rsidRDefault="00F967A2" w:rsidP="00F967A2">
      <w:pPr>
        <w:pStyle w:val="ParaNo"/>
        <w:numPr>
          <w:ilvl w:val="0"/>
          <w:numId w:val="0"/>
        </w:numPr>
        <w:spacing w:after="0"/>
        <w:ind w:left="1"/>
        <w:jc w:val="both"/>
        <w:rPr>
          <w:noProof/>
        </w:rPr>
      </w:pPr>
    </w:p>
    <w:p w:rsidR="007A4A64" w:rsidRPr="00F967A2" w:rsidRDefault="00F967A2" w:rsidP="00F967A2">
      <w:pPr>
        <w:pStyle w:val="ParaNo"/>
        <w:numPr>
          <w:ilvl w:val="0"/>
          <w:numId w:val="0"/>
        </w:numPr>
        <w:spacing w:after="0"/>
        <w:ind w:left="1"/>
        <w:jc w:val="both"/>
        <w:rPr>
          <w:noProof/>
        </w:rPr>
      </w:pPr>
      <w:r>
        <w:t>26. Pusaudžiem ir tiesības piekļūt piemērotai informācijai, kas ir būtiska viņu veselībai un attīstībai un viņu spējai jēgpilni iesaistīties sabiedrības dzīvē. Konvencijas dalībvalstīm ir pienākums nodrošināt, ka visiem pusaudžiem – zēniem un meitenēm – gan skolā, gan ārpus tās tiek sniegta un netiek aizliegta precīza un piemērota informācija par to, kā aizsargāt savu veselību un veidot un praktizēt veselīgus ieradumus. Šādai informācijai cita starpā jāaptver jautājumi par tabakas, alkohola un citu vielu lietošanu un to kaitīgumu, drošu un cieņpilnu sociālo un seksuālo uzvedību, ēšanas paradumiem un fiziskām aktivitātēm.</w:t>
      </w:r>
    </w:p>
    <w:p w:rsidR="00F967A2" w:rsidRDefault="00F967A2" w:rsidP="00F967A2">
      <w:pPr>
        <w:pStyle w:val="ParaNo"/>
        <w:numPr>
          <w:ilvl w:val="0"/>
          <w:numId w:val="0"/>
        </w:numPr>
        <w:spacing w:after="0"/>
        <w:ind w:left="1"/>
        <w:jc w:val="both"/>
        <w:rPr>
          <w:noProof/>
        </w:rPr>
      </w:pPr>
    </w:p>
    <w:p w:rsidR="007A4A64" w:rsidRPr="00F967A2" w:rsidRDefault="00F967A2" w:rsidP="00F967A2">
      <w:pPr>
        <w:pStyle w:val="ParaNo"/>
        <w:numPr>
          <w:ilvl w:val="0"/>
          <w:numId w:val="0"/>
        </w:numPr>
        <w:spacing w:after="0"/>
        <w:ind w:left="1"/>
        <w:jc w:val="both"/>
        <w:rPr>
          <w:noProof/>
        </w:rPr>
      </w:pPr>
      <w:r>
        <w:t>27. Lai rīkotos atbilstoši apgūtai informācijai, pusaudžiem ir jāpilnveido nepieciešamās prasmes, tostarp prasme rūpēties par sevi, piemēram, kā plānot un pagatavot uzturvielām sabalansētu maltīti un veidot personīgās higiēnas ieradumus, kā arī prasmes noteiktu sociālo situāciju risināšanai, piemēram, kā veidot savstarpējo komunikāciju, pieņemt lēmumus un tikt galā ar stresu un konfliktiem. Konvencijas dalībvalstīm ir jāstimulē un jāatbalsta iespējas šādu prasmju apguvei un šajā nolūkā cita starpā jāizmanto formālā un neformālā izglītība un mācību programmas, jaunatnes organizācijas un plašsaziņas līdzekļi.</w:t>
      </w:r>
    </w:p>
    <w:p w:rsidR="00F967A2" w:rsidRDefault="00F967A2" w:rsidP="00F967A2">
      <w:pPr>
        <w:pStyle w:val="ParaNo"/>
        <w:numPr>
          <w:ilvl w:val="0"/>
          <w:numId w:val="0"/>
        </w:numPr>
        <w:spacing w:after="0"/>
        <w:ind w:left="1"/>
        <w:jc w:val="both"/>
        <w:rPr>
          <w:noProof/>
        </w:rPr>
      </w:pPr>
    </w:p>
    <w:p w:rsidR="007A4A64" w:rsidRPr="00F967A2" w:rsidRDefault="00F967A2" w:rsidP="00F967A2">
      <w:pPr>
        <w:pStyle w:val="ParaNo"/>
        <w:numPr>
          <w:ilvl w:val="0"/>
          <w:numId w:val="0"/>
        </w:numPr>
        <w:spacing w:after="0"/>
        <w:ind w:left="1"/>
        <w:jc w:val="both"/>
        <w:rPr>
          <w:noProof/>
        </w:rPr>
      </w:pPr>
      <w:r>
        <w:t>28. Ņemot vērā Konvencijas 3., 17. un 24. pantu, dalībvalstīm jānodrošina pusaudžiem piekļuve informācijai par seksuālo un reproduktīvo veselību, tostarp par ģimenes plānošanu un kontracepciju, draudiem, ko rada agrīna grūtniecība, izsargāšanos no HIV/AIDS un izsargāšanos no seksuāli transmisīvām slimībām (STS) un to ārstēšanu. Turklāt Konvencijas dalībvalstīm jānodrošina, ka pusaudžiem ir piekļuve piemērotai informācijai neatkarīgi no viņu ģimenes stāvokļa un vecāku vai aizbildņu piekrišanas. Ir ļoti būtiski atrast pareizos līdzekļus un metodes, kā sniegt informāciju, kas ir piemērota un pietiekami jutīgi pievēršas pusaugu meiteņu un zēnu īpatnībām un īpašajām tiesībām. Šajā saistībā Konvencijas dalībvalstis tiek mudinātas nodrošināt, ka pusaudži tiek aktīvi iesaistīti informācijas sagatavošanā un izplatīšanā, izmantojot dažādus kanālus, ne tikai skolu – piemēram, jaunatnes organizācijas, reliģiskas organizācijas, vietējo sabiedrību un citas grupas, kā arī plašsaziņas līdzekļus.</w:t>
      </w:r>
    </w:p>
    <w:p w:rsidR="00F967A2" w:rsidRDefault="00F967A2" w:rsidP="00F967A2">
      <w:pPr>
        <w:pStyle w:val="ParaNo"/>
        <w:numPr>
          <w:ilvl w:val="0"/>
          <w:numId w:val="0"/>
        </w:numPr>
        <w:spacing w:after="0"/>
        <w:ind w:left="1"/>
        <w:jc w:val="both"/>
        <w:rPr>
          <w:noProof/>
        </w:rPr>
      </w:pPr>
    </w:p>
    <w:p w:rsidR="007A4A64" w:rsidRPr="00F967A2" w:rsidRDefault="00F967A2" w:rsidP="00F967A2">
      <w:pPr>
        <w:pStyle w:val="ParaNo"/>
        <w:numPr>
          <w:ilvl w:val="0"/>
          <w:numId w:val="0"/>
        </w:numPr>
        <w:spacing w:after="0"/>
        <w:ind w:left="1"/>
        <w:jc w:val="both"/>
        <w:rPr>
          <w:noProof/>
        </w:rPr>
      </w:pPr>
      <w:r>
        <w:t xml:space="preserve">29. Saskaņā ar Konvencijas 24. pantu dalībvalstis tiek mudinātas nodrošināt  piemērotus ārstniecības un rehabilitācijas pakalpojumus pusaudžiem ar garīgās veselības traucējumiem, sniegt sabiedrībai izpratni par šādas saslimšanas agrīnajām pazīmēm, simptomiem un nopietnību, kā arī aizsargāt pusaudžus no nevajadzīga psiholoģiskā spiediena, tostarp psihosociālā stresa. Atbilstoši 2. pantā izvirzītajiem pienākumiem Konvencijas dalībvalstis tiek arī mudinātas cīnīties pret diskrimināciju un nicinošu attieksmi saistībā ar garīgās veselības traucējumiem. Jebkuram pusaudzim ar garīgās veselības traucējumiem ir tiesības tik ārstētam un aprūpētam, cik tas ir iespējams, savas dzīvesvietas kopienā. Ja ir nepieciešama hospitalizācija vai ievietošana psihiatriskā iestādē, šāds lēmums ir jāpieņem saskaņā ar principu, kas prasa prioritāri ņemt vērā bērna intereses. Hospitalizācijas un ievietošanas iestādē gadījumā jānodrošina, lai pacientam būtu maksimāli iespējams izmantot savas Konvencijā </w:t>
      </w:r>
      <w:r>
        <w:lastRenderedPageBreak/>
        <w:t>paredzētās tiesības, tostarp tiesības uz izglītību un tiesības piedalīties izklaides pasākumos.</w:t>
      </w:r>
      <w:r>
        <w:rPr>
          <w:rStyle w:val="Beiguvresatsauce"/>
          <w:noProof/>
        </w:rPr>
        <w:endnoteReference w:id="6"/>
      </w:r>
      <w:r>
        <w:t xml:space="preserve"> Vajadzības gadījumā pusaudži jānošķir no pieaugušajiem. Konvencijas dalībvalstīm jānodrošina, ka pusaudzim ir iespējams sazināties ar savu personīgo pārstāvi, kas nav ģimenes loceklis un kas vajadzības gadījumā pārstāv viņa intereses.</w:t>
      </w:r>
      <w:r>
        <w:rPr>
          <w:rStyle w:val="Beiguvresatsauce"/>
          <w:noProof/>
          <w:shd w:val="clear" w:color="auto" w:fill="FFFFFF"/>
        </w:rPr>
        <w:endnoteReference w:id="7"/>
      </w:r>
      <w:r>
        <w:t xml:space="preserve"> Saskaņā ar Konvencijas 25. pantu dalībvalstīm ir periodiski jāpārbauda apstākļi, pamatojoties uz kuriem pusaudzis ir ievietots slimnīcā vai psihiatriskā iestādē.</w:t>
      </w:r>
    </w:p>
    <w:p w:rsidR="00F967A2" w:rsidRDefault="00F967A2" w:rsidP="00F967A2">
      <w:pPr>
        <w:pStyle w:val="ParaNo"/>
        <w:numPr>
          <w:ilvl w:val="0"/>
          <w:numId w:val="0"/>
        </w:numPr>
        <w:spacing w:after="0"/>
        <w:ind w:left="1"/>
        <w:jc w:val="both"/>
        <w:rPr>
          <w:noProof/>
        </w:rPr>
      </w:pPr>
    </w:p>
    <w:p w:rsidR="007A4A64" w:rsidRPr="00F967A2" w:rsidRDefault="00F967A2" w:rsidP="00F967A2">
      <w:pPr>
        <w:pStyle w:val="ParaNo"/>
        <w:numPr>
          <w:ilvl w:val="0"/>
          <w:numId w:val="0"/>
        </w:numPr>
        <w:spacing w:after="0"/>
        <w:ind w:left="1"/>
        <w:jc w:val="both"/>
        <w:rPr>
          <w:noProof/>
        </w:rPr>
      </w:pPr>
      <w:r>
        <w:t>30. Pusaudži – gan meitenes, gan zēni – ir pakļauti riskam inficēties un saslimt ar STS, tostarp HIV/AIDS</w:t>
      </w:r>
      <w:r>
        <w:rPr>
          <w:rStyle w:val="Beiguvresatsauce"/>
          <w:noProof/>
        </w:rPr>
        <w:endnoteReference w:id="8"/>
      </w:r>
      <w:r>
        <w:t>. Konvencijas dalībvalstīm jānodrošina, ka ir pieejami un iegūstami atbilstošie izstrādājumi, pakalpojumi un informācija par STS, tostarp HIV/AIDS, profilaksi un ārstēšanu. Šajā saistībā Konvencijas dalībvalstis tiek mudinātas a) izstrādāt efektīvas profilakses programmas, tostarp pasākumus, kuru mērķis ir mainīt konkrētā kultūrā pastāvošos uzskatus par kontracepcijas un STS profilakses nepieciešamību pusaudžiem un risināt problēmas, ko rada kultūras noteiktie un citi aizliegumi attiecībā uz pusaudžu seksualitāti; b) pieņemt tiesību aktus, lai cīnītos pret ieražām, kas vai nu palielina pusaudžu risku inficēties ar STS, tostarp HIV, vai mudina sociāli atstumt inficētos pusaudžus; c) veikt pasākumus, lai novērstu jebkādus šķēršļus, kas liedz pusaudžiem piekļuvi informācijai, profilaktiskiem līdzekļiem, piemēram, prezervatīviem, un aprūpei.</w:t>
      </w:r>
    </w:p>
    <w:p w:rsidR="00F967A2" w:rsidRDefault="00F967A2" w:rsidP="00F967A2">
      <w:pPr>
        <w:pStyle w:val="ParaNo"/>
        <w:numPr>
          <w:ilvl w:val="0"/>
          <w:numId w:val="0"/>
        </w:numPr>
        <w:spacing w:after="0"/>
        <w:ind w:left="1"/>
        <w:jc w:val="both"/>
        <w:rPr>
          <w:noProof/>
        </w:rPr>
      </w:pPr>
    </w:p>
    <w:p w:rsidR="007A4A64" w:rsidRPr="00F967A2" w:rsidRDefault="00F967A2" w:rsidP="00F967A2">
      <w:pPr>
        <w:pStyle w:val="ParaNo"/>
        <w:numPr>
          <w:ilvl w:val="0"/>
          <w:numId w:val="0"/>
        </w:numPr>
        <w:spacing w:after="0"/>
        <w:ind w:left="1"/>
        <w:jc w:val="both"/>
        <w:rPr>
          <w:rFonts w:eastAsia="Times"/>
          <w:noProof/>
        </w:rPr>
      </w:pPr>
      <w:r>
        <w:t>31. Pusaugu meitenēm jābūt piekļuvei informācijai par kaitīgajām sekām, ko var izraisīt agrīnas laulības un agrīna grūtniecība, un pusaudzēm grūtniecēm jābūt piekļuvei veselības aprūpes pakalpojumiem, kuros tiek iejūtīgi ņem</w:t>
      </w:r>
      <w:r w:rsidR="00595B32">
        <w:t>tas vērā viņu tiesības un konkrētās</w:t>
      </w:r>
      <w:r>
        <w:t xml:space="preserve"> vajadzības. Konvencijas dalībvalstīm jāveic pasākumi, lai samazinātu pusaugu māšu saslimstību un mirstību, jo īpaši tādu, ko izraisa agrīna grūtniecība un nedrošas aborta veikšanas metodes, kā arī jāatbalsta pusaugu vecāki. Jaunajām mātēm var būt nosliece ļauties depresijai un pastiprinātam satraukumam, jo īpaši tad, ja viņas nesaņem atbalstu, un tas var mazināt viņu spēju rūpēties par savu bērnu. Komiteja mudina Konvencijas dalībvalstis a) izstrādāt un īstenot programmas, kas nodrošina piekļuvi seksuālās un reproduktīvās veselības pakalpojumiem, tostarp ģimenes plānošanai, kontracepcijai un droša aborta pakalpojumiem, kur aborta veikšana nav nelikumīga darbība un tiek sniegta pietiekama un vispusīga dzemdību palīdzība un padomi; b) veicināt pusaudžu mātēm un tēviem pozitīvu un atbalstošu attieksmi pret saviem pusaugu bērniem, kas kļūst par vecākiem, un c) izstrādāt politikas nostādnes, kas ļautu pusaugu mātēm turpināt izglītošanos.</w:t>
      </w:r>
    </w:p>
    <w:p w:rsidR="00F967A2" w:rsidRDefault="00F967A2" w:rsidP="00F967A2">
      <w:pPr>
        <w:pStyle w:val="ParaNo"/>
        <w:numPr>
          <w:ilvl w:val="0"/>
          <w:numId w:val="0"/>
        </w:numPr>
        <w:spacing w:after="0"/>
        <w:ind w:left="1"/>
        <w:jc w:val="both"/>
        <w:rPr>
          <w:rFonts w:eastAsia="Times"/>
          <w:noProof/>
        </w:rPr>
      </w:pPr>
    </w:p>
    <w:p w:rsidR="007A4A64" w:rsidRPr="00F967A2" w:rsidRDefault="00F967A2" w:rsidP="00F967A2">
      <w:pPr>
        <w:pStyle w:val="ParaNo"/>
        <w:numPr>
          <w:ilvl w:val="0"/>
          <w:numId w:val="0"/>
        </w:numPr>
        <w:spacing w:after="0"/>
        <w:ind w:left="1"/>
        <w:jc w:val="both"/>
        <w:rPr>
          <w:rFonts w:eastAsia="Times"/>
          <w:noProof/>
        </w:rPr>
      </w:pPr>
      <w:r>
        <w:t>32. Pusaudžiem jābūt iespējai brīvi paust viedokli, pirms viņu vecāki sniedz savu piekrišanu, un šim viedoklim ir jāpievērš pienācīga uzmanība, kā noteikts Konvencijas 12. pantā. Tomēr, ja pusaudzis nav pietiekami nobriedis, ir jāsaņem pusaudža paša apzināta piekrišana un vienlaikus jāinformē vecāki, ja tas ir “bērna interesēs” (3. pants).</w:t>
      </w:r>
    </w:p>
    <w:p w:rsidR="00F967A2" w:rsidRDefault="00F967A2" w:rsidP="00F967A2">
      <w:pPr>
        <w:pStyle w:val="ParaNo"/>
        <w:numPr>
          <w:ilvl w:val="0"/>
          <w:numId w:val="0"/>
        </w:numPr>
        <w:spacing w:after="0"/>
        <w:ind w:left="1"/>
        <w:jc w:val="both"/>
        <w:rPr>
          <w:rFonts w:eastAsia="Times"/>
          <w:noProof/>
        </w:rPr>
      </w:pPr>
    </w:p>
    <w:p w:rsidR="007A4A64" w:rsidRDefault="00F967A2" w:rsidP="00F967A2">
      <w:pPr>
        <w:pStyle w:val="ParaNo"/>
        <w:numPr>
          <w:ilvl w:val="0"/>
          <w:numId w:val="0"/>
        </w:numPr>
        <w:spacing w:after="0"/>
        <w:ind w:left="1"/>
        <w:jc w:val="both"/>
        <w:rPr>
          <w:rFonts w:eastAsia="Times"/>
          <w:noProof/>
        </w:rPr>
      </w:pPr>
      <w:r>
        <w:t>33. Attiecībā uz privātumu un konfidencialitāti un ar to saistīto jautājumu par apzinātu piekrišanu ārstēšanai Konvencijas dalībvalstīm ir a) jāievieš normatīvie akti, kas garantē, ka pusaudzim tiek sniegts konfidenciāls padoms par ārstēšanu, lai viņš varētu tai apzināti piekrist. Šādos normatīvajos aktos ir jānosaka, cik vecam jābūt bērnam vai kādā attīstības pakāpē, lai uz viņu varētu attiecināt minēto piekrišanas procesu, un b) jānodrošina veselības aprūpes darbiniekiem mācību kursi par pusaudžu tiesībām uz privātumu un konfidencialitāti un tiesībām tikt informētiem par plānoto ārstēšanu, kā arī sniegt savu apzinātu piekrišanu šādai ārstēšanai.</w:t>
      </w:r>
    </w:p>
    <w:p w:rsidR="00F967A2" w:rsidRPr="00F967A2" w:rsidRDefault="00F967A2" w:rsidP="00F967A2">
      <w:pPr>
        <w:pStyle w:val="ParaNo"/>
        <w:numPr>
          <w:ilvl w:val="0"/>
          <w:numId w:val="0"/>
        </w:numPr>
        <w:spacing w:after="0"/>
        <w:ind w:left="1"/>
        <w:jc w:val="both"/>
        <w:rPr>
          <w:rFonts w:eastAsia="Times"/>
          <w:noProof/>
        </w:rPr>
      </w:pPr>
    </w:p>
    <w:p w:rsidR="007A4A64" w:rsidRPr="00F967A2" w:rsidRDefault="007A4A64" w:rsidP="00F967A2">
      <w:pPr>
        <w:pStyle w:val="Virsraksts1"/>
        <w:keepNext w:val="0"/>
        <w:spacing w:after="0"/>
        <w:rPr>
          <w:noProof/>
        </w:rPr>
      </w:pPr>
      <w:r>
        <w:t>IV. Neaizsargātība un risks</w:t>
      </w:r>
    </w:p>
    <w:p w:rsidR="00F967A2" w:rsidRDefault="00F967A2" w:rsidP="00F967A2">
      <w:pPr>
        <w:pStyle w:val="ParaNo"/>
        <w:numPr>
          <w:ilvl w:val="0"/>
          <w:numId w:val="0"/>
        </w:numPr>
        <w:spacing w:after="0"/>
        <w:ind w:left="1"/>
        <w:jc w:val="both"/>
        <w:rPr>
          <w:noProof/>
          <w:color w:val="000000"/>
        </w:rPr>
      </w:pPr>
    </w:p>
    <w:p w:rsidR="007A4A64" w:rsidRPr="00F967A2" w:rsidRDefault="00F967A2" w:rsidP="00F967A2">
      <w:pPr>
        <w:pStyle w:val="ParaNo"/>
        <w:numPr>
          <w:ilvl w:val="0"/>
          <w:numId w:val="0"/>
        </w:numPr>
        <w:spacing w:after="0"/>
        <w:ind w:left="1"/>
        <w:jc w:val="both"/>
        <w:rPr>
          <w:rFonts w:eastAsia="Times"/>
          <w:noProof/>
        </w:rPr>
      </w:pPr>
      <w:r>
        <w:rPr>
          <w:noProof/>
          <w:color w:val="000000"/>
        </w:rPr>
        <w:t xml:space="preserve">34. </w:t>
      </w:r>
      <w:r>
        <w:t xml:space="preserve">Lai nodrošinātu, ka tiek respektētas pusaudžu tiesības uz veselību un attīstību, ir jāņem vērā gan katra indivīda personīgās uzvedības īpatnības, gan apkārtējā vide, kas paaugstina viņu </w:t>
      </w:r>
      <w:r>
        <w:lastRenderedPageBreak/>
        <w:t>neaizsargātību un risku. Vides faktori, piemēram, bruņoti konflikti vai sociālā atstumtība, palielina pusaudžu neaizsargātību pret ļaunprātīgu izmantošanu, jebkādām vardarbības formām un ekspluatāciju un tādējādi ārkārtīgi ierobežo pusaudžu spēju pieņemt individuālus un veselībai nekaitīgus lēmumus. Piemēram, lēmums iesaistīties nedrošās seksuālās attiecībās palielina pusaudžu veselības problēmu risku.</w:t>
      </w:r>
    </w:p>
    <w:p w:rsidR="00F967A2" w:rsidRDefault="00F967A2" w:rsidP="00F967A2">
      <w:pPr>
        <w:pStyle w:val="ParaNo"/>
        <w:numPr>
          <w:ilvl w:val="0"/>
          <w:numId w:val="0"/>
        </w:numPr>
        <w:spacing w:after="0"/>
        <w:ind w:left="1"/>
        <w:jc w:val="both"/>
        <w:rPr>
          <w:noProof/>
        </w:rPr>
      </w:pPr>
    </w:p>
    <w:p w:rsidR="007A4A64" w:rsidRPr="00F967A2" w:rsidRDefault="00F967A2" w:rsidP="00F967A2">
      <w:pPr>
        <w:pStyle w:val="ParaNo"/>
        <w:numPr>
          <w:ilvl w:val="0"/>
          <w:numId w:val="0"/>
        </w:numPr>
        <w:spacing w:after="0"/>
        <w:ind w:left="1"/>
        <w:jc w:val="both"/>
        <w:rPr>
          <w:noProof/>
        </w:rPr>
      </w:pPr>
      <w:r>
        <w:t>35. Saskaņā ar Konvencijas 23. pantu pusaudžiem ar garīgiem un/vai fiziskiem traucējumiem ir vienlīdzīgas tiesības uz visaugstāko iespējamo fiziskās un garīgās veselības aprūpes līmeni. Konvencijas dalībvalstīm ir pienākums nodrošināt pusaudžiem ar invaliditāti vajadzīgos līdzekļus viņu tiesību īstenošanai.</w:t>
      </w:r>
      <w:r>
        <w:rPr>
          <w:rStyle w:val="Beiguvresatsauce"/>
          <w:noProof/>
        </w:rPr>
        <w:endnoteReference w:id="9"/>
      </w:r>
      <w:r>
        <w:t xml:space="preserve"> Konvencijas dalībvalstīm ir a) jānodrošina, ka veselības aprūpes iestādes, preces un pakalpojumi ir piekļuves ziņā pieejami visiem pusaudžiem ar invaliditāti un ka šīs iestādes un pakalpojumi veicina šādu pusaudžu pašpaļāvību un aktīvu iesaisti vietējā sabiedrībā; b) jānodrošina, ka ir pieejams nepieciešamais aprīkojums un atbalsta personāls, kas ļauj pusaudžiem ar invaliditāti pārvietoties, piedalīties pasākumos un komunicēt; c) </w:t>
      </w:r>
      <w:r w:rsidR="00595B32">
        <w:t>jāvelta īpaša uzmanība īpašajām vajadzībām, kas skar pusaudžu ar invaliditāti seksualitāti</w:t>
      </w:r>
      <w:r>
        <w:t xml:space="preserve"> un d) jānovērš šķēršļi, kas traucē pusaudžiem ar invaliditāti īstenot savas tiesības.</w:t>
      </w:r>
    </w:p>
    <w:p w:rsidR="00F967A2" w:rsidRDefault="00F967A2" w:rsidP="00F967A2">
      <w:pPr>
        <w:pStyle w:val="ParaNo"/>
        <w:numPr>
          <w:ilvl w:val="0"/>
          <w:numId w:val="0"/>
        </w:numPr>
        <w:spacing w:after="0"/>
        <w:ind w:left="1"/>
        <w:jc w:val="both"/>
        <w:rPr>
          <w:noProof/>
        </w:rPr>
      </w:pPr>
    </w:p>
    <w:p w:rsidR="007A4A64" w:rsidRPr="00F967A2" w:rsidRDefault="00F967A2" w:rsidP="00F967A2">
      <w:pPr>
        <w:pStyle w:val="ParaNo"/>
        <w:numPr>
          <w:ilvl w:val="0"/>
          <w:numId w:val="0"/>
        </w:numPr>
        <w:spacing w:after="0"/>
        <w:ind w:left="1"/>
        <w:jc w:val="both"/>
        <w:rPr>
          <w:noProof/>
        </w:rPr>
      </w:pPr>
      <w:r>
        <w:t xml:space="preserve">36. Konvencijas dalībvalstīm ir jānodrošina īpaša aizsardzība pusaudžiem bezpajumtniekiem, tostarp tiem, kas nodarbināti neformālajā sektorā. Pusaudži bezpajumtnieki ir īpaši neaizsargāti pret vardarbību, ļaunprātīgu izmantošanu un seksuālu izmantošanu, pašiznīcinošu uzvedību, kaitīgu vielu lietošanu un garīgās veselības traucējumiem. Šajā saistībā Konvencijas dalībvalstīm tiek pieprasīts a) izstrādāt politikas nostādnes un ieviest un īstenot tiesību aktus, kas aizsargā šādus pusaudžus pret vardarbību, piemēram, ar tiesībsargājošo iestāžu amatpersonu palīdzību; b) izstrādāt stratēģijas piemērotas izglītības nodrošināšanai un piekļuvei veselības aprūpes pakalpojumiem, kā arī iespējas attīstīt prasmes iztikas līdzekļu nopelnīšanai. </w:t>
      </w:r>
    </w:p>
    <w:p w:rsidR="00F967A2" w:rsidRDefault="00F967A2" w:rsidP="00F967A2">
      <w:pPr>
        <w:pStyle w:val="ParaNo"/>
        <w:numPr>
          <w:ilvl w:val="0"/>
          <w:numId w:val="0"/>
        </w:numPr>
        <w:spacing w:after="0"/>
        <w:ind w:left="1"/>
        <w:jc w:val="both"/>
        <w:rPr>
          <w:noProof/>
        </w:rPr>
      </w:pPr>
    </w:p>
    <w:p w:rsidR="007A4A64" w:rsidRPr="00F967A2" w:rsidRDefault="00F967A2" w:rsidP="00F967A2">
      <w:pPr>
        <w:pStyle w:val="ParaNo"/>
        <w:numPr>
          <w:ilvl w:val="0"/>
          <w:numId w:val="0"/>
        </w:numPr>
        <w:spacing w:after="0"/>
        <w:ind w:left="1"/>
        <w:jc w:val="both"/>
        <w:rPr>
          <w:noProof/>
        </w:rPr>
      </w:pPr>
      <w:r>
        <w:t>37. Pusaudži, kas tiek seksuāli izmantoti, tostarp iesaistīti prostitūcijā un pornogrāfijā, ir pakļauti būtiskam veselības apdraudējumam, tostarp STS, HIV/AIDS, nevēlamai grūtniecībai, nedrošiem abortiem, vardarbībai un psiholoģiskām ciešanām. Viņiem ir tiesības uz fizisko un psiholoģisko atlabšanu un sociālo reintegrāciju tādā vidē, kura ir labvēlīga bērna veselībai un kurā viņš tiek respektēts un cienīts (39. pants). Konvencijas dalībvalstīm ir pienākums ieviest un īstenot tiesību aktus, kas aizliedz jebkādu seksuālu izmantošanu un ar to saistīto cilvēku tirdzniecību; sadarboties ar citām Konvencijas dalībvalstīm, lai izskaustu cilvēku tirdzniecību starpvalstu līmenī, un nodrošināt piemērotus veselības aprūpes un konsultāciju pakalpojumus pusaudžiem, kas ir tikuši seksuāli izmantoti, un garantēt, ka pret viņiem izturas kā pret upuriem, nevis likumpārkāpējiem.</w:t>
      </w:r>
    </w:p>
    <w:p w:rsidR="00F967A2" w:rsidRDefault="00F967A2" w:rsidP="00F967A2">
      <w:pPr>
        <w:pStyle w:val="ParaNo"/>
        <w:numPr>
          <w:ilvl w:val="0"/>
          <w:numId w:val="0"/>
        </w:numPr>
        <w:spacing w:after="0"/>
        <w:ind w:left="1"/>
        <w:jc w:val="both"/>
        <w:rPr>
          <w:noProof/>
        </w:rPr>
      </w:pPr>
    </w:p>
    <w:p w:rsidR="007A4A64" w:rsidRDefault="00F967A2" w:rsidP="00F967A2">
      <w:pPr>
        <w:pStyle w:val="ParaNo"/>
        <w:numPr>
          <w:ilvl w:val="0"/>
          <w:numId w:val="0"/>
        </w:numPr>
        <w:spacing w:after="0"/>
        <w:ind w:left="1"/>
        <w:jc w:val="both"/>
        <w:rPr>
          <w:noProof/>
        </w:rPr>
      </w:pPr>
      <w:r>
        <w:t>38. Turklāt pusaudži, kas piedzīvo nabadzību, bruņotus konfliktus, visu veidu netaisnību, ģimenes iziršanu, politisku, sociālu un ekonomisku nestabilitāti un visdažādākās migrācijas formas, ir īpaši neaizsargāti. Šīs situācijas var nopietni ietekmēt viņu veselību un attīstību. Ieguldot lielus līdzekļu</w:t>
      </w:r>
      <w:r w:rsidR="00595B32">
        <w:t>s</w:t>
      </w:r>
      <w:r>
        <w:t xml:space="preserve"> preventīvās politikas nostādnēs un pasākumos, Konvencijas dalībvalstis var krasi samazināt neaizsargātības līmeni un riska faktorus; tādējādi tās arī nodrošinās izmaksu ziņā efektīvas iespējas sabiedrībai palīdzēt pusaudžiem attīstīties brīvā sabiedrībā.</w:t>
      </w:r>
    </w:p>
    <w:p w:rsidR="00F967A2" w:rsidRPr="00F967A2" w:rsidRDefault="00F967A2" w:rsidP="00F967A2">
      <w:pPr>
        <w:pStyle w:val="ParaNo"/>
        <w:numPr>
          <w:ilvl w:val="0"/>
          <w:numId w:val="0"/>
        </w:numPr>
        <w:spacing w:after="0"/>
        <w:ind w:left="1"/>
        <w:jc w:val="both"/>
        <w:rPr>
          <w:noProof/>
        </w:rPr>
      </w:pPr>
    </w:p>
    <w:p w:rsidR="007A4A64" w:rsidRPr="00F967A2" w:rsidRDefault="007A4A64" w:rsidP="00F967A2">
      <w:pPr>
        <w:pStyle w:val="Virsraksts1"/>
        <w:keepNext w:val="0"/>
        <w:spacing w:after="0"/>
        <w:rPr>
          <w:noProof/>
        </w:rPr>
      </w:pPr>
      <w:r>
        <w:t>V. Konvencijas dalībvalstu pienākumu būtība</w:t>
      </w:r>
    </w:p>
    <w:p w:rsidR="00F967A2" w:rsidRDefault="00F967A2" w:rsidP="00F967A2">
      <w:pPr>
        <w:pStyle w:val="ParaNo"/>
        <w:numPr>
          <w:ilvl w:val="0"/>
          <w:numId w:val="0"/>
        </w:numPr>
        <w:spacing w:after="0"/>
        <w:ind w:left="1"/>
        <w:jc w:val="both"/>
        <w:rPr>
          <w:noProof/>
        </w:rPr>
      </w:pPr>
    </w:p>
    <w:p w:rsidR="007A4A64" w:rsidRDefault="00F967A2" w:rsidP="00F967A2">
      <w:pPr>
        <w:pStyle w:val="ParaNo"/>
        <w:numPr>
          <w:ilvl w:val="0"/>
          <w:numId w:val="0"/>
        </w:numPr>
        <w:spacing w:after="0"/>
        <w:ind w:left="1"/>
        <w:jc w:val="both"/>
        <w:rPr>
          <w:noProof/>
        </w:rPr>
      </w:pPr>
      <w:r>
        <w:t xml:space="preserve">39. Pildot savus pienākumus saistībā ar pusaudžu veselību un attīstību, Konvencijas dalībvalstīm vienmēr ir pilnīgi jāņem vērā četri Konvencijas vispārīgie principi. Komiteja uzskata, ka Konvencijas dalībvalstīm ir jāveic visi attiecīgie likumdošanas, administratīvie un </w:t>
      </w:r>
      <w:r>
        <w:lastRenderedPageBreak/>
        <w:t>citi pasākumi, lai īstenotu un pārraudzītu Konvencijā atzītās pusaudžu tiesības uz veselību un attīstību. Šajā saistībā Konvencijas dalībvalstīm ir īpaši jānodrošina turpmāk minēto pienākumu pilnīga izpilde:</w:t>
      </w:r>
    </w:p>
    <w:p w:rsidR="00F967A2" w:rsidRPr="00F967A2" w:rsidRDefault="00F967A2" w:rsidP="00F967A2">
      <w:pPr>
        <w:pStyle w:val="ParaNo"/>
        <w:numPr>
          <w:ilvl w:val="0"/>
          <w:numId w:val="0"/>
        </w:numPr>
        <w:spacing w:after="0"/>
        <w:ind w:left="1"/>
        <w:jc w:val="both"/>
        <w:rPr>
          <w:noProof/>
        </w:rPr>
      </w:pPr>
    </w:p>
    <w:p w:rsidR="007A4A64" w:rsidRPr="00F967A2" w:rsidRDefault="002D69C3" w:rsidP="00F967A2">
      <w:pPr>
        <w:spacing w:after="0"/>
        <w:jc w:val="both"/>
        <w:rPr>
          <w:noProof/>
          <w:color w:val="000000"/>
        </w:rPr>
      </w:pPr>
      <w:r>
        <w:tab/>
      </w:r>
      <w:r>
        <w:rPr>
          <w:noProof/>
          <w:color w:val="000000"/>
        </w:rPr>
        <w:t>a)</w:t>
      </w:r>
      <w:r>
        <w:tab/>
      </w:r>
      <w:r>
        <w:rPr>
          <w:noProof/>
          <w:color w:val="000000"/>
        </w:rPr>
        <w:t>radīt drošu un atbalstošu vidi pusaudžiem, tostarp viņu ģimenē, skol</w:t>
      </w:r>
      <w:r w:rsidR="00595B32">
        <w:rPr>
          <w:noProof/>
          <w:color w:val="000000"/>
        </w:rPr>
        <w:t>ā, jebkāda veida institūcijās</w:t>
      </w:r>
      <w:r>
        <w:rPr>
          <w:noProof/>
          <w:color w:val="000000"/>
        </w:rPr>
        <w:t>, kurās viņi varētu dzīvot, darbavietā un/vai sabiedrībā kopumā;</w:t>
      </w:r>
    </w:p>
    <w:p w:rsidR="007A4A64" w:rsidRPr="00F967A2" w:rsidRDefault="002D69C3" w:rsidP="00F967A2">
      <w:pPr>
        <w:spacing w:after="0"/>
        <w:jc w:val="both"/>
        <w:rPr>
          <w:noProof/>
          <w:color w:val="000000"/>
        </w:rPr>
      </w:pPr>
      <w:r>
        <w:tab/>
      </w:r>
      <w:r>
        <w:rPr>
          <w:noProof/>
          <w:color w:val="000000"/>
        </w:rPr>
        <w:t>b)</w:t>
      </w:r>
      <w:r>
        <w:tab/>
        <w:t>nodrošināt, ka pusaudžiem ir piekļuve informācijai, kas ir būtiski svarīga viņu veselībai un attīstībai, un ka viņiem ir iespējas piedalīties tādu lēmumu pieņemšanā, kas ietekmē viņu veselību (galvenokārt saistībā ar apzinātu piekrišanu un tiesībām uz konfidencialitāti), apgūt dzīvei nepieciešamās prasmes, saņemt pietiekamu un vecumam piemērotu informāciju un izveidot atbilstošus veselīgus ieradumus;</w:t>
      </w:r>
    </w:p>
    <w:p w:rsidR="007A4A64" w:rsidRPr="00F967A2" w:rsidRDefault="002D69C3" w:rsidP="00F967A2">
      <w:pPr>
        <w:spacing w:after="0"/>
        <w:jc w:val="both"/>
        <w:rPr>
          <w:noProof/>
          <w:color w:val="000000"/>
        </w:rPr>
      </w:pPr>
      <w:r>
        <w:tab/>
      </w:r>
      <w:r>
        <w:rPr>
          <w:noProof/>
          <w:color w:val="000000"/>
        </w:rPr>
        <w:t>c)</w:t>
      </w:r>
      <w:r>
        <w:tab/>
        <w:t>nodrošināt, ka visiem pusaudžiem ir pieejamas piemērotas kvalitātes un pusaudžu vajadzībām atbilstošas veselības aprūpes iestādes, preces un pakalpojumi, tostarp konsultācijas un veselības aprūpes pakalpojumi saistībā ar garīgo, seksuālo un reproduktīvo veselību;</w:t>
      </w:r>
    </w:p>
    <w:p w:rsidR="007A4A64" w:rsidRPr="00F967A2" w:rsidRDefault="002D69C3" w:rsidP="00F967A2">
      <w:pPr>
        <w:spacing w:after="0"/>
        <w:jc w:val="both"/>
        <w:rPr>
          <w:noProof/>
          <w:color w:val="000000"/>
        </w:rPr>
      </w:pPr>
      <w:r>
        <w:tab/>
      </w:r>
      <w:r>
        <w:rPr>
          <w:noProof/>
          <w:color w:val="000000"/>
        </w:rPr>
        <w:t>d)</w:t>
      </w:r>
      <w:r>
        <w:tab/>
      </w:r>
      <w:r>
        <w:rPr>
          <w:noProof/>
          <w:color w:val="000000"/>
        </w:rPr>
        <w:t>nodrošināt, ka pusaugu meitenēm un zēniem ir iespēja aktīvi piedalīties savas veselības un attīstības aspektu plānošanā un attiecīgo programmu izstrādē;</w:t>
      </w:r>
    </w:p>
    <w:p w:rsidR="007A4A64" w:rsidRPr="00F967A2" w:rsidRDefault="002D69C3" w:rsidP="00F967A2">
      <w:pPr>
        <w:spacing w:after="0"/>
        <w:jc w:val="both"/>
        <w:rPr>
          <w:noProof/>
          <w:color w:val="000000"/>
        </w:rPr>
      </w:pPr>
      <w:r>
        <w:tab/>
      </w:r>
      <w:r>
        <w:rPr>
          <w:noProof/>
          <w:color w:val="000000"/>
        </w:rPr>
        <w:t>e)</w:t>
      </w:r>
      <w:r>
        <w:tab/>
      </w:r>
      <w:r>
        <w:rPr>
          <w:noProof/>
          <w:color w:val="000000"/>
        </w:rPr>
        <w:t>aizsargāt pusaudžus pret jebkāda veida nodarbinātību, kas var apdraudēt viņu tiesību izmantošanu, proti, atcelt jebkādas bērnu darba iespējas un reglamentēt darba vides un apstākļu nosacījumus saskaņā ar starptautiskajiem standartiem;</w:t>
      </w:r>
    </w:p>
    <w:p w:rsidR="007A4A64" w:rsidRPr="00F967A2" w:rsidRDefault="002D69C3" w:rsidP="00F967A2">
      <w:pPr>
        <w:spacing w:after="0"/>
        <w:jc w:val="both"/>
        <w:rPr>
          <w:noProof/>
          <w:color w:val="000000"/>
        </w:rPr>
      </w:pPr>
      <w:r>
        <w:tab/>
      </w:r>
      <w:r>
        <w:rPr>
          <w:noProof/>
          <w:color w:val="000000"/>
        </w:rPr>
        <w:t>f)</w:t>
      </w:r>
      <w:r>
        <w:tab/>
      </w:r>
      <w:r>
        <w:rPr>
          <w:noProof/>
          <w:color w:val="000000"/>
        </w:rPr>
        <w:t>aizsargāt pusaudžus pret jebkādām apzināti vai neapzināti izraisītām traumām, tostarp tām, ko rada vardarbība un ceļu satiksmes negadījumi;</w:t>
      </w:r>
    </w:p>
    <w:p w:rsidR="007A4A64" w:rsidRPr="00F967A2" w:rsidRDefault="002D69C3" w:rsidP="00F967A2">
      <w:pPr>
        <w:spacing w:after="0"/>
        <w:jc w:val="both"/>
        <w:rPr>
          <w:noProof/>
          <w:color w:val="000000"/>
        </w:rPr>
      </w:pPr>
      <w:r>
        <w:tab/>
      </w:r>
      <w:r>
        <w:rPr>
          <w:noProof/>
          <w:color w:val="000000"/>
        </w:rPr>
        <w:t>g)</w:t>
      </w:r>
      <w:r>
        <w:tab/>
        <w:t>aizsargāt pusaudžus pret kaitīgām tradicionālām ieražām, piemēram, agrīnām laulībām, goda slepkavībām un sieviešu dzimumorgānu kropļošanas;</w:t>
      </w:r>
    </w:p>
    <w:p w:rsidR="007A4A64" w:rsidRPr="00F967A2" w:rsidRDefault="002D69C3" w:rsidP="00F967A2">
      <w:pPr>
        <w:spacing w:after="0"/>
        <w:jc w:val="both"/>
        <w:rPr>
          <w:noProof/>
          <w:color w:val="000000"/>
        </w:rPr>
      </w:pPr>
      <w:r>
        <w:tab/>
      </w:r>
      <w:r>
        <w:rPr>
          <w:noProof/>
          <w:color w:val="000000"/>
        </w:rPr>
        <w:t>h)</w:t>
      </w:r>
      <w:r>
        <w:tab/>
      </w:r>
      <w:r>
        <w:rPr>
          <w:noProof/>
          <w:color w:val="000000"/>
        </w:rPr>
        <w:t>nodrošināt, ka visu iepriekš minēto pienākumu izpildē tiek pilnā mērā ņemti vērā pusaudži, kas pieder īpaši neaizsargātām grupām;</w:t>
      </w:r>
    </w:p>
    <w:p w:rsidR="007A4A64" w:rsidRPr="00F967A2" w:rsidRDefault="002D69C3" w:rsidP="00F967A2">
      <w:pPr>
        <w:spacing w:after="0"/>
        <w:jc w:val="both"/>
        <w:rPr>
          <w:noProof/>
          <w:color w:val="000000"/>
        </w:rPr>
      </w:pPr>
      <w:r>
        <w:tab/>
      </w:r>
      <w:r>
        <w:rPr>
          <w:noProof/>
          <w:color w:val="000000"/>
        </w:rPr>
        <w:t>i)</w:t>
      </w:r>
      <w:r>
        <w:tab/>
      </w:r>
      <w:r>
        <w:rPr>
          <w:noProof/>
          <w:color w:val="000000"/>
        </w:rPr>
        <w:t>ieviest pasākumus pusaudžu garīgās veselības traucējumu profilaksei un garīgās veselības veicināšanai.</w:t>
      </w:r>
    </w:p>
    <w:p w:rsidR="002D69C3" w:rsidRDefault="002D69C3" w:rsidP="002D69C3">
      <w:pPr>
        <w:pStyle w:val="ParaNo"/>
        <w:numPr>
          <w:ilvl w:val="0"/>
          <w:numId w:val="0"/>
        </w:numPr>
        <w:spacing w:after="0"/>
        <w:ind w:left="1"/>
        <w:jc w:val="both"/>
        <w:rPr>
          <w:noProof/>
        </w:rPr>
      </w:pPr>
    </w:p>
    <w:p w:rsidR="007A4A64" w:rsidRPr="00F967A2" w:rsidRDefault="002D69C3" w:rsidP="002D69C3">
      <w:pPr>
        <w:pStyle w:val="ParaNo"/>
        <w:numPr>
          <w:ilvl w:val="0"/>
          <w:numId w:val="0"/>
        </w:numPr>
        <w:spacing w:after="0"/>
        <w:ind w:left="1"/>
        <w:jc w:val="both"/>
        <w:rPr>
          <w:noProof/>
        </w:rPr>
      </w:pPr>
      <w:r>
        <w:t>40. Komiteja vērš Konvencijas dalībvalstu uzmanību uz Ekonomisko, sociālo un kultūras tiesību komitejas Vispārējo komentāru Nr. 14 par tiesībām uz vislabāko iespējamo veselības stāvokli, kurā teikts: “Dalībvalstīm jānodrošina pusaudžiem droša un stimulējoša vide, kas viņiem sniedz iespēju piedalīties lēmumu pieņemšanā par savu veselību, apgūt dzīvē nepieciešamās iemaņas, iegūt nepieciešamo informāciju, saņemt konsultācijas un pārrunāt ar veselību saistītu paradumu izvēli. Pusaudžu iespējas īstenot tiesības uz veselību ir atkarīgas no tā, vai ir izveidota jauniešiem atbilstoša veselības aprūpe, kurā tiek ievērota konfidencialitāte un privātums un ir ietverti nepieciešamie seksuālās un reproduktīvās veselības aprūpes pakalpojumi.”</w:t>
      </w:r>
    </w:p>
    <w:p w:rsidR="002D69C3" w:rsidRDefault="002D69C3" w:rsidP="002D69C3">
      <w:pPr>
        <w:pStyle w:val="ParaNo"/>
        <w:numPr>
          <w:ilvl w:val="0"/>
          <w:numId w:val="0"/>
        </w:numPr>
        <w:spacing w:after="0"/>
        <w:ind w:left="1"/>
        <w:jc w:val="both"/>
        <w:rPr>
          <w:noProof/>
        </w:rPr>
      </w:pPr>
    </w:p>
    <w:p w:rsidR="007A4A64" w:rsidRDefault="002D69C3" w:rsidP="002D69C3">
      <w:pPr>
        <w:pStyle w:val="ParaNo"/>
        <w:numPr>
          <w:ilvl w:val="0"/>
          <w:numId w:val="0"/>
        </w:numPr>
        <w:spacing w:after="0"/>
        <w:ind w:left="1"/>
        <w:jc w:val="both"/>
        <w:rPr>
          <w:noProof/>
        </w:rPr>
      </w:pPr>
      <w:r>
        <w:t xml:space="preserve">41. Saskaņā ar Konvencijas 24., 39. pantu un citiem attiecīgiem noteikumiem dalībvalstīm jānodrošina veselības aprūpes pakalpojumi, kas ir </w:t>
      </w:r>
      <w:r w:rsidR="00595B32">
        <w:t>pielāgoti visu pusaudžu konkrētām</w:t>
      </w:r>
      <w:bookmarkStart w:id="2" w:name="_GoBack"/>
      <w:bookmarkEnd w:id="2"/>
      <w:r>
        <w:t xml:space="preserve"> vajadzībām un respektē viņu cilvēktiesības, un šajā saistībā jāņem vērā šādi kritēriji:</w:t>
      </w:r>
    </w:p>
    <w:p w:rsidR="002D69C3" w:rsidRPr="00F967A2" w:rsidRDefault="002D69C3" w:rsidP="002D69C3">
      <w:pPr>
        <w:pStyle w:val="ParaNo"/>
        <w:numPr>
          <w:ilvl w:val="0"/>
          <w:numId w:val="0"/>
        </w:numPr>
        <w:spacing w:after="0"/>
        <w:ind w:left="1"/>
        <w:jc w:val="both"/>
        <w:rPr>
          <w:noProof/>
        </w:rPr>
      </w:pPr>
    </w:p>
    <w:p w:rsidR="007A4A64" w:rsidRPr="00F967A2" w:rsidRDefault="002D69C3" w:rsidP="00F967A2">
      <w:pPr>
        <w:spacing w:after="0"/>
        <w:jc w:val="both"/>
        <w:rPr>
          <w:noProof/>
        </w:rPr>
      </w:pPr>
      <w:r>
        <w:tab/>
        <w:t>a)</w:t>
      </w:r>
      <w:r>
        <w:tab/>
      </w:r>
      <w:r>
        <w:rPr>
          <w:i/>
        </w:rPr>
        <w:t>pieejamība</w:t>
      </w:r>
      <w:r>
        <w:t xml:space="preserve"> – primārai veselības aprūpei jāietver pakalpojumi, kuros ņemtas vērā pusaudžu specifiskās vajadzības, īpašu uzmanību pievēršot seksuālai un reproduktīvai veselībai un garīgajai veselībai;</w:t>
      </w:r>
    </w:p>
    <w:p w:rsidR="007A4A64" w:rsidRPr="00F967A2" w:rsidRDefault="002D69C3" w:rsidP="00F967A2">
      <w:pPr>
        <w:spacing w:after="0"/>
        <w:jc w:val="both"/>
        <w:rPr>
          <w:noProof/>
        </w:rPr>
      </w:pPr>
      <w:r>
        <w:tab/>
        <w:t>b)</w:t>
      </w:r>
      <w:r>
        <w:tab/>
      </w:r>
      <w:r>
        <w:rPr>
          <w:i/>
          <w:noProof/>
        </w:rPr>
        <w:t xml:space="preserve">piekļuve – </w:t>
      </w:r>
      <w:r>
        <w:t>visiem pusaudžiem bez jebkādas diskriminācijas ir jābūt informācijai un piekļuvei (ievērojot ekonomisko, fizisko un sociālo aspektu) veselības aprūpes iestādēm, precēm un pakalpojumiem; vajadzības gadījumā ir jāgarantē konfidencialitāte;</w:t>
      </w:r>
    </w:p>
    <w:p w:rsidR="007A4A64" w:rsidRPr="00F967A2" w:rsidRDefault="002D69C3" w:rsidP="00F967A2">
      <w:pPr>
        <w:spacing w:after="0"/>
        <w:jc w:val="both"/>
        <w:rPr>
          <w:noProof/>
        </w:rPr>
      </w:pPr>
      <w:r>
        <w:tab/>
        <w:t>c)</w:t>
      </w:r>
      <w:r>
        <w:tab/>
      </w:r>
      <w:r>
        <w:rPr>
          <w:i/>
          <w:noProof/>
        </w:rPr>
        <w:t xml:space="preserve">atbilstība – </w:t>
      </w:r>
      <w:r>
        <w:t xml:space="preserve">pilnīgi ievērojot Konvencijas noteikumus un principus, vienlaikus jānodrošina, ka visas veselības aprūpes iestādes, preces un pakalpojumi atbilst kultūras vērtību </w:t>
      </w:r>
      <w:r>
        <w:lastRenderedPageBreak/>
        <w:t>kritērijiem, attiecīgā dzimuma vajadzībām, medicīnas ētikai un ir pieņemami gan pusaudžiem, gan kopienām, kurās viņi dzīvo;</w:t>
      </w:r>
    </w:p>
    <w:p w:rsidR="007A4A64" w:rsidRDefault="002D69C3" w:rsidP="00F967A2">
      <w:pPr>
        <w:spacing w:after="0"/>
        <w:jc w:val="both"/>
        <w:rPr>
          <w:noProof/>
        </w:rPr>
      </w:pPr>
      <w:r>
        <w:tab/>
        <w:t>d)</w:t>
      </w:r>
      <w:r>
        <w:tab/>
      </w:r>
      <w:r>
        <w:rPr>
          <w:i/>
          <w:noProof/>
        </w:rPr>
        <w:t xml:space="preserve">kvalitāte – </w:t>
      </w:r>
      <w:r>
        <w:t>veselības aprūpes pakalpojumiem un precēm jāatbilst zinātniskām un medicīniskām prasībām, un tie jānodrošina, izmantojot medicīnisko personālu, kas ir apguvis zināšanas par pusaudžu aprūpi, kā arī lietojot atbilstošu aprīkojumu un zinātniski apstiprinātas metodes.</w:t>
      </w:r>
    </w:p>
    <w:p w:rsidR="002D69C3" w:rsidRPr="00F967A2" w:rsidRDefault="002D69C3" w:rsidP="00F967A2">
      <w:pPr>
        <w:spacing w:after="0"/>
        <w:jc w:val="both"/>
        <w:rPr>
          <w:noProof/>
        </w:rPr>
      </w:pPr>
    </w:p>
    <w:p w:rsidR="007A4A64" w:rsidRPr="00F967A2" w:rsidRDefault="002D69C3" w:rsidP="002D69C3">
      <w:pPr>
        <w:pStyle w:val="ParaNo"/>
        <w:numPr>
          <w:ilvl w:val="0"/>
          <w:numId w:val="0"/>
        </w:numPr>
        <w:spacing w:after="0"/>
        <w:ind w:left="1"/>
        <w:jc w:val="both"/>
        <w:rPr>
          <w:noProof/>
        </w:rPr>
      </w:pPr>
      <w:r>
        <w:t xml:space="preserve">42. Konvencijas dalībvalstīm visos gadījumos, kad vien tas iespējams, ir jāpieņem daudznozaru pieeja pusaudžu veselības un attīstības veicināšanai un aizsardzībai un šajā nolūkā jāizveido efektīvas un ilgtspējīgas saiknes un partnerības starp visiem iesaistītajiem dalībniekiem. Valsts līmenī šāda pieeja nozīmē to, ka pastāv cieša un sistemātiska sadarbība un koordinācija valsts pārvaldes ietvaros, lai nodrošinātu visu atbilstošo valsts struktūru iesaisti vajadzīgajā līmenī. Sabiedrības veselības aprūpes un citu tādu pakalpojumu sniedzēji, kurus izmanto pusaudži, arī ir jāmudina un jāatbalsta to centienos izveidot sadarbību </w:t>
      </w:r>
      <w:r>
        <w:rPr>
          <w:i/>
        </w:rPr>
        <w:t>inter alia</w:t>
      </w:r>
      <w:r>
        <w:t xml:space="preserve"> ar ārstniecības personām, kas darbojas privāti un/vai izmanto tradicionālo medicīnu, kā arī ar profesionālām apvienībām, aptiekām un organizācijām, kas nodrošina pakalpojumus neaizsargātām pusaudžu grupām.</w:t>
      </w:r>
    </w:p>
    <w:p w:rsidR="002D69C3" w:rsidRDefault="002D69C3" w:rsidP="002D69C3">
      <w:pPr>
        <w:pStyle w:val="ParaNo"/>
        <w:numPr>
          <w:ilvl w:val="0"/>
          <w:numId w:val="0"/>
        </w:numPr>
        <w:spacing w:after="0"/>
        <w:jc w:val="both"/>
        <w:rPr>
          <w:noProof/>
          <w:color w:val="000000"/>
        </w:rPr>
      </w:pPr>
    </w:p>
    <w:p w:rsidR="002D69C3" w:rsidRDefault="002D69C3" w:rsidP="002D69C3">
      <w:pPr>
        <w:pStyle w:val="ParaNo"/>
        <w:numPr>
          <w:ilvl w:val="0"/>
          <w:numId w:val="0"/>
        </w:numPr>
        <w:spacing w:after="0"/>
        <w:jc w:val="both"/>
        <w:rPr>
          <w:noProof/>
        </w:rPr>
      </w:pPr>
      <w:r>
        <w:rPr>
          <w:noProof/>
          <w:color w:val="000000"/>
        </w:rPr>
        <w:t xml:space="preserve">43. Daudznozaru pieeja pusaudžu veselības un attīstības veicināšanai un aizsardzībai nebūs efektīva bez sadarbības starptautiskā mērogā. </w:t>
      </w:r>
      <w:r>
        <w:t>Tāpēc Konvencijas dalībvalstīm, kad vien tas ir piemēroti, jācenšas izveidot šādu sadarbību ar ANO specializētajām aģentūrām, programmām un struktūrām, starptautiskajiem NVO un divpusējās palīdzības aģentūrām, starptautiskām profesionālām apvienībām un citiem nevalstiskā sektora dalībniekiem.</w:t>
      </w:r>
    </w:p>
    <w:p w:rsidR="002D69C3" w:rsidRDefault="002D69C3">
      <w:pPr>
        <w:spacing w:after="0"/>
        <w:rPr>
          <w:noProof/>
        </w:rPr>
      </w:pPr>
      <w:r>
        <w:br w:type="page"/>
      </w:r>
    </w:p>
    <w:p w:rsidR="007A4A64" w:rsidRPr="00F967A2" w:rsidRDefault="007A4A64" w:rsidP="002D69C3">
      <w:pPr>
        <w:pStyle w:val="ParaNo"/>
        <w:numPr>
          <w:ilvl w:val="0"/>
          <w:numId w:val="0"/>
        </w:numPr>
        <w:spacing w:after="0"/>
        <w:jc w:val="both"/>
        <w:rPr>
          <w:noProof/>
        </w:rPr>
      </w:pPr>
    </w:p>
    <w:p w:rsidR="007A4A64" w:rsidRPr="00F967A2" w:rsidRDefault="007A4A64" w:rsidP="002D69C3">
      <w:pPr>
        <w:spacing w:after="0"/>
        <w:jc w:val="center"/>
        <w:rPr>
          <w:b/>
          <w:bCs/>
          <w:noProof/>
        </w:rPr>
      </w:pPr>
      <w:r>
        <w:rPr>
          <w:b/>
          <w:noProof/>
        </w:rPr>
        <w:t>Piezīmes</w:t>
      </w:r>
    </w:p>
    <w:sectPr w:rsidR="007A4A64" w:rsidRPr="00F967A2" w:rsidSect="00F967A2">
      <w:headerReference w:type="default" r:id="rId9"/>
      <w:footerReference w:type="even" r:id="rId10"/>
      <w:footerReference w:type="default" r:id="rId11"/>
      <w:headerReference w:type="first" r:id="rId12"/>
      <w:footerReference w:type="first" r:id="rId13"/>
      <w:endnotePr>
        <w:numFmt w:val="decimal"/>
      </w:endnotePr>
      <w:type w:val="continuous"/>
      <w:pgSz w:w="11907" w:h="16840" w:code="9"/>
      <w:pgMar w:top="1134" w:right="1134" w:bottom="1134" w:left="1701" w:header="567" w:footer="567" w:gutter="0"/>
      <w:cols w:space="720"/>
      <w:titlePg/>
      <w:docGrid w:linePitch="10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4E0D" w:rsidRDefault="00B74E0D">
      <w:pPr>
        <w:pStyle w:val="Kjene"/>
        <w:spacing w:after="0"/>
      </w:pPr>
    </w:p>
  </w:endnote>
  <w:endnote w:type="continuationSeparator" w:id="0">
    <w:p w:rsidR="00B74E0D" w:rsidRDefault="00B74E0D">
      <w:pPr>
        <w:spacing w:after="0"/>
      </w:pPr>
    </w:p>
  </w:endnote>
  <w:endnote w:type="continuationNotice" w:id="1">
    <w:p w:rsidR="00B74E0D" w:rsidRDefault="00B74E0D">
      <w:pPr>
        <w:spacing w:after="0"/>
      </w:pPr>
    </w:p>
  </w:endnote>
  <w:endnote w:id="2">
    <w:p w:rsidR="007A4A64" w:rsidRDefault="007A4A64" w:rsidP="002D69C3">
      <w:pPr>
        <w:pStyle w:val="Pamatteksts2"/>
        <w:tabs>
          <w:tab w:val="left" w:pos="912"/>
        </w:tabs>
        <w:spacing w:after="0" w:line="240" w:lineRule="auto"/>
        <w:jc w:val="both"/>
        <w:rPr>
          <w:noProof/>
        </w:rPr>
      </w:pPr>
      <w:r>
        <w:rPr>
          <w:rStyle w:val="Beiguvresatsauce"/>
          <w:noProof/>
        </w:rPr>
        <w:endnoteRef/>
      </w:r>
      <w:r>
        <w:t xml:space="preserve"> Tie ir šādi: Starptautiskais pakts par pilsoniskajām un politiskajām tiesībām, Starptautiskais pakts par ekonomiskajām, sociālajām un kultūras tiesībām, Konvencija pret spīdzināšanu un citiem nežēlīgas, necilvēcīgas vai pazemojošas izturēšanās vai sodīšanas veidiem, Starptautiskā konvencija par jebkuras rasu diskriminācijas izskaušanu, Starptautiskā konvencija par visu migrējošu darba ņēmēju un viņu ģimenes locekļu tiesību aizsardzību un Konvencija par jebkādas sieviešu diskriminācijas izskaušanu.</w:t>
      </w:r>
    </w:p>
    <w:p w:rsidR="002D69C3" w:rsidRPr="002D69C3" w:rsidRDefault="002D69C3" w:rsidP="002D69C3">
      <w:pPr>
        <w:pStyle w:val="Pamatteksts2"/>
        <w:tabs>
          <w:tab w:val="left" w:pos="912"/>
        </w:tabs>
        <w:spacing w:after="0" w:line="240" w:lineRule="auto"/>
        <w:jc w:val="both"/>
        <w:rPr>
          <w:noProof/>
        </w:rPr>
      </w:pPr>
    </w:p>
  </w:endnote>
  <w:endnote w:id="3">
    <w:p w:rsidR="007A4A64" w:rsidRDefault="007A4A64" w:rsidP="002D69C3">
      <w:pPr>
        <w:pStyle w:val="Beiguvresteksts"/>
        <w:spacing w:after="0"/>
        <w:jc w:val="both"/>
        <w:rPr>
          <w:noProof/>
          <w:lang w:val="en-US"/>
        </w:rPr>
      </w:pPr>
      <w:r>
        <w:rPr>
          <w:rStyle w:val="Beiguvresatsauce"/>
          <w:noProof/>
        </w:rPr>
        <w:endnoteRef/>
      </w:r>
      <w:r>
        <w:t xml:space="preserve"> Skatīt arī ziņojumus, ko komiteja sagatavoja pēc vispārējo diskusiju dienām, kuras bija veltītas tēmai “Vardarbība pret bērniem” un kuras notika 2000. un 2001. gadā, kā arī šajā saistība pieņemtos ieteikumus (sk. CRC/C/100,  V nod. un CRC/C/111, V nod.).</w:t>
      </w:r>
    </w:p>
    <w:p w:rsidR="002D69C3" w:rsidRPr="002D69C3" w:rsidRDefault="002D69C3" w:rsidP="002D69C3">
      <w:pPr>
        <w:pStyle w:val="Beiguvresteksts"/>
        <w:spacing w:after="0"/>
        <w:jc w:val="both"/>
        <w:rPr>
          <w:noProof/>
          <w:lang w:val="en-US"/>
        </w:rPr>
      </w:pPr>
    </w:p>
  </w:endnote>
  <w:endnote w:id="4">
    <w:p w:rsidR="007A4A64" w:rsidRDefault="007A4A64" w:rsidP="002D69C3">
      <w:pPr>
        <w:pStyle w:val="Beiguvresteksts"/>
        <w:spacing w:after="0"/>
        <w:jc w:val="both"/>
        <w:rPr>
          <w:noProof/>
          <w:lang w:val="en-US"/>
        </w:rPr>
      </w:pPr>
      <w:r>
        <w:rPr>
          <w:rStyle w:val="Beiguvresatsauce"/>
          <w:noProof/>
        </w:rPr>
        <w:endnoteRef/>
      </w:r>
      <w:r>
        <w:t xml:space="preserve"> Turpat.</w:t>
      </w:r>
    </w:p>
    <w:p w:rsidR="002D69C3" w:rsidRPr="002D69C3" w:rsidRDefault="002D69C3" w:rsidP="002D69C3">
      <w:pPr>
        <w:pStyle w:val="Beiguvresteksts"/>
        <w:spacing w:after="0"/>
        <w:jc w:val="both"/>
        <w:rPr>
          <w:noProof/>
          <w:lang w:val="en-US"/>
        </w:rPr>
      </w:pPr>
    </w:p>
  </w:endnote>
  <w:endnote w:id="5">
    <w:p w:rsidR="007A4A64" w:rsidRDefault="007A4A64" w:rsidP="002D69C3">
      <w:pPr>
        <w:pStyle w:val="Beiguvresteksts"/>
        <w:spacing w:after="0"/>
        <w:jc w:val="both"/>
        <w:rPr>
          <w:noProof/>
          <w:lang w:val="en-US"/>
        </w:rPr>
      </w:pPr>
      <w:r>
        <w:rPr>
          <w:rStyle w:val="Beiguvresatsauce"/>
          <w:noProof/>
        </w:rPr>
        <w:endnoteRef/>
      </w:r>
      <w:r>
        <w:t xml:space="preserve"> Kā ierosināts Pasaules Veselības organizācijas Pamatkonvencijā par tabakas kontroli (2003).</w:t>
      </w:r>
    </w:p>
    <w:p w:rsidR="002D69C3" w:rsidRPr="002D69C3" w:rsidRDefault="002D69C3" w:rsidP="002D69C3">
      <w:pPr>
        <w:pStyle w:val="Beiguvresteksts"/>
        <w:spacing w:after="0"/>
        <w:jc w:val="both"/>
        <w:rPr>
          <w:noProof/>
          <w:lang w:val="en-US"/>
        </w:rPr>
      </w:pPr>
    </w:p>
  </w:endnote>
  <w:endnote w:id="6">
    <w:p w:rsidR="007A4A64" w:rsidRDefault="007A4A64" w:rsidP="002D69C3">
      <w:pPr>
        <w:pStyle w:val="Beiguvresteksts"/>
        <w:spacing w:after="0"/>
        <w:jc w:val="both"/>
        <w:rPr>
          <w:noProof/>
          <w:lang w:val="en-US"/>
        </w:rPr>
      </w:pPr>
      <w:r>
        <w:rPr>
          <w:rStyle w:val="Beiguvresatsauce"/>
          <w:noProof/>
        </w:rPr>
        <w:endnoteRef/>
      </w:r>
      <w:r>
        <w:t xml:space="preserve"> Plašāka informācija par šo tematu ir sniegta dokumentā “Principi garīgi slimu personu aizsardzībai un garīgās veselības aprūpes uzlabošanai”, (pielikums ANO Ģenerālās Asamblejas 1991. gada 17. decembra rezolūcijai 46/119).</w:t>
      </w:r>
    </w:p>
    <w:p w:rsidR="002D69C3" w:rsidRPr="002D69C3" w:rsidRDefault="002D69C3" w:rsidP="002D69C3">
      <w:pPr>
        <w:pStyle w:val="Beiguvresteksts"/>
        <w:spacing w:after="0"/>
        <w:jc w:val="both"/>
        <w:rPr>
          <w:noProof/>
          <w:lang w:val="en-US"/>
        </w:rPr>
      </w:pPr>
    </w:p>
  </w:endnote>
  <w:endnote w:id="7">
    <w:p w:rsidR="007A4A64" w:rsidRDefault="007A4A64" w:rsidP="002D69C3">
      <w:pPr>
        <w:spacing w:after="0"/>
        <w:jc w:val="both"/>
        <w:rPr>
          <w:noProof/>
          <w:lang w:val="en-US"/>
        </w:rPr>
      </w:pPr>
      <w:r>
        <w:rPr>
          <w:rStyle w:val="Beiguvresatsauce"/>
          <w:noProof/>
        </w:rPr>
        <w:endnoteRef/>
      </w:r>
      <w:r>
        <w:t xml:space="preserve"> Turpat, jo īpaši 2., 3. un 7. princips.</w:t>
      </w:r>
    </w:p>
    <w:p w:rsidR="002D69C3" w:rsidRPr="002D69C3" w:rsidRDefault="002D69C3" w:rsidP="002D69C3">
      <w:pPr>
        <w:spacing w:after="0"/>
        <w:jc w:val="both"/>
        <w:rPr>
          <w:noProof/>
          <w:lang w:val="en-US"/>
        </w:rPr>
      </w:pPr>
    </w:p>
  </w:endnote>
  <w:endnote w:id="8">
    <w:p w:rsidR="007A4A64" w:rsidRDefault="007A4A64" w:rsidP="002D69C3">
      <w:pPr>
        <w:pStyle w:val="Beiguvresteksts"/>
        <w:spacing w:after="0"/>
        <w:jc w:val="both"/>
        <w:rPr>
          <w:noProof/>
          <w:lang w:val="en-US"/>
        </w:rPr>
      </w:pPr>
      <w:r>
        <w:rPr>
          <w:rStyle w:val="Beiguvresatsauce"/>
          <w:noProof/>
        </w:rPr>
        <w:endnoteRef/>
      </w:r>
      <w:r>
        <w:t xml:space="preserve"> Lai iegūtu plašāku inf</w:t>
      </w:r>
      <w:r w:rsidR="00D82788">
        <w:t>ormāciju par šo jautājumu, sk. V</w:t>
      </w:r>
      <w:r>
        <w:t>ispārējo komentāru Nr. 3 (2003) par HIV/AIDS un bērnu tiesībām.</w:t>
      </w:r>
    </w:p>
    <w:p w:rsidR="002D69C3" w:rsidRPr="002D69C3" w:rsidRDefault="002D69C3" w:rsidP="002D69C3">
      <w:pPr>
        <w:pStyle w:val="Beiguvresteksts"/>
        <w:spacing w:after="0"/>
        <w:jc w:val="both"/>
        <w:rPr>
          <w:noProof/>
          <w:lang w:val="en-US"/>
        </w:rPr>
      </w:pPr>
    </w:p>
  </w:endnote>
  <w:endnote w:id="9">
    <w:p w:rsidR="007A4A64" w:rsidRPr="002D69C3" w:rsidRDefault="007A4A64" w:rsidP="002D69C3">
      <w:pPr>
        <w:pStyle w:val="Beiguvresteksts"/>
        <w:spacing w:after="0"/>
        <w:jc w:val="both"/>
        <w:rPr>
          <w:noProof/>
          <w:lang w:val="en-US"/>
        </w:rPr>
      </w:pPr>
      <w:r>
        <w:rPr>
          <w:rStyle w:val="Beiguvresatsauce"/>
          <w:noProof/>
        </w:rPr>
        <w:endnoteRef/>
      </w:r>
      <w:r>
        <w:t xml:space="preserve"> ANO Paraugnoteikumi par vienlīdzīgām iespējām personai ar invaliditāti.</w:t>
      </w:r>
    </w:p>
    <w:p w:rsidR="002D69C3" w:rsidRDefault="002D69C3" w:rsidP="002D69C3">
      <w:pPr>
        <w:pStyle w:val="Beiguvresteksts"/>
        <w:spacing w:after="0"/>
        <w:jc w:val="both"/>
        <w:rPr>
          <w:noProof/>
          <w:lang w:val="en-US"/>
        </w:rPr>
      </w:pPr>
    </w:p>
    <w:p w:rsidR="007A4A64" w:rsidRPr="002D69C3" w:rsidRDefault="007A4A64" w:rsidP="002D69C3">
      <w:pPr>
        <w:pStyle w:val="Beiguvresteksts"/>
        <w:spacing w:after="0"/>
        <w:jc w:val="center"/>
        <w:rPr>
          <w:noProof/>
          <w:lang w:val="en-US"/>
        </w:rPr>
      </w:pPr>
      <w: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4A64" w:rsidRDefault="007A4A64" w:rsidP="00D82788">
    <w:pPr>
      <w:pStyle w:val="Kjene"/>
      <w:spacing w:after="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2788" w:rsidRPr="004F5D11" w:rsidRDefault="00D82788" w:rsidP="00D82788">
    <w:pPr>
      <w:pStyle w:val="Galvene"/>
      <w:tabs>
        <w:tab w:val="clear" w:pos="4320"/>
        <w:tab w:val="clear" w:pos="8640"/>
        <w:tab w:val="right" w:pos="9072"/>
      </w:tabs>
      <w:spacing w:after="0"/>
      <w:jc w:val="both"/>
      <w:rPr>
        <w:rStyle w:val="Lappusesnumurs"/>
        <w:sz w:val="20"/>
      </w:rPr>
    </w:pPr>
    <w:r w:rsidRPr="004F5D11">
      <w:rPr>
        <w:sz w:val="20"/>
      </w:rPr>
      <w:tab/>
    </w:r>
  </w:p>
  <w:p w:rsidR="00D82788" w:rsidRPr="004F5D11" w:rsidRDefault="00D82788" w:rsidP="00D82788">
    <w:pPr>
      <w:pStyle w:val="Galvene"/>
      <w:tabs>
        <w:tab w:val="clear" w:pos="4320"/>
        <w:tab w:val="clear" w:pos="8640"/>
        <w:tab w:val="right" w:leader="underscore" w:pos="9072"/>
      </w:tabs>
      <w:spacing w:after="0"/>
      <w:jc w:val="both"/>
      <w:rPr>
        <w:rStyle w:val="Lappusesnumurs"/>
        <w:sz w:val="20"/>
      </w:rPr>
    </w:pPr>
    <w:r>
      <w:rPr>
        <w:rStyle w:val="Lappusesnumurs"/>
        <w:sz w:val="20"/>
      </w:rPr>
      <w:tab/>
    </w:r>
  </w:p>
  <w:p w:rsidR="00D82788" w:rsidRPr="004F5D11" w:rsidRDefault="00D82788" w:rsidP="00D82788">
    <w:pPr>
      <w:pStyle w:val="Galvene"/>
      <w:tabs>
        <w:tab w:val="right" w:pos="9072"/>
      </w:tabs>
      <w:spacing w:after="0"/>
      <w:jc w:val="both"/>
      <w:rPr>
        <w:rStyle w:val="Lappusesnumurs"/>
        <w:sz w:val="20"/>
      </w:rPr>
    </w:pPr>
  </w:p>
  <w:p w:rsidR="00D82788" w:rsidRPr="004F5D11" w:rsidRDefault="00D82788" w:rsidP="00D82788">
    <w:pPr>
      <w:pStyle w:val="Kjene"/>
      <w:tabs>
        <w:tab w:val="clear" w:pos="4320"/>
        <w:tab w:val="clear" w:pos="8640"/>
        <w:tab w:val="right" w:pos="9072"/>
      </w:tabs>
      <w:spacing w:after="0"/>
      <w:jc w:val="both"/>
      <w:rPr>
        <w:sz w:val="20"/>
      </w:rPr>
    </w:pPr>
    <w:r w:rsidRPr="004F5D11">
      <w:rPr>
        <w:noProof/>
        <w:sz w:val="20"/>
      </w:rPr>
      <w:t xml:space="preserve">Tulkojums </w:t>
    </w:r>
    <w:r w:rsidRPr="004F5D11">
      <w:rPr>
        <w:noProof/>
        <w:sz w:val="20"/>
      </w:rPr>
      <w:fldChar w:fldCharType="begin"/>
    </w:r>
    <w:r w:rsidRPr="004F5D11">
      <w:rPr>
        <w:noProof/>
        <w:sz w:val="20"/>
      </w:rPr>
      <w:instrText>symbol 211 \f "Symbol" \s 9</w:instrText>
    </w:r>
    <w:r w:rsidRPr="004F5D11">
      <w:rPr>
        <w:noProof/>
        <w:sz w:val="20"/>
      </w:rPr>
      <w:fldChar w:fldCharType="separate"/>
    </w:r>
    <w:r w:rsidRPr="004F5D11">
      <w:rPr>
        <w:noProof/>
        <w:sz w:val="20"/>
      </w:rPr>
      <w:t>Ó</w:t>
    </w:r>
    <w:r w:rsidRPr="004F5D11">
      <w:rPr>
        <w:noProof/>
        <w:sz w:val="20"/>
      </w:rPr>
      <w:fldChar w:fldCharType="end"/>
    </w:r>
    <w:r>
      <w:rPr>
        <w:noProof/>
        <w:sz w:val="20"/>
      </w:rPr>
      <w:t xml:space="preserve"> Valsts valodas centrs, 2017</w:t>
    </w:r>
    <w:r w:rsidRPr="004F5D11">
      <w:rPr>
        <w:sz w:val="20"/>
      </w:rPr>
      <w:tab/>
    </w:r>
    <w:r w:rsidRPr="004F5D11">
      <w:rPr>
        <w:rStyle w:val="Lappusesnumurs"/>
        <w:sz w:val="20"/>
      </w:rPr>
      <w:fldChar w:fldCharType="begin"/>
    </w:r>
    <w:r w:rsidRPr="004F5D11">
      <w:rPr>
        <w:rStyle w:val="Lappusesnumurs"/>
        <w:sz w:val="20"/>
      </w:rPr>
      <w:instrText xml:space="preserve">page </w:instrText>
    </w:r>
    <w:r w:rsidRPr="004F5D11">
      <w:rPr>
        <w:rStyle w:val="Lappusesnumurs"/>
        <w:sz w:val="20"/>
      </w:rPr>
      <w:fldChar w:fldCharType="separate"/>
    </w:r>
    <w:r w:rsidR="00595B32">
      <w:rPr>
        <w:rStyle w:val="Lappusesnumurs"/>
        <w:noProof/>
        <w:sz w:val="20"/>
      </w:rPr>
      <w:t>11</w:t>
    </w:r>
    <w:r w:rsidRPr="004F5D11">
      <w:rPr>
        <w:rStyle w:val="Lappusesnumurs"/>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2788" w:rsidRPr="004F5D11" w:rsidRDefault="00D82788" w:rsidP="00D82788">
    <w:pPr>
      <w:pStyle w:val="Galvene"/>
      <w:tabs>
        <w:tab w:val="left" w:pos="9072"/>
      </w:tabs>
      <w:spacing w:after="0"/>
      <w:jc w:val="both"/>
      <w:rPr>
        <w:rStyle w:val="Lappusesnumurs"/>
        <w:sz w:val="20"/>
      </w:rPr>
    </w:pPr>
  </w:p>
  <w:p w:rsidR="00D82788" w:rsidRPr="004F5D11" w:rsidRDefault="00D82788" w:rsidP="00D82788">
    <w:pPr>
      <w:pStyle w:val="Galvene"/>
      <w:tabs>
        <w:tab w:val="clear" w:pos="4320"/>
        <w:tab w:val="clear" w:pos="8640"/>
        <w:tab w:val="left" w:leader="underscore" w:pos="9072"/>
      </w:tabs>
      <w:spacing w:after="0"/>
      <w:jc w:val="both"/>
      <w:rPr>
        <w:rStyle w:val="Lappusesnumurs"/>
        <w:sz w:val="20"/>
      </w:rPr>
    </w:pPr>
    <w:r>
      <w:rPr>
        <w:rStyle w:val="Lappusesnumurs"/>
        <w:sz w:val="20"/>
      </w:rPr>
      <w:tab/>
    </w:r>
  </w:p>
  <w:p w:rsidR="00D82788" w:rsidRPr="004F5D11" w:rsidRDefault="00D82788" w:rsidP="00D82788">
    <w:pPr>
      <w:pStyle w:val="Galvene"/>
      <w:tabs>
        <w:tab w:val="left" w:pos="9072"/>
      </w:tabs>
      <w:spacing w:after="0"/>
      <w:jc w:val="both"/>
      <w:rPr>
        <w:rStyle w:val="Lappusesnumurs"/>
        <w:sz w:val="20"/>
      </w:rPr>
    </w:pPr>
  </w:p>
  <w:p w:rsidR="00D82788" w:rsidRPr="004F5D11" w:rsidRDefault="00D82788" w:rsidP="00D82788">
    <w:pPr>
      <w:pStyle w:val="Kjene"/>
      <w:spacing w:after="0"/>
      <w:jc w:val="both"/>
      <w:rPr>
        <w:sz w:val="20"/>
      </w:rPr>
    </w:pPr>
    <w:r w:rsidRPr="004F5D11">
      <w:rPr>
        <w:noProof/>
        <w:sz w:val="20"/>
      </w:rPr>
      <w:t xml:space="preserve">Tulkojums </w:t>
    </w:r>
    <w:r w:rsidRPr="004F5D11">
      <w:rPr>
        <w:noProof/>
        <w:sz w:val="20"/>
      </w:rPr>
      <w:fldChar w:fldCharType="begin"/>
    </w:r>
    <w:r w:rsidRPr="004F5D11">
      <w:rPr>
        <w:noProof/>
        <w:sz w:val="20"/>
      </w:rPr>
      <w:instrText>symbol 211 \f "Symbol" \s 9</w:instrText>
    </w:r>
    <w:r w:rsidRPr="004F5D11">
      <w:rPr>
        <w:noProof/>
        <w:sz w:val="20"/>
      </w:rPr>
      <w:fldChar w:fldCharType="separate"/>
    </w:r>
    <w:r w:rsidRPr="004F5D11">
      <w:rPr>
        <w:noProof/>
        <w:sz w:val="20"/>
      </w:rPr>
      <w:t>Ó</w:t>
    </w:r>
    <w:r w:rsidRPr="004F5D11">
      <w:rPr>
        <w:noProof/>
        <w:sz w:val="20"/>
      </w:rPr>
      <w:fldChar w:fldCharType="end"/>
    </w:r>
    <w:r>
      <w:rPr>
        <w:noProof/>
        <w:sz w:val="20"/>
      </w:rPr>
      <w:t xml:space="preserve"> Valsts valodas centrs, 2017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4E0D" w:rsidRPr="007A4A64" w:rsidRDefault="002D69C3">
      <w:pPr>
        <w:spacing w:after="0"/>
        <w:rPr>
          <w:noProof/>
          <w:lang w:val="en-US"/>
        </w:rPr>
      </w:pPr>
      <w:r w:rsidRPr="007A4A64">
        <w:rPr>
          <w:noProof/>
          <w:lang w:val="en-US"/>
        </w:rPr>
        <w:separator/>
      </w:r>
    </w:p>
  </w:footnote>
  <w:footnote w:type="continuationSeparator" w:id="0">
    <w:p w:rsidR="00B74E0D" w:rsidRPr="007A4A64" w:rsidRDefault="002D69C3">
      <w:pPr>
        <w:spacing w:after="0"/>
        <w:rPr>
          <w:noProof/>
          <w:u w:val="single"/>
          <w:lang w:val="en-US"/>
        </w:rPr>
      </w:pPr>
      <w:r w:rsidRPr="007A4A64">
        <w:rPr>
          <w:noProof/>
          <w:u w:val="single"/>
          <w:lang w:val="en-US"/>
        </w:rPr>
        <w:tab/>
      </w:r>
      <w:r w:rsidRPr="007A4A64">
        <w:rPr>
          <w:noProof/>
          <w:u w:val="single"/>
          <w:lang w:val="en-US"/>
        </w:rPr>
        <w:tab/>
      </w:r>
      <w:r w:rsidRPr="007A4A64">
        <w:rPr>
          <w:noProof/>
          <w:u w:val="single"/>
          <w:lang w:val="en-US"/>
        </w:rPr>
        <w:tab/>
      </w:r>
      <w:r w:rsidRPr="007A4A64">
        <w:rPr>
          <w:noProof/>
          <w:u w:val="single"/>
          <w:lang w:val="en-US"/>
        </w:rPr>
        <w:tab/>
      </w:r>
    </w:p>
  </w:footnote>
  <w:footnote w:type="continuationNotice" w:id="1">
    <w:p w:rsidR="00B74E0D" w:rsidRDefault="00B74E0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2788" w:rsidRPr="004F5D11" w:rsidRDefault="00D82788" w:rsidP="00D82788">
    <w:pPr>
      <w:pStyle w:val="Galvene"/>
      <w:spacing w:after="0"/>
      <w:jc w:val="both"/>
      <w:rPr>
        <w:rStyle w:val="Lappusesnumurs"/>
        <w:sz w:val="20"/>
      </w:rPr>
    </w:pPr>
  </w:p>
  <w:p w:rsidR="00D82788" w:rsidRPr="004F5D11" w:rsidRDefault="00D82788" w:rsidP="00D82788">
    <w:pPr>
      <w:pStyle w:val="Galvene"/>
      <w:tabs>
        <w:tab w:val="clear" w:pos="4320"/>
        <w:tab w:val="clear" w:pos="8640"/>
        <w:tab w:val="right" w:leader="underscore" w:pos="9072"/>
      </w:tabs>
      <w:spacing w:after="0"/>
      <w:jc w:val="both"/>
      <w:rPr>
        <w:rStyle w:val="Lappusesnumurs"/>
        <w:sz w:val="20"/>
      </w:rPr>
    </w:pPr>
    <w:r>
      <w:rPr>
        <w:rStyle w:val="Lappusesnumurs"/>
        <w:sz w:val="20"/>
      </w:rPr>
      <w:tab/>
    </w:r>
  </w:p>
  <w:p w:rsidR="00D82788" w:rsidRPr="004F5D11" w:rsidRDefault="00D82788" w:rsidP="00D82788">
    <w:pPr>
      <w:pStyle w:val="Galvene"/>
      <w:spacing w:after="0"/>
      <w:jc w:val="both"/>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2788" w:rsidRPr="004F5D11" w:rsidRDefault="00D82788" w:rsidP="00D82788">
    <w:pPr>
      <w:pBdr>
        <w:bottom w:val="single" w:sz="12" w:space="5" w:color="auto"/>
      </w:pBdr>
      <w:spacing w:after="0"/>
      <w:jc w:val="both"/>
      <w:rPr>
        <w:spacing w:val="-2"/>
        <w:sz w:val="20"/>
      </w:rPr>
    </w:pPr>
  </w:p>
  <w:p w:rsidR="00D82788" w:rsidRPr="004F5D11" w:rsidRDefault="00D82788" w:rsidP="00D82788">
    <w:pPr>
      <w:pStyle w:val="Galvene"/>
      <w:spacing w:after="0"/>
      <w:jc w:val="both"/>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3F49C6"/>
    <w:multiLevelType w:val="singleLevel"/>
    <w:tmpl w:val="DE16A8C2"/>
    <w:lvl w:ilvl="0">
      <w:start w:val="1"/>
      <w:numFmt w:val="lowerRoman"/>
      <w:pStyle w:val="Rom2"/>
      <w:lvlText w:val="(%1)"/>
      <w:lvlJc w:val="right"/>
      <w:pPr>
        <w:tabs>
          <w:tab w:val="num" w:pos="2160"/>
        </w:tabs>
        <w:ind w:left="2160" w:hanging="516"/>
      </w:pPr>
    </w:lvl>
  </w:abstractNum>
  <w:abstractNum w:abstractNumId="1" w15:restartNumberingAfterBreak="0">
    <w:nsid w:val="3CB061AB"/>
    <w:multiLevelType w:val="singleLevel"/>
    <w:tmpl w:val="66CAD4CC"/>
    <w:lvl w:ilvl="0">
      <w:start w:val="1"/>
      <w:numFmt w:val="decimal"/>
      <w:pStyle w:val="ParaNo"/>
      <w:lvlText w:val="%1."/>
      <w:lvlJc w:val="left"/>
      <w:pPr>
        <w:tabs>
          <w:tab w:val="num" w:pos="360"/>
        </w:tabs>
        <w:ind w:left="-1" w:firstLine="1"/>
      </w:pPr>
      <w:rPr>
        <w:rFonts w:hint="default"/>
      </w:rPr>
    </w:lvl>
  </w:abstractNum>
  <w:abstractNum w:abstractNumId="2" w15:restartNumberingAfterBreak="0">
    <w:nsid w:val="7CF349BD"/>
    <w:multiLevelType w:val="singleLevel"/>
    <w:tmpl w:val="B61AAC56"/>
    <w:lvl w:ilvl="0">
      <w:start w:val="1"/>
      <w:numFmt w:val="lowerRoman"/>
      <w:pStyle w:val="Rom1"/>
      <w:lvlText w:val="(%1)"/>
      <w:lvlJc w:val="right"/>
      <w:pPr>
        <w:tabs>
          <w:tab w:val="num" w:pos="1440"/>
        </w:tabs>
        <w:ind w:left="1440" w:hanging="589"/>
      </w:pPr>
      <w:rPr>
        <w:rFonts w:hint="default"/>
      </w:rPr>
    </w:lvl>
  </w:abstractNum>
  <w:num w:numId="1">
    <w:abstractNumId w:val="1"/>
  </w:num>
  <w:num w:numId="2">
    <w:abstractNumId w:val="2"/>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PersonalInformation/>
  <w:removeDateAndTime/>
  <w:hideSpellingErrors/>
  <w:hideGrammaticalErrors/>
  <w:defaultTabStop w:val="720"/>
  <w:doNotHyphenateCaps/>
  <w:drawingGridHorizontalSpacing w:val="39"/>
  <w:drawingGridVerticalSpacing w:val="107"/>
  <w:displayHorizontalDrawingGridEvery w:val="0"/>
  <w:displayVerticalDrawingGridEvery w:val="0"/>
  <w:noPunctuationKerning/>
  <w:characterSpacingControl w:val="doNotCompress"/>
  <w:hdrShapeDefaults>
    <o:shapedefaults v:ext="edit" spidmax="9217"/>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4E0D"/>
    <w:rsid w:val="001C229C"/>
    <w:rsid w:val="002D69C3"/>
    <w:rsid w:val="003F30A8"/>
    <w:rsid w:val="00595B32"/>
    <w:rsid w:val="007A4A64"/>
    <w:rsid w:val="008260F2"/>
    <w:rsid w:val="00B74E0D"/>
    <w:rsid w:val="00D82788"/>
    <w:rsid w:val="00F967A2"/>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14:docId w14:val="53A35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lv-LV"/>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pPr>
      <w:spacing w:after="240"/>
    </w:pPr>
    <w:rPr>
      <w:sz w:val="24"/>
    </w:rPr>
  </w:style>
  <w:style w:type="paragraph" w:styleId="Virsraksts1">
    <w:name w:val="heading 1"/>
    <w:basedOn w:val="Parasts"/>
    <w:next w:val="Parasts"/>
    <w:qFormat/>
    <w:pPr>
      <w:keepNext/>
      <w:jc w:val="center"/>
      <w:outlineLvl w:val="0"/>
    </w:pPr>
    <w:rPr>
      <w:b/>
      <w:caps/>
    </w:rPr>
  </w:style>
  <w:style w:type="paragraph" w:styleId="Virsraksts2">
    <w:name w:val="heading 2"/>
    <w:basedOn w:val="Parasts"/>
    <w:next w:val="Parasts"/>
    <w:qFormat/>
    <w:pPr>
      <w:keepNext/>
      <w:jc w:val="center"/>
      <w:outlineLvl w:val="1"/>
    </w:pPr>
    <w:rPr>
      <w:b/>
    </w:rPr>
  </w:style>
  <w:style w:type="paragraph" w:styleId="Virsraksts3">
    <w:name w:val="heading 3"/>
    <w:basedOn w:val="Parasts"/>
    <w:next w:val="Parasts"/>
    <w:qFormat/>
    <w:pPr>
      <w:keepNext/>
      <w:outlineLvl w:val="2"/>
    </w:pPr>
    <w:rPr>
      <w:b/>
    </w:rPr>
  </w:style>
  <w:style w:type="paragraph" w:styleId="Virsraksts4">
    <w:name w:val="heading 4"/>
    <w:basedOn w:val="Parasts"/>
    <w:next w:val="Parasts"/>
    <w:qFormat/>
    <w:pPr>
      <w:keepNext/>
      <w:outlineLvl w:val="3"/>
    </w:pPr>
    <w:rPr>
      <w:i/>
    </w:rPr>
  </w:style>
  <w:style w:type="paragraph" w:styleId="Virsraksts5">
    <w:name w:val="heading 5"/>
    <w:basedOn w:val="Parasts"/>
    <w:next w:val="Parasts"/>
    <w:qFormat/>
    <w:pPr>
      <w:keepNext/>
      <w:outlineLvl w:val="4"/>
    </w:pPr>
    <w:rPr>
      <w:b/>
      <w:i/>
    </w:rPr>
  </w:style>
  <w:style w:type="paragraph" w:styleId="Virsraksts6">
    <w:name w:val="heading 6"/>
    <w:basedOn w:val="Parasts"/>
    <w:next w:val="Parasts"/>
    <w:qFormat/>
    <w:pPr>
      <w:keepNext/>
      <w:outlineLvl w:val="5"/>
    </w:pPr>
    <w:rPr>
      <w:b/>
      <w:caps/>
    </w:rPr>
  </w:style>
  <w:style w:type="paragraph" w:styleId="Virsraksts7">
    <w:name w:val="heading 7"/>
    <w:basedOn w:val="Parasts"/>
    <w:next w:val="Parasts"/>
    <w:qFormat/>
    <w:pPr>
      <w:jc w:val="center"/>
      <w:outlineLvl w:val="6"/>
    </w:pPr>
    <w:rPr>
      <w:caps/>
    </w:rPr>
  </w:style>
  <w:style w:type="paragraph" w:styleId="Virsraksts8">
    <w:name w:val="heading 8"/>
    <w:basedOn w:val="Parasts"/>
    <w:next w:val="Parasts"/>
    <w:qFormat/>
    <w:pPr>
      <w:keepNext/>
      <w:outlineLvl w:val="7"/>
    </w:pPr>
  </w:style>
  <w:style w:type="paragraph" w:styleId="Virsraksts9">
    <w:name w:val="heading 9"/>
    <w:basedOn w:val="Parasts"/>
    <w:next w:val="Parasts"/>
    <w:qFormat/>
    <w:pPr>
      <w:keepNext/>
      <w:outlineLvl w:val="8"/>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pPr>
      <w:tabs>
        <w:tab w:val="center" w:pos="4320"/>
        <w:tab w:val="right" w:pos="8640"/>
      </w:tabs>
    </w:pPr>
  </w:style>
  <w:style w:type="paragraph" w:styleId="Kjene">
    <w:name w:val="footer"/>
    <w:basedOn w:val="Parasts"/>
    <w:link w:val="KjeneRakstz"/>
    <w:pPr>
      <w:tabs>
        <w:tab w:val="center" w:pos="4320"/>
        <w:tab w:val="right" w:pos="8640"/>
      </w:tabs>
    </w:pPr>
  </w:style>
  <w:style w:type="paragraph" w:customStyle="1" w:styleId="Rom1">
    <w:name w:val="Rom1"/>
    <w:basedOn w:val="Parasts"/>
    <w:pPr>
      <w:numPr>
        <w:numId w:val="2"/>
      </w:numPr>
      <w:ind w:left="1441" w:hanging="590"/>
    </w:pPr>
  </w:style>
  <w:style w:type="paragraph" w:customStyle="1" w:styleId="Rom2">
    <w:name w:val="Rom2"/>
    <w:basedOn w:val="Parasts"/>
    <w:pPr>
      <w:numPr>
        <w:numId w:val="3"/>
      </w:numPr>
    </w:pPr>
  </w:style>
  <w:style w:type="paragraph" w:customStyle="1" w:styleId="ParaNo">
    <w:name w:val="ParaNo."/>
    <w:basedOn w:val="Parasts"/>
    <w:pPr>
      <w:numPr>
        <w:numId w:val="1"/>
      </w:numPr>
      <w:tabs>
        <w:tab w:val="left" w:pos="737"/>
      </w:tabs>
    </w:pPr>
  </w:style>
  <w:style w:type="character" w:styleId="Vresatsauce">
    <w:name w:val="footnote reference"/>
    <w:semiHidden/>
    <w:rPr>
      <w:b/>
      <w:vertAlign w:val="superscript"/>
    </w:rPr>
  </w:style>
  <w:style w:type="paragraph" w:styleId="Vresteksts">
    <w:name w:val="footnote text"/>
    <w:basedOn w:val="Parasts"/>
    <w:semiHidden/>
  </w:style>
  <w:style w:type="character" w:styleId="Lappusesnumurs">
    <w:name w:val="page number"/>
    <w:basedOn w:val="Noklusjumarindkopasfonts"/>
    <w:semiHidden/>
  </w:style>
  <w:style w:type="paragraph" w:styleId="Pamattekstsaratkpi">
    <w:name w:val="Body Text Indent"/>
    <w:basedOn w:val="Parasts"/>
    <w:semiHidden/>
    <w:pPr>
      <w:tabs>
        <w:tab w:val="left" w:pos="851"/>
      </w:tabs>
      <w:spacing w:after="0"/>
      <w:ind w:left="567"/>
    </w:pPr>
  </w:style>
  <w:style w:type="paragraph" w:styleId="Beiguvresteksts">
    <w:name w:val="endnote text"/>
    <w:basedOn w:val="Parasts"/>
    <w:semiHidden/>
  </w:style>
  <w:style w:type="character" w:styleId="Beiguvresatsauce">
    <w:name w:val="endnote reference"/>
    <w:semiHidden/>
    <w:rPr>
      <w:b/>
      <w:sz w:val="24"/>
      <w:vertAlign w:val="superscript"/>
    </w:rPr>
  </w:style>
  <w:style w:type="paragraph" w:styleId="Pamatteksts2">
    <w:name w:val="Body Text 2"/>
    <w:basedOn w:val="Parasts"/>
    <w:semiHidden/>
    <w:pPr>
      <w:spacing w:after="120" w:line="480" w:lineRule="auto"/>
    </w:pPr>
    <w:rPr>
      <w:szCs w:val="24"/>
    </w:rPr>
  </w:style>
  <w:style w:type="paragraph" w:styleId="Pamattekstaatkpe3">
    <w:name w:val="Body Text Indent 3"/>
    <w:basedOn w:val="Parasts"/>
    <w:semiHidden/>
    <w:pPr>
      <w:spacing w:after="120"/>
      <w:ind w:left="283"/>
    </w:pPr>
    <w:rPr>
      <w:sz w:val="16"/>
      <w:szCs w:val="16"/>
    </w:rPr>
  </w:style>
  <w:style w:type="paragraph" w:styleId="Pamattekstaatkpe2">
    <w:name w:val="Body Text Indent 2"/>
    <w:basedOn w:val="Parasts"/>
    <w:semiHidden/>
    <w:pPr>
      <w:spacing w:after="120" w:line="480" w:lineRule="auto"/>
      <w:ind w:left="283"/>
    </w:pPr>
    <w:rPr>
      <w:szCs w:val="24"/>
    </w:rPr>
  </w:style>
  <w:style w:type="paragraph" w:styleId="Pamatteksts">
    <w:name w:val="Body Text"/>
    <w:basedOn w:val="Parasts"/>
    <w:semiHidden/>
    <w:pPr>
      <w:spacing w:after="120"/>
    </w:pPr>
    <w:rPr>
      <w:szCs w:val="24"/>
    </w:rPr>
  </w:style>
  <w:style w:type="paragraph" w:styleId="Komentrateksts">
    <w:name w:val="annotation text"/>
    <w:basedOn w:val="Parasts"/>
    <w:uiPriority w:val="99"/>
    <w:semiHidden/>
    <w:unhideWhenUsed/>
    <w:rPr>
      <w:sz w:val="20"/>
    </w:rPr>
  </w:style>
  <w:style w:type="character" w:styleId="Komentraatsauce">
    <w:name w:val="annotation reference"/>
    <w:basedOn w:val="Noklusjumarindkopasfonts"/>
    <w:uiPriority w:val="99"/>
    <w:semiHidden/>
    <w:unhideWhenUsed/>
    <w:rPr>
      <w:sz w:val="16"/>
      <w:szCs w:val="16"/>
    </w:rPr>
  </w:style>
  <w:style w:type="paragraph" w:styleId="Balonteksts">
    <w:name w:val="Balloon Text"/>
    <w:basedOn w:val="Parasts"/>
    <w:link w:val="BalontekstsRakstz"/>
    <w:uiPriority w:val="99"/>
    <w:semiHidden/>
    <w:unhideWhenUsed/>
    <w:rsid w:val="00D82788"/>
    <w:pPr>
      <w:spacing w:after="0"/>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82788"/>
    <w:rPr>
      <w:rFonts w:ascii="Segoe UI" w:hAnsi="Segoe UI" w:cs="Segoe UI"/>
      <w:sz w:val="18"/>
      <w:szCs w:val="18"/>
    </w:rPr>
  </w:style>
  <w:style w:type="character" w:customStyle="1" w:styleId="GalveneRakstz">
    <w:name w:val="Galvene Rakstz."/>
    <w:basedOn w:val="Noklusjumarindkopasfonts"/>
    <w:link w:val="Galvene"/>
    <w:uiPriority w:val="99"/>
    <w:rsid w:val="00D82788"/>
    <w:rPr>
      <w:sz w:val="24"/>
    </w:rPr>
  </w:style>
  <w:style w:type="character" w:customStyle="1" w:styleId="KjeneRakstz">
    <w:name w:val="Kājene Rakstz."/>
    <w:basedOn w:val="Noklusjumarindkopasfonts"/>
    <w:link w:val="Kjene"/>
    <w:uiPriority w:val="99"/>
    <w:rsid w:val="00D8278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25119</Words>
  <Characters>14318</Characters>
  <Application>Microsoft Office Word</Application>
  <DocSecurity>0</DocSecurity>
  <Lines>119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2017-05-12T05:56:00Z</dcterms:created>
  <dcterms:modified xsi:type="dcterms:W3CDTF">2017-08-17T09:56:00Z</dcterms:modified>
</cp:coreProperties>
</file>