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right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i/>
          <w:noProof/>
          <w:sz w:val="24"/>
        </w:rPr>
        <w:t>ED</w:t>
      </w:r>
      <w:r>
        <w:rPr>
          <w:rFonts w:ascii="Times New Roman" w:hAnsi="Times New Roman"/>
          <w:noProof/>
          <w:sz w:val="24"/>
        </w:rPr>
        <w:t xml:space="preserve"> Lēmums Nr. 2012/006/R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right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19.04.2012.</w:t>
      </w:r>
    </w:p>
    <w:p w:rsidR="00756224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 w:cs="Times New Roman"/>
          <w:noProof/>
          <w:sz w:val="24"/>
        </w:rPr>
      </w:pPr>
    </w:p>
    <w:p w:rsidR="00F646A2" w:rsidRDefault="00F646A2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5"/>
      </w:tblGrid>
      <w:tr w:rsidR="00F646A2" w:rsidTr="00F646A2">
        <w:tc>
          <w:tcPr>
            <w:tcW w:w="9065" w:type="dxa"/>
            <w:tcBorders>
              <w:bottom w:val="single" w:sz="48" w:space="0" w:color="000080"/>
            </w:tcBorders>
          </w:tcPr>
          <w:p w:rsidR="00F646A2" w:rsidRPr="00F646A2" w:rsidRDefault="00F646A2" w:rsidP="00F646A2">
            <w:pPr>
              <w:pStyle w:val="BodyText"/>
              <w:widowControl/>
              <w:kinsoku w:val="0"/>
              <w:overflowPunct w:val="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color w:val="000080"/>
                <w:sz w:val="36"/>
                <w:szCs w:val="36"/>
              </w:rPr>
            </w:pPr>
            <w:r w:rsidRPr="00F646A2">
              <w:rPr>
                <w:rFonts w:ascii="Times New Roman" w:hAnsi="Times New Roman"/>
                <w:b/>
                <w:i/>
                <w:noProof/>
                <w:color w:val="000080"/>
                <w:sz w:val="36"/>
                <w:szCs w:val="36"/>
              </w:rPr>
              <w:t>Eiropas Aviācijas drošības aģentūra</w:t>
            </w:r>
          </w:p>
        </w:tc>
      </w:tr>
    </w:tbl>
    <w:p w:rsidR="00F646A2" w:rsidRPr="00646E59" w:rsidRDefault="00F646A2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 w:cs="Times New Roman"/>
          <w:noProof/>
          <w:sz w:val="24"/>
        </w:rPr>
      </w:pPr>
    </w:p>
    <w:p w:rsidR="00756224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b/>
          <w:bCs/>
          <w:i/>
          <w:iCs/>
          <w:noProof/>
          <w:sz w:val="24"/>
          <w:szCs w:val="16"/>
        </w:rPr>
      </w:pPr>
    </w:p>
    <w:p w:rsidR="00F646A2" w:rsidRPr="00646E59" w:rsidRDefault="00F646A2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b/>
          <w:bCs/>
          <w:i/>
          <w:iCs/>
          <w:noProof/>
          <w:sz w:val="24"/>
          <w:szCs w:val="16"/>
        </w:rPr>
      </w:pP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AĢENTŪRAS IZPILDDIREKTORA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LĒMUMS NR. 2012/006/DIRECTORATE R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b/>
          <w:bCs/>
          <w:noProof/>
          <w:sz w:val="24"/>
          <w:szCs w:val="19"/>
        </w:rPr>
      </w:pP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2012. GADA 19. APRĪLĪ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b/>
          <w:bCs/>
          <w:noProof/>
          <w:sz w:val="24"/>
          <w:szCs w:val="22"/>
        </w:rPr>
      </w:pP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center"/>
        <w:rPr>
          <w:rFonts w:ascii="Times New Roman" w:hAnsi="Times New Roman"/>
          <w:b/>
          <w:bCs/>
          <w:noProof/>
          <w:sz w:val="24"/>
          <w:szCs w:val="16"/>
        </w:rPr>
      </w:pPr>
      <w:r>
        <w:rPr>
          <w:rFonts w:ascii="Times New Roman" w:hAnsi="Times New Roman"/>
          <w:b/>
          <w:noProof/>
          <w:sz w:val="24"/>
        </w:rPr>
        <w:t>PAR</w:t>
      </w:r>
    </w:p>
    <w:p w:rsidR="00756224" w:rsidRPr="00646E59" w:rsidRDefault="00463BEE" w:rsidP="00F646A2">
      <w:pPr>
        <w:pStyle w:val="BodyText"/>
        <w:widowControl/>
        <w:kinsoku w:val="0"/>
        <w:overflowPunct w:val="0"/>
        <w:ind w:left="0"/>
        <w:jc w:val="center"/>
        <w:rPr>
          <w:rFonts w:ascii="Times New Roman" w:hAnsi="Times New Roman"/>
          <w:noProof/>
          <w:sz w:val="24"/>
          <w:szCs w:val="16"/>
        </w:rPr>
      </w:pPr>
      <w:r>
        <w:rPr>
          <w:rFonts w:ascii="Times New Roman" w:hAnsi="Times New Roman"/>
          <w:b/>
          <w:noProof/>
          <w:sz w:val="24"/>
        </w:rPr>
        <w:t xml:space="preserve">ATTIECĪGAJIEM LĪDZEKĻIEM ATBILSTĪBAS PANĀKŠANAI UN VADLĪNIJĀM </w:t>
      </w:r>
      <w:r w:rsidR="00756224">
        <w:rPr>
          <w:rFonts w:ascii="Times New Roman" w:hAnsi="Times New Roman"/>
          <w:b/>
          <w:noProof/>
          <w:sz w:val="24"/>
        </w:rPr>
        <w:t>ATTIECĪBĀ UZ KOMISIJAS REGULU (ES) NR. 1178/2011 (2011. GADA 3. NOVEMBRIS),</w:t>
      </w:r>
      <w:r w:rsidR="00756224">
        <w:rPr>
          <w:rStyle w:val="FootnoteReference"/>
          <w:rFonts w:ascii="Times New Roman" w:hAnsi="Times New Roman"/>
          <w:b/>
          <w:noProof/>
          <w:sz w:val="24"/>
        </w:rPr>
        <w:footnoteReference w:id="1"/>
      </w:r>
      <w:r w:rsidR="00F646A2">
        <w:rPr>
          <w:rFonts w:ascii="Times New Roman" w:hAnsi="Times New Roman"/>
          <w:noProof/>
          <w:sz w:val="24"/>
        </w:rPr>
        <w:t xml:space="preserve"> </w:t>
      </w:r>
      <w:r w:rsidR="00756224">
        <w:rPr>
          <w:rFonts w:ascii="Times New Roman" w:hAnsi="Times New Roman"/>
          <w:b/>
          <w:noProof/>
          <w:sz w:val="24"/>
        </w:rPr>
        <w:t>AR KO NOSAKA TEHNISKĀS PRASĪBAS UN ADMINISTRATĪVĀS PROCEDŪRAS ATTIECĪBĀ UZ CIVILĀS AVIĀCIJAS GAISA KUĢA APKALPI ATBILSTĪGI EIROPAS PARLAMENTA UN PADOMES REGULAI (EK) Nr. 216/2008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rPr>
          <w:rFonts w:ascii="Times New Roman" w:hAnsi="Times New Roman"/>
          <w:b/>
          <w:bCs/>
          <w:noProof/>
          <w:sz w:val="24"/>
          <w:szCs w:val="19"/>
        </w:rPr>
      </w:pP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“</w:t>
      </w:r>
      <w:r w:rsidR="00463BEE">
        <w:rPr>
          <w:rFonts w:ascii="Times New Roman" w:hAnsi="Times New Roman"/>
          <w:b/>
          <w:noProof/>
          <w:sz w:val="24"/>
        </w:rPr>
        <w:t xml:space="preserve">ATTIECĪGIEM LĪDZEKĻI ATBILSTĪBAS PANĀKŠANAI UN VADLĪNIJAS </w:t>
      </w:r>
      <w:r>
        <w:rPr>
          <w:rFonts w:ascii="Times New Roman" w:hAnsi="Times New Roman"/>
          <w:b/>
          <w:noProof/>
          <w:sz w:val="24"/>
        </w:rPr>
        <w:t xml:space="preserve">ATTIECĪBĀ UZ </w:t>
      </w:r>
      <w:r>
        <w:rPr>
          <w:rFonts w:ascii="Times New Roman" w:hAnsi="Times New Roman"/>
          <w:b/>
          <w:i/>
          <w:noProof/>
          <w:sz w:val="24"/>
        </w:rPr>
        <w:t>ARA</w:t>
      </w:r>
      <w:r>
        <w:rPr>
          <w:rFonts w:ascii="Times New Roman" w:hAnsi="Times New Roman"/>
          <w:b/>
          <w:noProof/>
          <w:sz w:val="24"/>
        </w:rPr>
        <w:t> DAĻU”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b/>
          <w:bCs/>
          <w:noProof/>
          <w:sz w:val="24"/>
          <w:szCs w:val="19"/>
        </w:rPr>
      </w:pP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EIROPAS AVIĀCIJAS DROŠĪBAS AĢENTŪRAS IZPILDDIREKTORS,</w:t>
      </w:r>
    </w:p>
    <w:p w:rsidR="00133007" w:rsidRDefault="00133007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ņemot vērā Eiropas Parlamenta un Padomes Regulu (EK) Nr. 216/2008 (2008. gada 20. februāris) par kopīgiem noteikumiem civilās aviācijas jomā un Eiropas Aviācijas drošības aģentūras (turpmāk – “aģentūra”) izveidi, ar ko atceļ Padomes Direktīvu 91/670/EEK, Regulu (EK) Nr. 1592/2002 un Direktīvu 2004/36/EK</w:t>
      </w:r>
      <w:r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noProof/>
          <w:sz w:val="24"/>
        </w:rPr>
        <w:t xml:space="preserve"> (turpmāk – “pamatregula”), jo īpaši tās 4. panta 2. punktu, 7. pantu un III pielikumu, un</w:t>
      </w:r>
    </w:p>
    <w:p w:rsidR="002F117D" w:rsidRDefault="002F117D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ņemot vērā Komisijas regulu (ES) Nr. 290/2012 (2012. gada 30. marts), ar kuru groza Regulu (ES) Nr. 1178/2011, ar ko nosaka tehniskās prasības un administratīvās procedūras attiecībā uz civilās aviācijas gaisa kuģu apkalpi atbilstīgi Eiropas Parlamenta un Padomes Regulai (EK) Nr. 216/2008, jo īpaši tās VI pielikumu “IESTĀŽU PRASĪBAS LIDOJUMA APKALPEI” (</w:t>
      </w:r>
      <w:r>
        <w:rPr>
          <w:rFonts w:ascii="Times New Roman" w:hAnsi="Times New Roman"/>
          <w:i/>
          <w:noProof/>
          <w:sz w:val="24"/>
        </w:rPr>
        <w:t>ARA</w:t>
      </w:r>
      <w:r>
        <w:rPr>
          <w:rFonts w:ascii="Times New Roman" w:hAnsi="Times New Roman"/>
          <w:noProof/>
          <w:sz w:val="24"/>
        </w:rPr>
        <w:t> daļa),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  <w:szCs w:val="29"/>
        </w:rPr>
      </w:pPr>
    </w:p>
    <w:p w:rsidR="00756224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TĀ KĀ</w:t>
      </w:r>
    </w:p>
    <w:p w:rsidR="00F646A2" w:rsidRPr="00646E59" w:rsidRDefault="00F646A2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</w:p>
    <w:p w:rsidR="00756224" w:rsidRDefault="00756224" w:rsidP="00F646A2">
      <w:pPr>
        <w:pStyle w:val="BodyText"/>
        <w:widowControl/>
        <w:numPr>
          <w:ilvl w:val="0"/>
          <w:numId w:val="1"/>
        </w:numPr>
        <w:tabs>
          <w:tab w:val="left" w:pos="709"/>
        </w:tabs>
        <w:kinsoku w:val="0"/>
        <w:overflowPunct w:val="0"/>
        <w:ind w:left="709" w:hanging="709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aģentūra, ievērojot pamatregulas 18. pantu, izdod atbilstības noteikšanas pieņemamās metodes un arī norādījumus attiecībā uz pamatregulas un tās īstenošanas noteikumu piemērošanu;</w:t>
      </w:r>
    </w:p>
    <w:p w:rsidR="00F646A2" w:rsidRPr="00646E59" w:rsidRDefault="00F646A2" w:rsidP="00F646A2">
      <w:pPr>
        <w:pStyle w:val="BodyText"/>
        <w:widowControl/>
        <w:tabs>
          <w:tab w:val="left" w:pos="709"/>
        </w:tabs>
        <w:kinsoku w:val="0"/>
        <w:overflowPunct w:val="0"/>
        <w:ind w:left="709"/>
        <w:jc w:val="both"/>
        <w:rPr>
          <w:rFonts w:ascii="Times New Roman" w:hAnsi="Times New Roman"/>
          <w:noProof/>
          <w:sz w:val="24"/>
        </w:rPr>
      </w:pPr>
    </w:p>
    <w:p w:rsidR="00756224" w:rsidRPr="00332103" w:rsidRDefault="00756224" w:rsidP="00F646A2">
      <w:pPr>
        <w:pStyle w:val="BodyText"/>
        <w:widowControl/>
        <w:numPr>
          <w:ilvl w:val="0"/>
          <w:numId w:val="1"/>
        </w:numPr>
        <w:tabs>
          <w:tab w:val="left" w:pos="709"/>
        </w:tabs>
        <w:kinsoku w:val="0"/>
        <w:overflowPunct w:val="0"/>
        <w:ind w:left="709" w:hanging="709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t>aģentūra, ievērojot pamatregulas 52. panta 1. punkta c) apakšpunktu un Noteikumu sagatavošanas procedūras 5. panta 3. punktu un 6. pantu</w:t>
      </w:r>
      <w:r>
        <w:rPr>
          <w:rStyle w:val="FootnoteReference"/>
          <w:rFonts w:ascii="Times New Roman" w:hAnsi="Times New Roman"/>
          <w:noProof/>
          <w:sz w:val="24"/>
        </w:rPr>
        <w:footnoteReference w:id="3"/>
      </w:r>
      <w:r>
        <w:rPr>
          <w:rFonts w:ascii="Times New Roman" w:hAnsi="Times New Roman"/>
          <w:noProof/>
          <w:sz w:val="24"/>
        </w:rPr>
        <w:t>, veica plašu apspriešanos ar interesentiem par šā lēmuma darbības jomā ietilpstošajiem jautājumiem un pēc tam ir sniegusi rakstisku atbildi uz saņemtajiem komentāriem</w:t>
      </w:r>
      <w:r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rFonts w:ascii="Times New Roman" w:hAnsi="Times New Roman"/>
          <w:noProof/>
          <w:sz w:val="24"/>
        </w:rPr>
        <w:t>;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  <w:szCs w:val="19"/>
        </w:rPr>
      </w:pP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IR NOLĒMUSI: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  <w:szCs w:val="29"/>
        </w:rPr>
      </w:pPr>
    </w:p>
    <w:p w:rsidR="00756224" w:rsidRPr="00646E59" w:rsidRDefault="00756224" w:rsidP="00F646A2">
      <w:pPr>
        <w:pStyle w:val="Heading1"/>
        <w:widowControl/>
        <w:kinsoku w:val="0"/>
        <w:overflowPunct w:val="0"/>
        <w:ind w:left="0"/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1. pants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“</w:t>
      </w:r>
      <w:r w:rsidR="00463BEE">
        <w:rPr>
          <w:rFonts w:ascii="Times New Roman" w:hAnsi="Times New Roman"/>
          <w:noProof/>
          <w:sz w:val="24"/>
        </w:rPr>
        <w:t xml:space="preserve">Attiecīgie līdzekļi atbilstības panākšanai un vadlīnijas </w:t>
      </w:r>
      <w:r>
        <w:rPr>
          <w:rFonts w:ascii="Times New Roman" w:hAnsi="Times New Roman"/>
          <w:noProof/>
          <w:sz w:val="24"/>
        </w:rPr>
        <w:t xml:space="preserve">attiecībā uz </w:t>
      </w:r>
      <w:r>
        <w:rPr>
          <w:rFonts w:ascii="Times New Roman" w:hAnsi="Times New Roman"/>
          <w:i/>
          <w:noProof/>
          <w:sz w:val="24"/>
        </w:rPr>
        <w:t>A</w:t>
      </w:r>
      <w:bookmarkStart w:id="0" w:name="_GoBack"/>
      <w:bookmarkEnd w:id="0"/>
      <w:r>
        <w:rPr>
          <w:rFonts w:ascii="Times New Roman" w:hAnsi="Times New Roman"/>
          <w:i/>
          <w:noProof/>
          <w:sz w:val="24"/>
        </w:rPr>
        <w:t>RA</w:t>
      </w:r>
      <w:r w:rsidR="00463BEE">
        <w:rPr>
          <w:rFonts w:ascii="Times New Roman" w:hAnsi="Times New Roman"/>
          <w:noProof/>
          <w:sz w:val="24"/>
        </w:rPr>
        <w:t> daļu” ir sniegtas</w:t>
      </w:r>
      <w:r>
        <w:rPr>
          <w:rFonts w:ascii="Times New Roman" w:hAnsi="Times New Roman"/>
          <w:noProof/>
          <w:sz w:val="24"/>
        </w:rPr>
        <w:t xml:space="preserve"> šā lēmuma pielikumā.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  <w:szCs w:val="29"/>
        </w:rPr>
      </w:pPr>
    </w:p>
    <w:p w:rsidR="00756224" w:rsidRPr="00646E59" w:rsidRDefault="00756224" w:rsidP="00F646A2">
      <w:pPr>
        <w:pStyle w:val="Heading1"/>
        <w:widowControl/>
        <w:kinsoku w:val="0"/>
        <w:overflowPunct w:val="0"/>
        <w:ind w:left="0"/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2. pants</w:t>
      </w: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Šis lēmums stājas spēkā 2012. gada 20. aprīlī. To publicē aģentūras oficiālajā publikācijā.</w:t>
      </w:r>
    </w:p>
    <w:p w:rsidR="00756224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</w:p>
    <w:p w:rsidR="00F646A2" w:rsidRPr="00646E59" w:rsidRDefault="00F646A2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</w:p>
    <w:p w:rsidR="00756224" w:rsidRPr="00646E59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Pieņemts Ķelnē 2012. gada 19. aprīlī.</w:t>
      </w:r>
    </w:p>
    <w:p w:rsidR="00756224" w:rsidRDefault="00756224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  <w:szCs w:val="22"/>
        </w:rPr>
      </w:pPr>
    </w:p>
    <w:p w:rsidR="00F646A2" w:rsidRDefault="00F646A2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  <w:szCs w:val="22"/>
        </w:rPr>
      </w:pPr>
    </w:p>
    <w:p w:rsidR="00F646A2" w:rsidRPr="00646E59" w:rsidRDefault="00F646A2" w:rsidP="00F646A2">
      <w:pPr>
        <w:pStyle w:val="BodyText"/>
        <w:widowControl/>
        <w:kinsoku w:val="0"/>
        <w:overflowPunct w:val="0"/>
        <w:ind w:left="0"/>
        <w:jc w:val="both"/>
        <w:rPr>
          <w:rFonts w:ascii="Times New Roman" w:hAnsi="Times New Roman"/>
          <w:noProof/>
          <w:sz w:val="24"/>
          <w:szCs w:val="22"/>
        </w:rPr>
      </w:pPr>
    </w:p>
    <w:p w:rsidR="00756224" w:rsidRPr="00133007" w:rsidRDefault="00756224" w:rsidP="00F646A2">
      <w:pPr>
        <w:pStyle w:val="BodyText"/>
        <w:widowControl/>
        <w:kinsoku w:val="0"/>
        <w:overflowPunct w:val="0"/>
        <w:ind w:left="0"/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noProof/>
          <w:sz w:val="24"/>
        </w:rPr>
        <w:t>P. GOUDOU</w:t>
      </w:r>
    </w:p>
    <w:sectPr w:rsidR="00756224" w:rsidRPr="00133007" w:rsidSect="00F646A2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134" w:right="1134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C1" w:rsidRPr="00756224" w:rsidRDefault="004024C1">
      <w:pPr>
        <w:rPr>
          <w:noProof/>
          <w:lang w:val="en-US"/>
        </w:rPr>
      </w:pPr>
      <w:r w:rsidRPr="00756224">
        <w:rPr>
          <w:noProof/>
          <w:lang w:val="en-US"/>
        </w:rPr>
        <w:separator/>
      </w:r>
    </w:p>
  </w:endnote>
  <w:endnote w:type="continuationSeparator" w:id="0">
    <w:p w:rsidR="004024C1" w:rsidRPr="00756224" w:rsidRDefault="004024C1">
      <w:pPr>
        <w:rPr>
          <w:noProof/>
          <w:lang w:val="en-US"/>
        </w:rPr>
      </w:pPr>
      <w:r w:rsidRPr="00756224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A2" w:rsidRPr="004F5D11" w:rsidRDefault="00F646A2" w:rsidP="00F646A2">
    <w:pPr>
      <w:pStyle w:val="Header"/>
      <w:tabs>
        <w:tab w:val="clear" w:pos="4153"/>
        <w:tab w:val="clear" w:pos="8306"/>
        <w:tab w:val="left" w:pos="9072"/>
      </w:tabs>
      <w:jc w:val="both"/>
      <w:rPr>
        <w:rStyle w:val="PageNumber"/>
        <w:sz w:val="20"/>
        <w:szCs w:val="20"/>
      </w:rPr>
    </w:pPr>
    <w:r w:rsidRPr="004F5D11">
      <w:rPr>
        <w:sz w:val="20"/>
        <w:szCs w:val="20"/>
      </w:rPr>
      <w:tab/>
    </w:r>
  </w:p>
  <w:p w:rsidR="00F646A2" w:rsidRPr="004F5D11" w:rsidRDefault="00F646A2" w:rsidP="00F646A2">
    <w:pPr>
      <w:pStyle w:val="Header"/>
      <w:tabs>
        <w:tab w:val="clear" w:pos="4153"/>
        <w:tab w:val="clear" w:pos="8306"/>
        <w:tab w:val="right" w:leader="underscore" w:pos="9072"/>
      </w:tabs>
      <w:jc w:val="both"/>
      <w:rPr>
        <w:rStyle w:val="PageNumber"/>
        <w:sz w:val="20"/>
        <w:szCs w:val="20"/>
      </w:rPr>
    </w:pPr>
    <w:r w:rsidRPr="004F5D11">
      <w:rPr>
        <w:rStyle w:val="PageNumber"/>
        <w:sz w:val="20"/>
        <w:szCs w:val="20"/>
      </w:rPr>
      <w:tab/>
    </w:r>
  </w:p>
  <w:p w:rsidR="00F646A2" w:rsidRPr="004F5D11" w:rsidRDefault="00F646A2" w:rsidP="00F646A2">
    <w:pPr>
      <w:pStyle w:val="Header"/>
      <w:tabs>
        <w:tab w:val="clear" w:pos="4153"/>
        <w:tab w:val="clear" w:pos="8306"/>
        <w:tab w:val="right" w:pos="9072"/>
      </w:tabs>
      <w:jc w:val="both"/>
      <w:rPr>
        <w:rStyle w:val="PageNumber"/>
        <w:sz w:val="20"/>
        <w:szCs w:val="20"/>
      </w:rPr>
    </w:pPr>
  </w:p>
  <w:p w:rsidR="00F646A2" w:rsidRPr="004F5D11" w:rsidRDefault="00F646A2" w:rsidP="00F646A2">
    <w:pPr>
      <w:pStyle w:val="Footer"/>
      <w:tabs>
        <w:tab w:val="clear" w:pos="4153"/>
        <w:tab w:val="clear" w:pos="8306"/>
        <w:tab w:val="right" w:pos="9072"/>
      </w:tabs>
      <w:jc w:val="both"/>
      <w:rPr>
        <w:sz w:val="20"/>
        <w:szCs w:val="20"/>
      </w:rPr>
    </w:pPr>
    <w:r w:rsidRPr="004F5D11">
      <w:rPr>
        <w:noProof/>
        <w:sz w:val="20"/>
        <w:szCs w:val="20"/>
      </w:rPr>
      <w:t xml:space="preserve">Tulkojums </w:t>
    </w:r>
    <w:r w:rsidRPr="004F5D11">
      <w:rPr>
        <w:noProof/>
        <w:sz w:val="20"/>
        <w:szCs w:val="20"/>
      </w:rPr>
      <w:fldChar w:fldCharType="begin"/>
    </w:r>
    <w:r w:rsidRPr="004F5D11">
      <w:rPr>
        <w:noProof/>
        <w:sz w:val="20"/>
        <w:szCs w:val="20"/>
      </w:rPr>
      <w:instrText>symbol 211 \f "Symbol" \s 9</w:instrText>
    </w:r>
    <w:r w:rsidRPr="004F5D11">
      <w:rPr>
        <w:noProof/>
        <w:sz w:val="20"/>
        <w:szCs w:val="20"/>
      </w:rPr>
      <w:fldChar w:fldCharType="separate"/>
    </w:r>
    <w:r w:rsidRPr="004F5D11">
      <w:rPr>
        <w:noProof/>
        <w:sz w:val="20"/>
        <w:szCs w:val="20"/>
      </w:rPr>
      <w:t>Ó</w:t>
    </w:r>
    <w:r w:rsidRPr="004F5D11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Valsts valodas centrs, 2016</w:t>
    </w:r>
    <w:r w:rsidRPr="004F5D11">
      <w:rPr>
        <w:sz w:val="20"/>
        <w:szCs w:val="20"/>
      </w:rPr>
      <w:tab/>
    </w:r>
    <w:r w:rsidRPr="004F5D11">
      <w:rPr>
        <w:rStyle w:val="PageNumber"/>
        <w:sz w:val="20"/>
        <w:szCs w:val="20"/>
      </w:rPr>
      <w:fldChar w:fldCharType="begin"/>
    </w:r>
    <w:r w:rsidRPr="004F5D11">
      <w:rPr>
        <w:rStyle w:val="PageNumber"/>
        <w:sz w:val="20"/>
        <w:szCs w:val="20"/>
      </w:rPr>
      <w:instrText xml:space="preserve">page </w:instrText>
    </w:r>
    <w:r w:rsidRPr="004F5D11">
      <w:rPr>
        <w:rStyle w:val="PageNumber"/>
        <w:sz w:val="20"/>
        <w:szCs w:val="20"/>
      </w:rPr>
      <w:fldChar w:fldCharType="separate"/>
    </w:r>
    <w:r w:rsidR="00463BEE">
      <w:rPr>
        <w:rStyle w:val="PageNumber"/>
        <w:noProof/>
        <w:sz w:val="20"/>
        <w:szCs w:val="20"/>
      </w:rPr>
      <w:t>2</w:t>
    </w:r>
    <w:r w:rsidRPr="004F5D1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A2" w:rsidRPr="004F5D11" w:rsidRDefault="00F646A2" w:rsidP="00F646A2">
    <w:pPr>
      <w:pStyle w:val="Header"/>
      <w:tabs>
        <w:tab w:val="clear" w:pos="4153"/>
        <w:tab w:val="clear" w:pos="8306"/>
        <w:tab w:val="left" w:pos="9072"/>
      </w:tabs>
      <w:jc w:val="both"/>
      <w:rPr>
        <w:rStyle w:val="PageNumber"/>
        <w:sz w:val="20"/>
        <w:szCs w:val="20"/>
      </w:rPr>
    </w:pPr>
  </w:p>
  <w:p w:rsidR="00F646A2" w:rsidRPr="004F5D11" w:rsidRDefault="00F646A2" w:rsidP="00F646A2">
    <w:pPr>
      <w:pStyle w:val="Header"/>
      <w:tabs>
        <w:tab w:val="clear" w:pos="4153"/>
        <w:tab w:val="clear" w:pos="8306"/>
        <w:tab w:val="left" w:leader="underscore" w:pos="9072"/>
      </w:tabs>
      <w:jc w:val="both"/>
      <w:rPr>
        <w:rStyle w:val="PageNumber"/>
        <w:sz w:val="20"/>
        <w:szCs w:val="20"/>
      </w:rPr>
    </w:pPr>
    <w:r w:rsidRPr="004F5D11">
      <w:rPr>
        <w:rStyle w:val="PageNumber"/>
        <w:sz w:val="20"/>
        <w:szCs w:val="20"/>
      </w:rPr>
      <w:tab/>
    </w:r>
  </w:p>
  <w:p w:rsidR="00F646A2" w:rsidRPr="004F5D11" w:rsidRDefault="00F646A2" w:rsidP="00F646A2">
    <w:pPr>
      <w:pStyle w:val="Header"/>
      <w:tabs>
        <w:tab w:val="clear" w:pos="4153"/>
        <w:tab w:val="clear" w:pos="8306"/>
        <w:tab w:val="left" w:pos="9072"/>
      </w:tabs>
      <w:jc w:val="both"/>
      <w:rPr>
        <w:rStyle w:val="PageNumber"/>
        <w:sz w:val="20"/>
        <w:szCs w:val="20"/>
      </w:rPr>
    </w:pPr>
  </w:p>
  <w:p w:rsidR="00F646A2" w:rsidRPr="004F5D11" w:rsidRDefault="00F646A2" w:rsidP="00F646A2">
    <w:pPr>
      <w:pStyle w:val="Footer"/>
      <w:jc w:val="both"/>
      <w:rPr>
        <w:sz w:val="20"/>
        <w:szCs w:val="20"/>
      </w:rPr>
    </w:pPr>
    <w:r w:rsidRPr="004F5D11">
      <w:rPr>
        <w:noProof/>
        <w:sz w:val="20"/>
        <w:szCs w:val="20"/>
      </w:rPr>
      <w:t xml:space="preserve">Tulkojums </w:t>
    </w:r>
    <w:r w:rsidRPr="004F5D11">
      <w:rPr>
        <w:noProof/>
        <w:sz w:val="20"/>
        <w:szCs w:val="20"/>
      </w:rPr>
      <w:fldChar w:fldCharType="begin"/>
    </w:r>
    <w:r w:rsidRPr="004F5D11">
      <w:rPr>
        <w:noProof/>
        <w:sz w:val="20"/>
        <w:szCs w:val="20"/>
      </w:rPr>
      <w:instrText>symbol 211 \f "Symbol" \s 9</w:instrText>
    </w:r>
    <w:r w:rsidRPr="004F5D11">
      <w:rPr>
        <w:noProof/>
        <w:sz w:val="20"/>
        <w:szCs w:val="20"/>
      </w:rPr>
      <w:fldChar w:fldCharType="separate"/>
    </w:r>
    <w:r w:rsidRPr="004F5D11">
      <w:rPr>
        <w:noProof/>
        <w:sz w:val="20"/>
        <w:szCs w:val="20"/>
      </w:rPr>
      <w:t>Ó</w:t>
    </w:r>
    <w:r w:rsidRPr="004F5D11">
      <w:rPr>
        <w:noProof/>
        <w:sz w:val="20"/>
        <w:szCs w:val="20"/>
      </w:rPr>
      <w:fldChar w:fldCharType="end"/>
    </w:r>
    <w:r w:rsidRPr="004F5D11">
      <w:rPr>
        <w:noProof/>
        <w:sz w:val="20"/>
        <w:szCs w:val="20"/>
      </w:rPr>
      <w:t xml:space="preserve"> Valsts valodas centrs,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C1" w:rsidRPr="00756224" w:rsidRDefault="004024C1">
      <w:pPr>
        <w:rPr>
          <w:noProof/>
          <w:lang w:val="en-US"/>
        </w:rPr>
      </w:pPr>
      <w:r w:rsidRPr="00756224">
        <w:rPr>
          <w:noProof/>
          <w:lang w:val="en-US"/>
        </w:rPr>
        <w:separator/>
      </w:r>
    </w:p>
  </w:footnote>
  <w:footnote w:type="continuationSeparator" w:id="0">
    <w:p w:rsidR="004024C1" w:rsidRPr="00756224" w:rsidRDefault="004024C1">
      <w:pPr>
        <w:rPr>
          <w:noProof/>
          <w:lang w:val="en-US"/>
        </w:rPr>
      </w:pPr>
      <w:r w:rsidRPr="00756224">
        <w:rPr>
          <w:noProof/>
          <w:lang w:val="en-US"/>
        </w:rPr>
        <w:continuationSeparator/>
      </w:r>
    </w:p>
  </w:footnote>
  <w:footnote w:id="1">
    <w:p w:rsidR="008333B6" w:rsidRDefault="00332103" w:rsidP="00F7378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Komisijas regula (EK) Nr. 1178/2011 (2011. gada 3. novembris), ar ko nosaka tehniskās prasības un administratīvās procedūras attiecībā uz civilās aviācijas gaisa kuģa apkalpi atbilstīgi Regulai (EK) Nr. 216/2008 (OV L 311, 25.11.2011.).</w:t>
      </w:r>
    </w:p>
  </w:footnote>
  <w:footnote w:id="2">
    <w:p w:rsidR="008333B6" w:rsidRDefault="00332103" w:rsidP="00F7378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Eiropas Parlamenta un Padomes Regula (EK) Nr. 216/2008 (2008. gada 20. februāris) par kopīgiem noteikumiem civilās aviācijas jomā un Eiropas Aviācijas drošības aģentūras izveidi, ar ko atceļ Padomes Direktīvu 91/670/EEK, Regulu (EK) Nr. 1592/2002 un Direktīvu 2004/36/EK (OV L 79, 19.03.2008., 1. lpp.).</w:t>
      </w:r>
    </w:p>
  </w:footnote>
  <w:footnote w:id="3">
    <w:p w:rsidR="008333B6" w:rsidRDefault="00332103" w:rsidP="00F7378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Valdes lēmums par procedūru, ko aģentūra piemēro, lai izdotu atzinumus, sertifikācijas specifikācijas un norādījumus (noteikumu sagatavošanas procedūra) EASA MB/08/07, 13.06.2007.</w:t>
      </w:r>
    </w:p>
  </w:footnote>
  <w:footnote w:id="4">
    <w:p w:rsidR="008333B6" w:rsidRDefault="00332103" w:rsidP="00F73780">
      <w:pPr>
        <w:pStyle w:val="BodyText"/>
        <w:tabs>
          <w:tab w:val="left" w:pos="679"/>
          <w:tab w:val="left" w:pos="1324"/>
          <w:tab w:val="left" w:pos="1996"/>
          <w:tab w:val="left" w:pos="2639"/>
          <w:tab w:val="left" w:pos="3337"/>
          <w:tab w:val="left" w:pos="4529"/>
          <w:tab w:val="left" w:pos="5169"/>
          <w:tab w:val="left" w:pos="6342"/>
          <w:tab w:val="left" w:pos="6872"/>
          <w:tab w:val="left" w:pos="8239"/>
          <w:tab w:val="left" w:pos="9309"/>
        </w:tabs>
        <w:suppressAutoHyphens/>
        <w:kinsoku w:val="0"/>
        <w:overflowPunct w:val="0"/>
        <w:ind w:left="0"/>
        <w:jc w:val="both"/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noProof/>
        </w:rPr>
        <w:t xml:space="preserve">Sk. </w:t>
      </w:r>
      <w:r>
        <w:rPr>
          <w:rFonts w:ascii="Times New Roman" w:hAnsi="Times New Roman"/>
          <w:i/>
          <w:noProof/>
        </w:rPr>
        <w:t>NPA</w:t>
      </w:r>
      <w:r>
        <w:rPr>
          <w:rFonts w:ascii="Times New Roman" w:hAnsi="Times New Roman"/>
          <w:noProof/>
        </w:rPr>
        <w:t xml:space="preserve"> un </w:t>
      </w:r>
      <w:r>
        <w:rPr>
          <w:rFonts w:ascii="Times New Roman" w:hAnsi="Times New Roman"/>
          <w:i/>
          <w:noProof/>
        </w:rPr>
        <w:t>CRD</w:t>
      </w:r>
      <w:r>
        <w:rPr>
          <w:rFonts w:ascii="Times New Roman" w:hAnsi="Times New Roman"/>
          <w:noProof/>
        </w:rPr>
        <w:t xml:space="preserve"> 2008-22b un 2009-02c noteikumu sagatavošanas arhīvu lapā </w:t>
      </w:r>
      <w:r>
        <w:rPr>
          <w:rFonts w:ascii="Times New Roman" w:hAnsi="Times New Roman"/>
          <w:noProof/>
          <w:color w:val="0000FF"/>
          <w:u w:val="single"/>
        </w:rPr>
        <w:t>http://www.easa.europa.eu/rulemaking/r-archives.php</w:t>
      </w:r>
      <w:r>
        <w:rPr>
          <w:rFonts w:ascii="Times New Roman" w:hAnsi="Times New Roman"/>
          <w:noProof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A2" w:rsidRPr="004F5D11" w:rsidRDefault="00F646A2" w:rsidP="00F646A2">
    <w:pPr>
      <w:pStyle w:val="Header"/>
      <w:tabs>
        <w:tab w:val="clear" w:pos="4153"/>
        <w:tab w:val="clear" w:pos="8306"/>
      </w:tabs>
      <w:jc w:val="both"/>
      <w:rPr>
        <w:rStyle w:val="PageNumber"/>
        <w:sz w:val="20"/>
        <w:szCs w:val="20"/>
      </w:rPr>
    </w:pPr>
  </w:p>
  <w:p w:rsidR="00F646A2" w:rsidRPr="004F5D11" w:rsidRDefault="00F646A2" w:rsidP="00F646A2">
    <w:pPr>
      <w:pStyle w:val="Header"/>
      <w:tabs>
        <w:tab w:val="clear" w:pos="4153"/>
        <w:tab w:val="clear" w:pos="8306"/>
        <w:tab w:val="right" w:leader="underscore" w:pos="9072"/>
      </w:tabs>
      <w:jc w:val="both"/>
      <w:rPr>
        <w:rStyle w:val="PageNumber"/>
        <w:sz w:val="20"/>
        <w:szCs w:val="20"/>
      </w:rPr>
    </w:pPr>
    <w:r w:rsidRPr="004F5D11">
      <w:rPr>
        <w:rStyle w:val="PageNumber"/>
        <w:sz w:val="20"/>
        <w:szCs w:val="20"/>
      </w:rPr>
      <w:tab/>
    </w:r>
  </w:p>
  <w:p w:rsidR="00F646A2" w:rsidRPr="004F5D11" w:rsidRDefault="00F646A2" w:rsidP="00F646A2">
    <w:pPr>
      <w:pStyle w:val="Header"/>
      <w:jc w:val="both"/>
      <w:rPr>
        <w:sz w:val="20"/>
        <w:szCs w:val="20"/>
      </w:rPr>
    </w:pPr>
  </w:p>
  <w:p w:rsidR="00323404" w:rsidRDefault="00323404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A2" w:rsidRPr="004F5D11" w:rsidRDefault="00F646A2" w:rsidP="00F646A2">
    <w:pPr>
      <w:pBdr>
        <w:bottom w:val="single" w:sz="12" w:space="5" w:color="auto"/>
      </w:pBdr>
      <w:jc w:val="both"/>
      <w:rPr>
        <w:spacing w:val="-2"/>
        <w:sz w:val="20"/>
        <w:szCs w:val="20"/>
      </w:rPr>
    </w:pPr>
  </w:p>
  <w:p w:rsidR="00F646A2" w:rsidRPr="004F5D11" w:rsidRDefault="00F646A2" w:rsidP="00F646A2">
    <w:pPr>
      <w:pStyle w:val="Header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BB727ACC"/>
    <w:lvl w:ilvl="0">
      <w:start w:val="1"/>
      <w:numFmt w:val="decimal"/>
      <w:lvlText w:val="%1)"/>
      <w:lvlJc w:val="left"/>
      <w:pPr>
        <w:ind w:left="913" w:hanging="720"/>
      </w:pPr>
      <w:rPr>
        <w:rFonts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5236" w:hanging="720"/>
      </w:pPr>
    </w:lvl>
    <w:lvl w:ilvl="2">
      <w:numFmt w:val="bullet"/>
      <w:lvlText w:val="•"/>
      <w:lvlJc w:val="left"/>
      <w:pPr>
        <w:ind w:left="5750" w:hanging="720"/>
      </w:pPr>
    </w:lvl>
    <w:lvl w:ilvl="3">
      <w:numFmt w:val="bullet"/>
      <w:lvlText w:val="•"/>
      <w:lvlJc w:val="left"/>
      <w:pPr>
        <w:ind w:left="6265" w:hanging="720"/>
      </w:pPr>
    </w:lvl>
    <w:lvl w:ilvl="4">
      <w:numFmt w:val="bullet"/>
      <w:lvlText w:val="•"/>
      <w:lvlJc w:val="left"/>
      <w:pPr>
        <w:ind w:left="6779" w:hanging="720"/>
      </w:pPr>
    </w:lvl>
    <w:lvl w:ilvl="5">
      <w:numFmt w:val="bullet"/>
      <w:lvlText w:val="•"/>
      <w:lvlJc w:val="left"/>
      <w:pPr>
        <w:ind w:left="7294" w:hanging="720"/>
      </w:pPr>
    </w:lvl>
    <w:lvl w:ilvl="6">
      <w:numFmt w:val="bullet"/>
      <w:lvlText w:val="•"/>
      <w:lvlJc w:val="left"/>
      <w:pPr>
        <w:ind w:left="7808" w:hanging="720"/>
      </w:pPr>
    </w:lvl>
    <w:lvl w:ilvl="7">
      <w:numFmt w:val="bullet"/>
      <w:lvlText w:val="•"/>
      <w:lvlJc w:val="left"/>
      <w:pPr>
        <w:ind w:left="8323" w:hanging="720"/>
      </w:pPr>
    </w:lvl>
    <w:lvl w:ilvl="8">
      <w:numFmt w:val="bullet"/>
      <w:lvlText w:val="•"/>
      <w:lvlJc w:val="left"/>
      <w:pPr>
        <w:ind w:left="8837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24"/>
    <w:rsid w:val="000D29DB"/>
    <w:rsid w:val="00133007"/>
    <w:rsid w:val="002F117D"/>
    <w:rsid w:val="00323404"/>
    <w:rsid w:val="00332103"/>
    <w:rsid w:val="004024C1"/>
    <w:rsid w:val="00463BEE"/>
    <w:rsid w:val="00646E59"/>
    <w:rsid w:val="00756224"/>
    <w:rsid w:val="008333B6"/>
    <w:rsid w:val="00F646A2"/>
    <w:rsid w:val="00F7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lv-LV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447"/>
      <w:outlineLvl w:val="0"/>
    </w:pPr>
    <w:rPr>
      <w:rFonts w:ascii="Verdana" w:hAnsi="Verdana" w:cs="Verdana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3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7562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5622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562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56224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1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210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103"/>
    <w:rPr>
      <w:rFonts w:cs="Times New Roman"/>
      <w:vertAlign w:val="superscript"/>
    </w:rPr>
  </w:style>
  <w:style w:type="character" w:styleId="PageNumber">
    <w:name w:val="page number"/>
    <w:basedOn w:val="DefaultParagraphFont"/>
    <w:semiHidden/>
    <w:rsid w:val="00F646A2"/>
  </w:style>
  <w:style w:type="table" w:styleId="TableGrid">
    <w:name w:val="Table Grid"/>
    <w:basedOn w:val="TableNormal"/>
    <w:uiPriority w:val="39"/>
    <w:rsid w:val="00F64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1AEE-B503-4941-8F6D-D958EE23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2016-09-09T07:14:00Z</dcterms:created>
  <dcterms:modified xsi:type="dcterms:W3CDTF">2017-01-04T12:25:00Z</dcterms:modified>
</cp:coreProperties>
</file>