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086" w:rsidRDefault="00DB3086" w:rsidP="00E32F9F">
      <w:pPr>
        <w:jc w:val="right"/>
        <w:rPr>
          <w:rFonts w:ascii="Times New Roman" w:hAnsi="Times New Roman"/>
          <w:noProof/>
          <w:sz w:val="24"/>
        </w:rPr>
      </w:pPr>
      <w:r>
        <w:rPr>
          <w:rFonts w:ascii="Times New Roman" w:hAnsi="Times New Roman"/>
          <w:i/>
          <w:noProof/>
          <w:sz w:val="24"/>
        </w:rPr>
        <w:t>ED</w:t>
      </w:r>
      <w:r>
        <w:rPr>
          <w:rFonts w:ascii="Times New Roman" w:hAnsi="Times New Roman"/>
          <w:noProof/>
          <w:sz w:val="24"/>
        </w:rPr>
        <w:t xml:space="preserve"> Lēmums Nr. 2015/010/R</w:t>
      </w:r>
    </w:p>
    <w:p w:rsidR="00310D65" w:rsidRDefault="00310D65" w:rsidP="00E32F9F">
      <w:pPr>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5"/>
        <w:gridCol w:w="4566"/>
      </w:tblGrid>
      <w:tr w:rsidR="00E32F9F" w:rsidTr="00653372">
        <w:tc>
          <w:tcPr>
            <w:tcW w:w="2500" w:type="pct"/>
          </w:tcPr>
          <w:p w:rsidR="00E32F9F" w:rsidRDefault="00E32F9F" w:rsidP="00653372">
            <w:pPr>
              <w:jc w:val="both"/>
              <w:rPr>
                <w:rFonts w:ascii="Times New Roman" w:hAnsi="Times New Roman"/>
                <w:noProof/>
                <w:sz w:val="24"/>
              </w:rPr>
            </w:pPr>
            <w:r>
              <w:rPr>
                <w:rFonts w:ascii="Times New Roman" w:hAnsi="Times New Roman"/>
                <w:noProof/>
                <w:sz w:val="24"/>
                <w:lang w:bidi="ar-SA"/>
              </w:rPr>
              <w:drawing>
                <wp:inline distT="0" distB="0" distL="0" distR="0" wp14:anchorId="34A80B71" wp14:editId="2DCBBC0D">
                  <wp:extent cx="1549399" cy="53340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549399" cy="533400"/>
                          </a:xfrm>
                          <a:prstGeom prst="rect">
                            <a:avLst/>
                          </a:prstGeom>
                        </pic:spPr>
                      </pic:pic>
                    </a:graphicData>
                  </a:graphic>
                </wp:inline>
              </w:drawing>
            </w:r>
          </w:p>
        </w:tc>
        <w:tc>
          <w:tcPr>
            <w:tcW w:w="2500" w:type="pct"/>
            <w:vAlign w:val="center"/>
          </w:tcPr>
          <w:p w:rsidR="00E32F9F" w:rsidRPr="000B474E" w:rsidRDefault="00E32F9F" w:rsidP="00653372">
            <w:pPr>
              <w:rPr>
                <w:rFonts w:ascii="Times New Roman" w:hAnsi="Times New Roman"/>
                <w:b/>
                <w:noProof/>
                <w:color w:val="007EC2"/>
                <w:sz w:val="24"/>
                <w:szCs w:val="24"/>
              </w:rPr>
            </w:pPr>
            <w:r w:rsidRPr="000B474E">
              <w:rPr>
                <w:rFonts w:ascii="Times New Roman" w:hAnsi="Times New Roman"/>
                <w:b/>
                <w:i/>
                <w:noProof/>
                <w:color w:val="007EC2"/>
                <w:sz w:val="24"/>
                <w:szCs w:val="24"/>
              </w:rPr>
              <w:t>EASA</w:t>
            </w:r>
          </w:p>
          <w:p w:rsidR="00E32F9F" w:rsidRPr="000B474E" w:rsidRDefault="00E32F9F" w:rsidP="00653372">
            <w:pPr>
              <w:rPr>
                <w:rFonts w:ascii="Times New Roman" w:hAnsi="Times New Roman"/>
                <w:b/>
                <w:noProof/>
                <w:color w:val="007EC2"/>
                <w:sz w:val="28"/>
                <w:szCs w:val="28"/>
              </w:rPr>
            </w:pPr>
            <w:r w:rsidRPr="000B474E">
              <w:rPr>
                <w:rFonts w:ascii="Times New Roman" w:hAnsi="Times New Roman"/>
                <w:b/>
                <w:noProof/>
                <w:color w:val="007EC2"/>
                <w:sz w:val="24"/>
                <w:szCs w:val="24"/>
              </w:rPr>
              <w:t>Eiropas Aviācijas drošības aģentūra</w:t>
            </w:r>
          </w:p>
        </w:tc>
      </w:tr>
    </w:tbl>
    <w:p w:rsidR="00E32F9F" w:rsidRDefault="00E32F9F" w:rsidP="00E32F9F">
      <w:pPr>
        <w:jc w:val="both"/>
        <w:rPr>
          <w:rFonts w:ascii="Times New Roman" w:hAnsi="Times New Roman"/>
          <w:noProof/>
          <w:sz w:val="24"/>
        </w:rPr>
      </w:pPr>
    </w:p>
    <w:p w:rsidR="00310D65" w:rsidRDefault="00310D65" w:rsidP="00E32F9F">
      <w:pPr>
        <w:pStyle w:val="Heading1"/>
        <w:spacing w:before="0"/>
        <w:ind w:left="0"/>
        <w:jc w:val="both"/>
        <w:rPr>
          <w:rFonts w:ascii="Times New Roman" w:hAnsi="Times New Roman"/>
          <w:noProof/>
        </w:rPr>
      </w:pPr>
    </w:p>
    <w:p w:rsidR="00E32F9F" w:rsidRPr="00E32F9F" w:rsidRDefault="00DB3086" w:rsidP="00E32F9F">
      <w:pPr>
        <w:jc w:val="center"/>
        <w:rPr>
          <w:rFonts w:ascii="Times New Roman" w:hAnsi="Times New Roman"/>
          <w:b/>
          <w:noProof/>
          <w:color w:val="007EC2"/>
          <w:sz w:val="32"/>
          <w:szCs w:val="32"/>
        </w:rPr>
      </w:pPr>
      <w:r w:rsidRPr="00E32F9F">
        <w:rPr>
          <w:rFonts w:ascii="Times New Roman" w:hAnsi="Times New Roman"/>
          <w:b/>
          <w:noProof/>
          <w:color w:val="007EC2"/>
          <w:sz w:val="32"/>
          <w:szCs w:val="32"/>
        </w:rPr>
        <w:t>AĢENTŪRAS IZPILDDIREKTORA</w:t>
      </w:r>
    </w:p>
    <w:p w:rsidR="00E32F9F" w:rsidRDefault="00E32F9F" w:rsidP="00E32F9F">
      <w:pPr>
        <w:jc w:val="center"/>
        <w:rPr>
          <w:rFonts w:ascii="Times New Roman" w:hAnsi="Times New Roman"/>
          <w:b/>
          <w:noProof/>
          <w:color w:val="007EC2"/>
          <w:sz w:val="24"/>
        </w:rPr>
      </w:pPr>
      <w:bookmarkStart w:id="0" w:name="_GoBack"/>
      <w:bookmarkEnd w:id="0"/>
    </w:p>
    <w:p w:rsidR="00E32F9F" w:rsidRDefault="00E32F9F" w:rsidP="00E32F9F">
      <w:pPr>
        <w:jc w:val="center"/>
        <w:rPr>
          <w:rFonts w:ascii="Times New Roman" w:hAnsi="Times New Roman"/>
          <w:b/>
          <w:noProof/>
          <w:sz w:val="24"/>
        </w:rPr>
      </w:pPr>
      <w:r>
        <w:rPr>
          <w:rFonts w:ascii="Times New Roman" w:hAnsi="Times New Roman"/>
          <w:b/>
          <w:noProof/>
          <w:color w:val="007EC2"/>
          <w:sz w:val="24"/>
        </w:rPr>
        <w:t>l</w:t>
      </w:r>
      <w:r w:rsidR="00DB3086" w:rsidRPr="00E32F9F">
        <w:rPr>
          <w:rFonts w:ascii="Times New Roman" w:hAnsi="Times New Roman"/>
          <w:b/>
          <w:noProof/>
          <w:color w:val="007EC2"/>
          <w:sz w:val="24"/>
        </w:rPr>
        <w:t>ēmums</w:t>
      </w:r>
    </w:p>
    <w:p w:rsidR="00E32F9F" w:rsidRDefault="00E32F9F" w:rsidP="00E32F9F">
      <w:pPr>
        <w:jc w:val="center"/>
        <w:rPr>
          <w:rFonts w:ascii="Times New Roman" w:hAnsi="Times New Roman"/>
          <w:b/>
          <w:noProof/>
          <w:sz w:val="24"/>
        </w:rPr>
      </w:pPr>
    </w:p>
    <w:p w:rsidR="00DB3086" w:rsidRPr="00E32F9F" w:rsidRDefault="00DB3086" w:rsidP="00E32F9F">
      <w:pPr>
        <w:jc w:val="center"/>
        <w:rPr>
          <w:rFonts w:ascii="Times New Roman" w:hAnsi="Times New Roman"/>
          <w:b/>
          <w:noProof/>
          <w:color w:val="007EC2"/>
          <w:sz w:val="24"/>
        </w:rPr>
      </w:pPr>
      <w:r>
        <w:rPr>
          <w:rFonts w:ascii="Times New Roman" w:hAnsi="Times New Roman"/>
          <w:b/>
          <w:noProof/>
          <w:sz w:val="24"/>
        </w:rPr>
        <w:t>Nr. 2015/010/R</w:t>
      </w:r>
    </w:p>
    <w:p w:rsidR="00DB3086" w:rsidRPr="00310D65" w:rsidRDefault="00DB3086" w:rsidP="00E32F9F">
      <w:pPr>
        <w:jc w:val="center"/>
        <w:rPr>
          <w:rFonts w:ascii="Times New Roman" w:eastAsia="Calibri" w:hAnsi="Times New Roman" w:cs="Calibri"/>
          <w:b/>
          <w:bCs/>
          <w:noProof/>
          <w:sz w:val="24"/>
          <w:szCs w:val="21"/>
        </w:rPr>
      </w:pPr>
    </w:p>
    <w:p w:rsidR="00DB3086" w:rsidRPr="00310D65" w:rsidRDefault="00DB3086" w:rsidP="00E32F9F">
      <w:pPr>
        <w:jc w:val="center"/>
        <w:rPr>
          <w:rFonts w:ascii="Times New Roman" w:hAnsi="Times New Roman"/>
          <w:b/>
          <w:noProof/>
          <w:sz w:val="24"/>
        </w:rPr>
      </w:pPr>
      <w:r>
        <w:rPr>
          <w:rFonts w:ascii="Times New Roman" w:hAnsi="Times New Roman"/>
          <w:b/>
          <w:noProof/>
          <w:sz w:val="24"/>
        </w:rPr>
        <w:t>2015. gada 13. martā,</w:t>
      </w:r>
    </w:p>
    <w:p w:rsidR="00DB3086" w:rsidRPr="00310D65" w:rsidRDefault="00DB3086" w:rsidP="00E32F9F">
      <w:pPr>
        <w:jc w:val="center"/>
        <w:rPr>
          <w:rFonts w:ascii="Times New Roman" w:eastAsia="Calibri" w:hAnsi="Times New Roman" w:cs="Calibri"/>
          <w:b/>
          <w:bCs/>
          <w:noProof/>
          <w:sz w:val="24"/>
          <w:szCs w:val="27"/>
        </w:rPr>
      </w:pPr>
    </w:p>
    <w:p w:rsidR="00DB3086" w:rsidRPr="00310D65" w:rsidRDefault="00DB3086" w:rsidP="00E32F9F">
      <w:pPr>
        <w:pStyle w:val="Heading1"/>
        <w:spacing w:before="0"/>
        <w:ind w:left="0"/>
        <w:jc w:val="center"/>
        <w:rPr>
          <w:rFonts w:ascii="Times New Roman" w:hAnsi="Times New Roman"/>
          <w:noProof/>
        </w:rPr>
      </w:pPr>
      <w:r>
        <w:rPr>
          <w:rFonts w:ascii="Times New Roman" w:hAnsi="Times New Roman"/>
          <w:noProof/>
        </w:rPr>
        <w:t>ar kuru tiek pieņemti attiecīgie līdzekļi atbilstības panākšanai un vadlīnijas, kuras attiecas uz Komisijas Regulu (ES) Nr. 2015/340</w:t>
      </w:r>
    </w:p>
    <w:p w:rsidR="00DB3086" w:rsidRDefault="00DB3086" w:rsidP="00E32F9F">
      <w:pPr>
        <w:jc w:val="both"/>
        <w:rPr>
          <w:rFonts w:ascii="Times New Roman" w:eastAsia="Calibri" w:hAnsi="Times New Roman" w:cs="Calibri"/>
          <w:b/>
          <w:bCs/>
          <w:noProof/>
          <w:sz w:val="24"/>
          <w:szCs w:val="27"/>
        </w:rPr>
      </w:pPr>
    </w:p>
    <w:p w:rsidR="00E32F9F" w:rsidRDefault="00E32F9F" w:rsidP="00E32F9F">
      <w:pPr>
        <w:jc w:val="both"/>
        <w:rPr>
          <w:rFonts w:ascii="Times New Roman" w:eastAsia="Calibri" w:hAnsi="Times New Roman" w:cs="Calibri"/>
          <w:b/>
          <w:bCs/>
          <w:noProof/>
          <w:sz w:val="24"/>
          <w:szCs w:val="27"/>
        </w:rPr>
      </w:pPr>
    </w:p>
    <w:p w:rsidR="00E32F9F" w:rsidRPr="00310D65" w:rsidRDefault="00E32F9F" w:rsidP="00E32F9F">
      <w:pPr>
        <w:jc w:val="both"/>
        <w:rPr>
          <w:rFonts w:ascii="Times New Roman" w:eastAsia="Calibri" w:hAnsi="Times New Roman" w:cs="Calibri"/>
          <w:b/>
          <w:bCs/>
          <w:noProof/>
          <w:sz w:val="24"/>
          <w:szCs w:val="27"/>
        </w:rPr>
      </w:pPr>
    </w:p>
    <w:p w:rsidR="00DB3086" w:rsidRPr="00310D65" w:rsidRDefault="00DB3086" w:rsidP="00E32F9F">
      <w:pPr>
        <w:pStyle w:val="BodyText"/>
        <w:ind w:left="0" w:firstLine="0"/>
        <w:jc w:val="both"/>
        <w:rPr>
          <w:rFonts w:ascii="Times New Roman" w:hAnsi="Times New Roman"/>
          <w:noProof/>
          <w:sz w:val="24"/>
        </w:rPr>
      </w:pPr>
      <w:r>
        <w:rPr>
          <w:rFonts w:ascii="Times New Roman" w:hAnsi="Times New Roman"/>
          <w:noProof/>
          <w:sz w:val="24"/>
        </w:rPr>
        <w:t>EIROPAS AVIĀCIJAS DROŠĪBAS AĢENTŪRAS IZPILDDIREKTORS,</w:t>
      </w:r>
    </w:p>
    <w:p w:rsidR="00DB3086" w:rsidRPr="00310D65" w:rsidRDefault="00DB3086" w:rsidP="00E32F9F">
      <w:pPr>
        <w:jc w:val="both"/>
        <w:rPr>
          <w:rFonts w:ascii="Times New Roman" w:eastAsia="Calibri" w:hAnsi="Times New Roman" w:cs="Calibri"/>
          <w:noProof/>
          <w:sz w:val="24"/>
          <w:szCs w:val="20"/>
        </w:rPr>
      </w:pPr>
    </w:p>
    <w:p w:rsidR="00310D65" w:rsidRDefault="00DB3086" w:rsidP="00E32F9F">
      <w:pPr>
        <w:pStyle w:val="BodyText"/>
        <w:ind w:left="0" w:firstLine="0"/>
        <w:jc w:val="both"/>
        <w:rPr>
          <w:rFonts w:ascii="Times New Roman" w:hAnsi="Times New Roman"/>
          <w:noProof/>
          <w:sz w:val="24"/>
        </w:rPr>
      </w:pPr>
      <w:r>
        <w:rPr>
          <w:rFonts w:ascii="Times New Roman" w:hAnsi="Times New Roman"/>
          <w:noProof/>
          <w:sz w:val="24"/>
        </w:rPr>
        <w:t>ņemot vērā Regulu (EK) Nr. 216/2008</w:t>
      </w:r>
      <w:r>
        <w:rPr>
          <w:rStyle w:val="FootnoteReference"/>
          <w:rFonts w:ascii="Times New Roman" w:hAnsi="Times New Roman"/>
          <w:noProof/>
          <w:sz w:val="24"/>
        </w:rPr>
        <w:footnoteReference w:id="1"/>
      </w:r>
      <w:r>
        <w:rPr>
          <w:rFonts w:ascii="Times New Roman" w:hAnsi="Times New Roman"/>
          <w:noProof/>
          <w:sz w:val="24"/>
        </w:rPr>
        <w:t>, jo īpaši tās 38. panta 3. punkta a) apakšpunktu,</w:t>
      </w:r>
    </w:p>
    <w:p w:rsidR="00310D65" w:rsidRDefault="00310D65" w:rsidP="00E32F9F">
      <w:pPr>
        <w:pStyle w:val="BodyText"/>
        <w:ind w:left="0" w:firstLine="0"/>
        <w:jc w:val="both"/>
        <w:rPr>
          <w:rFonts w:ascii="Times New Roman" w:hAnsi="Times New Roman"/>
          <w:noProof/>
          <w:sz w:val="24"/>
        </w:rPr>
      </w:pPr>
    </w:p>
    <w:p w:rsidR="00DB3086" w:rsidRDefault="00DB3086" w:rsidP="00E32F9F">
      <w:pPr>
        <w:pStyle w:val="BodyText"/>
        <w:ind w:left="0" w:firstLine="0"/>
        <w:jc w:val="both"/>
        <w:rPr>
          <w:rFonts w:ascii="Times New Roman" w:hAnsi="Times New Roman"/>
          <w:noProof/>
          <w:sz w:val="24"/>
        </w:rPr>
      </w:pPr>
      <w:r>
        <w:rPr>
          <w:rFonts w:ascii="Times New Roman" w:hAnsi="Times New Roman"/>
          <w:noProof/>
          <w:sz w:val="24"/>
        </w:rPr>
        <w:t>tā kā</w:t>
      </w:r>
    </w:p>
    <w:p w:rsidR="00310D65" w:rsidRPr="00310D65" w:rsidRDefault="00310D65" w:rsidP="00E32F9F">
      <w:pPr>
        <w:pStyle w:val="BodyText"/>
        <w:ind w:left="0" w:firstLine="0"/>
        <w:jc w:val="both"/>
        <w:rPr>
          <w:rFonts w:ascii="Times New Roman" w:hAnsi="Times New Roman"/>
          <w:noProof/>
          <w:sz w:val="24"/>
        </w:rPr>
      </w:pPr>
    </w:p>
    <w:p w:rsidR="00DB3086" w:rsidRPr="00310D65" w:rsidRDefault="00DB3086" w:rsidP="00E32F9F">
      <w:pPr>
        <w:pStyle w:val="BodyText"/>
        <w:numPr>
          <w:ilvl w:val="0"/>
          <w:numId w:val="1"/>
        </w:numPr>
        <w:tabs>
          <w:tab w:val="left" w:pos="1847"/>
        </w:tabs>
        <w:ind w:left="709" w:hanging="709"/>
        <w:jc w:val="both"/>
        <w:rPr>
          <w:rFonts w:ascii="Times New Roman" w:hAnsi="Times New Roman"/>
          <w:noProof/>
          <w:sz w:val="24"/>
        </w:rPr>
      </w:pPr>
      <w:r>
        <w:rPr>
          <w:rFonts w:ascii="Times New Roman" w:hAnsi="Times New Roman"/>
          <w:noProof/>
          <w:sz w:val="24"/>
        </w:rPr>
        <w:t>aģentūra, ievērojot Regulas (EK) Nr. 216/2008 18. panta c) punktu, izdod sertifikācijas specifikācijas un attiecīgos līdzekļus atbilstības panākšanai, kā arī vadlīnijas, kuras attiecas uz Regulu (EK) Nr. 216/2008 un tās īstenošanas noteikumu piemērošanu;</w:t>
      </w:r>
    </w:p>
    <w:p w:rsidR="00DB3086" w:rsidRPr="00310D65" w:rsidRDefault="00DB3086" w:rsidP="00E32F9F">
      <w:pPr>
        <w:pStyle w:val="BodyText"/>
        <w:numPr>
          <w:ilvl w:val="0"/>
          <w:numId w:val="1"/>
        </w:numPr>
        <w:tabs>
          <w:tab w:val="left" w:pos="1847"/>
        </w:tabs>
        <w:ind w:left="709" w:hanging="709"/>
        <w:jc w:val="both"/>
        <w:rPr>
          <w:rFonts w:ascii="Times New Roman" w:hAnsi="Times New Roman"/>
          <w:noProof/>
          <w:sz w:val="24"/>
        </w:rPr>
      </w:pPr>
      <w:r>
        <w:rPr>
          <w:rFonts w:ascii="Times New Roman" w:hAnsi="Times New Roman"/>
          <w:noProof/>
          <w:sz w:val="24"/>
        </w:rPr>
        <w:t>Attiecīgie līdzekļi atbilstības panākšanai ir nesaistoši standarti, ko pieņēmusi aģentūra un kas atspoguļo līdzekļus, ar kuriem panāk atbilstību Regulai (EK) Nr. 216/2008 un tās īstenošanas noteikumiem;</w:t>
      </w:r>
    </w:p>
    <w:p w:rsidR="00DB3086" w:rsidRPr="00310D65" w:rsidRDefault="00DB3086" w:rsidP="00E32F9F">
      <w:pPr>
        <w:pStyle w:val="BodyText"/>
        <w:numPr>
          <w:ilvl w:val="0"/>
          <w:numId w:val="1"/>
        </w:numPr>
        <w:tabs>
          <w:tab w:val="left" w:pos="1847"/>
        </w:tabs>
        <w:ind w:left="709" w:hanging="709"/>
        <w:jc w:val="both"/>
        <w:rPr>
          <w:rFonts w:ascii="Times New Roman" w:hAnsi="Times New Roman"/>
          <w:noProof/>
          <w:sz w:val="24"/>
        </w:rPr>
      </w:pPr>
      <w:r>
        <w:rPr>
          <w:rFonts w:ascii="Times New Roman" w:hAnsi="Times New Roman"/>
          <w:noProof/>
          <w:sz w:val="24"/>
        </w:rPr>
        <w:t>vadlīnijas ir nesaistoša informācija, ko sagatavojusi aģentūra un kas palīdz atspoguļot prasības vai specifikācijas nozīmi; šo informāciju izmanto, lai interpretētu Regulu (EK) Nr. 216/2008, tās īstenošanas noteikumus, sertifikācijas specifikācijas un attiecīgos līdzekļus atbilstības panākšanai;</w:t>
      </w:r>
    </w:p>
    <w:p w:rsidR="00DB3086" w:rsidRPr="00310D65" w:rsidRDefault="00DB3086" w:rsidP="00E32F9F">
      <w:pPr>
        <w:pStyle w:val="BodyText"/>
        <w:numPr>
          <w:ilvl w:val="0"/>
          <w:numId w:val="1"/>
        </w:numPr>
        <w:tabs>
          <w:tab w:val="left" w:pos="1847"/>
        </w:tabs>
        <w:ind w:left="709" w:hanging="709"/>
        <w:jc w:val="both"/>
        <w:rPr>
          <w:rFonts w:ascii="Times New Roman" w:hAnsi="Times New Roman"/>
          <w:noProof/>
          <w:sz w:val="24"/>
        </w:rPr>
      </w:pPr>
      <w:r>
        <w:rPr>
          <w:rFonts w:ascii="Times New Roman" w:hAnsi="Times New Roman"/>
          <w:noProof/>
          <w:sz w:val="24"/>
        </w:rPr>
        <w:t>aģentūra, ievērojot Regulas (EK) Nr. 216/2008 19. panta 2. punktu, atspoguļo jaunākos sasniegumus un labāko praksi attiecīgajās jomās;</w:t>
      </w:r>
    </w:p>
    <w:p w:rsidR="00DB3086" w:rsidRPr="00310D65" w:rsidRDefault="00DB3086" w:rsidP="00E32F9F">
      <w:pPr>
        <w:pStyle w:val="BodyText"/>
        <w:numPr>
          <w:ilvl w:val="0"/>
          <w:numId w:val="1"/>
        </w:numPr>
        <w:tabs>
          <w:tab w:val="left" w:pos="1847"/>
        </w:tabs>
        <w:ind w:left="709" w:hanging="709"/>
        <w:jc w:val="both"/>
        <w:rPr>
          <w:rFonts w:ascii="Times New Roman" w:hAnsi="Times New Roman"/>
          <w:noProof/>
          <w:sz w:val="24"/>
        </w:rPr>
      </w:pPr>
      <w:r>
        <w:rPr>
          <w:rFonts w:ascii="Times New Roman" w:hAnsi="Times New Roman"/>
          <w:noProof/>
          <w:sz w:val="24"/>
        </w:rPr>
        <w:t>gaisa satiksmes vadības dispečeriem un personām un organizācijām, kas iesaistītas to apmācībā, testēšanā, pārbaudēs un veselības pārbaudēs un novērtēšanā, ir jāatbilst attiecīgajām būtiskajām prasībām, kas noteiktas Regulas (EK) Nr. 216/2008 Vb pielikumā;</w:t>
      </w:r>
    </w:p>
    <w:p w:rsidR="00DB3086" w:rsidRPr="00310D65" w:rsidRDefault="00DB3086" w:rsidP="00E32F9F">
      <w:pPr>
        <w:pStyle w:val="BodyText"/>
        <w:numPr>
          <w:ilvl w:val="0"/>
          <w:numId w:val="1"/>
        </w:numPr>
        <w:tabs>
          <w:tab w:val="left" w:pos="1845"/>
        </w:tabs>
        <w:ind w:left="709" w:hanging="709"/>
        <w:jc w:val="both"/>
        <w:rPr>
          <w:rFonts w:ascii="Times New Roman" w:hAnsi="Times New Roman"/>
          <w:noProof/>
          <w:sz w:val="24"/>
        </w:rPr>
      </w:pPr>
      <w:r>
        <w:rPr>
          <w:rFonts w:ascii="Times New Roman" w:hAnsi="Times New Roman"/>
          <w:noProof/>
          <w:sz w:val="24"/>
        </w:rPr>
        <w:t>Komisijas Regula (ES) Nr. 2015/340, ar ko nosaka tehniskās prasības un administratīvās procedūras saistībā ar gaisa satiksmes vadības dispečeru licencēm un sertifikātiem atbilstīgi Eiropas Parlamenta un Padomes Regulai (EK) Nr. 216/2008, groza Komisijas Īstenošanas regulu (ES) Nr. 923/2012 un atceļ Komisijas Regulu (ES) Nr. 805/2011, tika pieņemta 2015. gada 20. februārī</w:t>
      </w:r>
      <w:r>
        <w:rPr>
          <w:rStyle w:val="FootnoteReference"/>
          <w:rFonts w:ascii="Times New Roman" w:hAnsi="Times New Roman"/>
          <w:noProof/>
          <w:sz w:val="24"/>
        </w:rPr>
        <w:footnoteReference w:id="2"/>
      </w:r>
      <w:r>
        <w:rPr>
          <w:rFonts w:ascii="Times New Roman" w:hAnsi="Times New Roman"/>
          <w:noProof/>
          <w:sz w:val="24"/>
        </w:rPr>
        <w:t>;</w:t>
      </w:r>
    </w:p>
    <w:p w:rsidR="00DB3086" w:rsidRPr="00310D65" w:rsidRDefault="00DB3086" w:rsidP="00E32F9F">
      <w:pPr>
        <w:pStyle w:val="BodyText"/>
        <w:numPr>
          <w:ilvl w:val="0"/>
          <w:numId w:val="1"/>
        </w:numPr>
        <w:tabs>
          <w:tab w:val="left" w:pos="1845"/>
        </w:tabs>
        <w:ind w:left="709" w:hanging="709"/>
        <w:jc w:val="both"/>
        <w:rPr>
          <w:rFonts w:ascii="Times New Roman" w:hAnsi="Times New Roman"/>
          <w:noProof/>
          <w:sz w:val="24"/>
        </w:rPr>
      </w:pPr>
      <w:r>
        <w:rPr>
          <w:rFonts w:ascii="Times New Roman" w:hAnsi="Times New Roman"/>
          <w:noProof/>
          <w:sz w:val="24"/>
        </w:rPr>
        <w:lastRenderedPageBreak/>
        <w:t>aģentūra ir konstatējusi nepieciešamību pieņemt attiecīgos līdzekļus atbilstības panākšanai un vadlīnijas, lai atvieglinātu gaisa satiksmes vadības dispečeru licencēšanu un medicīnisko sertificēšanu, kā arī to personu un organizāciju sertificēšanu, kas iesaistīti gaisa satiksmes vadības dispečeru apmācībā, testēšanā, pārbaudēs, veselības pārbaudēs un novērtēšanā;</w:t>
      </w:r>
    </w:p>
    <w:p w:rsidR="00DB3086" w:rsidRPr="00310D65" w:rsidRDefault="00DB3086" w:rsidP="00E32F9F">
      <w:pPr>
        <w:pStyle w:val="BodyText"/>
        <w:numPr>
          <w:ilvl w:val="0"/>
          <w:numId w:val="1"/>
        </w:numPr>
        <w:tabs>
          <w:tab w:val="left" w:pos="1845"/>
        </w:tabs>
        <w:ind w:left="709" w:hanging="709"/>
        <w:jc w:val="both"/>
        <w:rPr>
          <w:rFonts w:ascii="Times New Roman" w:hAnsi="Times New Roman"/>
          <w:noProof/>
          <w:sz w:val="24"/>
        </w:rPr>
      </w:pPr>
      <w:r>
        <w:rPr>
          <w:rFonts w:ascii="Times New Roman" w:hAnsi="Times New Roman"/>
          <w:noProof/>
          <w:sz w:val="24"/>
        </w:rPr>
        <w:t>aģentūra, ievērojot Regulas (EK) Nr. 216/2008 52. panta 1. punkta c) apakšpunktu un aģentūras noteikumu sagatavošanas procedūras</w:t>
      </w:r>
      <w:r>
        <w:rPr>
          <w:rStyle w:val="FootnoteReference"/>
          <w:rFonts w:ascii="Times New Roman" w:hAnsi="Times New Roman"/>
          <w:noProof/>
          <w:sz w:val="24"/>
        </w:rPr>
        <w:footnoteReference w:id="3"/>
      </w:r>
      <w:r>
        <w:rPr>
          <w:rFonts w:ascii="Times New Roman" w:hAnsi="Times New Roman"/>
          <w:noProof/>
          <w:sz w:val="24"/>
        </w:rPr>
        <w:t>5. panta 3. punktu, 6. pantu un 7. pantu, ir veikusi plašas apspriedes ar interesentiem par šā lēmuma darbības jomā ietilpstošiem jautājumiem un pēc tam ir sniegusi rakstisku atbildi uz saņemtajiem komentāriem</w:t>
      </w:r>
      <w:r>
        <w:rPr>
          <w:rStyle w:val="FootnoteReference"/>
          <w:rFonts w:ascii="Times New Roman" w:hAnsi="Times New Roman"/>
          <w:noProof/>
          <w:sz w:val="24"/>
        </w:rPr>
        <w:footnoteReference w:id="4"/>
      </w:r>
      <w:r>
        <w:rPr>
          <w:rFonts w:ascii="Times New Roman" w:hAnsi="Times New Roman"/>
          <w:noProof/>
          <w:sz w:val="24"/>
        </w:rPr>
        <w:t>;</w:t>
      </w:r>
    </w:p>
    <w:p w:rsidR="00DB3086" w:rsidRPr="00310D65" w:rsidRDefault="00DB3086" w:rsidP="00E32F9F">
      <w:pPr>
        <w:jc w:val="both"/>
        <w:rPr>
          <w:rFonts w:ascii="Times New Roman" w:eastAsia="Calibri" w:hAnsi="Times New Roman" w:cs="Calibri"/>
          <w:noProof/>
          <w:sz w:val="24"/>
          <w:szCs w:val="24"/>
        </w:rPr>
      </w:pPr>
    </w:p>
    <w:p w:rsidR="00DB3086" w:rsidRPr="00310D65" w:rsidRDefault="00DB3086" w:rsidP="00E32F9F">
      <w:pPr>
        <w:pStyle w:val="BodyText"/>
        <w:ind w:left="0" w:firstLine="0"/>
        <w:jc w:val="both"/>
        <w:rPr>
          <w:rFonts w:ascii="Times New Roman" w:hAnsi="Times New Roman"/>
          <w:noProof/>
          <w:sz w:val="24"/>
        </w:rPr>
      </w:pPr>
      <w:r>
        <w:rPr>
          <w:rFonts w:ascii="Times New Roman" w:hAnsi="Times New Roman"/>
          <w:noProof/>
          <w:sz w:val="24"/>
        </w:rPr>
        <w:t>IR NOLĒMUSI:</w:t>
      </w:r>
    </w:p>
    <w:p w:rsidR="00DB3086" w:rsidRPr="00310D65" w:rsidRDefault="00DB3086" w:rsidP="00E32F9F">
      <w:pPr>
        <w:jc w:val="both"/>
        <w:rPr>
          <w:rFonts w:ascii="Times New Roman" w:eastAsia="Calibri" w:hAnsi="Times New Roman" w:cs="Calibri"/>
          <w:noProof/>
          <w:sz w:val="24"/>
          <w:szCs w:val="19"/>
        </w:rPr>
      </w:pPr>
    </w:p>
    <w:p w:rsidR="00DB3086" w:rsidRPr="00310D65" w:rsidRDefault="00DB3086" w:rsidP="00E32F9F">
      <w:pPr>
        <w:pStyle w:val="Heading2"/>
        <w:ind w:left="0"/>
        <w:jc w:val="center"/>
        <w:rPr>
          <w:rFonts w:ascii="Times New Roman" w:hAnsi="Times New Roman"/>
          <w:noProof/>
          <w:sz w:val="24"/>
        </w:rPr>
      </w:pPr>
      <w:r>
        <w:rPr>
          <w:rFonts w:ascii="Times New Roman" w:hAnsi="Times New Roman"/>
          <w:noProof/>
          <w:sz w:val="24"/>
        </w:rPr>
        <w:t>1. pants</w:t>
      </w:r>
    </w:p>
    <w:p w:rsidR="00DB3086" w:rsidRPr="00310D65" w:rsidRDefault="00DB3086" w:rsidP="00E32F9F">
      <w:pPr>
        <w:jc w:val="both"/>
        <w:rPr>
          <w:rFonts w:ascii="Times New Roman" w:eastAsia="Calibri" w:hAnsi="Times New Roman" w:cs="Calibri"/>
          <w:b/>
          <w:bCs/>
          <w:i/>
          <w:noProof/>
          <w:sz w:val="24"/>
          <w:szCs w:val="19"/>
        </w:rPr>
      </w:pPr>
    </w:p>
    <w:p w:rsidR="00DB3086" w:rsidRPr="00310D65" w:rsidRDefault="00DB3086" w:rsidP="00E32F9F">
      <w:pPr>
        <w:pStyle w:val="BodyText"/>
        <w:ind w:left="0" w:firstLine="0"/>
        <w:jc w:val="both"/>
        <w:rPr>
          <w:rFonts w:ascii="Times New Roman" w:hAnsi="Times New Roman"/>
          <w:noProof/>
          <w:sz w:val="24"/>
        </w:rPr>
      </w:pPr>
      <w:r>
        <w:rPr>
          <w:rFonts w:ascii="Times New Roman" w:hAnsi="Times New Roman"/>
          <w:noProof/>
          <w:sz w:val="24"/>
        </w:rPr>
        <w:t>Attiecīgie līdzekļi atbilstības panākšanai un vadlīnijas, kuras attiecas uz Komisijas Regulu (ES) Nr. 2015/340 ir izklāstītas šā lēmuma I–V pielikumā.</w:t>
      </w:r>
    </w:p>
    <w:p w:rsidR="00DB3086" w:rsidRPr="00310D65" w:rsidRDefault="00DB3086" w:rsidP="00E32F9F">
      <w:pPr>
        <w:jc w:val="both"/>
        <w:rPr>
          <w:rFonts w:ascii="Times New Roman" w:eastAsia="Calibri" w:hAnsi="Times New Roman" w:cs="Calibri"/>
          <w:noProof/>
          <w:sz w:val="24"/>
          <w:szCs w:val="19"/>
        </w:rPr>
      </w:pPr>
    </w:p>
    <w:p w:rsidR="00DB3086" w:rsidRPr="00310D65" w:rsidRDefault="00DB3086" w:rsidP="00E32F9F">
      <w:pPr>
        <w:pStyle w:val="Heading2"/>
        <w:ind w:left="0"/>
        <w:jc w:val="center"/>
        <w:rPr>
          <w:rFonts w:ascii="Times New Roman" w:hAnsi="Times New Roman"/>
          <w:noProof/>
          <w:sz w:val="24"/>
        </w:rPr>
      </w:pPr>
      <w:r>
        <w:rPr>
          <w:rFonts w:ascii="Times New Roman" w:hAnsi="Times New Roman"/>
          <w:noProof/>
          <w:sz w:val="24"/>
        </w:rPr>
        <w:t>2. pants</w:t>
      </w:r>
    </w:p>
    <w:p w:rsidR="00E32F9F" w:rsidRDefault="00E32F9F" w:rsidP="00E32F9F">
      <w:pPr>
        <w:pStyle w:val="BodyText"/>
        <w:ind w:left="0" w:firstLine="0"/>
        <w:jc w:val="both"/>
        <w:rPr>
          <w:rFonts w:ascii="Times New Roman" w:hAnsi="Times New Roman"/>
          <w:noProof/>
          <w:sz w:val="24"/>
        </w:rPr>
      </w:pPr>
    </w:p>
    <w:p w:rsidR="00DB3086" w:rsidRPr="00310D65" w:rsidRDefault="00DB3086" w:rsidP="00E32F9F">
      <w:pPr>
        <w:pStyle w:val="BodyText"/>
        <w:ind w:left="0" w:firstLine="0"/>
        <w:jc w:val="both"/>
        <w:rPr>
          <w:rFonts w:ascii="Times New Roman" w:hAnsi="Times New Roman"/>
          <w:noProof/>
          <w:sz w:val="24"/>
        </w:rPr>
      </w:pPr>
      <w:r>
        <w:rPr>
          <w:rFonts w:ascii="Times New Roman" w:hAnsi="Times New Roman"/>
          <w:noProof/>
          <w:sz w:val="24"/>
        </w:rPr>
        <w:t>Šo lēmumu publicē aģentūras oficiālajā publikācijā, un tas stājas spēkā 2015. gada 30. jūnijā.</w:t>
      </w:r>
    </w:p>
    <w:p w:rsidR="00DB3086" w:rsidRDefault="00DB3086" w:rsidP="00E32F9F">
      <w:pPr>
        <w:jc w:val="both"/>
        <w:rPr>
          <w:rFonts w:ascii="Times New Roman" w:eastAsia="Calibri" w:hAnsi="Times New Roman" w:cs="Calibri"/>
          <w:noProof/>
          <w:sz w:val="24"/>
          <w:szCs w:val="21"/>
        </w:rPr>
      </w:pPr>
    </w:p>
    <w:p w:rsidR="00E32F9F" w:rsidRPr="00310D65" w:rsidRDefault="00E32F9F" w:rsidP="00E32F9F">
      <w:pPr>
        <w:jc w:val="both"/>
        <w:rPr>
          <w:rFonts w:ascii="Times New Roman" w:eastAsia="Calibri" w:hAnsi="Times New Roman" w:cs="Calibri"/>
          <w:noProof/>
          <w:sz w:val="24"/>
          <w:szCs w:val="21"/>
        </w:rPr>
      </w:pPr>
    </w:p>
    <w:p w:rsidR="00DB3086" w:rsidRPr="00310D65" w:rsidRDefault="00DB3086" w:rsidP="00E32F9F">
      <w:pPr>
        <w:pStyle w:val="BodyText"/>
        <w:ind w:left="0" w:firstLine="0"/>
        <w:jc w:val="both"/>
        <w:rPr>
          <w:rFonts w:ascii="Times New Roman" w:hAnsi="Times New Roman"/>
          <w:noProof/>
          <w:sz w:val="24"/>
        </w:rPr>
      </w:pPr>
      <w:r>
        <w:rPr>
          <w:rFonts w:ascii="Times New Roman" w:hAnsi="Times New Roman"/>
          <w:noProof/>
          <w:sz w:val="24"/>
        </w:rPr>
        <w:t>Pieņemts Ķelnē</w:t>
      </w:r>
    </w:p>
    <w:p w:rsidR="00DB3086" w:rsidRPr="00310D65" w:rsidRDefault="00DB3086" w:rsidP="00E32F9F">
      <w:pPr>
        <w:jc w:val="both"/>
        <w:rPr>
          <w:rFonts w:ascii="Times New Roman" w:eastAsia="Calibri" w:hAnsi="Times New Roman" w:cs="Calibri"/>
          <w:noProof/>
          <w:sz w:val="24"/>
        </w:rPr>
      </w:pPr>
    </w:p>
    <w:p w:rsidR="00DB3086" w:rsidRPr="00310D65" w:rsidRDefault="00DB3086" w:rsidP="00E32F9F">
      <w:pPr>
        <w:jc w:val="right"/>
        <w:rPr>
          <w:rFonts w:ascii="Times New Roman" w:hAnsi="Times New Roman"/>
          <w:i/>
          <w:noProof/>
          <w:sz w:val="24"/>
        </w:rPr>
      </w:pPr>
      <w:r>
        <w:rPr>
          <w:rFonts w:ascii="Times New Roman" w:hAnsi="Times New Roman"/>
          <w:i/>
          <w:noProof/>
          <w:sz w:val="24"/>
        </w:rPr>
        <w:t>Eiropas Aviācijas drošības aģentūras izpilddirektora vārdā</w:t>
      </w:r>
    </w:p>
    <w:p w:rsidR="00DB3086" w:rsidRPr="00310D65" w:rsidRDefault="00DB3086" w:rsidP="00E32F9F">
      <w:pPr>
        <w:jc w:val="right"/>
        <w:rPr>
          <w:rFonts w:ascii="Times New Roman" w:eastAsia="Calibri" w:hAnsi="Times New Roman" w:cs="Calibri"/>
          <w:i/>
          <w:noProof/>
          <w:sz w:val="24"/>
        </w:rPr>
      </w:pPr>
    </w:p>
    <w:p w:rsidR="00CE6DAE" w:rsidRPr="00CE6DAE" w:rsidRDefault="00DB3086" w:rsidP="00E32F9F">
      <w:pPr>
        <w:pStyle w:val="BodyText"/>
        <w:ind w:left="0" w:firstLine="0"/>
        <w:jc w:val="right"/>
        <w:rPr>
          <w:rFonts w:ascii="Times New Roman" w:hAnsi="Times New Roman"/>
          <w:noProof/>
          <w:sz w:val="24"/>
        </w:rPr>
      </w:pPr>
      <w:r>
        <w:rPr>
          <w:rFonts w:ascii="Times New Roman" w:hAnsi="Times New Roman"/>
          <w:i/>
          <w:noProof/>
          <w:sz w:val="24"/>
        </w:rPr>
        <w:t>Patrick KY</w:t>
      </w:r>
    </w:p>
    <w:sectPr w:rsidR="00CE6DAE" w:rsidRPr="00CE6DAE" w:rsidSect="00E32F9F">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F7D" w:rsidRPr="00DB3086" w:rsidRDefault="002C4F6D">
      <w:pPr>
        <w:rPr>
          <w:noProof/>
        </w:rPr>
      </w:pPr>
      <w:r w:rsidRPr="00DB3086">
        <w:rPr>
          <w:noProof/>
        </w:rPr>
        <w:separator/>
      </w:r>
    </w:p>
  </w:endnote>
  <w:endnote w:type="continuationSeparator" w:id="0">
    <w:p w:rsidR="00941F7D" w:rsidRPr="00DB3086" w:rsidRDefault="002C4F6D">
      <w:pPr>
        <w:rPr>
          <w:noProof/>
        </w:rPr>
      </w:pPr>
      <w:r w:rsidRPr="00DB308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F9F" w:rsidRPr="004F5D11" w:rsidRDefault="00E32F9F" w:rsidP="00E32F9F">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E32F9F" w:rsidRPr="004F5D11" w:rsidRDefault="00E32F9F" w:rsidP="00E32F9F">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E32F9F" w:rsidRPr="004F5D11" w:rsidRDefault="00E32F9F" w:rsidP="00E32F9F">
    <w:pPr>
      <w:pStyle w:val="Header"/>
      <w:tabs>
        <w:tab w:val="clear" w:pos="4153"/>
        <w:tab w:val="clear" w:pos="8306"/>
        <w:tab w:val="right" w:pos="9072"/>
      </w:tabs>
      <w:jc w:val="both"/>
      <w:rPr>
        <w:rStyle w:val="PageNumber"/>
        <w:rFonts w:ascii="Times New Roman" w:hAnsi="Times New Roman"/>
        <w:sz w:val="20"/>
        <w:szCs w:val="20"/>
      </w:rPr>
    </w:pPr>
  </w:p>
  <w:p w:rsidR="00E32F9F" w:rsidRPr="004F5D11" w:rsidRDefault="00E32F9F" w:rsidP="00E32F9F">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Pr>
        <w:rStyle w:val="PageNumber"/>
        <w:rFonts w:ascii="Times New Roman" w:hAnsi="Times New Roman"/>
        <w:noProof/>
        <w:sz w:val="20"/>
        <w:szCs w:val="20"/>
      </w:rPr>
      <w:t>2</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F9F" w:rsidRPr="004F5D11" w:rsidRDefault="00E32F9F" w:rsidP="00E32F9F">
    <w:pPr>
      <w:pStyle w:val="Header"/>
      <w:tabs>
        <w:tab w:val="clear" w:pos="4153"/>
        <w:tab w:val="clear" w:pos="8306"/>
        <w:tab w:val="left" w:pos="9072"/>
      </w:tabs>
      <w:jc w:val="both"/>
      <w:rPr>
        <w:rStyle w:val="PageNumber"/>
        <w:rFonts w:ascii="Times New Roman" w:hAnsi="Times New Roman"/>
        <w:sz w:val="20"/>
        <w:szCs w:val="20"/>
      </w:rPr>
    </w:pPr>
  </w:p>
  <w:p w:rsidR="00E32F9F" w:rsidRPr="004F5D11" w:rsidRDefault="00E32F9F" w:rsidP="00E32F9F">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E32F9F" w:rsidRPr="004F5D11" w:rsidRDefault="00E32F9F" w:rsidP="00E32F9F">
    <w:pPr>
      <w:pStyle w:val="Header"/>
      <w:tabs>
        <w:tab w:val="clear" w:pos="4153"/>
        <w:tab w:val="clear" w:pos="8306"/>
        <w:tab w:val="left" w:pos="9072"/>
      </w:tabs>
      <w:jc w:val="both"/>
      <w:rPr>
        <w:rStyle w:val="PageNumber"/>
        <w:rFonts w:ascii="Times New Roman" w:hAnsi="Times New Roman"/>
        <w:sz w:val="20"/>
        <w:szCs w:val="20"/>
      </w:rPr>
    </w:pPr>
  </w:p>
  <w:p w:rsidR="00E32F9F" w:rsidRPr="004F5D11" w:rsidRDefault="00E32F9F" w:rsidP="00E32F9F">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F7D" w:rsidRPr="00DB3086" w:rsidRDefault="002C4F6D">
      <w:pPr>
        <w:rPr>
          <w:noProof/>
        </w:rPr>
      </w:pPr>
      <w:r w:rsidRPr="00DB3086">
        <w:rPr>
          <w:noProof/>
        </w:rPr>
        <w:separator/>
      </w:r>
    </w:p>
  </w:footnote>
  <w:footnote w:type="continuationSeparator" w:id="0">
    <w:p w:rsidR="00941F7D" w:rsidRPr="00DB3086" w:rsidRDefault="002C4F6D">
      <w:pPr>
        <w:rPr>
          <w:noProof/>
        </w:rPr>
      </w:pPr>
      <w:r w:rsidRPr="00DB3086">
        <w:rPr>
          <w:noProof/>
        </w:rPr>
        <w:continuationSeparator/>
      </w:r>
    </w:p>
  </w:footnote>
  <w:footnote w:id="1">
    <w:p w:rsidR="00310D65" w:rsidRPr="00CE6DAE" w:rsidRDefault="00310D65" w:rsidP="00CE6DAE">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Eiropas Parlamenta un Padomes Regula (EK) Nr. 216/2008 (2008. gada 20. februāris) par kopīgiem noteikumiem civilās aviācijas jomā un Eiropas Aviācijas drošības aģentūras izveidi, ar ko atceļ Padomes Direktīvu 91/670/EEK, Regulu (EK) Nr. 1592/2002 un Direktīvu 2004/36/EK (OV L 79, 19.03.2008., 1. lpp.).</w:t>
      </w:r>
    </w:p>
  </w:footnote>
  <w:footnote w:id="2">
    <w:p w:rsidR="00310D65" w:rsidRPr="00CE6DAE" w:rsidRDefault="00310D65" w:rsidP="00CE6DAE">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Komisijas Regula (ES) Nr. 2015/340 (2015. gada 20. februāris), ar ko nosaka tehniskās prasības un administratīvās procedūras saistībā ar gaisa satiksmes vadības dispečeru licencēm un sertifikātiem atbilstīgi Eiropas Parlamenta un Padomes Regulai (EK) Nr. 216/2008, groza Komisijas Īstenošanas regulu (ES) Nr. 923/2012 un atceļ Komisijas Regulu (ES) Nr. 805/2011 (OV L 63, 06.03.2015., 1. lpp.).</w:t>
      </w:r>
    </w:p>
  </w:footnote>
  <w:footnote w:id="3">
    <w:p w:rsidR="00310D65" w:rsidRPr="00CE6DAE" w:rsidRDefault="00310D65" w:rsidP="00CE6DAE">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EASA MB</w:t>
      </w:r>
      <w:r>
        <w:rPr>
          <w:rFonts w:ascii="Times New Roman" w:hAnsi="Times New Roman"/>
        </w:rPr>
        <w:t xml:space="preserve"> Lēmums Nr. 01-2012 (2012. gada 13. marts), ar ko groza un aizstāj lēmumu Nr. 08-2007 par procedūru, kuru aģentūra piemēros, lai izdotu atzinumus sertifikācijas specifikācijas un vadlīnijas (“noteikumu sagatavošanas procedūra”)</w:t>
      </w:r>
      <w:hyperlink r:id="rId1">
        <w:r>
          <w:rPr>
            <w:rFonts w:ascii="Times New Roman" w:hAnsi="Times New Roman"/>
            <w:noProof/>
          </w:rPr>
          <w:t>(</w:t>
        </w:r>
        <w:r>
          <w:rPr>
            <w:rFonts w:ascii="Times New Roman" w:hAnsi="Times New Roman"/>
            <w:noProof/>
            <w:color w:val="0000FF"/>
            <w:u w:val="single" w:color="0000FF"/>
          </w:rPr>
          <w:t>http://easa.europa.eu/the-agency/facts-and-figures/easa-mb-decision-01-2012-amending-and-replacing-mb-decision-08-2007</w:t>
        </w:r>
        <w:r>
          <w:rPr>
            <w:rFonts w:ascii="Times New Roman" w:hAnsi="Times New Roman"/>
            <w:noProof/>
          </w:rPr>
          <w:t>)</w:t>
        </w:r>
      </w:hyperlink>
      <w:r>
        <w:rPr>
          <w:rFonts w:ascii="Times New Roman" w:hAnsi="Times New Roman"/>
          <w:noProof/>
        </w:rPr>
        <w:t>.</w:t>
      </w:r>
    </w:p>
  </w:footnote>
  <w:footnote w:id="4">
    <w:p w:rsidR="00CE6DAE" w:rsidRPr="00CE6DAE" w:rsidRDefault="00CE6DAE" w:rsidP="00CE6DAE">
      <w:pPr>
        <w:pStyle w:val="FootnoteText"/>
        <w:jc w:val="both"/>
      </w:pPr>
      <w:r>
        <w:rPr>
          <w:rStyle w:val="FootnoteReference"/>
          <w:rFonts w:ascii="Times New Roman" w:hAnsi="Times New Roman"/>
        </w:rPr>
        <w:footnoteRef/>
      </w:r>
      <w:r>
        <w:rPr>
          <w:rFonts w:ascii="Times New Roman" w:hAnsi="Times New Roman"/>
        </w:rPr>
        <w:t xml:space="preserve"> </w:t>
      </w:r>
      <w:hyperlink r:id="rId2">
        <w:r>
          <w:rPr>
            <w:rFonts w:ascii="Times New Roman" w:hAnsi="Times New Roman"/>
            <w:noProof/>
            <w:color w:val="0000FF"/>
            <w:u w:val="single" w:color="0000FF"/>
          </w:rPr>
          <w:t>http://easa.europa.eu/document-library/comment-response-documents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F9F" w:rsidRPr="004F5D11" w:rsidRDefault="00E32F9F" w:rsidP="00E32F9F">
    <w:pPr>
      <w:pStyle w:val="Header"/>
      <w:tabs>
        <w:tab w:val="clear" w:pos="4153"/>
        <w:tab w:val="clear" w:pos="8306"/>
      </w:tabs>
      <w:jc w:val="both"/>
      <w:rPr>
        <w:rStyle w:val="PageNumber"/>
        <w:rFonts w:ascii="Times New Roman" w:hAnsi="Times New Roman"/>
        <w:sz w:val="20"/>
        <w:szCs w:val="20"/>
      </w:rPr>
    </w:pPr>
  </w:p>
  <w:p w:rsidR="00E32F9F" w:rsidRPr="004F5D11" w:rsidRDefault="00E32F9F" w:rsidP="00E32F9F">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E32F9F" w:rsidRPr="004F5D11" w:rsidRDefault="00E32F9F" w:rsidP="00E32F9F">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F9F" w:rsidRPr="004F5D11" w:rsidRDefault="00E32F9F" w:rsidP="00E32F9F">
    <w:pPr>
      <w:pBdr>
        <w:bottom w:val="single" w:sz="12" w:space="5" w:color="auto"/>
      </w:pBdr>
      <w:jc w:val="both"/>
      <w:rPr>
        <w:rFonts w:ascii="Times New Roman" w:hAnsi="Times New Roman"/>
        <w:spacing w:val="-2"/>
        <w:sz w:val="20"/>
        <w:szCs w:val="20"/>
      </w:rPr>
    </w:pPr>
  </w:p>
  <w:p w:rsidR="00E32F9F" w:rsidRPr="004F5D11" w:rsidRDefault="00E32F9F" w:rsidP="00E32F9F">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C723FA"/>
    <w:multiLevelType w:val="hybridMultilevel"/>
    <w:tmpl w:val="12CC7FF0"/>
    <w:lvl w:ilvl="0" w:tplc="A61CF426">
      <w:start w:val="1"/>
      <w:numFmt w:val="decimal"/>
      <w:lvlText w:val="%1)"/>
      <w:lvlJc w:val="left"/>
      <w:pPr>
        <w:ind w:left="1846" w:hanging="567"/>
        <w:jc w:val="left"/>
      </w:pPr>
      <w:rPr>
        <w:rFonts w:hint="default"/>
        <w:spacing w:val="-1"/>
        <w:sz w:val="24"/>
        <w:szCs w:val="24"/>
      </w:rPr>
    </w:lvl>
    <w:lvl w:ilvl="1" w:tplc="4688394A">
      <w:start w:val="1"/>
      <w:numFmt w:val="bullet"/>
      <w:lvlText w:val="•"/>
      <w:lvlJc w:val="left"/>
      <w:pPr>
        <w:ind w:left="2632" w:hanging="567"/>
      </w:pPr>
      <w:rPr>
        <w:rFonts w:hint="default"/>
      </w:rPr>
    </w:lvl>
    <w:lvl w:ilvl="2" w:tplc="460E1810">
      <w:start w:val="1"/>
      <w:numFmt w:val="bullet"/>
      <w:lvlText w:val="•"/>
      <w:lvlJc w:val="left"/>
      <w:pPr>
        <w:ind w:left="3418" w:hanging="567"/>
      </w:pPr>
      <w:rPr>
        <w:rFonts w:hint="default"/>
      </w:rPr>
    </w:lvl>
    <w:lvl w:ilvl="3" w:tplc="81AAB784">
      <w:start w:val="1"/>
      <w:numFmt w:val="bullet"/>
      <w:lvlText w:val="•"/>
      <w:lvlJc w:val="left"/>
      <w:pPr>
        <w:ind w:left="4204" w:hanging="567"/>
      </w:pPr>
      <w:rPr>
        <w:rFonts w:hint="default"/>
      </w:rPr>
    </w:lvl>
    <w:lvl w:ilvl="4" w:tplc="F3C44914">
      <w:start w:val="1"/>
      <w:numFmt w:val="bullet"/>
      <w:lvlText w:val="•"/>
      <w:lvlJc w:val="left"/>
      <w:pPr>
        <w:ind w:left="4990" w:hanging="567"/>
      </w:pPr>
      <w:rPr>
        <w:rFonts w:hint="default"/>
      </w:rPr>
    </w:lvl>
    <w:lvl w:ilvl="5" w:tplc="0D68CEB4">
      <w:start w:val="1"/>
      <w:numFmt w:val="bullet"/>
      <w:lvlText w:val="•"/>
      <w:lvlJc w:val="left"/>
      <w:pPr>
        <w:ind w:left="5776" w:hanging="567"/>
      </w:pPr>
      <w:rPr>
        <w:rFonts w:hint="default"/>
      </w:rPr>
    </w:lvl>
    <w:lvl w:ilvl="6" w:tplc="59B87730">
      <w:start w:val="1"/>
      <w:numFmt w:val="bullet"/>
      <w:lvlText w:val="•"/>
      <w:lvlJc w:val="left"/>
      <w:pPr>
        <w:ind w:left="6562" w:hanging="567"/>
      </w:pPr>
      <w:rPr>
        <w:rFonts w:hint="default"/>
      </w:rPr>
    </w:lvl>
    <w:lvl w:ilvl="7" w:tplc="FABCB786">
      <w:start w:val="1"/>
      <w:numFmt w:val="bullet"/>
      <w:lvlText w:val="•"/>
      <w:lvlJc w:val="left"/>
      <w:pPr>
        <w:ind w:left="7348" w:hanging="567"/>
      </w:pPr>
      <w:rPr>
        <w:rFonts w:hint="default"/>
      </w:rPr>
    </w:lvl>
    <w:lvl w:ilvl="8" w:tplc="1E2838E4">
      <w:start w:val="1"/>
      <w:numFmt w:val="bullet"/>
      <w:lvlText w:val="•"/>
      <w:lvlJc w:val="left"/>
      <w:pPr>
        <w:ind w:left="8134" w:hanging="5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9C30B0"/>
    <w:rsid w:val="002C4F6D"/>
    <w:rsid w:val="00310D65"/>
    <w:rsid w:val="00941F7D"/>
    <w:rsid w:val="009C30B0"/>
    <w:rsid w:val="00CE6DAE"/>
    <w:rsid w:val="00DB3086"/>
    <w:rsid w:val="00E32F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1"/>
      <w:ind w:left="2034"/>
      <w:outlineLvl w:val="0"/>
    </w:pPr>
    <w:rPr>
      <w:rFonts w:ascii="Calibri" w:eastAsia="Calibri" w:hAnsi="Calibri"/>
      <w:b/>
      <w:bCs/>
      <w:sz w:val="24"/>
      <w:szCs w:val="24"/>
    </w:rPr>
  </w:style>
  <w:style w:type="paragraph" w:styleId="Heading2">
    <w:name w:val="heading 2"/>
    <w:basedOn w:val="Normal"/>
    <w:uiPriority w:val="1"/>
    <w:qFormat/>
    <w:pPr>
      <w:ind w:left="2036"/>
      <w:outlineLvl w:val="1"/>
    </w:pPr>
    <w:rPr>
      <w:rFonts w:ascii="Calibri" w:eastAsia="Calibri" w:hAnsi="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46" w:hanging="566"/>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B3086"/>
    <w:pPr>
      <w:tabs>
        <w:tab w:val="center" w:pos="4153"/>
        <w:tab w:val="right" w:pos="8306"/>
      </w:tabs>
    </w:pPr>
  </w:style>
  <w:style w:type="character" w:customStyle="1" w:styleId="HeaderChar">
    <w:name w:val="Header Char"/>
    <w:basedOn w:val="DefaultParagraphFont"/>
    <w:link w:val="Header"/>
    <w:uiPriority w:val="99"/>
    <w:rsid w:val="00DB3086"/>
  </w:style>
  <w:style w:type="paragraph" w:styleId="Footer">
    <w:name w:val="footer"/>
    <w:basedOn w:val="Normal"/>
    <w:link w:val="FooterChar"/>
    <w:unhideWhenUsed/>
    <w:rsid w:val="00DB3086"/>
    <w:pPr>
      <w:tabs>
        <w:tab w:val="center" w:pos="4153"/>
        <w:tab w:val="right" w:pos="8306"/>
      </w:tabs>
    </w:pPr>
  </w:style>
  <w:style w:type="character" w:customStyle="1" w:styleId="FooterChar">
    <w:name w:val="Footer Char"/>
    <w:basedOn w:val="DefaultParagraphFont"/>
    <w:link w:val="Footer"/>
    <w:uiPriority w:val="99"/>
    <w:rsid w:val="00DB3086"/>
  </w:style>
  <w:style w:type="paragraph" w:styleId="FootnoteText">
    <w:name w:val="footnote text"/>
    <w:basedOn w:val="Normal"/>
    <w:link w:val="FootnoteTextChar"/>
    <w:uiPriority w:val="99"/>
    <w:semiHidden/>
    <w:unhideWhenUsed/>
    <w:rsid w:val="00310D65"/>
    <w:rPr>
      <w:sz w:val="20"/>
      <w:szCs w:val="20"/>
    </w:rPr>
  </w:style>
  <w:style w:type="character" w:customStyle="1" w:styleId="FootnoteTextChar">
    <w:name w:val="Footnote Text Char"/>
    <w:basedOn w:val="DefaultParagraphFont"/>
    <w:link w:val="FootnoteText"/>
    <w:uiPriority w:val="99"/>
    <w:semiHidden/>
    <w:rsid w:val="00310D65"/>
    <w:rPr>
      <w:sz w:val="20"/>
      <w:szCs w:val="20"/>
    </w:rPr>
  </w:style>
  <w:style w:type="character" w:styleId="FootnoteReference">
    <w:name w:val="footnote reference"/>
    <w:basedOn w:val="DefaultParagraphFont"/>
    <w:uiPriority w:val="99"/>
    <w:semiHidden/>
    <w:unhideWhenUsed/>
    <w:rsid w:val="00310D65"/>
    <w:rPr>
      <w:vertAlign w:val="superscript"/>
    </w:rPr>
  </w:style>
  <w:style w:type="character" w:styleId="PageNumber">
    <w:name w:val="page number"/>
    <w:basedOn w:val="DefaultParagraphFont"/>
    <w:semiHidden/>
    <w:rsid w:val="00E32F9F"/>
  </w:style>
  <w:style w:type="table" w:styleId="TableGrid">
    <w:name w:val="Table Grid"/>
    <w:basedOn w:val="TableNormal"/>
    <w:uiPriority w:val="39"/>
    <w:rsid w:val="00E32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asa.europa.eu/document-library/comment-response-documents" TargetMode="External"/><Relationship Id="rId1" Type="http://schemas.openxmlformats.org/officeDocument/2006/relationships/hyperlink" Target="http://easa.europa.eu/the-agency/facts-and-figures/easa-mb-decision-01-2012-amending-and-replacing-mb-decision-08-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AB934-F3FC-4D09-83EB-B59B02FF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1931</Words>
  <Characters>1101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2016-09-09T07:55:00Z</dcterms:created>
  <dcterms:modified xsi:type="dcterms:W3CDTF">2017-01-03T10:47:00Z</dcterms:modified>
</cp:coreProperties>
</file>