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2.xml.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rPr>
          <w:rFonts w:ascii="Times New Roman" w:hAnsi="Times New Roman"/>
          <w:b/>
          <w:b/>
          <w:sz w:val="24"/>
          <w:lang w:val="lv-LV"/>
        </w:rPr>
      </w:pPr>
      <w:r>
        <w:rPr>
          <w:b/>
          <w:sz w:val="24"/>
          <w:lang w:val="lv-LV"/>
        </w:rPr>
      </w:r>
    </w:p>
    <w:p>
      <w:pPr>
        <w:pStyle w:val="Normal"/>
        <w:bidi w:val="0"/>
        <w:rPr>
          <w:lang w:val="lv-LV"/>
        </w:rPr>
      </w:pPr>
      <w:r>
        <w:rPr>
          <w:b/>
          <w:sz w:val="24"/>
          <w:lang w:val="lv-LV"/>
        </w:rPr>
        <w:t>[NB! SPĒKĀ LĪDZ</w:t>
      </w:r>
      <w:r>
        <w:rPr>
          <w:sz w:val="24"/>
          <w:lang w:val="lv-LV"/>
        </w:rPr>
        <w:t xml:space="preserve"> 24/07/1998]</w:t>
      </w:r>
    </w:p>
    <w:p>
      <w:pPr>
        <w:pStyle w:val="PlainText"/>
        <w:bidi w:val="0"/>
        <w:rPr>
          <w:rFonts w:ascii="Times New Roman" w:hAnsi="Times New Roman"/>
          <w:sz w:val="24"/>
        </w:rPr>
      </w:pPr>
      <w:r>
        <w:rPr>
          <w:rFonts w:ascii="Times New Roman" w:hAnsi="Times New Roman"/>
          <w:sz w:val="24"/>
        </w:rPr>
      </w:r>
    </w:p>
    <w:p>
      <w:pPr>
        <w:pStyle w:val="Normal"/>
        <w:bidi w:val="0"/>
        <w:jc w:val="center"/>
        <w:rPr>
          <w:lang w:val="lv-LV"/>
        </w:rPr>
      </w:pPr>
      <w:r>
        <w:rPr>
          <w:b/>
          <w:color w:val="000000"/>
          <w:sz w:val="24"/>
          <w:lang w:val="lv-LV"/>
        </w:rPr>
        <w:t>Padomes 1978. gada 20. marta Nolikums Nr. 616/78 par izcelsmes apliecinājumiem dažiem Kopienā ievedamiem tekstilizstrādājumiem, kas ietilpst Kopējo muitas tarifu 51. un 53.—62. grupā, un par nosacījumiem šādu apliecinājumu akceptēšanai</w:t>
      </w:r>
    </w:p>
    <w:p>
      <w:pPr>
        <w:pStyle w:val="PlainText"/>
        <w:bidi w:val="0"/>
        <w:rPr>
          <w:rFonts w:ascii="Times New Roman" w:hAnsi="Times New Roman"/>
          <w:sz w:val="24"/>
        </w:rPr>
      </w:pPr>
      <w:r>
        <w:rPr>
          <w:rFonts w:ascii="Times New Roman" w:hAnsi="Times New Roman"/>
          <w:sz w:val="24"/>
        </w:rPr>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EIROPAS KOPIENU PADOME,</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ņemot vērā Eiropas Ekonomikas kopienas dibināšanas līgumu, jo īpaši tā 113. pantu,</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ņemot vērā Komisijas priekšlikumu,</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tā kā kārtībā, kas no 1978. gada 1. janvāra jāpiemēro dažiem Kopienā importējamiem tekstilizstrādājumiem, kuri ietilpst Kopējo muitas tarifu 51. un 53.—62. grupā, ir paredzēti limiti, kurus nosaka vai par kuriem vienojas ar trešām valstīm, kas piegādā preces Kopienai; tā kā uz minēto tekstilizstrādājumu importu pie tam attiecas uzraudzības sistēma;</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tā kā ar piemērotiem kontroles pasākumiem ir jānovērš tirdzniecības novirzes un pārkāpumi, kas var traucēt piemērot šo kārtību; tā kā tādēļ būtu jāizveido dažu Kopienā ievedamo tekstilizstrādājumu izcelsmes kontrole; tā kā ir runa par tekstilizstrādājumiem, kas uzskaitīti Komisijas 1977. gada 30. decembra Nolikuma (EEK) Nr. 3019/77 par atļaujām un limitiem dažiem trešās valstīs ražotiem tekstilizstrādājumiem</w:t>
      </w:r>
      <w:r>
        <w:rPr>
          <w:color w:val="000000"/>
          <w:sz w:val="24"/>
          <w:vertAlign w:val="superscript"/>
          <w:lang w:val="lv-LV"/>
        </w:rPr>
        <w:t>1</w:t>
      </w:r>
      <w:r>
        <w:rPr>
          <w:color w:val="000000"/>
          <w:sz w:val="24"/>
          <w:lang w:val="lv-LV"/>
        </w:rPr>
        <w:t xml:space="preserve"> A pielikumā;</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tā kā šādas izcelsmes kontroles sistēmas ieviešanai būtu jānodrošina labāka šo izstrādājumu importa uzraudzība, tā nepieciešami stiprinot minēto izstrādājumu importēšanas kārtību;</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tā kā piemērotākais dokumentārais pierādījums visvairāk diskutējamiem izstrādājumiem ir izcelsmes sertifikāts; tā kā mazāk diskutējamu izstrādājumu kontroles vajadzībām pietiek ar izcelsmes deklarāciju kopā ar faktūrrēķinu, ja vien nav konstatēti rupji pārkāpumi,</w:t>
      </w:r>
    </w:p>
    <w:p>
      <w:pPr>
        <w:pStyle w:val="PlainText"/>
        <w:bidi w:val="0"/>
        <w:rPr>
          <w:rFonts w:ascii="Times New Roman" w:hAnsi="Times New Roman"/>
          <w:sz w:val="24"/>
        </w:rPr>
      </w:pPr>
      <w:r>
        <w:rPr>
          <w:rFonts w:ascii="Times New Roman" w:hAnsi="Times New Roman"/>
          <w:sz w:val="24"/>
        </w:rPr>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aps/>
          <w:color w:val="000000"/>
          <w:sz w:val="24"/>
          <w:lang w:val="lv-LV"/>
        </w:rPr>
        <w:t>ir pieņēmusi šo nolikumu.</w:t>
      </w:r>
      <w:r>
        <w:rPr>
          <w:rFonts w:ascii="Courier New" w:hAnsi="Courier New"/>
          <w:vanish/>
          <w:color w:val="800080"/>
          <w:sz w:val="24"/>
          <w:vertAlign w:val="subscript"/>
          <w:lang w:val="lv-LV"/>
        </w:rPr>
        <w:t xml:space="preserve"> </w:t>
      </w:r>
    </w:p>
    <w:p>
      <w:pPr>
        <w:pStyle w:val="PlainText"/>
        <w:bidi w:val="0"/>
        <w:rPr>
          <w:rFonts w:ascii="Times New Roman" w:hAnsi="Times New Roman"/>
          <w:sz w:val="24"/>
        </w:rPr>
      </w:pPr>
      <w:r>
        <w:rPr>
          <w:rFonts w:ascii="Times New Roman" w:hAnsi="Times New Roman"/>
          <w:sz w:val="24"/>
        </w:rPr>
      </w:r>
    </w:p>
    <w:p>
      <w:pPr>
        <w:pStyle w:val="PlainText"/>
        <w:bidi w:val="0"/>
        <w:rPr>
          <w:rFonts w:ascii="Times New Roman" w:hAnsi="Times New Roman"/>
          <w:sz w:val="24"/>
        </w:rPr>
      </w:pPr>
      <w:r>
        <w:rPr>
          <w:rFonts w:ascii="Times New Roman" w:hAnsi="Times New Roman"/>
          <w:sz w:val="24"/>
        </w:rPr>
      </w:r>
    </w:p>
    <w:p>
      <w:pPr>
        <w:pStyle w:val="Normal"/>
        <w:bidi w:val="0"/>
        <w:jc w:val="center"/>
        <w:rPr>
          <w:lang w:val="lv-LV"/>
        </w:rPr>
      </w:pPr>
      <w:r>
        <w:rPr>
          <w:i/>
          <w:color w:val="000000"/>
          <w:sz w:val="24"/>
          <w:lang w:val="lv-LV"/>
        </w:rPr>
        <w:t>1. pants</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Ievedot Kopienā Kopējo muitas tarifu 51. un 53.—62. grupā ietilpstošos tekstilizstrādājumus, kas uzskaitīti Nolikuma (EEK) Nr. 3019/77 A pielikumā, tiem jābūt līdzi izcelsmes apliecinājumam saskaņā ar turpmāk noteikto kārtību.</w:t>
      </w:r>
    </w:p>
    <w:p>
      <w:pPr>
        <w:pStyle w:val="PlainText"/>
        <w:bidi w:val="0"/>
        <w:rPr>
          <w:rFonts w:ascii="Times New Roman" w:hAnsi="Times New Roman"/>
          <w:sz w:val="24"/>
        </w:rPr>
      </w:pPr>
      <w:r>
        <w:rPr>
          <w:rFonts w:ascii="Times New Roman" w:hAnsi="Times New Roman"/>
          <w:sz w:val="24"/>
        </w:rPr>
      </w:r>
    </w:p>
    <w:p>
      <w:pPr>
        <w:pStyle w:val="PlainText"/>
        <w:widowControl/>
        <w:bidi w:val="0"/>
        <w:rPr/>
      </w:pPr>
      <w:r>
        <w:rPr/>
      </w:r>
      <w:r>
        <w:br w:type="page"/>
      </w:r>
    </w:p>
    <w:p>
      <w:pPr>
        <w:pStyle w:val="PlainText"/>
        <w:bidi w:val="0"/>
        <w:rPr>
          <w:rFonts w:ascii="Times New Roman" w:hAnsi="Times New Roman"/>
          <w:sz w:val="24"/>
        </w:rPr>
      </w:pPr>
      <w:r>
        <w:rPr>
          <w:rFonts w:ascii="Times New Roman" w:hAnsi="Times New Roman"/>
          <w:sz w:val="24"/>
        </w:rPr>
      </w:r>
    </w:p>
    <w:p>
      <w:pPr>
        <w:pStyle w:val="Normal"/>
        <w:bidi w:val="0"/>
        <w:jc w:val="center"/>
        <w:rPr>
          <w:lang w:val="lv-LV"/>
        </w:rPr>
      </w:pPr>
      <w:r>
        <w:rPr>
          <w:i/>
          <w:color w:val="000000"/>
          <w:sz w:val="24"/>
          <w:lang w:val="lv-LV"/>
        </w:rPr>
        <w:t>2. pants</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Izstrādājumiem, kas uzskaitīti Nolikuma (EEK) Nr. 3019/77 A pielikuma I un II grupā, jābūt līdzi izcelsmes sertifikātam, kas atbilst 9. pantam Padomes 1968. gada 27. jūnija Nolikumā Nr. 802/68 par preču izcelsmes jēdziena vienotu izpratni</w:t>
      </w:r>
      <w:r>
        <w:rPr>
          <w:color w:val="000000"/>
          <w:sz w:val="24"/>
          <w:vertAlign w:val="superscript"/>
          <w:lang w:val="lv-LV"/>
        </w:rPr>
        <w:t>2</w:t>
      </w:r>
      <w:r>
        <w:rPr>
          <w:color w:val="000000"/>
          <w:sz w:val="24"/>
          <w:lang w:val="lv-LV"/>
        </w:rPr>
        <w:t>.</w:t>
      </w:r>
    </w:p>
    <w:p>
      <w:pPr>
        <w:pStyle w:val="PlainText"/>
        <w:bidi w:val="0"/>
        <w:rPr>
          <w:rFonts w:ascii="Times New Roman" w:hAnsi="Times New Roman"/>
          <w:sz w:val="24"/>
        </w:rPr>
      </w:pPr>
      <w:r>
        <w:rPr>
          <w:rFonts w:ascii="Times New Roman" w:hAnsi="Times New Roman"/>
          <w:sz w:val="24"/>
        </w:rPr>
      </w:r>
    </w:p>
    <w:p>
      <w:pPr>
        <w:pStyle w:val="PlainText"/>
        <w:bidi w:val="0"/>
        <w:rPr>
          <w:rFonts w:ascii="Times New Roman" w:hAnsi="Times New Roman"/>
          <w:sz w:val="24"/>
        </w:rPr>
      </w:pPr>
      <w:r>
        <w:rPr>
          <w:rFonts w:ascii="Times New Roman" w:hAnsi="Times New Roman"/>
          <w:sz w:val="24"/>
        </w:rPr>
      </w:r>
    </w:p>
    <w:p>
      <w:pPr>
        <w:pStyle w:val="Normal"/>
        <w:bidi w:val="0"/>
        <w:jc w:val="center"/>
        <w:rPr>
          <w:lang w:val="lv-LV"/>
        </w:rPr>
      </w:pPr>
      <w:r>
        <w:rPr>
          <w:i/>
          <w:color w:val="000000"/>
          <w:sz w:val="24"/>
          <w:lang w:val="lv-LV"/>
        </w:rPr>
        <w:t>3. pants</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1.    Kopā ar tādu izstrādājumu, kas nav minēti 2. pantā, faktūrrēķinu, vai, ja nav faktūrrēķina, ar citu komercdokumentu, kas attiecas uz izstrādājumiem, jābūt eksportētāja vai piegādātāja deklarācijai par to, ka tie nāk no trešās valsts, kurā deklarācija sastādīta, un atbilst 5. pantā minētajiem izcelsmes noteikšanas kritērijiem.</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2. Neatkarīgi no šā panta 1. punkta var atbilstīgi 2. panta nosacījumiem izdot šo izstrādājumu izcelsmes sertifikātu.</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3. Neatkarīgi no 1. punktā minētās izcelsmes deklarācijas uzrādīšanas pamatotu šaubu gadījumos kompetentās iestādes Kopienā drīkst prasīt papildu apliecinājumus, kas garantē izcelsmes deklarācijas atbilstību 5. pantā minētajiem izcelsmes noteikšanas kritērijiem.</w:t>
      </w:r>
    </w:p>
    <w:p>
      <w:pPr>
        <w:pStyle w:val="PlainText"/>
        <w:bidi w:val="0"/>
        <w:rPr>
          <w:rFonts w:ascii="Times New Roman" w:hAnsi="Times New Roman"/>
          <w:sz w:val="24"/>
        </w:rPr>
      </w:pPr>
      <w:r>
        <w:rPr>
          <w:rFonts w:ascii="Times New Roman" w:hAnsi="Times New Roman"/>
          <w:sz w:val="24"/>
        </w:rPr>
      </w:r>
    </w:p>
    <w:p>
      <w:pPr>
        <w:pStyle w:val="PlainText"/>
        <w:bidi w:val="0"/>
        <w:rPr>
          <w:rFonts w:ascii="Times New Roman" w:hAnsi="Times New Roman"/>
          <w:sz w:val="24"/>
        </w:rPr>
      </w:pPr>
      <w:r>
        <w:rPr>
          <w:rFonts w:ascii="Times New Roman" w:hAnsi="Times New Roman"/>
          <w:sz w:val="24"/>
        </w:rPr>
      </w:r>
    </w:p>
    <w:p>
      <w:pPr>
        <w:pStyle w:val="Normal"/>
        <w:bidi w:val="0"/>
        <w:jc w:val="center"/>
        <w:rPr>
          <w:lang w:val="lv-LV"/>
        </w:rPr>
      </w:pPr>
      <w:r>
        <w:rPr>
          <w:i/>
          <w:color w:val="000000"/>
          <w:sz w:val="24"/>
          <w:lang w:val="lv-LV"/>
        </w:rPr>
        <w:t>4. pants</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1. Katra dalībvalsts ziņo Komisijai par nopietniem pārkāpumiem vai nelikumībām 3. pantā minēto izcelsmes deklarāciju sakarā. Komisija šīs ziņas nodod tālāk pārējām dalībvalstīm.</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2. Pēc dalībvalstu pieprasījuma vai pēc Komisijas ierosmes Preču izcelsmes komiteja, tiklīdz iespējams, ievērojot Nolikuma (EEK) Nr. 802/68 13. pantā noteikto kārtību izskata jautājumu par to, vai attiecībā uz izstrādājumiem un trešām valstīm prasīt uzrādīt izcelsmes sertifikātu saskaņā ar 2. pantu.</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3. Lēmumu pieņem saskaņā ar Nolikuma Nr. 802/68/EEK 14. pantā noteikto kārtību.</w:t>
      </w:r>
    </w:p>
    <w:p>
      <w:pPr>
        <w:pStyle w:val="PlainText"/>
        <w:bidi w:val="0"/>
        <w:rPr>
          <w:rFonts w:ascii="Times New Roman" w:hAnsi="Times New Roman"/>
          <w:sz w:val="24"/>
        </w:rPr>
      </w:pPr>
      <w:r>
        <w:rPr>
          <w:rFonts w:ascii="Times New Roman" w:hAnsi="Times New Roman"/>
          <w:sz w:val="24"/>
        </w:rPr>
      </w:r>
    </w:p>
    <w:p>
      <w:pPr>
        <w:pStyle w:val="PlainText"/>
        <w:bidi w:val="0"/>
        <w:rPr>
          <w:rFonts w:ascii="Times New Roman" w:hAnsi="Times New Roman"/>
          <w:sz w:val="24"/>
        </w:rPr>
      </w:pPr>
      <w:r>
        <w:rPr>
          <w:rFonts w:ascii="Times New Roman" w:hAnsi="Times New Roman"/>
          <w:sz w:val="24"/>
        </w:rPr>
      </w:r>
    </w:p>
    <w:p>
      <w:pPr>
        <w:pStyle w:val="Normal"/>
        <w:bidi w:val="0"/>
        <w:jc w:val="center"/>
        <w:rPr>
          <w:lang w:val="lv-LV"/>
        </w:rPr>
      </w:pPr>
      <w:r>
        <w:rPr>
          <w:i/>
          <w:color w:val="000000"/>
          <w:sz w:val="24"/>
          <w:lang w:val="lv-LV"/>
        </w:rPr>
        <w:t>5. pants</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Šajā nolikumā minētos izcelsmes sertifikātus un izcelsmes deklarācijas var akceptēt tikai tad, ja tie atbilst spēkā esošajos Kopienas tiesību aktos izklāstītajiem izcelsmes noteikšanas kritērijiem.</w:t>
      </w:r>
    </w:p>
    <w:p>
      <w:pPr>
        <w:pStyle w:val="PlainText"/>
        <w:bidi w:val="0"/>
        <w:rPr>
          <w:rFonts w:ascii="Times New Roman" w:hAnsi="Times New Roman"/>
          <w:sz w:val="24"/>
        </w:rPr>
      </w:pPr>
      <w:r>
        <w:rPr>
          <w:rFonts w:ascii="Times New Roman" w:hAnsi="Times New Roman"/>
          <w:sz w:val="24"/>
        </w:rPr>
      </w:r>
    </w:p>
    <w:p>
      <w:pPr>
        <w:pStyle w:val="PlainText"/>
        <w:bidi w:val="0"/>
        <w:rPr>
          <w:rFonts w:ascii="Times New Roman" w:hAnsi="Times New Roman"/>
          <w:sz w:val="24"/>
        </w:rPr>
      </w:pPr>
      <w:r>
        <w:rPr>
          <w:rFonts w:ascii="Times New Roman" w:hAnsi="Times New Roman"/>
          <w:sz w:val="24"/>
        </w:rPr>
      </w:r>
    </w:p>
    <w:p>
      <w:pPr>
        <w:pStyle w:val="Normal"/>
        <w:bidi w:val="0"/>
        <w:jc w:val="center"/>
        <w:rPr>
          <w:lang w:val="lv-LV"/>
        </w:rPr>
      </w:pPr>
      <w:r>
        <w:rPr>
          <w:i/>
          <w:color w:val="000000"/>
          <w:sz w:val="24"/>
          <w:lang w:val="lv-LV"/>
        </w:rPr>
        <w:t>6. pants</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Ja izstrādājumiem, kas ietilpst vienā un tajā pašā Muitas sadarbības padomes nomenklatūras nodaļā, ir noteikti atšķirīgi izcelsmes noteikšanas kritēriji, izcelsmes sertifikātos un izcelsmes deklarācijās jābūt pietiekami sīkam preču aprakstam, lai varētu noteikt, pēc kuriem kritērijiem izdots sertifikāts vai sastādīta deklarācija.</w:t>
      </w:r>
    </w:p>
    <w:p>
      <w:pPr>
        <w:pStyle w:val="PlainText"/>
        <w:bidi w:val="0"/>
        <w:rPr>
          <w:rFonts w:ascii="Times New Roman" w:hAnsi="Times New Roman"/>
          <w:sz w:val="24"/>
        </w:rPr>
      </w:pPr>
      <w:r>
        <w:rPr>
          <w:rFonts w:ascii="Times New Roman" w:hAnsi="Times New Roman"/>
          <w:sz w:val="24"/>
        </w:rPr>
      </w:r>
    </w:p>
    <w:p>
      <w:pPr>
        <w:pStyle w:val="PlainText"/>
        <w:bidi w:val="0"/>
        <w:rPr>
          <w:rFonts w:ascii="Times New Roman" w:hAnsi="Times New Roman"/>
          <w:sz w:val="24"/>
        </w:rPr>
      </w:pPr>
      <w:r>
        <w:rPr>
          <w:rFonts w:ascii="Times New Roman" w:hAnsi="Times New Roman"/>
          <w:sz w:val="24"/>
        </w:rPr>
      </w:r>
    </w:p>
    <w:p>
      <w:pPr>
        <w:pStyle w:val="Normal"/>
        <w:bidi w:val="0"/>
        <w:jc w:val="center"/>
        <w:rPr>
          <w:lang w:val="lv-LV"/>
        </w:rPr>
      </w:pPr>
      <w:r>
        <w:rPr>
          <w:i/>
          <w:color w:val="000000"/>
          <w:sz w:val="24"/>
          <w:lang w:val="lv-LV"/>
        </w:rPr>
        <w:t>7. pants</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1. Izcelsmes sertifikātiem jābūt izdotiem un izcelsmes deklarācijai jābūt sastādītai tajā valstī, kurā preces saražotas.</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2. Bet gadījumos, kad preces importē tieši no izcelsmes valsts, taču ieved caur citu valsti, šajā citā valstī izdotie izcelsmes sertifikāti jāakceptē tad, kad ir pārbaudīts, vai šādi sertifikāti ir akceptējami tāpat kā izcelsmes valsts izdotie.</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3. Šā panta 2. punkts neattiecas uz gadījumiem, kad ir noteikumi vai vienošanās par konkrēto izcelsmes sertifikāta izdevējas valsts izstrādājumu limitiem.</w:t>
      </w:r>
    </w:p>
    <w:p>
      <w:pPr>
        <w:pStyle w:val="PlainText"/>
        <w:bidi w:val="0"/>
        <w:rPr>
          <w:rFonts w:ascii="Times New Roman" w:hAnsi="Times New Roman"/>
          <w:sz w:val="24"/>
        </w:rPr>
      </w:pPr>
      <w:r>
        <w:rPr>
          <w:rFonts w:ascii="Times New Roman" w:hAnsi="Times New Roman"/>
          <w:sz w:val="24"/>
        </w:rPr>
      </w:r>
    </w:p>
    <w:p>
      <w:pPr>
        <w:pStyle w:val="PlainText"/>
        <w:bidi w:val="0"/>
        <w:rPr>
          <w:rFonts w:ascii="Times New Roman" w:hAnsi="Times New Roman"/>
          <w:sz w:val="24"/>
        </w:rPr>
      </w:pPr>
      <w:r>
        <w:rPr>
          <w:rFonts w:ascii="Times New Roman" w:hAnsi="Times New Roman"/>
          <w:sz w:val="24"/>
        </w:rPr>
      </w:r>
    </w:p>
    <w:p>
      <w:pPr>
        <w:pStyle w:val="Normal"/>
        <w:bidi w:val="0"/>
        <w:jc w:val="center"/>
        <w:rPr>
          <w:lang w:val="lv-LV"/>
        </w:rPr>
      </w:pPr>
      <w:r>
        <w:rPr>
          <w:i/>
          <w:color w:val="000000"/>
          <w:sz w:val="24"/>
          <w:lang w:val="lv-LV"/>
        </w:rPr>
        <w:t>8. pants</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 xml:space="preserve">1. </w:t>
      </w:r>
      <w:r>
        <w:rPr>
          <w:i/>
          <w:color w:val="000000"/>
          <w:sz w:val="24"/>
          <w:lang w:val="lv-LV"/>
        </w:rPr>
        <w:t>EUR.1</w:t>
      </w:r>
      <w:r>
        <w:rPr>
          <w:color w:val="000000"/>
          <w:sz w:val="24"/>
          <w:lang w:val="lv-LV"/>
        </w:rPr>
        <w:t xml:space="preserve"> un </w:t>
      </w:r>
      <w:r>
        <w:rPr>
          <w:i/>
          <w:color w:val="000000"/>
          <w:sz w:val="24"/>
          <w:lang w:val="lv-LV"/>
        </w:rPr>
        <w:t>EUR.2</w:t>
      </w:r>
      <w:r>
        <w:rPr>
          <w:color w:val="000000"/>
          <w:sz w:val="24"/>
          <w:lang w:val="lv-LV"/>
        </w:rPr>
        <w:t xml:space="preserve">, </w:t>
      </w:r>
      <w:r>
        <w:rPr>
          <w:i/>
          <w:color w:val="000000"/>
          <w:sz w:val="24"/>
          <w:lang w:val="lv-LV"/>
        </w:rPr>
        <w:t>A.CY.1</w:t>
      </w:r>
      <w:r>
        <w:rPr>
          <w:color w:val="000000"/>
          <w:sz w:val="24"/>
          <w:lang w:val="lv-LV"/>
        </w:rPr>
        <w:t xml:space="preserve"> un </w:t>
      </w:r>
      <w:r>
        <w:rPr>
          <w:i/>
          <w:color w:val="000000"/>
          <w:sz w:val="24"/>
          <w:lang w:val="lv-LV"/>
        </w:rPr>
        <w:t>A.CY.2</w:t>
      </w:r>
      <w:r>
        <w:rPr>
          <w:color w:val="000000"/>
          <w:sz w:val="24"/>
          <w:lang w:val="lv-LV"/>
        </w:rPr>
        <w:t xml:space="preserve">, </w:t>
      </w:r>
      <w:r>
        <w:rPr>
          <w:i/>
          <w:color w:val="000000"/>
          <w:sz w:val="24"/>
          <w:lang w:val="lv-LV"/>
        </w:rPr>
        <w:t xml:space="preserve">A.E.1 </w:t>
      </w:r>
      <w:r>
        <w:rPr>
          <w:color w:val="000000"/>
          <w:sz w:val="24"/>
          <w:lang w:val="lv-LV"/>
        </w:rPr>
        <w:t xml:space="preserve">un </w:t>
      </w:r>
      <w:r>
        <w:rPr>
          <w:i/>
          <w:color w:val="000000"/>
          <w:sz w:val="24"/>
          <w:lang w:val="lv-LV"/>
        </w:rPr>
        <w:t>A.E.2</w:t>
      </w:r>
      <w:r>
        <w:rPr>
          <w:color w:val="000000"/>
          <w:sz w:val="24"/>
          <w:lang w:val="lv-LV"/>
        </w:rPr>
        <w:t xml:space="preserve">, </w:t>
      </w:r>
      <w:r>
        <w:rPr>
          <w:i/>
          <w:color w:val="000000"/>
          <w:sz w:val="24"/>
          <w:lang w:val="lv-LV"/>
        </w:rPr>
        <w:t>A.ET.1</w:t>
      </w:r>
      <w:r>
        <w:rPr>
          <w:color w:val="000000"/>
          <w:sz w:val="24"/>
          <w:lang w:val="lv-LV"/>
        </w:rPr>
        <w:t xml:space="preserve"> un </w:t>
      </w:r>
      <w:r>
        <w:rPr>
          <w:i/>
          <w:color w:val="000000"/>
          <w:sz w:val="24"/>
          <w:lang w:val="lv-LV"/>
        </w:rPr>
        <w:t>A.ET.2</w:t>
      </w:r>
      <w:r>
        <w:rPr>
          <w:color w:val="000000"/>
          <w:sz w:val="24"/>
          <w:lang w:val="lv-LV"/>
        </w:rPr>
        <w:t xml:space="preserve">, </w:t>
      </w:r>
      <w:r>
        <w:rPr>
          <w:i/>
          <w:color w:val="000000"/>
          <w:sz w:val="24"/>
          <w:lang w:val="lv-LV"/>
        </w:rPr>
        <w:t>A.RL.1</w:t>
      </w:r>
      <w:r>
        <w:rPr>
          <w:color w:val="000000"/>
          <w:sz w:val="24"/>
          <w:lang w:val="lv-LV"/>
        </w:rPr>
        <w:t xml:space="preserve"> un </w:t>
      </w:r>
      <w:r>
        <w:rPr>
          <w:i/>
          <w:color w:val="000000"/>
          <w:sz w:val="24"/>
          <w:lang w:val="lv-LV"/>
        </w:rPr>
        <w:t>A.RL.2</w:t>
      </w:r>
      <w:r>
        <w:rPr>
          <w:color w:val="000000"/>
          <w:sz w:val="24"/>
          <w:lang w:val="lv-LV"/>
        </w:rPr>
        <w:t xml:space="preserve"> parauga pārvadājumu sertifikāti un aizpildītās veidlapas un izcelsmes sertifikātu A veidlapa un aizpildītās </w:t>
      </w:r>
      <w:r>
        <w:rPr>
          <w:i/>
          <w:color w:val="000000"/>
          <w:sz w:val="24"/>
          <w:lang w:val="lv-LV"/>
        </w:rPr>
        <w:t>APR</w:t>
      </w:r>
      <w:r>
        <w:rPr>
          <w:color w:val="000000"/>
          <w:sz w:val="24"/>
          <w:lang w:val="lv-LV"/>
        </w:rPr>
        <w:t xml:space="preserve"> veidlapas, ko, preces ievedot Kopienā, uzrāda tarifu atvieglojumu saņemšanai, ir akceptējamas 1. pantā minētā izcelsmes apliecinājuma vietā.</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2. 1. pantā minēto izcelsmes apliecinājumu neprasa precēm, kurām pievienots sertifikāts, kas atbilst Nolikuma (EEK) Nr. 2635/77</w:t>
      </w:r>
      <w:r>
        <w:rPr>
          <w:color w:val="000000"/>
          <w:sz w:val="24"/>
          <w:vertAlign w:val="superscript"/>
          <w:lang w:val="lv-LV"/>
        </w:rPr>
        <w:t>1</w:t>
      </w:r>
      <w:r>
        <w:rPr>
          <w:color w:val="000000"/>
          <w:sz w:val="24"/>
          <w:lang w:val="lv-LV"/>
        </w:rPr>
        <w:t xml:space="preserve"> un Nolikuma (EEK) Nr. No 2636/77</w:t>
      </w:r>
      <w:r>
        <w:rPr>
          <w:color w:val="000000"/>
          <w:sz w:val="24"/>
          <w:vertAlign w:val="superscript"/>
          <w:lang w:val="lv-LV"/>
        </w:rPr>
        <w:t>2</w:t>
      </w:r>
      <w:r>
        <w:rPr>
          <w:color w:val="000000"/>
          <w:sz w:val="24"/>
          <w:lang w:val="lv-LV"/>
        </w:rPr>
        <w:t xml:space="preserve"> paraugiem un nosacījumiem, kā arī attiecīgiem noteikumiem, kas vēlāk pieņemti to vietā.</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3. Šā panta 2. punkts attiecas arī uz precēm, kam pievienots sertifikāts, kas atbilst Nolikuma (EEK) Nr. 3019/77 D pielikuma paraugam un nosacījumiem, kā arī noteikumiem, kas vēlāk pieņemti to vietā vai tiem papildus.</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4. Šis nolikums neattiecas uz nekomerciālu importu, kas atbrīvots no 1. punktā minēto dokumentu uzrādīšanas saskaņā ar attiecīgu atvieglojumu režīmu.</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5. Nosacījumus, ar kādiem šis nolikums attiecas uz tādu nekomerciālu importu, kas nav minēts 4. punktā, pieņem līdz 1979. gada 1. aprīlim Nolikuma (EEK) Nr. 802/68 14. pantā noteiktajā kārtībā.</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Līdz šādas kārtības ieviešanai dalībvalstis var paturēt spēkā savu kārtību, ko tās noteikušas šajā jomā.</w:t>
      </w:r>
    </w:p>
    <w:p>
      <w:pPr>
        <w:pStyle w:val="PlainText"/>
        <w:bidi w:val="0"/>
        <w:rPr>
          <w:rFonts w:ascii="Times New Roman" w:hAnsi="Times New Roman"/>
          <w:sz w:val="24"/>
        </w:rPr>
      </w:pPr>
      <w:r>
        <w:rPr>
          <w:rFonts w:ascii="Times New Roman" w:hAnsi="Times New Roman"/>
          <w:sz w:val="24"/>
        </w:rPr>
      </w:r>
    </w:p>
    <w:p>
      <w:pPr>
        <w:pStyle w:val="PlainText"/>
        <w:bidi w:val="0"/>
        <w:rPr>
          <w:rFonts w:ascii="Times New Roman" w:hAnsi="Times New Roman"/>
          <w:sz w:val="24"/>
        </w:rPr>
      </w:pPr>
      <w:r>
        <w:rPr>
          <w:rFonts w:ascii="Times New Roman" w:hAnsi="Times New Roman"/>
          <w:sz w:val="24"/>
        </w:rPr>
      </w:r>
    </w:p>
    <w:p>
      <w:pPr>
        <w:pStyle w:val="Normal"/>
        <w:bidi w:val="0"/>
        <w:jc w:val="center"/>
        <w:rPr>
          <w:lang w:val="lv-LV"/>
        </w:rPr>
      </w:pPr>
      <w:r>
        <w:rPr>
          <w:i/>
          <w:color w:val="000000"/>
          <w:sz w:val="24"/>
          <w:lang w:val="lv-LV"/>
        </w:rPr>
        <w:t>9. pants</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Dalībvalstis ziņo Komisijai par pasākumiem, kas veikti šā nolikuma piemērošanai.</w:t>
      </w:r>
    </w:p>
    <w:p>
      <w:pPr>
        <w:pStyle w:val="PlainText"/>
        <w:bidi w:val="0"/>
        <w:rPr>
          <w:rFonts w:ascii="Times New Roman" w:hAnsi="Times New Roman"/>
          <w:sz w:val="24"/>
        </w:rPr>
      </w:pPr>
      <w:r>
        <w:rPr>
          <w:rFonts w:ascii="Times New Roman" w:hAnsi="Times New Roman"/>
          <w:sz w:val="24"/>
        </w:rPr>
      </w:r>
    </w:p>
    <w:p>
      <w:pPr>
        <w:pStyle w:val="PlainText"/>
        <w:bidi w:val="0"/>
        <w:rPr>
          <w:rFonts w:ascii="Times New Roman" w:hAnsi="Times New Roman"/>
          <w:sz w:val="24"/>
        </w:rPr>
      </w:pPr>
      <w:r>
        <w:rPr>
          <w:rFonts w:ascii="Times New Roman" w:hAnsi="Times New Roman"/>
          <w:sz w:val="24"/>
        </w:rPr>
      </w:r>
    </w:p>
    <w:p>
      <w:pPr>
        <w:pStyle w:val="Normal"/>
        <w:bidi w:val="0"/>
        <w:jc w:val="center"/>
        <w:rPr>
          <w:lang w:val="lv-LV"/>
        </w:rPr>
      </w:pPr>
      <w:r>
        <w:rPr>
          <w:i/>
          <w:color w:val="000000"/>
          <w:sz w:val="24"/>
          <w:lang w:val="lv-LV"/>
        </w:rPr>
        <w:t>10. pants</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Preces, kas atvestas pirms 1978. gada 1. maija, līdz 1978. gada 31. augustam drīkst importēt bez 1. pantā minētā izcelsmes apliecinājuma uzrādīšanas.</w:t>
      </w:r>
    </w:p>
    <w:p>
      <w:pPr>
        <w:pStyle w:val="PlainText"/>
        <w:bidi w:val="0"/>
        <w:rPr>
          <w:rFonts w:ascii="Times New Roman" w:hAnsi="Times New Roman"/>
          <w:sz w:val="24"/>
        </w:rPr>
      </w:pPr>
      <w:r>
        <w:rPr>
          <w:rFonts w:ascii="Times New Roman" w:hAnsi="Times New Roman"/>
          <w:sz w:val="24"/>
        </w:rPr>
      </w:r>
    </w:p>
    <w:p>
      <w:pPr>
        <w:pStyle w:val="PlainText"/>
        <w:bidi w:val="0"/>
        <w:rPr>
          <w:rFonts w:ascii="Times New Roman" w:hAnsi="Times New Roman"/>
          <w:sz w:val="24"/>
        </w:rPr>
      </w:pPr>
      <w:r>
        <w:rPr>
          <w:rFonts w:ascii="Times New Roman" w:hAnsi="Times New Roman"/>
          <w:sz w:val="24"/>
        </w:rPr>
      </w:r>
    </w:p>
    <w:p>
      <w:pPr>
        <w:pStyle w:val="Normal"/>
        <w:bidi w:val="0"/>
        <w:jc w:val="center"/>
        <w:rPr>
          <w:lang w:val="lv-LV"/>
        </w:rPr>
      </w:pPr>
      <w:r>
        <w:rPr>
          <w:i/>
          <w:color w:val="000000"/>
          <w:sz w:val="24"/>
          <w:lang w:val="lv-LV"/>
        </w:rPr>
        <w:t>11. pants</w:t>
      </w:r>
    </w:p>
    <w:p>
      <w:pPr>
        <w:pStyle w:val="PlainText"/>
        <w:bidi w:val="0"/>
        <w:rPr>
          <w:rFonts w:ascii="Times New Roman" w:hAnsi="Times New Roman"/>
          <w:sz w:val="24"/>
        </w:rPr>
      </w:pPr>
      <w:r>
        <w:rPr>
          <w:rFonts w:ascii="Times New Roman" w:hAnsi="Times New Roman"/>
          <w:sz w:val="24"/>
        </w:rPr>
      </w:r>
    </w:p>
    <w:p>
      <w:pPr>
        <w:pStyle w:val="Normal"/>
        <w:bidi w:val="0"/>
        <w:rPr>
          <w:lang w:val="lv-LV"/>
        </w:rPr>
      </w:pPr>
      <w:r>
        <w:rPr>
          <w:color w:val="000000"/>
          <w:sz w:val="24"/>
          <w:lang w:val="lv-LV"/>
        </w:rPr>
        <w:t>Šis nolikums stājas spēkā 1978. gada 1. maijā.</w:t>
      </w:r>
    </w:p>
    <w:p>
      <w:pPr>
        <w:pStyle w:val="PlainText"/>
        <w:bidi w:val="0"/>
        <w:rPr>
          <w:rFonts w:ascii="Times New Roman" w:hAnsi="Times New Roman"/>
          <w:sz w:val="24"/>
        </w:rPr>
      </w:pPr>
      <w:r>
        <w:rPr>
          <w:rFonts w:ascii="Times New Roman" w:hAnsi="Times New Roman"/>
          <w:sz w:val="24"/>
        </w:rPr>
      </w:r>
    </w:p>
    <w:p>
      <w:pPr>
        <w:pStyle w:val="PlainText"/>
        <w:bidi w:val="0"/>
        <w:rPr>
          <w:rFonts w:ascii="Times New Roman" w:hAnsi="Times New Roman"/>
          <w:sz w:val="24"/>
        </w:rPr>
      </w:pPr>
      <w:r>
        <w:rPr>
          <w:rFonts w:ascii="Times New Roman" w:hAnsi="Times New Roman"/>
          <w:sz w:val="24"/>
        </w:rPr>
      </w:r>
    </w:p>
    <w:p>
      <w:pPr>
        <w:pStyle w:val="Normal"/>
        <w:bidi w:val="0"/>
        <w:ind w:start="567" w:hanging="0"/>
        <w:rPr>
          <w:lang w:val="lv-LV"/>
        </w:rPr>
      </w:pPr>
      <w:r>
        <w:rPr>
          <w:color w:val="000000"/>
          <w:sz w:val="24"/>
          <w:lang w:val="lv-LV"/>
        </w:rPr>
        <w:t>Šis nolikums uzliek saistības kopumā un ir tieši piemērojams visās dalībvalstīs.</w:t>
      </w:r>
    </w:p>
    <w:p>
      <w:pPr>
        <w:pStyle w:val="PlainText"/>
        <w:bidi w:val="0"/>
        <w:ind w:start="567" w:hanging="0"/>
        <w:rPr>
          <w:rFonts w:ascii="Times New Roman" w:hAnsi="Times New Roman"/>
          <w:sz w:val="24"/>
        </w:rPr>
      </w:pPr>
      <w:r>
        <w:rPr>
          <w:rFonts w:ascii="Times New Roman" w:hAnsi="Times New Roman"/>
          <w:sz w:val="24"/>
        </w:rPr>
      </w:r>
    </w:p>
    <w:p>
      <w:pPr>
        <w:pStyle w:val="Normal"/>
        <w:bidi w:val="0"/>
        <w:ind w:start="567" w:hanging="0"/>
        <w:rPr>
          <w:lang w:val="lv-LV"/>
        </w:rPr>
      </w:pPr>
      <w:r>
        <w:rPr>
          <w:color w:val="000000"/>
          <w:sz w:val="24"/>
          <w:lang w:val="lv-LV"/>
        </w:rPr>
        <w:t>Briselē, 1978. gada 20. martā.</w:t>
      </w:r>
    </w:p>
    <w:p>
      <w:pPr>
        <w:pStyle w:val="PlainText"/>
        <w:bidi w:val="0"/>
        <w:rPr>
          <w:rFonts w:ascii="Times New Roman" w:hAnsi="Times New Roman"/>
          <w:sz w:val="24"/>
        </w:rPr>
      </w:pPr>
      <w:r>
        <w:rPr>
          <w:rFonts w:ascii="Times New Roman" w:hAnsi="Times New Roman"/>
          <w:sz w:val="24"/>
        </w:rPr>
      </w:r>
    </w:p>
    <w:p>
      <w:pPr>
        <w:pStyle w:val="PlainText"/>
        <w:bidi w:val="0"/>
        <w:rPr>
          <w:rFonts w:ascii="Times New Roman" w:hAnsi="Times New Roman"/>
          <w:sz w:val="24"/>
        </w:rPr>
      </w:pPr>
      <w:r>
        <w:rPr>
          <w:rFonts w:ascii="Times New Roman" w:hAnsi="Times New Roman"/>
          <w:sz w:val="24"/>
        </w:rPr>
      </w:r>
    </w:p>
    <w:p>
      <w:pPr>
        <w:pStyle w:val="Normal"/>
        <w:tabs>
          <w:tab w:val="clear" w:pos="709"/>
          <w:tab w:val="center" w:pos="4536" w:leader="none"/>
        </w:tabs>
        <w:bidi w:val="0"/>
        <w:rPr>
          <w:lang w:val="lv-LV"/>
        </w:rPr>
      </w:pPr>
      <w:r>
        <w:rPr>
          <w:color w:val="000000"/>
          <w:sz w:val="24"/>
          <w:lang w:val="lv-LV"/>
        </w:rPr>
        <w:tab/>
        <w:t>Padomes vārdā —</w:t>
      </w:r>
    </w:p>
    <w:p>
      <w:pPr>
        <w:pStyle w:val="PlainText"/>
        <w:tabs>
          <w:tab w:val="clear" w:pos="709"/>
          <w:tab w:val="center" w:pos="4536" w:leader="none"/>
        </w:tabs>
        <w:bidi w:val="0"/>
        <w:rPr>
          <w:rFonts w:ascii="Times New Roman" w:hAnsi="Times New Roman"/>
          <w:sz w:val="24"/>
        </w:rPr>
      </w:pPr>
      <w:r>
        <w:rPr>
          <w:rFonts w:ascii="Times New Roman" w:hAnsi="Times New Roman"/>
          <w:sz w:val="24"/>
        </w:rPr>
      </w:r>
    </w:p>
    <w:p>
      <w:pPr>
        <w:pStyle w:val="Normal"/>
        <w:tabs>
          <w:tab w:val="clear" w:pos="709"/>
          <w:tab w:val="center" w:pos="4536" w:leader="none"/>
        </w:tabs>
        <w:bidi w:val="0"/>
        <w:rPr>
          <w:lang w:val="lv-LV"/>
        </w:rPr>
      </w:pPr>
      <w:r>
        <w:rPr>
          <w:color w:val="000000"/>
          <w:sz w:val="24"/>
          <w:lang w:val="lv-LV"/>
        </w:rPr>
        <w:tab/>
        <w:t>priekšsēdētājs</w:t>
      </w:r>
    </w:p>
    <w:p>
      <w:pPr>
        <w:pStyle w:val="PlainText"/>
        <w:tabs>
          <w:tab w:val="clear" w:pos="709"/>
          <w:tab w:val="center" w:pos="4536" w:leader="none"/>
        </w:tabs>
        <w:bidi w:val="0"/>
        <w:rPr>
          <w:rFonts w:ascii="Times New Roman" w:hAnsi="Times New Roman"/>
          <w:sz w:val="24"/>
        </w:rPr>
      </w:pPr>
      <w:r>
        <w:rPr>
          <w:rFonts w:ascii="Times New Roman" w:hAnsi="Times New Roman"/>
          <w:sz w:val="24"/>
        </w:rPr>
      </w:r>
    </w:p>
    <w:p>
      <w:pPr>
        <w:pStyle w:val="Normal"/>
        <w:tabs>
          <w:tab w:val="clear" w:pos="709"/>
          <w:tab w:val="center" w:pos="4536" w:leader="none"/>
        </w:tabs>
        <w:bidi w:val="0"/>
        <w:rPr>
          <w:lang w:val="lv-LV"/>
        </w:rPr>
      </w:pPr>
      <w:r>
        <w:rPr>
          <w:color w:val="000000"/>
          <w:sz w:val="24"/>
          <w:lang w:val="lv-LV"/>
        </w:rPr>
        <w:tab/>
        <w:t>K. HEINESENS (</w:t>
      </w:r>
      <w:r>
        <w:rPr>
          <w:i/>
          <w:color w:val="000000"/>
          <w:sz w:val="24"/>
          <w:lang w:val="lv-LV"/>
        </w:rPr>
        <w:t>K. HEINESEN</w:t>
      </w:r>
      <w:r>
        <w:rPr>
          <w:color w:val="000000"/>
          <w:sz w:val="24"/>
          <w:lang w:val="lv-LV"/>
        </w:rPr>
        <w:t>)</w:t>
      </w:r>
    </w:p>
    <w:p>
      <w:pPr>
        <w:pStyle w:val="PlainText"/>
        <w:bidi w:val="0"/>
        <w:rPr>
          <w:rFonts w:ascii="Times New Roman" w:hAnsi="Times New Roman"/>
          <w:sz w:val="24"/>
        </w:rPr>
      </w:pPr>
      <w:r>
        <w:rPr>
          <w:rFonts w:ascii="Times New Roman" w:hAnsi="Times New Roman"/>
          <w:sz w:val="24"/>
        </w:rPr>
      </w:r>
    </w:p>
    <w:p>
      <w:pPr>
        <w:pStyle w:val="PlainText"/>
        <w:bidi w:val="0"/>
        <w:rPr>
          <w:rFonts w:ascii="Times New Roman" w:hAnsi="Times New Roman"/>
          <w:i/>
          <w:i/>
          <w:sz w:val="24"/>
        </w:rPr>
      </w:pPr>
      <w:r>
        <w:rPr>
          <w:rFonts w:ascii="Times New Roman" w:hAnsi="Times New Roman"/>
          <w:i/>
          <w:sz w:val="24"/>
        </w:rPr>
      </w:r>
    </w:p>
    <w:p>
      <w:pPr>
        <w:pStyle w:val="PlainText"/>
        <w:bidi w:val="0"/>
        <w:rPr>
          <w:rFonts w:ascii="Times New Roman" w:hAnsi="Times New Roman"/>
          <w:i/>
          <w:i/>
          <w:sz w:val="24"/>
        </w:rPr>
      </w:pPr>
      <w:r>
        <w:rPr>
          <w:rFonts w:ascii="Times New Roman" w:hAnsi="Times New Roman"/>
          <w:i/>
          <w:sz w:val="24"/>
        </w:rPr>
      </w:r>
    </w:p>
    <w:p>
      <w:pPr>
        <w:pStyle w:val="PlainText"/>
        <w:bidi w:val="0"/>
        <w:rPr>
          <w:lang w:val="en-US"/>
        </w:rPr>
      </w:pPr>
      <w:r>
        <w:rPr>
          <w:rFonts w:ascii="Times New Roman" w:hAnsi="Times New Roman"/>
          <w:lang w:val="en-US"/>
        </w:rPr>
        <w:t>REGISTER :</w:t>
      </w:r>
      <w:r>
        <w:rPr>
          <w:rFonts w:ascii="Times New Roman" w:hAnsi="Times New Roman"/>
        </w:rPr>
        <w:t xml:space="preserve"> 02203000</w:t>
      </w:r>
    </w:p>
    <w:p>
      <w:pPr>
        <w:pStyle w:val="PlainText"/>
        <w:bidi w:val="0"/>
        <w:rPr>
          <w:rFonts w:ascii="Times New Roman" w:hAnsi="Times New Roman"/>
        </w:rPr>
      </w:pPr>
      <w:r>
        <w:rPr>
          <w:rFonts w:ascii="Times New Roman" w:hAnsi="Times New Roman"/>
        </w:rPr>
      </w:r>
    </w:p>
    <w:p>
      <w:pPr>
        <w:pStyle w:val="PlainText"/>
        <w:bidi w:val="0"/>
        <w:rPr>
          <w:lang w:val="en-US"/>
        </w:rPr>
      </w:pPr>
      <w:r>
        <w:rPr>
          <w:rFonts w:ascii="Times New Roman" w:hAnsi="Times New Roman"/>
          <w:lang w:val="en-US"/>
        </w:rPr>
        <w:t>DOCNUM :</w:t>
      </w:r>
      <w:r>
        <w:rPr>
          <w:rFonts w:ascii="Times New Roman" w:hAnsi="Times New Roman"/>
        </w:rPr>
        <w:t xml:space="preserve"> </w:t>
      </w:r>
      <w:r>
        <w:rPr>
          <w:rFonts w:ascii="Times New Roman" w:hAnsi="Times New Roman"/>
          <w:lang w:val="en-US"/>
        </w:rPr>
        <w:t xml:space="preserve">378R0616 </w:t>
      </w:r>
    </w:p>
    <w:p>
      <w:pPr>
        <w:pStyle w:val="PlainText"/>
        <w:bidi w:val="0"/>
        <w:rPr>
          <w:lang w:val="en-US"/>
        </w:rPr>
      </w:pPr>
      <w:r>
        <w:rPr>
          <w:rFonts w:ascii="Times New Roman" w:hAnsi="Times New Roman"/>
          <w:lang w:val="en-US"/>
        </w:rPr>
        <w:t>PUBREF :</w:t>
      </w:r>
      <w:r>
        <w:rPr>
          <w:rFonts w:ascii="Times New Roman" w:hAnsi="Times New Roman"/>
        </w:rPr>
        <w:t xml:space="preserve"> </w:t>
      </w:r>
      <w:r>
        <w:rPr>
          <w:rFonts w:ascii="Times New Roman" w:hAnsi="Times New Roman"/>
          <w:lang w:val="en-US"/>
        </w:rPr>
        <w:t>Official Journal L 084, 31/03/1978 p. 0001 - 0003</w:t>
      </w:r>
    </w:p>
    <w:p>
      <w:pPr>
        <w:pStyle w:val="PlainText"/>
        <w:widowControl/>
        <w:bidi w:val="0"/>
        <w:rPr/>
      </w:pPr>
      <w:r>
        <w:rPr/>
      </w:r>
    </w:p>
    <w:p>
      <w:pPr>
        <w:pStyle w:val="Normal"/>
        <w:bidi w:val="0"/>
        <w:rPr/>
      </w:pPr>
      <w:r>
        <w:rPr/>
      </w:r>
    </w:p>
    <w:sectPr>
      <w:headerReference w:type="default" r:id="rId2"/>
      <w:headerReference w:type="first" r:id="rId3"/>
      <w:footerReference w:type="default" r:id="rId4"/>
      <w:footerReference w:type="first" r:id="rId5"/>
      <w:type w:val="nextPage"/>
      <w:pgSz w:w="12240" w:h="15840"/>
      <w:pgMar w:left="1701" w:right="1134" w:gutter="0" w:header="567" w:top="1134" w:footer="567" w:bottom="113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Liberation Sans">
    <w:altName w:val="Arial"/>
    <w:charset w:val="01" w:characterSet="utf-8"/>
    <w:family w:val="swiss"/>
    <w:pitch w:val="variable"/>
  </w:font>
  <w:font w:name="Courier New">
    <w:charset w:val="01" w:characterSet="utf-8"/>
    <w:family w:val="roman"/>
    <w:pitch w:val="variable"/>
  </w:font>
  <w:font w:name="Symbo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rPr/>
    </w:pPr>
    <w:r>
      <w:rPr>
        <w:rStyle w:val="Pagenumber"/>
        <w:sz w:val="18"/>
        <w:u w:val="single"/>
        <w:lang w:val="en-GB"/>
      </w:rPr>
      <w:tab/>
      <w:tab/>
      <w:tab/>
      <w:tab/>
      <w:tab/>
      <w:tab/>
      <w:tab/>
      <w:tab/>
      <w:tab/>
      <w:tab/>
      <w:tab/>
      <w:tab/>
      <w:tab/>
    </w:r>
  </w:p>
  <w:p>
    <w:pPr>
      <w:pStyle w:val="Footer"/>
      <w:widowControl/>
      <w:bidi w:val="0"/>
      <w:rPr>
        <w:rFonts w:ascii="Times New Roman" w:hAnsi="Times New Roman"/>
        <w:sz w:val="18"/>
      </w:rPr>
    </w:pPr>
    <w:r>
      <w:rPr>
        <w:sz w:val="18"/>
      </w:rPr>
    </w:r>
  </w:p>
  <w:p>
    <w:pPr>
      <w:pStyle w:val="Footer"/>
      <w:widowControl/>
      <w:bidi w:val="0"/>
      <w:rPr/>
    </w:pPr>
    <w:r>
      <w:rPr>
        <w:sz w:val="18"/>
      </w:rPr>
      <w:t xml:space="preserve">Tulkojums </w:t>
    </w:r>
    <w:r>
      <w:rPr>
        <w:rFonts w:eastAsia="Symbol" w:cs="Symbol" w:ascii="Symbol" w:hAnsi="Symbol"/>
        <w:sz w:val="18"/>
      </w:rPr>
      <w:t>Ó</w:t>
    </w:r>
    <w:r>
      <w:rPr>
        <w:rFonts w:ascii="Symbol" w:hAnsi="Symbol"/>
        <w:sz w:val="18"/>
      </w:rPr>
      <w:t>Ó</w:t>
    </w:r>
    <w:r>
      <w:rPr>
        <w:sz w:val="18"/>
      </w:rPr>
      <w:t xml:space="preserve"> Tulkošanas un terminoloģijas centrs</w:t>
      <w:tab/>
      <w:tab/>
      <w:tab/>
      <w:tab/>
    </w:r>
    <w:r>
      <w:rPr>
        <w:rStyle w:val="Pagenumber"/>
        <w:lang w:val="en-US"/>
      </w:rPr>
      <w:fldChar w:fldCharType="begin"/>
    </w:r>
    <w:r>
      <w:rPr>
        <w:rStyle w:val="Pagenumber"/>
        <w:lang w:val="en-US"/>
      </w:rPr>
      <w:instrText xml:space="preserve"> PAGE </w:instrText>
    </w:r>
    <w:r>
      <w:rPr>
        <w:rStyle w:val="Pagenumber"/>
        <w:lang w:val="en-US"/>
      </w:rPr>
      <w:fldChar w:fldCharType="separate"/>
    </w:r>
    <w:r>
      <w:rPr>
        <w:rStyle w:val="Pagenumber"/>
        <w:lang w:val="en-US"/>
      </w:rPr>
      <w:t>4</w:t>
    </w:r>
    <w:r>
      <w:rPr>
        <w:rStyle w:val="Pagenumber"/>
        <w:lang w:val="en-US"/>
      </w:rPr>
      <w:fldChar w:fldCharType="end"/>
    </w:r>
    <w:r>
      <mc:AlternateContent>
        <mc:Choice Requires="wps">
          <w:drawing>
            <wp:anchor behindDoc="0" distT="0" distB="0" distL="114935" distR="114935" simplePos="0" locked="0" layoutInCell="0" allowOverlap="1" relativeHeight="4">
              <wp:simplePos x="0" y="0"/>
              <wp:positionH relativeFrom="page">
                <wp:posOffset>3928110</wp:posOffset>
              </wp:positionH>
              <wp:positionV relativeFrom="page">
                <wp:posOffset>9326880</wp:posOffset>
              </wp:positionV>
              <wp:extent cx="372110" cy="403860"/>
              <wp:effectExtent l="0" t="0" r="0" b="0"/>
              <wp:wrapTopAndBottom/>
              <wp:docPr id="1" name="Frame1"/>
              <a:graphic xmlns:a="http://schemas.openxmlformats.org/drawingml/2006/main">
                <a:graphicData uri="http://schemas.microsoft.com/office/word/2010/wordprocessingShape">
                  <wps:wsp>
                    <wps:cNvSpPr txBox="1"/>
                    <wps:spPr>
                      <a:xfrm>
                        <a:off x="0" y="0"/>
                        <a:ext cx="372110" cy="403860"/>
                      </a:xfrm>
                      <a:prstGeom prst="rect"/>
                      <a:solidFill>
                        <a:srgbClr val="FFFFFF">
                          <a:alpha val="0"/>
                        </a:srgbClr>
                      </a:solidFill>
                    </wps:spPr>
                    <wps:txbx>
                      <w:txbxContent>
                        <w:p>
                          <w:pPr>
                            <w:pStyle w:val="Footer"/>
                            <w:pBdr/>
                            <w:bidi w:val="0"/>
                            <w:jc w:val="center"/>
                            <w:rPr>
                              <w:rFonts w:ascii="Times New Roman" w:hAnsi="Times New Roman"/>
                              <w:sz w:val="18"/>
                            </w:rPr>
                          </w:pPr>
                          <w:r>
                            <w:rPr/>
                            <w:drawing>
                              <wp:inline distT="0" distB="0" distL="0" distR="0">
                                <wp:extent cx="371475" cy="403860"/>
                                <wp:effectExtent l="0" t="0" r="0" b="0"/>
                                <wp:docPr id="2"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title=""/>
                                        <pic:cNvPicPr>
                                          <a:picLocks noChangeAspect="1" noChangeArrowheads="1"/>
                                        </pic:cNvPicPr>
                                      </pic:nvPicPr>
                                      <pic:blipFill>
                                        <a:blip r:embed="rId1"/>
                                        <a:stretch>
                                          <a:fillRect/>
                                        </a:stretch>
                                      </pic:blipFill>
                                      <pic:spPr bwMode="auto">
                                        <a:xfrm>
                                          <a:off x="0" y="0"/>
                                          <a:ext cx="371475" cy="403860"/>
                                        </a:xfrm>
                                        <a:prstGeom prst="rect">
                                          <a:avLst/>
                                        </a:prstGeom>
                                      </pic:spPr>
                                    </pic:pic>
                                  </a:graphicData>
                                </a:graphic>
                              </wp:inline>
                            </w:drawing>
                          </w:r>
                        </w:p>
                      </w:txbxContent>
                    </wps:txbx>
                    <wps:bodyPr anchor="t" lIns="0" tIns="0" rIns="0" bIns="0">
                      <a:spAutoFit/>
                    </wps:bodyPr>
                  </wps:wsp>
                </a:graphicData>
              </a:graphic>
            </wp:anchor>
          </w:drawing>
        </mc:Choice>
        <mc:Fallback>
          <w:pict>
            <v:rect fillcolor="#FFFFFF" style="position:absolute;rotation:-0;width:29.3pt;height:31.8pt;mso-wrap-distance-left:9.05pt;mso-wrap-distance-right:9.05pt;mso-wrap-distance-top:0pt;mso-wrap-distance-bottom:0pt;margin-top:734.4pt;mso-position-vertical-relative:page;margin-left:309.3pt;mso-position-horizontal-relative:page">
              <v:fill opacity="0f"/>
              <v:textbox inset="0in,0in,0in,0in">
                <w:txbxContent>
                  <w:p>
                    <w:pPr>
                      <w:pStyle w:val="Footer"/>
                      <w:pBdr/>
                      <w:bidi w:val="0"/>
                      <w:jc w:val="center"/>
                      <w:rPr>
                        <w:rFonts w:ascii="Times New Roman" w:hAnsi="Times New Roman"/>
                        <w:sz w:val="18"/>
                      </w:rPr>
                    </w:pPr>
                    <w:r>
                      <w:rPr/>
                      <w:drawing>
                        <wp:inline distT="0" distB="0" distL="0" distR="0">
                          <wp:extent cx="371475" cy="403860"/>
                          <wp:effectExtent l="0" t="0" r="0" b="0"/>
                          <wp:docPr id="3"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title=""/>
                                  <pic:cNvPicPr>
                                    <a:picLocks noChangeAspect="1" noChangeArrowheads="1"/>
                                  </pic:cNvPicPr>
                                </pic:nvPicPr>
                                <pic:blipFill>
                                  <a:blip r:embed="rId2"/>
                                  <a:stretch>
                                    <a:fillRect/>
                                  </a:stretch>
                                </pic:blipFill>
                                <pic:spPr bwMode="auto">
                                  <a:xfrm>
                                    <a:off x="0" y="0"/>
                                    <a:ext cx="371475" cy="403860"/>
                                  </a:xfrm>
                                  <a:prstGeom prst="rect">
                                    <a:avLst/>
                                  </a:prstGeom>
                                </pic:spPr>
                              </pic:pic>
                            </a:graphicData>
                          </a:graphic>
                        </wp:inline>
                      </w:drawing>
                    </w:r>
                  </w:p>
                </w:txbxContent>
              </v:textbox>
              <w10:wrap type="topAndBottom"/>
            </v:rect>
          </w:pict>
        </mc:Fallback>
      </mc:AlternateContent>
    </w:r>
  </w:p>
  <w:p>
    <w:pPr>
      <w:pStyle w:val="Footer"/>
      <w:widowControl/>
      <w:bidi w:val="0"/>
      <w:rPr>
        <w:rStyle w:val="Pagenumber"/>
        <w:rFonts w:ascii="Times New Roman" w:hAnsi="Times New Roman"/>
        <w:lang w:val="en-GB"/>
      </w:rPr>
    </w:pPr>
    <w:r>
      <w:rPr>
        <w:lang w:val="en-GB"/>
      </w:rPr>
    </w:r>
  </w:p>
  <w:p>
    <w:pPr>
      <w:pStyle w:val="Footer"/>
      <w:widowControl/>
      <w:bidi w:val="0"/>
      <w:rPr>
        <w:rFonts w:ascii="Times New Roman" w:hAnsi="Times New Roman"/>
        <w:sz w:val="18"/>
      </w:rPr>
    </w:pPr>
    <w:r>
      <w:rPr>
        <w:sz w:val="18"/>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rPr/>
    </w:pPr>
    <w:r>
      <w:rPr>
        <w:rStyle w:val="Pagenumber"/>
        <w:sz w:val="18"/>
        <w:u w:val="single"/>
        <w:lang w:val="en-GB"/>
      </w:rPr>
      <w:tab/>
      <w:tab/>
      <w:tab/>
      <w:tab/>
      <w:tab/>
      <w:tab/>
      <w:tab/>
      <w:tab/>
      <w:tab/>
      <w:tab/>
      <w:tab/>
      <w:tab/>
      <w:tab/>
    </w:r>
  </w:p>
  <w:p>
    <w:pPr>
      <w:pStyle w:val="Footer"/>
      <w:widowControl/>
      <w:bidi w:val="0"/>
      <w:rPr>
        <w:rFonts w:ascii="Times New Roman" w:hAnsi="Times New Roman"/>
        <w:sz w:val="18"/>
      </w:rPr>
    </w:pPr>
    <w:r>
      <w:rPr>
        <w:sz w:val="18"/>
      </w:rPr>
    </w:r>
  </w:p>
  <w:p>
    <w:pPr>
      <w:pStyle w:val="Footer"/>
      <w:bidi w:val="0"/>
      <w:rPr/>
    </w:pPr>
    <w:r>
      <w:rPr>
        <w:sz w:val="18"/>
      </w:rPr>
      <w:t xml:space="preserve">Tulkojums </w:t>
    </w:r>
    <w:r>
      <w:rPr>
        <w:rFonts w:eastAsia="Symbol" w:cs="Symbol" w:ascii="Symbol" w:hAnsi="Symbol"/>
        <w:sz w:val="18"/>
      </w:rPr>
      <w:t>Ó</w:t>
    </w:r>
    <w:r>
      <w:rPr>
        <w:rFonts w:ascii="Symbol" w:hAnsi="Symbol"/>
        <w:sz w:val="18"/>
      </w:rPr>
      <w:t>Ó</w:t>
    </w:r>
    <w:r>
      <w:rPr>
        <w:sz w:val="18"/>
      </w:rPr>
      <w:t xml:space="preserve"> Tulkošanas un terminoloģijas centrs</w:t>
    </w:r>
    <w:r>
      <mc:AlternateContent>
        <mc:Choice Requires="wps">
          <w:drawing>
            <wp:anchor behindDoc="0" distT="0" distB="0" distL="114935" distR="114935" simplePos="0" locked="0" layoutInCell="0" allowOverlap="1" relativeHeight="8">
              <wp:simplePos x="0" y="0"/>
              <wp:positionH relativeFrom="page">
                <wp:posOffset>3928110</wp:posOffset>
              </wp:positionH>
              <wp:positionV relativeFrom="page">
                <wp:posOffset>9326880</wp:posOffset>
              </wp:positionV>
              <wp:extent cx="372110" cy="403860"/>
              <wp:effectExtent l="0" t="0" r="0" b="0"/>
              <wp:wrapTopAndBottom/>
              <wp:docPr id="4" name="Frame2"/>
              <a:graphic xmlns:a="http://schemas.openxmlformats.org/drawingml/2006/main">
                <a:graphicData uri="http://schemas.microsoft.com/office/word/2010/wordprocessingShape">
                  <wps:wsp>
                    <wps:cNvSpPr txBox="1"/>
                    <wps:spPr>
                      <a:xfrm>
                        <a:off x="0" y="0"/>
                        <a:ext cx="372110" cy="403860"/>
                      </a:xfrm>
                      <a:prstGeom prst="rect"/>
                      <a:solidFill>
                        <a:srgbClr val="FFFFFF">
                          <a:alpha val="0"/>
                        </a:srgbClr>
                      </a:solidFill>
                    </wps:spPr>
                    <wps:txbx>
                      <w:txbxContent>
                        <w:p>
                          <w:pPr>
                            <w:pStyle w:val="Footer"/>
                            <w:pBdr/>
                            <w:bidi w:val="0"/>
                            <w:jc w:val="center"/>
                            <w:rPr>
                              <w:rFonts w:ascii="Times New Roman" w:hAnsi="Times New Roman"/>
                              <w:sz w:val="18"/>
                            </w:rPr>
                          </w:pPr>
                          <w:r>
                            <w:rPr/>
                            <w:drawing>
                              <wp:inline distT="0" distB="0" distL="0" distR="0">
                                <wp:extent cx="371475" cy="403860"/>
                                <wp:effectExtent l="0" t="0" r="0" b="0"/>
                                <wp:docPr id="5"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 title=""/>
                                        <pic:cNvPicPr>
                                          <a:picLocks noChangeAspect="1" noChangeArrowheads="1"/>
                                        </pic:cNvPicPr>
                                      </pic:nvPicPr>
                                      <pic:blipFill>
                                        <a:blip r:embed="rId1"/>
                                        <a:stretch>
                                          <a:fillRect/>
                                        </a:stretch>
                                      </pic:blipFill>
                                      <pic:spPr bwMode="auto">
                                        <a:xfrm>
                                          <a:off x="0" y="0"/>
                                          <a:ext cx="371475" cy="403860"/>
                                        </a:xfrm>
                                        <a:prstGeom prst="rect">
                                          <a:avLst/>
                                        </a:prstGeom>
                                      </pic:spPr>
                                    </pic:pic>
                                  </a:graphicData>
                                </a:graphic>
                              </wp:inline>
                            </w:drawing>
                          </w:r>
                        </w:p>
                      </w:txbxContent>
                    </wps:txbx>
                    <wps:bodyPr anchor="t" lIns="0" tIns="0" rIns="0" bIns="0">
                      <a:spAutoFit/>
                    </wps:bodyPr>
                  </wps:wsp>
                </a:graphicData>
              </a:graphic>
            </wp:anchor>
          </w:drawing>
        </mc:Choice>
        <mc:Fallback>
          <w:pict>
            <v:rect fillcolor="#FFFFFF" style="position:absolute;rotation:-0;width:29.3pt;height:31.8pt;mso-wrap-distance-left:9.05pt;mso-wrap-distance-right:9.05pt;mso-wrap-distance-top:0pt;mso-wrap-distance-bottom:0pt;margin-top:734.4pt;mso-position-vertical-relative:page;margin-left:309.3pt;mso-position-horizontal-relative:page">
              <v:fill opacity="0f"/>
              <v:textbox inset="0in,0in,0in,0in">
                <w:txbxContent>
                  <w:p>
                    <w:pPr>
                      <w:pStyle w:val="Footer"/>
                      <w:pBdr/>
                      <w:bidi w:val="0"/>
                      <w:jc w:val="center"/>
                      <w:rPr>
                        <w:rFonts w:ascii="Times New Roman" w:hAnsi="Times New Roman"/>
                        <w:sz w:val="18"/>
                      </w:rPr>
                    </w:pPr>
                    <w:r>
                      <w:rPr/>
                      <w:drawing>
                        <wp:inline distT="0" distB="0" distL="0" distR="0">
                          <wp:extent cx="371475" cy="403860"/>
                          <wp:effectExtent l="0" t="0" r="0" b="0"/>
                          <wp:docPr id="6"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 title=""/>
                                  <pic:cNvPicPr>
                                    <a:picLocks noChangeAspect="1" noChangeArrowheads="1"/>
                                  </pic:cNvPicPr>
                                </pic:nvPicPr>
                                <pic:blipFill>
                                  <a:blip r:embed="rId2"/>
                                  <a:stretch>
                                    <a:fillRect/>
                                  </a:stretch>
                                </pic:blipFill>
                                <pic:spPr bwMode="auto">
                                  <a:xfrm>
                                    <a:off x="0" y="0"/>
                                    <a:ext cx="371475" cy="403860"/>
                                  </a:xfrm>
                                  <a:prstGeom prst="rect">
                                    <a:avLst/>
                                  </a:prstGeom>
                                </pic:spPr>
                              </pic:pic>
                            </a:graphicData>
                          </a:graphic>
                        </wp:inline>
                      </w:drawing>
                    </w:r>
                  </w:p>
                </w:txbxContent>
              </v:textbox>
              <w10:wrap type="topAndBottom"/>
            </v:rect>
          </w:pict>
        </mc:Fallback>
      </mc:AlternateContent>
    </w:r>
  </w:p>
  <w:p>
    <w:pPr>
      <w:pStyle w:val="Footer"/>
      <w:bidi w:val="0"/>
      <w:rPr>
        <w:rFonts w:ascii="Times New Roman" w:hAnsi="Times New Roman"/>
        <w:sz w:val="18"/>
      </w:rPr>
    </w:pPr>
    <w:r>
      <w:rPr>
        <w:sz w:val="18"/>
      </w:rPr>
    </w:r>
  </w:p>
  <w:p>
    <w:pPr>
      <w:pStyle w:val="Footer"/>
      <w:widowControl/>
      <w:bidi w:val="0"/>
      <w:rPr>
        <w:rFonts w:ascii="Times New Roman" w:hAnsi="Times New Roman"/>
        <w:sz w:val="18"/>
      </w:rPr>
    </w:pPr>
    <w:r>
      <w:rPr>
        <w:sz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rPr>
        <w:rStyle w:val="Pagenumber"/>
        <w:rFonts w:ascii="Times New Roman" w:hAnsi="Times New Roman"/>
        <w:sz w:val="18"/>
        <w:u w:val="single"/>
        <w:lang w:val="en-GB"/>
      </w:rPr>
    </w:pPr>
    <w:r>
      <w:rPr>
        <w:sz w:val="18"/>
        <w:u w:val="single"/>
        <w:lang w:val="en-GB"/>
      </w:rPr>
    </w:r>
  </w:p>
  <w:p>
    <w:pPr>
      <w:pStyle w:val="Header"/>
      <w:widowControl/>
      <w:bidi w:val="0"/>
      <w:rPr/>
    </w:pPr>
    <w:r>
      <w:rPr>
        <w:rStyle w:val="Pagenumber"/>
        <w:sz w:val="18"/>
        <w:u w:val="single"/>
        <w:lang w:val="en-GB"/>
      </w:rPr>
      <w:tab/>
      <w:tab/>
      <w:tab/>
      <w:tab/>
      <w:tab/>
      <w:tab/>
      <w:tab/>
      <w:tab/>
      <w:tab/>
      <w:tab/>
      <w:tab/>
      <w:tab/>
      <w:t xml:space="preserve">      </w:t>
    </w:r>
    <w:r>
      <w:rPr>
        <w:sz w:val="18"/>
        <w:u w:val="single"/>
        <w:lang w:val="en-US"/>
      </w:rPr>
      <w:t>378R0616</w:t>
    </w:r>
  </w:p>
  <w:p>
    <w:pPr>
      <w:pStyle w:val="Header"/>
      <w:widowControl/>
      <w:bidi w:val="0"/>
      <w:rPr>
        <w:rStyle w:val="Pagenumber"/>
        <w:rFonts w:ascii="Times New Roman" w:hAnsi="Times New Roman"/>
        <w:sz w:val="18"/>
        <w:u w:val="single"/>
        <w:lang w:val="en-GB"/>
      </w:rPr>
    </w:pPr>
    <w:r>
      <w:rPr>
        <w:sz w:val="18"/>
        <w:u w:val="single"/>
        <w:lang w:val="en-GB"/>
      </w:rPr>
    </w:r>
  </w:p>
  <w:p>
    <w:pPr>
      <w:pStyle w:val="Header"/>
      <w:widowControl/>
      <w:bidi w:val="0"/>
      <w:rPr>
        <w:rStyle w:val="Pagenumber"/>
        <w:rFonts w:ascii="Times New Roman" w:hAnsi="Times New Roman"/>
        <w:sz w:val="18"/>
        <w:u w:val="single"/>
        <w:lang w:val="en-GB"/>
      </w:rPr>
    </w:pPr>
    <w:r>
      <w:rPr>
        <w:sz w:val="18"/>
        <w:u w:val="single"/>
        <w:lang w:val="en-GB"/>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rPr>
        <w:rFonts w:ascii="Times New Roman" w:hAnsi="Times New Roman"/>
        <w:sz w:val="16"/>
      </w:rPr>
    </w:pPr>
    <w:r>
      <w:rPr>
        <w:sz w:val="16"/>
      </w:rPr>
    </w:r>
  </w:p>
  <w:p>
    <w:pPr>
      <w:pStyle w:val="Normal"/>
      <w:widowControl/>
      <w:bidi w:val="0"/>
      <w:rPr>
        <w:lang w:val="lv-LV"/>
      </w:rPr>
    </w:pPr>
    <w:r>
      <w:rPr>
        <w:sz w:val="16"/>
        <w:lang w:val="lv-LV"/>
      </w:rPr>
      <w:t xml:space="preserve">Šis teksts ir Eiropas Kopienu normatīvā akta tulkojums latviešu valodā, kas veikts Tulkošanas un terminoloģijas centrā. Tulkojums nerada nekādas tiesības un neuzliek nekādas saistības. Juridiski saistoši ir tikai Eiropas Kopienu normatīvie akti, kas publicēti Eiropas Kopienu oficiālajā vēstnesī (tā nosaukums angļu valodā - </w:t>
    </w:r>
    <w:r>
      <w:rPr>
        <w:i/>
        <w:sz w:val="16"/>
        <w:lang w:val="lv-LV"/>
      </w:rPr>
      <w:t>Official Journal of the European Communities</w:t>
    </w:r>
    <w:r>
      <w:rPr>
        <w:sz w:val="16"/>
        <w:lang w:val="lv-LV"/>
      </w:rPr>
      <w:t>) jebkurā no Eiropas Kopienu oficiālajām valodām. Tikai publikācijas Eiropas Kopienu oficiālajā vēstnesī ir uzskatāmas par autentiskām.</w:t>
    </w:r>
  </w:p>
  <w:p>
    <w:pPr>
      <w:pStyle w:val="Header"/>
      <w:widowControl/>
      <w:bidi w:val="0"/>
      <w:rPr>
        <w:lang w:val="lv-LV"/>
      </w:rPr>
    </w:pPr>
    <w:r>
      <w:rPr>
        <w:lang w:val="lv-LV"/>
      </w:rPr>
      <w:t>_____________________________________________________________________________________________</w:t>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Noto Sans Devanagari"/>
        <w:kern w:val="2"/>
        <w:sz w:val="24"/>
        <w:szCs w:val="24"/>
        <w:lang w:val="en-US" w:eastAsia="zh-CN" w:bidi="hi-IN"/>
      </w:rPr>
    </w:rPrDefault>
    <w:pPrDefault>
      <w:pPr>
        <w:suppressAutoHyphens w:val="true"/>
      </w:pPr>
    </w:pPrDefault>
  </w:docDefaults>
  <w:style w:type="paragraph" w:styleId="Normal">
    <w:name w:val="Normal"/>
    <w:qFormat/>
    <w:pPr>
      <w:widowControl w:val="false"/>
      <w:bidi w:val="0"/>
      <w:jc w:val="both"/>
    </w:pPr>
    <w:rPr>
      <w:rFonts w:ascii="Times New Roman" w:hAnsi="Times New Roman" w:eastAsia="Symbol" w:cs="Times New Roman"/>
      <w:color w:val="auto"/>
      <w:kern w:val="2"/>
      <w:sz w:val="20"/>
      <w:szCs w:val="24"/>
      <w:lang w:val="en-GB" w:eastAsia="zh-CN" w:bidi="hi-IN"/>
    </w:rPr>
  </w:style>
  <w:style w:type="paragraph" w:styleId="Heading1">
    <w:name w:val="Heading 1"/>
    <w:basedOn w:val="Normal"/>
    <w:next w:val="Normal"/>
    <w:qFormat/>
    <w:pPr>
      <w:keepNext w:val="true"/>
      <w:spacing w:before="240" w:after="60"/>
      <w:jc w:val="center"/>
    </w:pPr>
    <w:rPr>
      <w:b/>
      <w:kern w:val="2"/>
      <w:sz w:val="22"/>
    </w:rPr>
  </w:style>
  <w:style w:type="paragraph" w:styleId="Heading3">
    <w:name w:val="Heading 3"/>
    <w:basedOn w:val="Normal"/>
    <w:next w:val="Normal"/>
    <w:qFormat/>
    <w:pPr>
      <w:keepNext w:val="true"/>
      <w:widowControl/>
      <w:spacing w:before="360" w:after="240"/>
      <w:jc w:val="center"/>
    </w:pPr>
    <w:rPr>
      <w:i/>
      <w:lang w:val="lv-LV"/>
    </w:rPr>
  </w:style>
  <w:style w:type="character" w:styleId="DefaultParagraphFont">
    <w:name w:val="Default Paragraph Font"/>
    <w:qFormat/>
    <w:rPr/>
  </w:style>
  <w:style w:type="character" w:styleId="Pagenumber">
    <w:name w:val="page number"/>
    <w:basedOn w:val="DefaultParagraphFont"/>
    <w:qForma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AR PL SungtiL GB"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HeaderandFooter">
    <w:name w:val="Header and Footer"/>
    <w:basedOn w:val="Normal"/>
    <w:qFormat/>
    <w:pPr/>
    <w:rPr/>
  </w:style>
  <w:style w:type="paragraph" w:styleId="Header">
    <w:name w:val="Header"/>
    <w:basedOn w:val="Normal"/>
    <w:pPr>
      <w:tabs>
        <w:tab w:val="clear" w:pos="709"/>
        <w:tab w:val="center" w:pos="4153" w:leader="none"/>
        <w:tab w:val="right" w:pos="8306" w:leader="none"/>
      </w:tabs>
    </w:pPr>
    <w:rPr/>
  </w:style>
  <w:style w:type="paragraph" w:styleId="Footer">
    <w:name w:val="Footer"/>
    <w:basedOn w:val="Normal"/>
    <w:pPr>
      <w:tabs>
        <w:tab w:val="clear" w:pos="709"/>
        <w:tab w:val="center" w:pos="4153" w:leader="none"/>
        <w:tab w:val="right" w:pos="8306" w:leader="none"/>
      </w:tabs>
    </w:pPr>
    <w:rPr/>
  </w:style>
  <w:style w:type="paragraph" w:styleId="PlainText">
    <w:name w:val="Plain Text"/>
    <w:basedOn w:val="Normal"/>
    <w:qFormat/>
    <w:pPr>
      <w:widowControl/>
    </w:pPr>
    <w:rPr>
      <w:rFonts w:ascii="Courier New" w:hAnsi="Courier New"/>
      <w:lang w:val="lv-LV"/>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Relationships>
</file>

<file path=word/_rels/foot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0</TotalTime>
  <Application>LibreOffice/7.3.5.2$Linux_X86_64 LibreOffice_project/30$Build-2</Application>
  <AppVersion>15.0000</AppVersion>
  <Pages>99</Pages>
  <Words>925</Words>
  <Characters>0</Characters>
  <CharactersWithSpaces>5274</CharactersWithSpaces>
  <Company>T&amp;TC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2000-03-03T16:12:00Z</dcterms:created>
  <dc:creator>Agris</dc:creator>
  <dc:description/>
  <dc:language>en-US</dc:language>
  <cp:lastModifiedBy/>
  <cp:lastPrinted>2000-01-10T11:56:00Z</cp:lastPrinted>
  <dcterms:modified xsi:type="dcterms:W3CDTF">2000-03-03T16:25:00Z</dcterms:modified>
  <cp:revision>2</cp:revision>
  <dc:subject/>
  <dc:title>Padomes 1968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Agris</vt:lpwstr>
  </property>
</Properties>
</file>