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A880"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2B7E18E2"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1F8D5C89"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0D23C3B9"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30183C6B"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2CD28ECB" w14:textId="77777777" w:rsidR="00AE09E8" w:rsidRPr="00F57F84" w:rsidRDefault="00AE09E8" w:rsidP="00AE09E8">
      <w:pPr>
        <w:contextualSpacing/>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51E3686" wp14:editId="531E8E9E">
            <wp:extent cx="2307265" cy="2307265"/>
            <wp:effectExtent l="0" t="0" r="0" b="0"/>
            <wp:docPr id="1" name="image1.png"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device&#10;&#10;Description automatically generated"/>
                    <pic:cNvPicPr/>
                  </pic:nvPicPr>
                  <pic:blipFill>
                    <a:blip r:embed="rId10" cstate="print"/>
                    <a:stretch>
                      <a:fillRect/>
                    </a:stretch>
                  </pic:blipFill>
                  <pic:spPr>
                    <a:xfrm>
                      <a:off x="0" y="0"/>
                      <a:ext cx="2313212" cy="2313212"/>
                    </a:xfrm>
                    <a:prstGeom prst="rect">
                      <a:avLst/>
                    </a:prstGeom>
                  </pic:spPr>
                </pic:pic>
              </a:graphicData>
            </a:graphic>
          </wp:inline>
        </w:drawing>
      </w:r>
    </w:p>
    <w:p w14:paraId="24BCC4E2"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78D9E259"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59CD5EC6" w14:textId="77777777" w:rsidR="00AE09E8" w:rsidRPr="00F57F84" w:rsidRDefault="00AE09E8" w:rsidP="00AE09E8">
      <w:pPr>
        <w:contextualSpacing/>
        <w:jc w:val="center"/>
        <w:rPr>
          <w:rFonts w:ascii="Times New Roman" w:hAnsi="Times New Roman" w:cs="Times New Roman"/>
          <w:b/>
          <w:noProof/>
          <w:sz w:val="48"/>
          <w:szCs w:val="48"/>
        </w:rPr>
      </w:pPr>
      <w:r>
        <w:rPr>
          <w:rFonts w:ascii="Times New Roman" w:hAnsi="Times New Roman"/>
          <w:b/>
          <w:sz w:val="48"/>
        </w:rPr>
        <w:t>Vadlīnijas akreditācijas sfēras aprakstīšanai</w:t>
      </w:r>
    </w:p>
    <w:p w14:paraId="36B9C83E"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1043C519"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12ED0A01"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2AA58B80"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2BE57DC0"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1E15F6D5"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4BAB192D"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7DF1BE58"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3E201E7F"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713EB098"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0D09BBD8"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4978146D"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1EB473F7"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0BD18075"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7F39C50B"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66492E34"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207E80CC"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301FC7E9"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4E44F928"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47174042"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6208FDD0"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0DFE0C9A"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663622F8" w14:textId="77777777" w:rsidR="00AE09E8" w:rsidRPr="00F57F84" w:rsidRDefault="00AE09E8" w:rsidP="00AE09E8">
      <w:pPr>
        <w:contextualSpacing/>
        <w:jc w:val="both"/>
        <w:rPr>
          <w:rFonts w:ascii="Times New Roman" w:hAnsi="Times New Roman" w:cs="Times New Roman"/>
          <w:b/>
          <w:noProof/>
          <w:sz w:val="24"/>
          <w:szCs w:val="24"/>
        </w:rPr>
      </w:pPr>
      <w:r>
        <w:rPr>
          <w:rFonts w:ascii="Times New Roman" w:hAnsi="Times New Roman"/>
          <w:b/>
          <w:sz w:val="24"/>
        </w:rPr>
        <w:t>ILAC-G18:12/2021</w:t>
      </w:r>
    </w:p>
    <w:p w14:paraId="45E878AF" w14:textId="77777777" w:rsidR="00AE09E8" w:rsidRPr="00F57F84" w:rsidRDefault="00AE09E8" w:rsidP="00AE09E8">
      <w:pPr>
        <w:rPr>
          <w:rFonts w:ascii="Times New Roman" w:eastAsia="Times New Roman" w:hAnsi="Times New Roman" w:cs="Times New Roman"/>
          <w:noProof/>
          <w:sz w:val="24"/>
          <w:szCs w:val="24"/>
        </w:rPr>
      </w:pPr>
      <w:r>
        <w:br w:type="page"/>
      </w:r>
    </w:p>
    <w:p w14:paraId="026A9D55"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4F226B7E" w14:textId="77777777" w:rsidR="00AE09E8" w:rsidRPr="00F57F84" w:rsidRDefault="00AE09E8" w:rsidP="00AE09E8">
      <w:pPr>
        <w:contextualSpacing/>
        <w:jc w:val="both"/>
        <w:rPr>
          <w:rFonts w:ascii="Times New Roman" w:hAnsi="Times New Roman" w:cs="Times New Roman"/>
          <w:b/>
          <w:noProof/>
          <w:sz w:val="24"/>
          <w:szCs w:val="24"/>
        </w:rPr>
      </w:pPr>
      <w:r>
        <w:rPr>
          <w:rFonts w:ascii="Times New Roman" w:hAnsi="Times New Roman"/>
          <w:b/>
          <w:sz w:val="24"/>
        </w:rPr>
        <w:t xml:space="preserve">Par </w:t>
      </w:r>
      <w:r>
        <w:rPr>
          <w:rFonts w:ascii="Times New Roman" w:hAnsi="Times New Roman"/>
          <w:b/>
          <w:i/>
          <w:iCs/>
          <w:sz w:val="24"/>
        </w:rPr>
        <w:t>ILAC</w:t>
      </w:r>
    </w:p>
    <w:p w14:paraId="7682A1A8"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0C80958F" w14:textId="77777777" w:rsidR="00AE09E8" w:rsidRPr="00F57F84" w:rsidRDefault="00AE09E8" w:rsidP="00AE09E8">
      <w:pPr>
        <w:pStyle w:val="BodyText"/>
        <w:rPr>
          <w:color w:val="auto"/>
        </w:rPr>
      </w:pPr>
      <w:r>
        <w:rPr>
          <w:i/>
          <w:iCs/>
          <w:color w:val="auto"/>
        </w:rPr>
        <w:t>ILAC</w:t>
      </w:r>
      <w:r>
        <w:rPr>
          <w:color w:val="auto"/>
        </w:rPr>
        <w:t xml:space="preserve"> ir starptautiska asociācija laboratoriju, inspekcijas institūciju, prasmes pārbaudes organizētāju un references materiālu ražotāju akreditācijas jomā, un tās dalībnieki ir akreditācijas iestādes un ieinteresētās organizācijas visā pasaulē.</w:t>
      </w:r>
    </w:p>
    <w:p w14:paraId="3BF6353D"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6F653807" w14:textId="77777777" w:rsidR="00AE09E8" w:rsidRPr="00F57F84" w:rsidRDefault="00AE09E8" w:rsidP="00AE09E8">
      <w:pPr>
        <w:contextualSpacing/>
        <w:jc w:val="both"/>
        <w:rPr>
          <w:rFonts w:ascii="Times New Roman" w:hAnsi="Times New Roman" w:cs="Times New Roman"/>
          <w:noProof/>
          <w:sz w:val="24"/>
          <w:szCs w:val="24"/>
        </w:rPr>
      </w:pPr>
      <w:r>
        <w:rPr>
          <w:rFonts w:ascii="Times New Roman" w:hAnsi="Times New Roman"/>
          <w:sz w:val="24"/>
        </w:rPr>
        <w:t>Tā ir pārstāvošā organizācija, kas nodarbojas ar:</w:t>
      </w:r>
    </w:p>
    <w:p w14:paraId="192360B4" w14:textId="77777777" w:rsidR="00AE09E8" w:rsidRPr="00F57F84" w:rsidRDefault="00AE09E8" w:rsidP="00AE09E8">
      <w:pPr>
        <w:numPr>
          <w:ilvl w:val="0"/>
          <w:numId w:val="5"/>
        </w:numPr>
        <w:tabs>
          <w:tab w:val="left" w:pos="851"/>
        </w:tabs>
        <w:ind w:left="284" w:firstLine="0"/>
        <w:contextualSpacing/>
        <w:jc w:val="both"/>
        <w:rPr>
          <w:rFonts w:ascii="Times New Roman" w:hAnsi="Times New Roman" w:cs="Times New Roman"/>
          <w:noProof/>
          <w:sz w:val="24"/>
          <w:szCs w:val="24"/>
        </w:rPr>
      </w:pPr>
      <w:r>
        <w:rPr>
          <w:rFonts w:ascii="Times New Roman" w:hAnsi="Times New Roman"/>
          <w:sz w:val="24"/>
        </w:rPr>
        <w:t>akreditācijas prakses un procedūru izstrādi;</w:t>
      </w:r>
    </w:p>
    <w:p w14:paraId="7D418C1D" w14:textId="77777777" w:rsidR="00AE09E8" w:rsidRPr="00F57F84" w:rsidRDefault="00AE09E8" w:rsidP="00AE09E8">
      <w:pPr>
        <w:numPr>
          <w:ilvl w:val="0"/>
          <w:numId w:val="5"/>
        </w:numPr>
        <w:tabs>
          <w:tab w:val="left" w:pos="851"/>
        </w:tabs>
        <w:ind w:left="284" w:firstLine="0"/>
        <w:contextualSpacing/>
        <w:jc w:val="both"/>
        <w:rPr>
          <w:rFonts w:ascii="Times New Roman" w:hAnsi="Times New Roman" w:cs="Times New Roman"/>
          <w:noProof/>
          <w:sz w:val="24"/>
          <w:szCs w:val="24"/>
        </w:rPr>
      </w:pPr>
      <w:r>
        <w:rPr>
          <w:rFonts w:ascii="Times New Roman" w:hAnsi="Times New Roman"/>
          <w:sz w:val="24"/>
        </w:rPr>
        <w:t>akreditācijas kā tirdzniecības atvieglošanas rīka veicināšanu;</w:t>
      </w:r>
    </w:p>
    <w:p w14:paraId="56A9339D" w14:textId="77777777" w:rsidR="00AE09E8" w:rsidRPr="00F57F84" w:rsidRDefault="00AE09E8" w:rsidP="00AE09E8">
      <w:pPr>
        <w:numPr>
          <w:ilvl w:val="0"/>
          <w:numId w:val="5"/>
        </w:numPr>
        <w:tabs>
          <w:tab w:val="left" w:pos="851"/>
        </w:tabs>
        <w:ind w:left="284" w:firstLine="0"/>
        <w:contextualSpacing/>
        <w:jc w:val="both"/>
        <w:rPr>
          <w:rFonts w:ascii="Times New Roman" w:hAnsi="Times New Roman" w:cs="Times New Roman"/>
          <w:noProof/>
          <w:sz w:val="24"/>
          <w:szCs w:val="24"/>
        </w:rPr>
      </w:pPr>
      <w:r>
        <w:rPr>
          <w:rFonts w:ascii="Times New Roman" w:hAnsi="Times New Roman"/>
          <w:sz w:val="24"/>
        </w:rPr>
        <w:t>vietējā un valsts līmeņa pakalpojumu sniegšanas atbalstu;</w:t>
      </w:r>
    </w:p>
    <w:p w14:paraId="342DEA46" w14:textId="77777777" w:rsidR="00AE09E8" w:rsidRPr="00F57F84" w:rsidRDefault="00AE09E8" w:rsidP="00AE09E8">
      <w:pPr>
        <w:numPr>
          <w:ilvl w:val="0"/>
          <w:numId w:val="5"/>
        </w:numPr>
        <w:tabs>
          <w:tab w:val="left" w:pos="851"/>
        </w:tabs>
        <w:ind w:left="284" w:firstLine="0"/>
        <w:contextualSpacing/>
        <w:jc w:val="both"/>
        <w:rPr>
          <w:rFonts w:ascii="Times New Roman" w:hAnsi="Times New Roman" w:cs="Times New Roman"/>
          <w:noProof/>
          <w:sz w:val="24"/>
          <w:szCs w:val="24"/>
        </w:rPr>
      </w:pPr>
      <w:r>
        <w:rPr>
          <w:rFonts w:ascii="Times New Roman" w:hAnsi="Times New Roman"/>
          <w:sz w:val="24"/>
        </w:rPr>
        <w:t>palīdzību akreditācijas sistēmu izstrādē;</w:t>
      </w:r>
    </w:p>
    <w:p w14:paraId="608149E8" w14:textId="77777777" w:rsidR="00AE09E8" w:rsidRPr="00F806FB" w:rsidRDefault="00AE09E8" w:rsidP="00AE09E8">
      <w:pPr>
        <w:numPr>
          <w:ilvl w:val="0"/>
          <w:numId w:val="5"/>
        </w:numPr>
        <w:tabs>
          <w:tab w:val="left" w:pos="851"/>
        </w:tabs>
        <w:ind w:left="284" w:firstLine="0"/>
        <w:contextualSpacing/>
        <w:jc w:val="both"/>
        <w:rPr>
          <w:rFonts w:ascii="Times New Roman" w:hAnsi="Times New Roman" w:cs="Times New Roman"/>
          <w:noProof/>
          <w:sz w:val="24"/>
          <w:szCs w:val="24"/>
        </w:rPr>
      </w:pPr>
      <w:r>
        <w:rPr>
          <w:rFonts w:ascii="Times New Roman" w:hAnsi="Times New Roman"/>
          <w:sz w:val="24"/>
        </w:rPr>
        <w:t>kompetento testēšanas (tostarp medicīnas) un kalibrēšanas laboratoriju, inspekcijas institūciju, prasmes pārbaudes organizētāju un references materiālu ražotāju atzīšanu visā pasaulē.</w:t>
      </w:r>
    </w:p>
    <w:p w14:paraId="5AFD3840"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3F63C977" w14:textId="77777777" w:rsidR="00AE09E8" w:rsidRPr="00F806FB" w:rsidRDefault="00AE09E8" w:rsidP="00AE09E8">
      <w:pPr>
        <w:contextualSpacing/>
        <w:jc w:val="both"/>
        <w:rPr>
          <w:rFonts w:ascii="Times New Roman" w:hAnsi="Times New Roman" w:cs="Times New Roman"/>
          <w:noProof/>
          <w:sz w:val="24"/>
          <w:szCs w:val="24"/>
        </w:rPr>
      </w:pPr>
      <w:r>
        <w:rPr>
          <w:rFonts w:ascii="Times New Roman" w:hAnsi="Times New Roman"/>
          <w:i/>
          <w:iCs/>
          <w:sz w:val="24"/>
        </w:rPr>
        <w:t>ILAC</w:t>
      </w:r>
      <w:r>
        <w:rPr>
          <w:rFonts w:ascii="Times New Roman" w:hAnsi="Times New Roman"/>
          <w:sz w:val="24"/>
        </w:rPr>
        <w:t xml:space="preserve"> aktīvi sadarbojas ar citām attiecīgajām starptautiskajām organizācijām, lai īstenotu šos mērķus.</w:t>
      </w:r>
    </w:p>
    <w:p w14:paraId="7234A861"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692C7C62" w14:textId="77777777" w:rsidR="00AE09E8" w:rsidRPr="00F806FB" w:rsidRDefault="00AE09E8" w:rsidP="00AE09E8">
      <w:pPr>
        <w:contextualSpacing/>
        <w:jc w:val="both"/>
        <w:rPr>
          <w:rFonts w:ascii="Times New Roman" w:eastAsia="Times New Roman" w:hAnsi="Times New Roman" w:cs="Times New Roman"/>
          <w:noProof/>
          <w:sz w:val="24"/>
          <w:szCs w:val="24"/>
        </w:rPr>
      </w:pPr>
      <w:r>
        <w:rPr>
          <w:rFonts w:ascii="Times New Roman" w:hAnsi="Times New Roman"/>
          <w:i/>
          <w:iCs/>
          <w:sz w:val="24"/>
        </w:rPr>
        <w:t>ILAC</w:t>
      </w:r>
      <w:r>
        <w:rPr>
          <w:rFonts w:ascii="Times New Roman" w:hAnsi="Times New Roman"/>
          <w:sz w:val="24"/>
        </w:rPr>
        <w:t xml:space="preserve"> veicina tirdzniecību un atbalsta regulatorus, īstenojot pasaules mērogā akreditācijas iestāžu (AI) savstarpējas atzīšanas nolīgumu – </w:t>
      </w:r>
      <w:r>
        <w:rPr>
          <w:rFonts w:ascii="Times New Roman" w:hAnsi="Times New Roman"/>
          <w:i/>
          <w:iCs/>
          <w:sz w:val="24"/>
        </w:rPr>
        <w:t>ILAC</w:t>
      </w:r>
      <w:r>
        <w:rPr>
          <w:rFonts w:ascii="Times New Roman" w:hAnsi="Times New Roman"/>
          <w:sz w:val="24"/>
        </w:rPr>
        <w:t xml:space="preserve"> nolīgumu. Dati un testēšanas rezultāti, ko izdevušas </w:t>
      </w:r>
      <w:r>
        <w:rPr>
          <w:rFonts w:ascii="Times New Roman" w:hAnsi="Times New Roman"/>
          <w:i/>
          <w:iCs/>
          <w:sz w:val="24"/>
        </w:rPr>
        <w:t>ILAC</w:t>
      </w:r>
      <w:r>
        <w:rPr>
          <w:rFonts w:ascii="Times New Roman" w:hAnsi="Times New Roman"/>
          <w:sz w:val="24"/>
        </w:rPr>
        <w:t xml:space="preserve"> akreditācijas iestādes locekļu akreditētās laboratorijas un inspekcijas institūcijas, kopā dēvētas par atbilstības novērtēšanas institūcijām (ANI), izmantojot šo nolīgumu, tiek atzīti visā pasaulē. Tāpēc tiek mazināti tehniskie tirdzniecības šķēršļi, piemēram, produktu atkārtota testēšana ikreiz, kad tie ienāk jaunā ekonomikā, lai palīdzētu īstenot brīvas tirdzniecības mērķi “vienreiz akreditēts, visur atzīts”.</w:t>
      </w:r>
    </w:p>
    <w:p w14:paraId="6AACB236"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7E3DB00F" w14:textId="77777777" w:rsidR="00AE09E8" w:rsidRPr="00F806FB" w:rsidRDefault="00AE09E8" w:rsidP="00AE09E8">
      <w:pPr>
        <w:contextualSpacing/>
        <w:jc w:val="both"/>
        <w:rPr>
          <w:rFonts w:ascii="Times New Roman" w:hAnsi="Times New Roman" w:cs="Times New Roman"/>
          <w:noProof/>
          <w:sz w:val="24"/>
          <w:szCs w:val="24"/>
        </w:rPr>
      </w:pPr>
      <w:r>
        <w:rPr>
          <w:rFonts w:ascii="Times New Roman" w:hAnsi="Times New Roman"/>
          <w:sz w:val="24"/>
        </w:rPr>
        <w:t>Turklāt akreditācija mazina riskus uzņēmumiem un to klientiem, garantējot, ka akreditētas ANI ir kompetentas veikt darbu, ko tās uzņemas savā akreditācijas sfērā.</w:t>
      </w:r>
    </w:p>
    <w:p w14:paraId="1F98259D"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2AE7BCBF" w14:textId="77777777" w:rsidR="00AE09E8" w:rsidRPr="00F806FB" w:rsidRDefault="00AE09E8" w:rsidP="00AE09E8">
      <w:pPr>
        <w:contextualSpacing/>
        <w:jc w:val="both"/>
        <w:rPr>
          <w:rFonts w:ascii="Times New Roman" w:hAnsi="Times New Roman" w:cs="Times New Roman"/>
          <w:noProof/>
          <w:sz w:val="24"/>
          <w:szCs w:val="24"/>
        </w:rPr>
      </w:pPr>
      <w:r>
        <w:rPr>
          <w:rFonts w:ascii="Times New Roman" w:hAnsi="Times New Roman"/>
          <w:sz w:val="24"/>
        </w:rPr>
        <w:t>Turklāt regulatori plaši izmanto akreditēto iestāžu rezultātus sabiedrības labumam, sniedzot tādus pakalpojumus, kas veicina nepiesārņotu vidi, nekaitīgu pārtiku, tīru ūdeni, elektroapgādes, veselības un sociālās aprūpes pakalpojumus.</w:t>
      </w:r>
    </w:p>
    <w:p w14:paraId="1740B485"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285A1095" w14:textId="77777777" w:rsidR="00AE09E8" w:rsidRPr="00F806FB" w:rsidRDefault="00AE09E8" w:rsidP="00AE09E8">
      <w:pPr>
        <w:contextualSpacing/>
        <w:jc w:val="both"/>
        <w:rPr>
          <w:rFonts w:ascii="Times New Roman" w:hAnsi="Times New Roman" w:cs="Times New Roman"/>
          <w:noProof/>
          <w:sz w:val="24"/>
          <w:szCs w:val="24"/>
        </w:rPr>
      </w:pPr>
      <w:r>
        <w:rPr>
          <w:rFonts w:ascii="Times New Roman" w:hAnsi="Times New Roman"/>
          <w:sz w:val="24"/>
        </w:rPr>
        <w:t xml:space="preserve">Akreditācijas iestādēm, kas ir </w:t>
      </w:r>
      <w:r>
        <w:rPr>
          <w:rFonts w:ascii="Times New Roman" w:hAnsi="Times New Roman"/>
          <w:i/>
          <w:iCs/>
          <w:sz w:val="24"/>
        </w:rPr>
        <w:t>ILAC</w:t>
      </w:r>
      <w:r>
        <w:rPr>
          <w:rFonts w:ascii="Times New Roman" w:hAnsi="Times New Roman"/>
          <w:sz w:val="24"/>
        </w:rPr>
        <w:t xml:space="preserve"> locekles, un ANI, ko tās akreditē, ir jāpilda attiecīgie starptautiskie standarti un piemērojamie </w:t>
      </w:r>
      <w:r>
        <w:rPr>
          <w:rFonts w:ascii="Times New Roman" w:hAnsi="Times New Roman"/>
          <w:i/>
          <w:iCs/>
          <w:sz w:val="24"/>
        </w:rPr>
        <w:t>ILAC</w:t>
      </w:r>
      <w:r>
        <w:rPr>
          <w:rFonts w:ascii="Times New Roman" w:hAnsi="Times New Roman"/>
          <w:sz w:val="24"/>
        </w:rPr>
        <w:t xml:space="preserve"> prasību dokumenti šo standartu saskaņotai īstenošanai.</w:t>
      </w:r>
    </w:p>
    <w:p w14:paraId="223AFBCC"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4BDA8884" w14:textId="77777777" w:rsidR="00AE09E8" w:rsidRPr="00F806FB" w:rsidRDefault="00AE09E8" w:rsidP="00AE09E8">
      <w:pPr>
        <w:contextualSpacing/>
        <w:jc w:val="both"/>
        <w:rPr>
          <w:rFonts w:ascii="Times New Roman" w:hAnsi="Times New Roman" w:cs="Times New Roman"/>
          <w:noProof/>
          <w:sz w:val="24"/>
          <w:szCs w:val="24"/>
        </w:rPr>
      </w:pPr>
      <w:r>
        <w:rPr>
          <w:rFonts w:ascii="Times New Roman" w:hAnsi="Times New Roman"/>
          <w:sz w:val="24"/>
        </w:rPr>
        <w:t xml:space="preserve">Akreditācijas iestādēm, lai parakstītu </w:t>
      </w:r>
      <w:r>
        <w:rPr>
          <w:rFonts w:ascii="Times New Roman" w:hAnsi="Times New Roman"/>
          <w:i/>
          <w:iCs/>
          <w:sz w:val="24"/>
        </w:rPr>
        <w:t>ILAC</w:t>
      </w:r>
      <w:r>
        <w:rPr>
          <w:rFonts w:ascii="Times New Roman" w:hAnsi="Times New Roman"/>
          <w:sz w:val="24"/>
        </w:rPr>
        <w:t xml:space="preserve"> nolīgumu, oficiāli izveidotas un atzītas reģionālās sadarbības institūcijas veic salīdzinošo novērtēšanu, izmantojot </w:t>
      </w:r>
      <w:r>
        <w:rPr>
          <w:rFonts w:ascii="Times New Roman" w:hAnsi="Times New Roman"/>
          <w:i/>
          <w:iCs/>
          <w:sz w:val="24"/>
        </w:rPr>
        <w:t>ILAC</w:t>
      </w:r>
      <w:r>
        <w:rPr>
          <w:rFonts w:ascii="Times New Roman" w:hAnsi="Times New Roman"/>
          <w:sz w:val="24"/>
        </w:rPr>
        <w:t xml:space="preserve"> noteikumus un procedūras, pirms šīs akreditācijas institūcijas kļūst par </w:t>
      </w:r>
      <w:r>
        <w:rPr>
          <w:rFonts w:ascii="Times New Roman" w:hAnsi="Times New Roman"/>
          <w:i/>
          <w:iCs/>
          <w:sz w:val="24"/>
        </w:rPr>
        <w:t>ILAC</w:t>
      </w:r>
      <w:r>
        <w:rPr>
          <w:rFonts w:ascii="Times New Roman" w:hAnsi="Times New Roman"/>
          <w:sz w:val="24"/>
        </w:rPr>
        <w:t xml:space="preserve"> nolīguma parakstītājām.</w:t>
      </w:r>
    </w:p>
    <w:p w14:paraId="19B40DC4"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2B80DB91" w14:textId="77777777" w:rsidR="00AE09E8" w:rsidRPr="00F806FB" w:rsidRDefault="00AE09E8" w:rsidP="00AE09E8">
      <w:pPr>
        <w:contextualSpacing/>
        <w:jc w:val="both"/>
        <w:rPr>
          <w:rFonts w:ascii="Times New Roman" w:hAnsi="Times New Roman" w:cs="Times New Roman"/>
          <w:noProof/>
          <w:sz w:val="24"/>
          <w:szCs w:val="24"/>
        </w:rPr>
      </w:pPr>
      <w:r>
        <w:rPr>
          <w:rFonts w:ascii="Times New Roman" w:hAnsi="Times New Roman"/>
          <w:i/>
          <w:iCs/>
          <w:sz w:val="24"/>
        </w:rPr>
        <w:t>ILAC</w:t>
      </w:r>
      <w:r>
        <w:rPr>
          <w:rFonts w:ascii="Times New Roman" w:hAnsi="Times New Roman"/>
          <w:sz w:val="24"/>
        </w:rPr>
        <w:t xml:space="preserve"> tīmekļa vietnē ir sniegta plaša informācija par tādām tēmām kā akreditācija, atbilstības novērtēšana, tirdzniecības veicināšana, kā arī sniegta tās locekļu kontaktinformācija. Sīkāku informāciju, kas parāda akreditēta atbilstības novērtējuma vērtību regulatoriem un sabiedriskajam sektoram, sniedzot situāciju analīzi un neatkarīgus pētījumus, var atrast arī vietnē www.publicsectorassurance.org.</w:t>
      </w:r>
    </w:p>
    <w:p w14:paraId="09740878"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43759F50" w14:textId="77777777" w:rsidR="00AE09E8" w:rsidRPr="00F806FB" w:rsidRDefault="00AE09E8" w:rsidP="00FD40E6">
      <w:pPr>
        <w:keepNext/>
        <w:keepLines/>
        <w:contextualSpacing/>
        <w:jc w:val="both"/>
        <w:rPr>
          <w:rFonts w:ascii="Times New Roman" w:hAnsi="Times New Roman" w:cs="Times New Roman"/>
          <w:b/>
          <w:noProof/>
          <w:sz w:val="24"/>
          <w:szCs w:val="24"/>
        </w:rPr>
      </w:pPr>
      <w:r>
        <w:rPr>
          <w:rFonts w:ascii="Times New Roman" w:hAnsi="Times New Roman"/>
          <w:b/>
          <w:sz w:val="24"/>
        </w:rPr>
        <w:lastRenderedPageBreak/>
        <w:t>Plašāku informāciju var saņemt:</w:t>
      </w:r>
    </w:p>
    <w:p w14:paraId="126D90FD" w14:textId="77777777" w:rsidR="00AE09E8" w:rsidRPr="00F57F84" w:rsidRDefault="00AE09E8" w:rsidP="00FD40E6">
      <w:pPr>
        <w:keepNext/>
        <w:keepLines/>
        <w:contextualSpacing/>
        <w:jc w:val="both"/>
        <w:rPr>
          <w:rFonts w:ascii="Times New Roman" w:hAnsi="Times New Roman" w:cs="Times New Roman"/>
          <w:b/>
          <w:noProof/>
          <w:sz w:val="24"/>
          <w:szCs w:val="24"/>
        </w:rPr>
      </w:pPr>
    </w:p>
    <w:p w14:paraId="105FF3FC" w14:textId="77777777" w:rsidR="00AE09E8" w:rsidRPr="00F806FB" w:rsidRDefault="00AE09E8" w:rsidP="00FD40E6">
      <w:pPr>
        <w:keepNext/>
        <w:keepLines/>
        <w:contextualSpacing/>
        <w:jc w:val="both"/>
        <w:rPr>
          <w:rFonts w:ascii="Times New Roman" w:hAnsi="Times New Roman" w:cs="Times New Roman"/>
          <w:b/>
          <w:noProof/>
          <w:sz w:val="24"/>
          <w:szCs w:val="24"/>
        </w:rPr>
      </w:pPr>
      <w:r>
        <w:rPr>
          <w:rFonts w:ascii="Times New Roman" w:hAnsi="Times New Roman"/>
          <w:b/>
          <w:i/>
          <w:iCs/>
          <w:sz w:val="24"/>
        </w:rPr>
        <w:t>ILAC Secretariat</w:t>
      </w:r>
    </w:p>
    <w:p w14:paraId="4C1FB541" w14:textId="77777777" w:rsidR="00AE09E8" w:rsidRPr="00F806FB" w:rsidRDefault="00AE09E8" w:rsidP="00FD40E6">
      <w:pPr>
        <w:keepNext/>
        <w:keepLines/>
        <w:contextualSpacing/>
        <w:jc w:val="both"/>
        <w:rPr>
          <w:rFonts w:ascii="Times New Roman" w:hAnsi="Times New Roman" w:cs="Times New Roman"/>
          <w:noProof/>
          <w:sz w:val="24"/>
          <w:szCs w:val="24"/>
        </w:rPr>
      </w:pPr>
      <w:r>
        <w:rPr>
          <w:rFonts w:ascii="Times New Roman" w:hAnsi="Times New Roman"/>
          <w:i/>
          <w:iCs/>
          <w:sz w:val="24"/>
        </w:rPr>
        <w:t>PO Box 7507</w:t>
      </w:r>
    </w:p>
    <w:p w14:paraId="77796CFB" w14:textId="77777777" w:rsidR="00AE09E8" w:rsidRPr="00F806FB" w:rsidRDefault="00AE09E8" w:rsidP="00FD40E6">
      <w:pPr>
        <w:keepNext/>
        <w:keepLines/>
        <w:contextualSpacing/>
        <w:jc w:val="both"/>
        <w:rPr>
          <w:rFonts w:ascii="Times New Roman" w:hAnsi="Times New Roman" w:cs="Times New Roman"/>
          <w:noProof/>
          <w:sz w:val="24"/>
          <w:szCs w:val="24"/>
        </w:rPr>
      </w:pPr>
      <w:r>
        <w:rPr>
          <w:rFonts w:ascii="Times New Roman" w:hAnsi="Times New Roman"/>
          <w:i/>
          <w:iCs/>
          <w:sz w:val="24"/>
        </w:rPr>
        <w:t>Silverwater NSW 2128</w:t>
      </w:r>
    </w:p>
    <w:p w14:paraId="0856C862" w14:textId="77777777" w:rsidR="00AE09E8" w:rsidRPr="00F806FB" w:rsidRDefault="00AE09E8" w:rsidP="00FD40E6">
      <w:pPr>
        <w:keepNext/>
        <w:keepLines/>
        <w:contextualSpacing/>
        <w:jc w:val="both"/>
        <w:rPr>
          <w:rFonts w:ascii="Times New Roman" w:hAnsi="Times New Roman" w:cs="Times New Roman"/>
          <w:noProof/>
          <w:sz w:val="24"/>
          <w:szCs w:val="24"/>
        </w:rPr>
      </w:pPr>
      <w:r>
        <w:rPr>
          <w:rFonts w:ascii="Times New Roman" w:hAnsi="Times New Roman"/>
          <w:i/>
          <w:iCs/>
          <w:sz w:val="24"/>
        </w:rPr>
        <w:t>Australia</w:t>
      </w:r>
    </w:p>
    <w:p w14:paraId="0451F9FF" w14:textId="77777777" w:rsidR="00AE09E8" w:rsidRPr="00F806FB" w:rsidRDefault="00AE09E8" w:rsidP="00AE09E8">
      <w:pPr>
        <w:contextualSpacing/>
        <w:jc w:val="both"/>
        <w:rPr>
          <w:rFonts w:ascii="Times New Roman" w:hAnsi="Times New Roman" w:cs="Times New Roman"/>
          <w:noProof/>
          <w:sz w:val="24"/>
          <w:szCs w:val="24"/>
        </w:rPr>
      </w:pPr>
      <w:r>
        <w:rPr>
          <w:rFonts w:ascii="Times New Roman" w:hAnsi="Times New Roman"/>
          <w:sz w:val="24"/>
        </w:rPr>
        <w:t>Tālrunis: +61 2 9736 8374</w:t>
      </w:r>
    </w:p>
    <w:p w14:paraId="57F06D6C" w14:textId="77777777" w:rsidR="00AE09E8" w:rsidRPr="00F806FB" w:rsidRDefault="00AE09E8" w:rsidP="00AE09E8">
      <w:pPr>
        <w:contextualSpacing/>
        <w:jc w:val="both"/>
        <w:rPr>
          <w:rFonts w:ascii="Times New Roman" w:hAnsi="Times New Roman" w:cs="Times New Roman"/>
          <w:noProof/>
          <w:sz w:val="24"/>
          <w:szCs w:val="24"/>
        </w:rPr>
      </w:pPr>
      <w:r>
        <w:rPr>
          <w:rFonts w:ascii="Times New Roman" w:hAnsi="Times New Roman"/>
          <w:sz w:val="24"/>
        </w:rPr>
        <w:t>E-pasts: ilac@nata.com.au</w:t>
      </w:r>
    </w:p>
    <w:p w14:paraId="3DA2B482" w14:textId="77777777" w:rsidR="00AE09E8" w:rsidRPr="00F806FB" w:rsidRDefault="00AE09E8" w:rsidP="00AE09E8">
      <w:pPr>
        <w:contextualSpacing/>
        <w:jc w:val="both"/>
        <w:rPr>
          <w:rFonts w:ascii="Times New Roman" w:hAnsi="Times New Roman" w:cs="Times New Roman"/>
          <w:noProof/>
          <w:sz w:val="24"/>
          <w:szCs w:val="24"/>
        </w:rPr>
      </w:pPr>
      <w:r>
        <w:rPr>
          <w:rFonts w:ascii="Times New Roman" w:hAnsi="Times New Roman"/>
          <w:sz w:val="24"/>
        </w:rPr>
        <w:t>Tīmekļa vietne: www.ilac.org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0"/>
        <w:gridCol w:w="8571"/>
      </w:tblGrid>
      <w:tr w:rsidR="00AE09E8" w:rsidRPr="00F806FB" w14:paraId="3DF74FDA" w14:textId="77777777" w:rsidTr="00A515C0">
        <w:trPr>
          <w:trHeight w:val="423"/>
        </w:trPr>
        <w:tc>
          <w:tcPr>
            <w:tcW w:w="249" w:type="pct"/>
            <w:vMerge w:val="restart"/>
          </w:tcPr>
          <w:p w14:paraId="25F3A4C3" w14:textId="77777777" w:rsidR="00AE09E8" w:rsidRPr="00F806FB" w:rsidRDefault="00AE09E8" w:rsidP="00A515C0">
            <w:pPr>
              <w:contextualSpacing/>
              <w:jc w:val="both"/>
              <w:rPr>
                <w:rFonts w:ascii="Times New Roman" w:hAnsi="Times New Roman" w:cs="Times New Roman"/>
                <w:noProof/>
                <w:sz w:val="24"/>
                <w:szCs w:val="24"/>
              </w:rPr>
            </w:pPr>
            <w:r>
              <w:rPr>
                <w:rFonts w:ascii="Times New Roman" w:hAnsi="Times New Roman"/>
                <w:noProof/>
                <w:sz w:val="24"/>
              </w:rPr>
              <w:drawing>
                <wp:inline distT="0" distB="0" distL="0" distR="0" wp14:anchorId="5652185E" wp14:editId="267DA73D">
                  <wp:extent cx="320140" cy="499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058" cy="508967"/>
                          </a:xfrm>
                          <a:prstGeom prst="rect">
                            <a:avLst/>
                          </a:prstGeom>
                        </pic:spPr>
                      </pic:pic>
                    </a:graphicData>
                  </a:graphic>
                </wp:inline>
              </w:drawing>
            </w:r>
          </w:p>
        </w:tc>
        <w:tc>
          <w:tcPr>
            <w:tcW w:w="4751" w:type="pct"/>
          </w:tcPr>
          <w:p w14:paraId="0F0495E6" w14:textId="77777777" w:rsidR="00AE09E8" w:rsidRPr="00F806FB" w:rsidRDefault="00AE09E8" w:rsidP="00A515C0">
            <w:pPr>
              <w:contextualSpacing/>
              <w:jc w:val="both"/>
              <w:rPr>
                <w:rFonts w:ascii="Times New Roman" w:hAnsi="Times New Roman" w:cs="Times New Roman"/>
                <w:noProof/>
                <w:sz w:val="24"/>
                <w:szCs w:val="24"/>
              </w:rPr>
            </w:pPr>
            <w:r>
              <w:rPr>
                <w:rFonts w:ascii="Times New Roman" w:hAnsi="Times New Roman"/>
                <w:sz w:val="24"/>
              </w:rPr>
              <w:t>@ILAC_Official</w:t>
            </w:r>
          </w:p>
        </w:tc>
      </w:tr>
      <w:tr w:rsidR="00AE09E8" w:rsidRPr="00F806FB" w14:paraId="7233F218" w14:textId="77777777" w:rsidTr="00A515C0">
        <w:tc>
          <w:tcPr>
            <w:tcW w:w="249" w:type="pct"/>
            <w:vMerge/>
          </w:tcPr>
          <w:p w14:paraId="53BF39FB" w14:textId="77777777" w:rsidR="00AE09E8" w:rsidRPr="00F806FB" w:rsidRDefault="00AE09E8" w:rsidP="00A515C0">
            <w:pPr>
              <w:contextualSpacing/>
              <w:jc w:val="both"/>
              <w:rPr>
                <w:rFonts w:ascii="Times New Roman" w:hAnsi="Times New Roman" w:cs="Times New Roman"/>
                <w:noProof/>
                <w:sz w:val="24"/>
                <w:szCs w:val="24"/>
              </w:rPr>
            </w:pPr>
          </w:p>
        </w:tc>
        <w:tc>
          <w:tcPr>
            <w:tcW w:w="4751" w:type="pct"/>
          </w:tcPr>
          <w:p w14:paraId="6A203F94" w14:textId="77777777" w:rsidR="00AE09E8" w:rsidRPr="00F806FB" w:rsidRDefault="00AE09E8" w:rsidP="00A515C0">
            <w:pPr>
              <w:contextualSpacing/>
              <w:jc w:val="both"/>
              <w:rPr>
                <w:rFonts w:ascii="Times New Roman" w:hAnsi="Times New Roman" w:cs="Times New Roman"/>
                <w:noProof/>
                <w:sz w:val="24"/>
                <w:szCs w:val="24"/>
              </w:rPr>
            </w:pPr>
            <w:r>
              <w:rPr>
                <w:rFonts w:ascii="Times New Roman" w:hAnsi="Times New Roman"/>
                <w:sz w:val="24"/>
              </w:rPr>
              <w:t>https://www.youtube.com/user/IAFandILAC</w:t>
            </w:r>
          </w:p>
        </w:tc>
      </w:tr>
    </w:tbl>
    <w:p w14:paraId="4DDB810C" w14:textId="77777777" w:rsidR="00AE09E8" w:rsidRPr="00F57F84" w:rsidRDefault="00AE09E8" w:rsidP="00AE09E8">
      <w:pPr>
        <w:contextualSpacing/>
        <w:jc w:val="both"/>
        <w:rPr>
          <w:rFonts w:ascii="Times New Roman" w:hAnsi="Times New Roman" w:cs="Times New Roman"/>
          <w:b/>
          <w:noProof/>
          <w:sz w:val="24"/>
          <w:szCs w:val="24"/>
        </w:rPr>
      </w:pPr>
    </w:p>
    <w:p w14:paraId="78F28CC9" w14:textId="77777777" w:rsidR="00AE09E8" w:rsidRPr="00F806FB" w:rsidRDefault="00AE09E8" w:rsidP="00AE09E8">
      <w:pPr>
        <w:contextualSpacing/>
        <w:jc w:val="both"/>
        <w:rPr>
          <w:rFonts w:ascii="Times New Roman" w:hAnsi="Times New Roman" w:cs="Times New Roman"/>
          <w:b/>
          <w:noProof/>
          <w:sz w:val="24"/>
          <w:szCs w:val="24"/>
        </w:rPr>
      </w:pPr>
      <w:r>
        <w:rPr>
          <w:rFonts w:ascii="Times New Roman" w:hAnsi="Times New Roman"/>
          <w:b/>
          <w:sz w:val="24"/>
        </w:rPr>
        <w:t xml:space="preserve">© </w:t>
      </w:r>
      <w:r>
        <w:rPr>
          <w:rFonts w:ascii="Times New Roman" w:hAnsi="Times New Roman"/>
          <w:b/>
          <w:i/>
          <w:iCs/>
          <w:sz w:val="24"/>
        </w:rPr>
        <w:t>ILAC</w:t>
      </w:r>
      <w:r>
        <w:rPr>
          <w:rFonts w:ascii="Times New Roman" w:hAnsi="Times New Roman"/>
          <w:b/>
          <w:sz w:val="24"/>
        </w:rPr>
        <w:t xml:space="preserve"> autortiesības 2021</w:t>
      </w:r>
    </w:p>
    <w:p w14:paraId="0C0FFCA6"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5C5C2912" w14:textId="77777777" w:rsidR="00AE09E8" w:rsidRPr="00F806FB" w:rsidRDefault="00AE09E8" w:rsidP="00AE09E8">
      <w:pPr>
        <w:contextualSpacing/>
        <w:jc w:val="both"/>
        <w:rPr>
          <w:rFonts w:ascii="Times New Roman" w:eastAsia="Times New Roman" w:hAnsi="Times New Roman" w:cs="Times New Roman"/>
          <w:noProof/>
          <w:sz w:val="24"/>
          <w:szCs w:val="24"/>
        </w:rPr>
      </w:pPr>
      <w:r>
        <w:rPr>
          <w:rFonts w:ascii="Times New Roman" w:hAnsi="Times New Roman"/>
          <w:sz w:val="24"/>
        </w:rPr>
        <w:t xml:space="preserve">Pavairot </w:t>
      </w:r>
      <w:r>
        <w:rPr>
          <w:rFonts w:ascii="Times New Roman" w:hAnsi="Times New Roman"/>
          <w:i/>
          <w:iCs/>
          <w:sz w:val="24"/>
        </w:rPr>
        <w:t>ILAC</w:t>
      </w:r>
      <w:r>
        <w:rPr>
          <w:rFonts w:ascii="Times New Roman" w:hAnsi="Times New Roman"/>
          <w:sz w:val="24"/>
        </w:rPr>
        <w:t xml:space="preserve"> publikācijas vai to daļas tiek mudinātas organizācijas, kas vēlas izmantot šos materiālus ar izglītību, standartizāciju, akreditāciju saistītās jomās vai citiem mērķiem, kuri attiecas uz </w:t>
      </w:r>
      <w:r>
        <w:rPr>
          <w:rFonts w:ascii="Times New Roman" w:hAnsi="Times New Roman"/>
          <w:i/>
          <w:iCs/>
          <w:sz w:val="24"/>
        </w:rPr>
        <w:t>ILAC</w:t>
      </w:r>
      <w:r>
        <w:rPr>
          <w:rFonts w:ascii="Times New Roman" w:hAnsi="Times New Roman"/>
          <w:sz w:val="24"/>
        </w:rPr>
        <w:t xml:space="preserve"> kompetences jomu vai centieniem. Dokumentā, kas satur reproducēto materiālu, ir jābūt apliecinājumam, kas apstiprina </w:t>
      </w:r>
      <w:r>
        <w:rPr>
          <w:rFonts w:ascii="Times New Roman" w:hAnsi="Times New Roman"/>
          <w:i/>
          <w:iCs/>
          <w:sz w:val="24"/>
        </w:rPr>
        <w:t>ILAC</w:t>
      </w:r>
      <w:r>
        <w:rPr>
          <w:rFonts w:ascii="Times New Roman" w:hAnsi="Times New Roman"/>
          <w:sz w:val="24"/>
        </w:rPr>
        <w:t xml:space="preserve"> ieguldījumu dokumenta izstrādē.</w:t>
      </w:r>
    </w:p>
    <w:p w14:paraId="56A07D4A"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65F37358" w14:textId="77777777" w:rsidR="00AE09E8" w:rsidRPr="00F806FB" w:rsidRDefault="00AE09E8" w:rsidP="00AE09E8">
      <w:pPr>
        <w:rPr>
          <w:rFonts w:ascii="Times New Roman" w:eastAsia="Times New Roman" w:hAnsi="Times New Roman" w:cs="Times New Roman"/>
          <w:noProof/>
          <w:sz w:val="24"/>
          <w:szCs w:val="24"/>
        </w:rPr>
      </w:pPr>
      <w:r>
        <w:br w:type="page"/>
      </w:r>
    </w:p>
    <w:p w14:paraId="6B3C0ABB" w14:textId="77777777" w:rsidR="00AE09E8" w:rsidRPr="00F806FB" w:rsidRDefault="00AE09E8" w:rsidP="001F64CE">
      <w:pPr>
        <w:pStyle w:val="BodyText"/>
        <w:jc w:val="center"/>
        <w:rPr>
          <w:b/>
          <w:bCs/>
          <w:color w:val="auto"/>
        </w:rPr>
      </w:pPr>
      <w:r>
        <w:rPr>
          <w:b/>
          <w:color w:val="auto"/>
        </w:rPr>
        <w:lastRenderedPageBreak/>
        <w:t>SATURA RĀDĪTĀJS</w:t>
      </w:r>
    </w:p>
    <w:sdt>
      <w:sdtPr>
        <w:id w:val="1428000533"/>
        <w:docPartObj>
          <w:docPartGallery w:val="Table of Contents"/>
          <w:docPartUnique/>
        </w:docPartObj>
      </w:sdtPr>
      <w:sdtEndPr>
        <w:rPr>
          <w:rFonts w:asciiTheme="minorHAnsi" w:eastAsiaTheme="minorHAnsi" w:hAnsiTheme="minorHAnsi" w:cstheme="minorBidi"/>
          <w:b/>
          <w:bCs/>
          <w:noProof/>
          <w:color w:val="auto"/>
          <w:sz w:val="22"/>
          <w:szCs w:val="22"/>
          <w:lang w:val="lv-LV"/>
        </w:rPr>
      </w:sdtEndPr>
      <w:sdtContent>
        <w:p w14:paraId="4D954651" w14:textId="4DBE7DAF" w:rsidR="001F64CE" w:rsidRPr="001F64CE" w:rsidRDefault="001F64CE">
          <w:pPr>
            <w:pStyle w:val="TOCHeading"/>
            <w:rPr>
              <w:sz w:val="24"/>
              <w:szCs w:val="24"/>
            </w:rPr>
          </w:pPr>
        </w:p>
        <w:p w14:paraId="170213A3" w14:textId="740BBFBA"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r>
            <w:fldChar w:fldCharType="begin"/>
          </w:r>
          <w:r>
            <w:instrText xml:space="preserve"> TOC \o "1-3" \h \z \u </w:instrText>
          </w:r>
          <w:r>
            <w:fldChar w:fldCharType="separate"/>
          </w:r>
          <w:hyperlink w:anchor="_Toc117087831" w:history="1">
            <w:r w:rsidRPr="001F4764">
              <w:rPr>
                <w:rStyle w:val="Hyperlink"/>
                <w:noProof/>
              </w:rPr>
              <w:t>PREAMBULA</w:t>
            </w:r>
            <w:r>
              <w:rPr>
                <w:noProof/>
                <w:webHidden/>
              </w:rPr>
              <w:tab/>
            </w:r>
            <w:r>
              <w:rPr>
                <w:noProof/>
                <w:webHidden/>
              </w:rPr>
              <w:fldChar w:fldCharType="begin"/>
            </w:r>
            <w:r>
              <w:rPr>
                <w:noProof/>
                <w:webHidden/>
              </w:rPr>
              <w:instrText xml:space="preserve"> PAGEREF _Toc117087831 \h </w:instrText>
            </w:r>
            <w:r>
              <w:rPr>
                <w:noProof/>
                <w:webHidden/>
              </w:rPr>
            </w:r>
            <w:r>
              <w:rPr>
                <w:noProof/>
                <w:webHidden/>
              </w:rPr>
              <w:fldChar w:fldCharType="separate"/>
            </w:r>
            <w:r>
              <w:rPr>
                <w:noProof/>
                <w:webHidden/>
              </w:rPr>
              <w:t>5</w:t>
            </w:r>
            <w:r>
              <w:rPr>
                <w:noProof/>
                <w:webHidden/>
              </w:rPr>
              <w:fldChar w:fldCharType="end"/>
            </w:r>
          </w:hyperlink>
        </w:p>
        <w:p w14:paraId="45B8201E" w14:textId="11ED7973"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32" w:history="1">
            <w:r w:rsidRPr="001F4764">
              <w:rPr>
                <w:rStyle w:val="Hyperlink"/>
                <w:noProof/>
              </w:rPr>
              <w:t>MĒRĶIS</w:t>
            </w:r>
            <w:r>
              <w:rPr>
                <w:noProof/>
                <w:webHidden/>
              </w:rPr>
              <w:tab/>
            </w:r>
            <w:r>
              <w:rPr>
                <w:noProof/>
                <w:webHidden/>
              </w:rPr>
              <w:fldChar w:fldCharType="begin"/>
            </w:r>
            <w:r>
              <w:rPr>
                <w:noProof/>
                <w:webHidden/>
              </w:rPr>
              <w:instrText xml:space="preserve"> PAGEREF _Toc117087832 \h </w:instrText>
            </w:r>
            <w:r>
              <w:rPr>
                <w:noProof/>
                <w:webHidden/>
              </w:rPr>
            </w:r>
            <w:r>
              <w:rPr>
                <w:noProof/>
                <w:webHidden/>
              </w:rPr>
              <w:fldChar w:fldCharType="separate"/>
            </w:r>
            <w:r>
              <w:rPr>
                <w:noProof/>
                <w:webHidden/>
              </w:rPr>
              <w:t>5</w:t>
            </w:r>
            <w:r>
              <w:rPr>
                <w:noProof/>
                <w:webHidden/>
              </w:rPr>
              <w:fldChar w:fldCharType="end"/>
            </w:r>
          </w:hyperlink>
        </w:p>
        <w:p w14:paraId="43B4F8D0" w14:textId="778480FF"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33" w:history="1">
            <w:r w:rsidRPr="001F4764">
              <w:rPr>
                <w:rStyle w:val="Hyperlink"/>
                <w:noProof/>
              </w:rPr>
              <w:t>AUTORĪBA</w:t>
            </w:r>
            <w:r>
              <w:rPr>
                <w:noProof/>
                <w:webHidden/>
              </w:rPr>
              <w:tab/>
            </w:r>
            <w:r>
              <w:rPr>
                <w:noProof/>
                <w:webHidden/>
              </w:rPr>
              <w:fldChar w:fldCharType="begin"/>
            </w:r>
            <w:r>
              <w:rPr>
                <w:noProof/>
                <w:webHidden/>
              </w:rPr>
              <w:instrText xml:space="preserve"> PAGEREF _Toc117087833 \h </w:instrText>
            </w:r>
            <w:r>
              <w:rPr>
                <w:noProof/>
                <w:webHidden/>
              </w:rPr>
            </w:r>
            <w:r>
              <w:rPr>
                <w:noProof/>
                <w:webHidden/>
              </w:rPr>
              <w:fldChar w:fldCharType="separate"/>
            </w:r>
            <w:r>
              <w:rPr>
                <w:noProof/>
                <w:webHidden/>
              </w:rPr>
              <w:t>5</w:t>
            </w:r>
            <w:r>
              <w:rPr>
                <w:noProof/>
                <w:webHidden/>
              </w:rPr>
              <w:fldChar w:fldCharType="end"/>
            </w:r>
          </w:hyperlink>
        </w:p>
        <w:p w14:paraId="10BA1C35" w14:textId="749F9648"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34" w:history="1">
            <w:r w:rsidRPr="001F4764">
              <w:rPr>
                <w:rStyle w:val="Hyperlink"/>
                <w:noProof/>
              </w:rPr>
              <w:t>TERMINI UN DEFINĪCIJAS</w:t>
            </w:r>
            <w:r>
              <w:rPr>
                <w:noProof/>
                <w:webHidden/>
              </w:rPr>
              <w:tab/>
            </w:r>
            <w:r>
              <w:rPr>
                <w:noProof/>
                <w:webHidden/>
              </w:rPr>
              <w:fldChar w:fldCharType="begin"/>
            </w:r>
            <w:r>
              <w:rPr>
                <w:noProof/>
                <w:webHidden/>
              </w:rPr>
              <w:instrText xml:space="preserve"> PAGEREF _Toc117087834 \h </w:instrText>
            </w:r>
            <w:r>
              <w:rPr>
                <w:noProof/>
                <w:webHidden/>
              </w:rPr>
            </w:r>
            <w:r>
              <w:rPr>
                <w:noProof/>
                <w:webHidden/>
              </w:rPr>
              <w:fldChar w:fldCharType="separate"/>
            </w:r>
            <w:r>
              <w:rPr>
                <w:noProof/>
                <w:webHidden/>
              </w:rPr>
              <w:t>6</w:t>
            </w:r>
            <w:r>
              <w:rPr>
                <w:noProof/>
                <w:webHidden/>
              </w:rPr>
              <w:fldChar w:fldCharType="end"/>
            </w:r>
          </w:hyperlink>
        </w:p>
        <w:p w14:paraId="4ED8CC29" w14:textId="7D49A510"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35" w:history="1">
            <w:r w:rsidRPr="001F4764">
              <w:rPr>
                <w:rStyle w:val="Hyperlink"/>
                <w:noProof/>
              </w:rPr>
              <w:t>1.1. Akreditācijas sfēra (ISO/IEC 17011 3.6. punkts)</w:t>
            </w:r>
            <w:r>
              <w:rPr>
                <w:noProof/>
                <w:webHidden/>
              </w:rPr>
              <w:tab/>
            </w:r>
            <w:r>
              <w:rPr>
                <w:noProof/>
                <w:webHidden/>
              </w:rPr>
              <w:fldChar w:fldCharType="begin"/>
            </w:r>
            <w:r>
              <w:rPr>
                <w:noProof/>
                <w:webHidden/>
              </w:rPr>
              <w:instrText xml:space="preserve"> PAGEREF _Toc117087835 \h </w:instrText>
            </w:r>
            <w:r>
              <w:rPr>
                <w:noProof/>
                <w:webHidden/>
              </w:rPr>
            </w:r>
            <w:r>
              <w:rPr>
                <w:noProof/>
                <w:webHidden/>
              </w:rPr>
              <w:fldChar w:fldCharType="separate"/>
            </w:r>
            <w:r>
              <w:rPr>
                <w:noProof/>
                <w:webHidden/>
              </w:rPr>
              <w:t>6</w:t>
            </w:r>
            <w:r>
              <w:rPr>
                <w:noProof/>
                <w:webHidden/>
              </w:rPr>
              <w:fldChar w:fldCharType="end"/>
            </w:r>
          </w:hyperlink>
        </w:p>
        <w:p w14:paraId="6E1D0F7E" w14:textId="5139EBED"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36" w:history="1">
            <w:r w:rsidRPr="001F4764">
              <w:rPr>
                <w:rStyle w:val="Hyperlink"/>
                <w:noProof/>
              </w:rPr>
              <w:t>1.2. Elastīga akreditācijas sfēra (ISO/IEC 17011 3.7. punkts)</w:t>
            </w:r>
            <w:r>
              <w:rPr>
                <w:noProof/>
                <w:webHidden/>
              </w:rPr>
              <w:tab/>
            </w:r>
            <w:r>
              <w:rPr>
                <w:noProof/>
                <w:webHidden/>
              </w:rPr>
              <w:fldChar w:fldCharType="begin"/>
            </w:r>
            <w:r>
              <w:rPr>
                <w:noProof/>
                <w:webHidden/>
              </w:rPr>
              <w:instrText xml:space="preserve"> PAGEREF _Toc117087836 \h </w:instrText>
            </w:r>
            <w:r>
              <w:rPr>
                <w:noProof/>
                <w:webHidden/>
              </w:rPr>
            </w:r>
            <w:r>
              <w:rPr>
                <w:noProof/>
                <w:webHidden/>
              </w:rPr>
              <w:fldChar w:fldCharType="separate"/>
            </w:r>
            <w:r>
              <w:rPr>
                <w:noProof/>
                <w:webHidden/>
              </w:rPr>
              <w:t>6</w:t>
            </w:r>
            <w:r>
              <w:rPr>
                <w:noProof/>
                <w:webHidden/>
              </w:rPr>
              <w:fldChar w:fldCharType="end"/>
            </w:r>
          </w:hyperlink>
        </w:p>
        <w:p w14:paraId="6BE8435E" w14:textId="47EA0A71"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37" w:history="1">
            <w:r w:rsidRPr="001F4764">
              <w:rPr>
                <w:rStyle w:val="Hyperlink"/>
                <w:noProof/>
              </w:rPr>
              <w:t>AKREDITĀCIJAS SFĒRA</w:t>
            </w:r>
            <w:r>
              <w:rPr>
                <w:noProof/>
                <w:webHidden/>
              </w:rPr>
              <w:tab/>
            </w:r>
            <w:r>
              <w:rPr>
                <w:noProof/>
                <w:webHidden/>
              </w:rPr>
              <w:fldChar w:fldCharType="begin"/>
            </w:r>
            <w:r>
              <w:rPr>
                <w:noProof/>
                <w:webHidden/>
              </w:rPr>
              <w:instrText xml:space="preserve"> PAGEREF _Toc117087837 \h </w:instrText>
            </w:r>
            <w:r>
              <w:rPr>
                <w:noProof/>
                <w:webHidden/>
              </w:rPr>
            </w:r>
            <w:r>
              <w:rPr>
                <w:noProof/>
                <w:webHidden/>
              </w:rPr>
              <w:fldChar w:fldCharType="separate"/>
            </w:r>
            <w:r>
              <w:rPr>
                <w:noProof/>
                <w:webHidden/>
              </w:rPr>
              <w:t>6</w:t>
            </w:r>
            <w:r>
              <w:rPr>
                <w:noProof/>
                <w:webHidden/>
              </w:rPr>
              <w:fldChar w:fldCharType="end"/>
            </w:r>
          </w:hyperlink>
        </w:p>
        <w:p w14:paraId="486D4AE2" w14:textId="56650EF7"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38" w:history="1">
            <w:r w:rsidRPr="001F4764">
              <w:rPr>
                <w:rStyle w:val="Hyperlink"/>
                <w:noProof/>
              </w:rPr>
              <w:t>ELASTĪGA AKREDITĀCIJAS SFĒRA</w:t>
            </w:r>
            <w:r>
              <w:rPr>
                <w:noProof/>
                <w:webHidden/>
              </w:rPr>
              <w:tab/>
            </w:r>
            <w:r>
              <w:rPr>
                <w:noProof/>
                <w:webHidden/>
              </w:rPr>
              <w:fldChar w:fldCharType="begin"/>
            </w:r>
            <w:r>
              <w:rPr>
                <w:noProof/>
                <w:webHidden/>
              </w:rPr>
              <w:instrText xml:space="preserve"> PAGEREF _Toc117087838 \h </w:instrText>
            </w:r>
            <w:r>
              <w:rPr>
                <w:noProof/>
                <w:webHidden/>
              </w:rPr>
            </w:r>
            <w:r>
              <w:rPr>
                <w:noProof/>
                <w:webHidden/>
              </w:rPr>
              <w:fldChar w:fldCharType="separate"/>
            </w:r>
            <w:r>
              <w:rPr>
                <w:noProof/>
                <w:webHidden/>
              </w:rPr>
              <w:t>6</w:t>
            </w:r>
            <w:r>
              <w:rPr>
                <w:noProof/>
                <w:webHidden/>
              </w:rPr>
              <w:fldChar w:fldCharType="end"/>
            </w:r>
          </w:hyperlink>
        </w:p>
        <w:p w14:paraId="23DEA2EF" w14:textId="3DC6D7B4"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39" w:history="1">
            <w:r w:rsidRPr="001F4764">
              <w:rPr>
                <w:rStyle w:val="Hyperlink"/>
                <w:noProof/>
              </w:rPr>
              <w:t>ATSAUCES</w:t>
            </w:r>
            <w:r>
              <w:rPr>
                <w:noProof/>
                <w:webHidden/>
              </w:rPr>
              <w:tab/>
            </w:r>
            <w:r>
              <w:rPr>
                <w:noProof/>
                <w:webHidden/>
              </w:rPr>
              <w:fldChar w:fldCharType="begin"/>
            </w:r>
            <w:r>
              <w:rPr>
                <w:noProof/>
                <w:webHidden/>
              </w:rPr>
              <w:instrText xml:space="preserve"> PAGEREF _Toc117087839 \h </w:instrText>
            </w:r>
            <w:r>
              <w:rPr>
                <w:noProof/>
                <w:webHidden/>
              </w:rPr>
            </w:r>
            <w:r>
              <w:rPr>
                <w:noProof/>
                <w:webHidden/>
              </w:rPr>
              <w:fldChar w:fldCharType="separate"/>
            </w:r>
            <w:r>
              <w:rPr>
                <w:noProof/>
                <w:webHidden/>
              </w:rPr>
              <w:t>8</w:t>
            </w:r>
            <w:r>
              <w:rPr>
                <w:noProof/>
                <w:webHidden/>
              </w:rPr>
              <w:fldChar w:fldCharType="end"/>
            </w:r>
          </w:hyperlink>
        </w:p>
        <w:p w14:paraId="2F1D74B4" w14:textId="00E3A150"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40" w:history="1">
            <w:r w:rsidRPr="001F4764">
              <w:rPr>
                <w:rStyle w:val="Hyperlink"/>
                <w:noProof/>
              </w:rPr>
              <w:t>A PIELIKUMS</w:t>
            </w:r>
            <w:r>
              <w:rPr>
                <w:noProof/>
                <w:webHidden/>
              </w:rPr>
              <w:tab/>
            </w:r>
            <w:r>
              <w:rPr>
                <w:noProof/>
                <w:webHidden/>
              </w:rPr>
              <w:fldChar w:fldCharType="begin"/>
            </w:r>
            <w:r>
              <w:rPr>
                <w:noProof/>
                <w:webHidden/>
              </w:rPr>
              <w:instrText xml:space="preserve"> PAGEREF _Toc117087840 \h </w:instrText>
            </w:r>
            <w:r>
              <w:rPr>
                <w:noProof/>
                <w:webHidden/>
              </w:rPr>
            </w:r>
            <w:r>
              <w:rPr>
                <w:noProof/>
                <w:webHidden/>
              </w:rPr>
              <w:fldChar w:fldCharType="separate"/>
            </w:r>
            <w:r>
              <w:rPr>
                <w:noProof/>
                <w:webHidden/>
              </w:rPr>
              <w:t>9</w:t>
            </w:r>
            <w:r>
              <w:rPr>
                <w:noProof/>
                <w:webHidden/>
              </w:rPr>
              <w:fldChar w:fldCharType="end"/>
            </w:r>
          </w:hyperlink>
        </w:p>
        <w:p w14:paraId="1812FAFB" w14:textId="3F70269A"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41" w:history="1">
            <w:r w:rsidRPr="001F4764">
              <w:rPr>
                <w:rStyle w:val="Hyperlink"/>
                <w:noProof/>
              </w:rPr>
              <w:t>Akreditācijas sfēra attiecībā uz ISO/IEC 17025 – kalibrēšanas laboratorijas</w:t>
            </w:r>
            <w:r>
              <w:rPr>
                <w:noProof/>
                <w:webHidden/>
              </w:rPr>
              <w:tab/>
            </w:r>
            <w:r>
              <w:rPr>
                <w:noProof/>
                <w:webHidden/>
              </w:rPr>
              <w:fldChar w:fldCharType="begin"/>
            </w:r>
            <w:r>
              <w:rPr>
                <w:noProof/>
                <w:webHidden/>
              </w:rPr>
              <w:instrText xml:space="preserve"> PAGEREF _Toc117087841 \h </w:instrText>
            </w:r>
            <w:r>
              <w:rPr>
                <w:noProof/>
                <w:webHidden/>
              </w:rPr>
            </w:r>
            <w:r>
              <w:rPr>
                <w:noProof/>
                <w:webHidden/>
              </w:rPr>
              <w:fldChar w:fldCharType="separate"/>
            </w:r>
            <w:r>
              <w:rPr>
                <w:noProof/>
                <w:webHidden/>
              </w:rPr>
              <w:t>9</w:t>
            </w:r>
            <w:r>
              <w:rPr>
                <w:noProof/>
                <w:webHidden/>
              </w:rPr>
              <w:fldChar w:fldCharType="end"/>
            </w:r>
          </w:hyperlink>
        </w:p>
        <w:p w14:paraId="2B331DA4" w14:textId="4D68C295"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42" w:history="1">
            <w:r w:rsidRPr="001F4764">
              <w:rPr>
                <w:rStyle w:val="Hyperlink"/>
                <w:noProof/>
              </w:rPr>
              <w:t>B PIELIKUMS</w:t>
            </w:r>
            <w:r>
              <w:rPr>
                <w:noProof/>
                <w:webHidden/>
              </w:rPr>
              <w:tab/>
            </w:r>
            <w:r>
              <w:rPr>
                <w:noProof/>
                <w:webHidden/>
              </w:rPr>
              <w:fldChar w:fldCharType="begin"/>
            </w:r>
            <w:r>
              <w:rPr>
                <w:noProof/>
                <w:webHidden/>
              </w:rPr>
              <w:instrText xml:space="preserve"> PAGEREF _Toc117087842 \h </w:instrText>
            </w:r>
            <w:r>
              <w:rPr>
                <w:noProof/>
                <w:webHidden/>
              </w:rPr>
            </w:r>
            <w:r>
              <w:rPr>
                <w:noProof/>
                <w:webHidden/>
              </w:rPr>
              <w:fldChar w:fldCharType="separate"/>
            </w:r>
            <w:r>
              <w:rPr>
                <w:noProof/>
                <w:webHidden/>
              </w:rPr>
              <w:t>10</w:t>
            </w:r>
            <w:r>
              <w:rPr>
                <w:noProof/>
                <w:webHidden/>
              </w:rPr>
              <w:fldChar w:fldCharType="end"/>
            </w:r>
          </w:hyperlink>
        </w:p>
        <w:p w14:paraId="6304E7BB" w14:textId="76B4EFDE"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43" w:history="1">
            <w:r w:rsidRPr="001F4764">
              <w:rPr>
                <w:rStyle w:val="Hyperlink"/>
                <w:noProof/>
              </w:rPr>
              <w:t>Akreditācijas sfēra attiecībā uz ISO/IEC 17025 – testēšanas laboratorijas</w:t>
            </w:r>
            <w:r>
              <w:rPr>
                <w:noProof/>
                <w:webHidden/>
              </w:rPr>
              <w:tab/>
            </w:r>
            <w:r>
              <w:rPr>
                <w:noProof/>
                <w:webHidden/>
              </w:rPr>
              <w:fldChar w:fldCharType="begin"/>
            </w:r>
            <w:r>
              <w:rPr>
                <w:noProof/>
                <w:webHidden/>
              </w:rPr>
              <w:instrText xml:space="preserve"> PAGEREF _Toc117087843 \h </w:instrText>
            </w:r>
            <w:r>
              <w:rPr>
                <w:noProof/>
                <w:webHidden/>
              </w:rPr>
            </w:r>
            <w:r>
              <w:rPr>
                <w:noProof/>
                <w:webHidden/>
              </w:rPr>
              <w:fldChar w:fldCharType="separate"/>
            </w:r>
            <w:r>
              <w:rPr>
                <w:noProof/>
                <w:webHidden/>
              </w:rPr>
              <w:t>10</w:t>
            </w:r>
            <w:r>
              <w:rPr>
                <w:noProof/>
                <w:webHidden/>
              </w:rPr>
              <w:fldChar w:fldCharType="end"/>
            </w:r>
          </w:hyperlink>
        </w:p>
        <w:p w14:paraId="4E3AD1E4" w14:textId="256F7FAF"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44" w:history="1">
            <w:r w:rsidRPr="001F4764">
              <w:rPr>
                <w:rStyle w:val="Hyperlink"/>
                <w:noProof/>
              </w:rPr>
              <w:t>C PIELIKUMS</w:t>
            </w:r>
            <w:r>
              <w:rPr>
                <w:noProof/>
                <w:webHidden/>
              </w:rPr>
              <w:tab/>
            </w:r>
            <w:r>
              <w:rPr>
                <w:noProof/>
                <w:webHidden/>
              </w:rPr>
              <w:fldChar w:fldCharType="begin"/>
            </w:r>
            <w:r>
              <w:rPr>
                <w:noProof/>
                <w:webHidden/>
              </w:rPr>
              <w:instrText xml:space="preserve"> PAGEREF _Toc117087844 \h </w:instrText>
            </w:r>
            <w:r>
              <w:rPr>
                <w:noProof/>
                <w:webHidden/>
              </w:rPr>
            </w:r>
            <w:r>
              <w:rPr>
                <w:noProof/>
                <w:webHidden/>
              </w:rPr>
              <w:fldChar w:fldCharType="separate"/>
            </w:r>
            <w:r>
              <w:rPr>
                <w:noProof/>
                <w:webHidden/>
              </w:rPr>
              <w:t>12</w:t>
            </w:r>
            <w:r>
              <w:rPr>
                <w:noProof/>
                <w:webHidden/>
              </w:rPr>
              <w:fldChar w:fldCharType="end"/>
            </w:r>
          </w:hyperlink>
        </w:p>
        <w:p w14:paraId="4192F351" w14:textId="53BDA88C"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45" w:history="1">
            <w:r w:rsidRPr="001F4764">
              <w:rPr>
                <w:rStyle w:val="Hyperlink"/>
                <w:noProof/>
              </w:rPr>
              <w:t>Akreditācijas sfērā attiecībā uz ISO 15189 – medicīnas testēšanas laboratorijas</w:t>
            </w:r>
            <w:r>
              <w:rPr>
                <w:noProof/>
                <w:webHidden/>
              </w:rPr>
              <w:tab/>
            </w:r>
            <w:r>
              <w:rPr>
                <w:noProof/>
                <w:webHidden/>
              </w:rPr>
              <w:fldChar w:fldCharType="begin"/>
            </w:r>
            <w:r>
              <w:rPr>
                <w:noProof/>
                <w:webHidden/>
              </w:rPr>
              <w:instrText xml:space="preserve"> PAGEREF _Toc117087845 \h </w:instrText>
            </w:r>
            <w:r>
              <w:rPr>
                <w:noProof/>
                <w:webHidden/>
              </w:rPr>
            </w:r>
            <w:r>
              <w:rPr>
                <w:noProof/>
                <w:webHidden/>
              </w:rPr>
              <w:fldChar w:fldCharType="separate"/>
            </w:r>
            <w:r>
              <w:rPr>
                <w:noProof/>
                <w:webHidden/>
              </w:rPr>
              <w:t>12</w:t>
            </w:r>
            <w:r>
              <w:rPr>
                <w:noProof/>
                <w:webHidden/>
              </w:rPr>
              <w:fldChar w:fldCharType="end"/>
            </w:r>
          </w:hyperlink>
        </w:p>
        <w:p w14:paraId="3D8D3BF3" w14:textId="2D3E07F1"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46" w:history="1">
            <w:r w:rsidRPr="001F4764">
              <w:rPr>
                <w:rStyle w:val="Hyperlink"/>
                <w:noProof/>
              </w:rPr>
              <w:t>D PIELIKUMS</w:t>
            </w:r>
            <w:r>
              <w:rPr>
                <w:noProof/>
                <w:webHidden/>
              </w:rPr>
              <w:tab/>
            </w:r>
            <w:r>
              <w:rPr>
                <w:noProof/>
                <w:webHidden/>
              </w:rPr>
              <w:fldChar w:fldCharType="begin"/>
            </w:r>
            <w:r>
              <w:rPr>
                <w:noProof/>
                <w:webHidden/>
              </w:rPr>
              <w:instrText xml:space="preserve"> PAGEREF _Toc117087846 \h </w:instrText>
            </w:r>
            <w:r>
              <w:rPr>
                <w:noProof/>
                <w:webHidden/>
              </w:rPr>
            </w:r>
            <w:r>
              <w:rPr>
                <w:noProof/>
                <w:webHidden/>
              </w:rPr>
              <w:fldChar w:fldCharType="separate"/>
            </w:r>
            <w:r>
              <w:rPr>
                <w:noProof/>
                <w:webHidden/>
              </w:rPr>
              <w:t>13</w:t>
            </w:r>
            <w:r>
              <w:rPr>
                <w:noProof/>
                <w:webHidden/>
              </w:rPr>
              <w:fldChar w:fldCharType="end"/>
            </w:r>
          </w:hyperlink>
        </w:p>
        <w:p w14:paraId="6E41A4BA" w14:textId="13B3C582"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47" w:history="1">
            <w:r w:rsidRPr="001F4764">
              <w:rPr>
                <w:rStyle w:val="Hyperlink"/>
                <w:noProof/>
              </w:rPr>
              <w:t>Akreditācijas sfēra attiecībā uz ISO 17034 – references materiālu ražotāji</w:t>
            </w:r>
            <w:r>
              <w:rPr>
                <w:noProof/>
                <w:webHidden/>
              </w:rPr>
              <w:tab/>
            </w:r>
            <w:r>
              <w:rPr>
                <w:noProof/>
                <w:webHidden/>
              </w:rPr>
              <w:fldChar w:fldCharType="begin"/>
            </w:r>
            <w:r>
              <w:rPr>
                <w:noProof/>
                <w:webHidden/>
              </w:rPr>
              <w:instrText xml:space="preserve"> PAGEREF _Toc117087847 \h </w:instrText>
            </w:r>
            <w:r>
              <w:rPr>
                <w:noProof/>
                <w:webHidden/>
              </w:rPr>
            </w:r>
            <w:r>
              <w:rPr>
                <w:noProof/>
                <w:webHidden/>
              </w:rPr>
              <w:fldChar w:fldCharType="separate"/>
            </w:r>
            <w:r>
              <w:rPr>
                <w:noProof/>
                <w:webHidden/>
              </w:rPr>
              <w:t>13</w:t>
            </w:r>
            <w:r>
              <w:rPr>
                <w:noProof/>
                <w:webHidden/>
              </w:rPr>
              <w:fldChar w:fldCharType="end"/>
            </w:r>
          </w:hyperlink>
        </w:p>
        <w:p w14:paraId="67597066" w14:textId="54C3882B"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48" w:history="1">
            <w:r w:rsidRPr="001F4764">
              <w:rPr>
                <w:rStyle w:val="Hyperlink"/>
                <w:noProof/>
              </w:rPr>
              <w:t>E PIELIKUMS</w:t>
            </w:r>
            <w:r>
              <w:rPr>
                <w:noProof/>
                <w:webHidden/>
              </w:rPr>
              <w:tab/>
            </w:r>
            <w:r>
              <w:rPr>
                <w:noProof/>
                <w:webHidden/>
              </w:rPr>
              <w:fldChar w:fldCharType="begin"/>
            </w:r>
            <w:r>
              <w:rPr>
                <w:noProof/>
                <w:webHidden/>
              </w:rPr>
              <w:instrText xml:space="preserve"> PAGEREF _Toc117087848 \h </w:instrText>
            </w:r>
            <w:r>
              <w:rPr>
                <w:noProof/>
                <w:webHidden/>
              </w:rPr>
            </w:r>
            <w:r>
              <w:rPr>
                <w:noProof/>
                <w:webHidden/>
              </w:rPr>
              <w:fldChar w:fldCharType="separate"/>
            </w:r>
            <w:r>
              <w:rPr>
                <w:noProof/>
                <w:webHidden/>
              </w:rPr>
              <w:t>14</w:t>
            </w:r>
            <w:r>
              <w:rPr>
                <w:noProof/>
                <w:webHidden/>
              </w:rPr>
              <w:fldChar w:fldCharType="end"/>
            </w:r>
          </w:hyperlink>
        </w:p>
        <w:p w14:paraId="6D39EA92" w14:textId="29DD8551"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49" w:history="1">
            <w:r w:rsidRPr="001F4764">
              <w:rPr>
                <w:rStyle w:val="Hyperlink"/>
                <w:noProof/>
              </w:rPr>
              <w:t>Akreditācijas sfēra attiecībā uz ISO/IEC 17043 – prasmes pārbaudes organizētāji</w:t>
            </w:r>
            <w:r>
              <w:rPr>
                <w:noProof/>
                <w:webHidden/>
              </w:rPr>
              <w:tab/>
            </w:r>
            <w:r>
              <w:rPr>
                <w:noProof/>
                <w:webHidden/>
              </w:rPr>
              <w:fldChar w:fldCharType="begin"/>
            </w:r>
            <w:r>
              <w:rPr>
                <w:noProof/>
                <w:webHidden/>
              </w:rPr>
              <w:instrText xml:space="preserve"> PAGEREF _Toc117087849 \h </w:instrText>
            </w:r>
            <w:r>
              <w:rPr>
                <w:noProof/>
                <w:webHidden/>
              </w:rPr>
            </w:r>
            <w:r>
              <w:rPr>
                <w:noProof/>
                <w:webHidden/>
              </w:rPr>
              <w:fldChar w:fldCharType="separate"/>
            </w:r>
            <w:r>
              <w:rPr>
                <w:noProof/>
                <w:webHidden/>
              </w:rPr>
              <w:t>14</w:t>
            </w:r>
            <w:r>
              <w:rPr>
                <w:noProof/>
                <w:webHidden/>
              </w:rPr>
              <w:fldChar w:fldCharType="end"/>
            </w:r>
          </w:hyperlink>
        </w:p>
        <w:p w14:paraId="61E8C3FF" w14:textId="57C0D8D5" w:rsidR="001F64CE" w:rsidRDefault="001F64CE" w:rsidP="001F64CE">
          <w:pPr>
            <w:pStyle w:val="TOC1"/>
            <w:tabs>
              <w:tab w:val="right" w:leader="dot" w:pos="9065"/>
            </w:tabs>
            <w:spacing w:before="0" w:line="360" w:lineRule="auto"/>
            <w:rPr>
              <w:rFonts w:asciiTheme="minorHAnsi" w:eastAsiaTheme="minorEastAsia" w:hAnsiTheme="minorHAnsi"/>
              <w:b w:val="0"/>
              <w:bCs w:val="0"/>
              <w:noProof/>
              <w:lang w:eastAsia="lv-LV"/>
            </w:rPr>
          </w:pPr>
          <w:hyperlink w:anchor="_Toc117087850" w:history="1">
            <w:r w:rsidRPr="001F4764">
              <w:rPr>
                <w:rStyle w:val="Hyperlink"/>
                <w:noProof/>
              </w:rPr>
              <w:t>PĀRSKATĪŠANAS TABULA</w:t>
            </w:r>
            <w:r>
              <w:rPr>
                <w:noProof/>
                <w:webHidden/>
              </w:rPr>
              <w:tab/>
            </w:r>
            <w:r>
              <w:rPr>
                <w:noProof/>
                <w:webHidden/>
              </w:rPr>
              <w:fldChar w:fldCharType="begin"/>
            </w:r>
            <w:r>
              <w:rPr>
                <w:noProof/>
                <w:webHidden/>
              </w:rPr>
              <w:instrText xml:space="preserve"> PAGEREF _Toc117087850 \h </w:instrText>
            </w:r>
            <w:r>
              <w:rPr>
                <w:noProof/>
                <w:webHidden/>
              </w:rPr>
            </w:r>
            <w:r>
              <w:rPr>
                <w:noProof/>
                <w:webHidden/>
              </w:rPr>
              <w:fldChar w:fldCharType="separate"/>
            </w:r>
            <w:r>
              <w:rPr>
                <w:noProof/>
                <w:webHidden/>
              </w:rPr>
              <w:t>15</w:t>
            </w:r>
            <w:r>
              <w:rPr>
                <w:noProof/>
                <w:webHidden/>
              </w:rPr>
              <w:fldChar w:fldCharType="end"/>
            </w:r>
          </w:hyperlink>
        </w:p>
        <w:p w14:paraId="72B77B26" w14:textId="1C4B3D25" w:rsidR="001F64CE" w:rsidRDefault="001F64CE">
          <w:r>
            <w:rPr>
              <w:b/>
              <w:bCs/>
              <w:noProof/>
            </w:rPr>
            <w:fldChar w:fldCharType="end"/>
          </w:r>
        </w:p>
      </w:sdtContent>
    </w:sdt>
    <w:p w14:paraId="0B99B615" w14:textId="77777777" w:rsidR="00AE09E8" w:rsidRPr="00F806FB" w:rsidRDefault="00AE09E8" w:rsidP="00AE09E8">
      <w:pPr>
        <w:rPr>
          <w:rFonts w:ascii="Times New Roman" w:eastAsia="Times New Roman" w:hAnsi="Times New Roman" w:cs="Times New Roman"/>
          <w:b/>
          <w:bCs/>
          <w:noProof/>
          <w:sz w:val="24"/>
          <w:szCs w:val="24"/>
        </w:rPr>
      </w:pPr>
      <w:r>
        <w:br w:type="page"/>
      </w:r>
    </w:p>
    <w:p w14:paraId="22EB0318"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2CE283CA" w14:textId="77777777" w:rsidR="00AE09E8" w:rsidRPr="00F806FB" w:rsidRDefault="00AE09E8" w:rsidP="00AE09E8">
      <w:pPr>
        <w:pStyle w:val="Heading1"/>
        <w:rPr>
          <w:color w:val="auto"/>
        </w:rPr>
      </w:pPr>
      <w:bookmarkStart w:id="0" w:name="_Toc117087831"/>
      <w:r>
        <w:rPr>
          <w:color w:val="auto"/>
        </w:rPr>
        <w:t>PREAMBULA</w:t>
      </w:r>
      <w:bookmarkStart w:id="1" w:name="_bookmark0"/>
      <w:bookmarkEnd w:id="0"/>
      <w:bookmarkEnd w:id="1"/>
    </w:p>
    <w:p w14:paraId="08E6AE95"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14C44793" w14:textId="77777777" w:rsidR="00AE09E8" w:rsidRPr="00F806FB" w:rsidRDefault="00AE09E8" w:rsidP="00AE09E8">
      <w:pPr>
        <w:pStyle w:val="BodyText"/>
        <w:rPr>
          <w:color w:val="auto"/>
        </w:rPr>
      </w:pPr>
      <w:r>
        <w:rPr>
          <w:color w:val="auto"/>
        </w:rPr>
        <w:t>Atbilstības novērtēšanas institūcijas (ANI) akreditācijas sfēra ir oficiāls apliecinājums, ko akreditācijas iestāde (AI) ir izsniegusi par specifiskām atbilstības novērtēšanas darbībām, kurās ANI ir akreditēta un kuras tā līdz ar to ir kompetenta veikt. Minimālā informācija (sfēras parametri), ko nepieciešams iekļaut akreditācijas sfērā, ir izsmeļoši izklāstīta ISO/IEC 17011 7.8.3. apakšpunktā.</w:t>
      </w:r>
    </w:p>
    <w:p w14:paraId="48FA83C8"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4D9E5E08" w14:textId="77777777" w:rsidR="00AE09E8" w:rsidRPr="00F806FB" w:rsidRDefault="00AE09E8" w:rsidP="00AE09E8">
      <w:pPr>
        <w:pStyle w:val="BodyText"/>
        <w:rPr>
          <w:color w:val="auto"/>
        </w:rPr>
      </w:pPr>
      <w:r>
        <w:rPr>
          <w:color w:val="auto"/>
        </w:rPr>
        <w:t>Akreditācijas sfēra ir specifiska, definējot atbilstības novērtēšanas darbības, kurās ANI ir akreditēta. Līdz ar to ANI nevar mainīt attiecīgās darbības, nekonsultējoties ar AI un neveicot zināmu novērtēšanu.</w:t>
      </w:r>
    </w:p>
    <w:p w14:paraId="4F8A3298"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03C3DB52" w14:textId="77777777" w:rsidR="00AE09E8" w:rsidRPr="00F806FB" w:rsidRDefault="00AE09E8" w:rsidP="00AE09E8">
      <w:pPr>
        <w:pStyle w:val="BodyText"/>
        <w:rPr>
          <w:color w:val="auto"/>
        </w:rPr>
      </w:pPr>
      <w:r>
        <w:rPr>
          <w:color w:val="auto"/>
        </w:rPr>
        <w:t>Ja ANI pieprasa paplašināt akreditācijas sfēru, novērtēšanas pieeja būs atkarīga no tā, vai sfēra ir elastīga, un no AI procedūrām.</w:t>
      </w:r>
    </w:p>
    <w:p w14:paraId="0BC19410"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1C59D0ED" w14:textId="77777777" w:rsidR="00AE09E8" w:rsidRPr="00F806FB" w:rsidRDefault="00AE09E8" w:rsidP="00AE09E8">
      <w:pPr>
        <w:pStyle w:val="BodyText"/>
        <w:rPr>
          <w:color w:val="auto"/>
        </w:rPr>
      </w:pPr>
      <w:r>
        <w:rPr>
          <w:color w:val="auto"/>
        </w:rPr>
        <w:t>Elastīga akreditācijas sfēra var ļaut ANI pieprasīt akreditāciju mainītai metodikai vai citiem sfēras parametriem, ievērojot AI noteikto(-ās) procedūru(-as).</w:t>
      </w:r>
    </w:p>
    <w:p w14:paraId="3CB0E6E5"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6996AE04" w14:textId="77777777" w:rsidR="00AE09E8" w:rsidRPr="00F806FB" w:rsidRDefault="00AE09E8" w:rsidP="00AE09E8">
      <w:pPr>
        <w:pStyle w:val="Heading1"/>
        <w:rPr>
          <w:color w:val="auto"/>
        </w:rPr>
      </w:pPr>
      <w:bookmarkStart w:id="2" w:name="_Toc117087832"/>
      <w:r>
        <w:rPr>
          <w:color w:val="auto"/>
        </w:rPr>
        <w:t>MĒRĶIS</w:t>
      </w:r>
      <w:bookmarkStart w:id="3" w:name="_bookmark1"/>
      <w:bookmarkEnd w:id="2"/>
      <w:bookmarkEnd w:id="3"/>
    </w:p>
    <w:p w14:paraId="549EAC97"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664FEE3A" w14:textId="77777777" w:rsidR="00AE09E8" w:rsidRPr="00F806FB" w:rsidRDefault="00AE09E8" w:rsidP="00AE09E8">
      <w:pPr>
        <w:pStyle w:val="BodyText"/>
        <w:rPr>
          <w:color w:val="auto"/>
        </w:rPr>
      </w:pPr>
      <w:r>
        <w:rPr>
          <w:color w:val="auto"/>
        </w:rPr>
        <w:t xml:space="preserve">Šīs publikācijas mērķis ir sniegt norādījumus AI attiecībā uz akreditācijas sfēras aprakstīšanu, lai ļautu </w:t>
      </w:r>
      <w:r>
        <w:rPr>
          <w:i/>
          <w:iCs/>
          <w:color w:val="auto"/>
        </w:rPr>
        <w:t>ILAC</w:t>
      </w:r>
      <w:r>
        <w:rPr>
          <w:color w:val="auto"/>
        </w:rPr>
        <w:t xml:space="preserve"> parakstītājiem to efektīvi un saskaņoti piemērot saistībā ar attiecīgajiem starptautiskajiem standartiem.</w:t>
      </w:r>
    </w:p>
    <w:p w14:paraId="23730AF4"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0F77EAFD" w14:textId="77777777" w:rsidR="00AE09E8" w:rsidRPr="00F806FB" w:rsidRDefault="00AE09E8" w:rsidP="00AE09E8">
      <w:pPr>
        <w:pStyle w:val="Heading1"/>
        <w:rPr>
          <w:color w:val="auto"/>
        </w:rPr>
      </w:pPr>
      <w:bookmarkStart w:id="4" w:name="_Toc117087833"/>
      <w:r>
        <w:rPr>
          <w:color w:val="auto"/>
        </w:rPr>
        <w:t>AUTORĪBA</w:t>
      </w:r>
      <w:bookmarkStart w:id="5" w:name="_bookmark2"/>
      <w:bookmarkEnd w:id="4"/>
      <w:bookmarkEnd w:id="5"/>
    </w:p>
    <w:p w14:paraId="067EB62B"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461F4352" w14:textId="77777777" w:rsidR="00AE09E8" w:rsidRPr="00F806FB" w:rsidRDefault="00AE09E8" w:rsidP="00AE09E8">
      <w:pPr>
        <w:pStyle w:val="BodyText"/>
        <w:rPr>
          <w:color w:val="auto"/>
        </w:rPr>
      </w:pPr>
      <w:r>
        <w:rPr>
          <w:color w:val="auto"/>
        </w:rPr>
        <w:t xml:space="preserve">Šo publikāciju ir sagatavojusi </w:t>
      </w:r>
      <w:r>
        <w:rPr>
          <w:i/>
          <w:iCs/>
          <w:color w:val="auto"/>
        </w:rPr>
        <w:t>ILAC</w:t>
      </w:r>
      <w:r>
        <w:rPr>
          <w:color w:val="auto"/>
        </w:rPr>
        <w:t xml:space="preserve"> Akreditācijas komitejas (</w:t>
      </w:r>
      <w:r>
        <w:rPr>
          <w:i/>
          <w:iCs/>
          <w:color w:val="auto"/>
        </w:rPr>
        <w:t>AIC</w:t>
      </w:r>
      <w:r>
        <w:rPr>
          <w:color w:val="auto"/>
        </w:rPr>
        <w:t xml:space="preserve">) darba grupa sfēras jautājumos, un savu ieguldījumu pielikumu izstrādē ir sniegušas arī attiecīgās </w:t>
      </w:r>
      <w:r>
        <w:rPr>
          <w:i/>
          <w:iCs/>
          <w:color w:val="auto"/>
        </w:rPr>
        <w:t xml:space="preserve">AIC </w:t>
      </w:r>
      <w:r>
        <w:rPr>
          <w:color w:val="auto"/>
        </w:rPr>
        <w:t>darba grupas.</w:t>
      </w:r>
    </w:p>
    <w:p w14:paraId="3866875E" w14:textId="77777777" w:rsidR="00AE09E8" w:rsidRPr="00F57F84" w:rsidRDefault="00AE09E8" w:rsidP="00AE09E8">
      <w:pPr>
        <w:contextualSpacing/>
        <w:jc w:val="both"/>
        <w:rPr>
          <w:rFonts w:ascii="Times New Roman" w:hAnsi="Times New Roman" w:cs="Times New Roman"/>
          <w:noProof/>
          <w:sz w:val="24"/>
          <w:szCs w:val="24"/>
        </w:rPr>
      </w:pPr>
    </w:p>
    <w:p w14:paraId="5063EE2D" w14:textId="77777777" w:rsidR="00AE09E8" w:rsidRPr="00F806FB" w:rsidRDefault="00AE09E8" w:rsidP="00AE09E8">
      <w:pPr>
        <w:rPr>
          <w:rFonts w:ascii="Times New Roman" w:eastAsia="Times New Roman" w:hAnsi="Times New Roman" w:cs="Times New Roman"/>
          <w:noProof/>
          <w:sz w:val="24"/>
          <w:szCs w:val="24"/>
        </w:rPr>
      </w:pPr>
      <w:r>
        <w:br w:type="page"/>
      </w:r>
    </w:p>
    <w:p w14:paraId="24B503B3"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4F5BAB37" w14:textId="77777777" w:rsidR="00AE09E8" w:rsidRPr="00F806FB" w:rsidRDefault="00AE09E8" w:rsidP="00AE09E8">
      <w:pPr>
        <w:pStyle w:val="Heading1"/>
        <w:rPr>
          <w:color w:val="auto"/>
        </w:rPr>
      </w:pPr>
      <w:bookmarkStart w:id="6" w:name="_Toc117087834"/>
      <w:r>
        <w:rPr>
          <w:color w:val="auto"/>
        </w:rPr>
        <w:t>TERMINI UN DEFINĪCIJAS</w:t>
      </w:r>
      <w:bookmarkStart w:id="7" w:name="_bookmark3"/>
      <w:bookmarkEnd w:id="6"/>
      <w:bookmarkEnd w:id="7"/>
    </w:p>
    <w:p w14:paraId="0AC437DF"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24A02627" w14:textId="77777777" w:rsidR="00AE09E8" w:rsidRPr="00F806FB" w:rsidRDefault="00AE09E8" w:rsidP="00AE09E8">
      <w:pPr>
        <w:pStyle w:val="Heading1"/>
        <w:ind w:left="284"/>
        <w:rPr>
          <w:color w:val="auto"/>
        </w:rPr>
      </w:pPr>
      <w:bookmarkStart w:id="8" w:name="_Toc117087835"/>
      <w:r>
        <w:rPr>
          <w:color w:val="auto"/>
        </w:rPr>
        <w:t>1.1. Akreditācijas sfēra (ISO/IEC 17011 3.6. punkts)</w:t>
      </w:r>
      <w:bookmarkStart w:id="9" w:name="_bookmark4"/>
      <w:bookmarkEnd w:id="8"/>
      <w:bookmarkEnd w:id="9"/>
    </w:p>
    <w:p w14:paraId="2EE46C3A" w14:textId="77777777" w:rsidR="00AE09E8" w:rsidRPr="00F57F84" w:rsidRDefault="00AE09E8" w:rsidP="00AE09E8">
      <w:pPr>
        <w:ind w:left="284"/>
        <w:contextualSpacing/>
        <w:jc w:val="both"/>
        <w:rPr>
          <w:rFonts w:ascii="Times New Roman" w:eastAsia="Times New Roman" w:hAnsi="Times New Roman" w:cs="Times New Roman"/>
          <w:b/>
          <w:bCs/>
          <w:noProof/>
          <w:sz w:val="24"/>
          <w:szCs w:val="24"/>
        </w:rPr>
      </w:pPr>
    </w:p>
    <w:p w14:paraId="0C18C08B" w14:textId="77777777" w:rsidR="00AE09E8" w:rsidRPr="00F806FB" w:rsidRDefault="00AE09E8" w:rsidP="00AE09E8">
      <w:pPr>
        <w:ind w:left="284"/>
        <w:contextualSpacing/>
        <w:jc w:val="both"/>
        <w:rPr>
          <w:rFonts w:ascii="Times New Roman" w:hAnsi="Times New Roman" w:cs="Times New Roman"/>
          <w:i/>
          <w:noProof/>
          <w:sz w:val="24"/>
          <w:szCs w:val="24"/>
        </w:rPr>
      </w:pPr>
      <w:r>
        <w:rPr>
          <w:rFonts w:ascii="Times New Roman" w:hAnsi="Times New Roman"/>
          <w:i/>
          <w:sz w:val="24"/>
        </w:rPr>
        <w:t>Specifiskas atbilstības novērtēšanas darbības, kurām tiek prasīta vai piešķirta akreditācija.</w:t>
      </w:r>
    </w:p>
    <w:p w14:paraId="2C9F5550" w14:textId="77777777" w:rsidR="00AE09E8" w:rsidRPr="00F57F84" w:rsidRDefault="00AE09E8" w:rsidP="00AE09E8">
      <w:pPr>
        <w:ind w:left="284"/>
        <w:contextualSpacing/>
        <w:jc w:val="both"/>
        <w:rPr>
          <w:rFonts w:ascii="Times New Roman" w:eastAsia="Times New Roman" w:hAnsi="Times New Roman" w:cs="Times New Roman"/>
          <w:i/>
          <w:noProof/>
          <w:sz w:val="24"/>
          <w:szCs w:val="24"/>
        </w:rPr>
      </w:pPr>
    </w:p>
    <w:p w14:paraId="7798961B" w14:textId="77777777" w:rsidR="00AE09E8" w:rsidRPr="00F806FB" w:rsidRDefault="00AE09E8" w:rsidP="00AE09E8">
      <w:pPr>
        <w:pStyle w:val="Heading1"/>
        <w:ind w:left="284"/>
        <w:rPr>
          <w:color w:val="auto"/>
        </w:rPr>
      </w:pPr>
      <w:bookmarkStart w:id="10" w:name="_Toc117087836"/>
      <w:r>
        <w:rPr>
          <w:color w:val="auto"/>
        </w:rPr>
        <w:t>1.2. Elastīga akreditācijas sfēra (ISO/IEC 17011 3.7. punkts)</w:t>
      </w:r>
      <w:bookmarkStart w:id="11" w:name="_bookmark5"/>
      <w:bookmarkEnd w:id="10"/>
      <w:bookmarkEnd w:id="11"/>
    </w:p>
    <w:p w14:paraId="33C384EB" w14:textId="77777777" w:rsidR="00AE09E8" w:rsidRPr="00F57F84" w:rsidRDefault="00AE09E8" w:rsidP="00AE09E8">
      <w:pPr>
        <w:ind w:left="284"/>
        <w:contextualSpacing/>
        <w:jc w:val="both"/>
        <w:rPr>
          <w:rFonts w:ascii="Times New Roman" w:eastAsia="Times New Roman" w:hAnsi="Times New Roman" w:cs="Times New Roman"/>
          <w:b/>
          <w:bCs/>
          <w:noProof/>
          <w:sz w:val="24"/>
          <w:szCs w:val="24"/>
        </w:rPr>
      </w:pPr>
    </w:p>
    <w:p w14:paraId="6ECEEFA1" w14:textId="77777777" w:rsidR="00AE09E8" w:rsidRPr="00F806FB" w:rsidRDefault="00AE09E8" w:rsidP="00AE09E8">
      <w:pPr>
        <w:ind w:left="284"/>
        <w:contextualSpacing/>
        <w:jc w:val="both"/>
        <w:rPr>
          <w:rFonts w:ascii="Times New Roman" w:hAnsi="Times New Roman" w:cs="Times New Roman"/>
          <w:i/>
          <w:noProof/>
          <w:sz w:val="24"/>
          <w:szCs w:val="24"/>
        </w:rPr>
      </w:pPr>
      <w:r>
        <w:rPr>
          <w:rFonts w:ascii="Times New Roman" w:hAnsi="Times New Roman"/>
          <w:i/>
          <w:sz w:val="24"/>
        </w:rPr>
        <w:t>Akreditācijas sfēra, kas izteikta, lai atbilstības novērtēšanas institūcijas varētu mainīt metodoloģiju un citus parametrus, kas ir atbilstības novērtēšanas iestādes kompetencē un ko apstiprinājusi akreditācijas iestāde.</w:t>
      </w:r>
    </w:p>
    <w:p w14:paraId="13CBDF8A" w14:textId="77777777" w:rsidR="00AE09E8" w:rsidRPr="00F57F84" w:rsidRDefault="00AE09E8" w:rsidP="00AE09E8">
      <w:pPr>
        <w:contextualSpacing/>
        <w:jc w:val="both"/>
        <w:rPr>
          <w:rFonts w:ascii="Times New Roman" w:eastAsia="Times New Roman" w:hAnsi="Times New Roman" w:cs="Times New Roman"/>
          <w:i/>
          <w:noProof/>
          <w:sz w:val="24"/>
          <w:szCs w:val="24"/>
        </w:rPr>
      </w:pPr>
    </w:p>
    <w:p w14:paraId="0F4B61EA" w14:textId="77777777" w:rsidR="00AE09E8" w:rsidRPr="00F806FB" w:rsidRDefault="00AE09E8" w:rsidP="00AE09E8">
      <w:pPr>
        <w:pStyle w:val="Heading1"/>
        <w:rPr>
          <w:color w:val="auto"/>
        </w:rPr>
      </w:pPr>
      <w:bookmarkStart w:id="12" w:name="_Toc117087837"/>
      <w:r>
        <w:rPr>
          <w:color w:val="auto"/>
        </w:rPr>
        <w:t>AKREDITĀCIJAS SFĒRA</w:t>
      </w:r>
      <w:bookmarkStart w:id="13" w:name="_bookmark6"/>
      <w:bookmarkEnd w:id="12"/>
      <w:bookmarkEnd w:id="13"/>
    </w:p>
    <w:p w14:paraId="59F80B00"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1BCAD34C" w14:textId="77777777" w:rsidR="00AE09E8" w:rsidRPr="00F806FB" w:rsidRDefault="00AE09E8" w:rsidP="00AE09E8">
      <w:pPr>
        <w:pStyle w:val="BodyText"/>
        <w:rPr>
          <w:color w:val="auto"/>
        </w:rPr>
      </w:pPr>
      <w:r>
        <w:rPr>
          <w:color w:val="auto"/>
        </w:rPr>
        <w:t>Saskaņā ar ISO/IEC 17011 7.8.1. apakšpunktu AI sniedz informāciju par akreditācijas sfēru akreditētajai ANI un publisko šo informāciju atbilstoši 8.2.2. apakšpunktam. Informācija, kas tiek noteikta par minimālu, ir minēta 7.8.3. apakšpunkta a)–h) daļā.</w:t>
      </w:r>
    </w:p>
    <w:p w14:paraId="4F18CB59"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053DECC7" w14:textId="77777777" w:rsidR="00AE09E8" w:rsidRPr="00F806FB" w:rsidRDefault="00AE09E8" w:rsidP="00AE09E8">
      <w:pPr>
        <w:pStyle w:val="BodyText"/>
        <w:rPr>
          <w:color w:val="auto"/>
        </w:rPr>
      </w:pPr>
      <w:r>
        <w:rPr>
          <w:color w:val="auto"/>
        </w:rPr>
        <w:t>Attiecībā uz dažādu veidu ANI, kas minētas 7.8.3. apakšpunkta c)–f) daļā, atsevišķā šā dokumenta pielikumā tiek sniegta papildu informācija.</w:t>
      </w:r>
    </w:p>
    <w:p w14:paraId="33B140CC"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320F95EC" w14:textId="77777777" w:rsidR="00AE09E8" w:rsidRPr="00F806FB" w:rsidRDefault="00AE09E8" w:rsidP="00AE09E8">
      <w:pPr>
        <w:contextualSpacing/>
        <w:jc w:val="both"/>
        <w:rPr>
          <w:rFonts w:ascii="Times New Roman" w:hAnsi="Times New Roman" w:cs="Times New Roman"/>
          <w:i/>
          <w:noProof/>
          <w:sz w:val="24"/>
          <w:szCs w:val="24"/>
        </w:rPr>
      </w:pPr>
      <w:r>
        <w:rPr>
          <w:rFonts w:ascii="Times New Roman" w:hAnsi="Times New Roman"/>
          <w:i/>
          <w:sz w:val="24"/>
        </w:rPr>
        <w:t xml:space="preserve">PIEZĪME. Pielikumi nav sniegti attiecībā uz ANI, kas minētas 7.8.3. apakšpunkta a), g) un h) daļā, jo tie skar atbilstības novērtēšanas darbības, uz kurām neattiecas </w:t>
      </w:r>
      <w:r>
        <w:rPr>
          <w:rFonts w:ascii="Times New Roman" w:hAnsi="Times New Roman"/>
          <w:i/>
          <w:iCs/>
          <w:sz w:val="24"/>
        </w:rPr>
        <w:t>ILAC</w:t>
      </w:r>
      <w:r>
        <w:rPr>
          <w:rFonts w:ascii="Times New Roman" w:hAnsi="Times New Roman"/>
          <w:i/>
          <w:sz w:val="24"/>
        </w:rPr>
        <w:t xml:space="preserve"> nolīgums. Uz norādījumiem par akreditācijas sfēras aprakstīšanu inspekcijas institūcijām (7.8.3. apakšpunkta b) daļa) attiecas ILAC-G28.</w:t>
      </w:r>
    </w:p>
    <w:p w14:paraId="1AF740F9" w14:textId="77777777" w:rsidR="00AE09E8" w:rsidRPr="00F57F84" w:rsidRDefault="00AE09E8" w:rsidP="00AE09E8">
      <w:pPr>
        <w:contextualSpacing/>
        <w:jc w:val="both"/>
        <w:rPr>
          <w:rFonts w:ascii="Times New Roman" w:eastAsia="Times New Roman" w:hAnsi="Times New Roman" w:cs="Times New Roman"/>
          <w:i/>
          <w:noProof/>
          <w:sz w:val="24"/>
          <w:szCs w:val="24"/>
        </w:rPr>
      </w:pPr>
    </w:p>
    <w:p w14:paraId="1A8459D0" w14:textId="77777777" w:rsidR="00AE09E8" w:rsidRPr="00F806FB" w:rsidRDefault="00AE09E8" w:rsidP="00AE09E8">
      <w:pPr>
        <w:pStyle w:val="BodyText"/>
        <w:rPr>
          <w:color w:val="auto"/>
        </w:rPr>
      </w:pPr>
      <w:r>
        <w:rPr>
          <w:color w:val="auto"/>
        </w:rPr>
        <w:t>Akreditācijas sfēras aprakstīšana un novērtēšana ir akreditācijas procesa pamatelements. AI uzdevums ir nodrošināt (līdz pietiekamai pārliecības pakāpei), ka ANI ir kompetence īstenot visus akreditācijas sfērā definētos pakalpojumus.</w:t>
      </w:r>
    </w:p>
    <w:p w14:paraId="627653BB"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70771E99" w14:textId="77777777" w:rsidR="00AE09E8" w:rsidRPr="00F806FB" w:rsidRDefault="00AE09E8" w:rsidP="00AE09E8">
      <w:pPr>
        <w:pStyle w:val="Heading1"/>
        <w:rPr>
          <w:color w:val="auto"/>
        </w:rPr>
      </w:pPr>
      <w:bookmarkStart w:id="14" w:name="_Toc117087838"/>
      <w:r>
        <w:rPr>
          <w:color w:val="auto"/>
        </w:rPr>
        <w:t>ELASTĪGA AKREDITĀCIJAS SFĒRA</w:t>
      </w:r>
      <w:bookmarkStart w:id="15" w:name="_bookmark7"/>
      <w:bookmarkEnd w:id="14"/>
      <w:bookmarkEnd w:id="15"/>
    </w:p>
    <w:p w14:paraId="24DDC27A"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6A7A9590" w14:textId="77777777" w:rsidR="00AE09E8" w:rsidRPr="00F806FB" w:rsidRDefault="00AE09E8" w:rsidP="00AE09E8">
      <w:pPr>
        <w:pStyle w:val="BodyText"/>
        <w:rPr>
          <w:color w:val="auto"/>
        </w:rPr>
      </w:pPr>
      <w:r>
        <w:rPr>
          <w:color w:val="auto"/>
        </w:rPr>
        <w:t>Elastīgas akreditācijas sfēras galvenā iezīme ir veids, kādā tiek aprakstīti sagrupētie objekti. Objektu grupējumā tiek atzītas kopējās kompetences, kas nepieciešamas, lai veiktu atbilstības novērtēšanas darbības saistībā ar šiem objektiem.</w:t>
      </w:r>
    </w:p>
    <w:p w14:paraId="7BC8ADF2"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5CC607AF" w14:textId="77777777" w:rsidR="00AE09E8" w:rsidRPr="00F806FB" w:rsidRDefault="00AE09E8" w:rsidP="00AE09E8">
      <w:pPr>
        <w:pStyle w:val="BodyText"/>
        <w:rPr>
          <w:color w:val="auto"/>
        </w:rPr>
      </w:pPr>
      <w:r>
        <w:rPr>
          <w:color w:val="auto"/>
        </w:rPr>
        <w:t>AI nav pienākuma piedāvāt elastīgu akreditācijas sfēru, un šajā dokumentā sniegtie norādījumi ir piemērojami tikai tādā mērā, kādā AI izvēlas atļaut ANI sniegt šo pakalpojumu.</w:t>
      </w:r>
    </w:p>
    <w:p w14:paraId="3421BEA2"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0D9B2293" w14:textId="77777777" w:rsidR="00AE09E8" w:rsidRPr="00F806FB" w:rsidRDefault="00AE09E8" w:rsidP="00AE09E8">
      <w:pPr>
        <w:pStyle w:val="BodyText"/>
        <w:rPr>
          <w:color w:val="auto"/>
        </w:rPr>
      </w:pPr>
      <w:r>
        <w:rPr>
          <w:color w:val="auto"/>
        </w:rPr>
        <w:t>Akreditācijas sfērā iekļautā detalizācijas pakāpe būs atkarīga no AI piedāvātās elastīguma pakāpes. Ja AI ir piešķīrusi elastīgu akreditācijas sfēru, tam ir jābūt skaidri norādītam informācijā, kas ir publiski pieejama, kā tas ir noteikts ISO/IEC 17011 8.2.2. apakšpunktā un AI procedūrā(-ās) par to, kā tā pārvalda elastīgu akreditācijas sfēru.</w:t>
      </w:r>
    </w:p>
    <w:p w14:paraId="138A0D17"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3224DADC" w14:textId="77777777" w:rsidR="00AE09E8" w:rsidRPr="00855065" w:rsidRDefault="00AE09E8" w:rsidP="00AE09E8">
      <w:pPr>
        <w:pStyle w:val="BodyText"/>
        <w:rPr>
          <w:color w:val="auto"/>
        </w:rPr>
      </w:pPr>
      <w:r>
        <w:rPr>
          <w:color w:val="auto"/>
        </w:rPr>
        <w:t>Elastīgas akreditācijas sfēras priekšrocība ir tā, ka ANI ir atzīta spēja mainīt metodiku vai citus parametrus, validēt vai verificēt izmaiņas un piemērot tās, nepieprasot AI paplašināt akreditācijas sfēru. Tomēr šādas izmaiņas metodikā vai citos sfēras parametros neattieksies uz jaunām kompetencēm, kuras AI iepriekš nav novērtējusi un uz kurām līdz ar to neattiecas akreditācijas sfēra. Sagaidāms, ka AI definē, kas tiek uzskatīts par jaunu kompetenci.</w:t>
      </w:r>
    </w:p>
    <w:p w14:paraId="4AED09E8" w14:textId="77777777" w:rsidR="00AE09E8" w:rsidRPr="00F57F84" w:rsidRDefault="00AE09E8" w:rsidP="00AE09E8">
      <w:pPr>
        <w:contextualSpacing/>
        <w:jc w:val="both"/>
        <w:rPr>
          <w:rFonts w:ascii="Times New Roman" w:hAnsi="Times New Roman" w:cs="Times New Roman"/>
          <w:noProof/>
          <w:sz w:val="24"/>
          <w:szCs w:val="24"/>
        </w:rPr>
      </w:pPr>
    </w:p>
    <w:p w14:paraId="02A1D6E9" w14:textId="77777777" w:rsidR="00AE09E8" w:rsidRPr="009E1524" w:rsidRDefault="00AE09E8" w:rsidP="00D74C45">
      <w:pPr>
        <w:pStyle w:val="BodyText"/>
        <w:keepNext/>
        <w:keepLines/>
        <w:rPr>
          <w:color w:val="auto"/>
        </w:rPr>
      </w:pPr>
      <w:r>
        <w:rPr>
          <w:color w:val="auto"/>
        </w:rPr>
        <w:t>ISO/IEC 17011 7.8.4. punktā noteikts: ja AI izmanto elastīgu akreditācijas sfēru, tai ir jābūt dokumentētām procedūrām par to, kā tā risina un pārvalda elastīgas sfēras. Procedūrā(-ās) jāiekļauj ziņas par to, kā AI attiecas pret 7.8.3. apakšpunkta a)–h) daļu, tostarp precizējot, kā a)–h) daļā prasītā informācija tiks uzturēta un darīta pieejama pēc pieprasījuma.</w:t>
      </w:r>
      <w:bookmarkStart w:id="16" w:name="_bookmark8"/>
      <w:bookmarkEnd w:id="16"/>
    </w:p>
    <w:p w14:paraId="15BE6304"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43E9570A" w14:textId="77777777" w:rsidR="00AE09E8" w:rsidRPr="00EB7226" w:rsidRDefault="00AE09E8" w:rsidP="00AE09E8">
      <w:pPr>
        <w:pStyle w:val="BodyText"/>
        <w:rPr>
          <w:color w:val="auto"/>
        </w:rPr>
      </w:pPr>
      <w:r>
        <w:rPr>
          <w:color w:val="auto"/>
        </w:rPr>
        <w:t>AI procedūra(-as) elastīgas akreditācijas sfēras pārvaldībai var būt balstīta(-as) uz elastīguma pakāpi(-ēm), kas saistīta(-as) ar ISO/IEC 17011 7.8.3. apakšpunktā noteiktajiem sfēras parametriem. Piešķirtā elastīguma pakāpe var atšķirties starp tehniskajām disciplīnām un atbilstības novērtēšanas darbībām, un AI šī pieeja ir jākontrolē, ņemot vērā ar attiecīgo darbību saistīto risku līmeni.</w:t>
      </w:r>
    </w:p>
    <w:p w14:paraId="69BCE928"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0F498B29" w14:textId="77777777" w:rsidR="00AE09E8" w:rsidRPr="00AE09E8" w:rsidRDefault="00AE09E8" w:rsidP="00AE09E8">
      <w:pPr>
        <w:pStyle w:val="BodyText"/>
        <w:rPr>
          <w:color w:val="auto"/>
        </w:rPr>
      </w:pPr>
      <w:r>
        <w:rPr>
          <w:color w:val="auto"/>
        </w:rPr>
        <w:t>Piešķirot elastīgu akreditācijas sfēru, jāņem vērā turpmāk norādītais:</w:t>
      </w:r>
    </w:p>
    <w:p w14:paraId="136C5F64"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3F943B59" w14:textId="77777777" w:rsidR="00AE09E8" w:rsidRPr="00AE09E8" w:rsidRDefault="00AE09E8" w:rsidP="00AE09E8">
      <w:pPr>
        <w:pStyle w:val="BodyText"/>
        <w:ind w:left="284"/>
        <w:rPr>
          <w:color w:val="auto"/>
        </w:rPr>
      </w:pPr>
      <w:r>
        <w:rPr>
          <w:color w:val="auto"/>
        </w:rPr>
        <w:t>a) informācijas saglabāšana par specifiskām atbilstības novērtēšanas darbībām, ko ANI veic atbilstoši tās elastīgajai sfērai.</w:t>
      </w:r>
    </w:p>
    <w:p w14:paraId="34B58BC4" w14:textId="77777777" w:rsidR="00AE09E8" w:rsidRPr="00F57F84" w:rsidRDefault="00AE09E8" w:rsidP="00AE09E8">
      <w:pPr>
        <w:ind w:left="284"/>
        <w:contextualSpacing/>
        <w:jc w:val="both"/>
        <w:rPr>
          <w:rFonts w:ascii="Times New Roman" w:eastAsia="Times New Roman" w:hAnsi="Times New Roman" w:cs="Times New Roman"/>
          <w:noProof/>
          <w:sz w:val="24"/>
          <w:szCs w:val="24"/>
        </w:rPr>
      </w:pPr>
    </w:p>
    <w:p w14:paraId="33BFAE27" w14:textId="77777777" w:rsidR="00AE09E8" w:rsidRPr="00AE09E8" w:rsidRDefault="00AE09E8" w:rsidP="00AE09E8">
      <w:pPr>
        <w:pStyle w:val="BodyText"/>
        <w:ind w:left="284"/>
        <w:rPr>
          <w:color w:val="auto"/>
        </w:rPr>
      </w:pPr>
      <w:r>
        <w:rPr>
          <w:color w:val="auto"/>
        </w:rPr>
        <w:t>Informācija ir regulāri jāatjaunina, lai nodrošinātu, ka atbilstības novērtēšanas darbības, uz kurām attiecas elastīgā sfēra, ir pārredzamas.</w:t>
      </w:r>
    </w:p>
    <w:p w14:paraId="5B88E0BD" w14:textId="77777777" w:rsidR="00AE09E8" w:rsidRPr="00F57F84" w:rsidRDefault="00AE09E8" w:rsidP="00AE09E8">
      <w:pPr>
        <w:ind w:left="284"/>
        <w:contextualSpacing/>
        <w:jc w:val="both"/>
        <w:rPr>
          <w:rFonts w:ascii="Times New Roman" w:eastAsia="Times New Roman" w:hAnsi="Times New Roman" w:cs="Times New Roman"/>
          <w:noProof/>
          <w:sz w:val="24"/>
          <w:szCs w:val="24"/>
        </w:rPr>
      </w:pPr>
    </w:p>
    <w:p w14:paraId="2D2292F2" w14:textId="77777777" w:rsidR="00AE09E8" w:rsidRPr="00AE09E8" w:rsidRDefault="00AE09E8" w:rsidP="00AE09E8">
      <w:pPr>
        <w:pStyle w:val="BodyText"/>
        <w:ind w:left="284"/>
        <w:rPr>
          <w:color w:val="auto"/>
        </w:rPr>
      </w:pPr>
      <w:r>
        <w:rPr>
          <w:color w:val="auto"/>
        </w:rPr>
        <w:t>Procesu, kādā šī informācija tiek atjaunināta un darīta pieejama ieinteresētajām pusēm, nosaka AI (piemēram, ANI var būt atbildīga par atjaunināta saraksta uzturēšanu vai arī AI uztur sarakstu, kas tiek atjaunināts, saņemot ANI paziņojumu);</w:t>
      </w:r>
    </w:p>
    <w:p w14:paraId="226C110D" w14:textId="77777777" w:rsidR="00AE09E8" w:rsidRPr="00F57F84" w:rsidRDefault="00AE09E8" w:rsidP="00AE09E8">
      <w:pPr>
        <w:ind w:left="284"/>
        <w:contextualSpacing/>
        <w:jc w:val="both"/>
        <w:rPr>
          <w:rFonts w:ascii="Times New Roman" w:eastAsia="Times New Roman" w:hAnsi="Times New Roman" w:cs="Times New Roman"/>
          <w:noProof/>
          <w:sz w:val="24"/>
          <w:szCs w:val="24"/>
        </w:rPr>
      </w:pPr>
    </w:p>
    <w:p w14:paraId="26D6EFF9" w14:textId="77777777" w:rsidR="00AE09E8" w:rsidRPr="00AE09E8" w:rsidRDefault="00AE09E8" w:rsidP="00AE09E8">
      <w:pPr>
        <w:pStyle w:val="BodyText"/>
        <w:ind w:left="284"/>
        <w:rPr>
          <w:color w:val="auto"/>
        </w:rPr>
      </w:pPr>
      <w:r>
        <w:rPr>
          <w:color w:val="auto"/>
        </w:rPr>
        <w:t>b) noteiktie pienākumi attiecībā uz elastīgās sfēras pārvaldību;</w:t>
      </w:r>
    </w:p>
    <w:p w14:paraId="1EC0EB8A" w14:textId="77777777" w:rsidR="00AE09E8" w:rsidRPr="00F57F84" w:rsidRDefault="00AE09E8" w:rsidP="00AE09E8">
      <w:pPr>
        <w:ind w:left="284"/>
        <w:contextualSpacing/>
        <w:jc w:val="both"/>
        <w:rPr>
          <w:rFonts w:ascii="Times New Roman" w:eastAsia="Times New Roman" w:hAnsi="Times New Roman" w:cs="Times New Roman"/>
          <w:noProof/>
          <w:sz w:val="24"/>
          <w:szCs w:val="24"/>
        </w:rPr>
      </w:pPr>
    </w:p>
    <w:p w14:paraId="6A18DCEE" w14:textId="77777777" w:rsidR="00AE09E8" w:rsidRPr="00AE09E8" w:rsidRDefault="00AE09E8" w:rsidP="00AE09E8">
      <w:pPr>
        <w:pStyle w:val="BodyText"/>
        <w:ind w:left="284"/>
        <w:rPr>
          <w:color w:val="auto"/>
        </w:rPr>
      </w:pPr>
      <w:r>
        <w:rPr>
          <w:color w:val="auto"/>
        </w:rPr>
        <w:t>c) ANI kompetence īstenot un pārvaldīt izmaiņas, tostarp, bet ne tikai, attiecībā uz turpmāk norādīto:</w:t>
      </w:r>
    </w:p>
    <w:p w14:paraId="56E08175"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7DD34E07" w14:textId="77777777" w:rsidR="00AE09E8" w:rsidRPr="00AE09E8" w:rsidRDefault="00AE09E8" w:rsidP="00AE09E8">
      <w:pPr>
        <w:pStyle w:val="BodyText"/>
        <w:ind w:left="567"/>
        <w:rPr>
          <w:color w:val="auto"/>
        </w:rPr>
      </w:pPr>
      <w:r>
        <w:rPr>
          <w:color w:val="auto"/>
        </w:rPr>
        <w:t>i) piekļuvi visiem nepieciešamajiem resursiem (piemēram, personālam un pilnvarojumiem, iekārtām, tehniskajiem līdzekļiem);</w:t>
      </w:r>
    </w:p>
    <w:p w14:paraId="2E654B4B" w14:textId="77777777" w:rsidR="00AE09E8" w:rsidRPr="00AE09E8" w:rsidRDefault="00AE09E8" w:rsidP="00AE09E8">
      <w:pPr>
        <w:pStyle w:val="BodyText"/>
        <w:ind w:left="567"/>
        <w:rPr>
          <w:color w:val="auto"/>
        </w:rPr>
      </w:pPr>
      <w:r>
        <w:rPr>
          <w:color w:val="auto"/>
        </w:rPr>
        <w:t>ii) tādu pieprasījumu izskatīšanu un apstrādi, kas attiecas uz iepriekš neveiktām, bet elastīgajā sfērā ietilpstošām darbībām;</w:t>
      </w:r>
    </w:p>
    <w:p w14:paraId="7F0653AF" w14:textId="77777777" w:rsidR="00AE09E8" w:rsidRPr="00AE09E8" w:rsidRDefault="00AE09E8" w:rsidP="00AE09E8">
      <w:pPr>
        <w:pStyle w:val="BodyText"/>
        <w:ind w:left="567"/>
        <w:rPr>
          <w:color w:val="auto"/>
        </w:rPr>
      </w:pPr>
      <w:r>
        <w:rPr>
          <w:color w:val="auto"/>
        </w:rPr>
        <w:t>iii) validācijas un/vai verifikācijas procedūru robustumu.</w:t>
      </w:r>
    </w:p>
    <w:p w14:paraId="30C55FCE"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1EF925CC" w14:textId="77777777" w:rsidR="00AE09E8" w:rsidRPr="00AE09E8" w:rsidRDefault="00AE09E8" w:rsidP="00AE09E8">
      <w:pPr>
        <w:pStyle w:val="BodyText"/>
        <w:rPr>
          <w:color w:val="auto"/>
        </w:rPr>
      </w:pPr>
      <w:r>
        <w:rPr>
          <w:color w:val="auto"/>
        </w:rPr>
        <w:t>Detalizētāka informācija par elastīgas akreditācijas sfēras piemērošanu un ierobežojumiem dažādu veidu ANI, kas noteiktas ISO/IEC 17011 7.8.3. apakšpunkta c)–f) daļā, ir izklāstīta šā dokumenta pielikumos.</w:t>
      </w:r>
    </w:p>
    <w:p w14:paraId="572BD348" w14:textId="77777777" w:rsidR="00AE09E8" w:rsidRPr="00AE09E8" w:rsidRDefault="00AE09E8" w:rsidP="00AE09E8">
      <w:pPr>
        <w:rPr>
          <w:rFonts w:ascii="Times New Roman" w:hAnsi="Times New Roman" w:cs="Times New Roman"/>
          <w:noProof/>
          <w:sz w:val="24"/>
          <w:szCs w:val="24"/>
        </w:rPr>
      </w:pPr>
      <w:r>
        <w:br w:type="page"/>
      </w:r>
    </w:p>
    <w:p w14:paraId="475558A2"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303612C6" w14:textId="77777777" w:rsidR="00AE09E8" w:rsidRPr="00AE09E8" w:rsidRDefault="00AE09E8" w:rsidP="00AE09E8">
      <w:pPr>
        <w:pStyle w:val="Heading1"/>
        <w:rPr>
          <w:color w:val="auto"/>
        </w:rPr>
      </w:pPr>
      <w:bookmarkStart w:id="17" w:name="_Toc117087839"/>
      <w:r>
        <w:rPr>
          <w:color w:val="auto"/>
        </w:rPr>
        <w:t>ATSAUCES</w:t>
      </w:r>
      <w:bookmarkEnd w:id="17"/>
    </w:p>
    <w:p w14:paraId="257AFA31"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79DCEF7B" w14:textId="77777777" w:rsidR="00AE09E8" w:rsidRPr="00AE09E8" w:rsidRDefault="00AE09E8" w:rsidP="00AE09E8">
      <w:pPr>
        <w:contextualSpacing/>
        <w:jc w:val="both"/>
        <w:rPr>
          <w:rFonts w:ascii="Times New Roman" w:eastAsia="Times New Roman" w:hAnsi="Times New Roman" w:cs="Times New Roman"/>
          <w:noProof/>
          <w:sz w:val="24"/>
          <w:szCs w:val="24"/>
        </w:rPr>
      </w:pPr>
      <w:r>
        <w:rPr>
          <w:rFonts w:ascii="Times New Roman" w:hAnsi="Times New Roman"/>
          <w:sz w:val="24"/>
        </w:rPr>
        <w:t xml:space="preserve">[1] ISO/IEC 17011:2017 </w:t>
      </w:r>
      <w:r>
        <w:rPr>
          <w:rFonts w:ascii="Times New Roman" w:hAnsi="Times New Roman"/>
          <w:i/>
          <w:sz w:val="24"/>
        </w:rPr>
        <w:t>Conformity assessment - Requirements for accreditation bodies accrediting conformity assessment bodies</w:t>
      </w:r>
    </w:p>
    <w:p w14:paraId="2BDC3F0A" w14:textId="77777777" w:rsidR="00AE09E8" w:rsidRPr="00AE09E8" w:rsidRDefault="00AE09E8" w:rsidP="00AE09E8">
      <w:pPr>
        <w:tabs>
          <w:tab w:val="left" w:pos="877"/>
        </w:tabs>
        <w:contextualSpacing/>
        <w:jc w:val="both"/>
        <w:rPr>
          <w:rFonts w:ascii="Times New Roman" w:hAnsi="Times New Roman" w:cs="Times New Roman"/>
          <w:i/>
          <w:noProof/>
          <w:sz w:val="24"/>
          <w:szCs w:val="24"/>
        </w:rPr>
      </w:pPr>
      <w:r>
        <w:rPr>
          <w:rFonts w:ascii="Times New Roman" w:hAnsi="Times New Roman"/>
          <w:sz w:val="24"/>
        </w:rPr>
        <w:t xml:space="preserve">[2] ILAC G-28:07/2018 </w:t>
      </w:r>
      <w:r>
        <w:rPr>
          <w:rFonts w:ascii="Times New Roman" w:hAnsi="Times New Roman"/>
          <w:i/>
          <w:sz w:val="24"/>
        </w:rPr>
        <w:t>Guideline for the formulation of scopes of accreditation for inspection bodies</w:t>
      </w:r>
    </w:p>
    <w:p w14:paraId="3B6B3820" w14:textId="77777777" w:rsidR="00AE09E8" w:rsidRPr="00AE09E8" w:rsidRDefault="00AE09E8" w:rsidP="00AE09E8">
      <w:pPr>
        <w:contextualSpacing/>
        <w:jc w:val="both"/>
        <w:rPr>
          <w:rFonts w:ascii="Times New Roman" w:eastAsia="Times New Roman" w:hAnsi="Times New Roman" w:cs="Times New Roman"/>
          <w:noProof/>
          <w:sz w:val="24"/>
          <w:szCs w:val="24"/>
        </w:rPr>
      </w:pPr>
      <w:r>
        <w:rPr>
          <w:rFonts w:ascii="Times New Roman" w:hAnsi="Times New Roman"/>
          <w:sz w:val="24"/>
        </w:rPr>
        <w:t xml:space="preserve">[3] ISO/IEC 17025:2017 </w:t>
      </w:r>
      <w:r>
        <w:rPr>
          <w:rFonts w:ascii="Times New Roman" w:hAnsi="Times New Roman"/>
          <w:i/>
          <w:sz w:val="24"/>
        </w:rPr>
        <w:t>General requirement for the competence of testing and calibration laboratories</w:t>
      </w:r>
    </w:p>
    <w:p w14:paraId="1B550722" w14:textId="77777777" w:rsidR="00AE09E8" w:rsidRPr="00AE09E8" w:rsidRDefault="00AE09E8" w:rsidP="00AE09E8">
      <w:pPr>
        <w:contextualSpacing/>
        <w:jc w:val="both"/>
        <w:rPr>
          <w:rFonts w:ascii="Times New Roman" w:hAnsi="Times New Roman" w:cs="Times New Roman"/>
          <w:i/>
          <w:noProof/>
          <w:sz w:val="24"/>
          <w:szCs w:val="24"/>
        </w:rPr>
      </w:pPr>
      <w:r>
        <w:rPr>
          <w:rFonts w:ascii="Times New Roman" w:hAnsi="Times New Roman"/>
          <w:sz w:val="24"/>
        </w:rPr>
        <w:t xml:space="preserve">[4] JCGM 200:2012 </w:t>
      </w:r>
      <w:r>
        <w:rPr>
          <w:rFonts w:ascii="Times New Roman" w:hAnsi="Times New Roman"/>
          <w:i/>
          <w:sz w:val="24"/>
        </w:rPr>
        <w:t>International vocabulary of metrology - Basic and general concepts and associated terms (VIM) (ISO/IEC Guide 99:2007)</w:t>
      </w:r>
    </w:p>
    <w:p w14:paraId="27FF5F39" w14:textId="77777777" w:rsidR="00AE09E8" w:rsidRPr="00AE09E8" w:rsidRDefault="00AE09E8" w:rsidP="00AE09E8">
      <w:pPr>
        <w:contextualSpacing/>
        <w:jc w:val="both"/>
        <w:rPr>
          <w:rFonts w:ascii="Times New Roman" w:eastAsia="Times New Roman" w:hAnsi="Times New Roman" w:cs="Times New Roman"/>
          <w:noProof/>
          <w:sz w:val="24"/>
          <w:szCs w:val="24"/>
        </w:rPr>
      </w:pPr>
      <w:r>
        <w:rPr>
          <w:rFonts w:ascii="Times New Roman" w:hAnsi="Times New Roman"/>
          <w:sz w:val="24"/>
        </w:rPr>
        <w:t xml:space="preserve">[5] ILAC P-14:09/2020 </w:t>
      </w:r>
      <w:r>
        <w:rPr>
          <w:rFonts w:ascii="Times New Roman" w:hAnsi="Times New Roman"/>
          <w:i/>
          <w:sz w:val="24"/>
        </w:rPr>
        <w:t>ILAC policy for measurement uncertainty in calibration</w:t>
      </w:r>
    </w:p>
    <w:p w14:paraId="0AF4C635" w14:textId="77777777" w:rsidR="00AE09E8" w:rsidRPr="00AE09E8" w:rsidRDefault="00AE09E8" w:rsidP="00AE09E8">
      <w:pPr>
        <w:contextualSpacing/>
        <w:jc w:val="both"/>
        <w:rPr>
          <w:rFonts w:ascii="Times New Roman" w:eastAsia="Times New Roman" w:hAnsi="Times New Roman" w:cs="Times New Roman"/>
          <w:noProof/>
          <w:sz w:val="24"/>
          <w:szCs w:val="24"/>
        </w:rPr>
      </w:pPr>
      <w:r>
        <w:rPr>
          <w:rFonts w:ascii="Times New Roman" w:hAnsi="Times New Roman"/>
          <w:sz w:val="24"/>
        </w:rPr>
        <w:t xml:space="preserve">[6] ISO 15189:2012 </w:t>
      </w:r>
      <w:r>
        <w:rPr>
          <w:rFonts w:ascii="Times New Roman" w:hAnsi="Times New Roman"/>
          <w:i/>
          <w:sz w:val="24"/>
        </w:rPr>
        <w:t>Medical laboratories - Requirements for quality and competence</w:t>
      </w:r>
    </w:p>
    <w:p w14:paraId="6B649114" w14:textId="77777777" w:rsidR="00AE09E8" w:rsidRPr="00AE09E8" w:rsidRDefault="00AE09E8" w:rsidP="00AE09E8">
      <w:pPr>
        <w:contextualSpacing/>
        <w:jc w:val="both"/>
        <w:rPr>
          <w:rFonts w:ascii="Times New Roman" w:eastAsia="Times New Roman" w:hAnsi="Times New Roman" w:cs="Times New Roman"/>
          <w:noProof/>
          <w:sz w:val="24"/>
          <w:szCs w:val="24"/>
        </w:rPr>
      </w:pPr>
      <w:r>
        <w:rPr>
          <w:rFonts w:ascii="Times New Roman" w:hAnsi="Times New Roman"/>
          <w:sz w:val="24"/>
        </w:rPr>
        <w:t xml:space="preserve">[7] ISO 22870:2016 </w:t>
      </w:r>
      <w:r>
        <w:rPr>
          <w:rFonts w:ascii="Times New Roman" w:hAnsi="Times New Roman"/>
          <w:i/>
          <w:sz w:val="24"/>
        </w:rPr>
        <w:t>Point-of-care testing (POCT) - Requirements for quality and competence</w:t>
      </w:r>
      <w:r>
        <w:rPr>
          <w:rFonts w:ascii="Times New Roman" w:hAnsi="Times New Roman"/>
          <w:sz w:val="24"/>
        </w:rPr>
        <w:br/>
        <w:t xml:space="preserve">[8] ISO 17034:2016 </w:t>
      </w:r>
      <w:r>
        <w:rPr>
          <w:rFonts w:ascii="Times New Roman" w:hAnsi="Times New Roman"/>
          <w:i/>
          <w:sz w:val="24"/>
        </w:rPr>
        <w:t>General requirements for the competence of reference material producers</w:t>
      </w:r>
      <w:r>
        <w:rPr>
          <w:rFonts w:ascii="Times New Roman" w:hAnsi="Times New Roman"/>
          <w:sz w:val="24"/>
        </w:rPr>
        <w:br/>
        <w:t xml:space="preserve">[9] ISO/IEC 17043:2010 </w:t>
      </w:r>
      <w:r>
        <w:rPr>
          <w:rFonts w:ascii="Times New Roman" w:hAnsi="Times New Roman"/>
          <w:i/>
          <w:sz w:val="24"/>
        </w:rPr>
        <w:t>Conformity assessment - General requirements for proficiency testing</w:t>
      </w:r>
    </w:p>
    <w:p w14:paraId="0C1EA474" w14:textId="77777777" w:rsidR="00AE09E8" w:rsidRPr="00AE09E8" w:rsidRDefault="00AE09E8" w:rsidP="00AE09E8">
      <w:pPr>
        <w:contextualSpacing/>
        <w:jc w:val="both"/>
        <w:rPr>
          <w:rFonts w:ascii="Times New Roman" w:eastAsia="Times New Roman" w:hAnsi="Times New Roman" w:cs="Times New Roman"/>
          <w:noProof/>
          <w:sz w:val="24"/>
          <w:szCs w:val="24"/>
        </w:rPr>
      </w:pPr>
    </w:p>
    <w:p w14:paraId="0E97B71B" w14:textId="77777777" w:rsidR="00AE09E8" w:rsidRPr="00AE09E8" w:rsidRDefault="00AE09E8" w:rsidP="00AE09E8">
      <w:pPr>
        <w:rPr>
          <w:rFonts w:ascii="Times New Roman" w:eastAsia="Times New Roman" w:hAnsi="Times New Roman" w:cs="Times New Roman"/>
          <w:i/>
          <w:noProof/>
          <w:sz w:val="24"/>
          <w:szCs w:val="24"/>
        </w:rPr>
      </w:pPr>
      <w:r>
        <w:br w:type="page"/>
      </w:r>
    </w:p>
    <w:p w14:paraId="6D584CCA" w14:textId="77777777" w:rsidR="00AE09E8" w:rsidRPr="00AE09E8" w:rsidRDefault="00AE09E8" w:rsidP="00AE09E8">
      <w:pPr>
        <w:contextualSpacing/>
        <w:jc w:val="both"/>
        <w:rPr>
          <w:rFonts w:ascii="Times New Roman" w:eastAsia="Times New Roman" w:hAnsi="Times New Roman" w:cs="Times New Roman"/>
          <w:i/>
          <w:noProof/>
          <w:sz w:val="24"/>
          <w:szCs w:val="24"/>
        </w:rPr>
      </w:pPr>
    </w:p>
    <w:p w14:paraId="6F86D43F" w14:textId="77777777" w:rsidR="00AE09E8" w:rsidRPr="00AE09E8" w:rsidRDefault="00AE09E8" w:rsidP="00AE09E8">
      <w:pPr>
        <w:pStyle w:val="Heading1"/>
        <w:rPr>
          <w:color w:val="auto"/>
        </w:rPr>
      </w:pPr>
      <w:bookmarkStart w:id="18" w:name="_Toc117087840"/>
      <w:r>
        <w:rPr>
          <w:color w:val="auto"/>
        </w:rPr>
        <w:t>A PIELIKUMS</w:t>
      </w:r>
      <w:bookmarkStart w:id="19" w:name="_bookmark9"/>
      <w:bookmarkEnd w:id="18"/>
      <w:bookmarkEnd w:id="19"/>
    </w:p>
    <w:p w14:paraId="22896043"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0B3EA90F" w14:textId="77777777" w:rsidR="00AE09E8" w:rsidRPr="00AE09E8" w:rsidRDefault="00AE09E8" w:rsidP="00AE09E8">
      <w:pPr>
        <w:pStyle w:val="Heading1"/>
        <w:rPr>
          <w:color w:val="auto"/>
        </w:rPr>
      </w:pPr>
      <w:bookmarkStart w:id="20" w:name="_Toc117087841"/>
      <w:r>
        <w:rPr>
          <w:color w:val="auto"/>
        </w:rPr>
        <w:t>Akreditācijas sfēra attiecībā uz ISO/IEC 17025 – kalibrēšanas laboratorijas</w:t>
      </w:r>
      <w:bookmarkStart w:id="21" w:name="_bookmark10"/>
      <w:bookmarkEnd w:id="20"/>
      <w:bookmarkEnd w:id="21"/>
    </w:p>
    <w:p w14:paraId="7DE85932"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55B2CE92" w14:textId="77777777" w:rsidR="00AE09E8" w:rsidRPr="00AE09E8" w:rsidRDefault="00AE09E8" w:rsidP="00AE09E8">
      <w:pPr>
        <w:pStyle w:val="BodyText"/>
        <w:rPr>
          <w:color w:val="auto"/>
        </w:rPr>
      </w:pPr>
      <w:r>
        <w:rPr>
          <w:color w:val="auto"/>
        </w:rPr>
        <w:t>ISO/IEC 17011 7.8.3. apakšpunkta c) daļā noteikta prasība identificēt kalibrēšanas vai mērīšanas metodi vai procedūru. To var izdarīt, atsaucoties uz konkrētu procedūru vai vispārīgu aprakstu, kas attiecas uz loģisku mērīšanā izmantoto darbību organizāciju (piemēram, tieša mērīšana pret atsauci). (Skat. JCGM 200 2.5. punktu.)</w:t>
      </w:r>
    </w:p>
    <w:p w14:paraId="47AB972C"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1CD34E8D" w14:textId="77777777" w:rsidR="00AE09E8" w:rsidRPr="00AE09E8" w:rsidRDefault="00AE09E8" w:rsidP="00AE09E8">
      <w:pPr>
        <w:pStyle w:val="BodyText"/>
        <w:rPr>
          <w:color w:val="auto"/>
        </w:rPr>
      </w:pPr>
      <w:r>
        <w:rPr>
          <w:color w:val="auto"/>
        </w:rPr>
        <w:t xml:space="preserve">Mērījumu diapazonu un paplašināto mērījuma nenoteiktību var izteikt dažādi (skat. </w:t>
      </w:r>
      <w:r>
        <w:rPr>
          <w:i/>
          <w:iCs/>
          <w:color w:val="auto"/>
        </w:rPr>
        <w:t>ILAC</w:t>
      </w:r>
      <w:r>
        <w:rPr>
          <w:color w:val="auto"/>
        </w:rPr>
        <w:t xml:space="preserve"> P-14).</w:t>
      </w:r>
    </w:p>
    <w:p w14:paraId="71792959"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50342907" w14:textId="77777777" w:rsidR="00AE09E8" w:rsidRPr="00AE09E8" w:rsidRDefault="00AE09E8" w:rsidP="00AE09E8">
      <w:pPr>
        <w:pStyle w:val="BodyText"/>
        <w:ind w:left="284"/>
        <w:rPr>
          <w:b/>
          <w:bCs/>
          <w:color w:val="auto"/>
        </w:rPr>
      </w:pPr>
      <w:r>
        <w:rPr>
          <w:b/>
          <w:color w:val="auto"/>
        </w:rPr>
        <w:t>A1.1. Elastīgas sfēras kalibrēšanā</w:t>
      </w:r>
    </w:p>
    <w:p w14:paraId="7C16C862" w14:textId="77777777" w:rsidR="00AE09E8" w:rsidRPr="00F57F84" w:rsidRDefault="00AE09E8" w:rsidP="00AE09E8">
      <w:pPr>
        <w:ind w:left="284"/>
        <w:contextualSpacing/>
        <w:jc w:val="both"/>
        <w:rPr>
          <w:rFonts w:ascii="Times New Roman" w:eastAsia="Times New Roman" w:hAnsi="Times New Roman" w:cs="Times New Roman"/>
          <w:b/>
          <w:bCs/>
          <w:noProof/>
          <w:sz w:val="24"/>
          <w:szCs w:val="24"/>
        </w:rPr>
      </w:pPr>
    </w:p>
    <w:p w14:paraId="11124573" w14:textId="77777777" w:rsidR="00AE09E8" w:rsidRPr="00AE09E8" w:rsidRDefault="00AE09E8" w:rsidP="00AE09E8">
      <w:pPr>
        <w:pStyle w:val="BodyText"/>
        <w:ind w:left="284"/>
        <w:rPr>
          <w:color w:val="auto"/>
        </w:rPr>
      </w:pPr>
      <w:r>
        <w:rPr>
          <w:color w:val="auto"/>
        </w:rPr>
        <w:t>Kalibrēšanā elastīgu sfēru iespējas ir ierobežotākas nekā testēšanā. Turpmāk sniegtie piemēri nav aplūkojami vai tos nav jāaplūko, izmantojot elastīgas sfēras politiku.</w:t>
      </w:r>
    </w:p>
    <w:p w14:paraId="04FF0B59" w14:textId="77777777" w:rsidR="00AE09E8" w:rsidRPr="00F57F84" w:rsidRDefault="00AE09E8" w:rsidP="00AE09E8">
      <w:pPr>
        <w:ind w:left="284"/>
        <w:contextualSpacing/>
        <w:jc w:val="both"/>
        <w:rPr>
          <w:rFonts w:ascii="Times New Roman" w:eastAsia="Times New Roman" w:hAnsi="Times New Roman" w:cs="Times New Roman"/>
          <w:noProof/>
          <w:sz w:val="24"/>
          <w:szCs w:val="24"/>
        </w:rPr>
      </w:pPr>
    </w:p>
    <w:p w14:paraId="4762FC25" w14:textId="77777777" w:rsidR="00AE09E8" w:rsidRPr="00AE09E8" w:rsidRDefault="00AE09E8" w:rsidP="00AE09E8">
      <w:pPr>
        <w:numPr>
          <w:ilvl w:val="0"/>
          <w:numId w:val="1"/>
        </w:numPr>
        <w:tabs>
          <w:tab w:val="left" w:pos="851"/>
        </w:tabs>
        <w:ind w:left="284" w:firstLine="0"/>
        <w:contextualSpacing/>
        <w:jc w:val="both"/>
        <w:rPr>
          <w:rFonts w:ascii="Times New Roman" w:hAnsi="Times New Roman" w:cs="Times New Roman"/>
          <w:i/>
          <w:noProof/>
          <w:sz w:val="24"/>
          <w:szCs w:val="24"/>
        </w:rPr>
      </w:pPr>
      <w:r>
        <w:rPr>
          <w:rFonts w:ascii="Times New Roman" w:hAnsi="Times New Roman"/>
          <w:i/>
          <w:sz w:val="24"/>
        </w:rPr>
        <w:t>Elastīgums attiecībā uz metodes sniegumu</w:t>
      </w:r>
    </w:p>
    <w:p w14:paraId="3B6FF4BA" w14:textId="77777777" w:rsidR="00AE09E8" w:rsidRPr="00AE09E8" w:rsidRDefault="00AE09E8" w:rsidP="00AE09E8">
      <w:pPr>
        <w:pStyle w:val="BodyText"/>
        <w:tabs>
          <w:tab w:val="left" w:pos="851"/>
        </w:tabs>
        <w:ind w:left="284"/>
        <w:rPr>
          <w:color w:val="auto"/>
        </w:rPr>
      </w:pPr>
      <w:r>
        <w:rPr>
          <w:color w:val="auto"/>
        </w:rPr>
        <w:t>Tiek uzskatīts, ka izmaiņas metodikā un citos parametros, kas varētu ietekmēt kalibrēšanas un mērīšanas spēju (</w:t>
      </w:r>
      <w:r>
        <w:rPr>
          <w:i/>
          <w:iCs/>
          <w:color w:val="auto"/>
        </w:rPr>
        <w:t>CMC</w:t>
      </w:r>
      <w:r>
        <w:rPr>
          <w:color w:val="auto"/>
        </w:rPr>
        <w:t>) (piemēram, kalibrēšanas metode, mērījumu diapazons vai mērījuma nenoteiktība), neietilpst kalibrēšanas laboratorijas pašreizējā kompetencē, tāpēc tās nevar tikt atļautas elastīgā akreditācijas sfērā.</w:t>
      </w:r>
    </w:p>
    <w:p w14:paraId="510C62E1" w14:textId="77777777" w:rsidR="00AE09E8" w:rsidRPr="00F57F84" w:rsidRDefault="00AE09E8" w:rsidP="00AE09E8">
      <w:pPr>
        <w:tabs>
          <w:tab w:val="left" w:pos="851"/>
        </w:tabs>
        <w:ind w:left="284"/>
        <w:contextualSpacing/>
        <w:jc w:val="both"/>
        <w:rPr>
          <w:rFonts w:ascii="Times New Roman" w:eastAsia="Times New Roman" w:hAnsi="Times New Roman" w:cs="Times New Roman"/>
          <w:noProof/>
          <w:sz w:val="24"/>
          <w:szCs w:val="24"/>
        </w:rPr>
      </w:pPr>
    </w:p>
    <w:p w14:paraId="633A2D60" w14:textId="77777777" w:rsidR="00AE09E8" w:rsidRPr="00AE09E8" w:rsidRDefault="00AE09E8" w:rsidP="00AE09E8">
      <w:pPr>
        <w:numPr>
          <w:ilvl w:val="0"/>
          <w:numId w:val="1"/>
        </w:numPr>
        <w:tabs>
          <w:tab w:val="left" w:pos="851"/>
          <w:tab w:val="left" w:pos="1292"/>
        </w:tabs>
        <w:ind w:left="284" w:firstLine="0"/>
        <w:contextualSpacing/>
        <w:jc w:val="both"/>
        <w:rPr>
          <w:rFonts w:ascii="Times New Roman" w:hAnsi="Times New Roman" w:cs="Times New Roman"/>
          <w:i/>
          <w:noProof/>
          <w:sz w:val="24"/>
          <w:szCs w:val="24"/>
        </w:rPr>
      </w:pPr>
      <w:r>
        <w:rPr>
          <w:rFonts w:ascii="Times New Roman" w:hAnsi="Times New Roman"/>
          <w:i/>
          <w:sz w:val="24"/>
        </w:rPr>
        <w:t>Elastīgums attiecībā uz instrumentiem/materiālu</w:t>
      </w:r>
    </w:p>
    <w:p w14:paraId="49EB9B55" w14:textId="77777777" w:rsidR="00AE09E8" w:rsidRPr="00AE09E8" w:rsidRDefault="00AE09E8" w:rsidP="00AE09E8">
      <w:pPr>
        <w:pStyle w:val="BodyText"/>
        <w:tabs>
          <w:tab w:val="left" w:pos="851"/>
        </w:tabs>
        <w:ind w:left="284"/>
        <w:rPr>
          <w:color w:val="auto"/>
        </w:rPr>
      </w:pPr>
      <w:r>
        <w:rPr>
          <w:color w:val="auto"/>
        </w:rPr>
        <w:t>Elastīguma iespēja attiecībā uz kalibrējamā vai mērāmā instrumenta vai materiāla veidu var būt ierobežota vai paplašināta atkarībā no tā, cik izsmeļoši ierīce vai materiāls ir aprakstīts kalibrēšanas un mērīšanas spējā. Tehniskās jomās, kur ar noteikto kalibrēšanas metodi var kalibrēt dažādas ierīces, piemēram, elektriskajā kalibrēšanā, pietiks ar tādu vispārīgu aprakstu kā “līdzstrāvas avots” vai “līdzstrāvas mērierīce”.</w:t>
      </w:r>
    </w:p>
    <w:p w14:paraId="6EB2F573" w14:textId="77777777" w:rsidR="00AE09E8" w:rsidRPr="00F57F84" w:rsidRDefault="00AE09E8" w:rsidP="00AE09E8">
      <w:pPr>
        <w:tabs>
          <w:tab w:val="left" w:pos="851"/>
        </w:tabs>
        <w:ind w:left="284"/>
        <w:contextualSpacing/>
        <w:jc w:val="both"/>
        <w:rPr>
          <w:rFonts w:ascii="Times New Roman" w:eastAsia="Times New Roman" w:hAnsi="Times New Roman" w:cs="Times New Roman"/>
          <w:noProof/>
          <w:sz w:val="24"/>
          <w:szCs w:val="24"/>
        </w:rPr>
      </w:pPr>
    </w:p>
    <w:p w14:paraId="627F3A5B" w14:textId="77777777" w:rsidR="00AE09E8" w:rsidRPr="00AE09E8" w:rsidRDefault="00AE09E8" w:rsidP="00AE09E8">
      <w:pPr>
        <w:numPr>
          <w:ilvl w:val="0"/>
          <w:numId w:val="1"/>
        </w:numPr>
        <w:tabs>
          <w:tab w:val="left" w:pos="851"/>
          <w:tab w:val="left" w:pos="1292"/>
        </w:tabs>
        <w:ind w:left="284" w:firstLine="0"/>
        <w:contextualSpacing/>
        <w:jc w:val="both"/>
        <w:rPr>
          <w:rFonts w:ascii="Times New Roman" w:hAnsi="Times New Roman" w:cs="Times New Roman"/>
          <w:i/>
          <w:noProof/>
          <w:sz w:val="24"/>
          <w:szCs w:val="24"/>
        </w:rPr>
      </w:pPr>
      <w:r>
        <w:rPr>
          <w:rFonts w:ascii="Times New Roman" w:hAnsi="Times New Roman"/>
          <w:i/>
          <w:sz w:val="24"/>
        </w:rPr>
        <w:t>Elastīgums attiecībā uz metodi</w:t>
      </w:r>
    </w:p>
    <w:p w14:paraId="45EE9F62" w14:textId="77777777" w:rsidR="00AE09E8" w:rsidRPr="00AE09E8" w:rsidRDefault="00AE09E8" w:rsidP="00AE09E8">
      <w:pPr>
        <w:pStyle w:val="BodyText"/>
        <w:tabs>
          <w:tab w:val="left" w:pos="851"/>
        </w:tabs>
        <w:ind w:left="284"/>
        <w:rPr>
          <w:color w:val="auto"/>
        </w:rPr>
      </w:pPr>
      <w:r>
        <w:rPr>
          <w:color w:val="auto"/>
        </w:rPr>
        <w:t>Kalibrēšanā izplatīta ir iekšējo mērīšanas procedūru izmantošana, lai noteiktu kalibrēšanas metodes, kas iekļautas laboratorijas kalibrēšanas un mērīšanas spējās. Kamēr vien izmaiņas iekšējās mērīšanas procedūrās nav pretrunā ar tematiem, kas iepriekš aplūkoti sadaļā “Elastīgums attiecībā uz metodes veiktspēju”, šīs procedūras var tikt atjauninātas.</w:t>
      </w:r>
    </w:p>
    <w:p w14:paraId="6E6542C6" w14:textId="77777777" w:rsidR="00AE09E8" w:rsidRPr="00F57F84" w:rsidRDefault="00AE09E8" w:rsidP="00AE09E8">
      <w:pPr>
        <w:contextualSpacing/>
        <w:jc w:val="both"/>
        <w:rPr>
          <w:rFonts w:ascii="Times New Roman" w:hAnsi="Times New Roman" w:cs="Times New Roman"/>
          <w:noProof/>
          <w:sz w:val="24"/>
          <w:szCs w:val="24"/>
        </w:rPr>
      </w:pPr>
    </w:p>
    <w:p w14:paraId="3DBF8D68" w14:textId="77777777" w:rsidR="00AE09E8" w:rsidRPr="00AE09E8" w:rsidRDefault="00AE09E8" w:rsidP="00AE09E8">
      <w:pPr>
        <w:rPr>
          <w:rFonts w:ascii="Times New Roman" w:eastAsia="Times New Roman" w:hAnsi="Times New Roman" w:cs="Times New Roman"/>
          <w:noProof/>
          <w:sz w:val="24"/>
          <w:szCs w:val="24"/>
        </w:rPr>
      </w:pPr>
      <w:r>
        <w:br w:type="page"/>
      </w:r>
    </w:p>
    <w:p w14:paraId="78A0A2C6"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45917785" w14:textId="77777777" w:rsidR="00AE09E8" w:rsidRPr="00AE09E8" w:rsidRDefault="00AE09E8" w:rsidP="00AE09E8">
      <w:pPr>
        <w:pStyle w:val="Heading1"/>
        <w:rPr>
          <w:color w:val="auto"/>
        </w:rPr>
      </w:pPr>
      <w:bookmarkStart w:id="22" w:name="_Toc117087842"/>
      <w:r>
        <w:rPr>
          <w:color w:val="auto"/>
        </w:rPr>
        <w:t>B PIELIKUMS</w:t>
      </w:r>
      <w:bookmarkStart w:id="23" w:name="_bookmark13"/>
      <w:bookmarkStart w:id="24" w:name="_bookmark11"/>
      <w:bookmarkEnd w:id="22"/>
      <w:bookmarkEnd w:id="23"/>
      <w:bookmarkEnd w:id="24"/>
    </w:p>
    <w:p w14:paraId="78A3113D"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22D94EE4" w14:textId="77777777" w:rsidR="00AE09E8" w:rsidRPr="00AE09E8" w:rsidRDefault="00AE09E8" w:rsidP="00AE09E8">
      <w:pPr>
        <w:pStyle w:val="Heading1"/>
        <w:rPr>
          <w:color w:val="auto"/>
        </w:rPr>
      </w:pPr>
      <w:bookmarkStart w:id="25" w:name="_Toc117087843"/>
      <w:r>
        <w:rPr>
          <w:color w:val="auto"/>
        </w:rPr>
        <w:t>Akreditācijas sfēra attiecībā uz ISO/IEC 17025 – testēšanas laboratorijas</w:t>
      </w:r>
      <w:bookmarkStart w:id="26" w:name="_bookmark12"/>
      <w:bookmarkEnd w:id="25"/>
      <w:bookmarkEnd w:id="26"/>
    </w:p>
    <w:p w14:paraId="05B452E1"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71DC313D" w14:textId="77777777" w:rsidR="00AE09E8" w:rsidRPr="00AE09E8" w:rsidRDefault="00AE09E8" w:rsidP="00AE09E8">
      <w:pPr>
        <w:contextualSpacing/>
        <w:jc w:val="both"/>
        <w:rPr>
          <w:rFonts w:ascii="Times New Roman" w:hAnsi="Times New Roman" w:cs="Times New Roman"/>
          <w:i/>
          <w:noProof/>
          <w:sz w:val="24"/>
          <w:szCs w:val="24"/>
        </w:rPr>
      </w:pPr>
      <w:r>
        <w:rPr>
          <w:rFonts w:ascii="Times New Roman" w:hAnsi="Times New Roman"/>
          <w:i/>
          <w:sz w:val="24"/>
        </w:rPr>
        <w:t>Produktu testēšana un veida/modeļa apstiprināšana</w:t>
      </w:r>
    </w:p>
    <w:p w14:paraId="2759F782" w14:textId="77777777" w:rsidR="00AE09E8" w:rsidRPr="00AE09E8" w:rsidRDefault="00AE09E8" w:rsidP="00AE09E8">
      <w:pPr>
        <w:pStyle w:val="BodyText"/>
        <w:rPr>
          <w:color w:val="auto"/>
        </w:rPr>
      </w:pPr>
      <w:r>
        <w:rPr>
          <w:color w:val="auto"/>
        </w:rPr>
        <w:t>Produktu testēšanas un/vai veida/modeļa apstiprināšanas jomā produktu vai testu standartos var ietilpt lielāks bieži vien daudznozaru) testu skaits, un katrs tests atsevišķi parasti nemaz nav minēts. Piemēram, Starptautiskās reglamentētās metroloģijas organizācijas (</w:t>
      </w:r>
      <w:r>
        <w:rPr>
          <w:i/>
          <w:iCs/>
          <w:color w:val="auto"/>
        </w:rPr>
        <w:t>OIML</w:t>
      </w:r>
      <w:r>
        <w:rPr>
          <w:color w:val="auto"/>
        </w:rPr>
        <w:t>) ieteikumos var būt norādīts liels skaits dažādu testu (piemēram, fizikālie, mehāniskie un elektriskie vai elektromagnētiskās savietojamības testi) tiem pašiem mērinstrumentiem. Ja ANI nevar veikt visus noteiktos testus, tam jābūt skaidri minētam akreditācijas sfērā. Parasti var būt noteikti piemērojamie testi vai neizmantotie testi (t. i., akreditācijas sfērā iekļautie vai neiekļautie testi).</w:t>
      </w:r>
    </w:p>
    <w:p w14:paraId="417903ED"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5A9882CC" w14:textId="77777777" w:rsidR="00AE09E8" w:rsidRPr="00AE09E8" w:rsidRDefault="00AE09E8" w:rsidP="00AE09E8">
      <w:pPr>
        <w:contextualSpacing/>
        <w:jc w:val="both"/>
        <w:rPr>
          <w:rFonts w:ascii="Times New Roman" w:hAnsi="Times New Roman" w:cs="Times New Roman"/>
          <w:i/>
          <w:noProof/>
          <w:sz w:val="24"/>
          <w:szCs w:val="24"/>
        </w:rPr>
      </w:pPr>
      <w:r>
        <w:rPr>
          <w:rFonts w:ascii="Times New Roman" w:hAnsi="Times New Roman"/>
          <w:i/>
          <w:sz w:val="24"/>
        </w:rPr>
        <w:t>Paraugu ņemšanas darbības</w:t>
      </w:r>
    </w:p>
    <w:p w14:paraId="27DEB4F0" w14:textId="77777777" w:rsidR="00AE09E8" w:rsidRPr="00AE09E8" w:rsidRDefault="00AE09E8" w:rsidP="00AE09E8">
      <w:pPr>
        <w:pStyle w:val="BodyText"/>
        <w:rPr>
          <w:color w:val="auto"/>
        </w:rPr>
      </w:pPr>
      <w:r>
        <w:rPr>
          <w:color w:val="auto"/>
        </w:rPr>
        <w:t>ISO/IEC 17011 7.8.3. apakšpunktā attiecībā uz ANI akreditācijas sfēru nav noteiktas konkrētas prasības veikt paraugu ņemšanas darbības. 7.8.3. apakšpunkta d) daļa ir piemērojama neatkarīgi no tā, vai paraugu ņemšana notiek kā patstāvīga darbība vai ir saistīta ar turpmāku testēšanu, tomēr parametri, komponenti vai raksturlielumi var tikt noteikti vispārīgāk. Akreditācijas sfērā skaidri jānosaka paraugu ņemšanas mērķis (piemēram, paraugu ņemšana turpmākai fizikāli ķīmiskai un mikrobioloģiskai ūdeņu analīzei) un paraugu ņemšanas veids (piemēram, vienreizēja parauga ņemšana, apvienoto paraugu ņemšana, membrānfiltrācija u. c.).</w:t>
      </w:r>
    </w:p>
    <w:p w14:paraId="25D01316"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3A78F9CD" w14:textId="77777777" w:rsidR="00AE09E8" w:rsidRPr="00AE09E8" w:rsidRDefault="00AE09E8" w:rsidP="00AE09E8">
      <w:pPr>
        <w:pStyle w:val="BodyText"/>
        <w:ind w:left="284"/>
        <w:rPr>
          <w:b/>
          <w:bCs/>
          <w:color w:val="auto"/>
        </w:rPr>
      </w:pPr>
      <w:r>
        <w:rPr>
          <w:b/>
          <w:color w:val="auto"/>
        </w:rPr>
        <w:t>B1.1. Elastīgas sfēras testēšanas laboratorijās</w:t>
      </w:r>
    </w:p>
    <w:p w14:paraId="4E13F9E6" w14:textId="77777777" w:rsidR="00AE09E8" w:rsidRPr="00F57F84" w:rsidRDefault="00AE09E8" w:rsidP="00AE09E8">
      <w:pPr>
        <w:ind w:left="284"/>
        <w:contextualSpacing/>
        <w:jc w:val="both"/>
        <w:rPr>
          <w:rFonts w:ascii="Times New Roman" w:eastAsia="Times New Roman" w:hAnsi="Times New Roman" w:cs="Times New Roman"/>
          <w:b/>
          <w:bCs/>
          <w:noProof/>
          <w:sz w:val="24"/>
          <w:szCs w:val="24"/>
        </w:rPr>
      </w:pPr>
    </w:p>
    <w:p w14:paraId="6F66D0E2" w14:textId="77777777" w:rsidR="00AE09E8" w:rsidRPr="00AE09E8" w:rsidRDefault="00AE09E8" w:rsidP="00AE09E8">
      <w:pPr>
        <w:pStyle w:val="BodyText"/>
        <w:ind w:left="284"/>
        <w:rPr>
          <w:color w:val="auto"/>
        </w:rPr>
      </w:pPr>
      <w:r>
        <w:rPr>
          <w:color w:val="auto"/>
        </w:rPr>
        <w:t>Iespēja pieņemt jaunas standarta metodes, izstrādāt jaunas iekšējās metodes un mainīt esošās metodes atbilstoši elastīgai sfērai neparedz jaunu mērīšanas principu ieviešanu. Elastīgu sfēru var noteikt, pamatojoties uz rīcības brīvības pakāpi turpmāk minētajās elastīguma jomās.</w:t>
      </w:r>
    </w:p>
    <w:p w14:paraId="56685042" w14:textId="77777777" w:rsidR="00AE09E8" w:rsidRPr="00F57F84" w:rsidRDefault="00AE09E8" w:rsidP="00AE09E8">
      <w:pPr>
        <w:ind w:left="284"/>
        <w:contextualSpacing/>
        <w:jc w:val="both"/>
        <w:rPr>
          <w:rFonts w:ascii="Times New Roman" w:eastAsia="Times New Roman" w:hAnsi="Times New Roman" w:cs="Times New Roman"/>
          <w:noProof/>
          <w:sz w:val="24"/>
          <w:szCs w:val="24"/>
        </w:rPr>
      </w:pPr>
    </w:p>
    <w:p w14:paraId="7ADBCC04" w14:textId="77777777" w:rsidR="00AE09E8" w:rsidRPr="00AE09E8" w:rsidRDefault="00AE09E8" w:rsidP="00AE09E8">
      <w:pPr>
        <w:numPr>
          <w:ilvl w:val="0"/>
          <w:numId w:val="1"/>
        </w:numPr>
        <w:tabs>
          <w:tab w:val="left" w:pos="1134"/>
        </w:tabs>
        <w:ind w:left="567" w:firstLine="0"/>
        <w:contextualSpacing/>
        <w:jc w:val="both"/>
        <w:rPr>
          <w:rFonts w:ascii="Times New Roman" w:hAnsi="Times New Roman" w:cs="Times New Roman"/>
          <w:i/>
          <w:noProof/>
          <w:sz w:val="24"/>
          <w:szCs w:val="24"/>
        </w:rPr>
      </w:pPr>
      <w:r>
        <w:rPr>
          <w:rFonts w:ascii="Times New Roman" w:hAnsi="Times New Roman"/>
          <w:i/>
          <w:sz w:val="24"/>
        </w:rPr>
        <w:t>Elastīgums attiecībā uz materiāliem/produktiem</w:t>
      </w:r>
    </w:p>
    <w:p w14:paraId="5D2E9FB3" w14:textId="77777777" w:rsidR="00AE09E8" w:rsidRPr="00AE09E8" w:rsidRDefault="00AE09E8" w:rsidP="00AE09E8">
      <w:pPr>
        <w:pStyle w:val="BodyText"/>
        <w:tabs>
          <w:tab w:val="left" w:pos="1134"/>
        </w:tabs>
        <w:ind w:left="567"/>
        <w:rPr>
          <w:color w:val="auto"/>
        </w:rPr>
      </w:pPr>
      <w:r>
        <w:rPr>
          <w:color w:val="auto"/>
        </w:rPr>
        <w:t>Tas var attiekties uz testēšanu, izmantojot to pašu mērīšanas principu, kas tiek paplašināts no kadmija masas daļas noteikšanas augļos, ievārījumā un citos augļu pārstrādes produktos līdz pat masas daļas noteikšanai dārzeņu pārstrādes produktos. Vēl viens piemērs ir elektromagnētiskās savietojamības (</w:t>
      </w:r>
      <w:r>
        <w:rPr>
          <w:i/>
          <w:iCs/>
          <w:color w:val="auto"/>
        </w:rPr>
        <w:t>EMC</w:t>
      </w:r>
      <w:r>
        <w:rPr>
          <w:color w:val="auto"/>
        </w:rPr>
        <w:t>) testi dažādu veidu elektroierīcēm.</w:t>
      </w:r>
    </w:p>
    <w:p w14:paraId="60B185BE" w14:textId="77777777" w:rsidR="00AE09E8" w:rsidRPr="00F57F84" w:rsidRDefault="00AE09E8" w:rsidP="00AE09E8">
      <w:pPr>
        <w:tabs>
          <w:tab w:val="left" w:pos="1134"/>
        </w:tabs>
        <w:ind w:left="567"/>
        <w:contextualSpacing/>
        <w:jc w:val="both"/>
        <w:rPr>
          <w:rFonts w:ascii="Times New Roman" w:eastAsia="Times New Roman" w:hAnsi="Times New Roman" w:cs="Times New Roman"/>
          <w:noProof/>
          <w:sz w:val="24"/>
          <w:szCs w:val="24"/>
        </w:rPr>
      </w:pPr>
    </w:p>
    <w:p w14:paraId="1564C38F" w14:textId="77777777" w:rsidR="00AE09E8" w:rsidRPr="00AE09E8" w:rsidRDefault="00AE09E8" w:rsidP="00AE09E8">
      <w:pPr>
        <w:numPr>
          <w:ilvl w:val="0"/>
          <w:numId w:val="1"/>
        </w:numPr>
        <w:tabs>
          <w:tab w:val="left" w:pos="1134"/>
        </w:tabs>
        <w:ind w:left="567" w:firstLine="0"/>
        <w:contextualSpacing/>
        <w:jc w:val="both"/>
        <w:rPr>
          <w:rFonts w:ascii="Times New Roman" w:hAnsi="Times New Roman" w:cs="Times New Roman"/>
          <w:i/>
          <w:noProof/>
          <w:sz w:val="24"/>
          <w:szCs w:val="24"/>
        </w:rPr>
      </w:pPr>
      <w:r>
        <w:rPr>
          <w:rFonts w:ascii="Times New Roman" w:hAnsi="Times New Roman"/>
          <w:i/>
          <w:sz w:val="24"/>
        </w:rPr>
        <w:t>Elastīgums attiecībā uz komponentiem/parametriem/raksturlielumiem</w:t>
      </w:r>
    </w:p>
    <w:p w14:paraId="55AF1040" w14:textId="77777777" w:rsidR="00AE09E8" w:rsidRPr="00AE09E8" w:rsidRDefault="00AE09E8" w:rsidP="00AE09E8">
      <w:pPr>
        <w:pStyle w:val="BodyText"/>
        <w:tabs>
          <w:tab w:val="left" w:pos="1134"/>
        </w:tabs>
        <w:ind w:left="567"/>
        <w:rPr>
          <w:color w:val="auto"/>
        </w:rPr>
      </w:pPr>
      <w:r>
        <w:rPr>
          <w:color w:val="auto"/>
        </w:rPr>
        <w:t>Tas izpaužas, piemēram, paplašinot kadmija masas daļas noteikšanu pārtikā uz mikroelementu masas daļas noteikšanu pārtikā pēc tā paša mērīšanas principa.</w:t>
      </w:r>
    </w:p>
    <w:p w14:paraId="380F5625" w14:textId="77777777" w:rsidR="00AE09E8" w:rsidRPr="00F57F84" w:rsidRDefault="00AE09E8" w:rsidP="00AE09E8">
      <w:pPr>
        <w:tabs>
          <w:tab w:val="left" w:pos="1134"/>
        </w:tabs>
        <w:ind w:left="567"/>
        <w:contextualSpacing/>
        <w:jc w:val="both"/>
        <w:rPr>
          <w:rFonts w:ascii="Times New Roman" w:eastAsia="Times New Roman" w:hAnsi="Times New Roman" w:cs="Times New Roman"/>
          <w:noProof/>
          <w:sz w:val="24"/>
          <w:szCs w:val="24"/>
        </w:rPr>
      </w:pPr>
    </w:p>
    <w:p w14:paraId="3F689CB0" w14:textId="77777777" w:rsidR="00AE09E8" w:rsidRPr="00AE09E8" w:rsidRDefault="00AE09E8" w:rsidP="00AE09E8">
      <w:pPr>
        <w:numPr>
          <w:ilvl w:val="0"/>
          <w:numId w:val="1"/>
        </w:numPr>
        <w:tabs>
          <w:tab w:val="left" w:pos="1134"/>
        </w:tabs>
        <w:ind w:left="567" w:firstLine="0"/>
        <w:contextualSpacing/>
        <w:jc w:val="both"/>
        <w:rPr>
          <w:rFonts w:ascii="Times New Roman" w:hAnsi="Times New Roman" w:cs="Times New Roman"/>
          <w:i/>
          <w:noProof/>
          <w:sz w:val="24"/>
          <w:szCs w:val="24"/>
        </w:rPr>
      </w:pPr>
      <w:r>
        <w:rPr>
          <w:rFonts w:ascii="Times New Roman" w:hAnsi="Times New Roman"/>
          <w:i/>
          <w:sz w:val="24"/>
        </w:rPr>
        <w:t>Elastīgums attiecībā uz metodes sniegumu</w:t>
      </w:r>
    </w:p>
    <w:p w14:paraId="2B4FDE36" w14:textId="77777777" w:rsidR="00AE09E8" w:rsidRPr="00AE09E8" w:rsidRDefault="00AE09E8" w:rsidP="00AE09E8">
      <w:pPr>
        <w:pStyle w:val="BodyText"/>
        <w:tabs>
          <w:tab w:val="left" w:pos="1134"/>
        </w:tabs>
        <w:ind w:left="567"/>
        <w:rPr>
          <w:color w:val="auto"/>
        </w:rPr>
      </w:pPr>
      <w:r>
        <w:rPr>
          <w:color w:val="auto"/>
        </w:rPr>
        <w:t>Šāds elastīgums ļauj mainīt metodes sniegumu attiecībā uz konkrētu materiālu vai produkta veidu un konkrētu parametru. Piemēram, var mainīt mērījumu diapazonu un mērījuma nenoteiktību.</w:t>
      </w:r>
    </w:p>
    <w:p w14:paraId="320C8207" w14:textId="77777777" w:rsidR="00AE09E8" w:rsidRPr="00F57F84" w:rsidRDefault="00AE09E8" w:rsidP="00AE09E8">
      <w:pPr>
        <w:tabs>
          <w:tab w:val="left" w:pos="1134"/>
        </w:tabs>
        <w:ind w:left="567"/>
        <w:contextualSpacing/>
        <w:jc w:val="both"/>
        <w:rPr>
          <w:rFonts w:ascii="Times New Roman" w:eastAsia="Times New Roman" w:hAnsi="Times New Roman" w:cs="Times New Roman"/>
          <w:noProof/>
          <w:sz w:val="24"/>
          <w:szCs w:val="24"/>
        </w:rPr>
      </w:pPr>
    </w:p>
    <w:p w14:paraId="24E51A2A" w14:textId="77777777" w:rsidR="00AE09E8" w:rsidRPr="00AE09E8" w:rsidRDefault="00AE09E8" w:rsidP="00AE09E8">
      <w:pPr>
        <w:numPr>
          <w:ilvl w:val="0"/>
          <w:numId w:val="1"/>
        </w:numPr>
        <w:tabs>
          <w:tab w:val="left" w:pos="1134"/>
        </w:tabs>
        <w:ind w:left="567" w:firstLine="0"/>
        <w:contextualSpacing/>
        <w:jc w:val="both"/>
        <w:rPr>
          <w:rFonts w:ascii="Times New Roman" w:hAnsi="Times New Roman" w:cs="Times New Roman"/>
          <w:i/>
          <w:noProof/>
          <w:sz w:val="24"/>
          <w:szCs w:val="24"/>
        </w:rPr>
      </w:pPr>
      <w:r>
        <w:rPr>
          <w:rFonts w:ascii="Times New Roman" w:hAnsi="Times New Roman"/>
          <w:i/>
          <w:sz w:val="24"/>
        </w:rPr>
        <w:t>Elastīgums attiecībā uz metodi</w:t>
      </w:r>
    </w:p>
    <w:p w14:paraId="48ECFEE5" w14:textId="0115E02F" w:rsidR="00AE09E8" w:rsidRPr="00D74C45" w:rsidRDefault="00AE09E8" w:rsidP="00D74C45">
      <w:pPr>
        <w:pStyle w:val="BodyText"/>
        <w:tabs>
          <w:tab w:val="left" w:pos="1134"/>
        </w:tabs>
        <w:ind w:left="567"/>
        <w:rPr>
          <w:color w:val="auto"/>
        </w:rPr>
      </w:pPr>
      <w:r>
        <w:rPr>
          <w:color w:val="auto"/>
        </w:rPr>
        <w:t xml:space="preserve">Šāds elastīgums ļauj pieņemt metodes, kas ir līdzvērtīgas metodēm, kuras jau ir </w:t>
      </w:r>
      <w:r>
        <w:rPr>
          <w:color w:val="auto"/>
        </w:rPr>
        <w:lastRenderedPageBreak/>
        <w:t>iekļautas akreditācijā. Piemērs ir metinātu šuvju ultraskaņas testēšana, kas tiek veikta ar līdzīgām metodēm dažādās standartizācijas organizācijās.</w:t>
      </w:r>
      <w:r>
        <w:br w:type="page"/>
      </w:r>
    </w:p>
    <w:p w14:paraId="46FB6CAF"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36855914" w14:textId="77777777" w:rsidR="00AE09E8" w:rsidRPr="00AE09E8" w:rsidRDefault="00AE09E8" w:rsidP="00AE09E8">
      <w:pPr>
        <w:pStyle w:val="Heading1"/>
        <w:rPr>
          <w:color w:val="auto"/>
        </w:rPr>
      </w:pPr>
      <w:bookmarkStart w:id="27" w:name="_Toc117087844"/>
      <w:r>
        <w:rPr>
          <w:color w:val="auto"/>
        </w:rPr>
        <w:t>C PIELIKUMS</w:t>
      </w:r>
      <w:bookmarkEnd w:id="27"/>
    </w:p>
    <w:p w14:paraId="34B7367F"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73B284FE" w14:textId="77777777" w:rsidR="00AE09E8" w:rsidRPr="00AE09E8" w:rsidRDefault="00AE09E8" w:rsidP="00AE09E8">
      <w:pPr>
        <w:pStyle w:val="Heading1"/>
        <w:rPr>
          <w:color w:val="auto"/>
        </w:rPr>
      </w:pPr>
      <w:bookmarkStart w:id="28" w:name="_Toc117087845"/>
      <w:r>
        <w:rPr>
          <w:color w:val="auto"/>
        </w:rPr>
        <w:t>Akreditācijas sfērā attiecībā uz ISO 15189 – medicīnas testēšanas laboratorijas</w:t>
      </w:r>
      <w:bookmarkStart w:id="29" w:name="_bookmark14"/>
      <w:bookmarkEnd w:id="28"/>
      <w:bookmarkEnd w:id="29"/>
    </w:p>
    <w:p w14:paraId="22A502D4"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2F6A50EA" w14:textId="77777777" w:rsidR="00AE09E8" w:rsidRPr="00AE09E8" w:rsidRDefault="00AE09E8" w:rsidP="00AE09E8">
      <w:pPr>
        <w:pStyle w:val="BodyText"/>
        <w:rPr>
          <w:color w:val="auto"/>
        </w:rPr>
      </w:pPr>
      <w:r>
        <w:rPr>
          <w:color w:val="auto"/>
        </w:rPr>
        <w:t>Akreditācijas sfērā, kas attiecas uz medicīnisku izmeklēšanu, kā pamatā ir ISO 15189, ievēroti tie paši principi kā ISO/IEC 17025 testēšanas laboratoriju akreditācijas sfērā un ISO/IEC 17011 7.8.3. apakšpunkta d) daļā noteiktajās prasībās.</w:t>
      </w:r>
    </w:p>
    <w:p w14:paraId="1CAEE8F1"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7D2B2769" w14:textId="77777777" w:rsidR="00AE09E8" w:rsidRPr="00AE09E8" w:rsidRDefault="00AE09E8" w:rsidP="00AE09E8">
      <w:pPr>
        <w:pStyle w:val="BodyText"/>
        <w:rPr>
          <w:color w:val="auto"/>
        </w:rPr>
      </w:pPr>
      <w:r>
        <w:rPr>
          <w:color w:val="auto"/>
        </w:rPr>
        <w:t>Akreditācijas sfēru var papildināt “medicīnas laboratoriju jomas” (piemēram, klīniskā ķīmija, patoloģiskā anatomija, medicīniskā mikrobioloģija un citas pataloģijas disciplīnas) un nepieciešamības gadījumā arī “medicīnas laboratoriju apakšjomas”.</w:t>
      </w:r>
    </w:p>
    <w:p w14:paraId="7B93DA62"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722DC986" w14:textId="77777777" w:rsidR="00AE09E8" w:rsidRPr="00AE09E8" w:rsidRDefault="00AE09E8" w:rsidP="00AE09E8">
      <w:pPr>
        <w:contextualSpacing/>
        <w:jc w:val="both"/>
        <w:rPr>
          <w:rFonts w:ascii="Times New Roman" w:hAnsi="Times New Roman" w:cs="Times New Roman"/>
          <w:i/>
          <w:noProof/>
          <w:sz w:val="24"/>
          <w:szCs w:val="24"/>
        </w:rPr>
      </w:pPr>
      <w:r>
        <w:rPr>
          <w:rFonts w:ascii="Times New Roman" w:hAnsi="Times New Roman"/>
          <w:i/>
          <w:sz w:val="24"/>
        </w:rPr>
        <w:t>Tests/paņēmiens/iekārtas</w:t>
      </w:r>
    </w:p>
    <w:p w14:paraId="6199177C" w14:textId="77777777" w:rsidR="00AE09E8" w:rsidRPr="00AE09E8" w:rsidRDefault="00AE09E8" w:rsidP="00AE09E8">
      <w:pPr>
        <w:pStyle w:val="BodyText"/>
        <w:rPr>
          <w:color w:val="auto"/>
        </w:rPr>
      </w:pPr>
      <w:r>
        <w:rPr>
          <w:color w:val="auto"/>
        </w:rPr>
        <w:t>Izmeklēšanu nereti nosaka pēc izmantotā instrumenta (analizatora) un atbilstoši ražotāja norādījumiem/protokolam. Tādējādi atsauce uz instrumentu (ražotāja nosaukums un versija/veids) var nodrošināt unikālu metodes identifikāciju akreditācijas sfērā. Var izvērtēt arī iespēju pievienot mērīšanas principu.</w:t>
      </w:r>
    </w:p>
    <w:p w14:paraId="4926C8FD"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6FF95CB0" w14:textId="77777777" w:rsidR="00AE09E8" w:rsidRPr="00AE09E8" w:rsidRDefault="00AE09E8" w:rsidP="00AE09E8">
      <w:pPr>
        <w:contextualSpacing/>
        <w:jc w:val="both"/>
        <w:rPr>
          <w:rFonts w:ascii="Times New Roman" w:hAnsi="Times New Roman" w:cs="Times New Roman"/>
          <w:i/>
          <w:noProof/>
          <w:sz w:val="24"/>
          <w:szCs w:val="24"/>
        </w:rPr>
      </w:pPr>
      <w:r>
        <w:rPr>
          <w:rFonts w:ascii="Times New Roman" w:hAnsi="Times New Roman"/>
          <w:i/>
          <w:sz w:val="24"/>
        </w:rPr>
        <w:t>Testēšana uz vietas (POCT)</w:t>
      </w:r>
    </w:p>
    <w:p w14:paraId="4C65B06A" w14:textId="77777777" w:rsidR="00AE09E8" w:rsidRPr="00AE09E8" w:rsidRDefault="00AE09E8" w:rsidP="00AE09E8">
      <w:pPr>
        <w:pStyle w:val="BodyText"/>
        <w:rPr>
          <w:color w:val="auto"/>
        </w:rPr>
      </w:pPr>
      <w:r>
        <w:rPr>
          <w:color w:val="auto"/>
        </w:rPr>
        <w:t>Testēšanas uz vietas laboratoriju, kas akreditētas atbilstoši ISO 22870 kopā ar ISO 15189, akreditācijas sfērā jāievēro tie paši principi kā testēšanas laboratorijām (tostarp medicīnas laboratorijām), ievērojot ISO/IEC 17011 7.8.3. apakšpunkta d) daļā noteiktās prasības.</w:t>
      </w:r>
    </w:p>
    <w:p w14:paraId="742DC2AC"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1A923D78" w14:textId="77777777" w:rsidR="00AE09E8" w:rsidRPr="00AE09E8" w:rsidRDefault="00AE09E8" w:rsidP="00AE09E8">
      <w:pPr>
        <w:pStyle w:val="BodyText"/>
        <w:ind w:left="284"/>
        <w:rPr>
          <w:b/>
          <w:bCs/>
          <w:color w:val="auto"/>
        </w:rPr>
      </w:pPr>
      <w:r>
        <w:rPr>
          <w:b/>
          <w:color w:val="auto"/>
        </w:rPr>
        <w:t>C1.1. Elastīgas sfēras medicīniskajā testēšanā</w:t>
      </w:r>
    </w:p>
    <w:p w14:paraId="774CD72B" w14:textId="77777777" w:rsidR="00AE09E8" w:rsidRPr="00F57F84" w:rsidRDefault="00AE09E8" w:rsidP="00AE09E8">
      <w:pPr>
        <w:ind w:left="284"/>
        <w:contextualSpacing/>
        <w:jc w:val="both"/>
        <w:rPr>
          <w:rFonts w:ascii="Times New Roman" w:eastAsia="Times New Roman" w:hAnsi="Times New Roman" w:cs="Times New Roman"/>
          <w:b/>
          <w:bCs/>
          <w:noProof/>
          <w:sz w:val="24"/>
          <w:szCs w:val="24"/>
        </w:rPr>
      </w:pPr>
    </w:p>
    <w:p w14:paraId="59E77DC3" w14:textId="77777777" w:rsidR="00AE09E8" w:rsidRPr="00AE09E8" w:rsidRDefault="00AE09E8" w:rsidP="00AE09E8">
      <w:pPr>
        <w:pStyle w:val="BodyText"/>
        <w:ind w:left="284"/>
        <w:rPr>
          <w:color w:val="auto"/>
        </w:rPr>
      </w:pPr>
      <w:r>
        <w:rPr>
          <w:color w:val="auto"/>
        </w:rPr>
        <w:t>Elastīgā akreditācijas sfērā, kas attiecas uz medicīnisko testēšanu, tiek ievēroti tie paši principi, kas noteikti ISO/IEC 17025 testēšanas laboratoriju elastīgajā sfērā.</w:t>
      </w:r>
    </w:p>
    <w:p w14:paraId="20D08679" w14:textId="77777777" w:rsidR="00AE09E8" w:rsidRPr="00F57F84" w:rsidRDefault="00AE09E8" w:rsidP="00AE09E8">
      <w:pPr>
        <w:contextualSpacing/>
        <w:jc w:val="both"/>
        <w:rPr>
          <w:rFonts w:ascii="Times New Roman" w:hAnsi="Times New Roman" w:cs="Times New Roman"/>
          <w:noProof/>
          <w:sz w:val="24"/>
          <w:szCs w:val="24"/>
        </w:rPr>
      </w:pPr>
    </w:p>
    <w:p w14:paraId="7AC38142" w14:textId="77777777" w:rsidR="00AE09E8" w:rsidRPr="00AE09E8" w:rsidRDefault="00AE09E8" w:rsidP="00AE09E8">
      <w:pPr>
        <w:rPr>
          <w:rFonts w:ascii="Times New Roman" w:eastAsia="Times New Roman" w:hAnsi="Times New Roman" w:cs="Times New Roman"/>
          <w:noProof/>
          <w:sz w:val="24"/>
          <w:szCs w:val="24"/>
        </w:rPr>
      </w:pPr>
      <w:r>
        <w:br w:type="page"/>
      </w:r>
    </w:p>
    <w:p w14:paraId="3942AEBF"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4E36B345" w14:textId="77777777" w:rsidR="00AE09E8" w:rsidRPr="00AE09E8" w:rsidRDefault="00AE09E8" w:rsidP="00AE09E8">
      <w:pPr>
        <w:pStyle w:val="Heading1"/>
        <w:rPr>
          <w:color w:val="auto"/>
        </w:rPr>
      </w:pPr>
      <w:bookmarkStart w:id="30" w:name="_Toc117087846"/>
      <w:r>
        <w:rPr>
          <w:color w:val="auto"/>
        </w:rPr>
        <w:t>D PIELIKUMS</w:t>
      </w:r>
      <w:bookmarkStart w:id="31" w:name="_bookmark15"/>
      <w:bookmarkEnd w:id="30"/>
      <w:bookmarkEnd w:id="31"/>
    </w:p>
    <w:p w14:paraId="23884EC3"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3F424982" w14:textId="77777777" w:rsidR="00AE09E8" w:rsidRPr="00AE09E8" w:rsidRDefault="00AE09E8" w:rsidP="00AE09E8">
      <w:pPr>
        <w:pStyle w:val="Heading1"/>
        <w:rPr>
          <w:color w:val="auto"/>
        </w:rPr>
      </w:pPr>
      <w:bookmarkStart w:id="32" w:name="_Toc117087847"/>
      <w:r>
        <w:rPr>
          <w:color w:val="auto"/>
        </w:rPr>
        <w:t>Akreditācijas sfēra attiecībā uz ISO 17034 – references materiālu ražotāji</w:t>
      </w:r>
      <w:bookmarkStart w:id="33" w:name="_bookmark16"/>
      <w:bookmarkEnd w:id="32"/>
      <w:bookmarkEnd w:id="33"/>
    </w:p>
    <w:p w14:paraId="6D0AE2AE"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55A720F9" w14:textId="77777777" w:rsidR="00AE09E8" w:rsidRPr="00AE09E8" w:rsidRDefault="00AE09E8" w:rsidP="00AE09E8">
      <w:pPr>
        <w:contextualSpacing/>
        <w:jc w:val="both"/>
        <w:rPr>
          <w:rFonts w:ascii="Times New Roman" w:hAnsi="Times New Roman" w:cs="Times New Roman"/>
          <w:i/>
          <w:noProof/>
          <w:sz w:val="24"/>
          <w:szCs w:val="24"/>
        </w:rPr>
      </w:pPr>
      <w:r>
        <w:rPr>
          <w:rFonts w:ascii="Times New Roman" w:hAnsi="Times New Roman"/>
          <w:i/>
          <w:sz w:val="24"/>
        </w:rPr>
        <w:t>Īpašības vērtību piešķiršanā izmantotā pieeja</w:t>
      </w:r>
    </w:p>
    <w:p w14:paraId="07A8E2BA" w14:textId="77777777" w:rsidR="00AE09E8" w:rsidRPr="00AE09E8" w:rsidRDefault="00AE09E8" w:rsidP="00AE09E8">
      <w:pPr>
        <w:pStyle w:val="BodyText"/>
        <w:rPr>
          <w:color w:val="auto"/>
        </w:rPr>
      </w:pPr>
      <w:r>
        <w:rPr>
          <w:color w:val="auto"/>
        </w:rPr>
        <w:t>ISO/IEC 17011 7.8.3. apakšpunkta f) daļā noteikta prasība identificēt references materiāla veidu (sertificēto references materiālu, references materiālu vai abus), kā arī identificēt references materiāla matricu vai artefaktu un pieeju, kas izmantota īpašības vērtības piešķiršanai.</w:t>
      </w:r>
    </w:p>
    <w:p w14:paraId="750EAD1E"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4F1456E7" w14:textId="77777777" w:rsidR="00AE09E8" w:rsidRPr="00AE09E8" w:rsidRDefault="00AE09E8" w:rsidP="00AE09E8">
      <w:pPr>
        <w:pStyle w:val="BodyText"/>
        <w:rPr>
          <w:color w:val="auto"/>
        </w:rPr>
      </w:pPr>
      <w:r>
        <w:rPr>
          <w:color w:val="auto"/>
        </w:rPr>
        <w:t>Īpašības vērtību piešķiršanā izmantotā pieeja ir jāsaskaņo ar ISO 17034 7.12. punktu (piemēram, vai tā paredz izmantot vienu references mērījumu procedūru vienā laboratorijā, nefunkcionāli noteikta mērāmā lieluma raksturošanu, izmantojot divas vai vairāk metodes ar uzskatāmu precizitāti vienā vai vairākās kompetentās laboratorijās u. c.).</w:t>
      </w:r>
    </w:p>
    <w:p w14:paraId="5A56B143"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4ADB2CE8" w14:textId="77777777" w:rsidR="00AE09E8" w:rsidRPr="00AE09E8" w:rsidRDefault="00AE09E8" w:rsidP="00AE09E8">
      <w:pPr>
        <w:contextualSpacing/>
        <w:jc w:val="both"/>
        <w:rPr>
          <w:rFonts w:ascii="Times New Roman" w:hAnsi="Times New Roman" w:cs="Times New Roman"/>
          <w:i/>
          <w:noProof/>
          <w:sz w:val="24"/>
          <w:szCs w:val="24"/>
        </w:rPr>
      </w:pPr>
      <w:r>
        <w:rPr>
          <w:rFonts w:ascii="Times New Roman" w:hAnsi="Times New Roman"/>
          <w:i/>
          <w:sz w:val="24"/>
        </w:rPr>
        <w:t>Diapazona un īpašības vērtības spēja</w:t>
      </w:r>
    </w:p>
    <w:p w14:paraId="5556AAC1" w14:textId="77777777" w:rsidR="00AE09E8" w:rsidRPr="00AE09E8" w:rsidRDefault="00AE09E8" w:rsidP="00AE09E8">
      <w:pPr>
        <w:pStyle w:val="BodyText"/>
        <w:rPr>
          <w:color w:val="auto"/>
        </w:rPr>
      </w:pPr>
      <w:r>
        <w:rPr>
          <w:color w:val="auto"/>
        </w:rPr>
        <w:t>Attiecībā uz sertificētiem references materiāliem (</w:t>
      </w:r>
      <w:r>
        <w:rPr>
          <w:i/>
          <w:iCs/>
          <w:color w:val="auto"/>
        </w:rPr>
        <w:t>CRM</w:t>
      </w:r>
      <w:r>
        <w:rPr>
          <w:color w:val="auto"/>
        </w:rPr>
        <w:t>), kas atbalsta Medicīnas laboratoriju izsekojamības apvienoto komiteju (</w:t>
      </w:r>
      <w:r>
        <w:rPr>
          <w:i/>
          <w:iCs/>
          <w:color w:val="auto"/>
        </w:rPr>
        <w:t>JCTLM</w:t>
      </w:r>
      <w:r>
        <w:rPr>
          <w:color w:val="auto"/>
        </w:rPr>
        <w:t>) vai Salīdzinošo datubāzi (</w:t>
      </w:r>
      <w:r>
        <w:rPr>
          <w:i/>
          <w:iCs/>
          <w:color w:val="auto"/>
        </w:rPr>
        <w:t>KCDB</w:t>
      </w:r>
      <w:r>
        <w:rPr>
          <w:color w:val="auto"/>
        </w:rPr>
        <w:t>), ko pārvalda Starptautiskais svaru un mēru birojs (</w:t>
      </w:r>
      <w:r>
        <w:rPr>
          <w:i/>
          <w:iCs/>
          <w:color w:val="auto"/>
        </w:rPr>
        <w:t>BIPM</w:t>
      </w:r>
      <w:r>
        <w:rPr>
          <w:color w:val="auto"/>
        </w:rPr>
        <w:t>),</w:t>
      </w:r>
      <w:r>
        <w:rPr>
          <w:i/>
          <w:color w:val="auto"/>
        </w:rPr>
        <w:t xml:space="preserve"> </w:t>
      </w:r>
      <w:r>
        <w:rPr>
          <w:color w:val="auto"/>
        </w:rPr>
        <w:t>vai kas ir līdzvērtīgi šādiem materiāliem, AI var izvērtēt iespēju noteikt mērījumu diapazonu un mērīšanas spēju (</w:t>
      </w:r>
      <w:r>
        <w:rPr>
          <w:i/>
          <w:iCs/>
          <w:color w:val="auto"/>
        </w:rPr>
        <w:t>CMC</w:t>
      </w:r>
      <w:r>
        <w:rPr>
          <w:color w:val="auto"/>
        </w:rPr>
        <w:t>).</w:t>
      </w:r>
    </w:p>
    <w:p w14:paraId="78E18C38" w14:textId="77777777" w:rsidR="00AE09E8" w:rsidRPr="00AE09E8" w:rsidRDefault="00AE09E8" w:rsidP="00AE09E8">
      <w:pPr>
        <w:contextualSpacing/>
        <w:jc w:val="both"/>
        <w:rPr>
          <w:rFonts w:ascii="Times New Roman" w:eastAsia="Times New Roman" w:hAnsi="Times New Roman" w:cs="Times New Roman"/>
          <w:noProof/>
          <w:sz w:val="24"/>
          <w:szCs w:val="24"/>
        </w:rPr>
      </w:pPr>
    </w:p>
    <w:p w14:paraId="7FCD45F0" w14:textId="77777777" w:rsidR="00AE09E8" w:rsidRPr="00AE09E8" w:rsidRDefault="00AE09E8" w:rsidP="00AE09E8">
      <w:pPr>
        <w:pStyle w:val="BodyText"/>
        <w:ind w:left="284"/>
        <w:rPr>
          <w:b/>
          <w:bCs/>
          <w:color w:val="auto"/>
        </w:rPr>
      </w:pPr>
      <w:r>
        <w:rPr>
          <w:b/>
          <w:color w:val="auto"/>
        </w:rPr>
        <w:t>D1.1. Elastīgas sfēras attiecībā uz references materiālu ražotājiem</w:t>
      </w:r>
    </w:p>
    <w:p w14:paraId="0101034D" w14:textId="77777777" w:rsidR="00AE09E8" w:rsidRPr="00F57F84" w:rsidRDefault="00AE09E8" w:rsidP="00AE09E8">
      <w:pPr>
        <w:ind w:left="284"/>
        <w:contextualSpacing/>
        <w:jc w:val="both"/>
        <w:rPr>
          <w:rFonts w:ascii="Times New Roman" w:eastAsia="Times New Roman" w:hAnsi="Times New Roman" w:cs="Times New Roman"/>
          <w:b/>
          <w:bCs/>
          <w:noProof/>
          <w:sz w:val="24"/>
          <w:szCs w:val="24"/>
        </w:rPr>
      </w:pPr>
    </w:p>
    <w:p w14:paraId="1EE83EDF" w14:textId="77777777" w:rsidR="00AE09E8" w:rsidRPr="00AE09E8" w:rsidRDefault="00AE09E8" w:rsidP="00AE09E8">
      <w:pPr>
        <w:pStyle w:val="BodyText"/>
        <w:ind w:left="284"/>
        <w:rPr>
          <w:color w:val="auto"/>
        </w:rPr>
      </w:pPr>
      <w:r>
        <w:rPr>
          <w:color w:val="auto"/>
        </w:rPr>
        <w:t>Tā kā pieaug nepieciešamība pēc akreditētiem references materiāliem, AI tiek mudinātas atļaut zināmu elastību attiecībā uz sfēru, lai neierobežotu šādu materiālu pieejamību.</w:t>
      </w:r>
    </w:p>
    <w:p w14:paraId="4EC0B6B2" w14:textId="77777777" w:rsidR="00AE09E8" w:rsidRPr="00F57F84" w:rsidRDefault="00AE09E8" w:rsidP="00AE09E8">
      <w:pPr>
        <w:ind w:left="284"/>
        <w:contextualSpacing/>
        <w:jc w:val="both"/>
        <w:rPr>
          <w:rFonts w:ascii="Times New Roman" w:eastAsia="Times New Roman" w:hAnsi="Times New Roman" w:cs="Times New Roman"/>
          <w:noProof/>
          <w:sz w:val="24"/>
          <w:szCs w:val="24"/>
        </w:rPr>
      </w:pPr>
    </w:p>
    <w:p w14:paraId="522DAD28" w14:textId="77777777" w:rsidR="00AE09E8" w:rsidRPr="00AE09E8" w:rsidRDefault="00AE09E8" w:rsidP="00AE09E8">
      <w:pPr>
        <w:pStyle w:val="BodyText"/>
        <w:ind w:left="284"/>
        <w:rPr>
          <w:color w:val="auto"/>
        </w:rPr>
      </w:pPr>
      <w:r>
        <w:rPr>
          <w:color w:val="auto"/>
        </w:rPr>
        <w:t>Ja references materiālu ražotājs (</w:t>
      </w:r>
      <w:r>
        <w:rPr>
          <w:i/>
          <w:iCs/>
          <w:color w:val="auto"/>
        </w:rPr>
        <w:t>RMP</w:t>
      </w:r>
      <w:r>
        <w:rPr>
          <w:color w:val="auto"/>
        </w:rPr>
        <w:t>) veic pats savus mērījumus, kas nepieciešami raksturošanai, tiks uzskatīts, ka izmaiņas īpašības vērtības piešķiršanas veidā neietilpst pašreizējā RMP kompetencē, līdz ar to tās nav atļautas elastīgā akreditācijas sfērā.</w:t>
      </w:r>
    </w:p>
    <w:p w14:paraId="3D58BBA3" w14:textId="77777777" w:rsidR="00AE09E8" w:rsidRPr="00F57F84" w:rsidRDefault="00AE09E8" w:rsidP="00AE09E8">
      <w:pPr>
        <w:contextualSpacing/>
        <w:jc w:val="both"/>
        <w:rPr>
          <w:rFonts w:ascii="Times New Roman" w:hAnsi="Times New Roman" w:cs="Times New Roman"/>
          <w:noProof/>
          <w:sz w:val="24"/>
          <w:szCs w:val="24"/>
        </w:rPr>
      </w:pPr>
    </w:p>
    <w:p w14:paraId="10232978" w14:textId="77777777" w:rsidR="00AE09E8" w:rsidRPr="00AE09E8" w:rsidRDefault="00AE09E8" w:rsidP="00AE09E8">
      <w:pPr>
        <w:rPr>
          <w:rFonts w:ascii="Times New Roman" w:eastAsia="Times New Roman" w:hAnsi="Times New Roman" w:cs="Times New Roman"/>
          <w:noProof/>
          <w:sz w:val="24"/>
          <w:szCs w:val="24"/>
        </w:rPr>
      </w:pPr>
      <w:r>
        <w:br w:type="page"/>
      </w:r>
    </w:p>
    <w:p w14:paraId="2FFA9E7C"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3C9ED63C" w14:textId="77777777" w:rsidR="00AE09E8" w:rsidRPr="00AE09E8" w:rsidRDefault="00AE09E8" w:rsidP="00AE09E8">
      <w:pPr>
        <w:pStyle w:val="Heading1"/>
        <w:rPr>
          <w:color w:val="auto"/>
        </w:rPr>
      </w:pPr>
      <w:bookmarkStart w:id="34" w:name="_Toc117087848"/>
      <w:r>
        <w:rPr>
          <w:color w:val="auto"/>
        </w:rPr>
        <w:t>E PIELIKUMS</w:t>
      </w:r>
      <w:bookmarkStart w:id="35" w:name="_bookmark17"/>
      <w:bookmarkEnd w:id="34"/>
      <w:bookmarkEnd w:id="35"/>
    </w:p>
    <w:p w14:paraId="348D97CF"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3705BC23" w14:textId="77777777" w:rsidR="00AE09E8" w:rsidRPr="00AE09E8" w:rsidRDefault="00AE09E8" w:rsidP="00AE09E8">
      <w:pPr>
        <w:pStyle w:val="Heading1"/>
        <w:rPr>
          <w:color w:val="auto"/>
        </w:rPr>
      </w:pPr>
      <w:bookmarkStart w:id="36" w:name="_Toc117087849"/>
      <w:r>
        <w:rPr>
          <w:color w:val="auto"/>
        </w:rPr>
        <w:t>Akreditācijas sfēra attiecībā uz ISO/IEC 17043 – prasmes pārbaudes organizētāji</w:t>
      </w:r>
      <w:bookmarkStart w:id="37" w:name="_bookmark18"/>
      <w:bookmarkEnd w:id="36"/>
      <w:bookmarkEnd w:id="37"/>
    </w:p>
    <w:p w14:paraId="720F5FAE"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52D695AA" w14:textId="77777777" w:rsidR="00AE09E8" w:rsidRPr="00AE09E8" w:rsidRDefault="00AE09E8" w:rsidP="00AE09E8">
      <w:pPr>
        <w:contextualSpacing/>
        <w:jc w:val="both"/>
        <w:rPr>
          <w:rFonts w:ascii="Times New Roman" w:hAnsi="Times New Roman" w:cs="Times New Roman"/>
          <w:i/>
          <w:noProof/>
          <w:sz w:val="24"/>
          <w:szCs w:val="24"/>
        </w:rPr>
      </w:pPr>
      <w:r>
        <w:rPr>
          <w:rFonts w:ascii="Times New Roman" w:hAnsi="Times New Roman"/>
          <w:i/>
          <w:sz w:val="24"/>
        </w:rPr>
        <w:t>Prasmes pārbaudes organizētāju piedāvātās shēmas</w:t>
      </w:r>
    </w:p>
    <w:p w14:paraId="0D38738D" w14:textId="77777777" w:rsidR="00AE09E8" w:rsidRPr="00AE09E8" w:rsidRDefault="00AE09E8" w:rsidP="00AE09E8">
      <w:pPr>
        <w:pStyle w:val="BodyText"/>
        <w:rPr>
          <w:color w:val="auto"/>
        </w:rPr>
      </w:pPr>
      <w:r>
        <w:rPr>
          <w:color w:val="auto"/>
        </w:rPr>
        <w:t>Akreditācijas sfēru var papildināt, identificējot katru konkrēto akreditēto prasmes pārbaudes (PP) shēmu, un to var izdarīt ar skaitli, konkrētu nosaukumu vai kādu citu atšķirīgu identifikatoru.</w:t>
      </w:r>
    </w:p>
    <w:p w14:paraId="49B5A510"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588A4388" w14:textId="77777777" w:rsidR="00AE09E8" w:rsidRPr="00AE09E8" w:rsidRDefault="00AE09E8" w:rsidP="00AE09E8">
      <w:pPr>
        <w:contextualSpacing/>
        <w:jc w:val="both"/>
        <w:rPr>
          <w:rFonts w:ascii="Times New Roman" w:hAnsi="Times New Roman" w:cs="Times New Roman"/>
          <w:i/>
          <w:noProof/>
          <w:sz w:val="24"/>
          <w:szCs w:val="24"/>
        </w:rPr>
      </w:pPr>
      <w:r>
        <w:rPr>
          <w:rFonts w:ascii="Times New Roman" w:hAnsi="Times New Roman"/>
          <w:i/>
          <w:sz w:val="24"/>
        </w:rPr>
        <w:t>PP objektu veids</w:t>
      </w:r>
    </w:p>
    <w:p w14:paraId="4B4DA7C0" w14:textId="77777777" w:rsidR="00AE09E8" w:rsidRPr="00AE09E8" w:rsidRDefault="00AE09E8" w:rsidP="00AE09E8">
      <w:pPr>
        <w:pStyle w:val="BodyText"/>
        <w:rPr>
          <w:color w:val="auto"/>
        </w:rPr>
      </w:pPr>
      <w:r>
        <w:rPr>
          <w:color w:val="auto"/>
        </w:rPr>
        <w:t>PP objekta veids var būt specifisks, bet to var arī raksturot, norādot konkrētu tehnisko jomu, vai sadalīt apakšjomās, tostarp konkretizējot PP objektu/matricu(-as). Detalizācijas pakāpe būs atkarīga no PP shēmas veida, kā arī elastīguma pakāpes, ko PP organizētājam piešķīrusi AI (skat. E1.1. punktu).</w:t>
      </w:r>
    </w:p>
    <w:p w14:paraId="7D294770"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33A699F6" w14:textId="77777777" w:rsidR="00AE09E8" w:rsidRPr="00AE09E8" w:rsidRDefault="00AE09E8" w:rsidP="00AE09E8">
      <w:pPr>
        <w:contextualSpacing/>
        <w:jc w:val="both"/>
        <w:rPr>
          <w:rFonts w:ascii="Times New Roman" w:hAnsi="Times New Roman" w:cs="Times New Roman"/>
          <w:i/>
          <w:noProof/>
          <w:sz w:val="24"/>
          <w:szCs w:val="24"/>
        </w:rPr>
      </w:pPr>
      <w:r>
        <w:rPr>
          <w:rFonts w:ascii="Times New Roman" w:hAnsi="Times New Roman"/>
          <w:i/>
          <w:sz w:val="24"/>
        </w:rPr>
        <w:t>Mērāmie lielumi vai raksturlielumi</w:t>
      </w:r>
    </w:p>
    <w:p w14:paraId="196D3907" w14:textId="77777777" w:rsidR="00AE09E8" w:rsidRPr="00AE09E8" w:rsidRDefault="00AE09E8" w:rsidP="00AE09E8">
      <w:pPr>
        <w:pStyle w:val="BodyText"/>
        <w:rPr>
          <w:color w:val="auto"/>
        </w:rPr>
      </w:pPr>
      <w:r>
        <w:rPr>
          <w:color w:val="auto"/>
        </w:rPr>
        <w:t>Tas, vai mērāmais(-ie) lielums(-i) vai raksturlielums(-i) ir vai nav sagrupēti kopā vispārīgā grupā (piemēram, kā atliekas augļos pretstatā īpašām atliekām), būs atkarīgs no PP shēmas īpašā veida.</w:t>
      </w:r>
    </w:p>
    <w:p w14:paraId="0E318009"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1C099F7B" w14:textId="77777777" w:rsidR="00AE09E8" w:rsidRPr="00AE09E8" w:rsidRDefault="00AE09E8" w:rsidP="00AE09E8">
      <w:pPr>
        <w:pStyle w:val="BodyText"/>
        <w:ind w:left="284"/>
        <w:rPr>
          <w:b/>
          <w:bCs/>
          <w:color w:val="auto"/>
        </w:rPr>
      </w:pPr>
      <w:r>
        <w:rPr>
          <w:b/>
          <w:color w:val="auto"/>
        </w:rPr>
        <w:t>E1.1. Elastīgas sfēras attiecībā uz prasmes pārbaudes organizētājiem</w:t>
      </w:r>
    </w:p>
    <w:p w14:paraId="3837ECBA" w14:textId="77777777" w:rsidR="00AE09E8" w:rsidRPr="00F57F84" w:rsidRDefault="00AE09E8" w:rsidP="00AE09E8">
      <w:pPr>
        <w:ind w:left="284"/>
        <w:contextualSpacing/>
        <w:jc w:val="both"/>
        <w:rPr>
          <w:rFonts w:ascii="Times New Roman" w:eastAsia="Times New Roman" w:hAnsi="Times New Roman" w:cs="Times New Roman"/>
          <w:b/>
          <w:bCs/>
          <w:noProof/>
          <w:sz w:val="24"/>
          <w:szCs w:val="24"/>
        </w:rPr>
      </w:pPr>
    </w:p>
    <w:p w14:paraId="54817A81" w14:textId="77777777" w:rsidR="00AE09E8" w:rsidRPr="00AE09E8" w:rsidRDefault="00AE09E8" w:rsidP="00AE09E8">
      <w:pPr>
        <w:pStyle w:val="BodyText"/>
        <w:ind w:left="284"/>
        <w:rPr>
          <w:color w:val="auto"/>
        </w:rPr>
      </w:pPr>
      <w:r>
        <w:rPr>
          <w:color w:val="auto"/>
        </w:rPr>
        <w:t>Lai nodrošinātu, ka PP shēmas var turpināt attīstīties atbilstoši laboratoriju vajadzībām, tiek īpaši ieteikts visiem PP organizētājiem piešķirt zināmu elastīgumu.</w:t>
      </w:r>
    </w:p>
    <w:p w14:paraId="06458607" w14:textId="77777777" w:rsidR="00AE09E8" w:rsidRPr="00F57F84" w:rsidRDefault="00AE09E8" w:rsidP="00AE09E8">
      <w:pPr>
        <w:ind w:left="284"/>
        <w:contextualSpacing/>
        <w:jc w:val="both"/>
        <w:rPr>
          <w:rFonts w:ascii="Times New Roman" w:eastAsia="Times New Roman" w:hAnsi="Times New Roman" w:cs="Times New Roman"/>
          <w:noProof/>
          <w:sz w:val="24"/>
          <w:szCs w:val="24"/>
        </w:rPr>
      </w:pPr>
    </w:p>
    <w:p w14:paraId="343361E2" w14:textId="77777777" w:rsidR="00AE09E8" w:rsidRPr="00AE09E8" w:rsidRDefault="00AE09E8" w:rsidP="00AE09E8">
      <w:pPr>
        <w:pStyle w:val="BodyText"/>
        <w:ind w:left="284"/>
        <w:rPr>
          <w:color w:val="auto"/>
        </w:rPr>
      </w:pPr>
      <w:r>
        <w:rPr>
          <w:color w:val="auto"/>
        </w:rPr>
        <w:t>Ar PP organizētāja elastīgu sfēru tiek noteikts, ka AI ir jānosaka darbības, kas ietilpst PP organizētāja kompetencē. Tā ietvaros AI nosaka robežas attiecībā uz objektu grupām, kā arī veiktos mērījumus un raksturlielumus.</w:t>
      </w:r>
    </w:p>
    <w:p w14:paraId="323EDC71" w14:textId="77777777" w:rsidR="00AE09E8" w:rsidRPr="00F57F84" w:rsidRDefault="00AE09E8" w:rsidP="00AE09E8">
      <w:pPr>
        <w:ind w:left="284"/>
        <w:contextualSpacing/>
        <w:jc w:val="both"/>
        <w:rPr>
          <w:rFonts w:ascii="Times New Roman" w:eastAsia="Times New Roman" w:hAnsi="Times New Roman" w:cs="Times New Roman"/>
          <w:noProof/>
          <w:sz w:val="24"/>
          <w:szCs w:val="24"/>
        </w:rPr>
      </w:pPr>
    </w:p>
    <w:p w14:paraId="309B9D83" w14:textId="77777777" w:rsidR="00AE09E8" w:rsidRPr="00AE09E8" w:rsidRDefault="00AE09E8" w:rsidP="00AE09E8">
      <w:pPr>
        <w:pStyle w:val="BodyText"/>
        <w:ind w:left="284"/>
        <w:rPr>
          <w:color w:val="auto"/>
        </w:rPr>
      </w:pPr>
      <w:r>
        <w:rPr>
          <w:color w:val="auto"/>
        </w:rPr>
        <w:t>Elastīguma pakāpēs var ietilpt PP organizētāja piedāvātās PP shēmas, PP objektu veids un mērāmie lielumi vai raksturlielumi, ko nepieciešams identificēt, izmērīt vai testēt. Piešķirot elastīguma pakāpi, jāņem vērā PP organizētāja tehniskā kompetence iegūt vai sagatavot piemērotus viendabīgus un stabilus PP objektus ar labi noteiktām un pietiekami precīzām izmērāmo mērķlielumu vērtībām, kā arī tehniskā kompetence attiecībā uz testa procedūrām, kas izmantotas šo PP objektu analīzei.</w:t>
      </w:r>
    </w:p>
    <w:p w14:paraId="5CF688D9" w14:textId="77777777" w:rsidR="00AE09E8" w:rsidRPr="00F57F84" w:rsidRDefault="00AE09E8" w:rsidP="00AE09E8">
      <w:pPr>
        <w:contextualSpacing/>
        <w:jc w:val="both"/>
        <w:rPr>
          <w:rFonts w:ascii="Times New Roman" w:hAnsi="Times New Roman" w:cs="Times New Roman"/>
          <w:noProof/>
          <w:sz w:val="24"/>
          <w:szCs w:val="24"/>
        </w:rPr>
      </w:pPr>
    </w:p>
    <w:p w14:paraId="78ECDA00" w14:textId="77777777" w:rsidR="00AE09E8" w:rsidRPr="00AE09E8" w:rsidRDefault="00AE09E8" w:rsidP="00AE09E8">
      <w:pPr>
        <w:rPr>
          <w:rFonts w:ascii="Times New Roman" w:eastAsia="Times New Roman" w:hAnsi="Times New Roman" w:cs="Times New Roman"/>
          <w:noProof/>
          <w:sz w:val="24"/>
          <w:szCs w:val="24"/>
        </w:rPr>
      </w:pPr>
      <w:r>
        <w:br w:type="page"/>
      </w:r>
    </w:p>
    <w:p w14:paraId="317424CB" w14:textId="77777777" w:rsidR="00AE09E8" w:rsidRPr="00F57F84" w:rsidRDefault="00AE09E8" w:rsidP="00AE09E8">
      <w:pPr>
        <w:contextualSpacing/>
        <w:jc w:val="both"/>
        <w:rPr>
          <w:rFonts w:ascii="Times New Roman" w:eastAsia="Times New Roman" w:hAnsi="Times New Roman" w:cs="Times New Roman"/>
          <w:noProof/>
          <w:sz w:val="24"/>
          <w:szCs w:val="24"/>
        </w:rPr>
      </w:pPr>
    </w:p>
    <w:p w14:paraId="4FB43DB6" w14:textId="77777777" w:rsidR="00AE09E8" w:rsidRPr="00AE09E8" w:rsidRDefault="00AE09E8" w:rsidP="00AE09E8">
      <w:pPr>
        <w:pStyle w:val="Heading1"/>
        <w:rPr>
          <w:color w:val="auto"/>
        </w:rPr>
      </w:pPr>
      <w:bookmarkStart w:id="38" w:name="_Toc117087850"/>
      <w:r>
        <w:rPr>
          <w:color w:val="auto"/>
        </w:rPr>
        <w:t>PĀRSKATĪŠANAS TABULA</w:t>
      </w:r>
      <w:bookmarkStart w:id="39" w:name="_bookmark19"/>
      <w:bookmarkEnd w:id="38"/>
      <w:bookmarkEnd w:id="39"/>
    </w:p>
    <w:p w14:paraId="50B05146" w14:textId="77777777" w:rsidR="00AE09E8" w:rsidRPr="00F57F84" w:rsidRDefault="00AE09E8" w:rsidP="00AE09E8">
      <w:pPr>
        <w:contextualSpacing/>
        <w:jc w:val="both"/>
        <w:rPr>
          <w:rFonts w:ascii="Times New Roman" w:eastAsia="Times New Roman" w:hAnsi="Times New Roman" w:cs="Times New Roman"/>
          <w:b/>
          <w:bCs/>
          <w:noProof/>
          <w:sz w:val="24"/>
          <w:szCs w:val="24"/>
        </w:rPr>
      </w:pPr>
    </w:p>
    <w:p w14:paraId="172AC253" w14:textId="77777777" w:rsidR="00AE09E8" w:rsidRPr="00AE09E8" w:rsidRDefault="00AE09E8" w:rsidP="00AE09E8">
      <w:pPr>
        <w:pStyle w:val="BodyText"/>
        <w:rPr>
          <w:color w:val="auto"/>
        </w:rPr>
      </w:pPr>
      <w:r>
        <w:rPr>
          <w:color w:val="auto"/>
        </w:rPr>
        <w:t>Šajā tabulā ir sniegts kopsavilkums par galvenajām izmaiņām, kas veiktas šajā dokumentā attiecībā pret iepriekšējo versiju.</w:t>
      </w:r>
    </w:p>
    <w:p w14:paraId="5E6DA019" w14:textId="77777777" w:rsidR="00AE09E8" w:rsidRPr="00F57F84" w:rsidRDefault="00AE09E8" w:rsidP="00AE09E8">
      <w:pPr>
        <w:contextualSpacing/>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565"/>
        <w:gridCol w:w="4566"/>
      </w:tblGrid>
      <w:tr w:rsidR="00AE09E8" w:rsidRPr="00AE09E8" w14:paraId="36006E70" w14:textId="77777777" w:rsidTr="00A515C0">
        <w:tc>
          <w:tcPr>
            <w:tcW w:w="2500" w:type="pct"/>
            <w:tcBorders>
              <w:top w:val="single" w:sz="5" w:space="0" w:color="000000"/>
              <w:left w:val="single" w:sz="5" w:space="0" w:color="000000"/>
              <w:bottom w:val="single" w:sz="5" w:space="0" w:color="000000"/>
              <w:right w:val="single" w:sz="5" w:space="0" w:color="000000"/>
            </w:tcBorders>
          </w:tcPr>
          <w:p w14:paraId="2EA3D6E5" w14:textId="77777777" w:rsidR="00AE09E8" w:rsidRPr="00AE09E8" w:rsidRDefault="00AE09E8" w:rsidP="00A515C0">
            <w:pPr>
              <w:pStyle w:val="TableParagraph"/>
              <w:contextualSpacing/>
              <w:jc w:val="both"/>
              <w:rPr>
                <w:rFonts w:ascii="Times New Roman" w:hAnsi="Times New Roman" w:cs="Times New Roman"/>
                <w:b/>
                <w:noProof/>
                <w:sz w:val="24"/>
                <w:szCs w:val="24"/>
              </w:rPr>
            </w:pPr>
            <w:r>
              <w:rPr>
                <w:rFonts w:ascii="Times New Roman" w:hAnsi="Times New Roman"/>
                <w:b/>
                <w:sz w:val="24"/>
              </w:rPr>
              <w:t>Iedaļa</w:t>
            </w:r>
          </w:p>
        </w:tc>
        <w:tc>
          <w:tcPr>
            <w:tcW w:w="2500" w:type="pct"/>
            <w:tcBorders>
              <w:top w:val="single" w:sz="5" w:space="0" w:color="000000"/>
              <w:left w:val="single" w:sz="5" w:space="0" w:color="000000"/>
              <w:bottom w:val="single" w:sz="5" w:space="0" w:color="000000"/>
              <w:right w:val="single" w:sz="5" w:space="0" w:color="000000"/>
            </w:tcBorders>
          </w:tcPr>
          <w:p w14:paraId="5E77D3AD" w14:textId="77777777" w:rsidR="00AE09E8" w:rsidRPr="00AE09E8" w:rsidRDefault="00AE09E8" w:rsidP="00A515C0">
            <w:pPr>
              <w:pStyle w:val="TableParagraph"/>
              <w:contextualSpacing/>
              <w:jc w:val="both"/>
              <w:rPr>
                <w:rFonts w:ascii="Times New Roman" w:hAnsi="Times New Roman" w:cs="Times New Roman"/>
                <w:b/>
                <w:noProof/>
                <w:sz w:val="24"/>
                <w:szCs w:val="24"/>
              </w:rPr>
            </w:pPr>
            <w:r>
              <w:rPr>
                <w:rFonts w:ascii="Times New Roman" w:hAnsi="Times New Roman"/>
                <w:b/>
                <w:sz w:val="24"/>
              </w:rPr>
              <w:t>Grozījumi</w:t>
            </w:r>
          </w:p>
        </w:tc>
      </w:tr>
      <w:tr w:rsidR="00AE09E8" w:rsidRPr="00AE09E8" w14:paraId="02EC0212" w14:textId="77777777" w:rsidTr="00A515C0">
        <w:tc>
          <w:tcPr>
            <w:tcW w:w="2500" w:type="pct"/>
            <w:tcBorders>
              <w:top w:val="single" w:sz="5" w:space="0" w:color="000000"/>
              <w:left w:val="single" w:sz="5" w:space="0" w:color="000000"/>
              <w:bottom w:val="single" w:sz="5" w:space="0" w:color="000000"/>
              <w:right w:val="single" w:sz="5" w:space="0" w:color="000000"/>
            </w:tcBorders>
          </w:tcPr>
          <w:p w14:paraId="49998951" w14:textId="77777777" w:rsidR="00AE09E8" w:rsidRPr="00AE09E8" w:rsidRDefault="00AE09E8" w:rsidP="00A515C0">
            <w:pPr>
              <w:pStyle w:val="TableParagraph"/>
              <w:contextualSpacing/>
              <w:jc w:val="both"/>
              <w:rPr>
                <w:rFonts w:ascii="Times New Roman" w:hAnsi="Times New Roman" w:cs="Times New Roman"/>
                <w:noProof/>
                <w:sz w:val="24"/>
                <w:szCs w:val="24"/>
              </w:rPr>
            </w:pPr>
            <w:r>
              <w:rPr>
                <w:rFonts w:ascii="Times New Roman" w:hAnsi="Times New Roman"/>
                <w:sz w:val="24"/>
              </w:rPr>
              <w:t>Visas</w:t>
            </w:r>
          </w:p>
        </w:tc>
        <w:tc>
          <w:tcPr>
            <w:tcW w:w="2500" w:type="pct"/>
            <w:tcBorders>
              <w:top w:val="single" w:sz="5" w:space="0" w:color="000000"/>
              <w:left w:val="single" w:sz="5" w:space="0" w:color="000000"/>
              <w:bottom w:val="single" w:sz="5" w:space="0" w:color="000000"/>
              <w:right w:val="single" w:sz="5" w:space="0" w:color="000000"/>
            </w:tcBorders>
          </w:tcPr>
          <w:p w14:paraId="2235BEF8" w14:textId="77777777" w:rsidR="00AE09E8" w:rsidRPr="00AE09E8" w:rsidRDefault="00AE09E8" w:rsidP="00A515C0">
            <w:pPr>
              <w:pStyle w:val="TableParagraph"/>
              <w:contextualSpacing/>
              <w:jc w:val="both"/>
              <w:rPr>
                <w:rFonts w:ascii="Times New Roman" w:hAnsi="Times New Roman" w:cs="Times New Roman"/>
                <w:noProof/>
                <w:sz w:val="24"/>
                <w:szCs w:val="24"/>
              </w:rPr>
            </w:pPr>
            <w:r>
              <w:rPr>
                <w:rFonts w:ascii="Times New Roman" w:hAnsi="Times New Roman"/>
                <w:sz w:val="24"/>
              </w:rPr>
              <w:t>Pilnīga pārstrādāšana.</w:t>
            </w:r>
          </w:p>
        </w:tc>
      </w:tr>
      <w:tr w:rsidR="00AE09E8" w:rsidRPr="00AE09E8" w14:paraId="563C56FB" w14:textId="77777777" w:rsidTr="00A515C0">
        <w:tc>
          <w:tcPr>
            <w:tcW w:w="2500" w:type="pct"/>
            <w:tcBorders>
              <w:top w:val="single" w:sz="5" w:space="0" w:color="000000"/>
              <w:left w:val="single" w:sz="5" w:space="0" w:color="000000"/>
              <w:bottom w:val="single" w:sz="5" w:space="0" w:color="000000"/>
              <w:right w:val="single" w:sz="5" w:space="0" w:color="000000"/>
            </w:tcBorders>
          </w:tcPr>
          <w:p w14:paraId="33181514" w14:textId="77777777" w:rsidR="00AE09E8" w:rsidRPr="00AE09E8" w:rsidRDefault="00AE09E8" w:rsidP="00A515C0">
            <w:pPr>
              <w:contextualSpacing/>
              <w:jc w:val="both"/>
              <w:rPr>
                <w:rFonts w:ascii="Times New Roman" w:hAnsi="Times New Roman" w:cs="Times New Roman"/>
                <w:noProof/>
                <w:sz w:val="24"/>
                <w:szCs w:val="24"/>
              </w:rPr>
            </w:pPr>
          </w:p>
        </w:tc>
        <w:tc>
          <w:tcPr>
            <w:tcW w:w="2500" w:type="pct"/>
            <w:tcBorders>
              <w:top w:val="single" w:sz="5" w:space="0" w:color="000000"/>
              <w:left w:val="single" w:sz="5" w:space="0" w:color="000000"/>
              <w:bottom w:val="single" w:sz="5" w:space="0" w:color="000000"/>
              <w:right w:val="single" w:sz="5" w:space="0" w:color="000000"/>
            </w:tcBorders>
          </w:tcPr>
          <w:p w14:paraId="3DED5E02" w14:textId="77777777" w:rsidR="00AE09E8" w:rsidRPr="00AE09E8" w:rsidRDefault="00AE09E8" w:rsidP="00A515C0">
            <w:pPr>
              <w:contextualSpacing/>
              <w:jc w:val="both"/>
              <w:rPr>
                <w:rFonts w:ascii="Times New Roman" w:hAnsi="Times New Roman" w:cs="Times New Roman"/>
                <w:noProof/>
                <w:sz w:val="24"/>
                <w:szCs w:val="24"/>
              </w:rPr>
            </w:pPr>
          </w:p>
        </w:tc>
      </w:tr>
    </w:tbl>
    <w:p w14:paraId="63E1B65F" w14:textId="77777777" w:rsidR="00AE09E8" w:rsidRPr="00F57F84" w:rsidRDefault="00AE09E8" w:rsidP="00AE09E8">
      <w:pPr>
        <w:contextualSpacing/>
        <w:jc w:val="both"/>
        <w:rPr>
          <w:rFonts w:ascii="Times New Roman" w:hAnsi="Times New Roman" w:cs="Times New Roman"/>
          <w:noProof/>
          <w:sz w:val="24"/>
          <w:szCs w:val="24"/>
        </w:rPr>
      </w:pPr>
    </w:p>
    <w:sectPr w:rsidR="00AE09E8" w:rsidRPr="00F57F84" w:rsidSect="00400FA0">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2D3C" w14:textId="77777777" w:rsidR="00411335" w:rsidRPr="00AE09E8" w:rsidRDefault="00411335">
      <w:pPr>
        <w:rPr>
          <w:noProof/>
        </w:rPr>
      </w:pPr>
      <w:r w:rsidRPr="00AE09E8">
        <w:rPr>
          <w:noProof/>
        </w:rPr>
        <w:separator/>
      </w:r>
    </w:p>
  </w:endnote>
  <w:endnote w:type="continuationSeparator" w:id="0">
    <w:p w14:paraId="10FF38CD" w14:textId="77777777" w:rsidR="00411335" w:rsidRPr="00AE09E8" w:rsidRDefault="00411335">
      <w:pPr>
        <w:rPr>
          <w:noProof/>
        </w:rPr>
      </w:pPr>
      <w:r w:rsidRPr="00AE09E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F43D" w14:textId="77777777" w:rsidR="00964225" w:rsidRPr="00864FDC" w:rsidRDefault="00964225" w:rsidP="00964225">
    <w:pPr>
      <w:pStyle w:val="Header"/>
      <w:tabs>
        <w:tab w:val="left" w:pos="9072"/>
      </w:tabs>
      <w:rPr>
        <w:rStyle w:val="PageNumber"/>
        <w:rFonts w:ascii="Times New Roman" w:hAnsi="Times New Roman" w:cs="Times New Roman"/>
        <w:sz w:val="20"/>
        <w:szCs w:val="18"/>
      </w:rPr>
    </w:pPr>
  </w:p>
  <w:p w14:paraId="1FD58AB3" w14:textId="77777777" w:rsidR="00964225" w:rsidRPr="00864FDC" w:rsidRDefault="00964225" w:rsidP="00964225">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5E36B3E4" w14:textId="77777777" w:rsidR="00964225" w:rsidRPr="00864FDC" w:rsidRDefault="00964225" w:rsidP="00964225">
    <w:pPr>
      <w:pStyle w:val="Header"/>
      <w:tabs>
        <w:tab w:val="right" w:pos="9072"/>
      </w:tabs>
      <w:rPr>
        <w:rStyle w:val="PageNumber"/>
        <w:rFonts w:ascii="Times New Roman" w:hAnsi="Times New Roman" w:cs="Times New Roman"/>
        <w:sz w:val="20"/>
        <w:szCs w:val="18"/>
      </w:rPr>
    </w:pPr>
  </w:p>
  <w:p w14:paraId="73A01AE0" w14:textId="77777777" w:rsidR="00964225" w:rsidRPr="00BB74CB" w:rsidRDefault="00964225" w:rsidP="00964225">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2</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E14B" w14:textId="77777777" w:rsidR="00F84128" w:rsidRPr="00864FDC" w:rsidRDefault="00F84128" w:rsidP="00F84128">
    <w:pPr>
      <w:pStyle w:val="Header"/>
      <w:tabs>
        <w:tab w:val="left" w:pos="9072"/>
      </w:tabs>
      <w:rPr>
        <w:rStyle w:val="PageNumber"/>
        <w:rFonts w:ascii="Times New Roman" w:hAnsi="Times New Roman" w:cs="Times New Roman"/>
        <w:sz w:val="20"/>
        <w:szCs w:val="18"/>
      </w:rPr>
    </w:pPr>
    <w:bookmarkStart w:id="58" w:name="_Hlk496261764"/>
    <w:bookmarkStart w:id="59" w:name="_Hlk496261765"/>
    <w:bookmarkStart w:id="60" w:name="_Hlk496261766"/>
    <w:bookmarkStart w:id="61" w:name="_Hlk30491075"/>
    <w:bookmarkStart w:id="62" w:name="_Hlk30491076"/>
  </w:p>
  <w:p w14:paraId="6458CB51" w14:textId="77777777" w:rsidR="00F84128" w:rsidRPr="00864FDC" w:rsidRDefault="00F84128" w:rsidP="00F84128">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3D7CD0CC" w14:textId="77777777" w:rsidR="00F84128" w:rsidRPr="00864FDC" w:rsidRDefault="00F84128" w:rsidP="00F84128">
    <w:pPr>
      <w:pStyle w:val="Header"/>
      <w:tabs>
        <w:tab w:val="left" w:pos="9072"/>
      </w:tabs>
      <w:jc w:val="center"/>
      <w:rPr>
        <w:rStyle w:val="PageNumber"/>
        <w:rFonts w:ascii="Times New Roman" w:hAnsi="Times New Roman" w:cs="Times New Roman"/>
        <w:sz w:val="20"/>
        <w:szCs w:val="18"/>
      </w:rPr>
    </w:pPr>
  </w:p>
  <w:p w14:paraId="743539BA" w14:textId="4F0ACF46" w:rsidR="00AE09E8" w:rsidRPr="00F84128" w:rsidRDefault="00F84128">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58"/>
    <w:bookmarkEnd w:id="59"/>
    <w:bookmarkEnd w:id="60"/>
    <w:r w:rsidRPr="00864FDC">
      <w:rPr>
        <w:rFonts w:ascii="Times New Roman" w:hAnsi="Times New Roman" w:cs="Times New Roman"/>
        <w:noProof/>
        <w:sz w:val="20"/>
        <w:szCs w:val="18"/>
      </w:rPr>
      <w:t>2</w:t>
    </w:r>
    <w:bookmarkEnd w:id="61"/>
    <w:bookmarkEnd w:id="62"/>
    <w:r>
      <w:rPr>
        <w:rFonts w:ascii="Times New Roman" w:hAnsi="Times New Roman" w:cs="Times New Roman"/>
        <w:noProof/>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B7F7" w14:textId="77777777" w:rsidR="00411335" w:rsidRPr="00AE09E8" w:rsidRDefault="00411335">
      <w:pPr>
        <w:rPr>
          <w:noProof/>
        </w:rPr>
      </w:pPr>
      <w:r w:rsidRPr="00AE09E8">
        <w:rPr>
          <w:noProof/>
        </w:rPr>
        <w:separator/>
      </w:r>
    </w:p>
  </w:footnote>
  <w:footnote w:type="continuationSeparator" w:id="0">
    <w:p w14:paraId="039EE39E" w14:textId="77777777" w:rsidR="00411335" w:rsidRPr="00AE09E8" w:rsidRDefault="00411335">
      <w:pPr>
        <w:rPr>
          <w:noProof/>
        </w:rPr>
      </w:pPr>
      <w:r w:rsidRPr="00AE09E8">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983F" w14:textId="77777777" w:rsidR="00AE6607" w:rsidRPr="00864FDC" w:rsidRDefault="00AE6607" w:rsidP="00AE6607">
    <w:pPr>
      <w:pStyle w:val="Header"/>
      <w:rPr>
        <w:rStyle w:val="PageNumber"/>
        <w:rFonts w:ascii="Times New Roman" w:hAnsi="Times New Roman" w:cs="Times New Roman"/>
        <w:sz w:val="20"/>
        <w:szCs w:val="20"/>
      </w:rPr>
    </w:pPr>
    <w:bookmarkStart w:id="40" w:name="_Hlk496261784"/>
    <w:bookmarkStart w:id="41" w:name="_Hlk496261785"/>
    <w:bookmarkStart w:id="42" w:name="_Hlk496261786"/>
    <w:bookmarkStart w:id="43" w:name="_Hlk502757728"/>
    <w:bookmarkStart w:id="44" w:name="_Hlk502757729"/>
    <w:bookmarkStart w:id="45" w:name="_Hlk502757738"/>
    <w:bookmarkStart w:id="46" w:name="_Hlk502757739"/>
    <w:bookmarkStart w:id="47" w:name="_Hlk30491084"/>
    <w:bookmarkStart w:id="48" w:name="_Hlk30491085"/>
    <w:bookmarkStart w:id="49" w:name="_Hlk63344778"/>
    <w:bookmarkStart w:id="50" w:name="_Hlk63344779"/>
    <w:bookmarkStart w:id="51" w:name="_Hlk63344780"/>
    <w:bookmarkStart w:id="52" w:name="_Hlk63344781"/>
  </w:p>
  <w:p w14:paraId="7B59A32B" w14:textId="77777777" w:rsidR="00AE6607" w:rsidRPr="00864FDC" w:rsidRDefault="00AE6607" w:rsidP="00AE6607">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40"/>
  <w:bookmarkEnd w:id="41"/>
  <w:bookmarkEnd w:id="42"/>
  <w:bookmarkEnd w:id="43"/>
  <w:bookmarkEnd w:id="44"/>
  <w:bookmarkEnd w:id="45"/>
  <w:bookmarkEnd w:id="46"/>
  <w:bookmarkEnd w:id="47"/>
  <w:bookmarkEnd w:id="48"/>
  <w:bookmarkEnd w:id="49"/>
  <w:bookmarkEnd w:id="50"/>
  <w:bookmarkEnd w:id="51"/>
  <w:bookmarkEnd w:id="52"/>
  <w:p w14:paraId="38D5933F" w14:textId="77777777" w:rsidR="00AE6607" w:rsidRPr="008935F3" w:rsidRDefault="00AE6607" w:rsidP="00AE6607">
    <w:pPr>
      <w:pStyle w:val="Header"/>
    </w:pPr>
  </w:p>
  <w:p w14:paraId="3593A51E" w14:textId="74630AB3" w:rsidR="005F2BBF" w:rsidRPr="00821F06" w:rsidRDefault="005F2BBF">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CA12" w14:textId="77777777" w:rsidR="008F04FC" w:rsidRPr="00864FDC" w:rsidRDefault="008F04FC" w:rsidP="008F04FC">
    <w:pPr>
      <w:pBdr>
        <w:bottom w:val="single" w:sz="12" w:space="5" w:color="auto"/>
      </w:pBdr>
      <w:rPr>
        <w:rFonts w:ascii="Times New Roman" w:hAnsi="Times New Roman" w:cs="Times New Roman"/>
        <w:spacing w:val="-2"/>
        <w:sz w:val="20"/>
        <w:szCs w:val="20"/>
      </w:rPr>
    </w:pPr>
    <w:bookmarkStart w:id="53" w:name="_Hlk496261745"/>
    <w:bookmarkStart w:id="54" w:name="_Hlk496261746"/>
    <w:bookmarkStart w:id="55" w:name="_Hlk496261747"/>
    <w:bookmarkStart w:id="56" w:name="_Hlk30491063"/>
    <w:bookmarkStart w:id="57" w:name="_Hlk30491064"/>
  </w:p>
  <w:bookmarkEnd w:id="53"/>
  <w:bookmarkEnd w:id="54"/>
  <w:bookmarkEnd w:id="55"/>
  <w:bookmarkEnd w:id="56"/>
  <w:bookmarkEnd w:id="57"/>
  <w:p w14:paraId="2802680F" w14:textId="77777777" w:rsidR="00AE09E8" w:rsidRDefault="00AE0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418B"/>
    <w:multiLevelType w:val="hybridMultilevel"/>
    <w:tmpl w:val="6DC463CA"/>
    <w:lvl w:ilvl="0" w:tplc="D7EE4B7C">
      <w:start w:val="1"/>
      <w:numFmt w:val="bullet"/>
      <w:lvlText w:val=""/>
      <w:lvlJc w:val="left"/>
      <w:pPr>
        <w:ind w:left="1045" w:hanging="360"/>
      </w:pPr>
      <w:rPr>
        <w:rFonts w:ascii="Symbol" w:eastAsia="Symbol" w:hAnsi="Symbol" w:hint="default"/>
        <w:color w:val="272527"/>
        <w:sz w:val="21"/>
        <w:szCs w:val="21"/>
      </w:rPr>
    </w:lvl>
    <w:lvl w:ilvl="1" w:tplc="44E4607C">
      <w:start w:val="1"/>
      <w:numFmt w:val="bullet"/>
      <w:lvlText w:val="•"/>
      <w:lvlJc w:val="left"/>
      <w:pPr>
        <w:ind w:left="1863" w:hanging="360"/>
      </w:pPr>
      <w:rPr>
        <w:rFonts w:hint="default"/>
      </w:rPr>
    </w:lvl>
    <w:lvl w:ilvl="2" w:tplc="DD5822C0">
      <w:start w:val="1"/>
      <w:numFmt w:val="bullet"/>
      <w:lvlText w:val="•"/>
      <w:lvlJc w:val="left"/>
      <w:pPr>
        <w:ind w:left="2681" w:hanging="360"/>
      </w:pPr>
      <w:rPr>
        <w:rFonts w:hint="default"/>
      </w:rPr>
    </w:lvl>
    <w:lvl w:ilvl="3" w:tplc="8EAAB10A">
      <w:start w:val="1"/>
      <w:numFmt w:val="bullet"/>
      <w:lvlText w:val="•"/>
      <w:lvlJc w:val="left"/>
      <w:pPr>
        <w:ind w:left="3499" w:hanging="360"/>
      </w:pPr>
      <w:rPr>
        <w:rFonts w:hint="default"/>
      </w:rPr>
    </w:lvl>
    <w:lvl w:ilvl="4" w:tplc="3D544190">
      <w:start w:val="1"/>
      <w:numFmt w:val="bullet"/>
      <w:lvlText w:val="•"/>
      <w:lvlJc w:val="left"/>
      <w:pPr>
        <w:ind w:left="4317" w:hanging="360"/>
      </w:pPr>
      <w:rPr>
        <w:rFonts w:hint="default"/>
      </w:rPr>
    </w:lvl>
    <w:lvl w:ilvl="5" w:tplc="9C4EFDA4">
      <w:start w:val="1"/>
      <w:numFmt w:val="bullet"/>
      <w:lvlText w:val="•"/>
      <w:lvlJc w:val="left"/>
      <w:pPr>
        <w:ind w:left="5136" w:hanging="360"/>
      </w:pPr>
      <w:rPr>
        <w:rFonts w:hint="default"/>
      </w:rPr>
    </w:lvl>
    <w:lvl w:ilvl="6" w:tplc="361653CE">
      <w:start w:val="1"/>
      <w:numFmt w:val="bullet"/>
      <w:lvlText w:val="•"/>
      <w:lvlJc w:val="left"/>
      <w:pPr>
        <w:ind w:left="5954" w:hanging="360"/>
      </w:pPr>
      <w:rPr>
        <w:rFonts w:hint="default"/>
      </w:rPr>
    </w:lvl>
    <w:lvl w:ilvl="7" w:tplc="5F1E94B4">
      <w:start w:val="1"/>
      <w:numFmt w:val="bullet"/>
      <w:lvlText w:val="•"/>
      <w:lvlJc w:val="left"/>
      <w:pPr>
        <w:ind w:left="6772" w:hanging="360"/>
      </w:pPr>
      <w:rPr>
        <w:rFonts w:hint="default"/>
      </w:rPr>
    </w:lvl>
    <w:lvl w:ilvl="8" w:tplc="2CAE9EC0">
      <w:start w:val="1"/>
      <w:numFmt w:val="bullet"/>
      <w:lvlText w:val="•"/>
      <w:lvlJc w:val="left"/>
      <w:pPr>
        <w:ind w:left="7590" w:hanging="360"/>
      </w:pPr>
      <w:rPr>
        <w:rFonts w:hint="default"/>
      </w:rPr>
    </w:lvl>
  </w:abstractNum>
  <w:abstractNum w:abstractNumId="1" w15:restartNumberingAfterBreak="0">
    <w:nsid w:val="0B6964B4"/>
    <w:multiLevelType w:val="multilevel"/>
    <w:tmpl w:val="3D8C85D2"/>
    <w:lvl w:ilvl="0">
      <w:start w:val="1"/>
      <w:numFmt w:val="decimal"/>
      <w:lvlText w:val="%1"/>
      <w:lvlJc w:val="left"/>
      <w:pPr>
        <w:ind w:left="698" w:hanging="541"/>
      </w:pPr>
      <w:rPr>
        <w:rFonts w:hint="default"/>
      </w:rPr>
    </w:lvl>
    <w:lvl w:ilvl="1">
      <w:start w:val="1"/>
      <w:numFmt w:val="decimal"/>
      <w:lvlText w:val="%1.%2"/>
      <w:lvlJc w:val="left"/>
      <w:pPr>
        <w:ind w:left="698" w:hanging="541"/>
      </w:pPr>
      <w:rPr>
        <w:rFonts w:ascii="Times New Roman" w:eastAsia="Times New Roman" w:hAnsi="Times New Roman" w:hint="default"/>
        <w:b/>
        <w:bCs/>
        <w:sz w:val="20"/>
        <w:szCs w:val="20"/>
      </w:rPr>
    </w:lvl>
    <w:lvl w:ilvl="2">
      <w:start w:val="1"/>
      <w:numFmt w:val="bullet"/>
      <w:lvlText w:val="•"/>
      <w:lvlJc w:val="left"/>
      <w:pPr>
        <w:ind w:left="2423" w:hanging="541"/>
      </w:pPr>
      <w:rPr>
        <w:rFonts w:hint="default"/>
      </w:rPr>
    </w:lvl>
    <w:lvl w:ilvl="3">
      <w:start w:val="1"/>
      <w:numFmt w:val="bullet"/>
      <w:lvlText w:val="•"/>
      <w:lvlJc w:val="left"/>
      <w:pPr>
        <w:ind w:left="3286" w:hanging="541"/>
      </w:pPr>
      <w:rPr>
        <w:rFonts w:hint="default"/>
      </w:rPr>
    </w:lvl>
    <w:lvl w:ilvl="4">
      <w:start w:val="1"/>
      <w:numFmt w:val="bullet"/>
      <w:lvlText w:val="•"/>
      <w:lvlJc w:val="left"/>
      <w:pPr>
        <w:ind w:left="4149" w:hanging="541"/>
      </w:pPr>
      <w:rPr>
        <w:rFonts w:hint="default"/>
      </w:rPr>
    </w:lvl>
    <w:lvl w:ilvl="5">
      <w:start w:val="1"/>
      <w:numFmt w:val="bullet"/>
      <w:lvlText w:val="•"/>
      <w:lvlJc w:val="left"/>
      <w:pPr>
        <w:ind w:left="5012" w:hanging="541"/>
      </w:pPr>
      <w:rPr>
        <w:rFonts w:hint="default"/>
      </w:rPr>
    </w:lvl>
    <w:lvl w:ilvl="6">
      <w:start w:val="1"/>
      <w:numFmt w:val="bullet"/>
      <w:lvlText w:val="•"/>
      <w:lvlJc w:val="left"/>
      <w:pPr>
        <w:ind w:left="5875" w:hanging="541"/>
      </w:pPr>
      <w:rPr>
        <w:rFonts w:hint="default"/>
      </w:rPr>
    </w:lvl>
    <w:lvl w:ilvl="7">
      <w:start w:val="1"/>
      <w:numFmt w:val="bullet"/>
      <w:lvlText w:val="•"/>
      <w:lvlJc w:val="left"/>
      <w:pPr>
        <w:ind w:left="6737" w:hanging="541"/>
      </w:pPr>
      <w:rPr>
        <w:rFonts w:hint="default"/>
      </w:rPr>
    </w:lvl>
    <w:lvl w:ilvl="8">
      <w:start w:val="1"/>
      <w:numFmt w:val="bullet"/>
      <w:lvlText w:val="•"/>
      <w:lvlJc w:val="left"/>
      <w:pPr>
        <w:ind w:left="7600" w:hanging="541"/>
      </w:pPr>
      <w:rPr>
        <w:rFonts w:hint="default"/>
      </w:rPr>
    </w:lvl>
  </w:abstractNum>
  <w:abstractNum w:abstractNumId="2" w15:restartNumberingAfterBreak="0">
    <w:nsid w:val="4CBC0934"/>
    <w:multiLevelType w:val="multilevel"/>
    <w:tmpl w:val="8BB2C416"/>
    <w:lvl w:ilvl="0">
      <w:start w:val="7"/>
      <w:numFmt w:val="decimal"/>
      <w:lvlText w:val="%1"/>
      <w:lvlJc w:val="left"/>
      <w:pPr>
        <w:ind w:left="157" w:hanging="551"/>
      </w:pPr>
      <w:rPr>
        <w:rFonts w:hint="default"/>
      </w:rPr>
    </w:lvl>
    <w:lvl w:ilvl="1">
      <w:start w:val="8"/>
      <w:numFmt w:val="decimal"/>
      <w:lvlText w:val="%1.%2"/>
      <w:lvlJc w:val="left"/>
      <w:pPr>
        <w:ind w:left="157" w:hanging="551"/>
      </w:pPr>
      <w:rPr>
        <w:rFonts w:hint="default"/>
      </w:rPr>
    </w:lvl>
    <w:lvl w:ilvl="2">
      <w:start w:val="3"/>
      <w:numFmt w:val="decimal"/>
      <w:lvlText w:val="%1.%2.%3."/>
      <w:lvlJc w:val="left"/>
      <w:pPr>
        <w:ind w:left="157" w:hanging="551"/>
      </w:pPr>
      <w:rPr>
        <w:rFonts w:ascii="Times New Roman" w:eastAsia="Times New Roman" w:hAnsi="Times New Roman" w:hint="default"/>
        <w:w w:val="99"/>
        <w:sz w:val="22"/>
        <w:szCs w:val="22"/>
      </w:rPr>
    </w:lvl>
    <w:lvl w:ilvl="3">
      <w:start w:val="1"/>
      <w:numFmt w:val="lowerLetter"/>
      <w:lvlText w:val="%4)"/>
      <w:lvlJc w:val="left"/>
      <w:pPr>
        <w:ind w:left="1292" w:hanging="567"/>
      </w:pPr>
      <w:rPr>
        <w:rFonts w:ascii="Times New Roman" w:eastAsia="Times New Roman" w:hAnsi="Times New Roman" w:hint="default"/>
        <w:spacing w:val="-1"/>
        <w:w w:val="99"/>
        <w:sz w:val="22"/>
        <w:szCs w:val="22"/>
      </w:rPr>
    </w:lvl>
    <w:lvl w:ilvl="4">
      <w:start w:val="1"/>
      <w:numFmt w:val="lowerRoman"/>
      <w:lvlText w:val="%5)"/>
      <w:lvlJc w:val="left"/>
      <w:pPr>
        <w:ind w:left="2142" w:hanging="851"/>
      </w:pPr>
      <w:rPr>
        <w:rFonts w:ascii="Times New Roman" w:eastAsia="Times New Roman" w:hAnsi="Times New Roman" w:hint="default"/>
        <w:w w:val="99"/>
        <w:sz w:val="22"/>
        <w:szCs w:val="22"/>
      </w:rPr>
    </w:lvl>
    <w:lvl w:ilvl="5">
      <w:start w:val="1"/>
      <w:numFmt w:val="bullet"/>
      <w:lvlText w:val="•"/>
      <w:lvlJc w:val="left"/>
      <w:pPr>
        <w:ind w:left="4836" w:hanging="851"/>
      </w:pPr>
      <w:rPr>
        <w:rFonts w:hint="default"/>
      </w:rPr>
    </w:lvl>
    <w:lvl w:ilvl="6">
      <w:start w:val="1"/>
      <w:numFmt w:val="bullet"/>
      <w:lvlText w:val="•"/>
      <w:lvlJc w:val="left"/>
      <w:pPr>
        <w:ind w:left="5734" w:hanging="851"/>
      </w:pPr>
      <w:rPr>
        <w:rFonts w:hint="default"/>
      </w:rPr>
    </w:lvl>
    <w:lvl w:ilvl="7">
      <w:start w:val="1"/>
      <w:numFmt w:val="bullet"/>
      <w:lvlText w:val="•"/>
      <w:lvlJc w:val="left"/>
      <w:pPr>
        <w:ind w:left="6632" w:hanging="851"/>
      </w:pPr>
      <w:rPr>
        <w:rFonts w:hint="default"/>
      </w:rPr>
    </w:lvl>
    <w:lvl w:ilvl="8">
      <w:start w:val="1"/>
      <w:numFmt w:val="bullet"/>
      <w:lvlText w:val="•"/>
      <w:lvlJc w:val="left"/>
      <w:pPr>
        <w:ind w:left="7530" w:hanging="851"/>
      </w:pPr>
      <w:rPr>
        <w:rFonts w:hint="default"/>
      </w:rPr>
    </w:lvl>
  </w:abstractNum>
  <w:abstractNum w:abstractNumId="3" w15:restartNumberingAfterBreak="0">
    <w:nsid w:val="5FE401DC"/>
    <w:multiLevelType w:val="multilevel"/>
    <w:tmpl w:val="113803B8"/>
    <w:lvl w:ilvl="0">
      <w:start w:val="1"/>
      <w:numFmt w:val="decimal"/>
      <w:lvlText w:val="%1"/>
      <w:lvlJc w:val="left"/>
      <w:pPr>
        <w:ind w:left="1292" w:hanging="567"/>
      </w:pPr>
      <w:rPr>
        <w:rFonts w:hint="default"/>
      </w:rPr>
    </w:lvl>
    <w:lvl w:ilvl="1">
      <w:start w:val="1"/>
      <w:numFmt w:val="decimal"/>
      <w:lvlText w:val="%1.%2"/>
      <w:lvlJc w:val="left"/>
      <w:pPr>
        <w:ind w:left="1292" w:hanging="567"/>
      </w:pPr>
      <w:rPr>
        <w:rFonts w:ascii="Times New Roman" w:eastAsia="Times New Roman" w:hAnsi="Times New Roman" w:hint="default"/>
        <w:b/>
        <w:bCs/>
        <w:sz w:val="24"/>
        <w:szCs w:val="24"/>
      </w:rPr>
    </w:lvl>
    <w:lvl w:ilvl="2">
      <w:start w:val="1"/>
      <w:numFmt w:val="bullet"/>
      <w:lvlText w:val="•"/>
      <w:lvlJc w:val="left"/>
      <w:pPr>
        <w:ind w:left="2898" w:hanging="567"/>
      </w:pPr>
      <w:rPr>
        <w:rFonts w:hint="default"/>
      </w:rPr>
    </w:lvl>
    <w:lvl w:ilvl="3">
      <w:start w:val="1"/>
      <w:numFmt w:val="bullet"/>
      <w:lvlText w:val="•"/>
      <w:lvlJc w:val="left"/>
      <w:pPr>
        <w:ind w:left="3702" w:hanging="567"/>
      </w:pPr>
      <w:rPr>
        <w:rFonts w:hint="default"/>
      </w:rPr>
    </w:lvl>
    <w:lvl w:ilvl="4">
      <w:start w:val="1"/>
      <w:numFmt w:val="bullet"/>
      <w:lvlText w:val="•"/>
      <w:lvlJc w:val="left"/>
      <w:pPr>
        <w:ind w:left="4505" w:hanging="567"/>
      </w:pPr>
      <w:rPr>
        <w:rFonts w:hint="default"/>
      </w:rPr>
    </w:lvl>
    <w:lvl w:ilvl="5">
      <w:start w:val="1"/>
      <w:numFmt w:val="bullet"/>
      <w:lvlText w:val="•"/>
      <w:lvlJc w:val="left"/>
      <w:pPr>
        <w:ind w:left="5309" w:hanging="567"/>
      </w:pPr>
      <w:rPr>
        <w:rFonts w:hint="default"/>
      </w:rPr>
    </w:lvl>
    <w:lvl w:ilvl="6">
      <w:start w:val="1"/>
      <w:numFmt w:val="bullet"/>
      <w:lvlText w:val="•"/>
      <w:lvlJc w:val="left"/>
      <w:pPr>
        <w:ind w:left="6112" w:hanging="567"/>
      </w:pPr>
      <w:rPr>
        <w:rFonts w:hint="default"/>
      </w:rPr>
    </w:lvl>
    <w:lvl w:ilvl="7">
      <w:start w:val="1"/>
      <w:numFmt w:val="bullet"/>
      <w:lvlText w:val="•"/>
      <w:lvlJc w:val="left"/>
      <w:pPr>
        <w:ind w:left="6916" w:hanging="567"/>
      </w:pPr>
      <w:rPr>
        <w:rFonts w:hint="default"/>
      </w:rPr>
    </w:lvl>
    <w:lvl w:ilvl="8">
      <w:start w:val="1"/>
      <w:numFmt w:val="bullet"/>
      <w:lvlText w:val="•"/>
      <w:lvlJc w:val="left"/>
      <w:pPr>
        <w:ind w:left="7719" w:hanging="567"/>
      </w:pPr>
      <w:rPr>
        <w:rFonts w:hint="default"/>
      </w:rPr>
    </w:lvl>
  </w:abstractNum>
  <w:abstractNum w:abstractNumId="4" w15:restartNumberingAfterBreak="0">
    <w:nsid w:val="7C040404"/>
    <w:multiLevelType w:val="hybridMultilevel"/>
    <w:tmpl w:val="6F126696"/>
    <w:lvl w:ilvl="0" w:tplc="E63C1270">
      <w:start w:val="1"/>
      <w:numFmt w:val="bullet"/>
      <w:lvlText w:val="•"/>
      <w:lvlJc w:val="left"/>
      <w:pPr>
        <w:ind w:left="1292" w:hanging="567"/>
      </w:pPr>
      <w:rPr>
        <w:rFonts w:ascii="Times New Roman" w:eastAsia="Times New Roman" w:hAnsi="Times New Roman" w:hint="default"/>
        <w:w w:val="99"/>
        <w:sz w:val="22"/>
        <w:szCs w:val="22"/>
      </w:rPr>
    </w:lvl>
    <w:lvl w:ilvl="1" w:tplc="A3B29442">
      <w:start w:val="1"/>
      <w:numFmt w:val="bullet"/>
      <w:lvlText w:val="•"/>
      <w:lvlJc w:val="left"/>
      <w:pPr>
        <w:ind w:left="2095" w:hanging="567"/>
      </w:pPr>
      <w:rPr>
        <w:rFonts w:hint="default"/>
      </w:rPr>
    </w:lvl>
    <w:lvl w:ilvl="2" w:tplc="536829F4">
      <w:start w:val="1"/>
      <w:numFmt w:val="bullet"/>
      <w:lvlText w:val="•"/>
      <w:lvlJc w:val="left"/>
      <w:pPr>
        <w:ind w:left="2898" w:hanging="567"/>
      </w:pPr>
      <w:rPr>
        <w:rFonts w:hint="default"/>
      </w:rPr>
    </w:lvl>
    <w:lvl w:ilvl="3" w:tplc="0226C87E">
      <w:start w:val="1"/>
      <w:numFmt w:val="bullet"/>
      <w:lvlText w:val="•"/>
      <w:lvlJc w:val="left"/>
      <w:pPr>
        <w:ind w:left="3702" w:hanging="567"/>
      </w:pPr>
      <w:rPr>
        <w:rFonts w:hint="default"/>
      </w:rPr>
    </w:lvl>
    <w:lvl w:ilvl="4" w:tplc="45183062">
      <w:start w:val="1"/>
      <w:numFmt w:val="bullet"/>
      <w:lvlText w:val="•"/>
      <w:lvlJc w:val="left"/>
      <w:pPr>
        <w:ind w:left="4505" w:hanging="567"/>
      </w:pPr>
      <w:rPr>
        <w:rFonts w:hint="default"/>
      </w:rPr>
    </w:lvl>
    <w:lvl w:ilvl="5" w:tplc="762AB906">
      <w:start w:val="1"/>
      <w:numFmt w:val="bullet"/>
      <w:lvlText w:val="•"/>
      <w:lvlJc w:val="left"/>
      <w:pPr>
        <w:ind w:left="5309" w:hanging="567"/>
      </w:pPr>
      <w:rPr>
        <w:rFonts w:hint="default"/>
      </w:rPr>
    </w:lvl>
    <w:lvl w:ilvl="6" w:tplc="C14C1DDE">
      <w:start w:val="1"/>
      <w:numFmt w:val="bullet"/>
      <w:lvlText w:val="•"/>
      <w:lvlJc w:val="left"/>
      <w:pPr>
        <w:ind w:left="6112" w:hanging="567"/>
      </w:pPr>
      <w:rPr>
        <w:rFonts w:hint="default"/>
      </w:rPr>
    </w:lvl>
    <w:lvl w:ilvl="7" w:tplc="57DC1042">
      <w:start w:val="1"/>
      <w:numFmt w:val="bullet"/>
      <w:lvlText w:val="•"/>
      <w:lvlJc w:val="left"/>
      <w:pPr>
        <w:ind w:left="6916" w:hanging="567"/>
      </w:pPr>
      <w:rPr>
        <w:rFonts w:hint="default"/>
      </w:rPr>
    </w:lvl>
    <w:lvl w:ilvl="8" w:tplc="28F81422">
      <w:start w:val="1"/>
      <w:numFmt w:val="bullet"/>
      <w:lvlText w:val="•"/>
      <w:lvlJc w:val="left"/>
      <w:pPr>
        <w:ind w:left="7719" w:hanging="567"/>
      </w:pPr>
      <w:rPr>
        <w:rFonts w:hint="default"/>
      </w:rPr>
    </w:lvl>
  </w:abstractNum>
  <w:num w:numId="1" w16cid:durableId="1548833189">
    <w:abstractNumId w:val="4"/>
  </w:num>
  <w:num w:numId="2" w16cid:durableId="1919442260">
    <w:abstractNumId w:val="2"/>
  </w:num>
  <w:num w:numId="3" w16cid:durableId="145783323">
    <w:abstractNumId w:val="3"/>
  </w:num>
  <w:num w:numId="4" w16cid:durableId="1084767967">
    <w:abstractNumId w:val="1"/>
  </w:num>
  <w:num w:numId="5" w16cid:durableId="149710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F2BBF"/>
    <w:rsid w:val="000B2B7C"/>
    <w:rsid w:val="001F64CE"/>
    <w:rsid w:val="003044E8"/>
    <w:rsid w:val="00305FE8"/>
    <w:rsid w:val="00400FA0"/>
    <w:rsid w:val="00411335"/>
    <w:rsid w:val="005F2BBF"/>
    <w:rsid w:val="00821F06"/>
    <w:rsid w:val="00854B5A"/>
    <w:rsid w:val="00855065"/>
    <w:rsid w:val="008F04FC"/>
    <w:rsid w:val="009004C8"/>
    <w:rsid w:val="00964225"/>
    <w:rsid w:val="0099295F"/>
    <w:rsid w:val="009E1524"/>
    <w:rsid w:val="00A87161"/>
    <w:rsid w:val="00AE09E8"/>
    <w:rsid w:val="00AE6607"/>
    <w:rsid w:val="00BE169E"/>
    <w:rsid w:val="00C72B41"/>
    <w:rsid w:val="00C8191A"/>
    <w:rsid w:val="00D74C45"/>
    <w:rsid w:val="00E1418D"/>
    <w:rsid w:val="00E833A6"/>
    <w:rsid w:val="00EB7226"/>
    <w:rsid w:val="00ED4683"/>
    <w:rsid w:val="00F223C3"/>
    <w:rsid w:val="00F57F84"/>
    <w:rsid w:val="00F806FB"/>
    <w:rsid w:val="00F80B6F"/>
    <w:rsid w:val="00F84128"/>
    <w:rsid w:val="00FD40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3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uiPriority w:val="9"/>
    <w:qFormat/>
    <w:rsid w:val="00C8191A"/>
    <w:pPr>
      <w:outlineLvl w:val="0"/>
    </w:pPr>
    <w:rPr>
      <w:b/>
      <w:bCs/>
    </w:rPr>
  </w:style>
  <w:style w:type="paragraph" w:styleId="Heading2">
    <w:name w:val="heading 2"/>
    <w:basedOn w:val="Normal"/>
    <w:uiPriority w:val="9"/>
    <w:unhideWhenUsed/>
    <w:qFormat/>
    <w:pPr>
      <w:ind w:left="725"/>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59"/>
    </w:pPr>
    <w:rPr>
      <w:rFonts w:ascii="Times New Roman" w:eastAsia="Times New Roman" w:hAnsi="Times New Roman"/>
      <w:b/>
      <w:bCs/>
    </w:rPr>
  </w:style>
  <w:style w:type="paragraph" w:styleId="TOC2">
    <w:name w:val="toc 2"/>
    <w:basedOn w:val="Normal"/>
    <w:uiPriority w:val="1"/>
    <w:qFormat/>
    <w:pPr>
      <w:spacing w:before="241"/>
    </w:pPr>
    <w:rPr>
      <w:rFonts w:ascii="Times New Roman" w:eastAsia="Times New Roman" w:hAnsi="Times New Roman"/>
      <w:b/>
      <w:bCs/>
      <w:sz w:val="20"/>
      <w:szCs w:val="20"/>
    </w:rPr>
  </w:style>
  <w:style w:type="paragraph" w:styleId="TOC3">
    <w:name w:val="toc 3"/>
    <w:basedOn w:val="Normal"/>
    <w:uiPriority w:val="1"/>
    <w:qFormat/>
    <w:pPr>
      <w:spacing w:before="240"/>
      <w:ind w:left="698" w:hanging="541"/>
    </w:pPr>
    <w:rPr>
      <w:rFonts w:ascii="Times New Roman" w:eastAsia="Times New Roman" w:hAnsi="Times New Roman"/>
      <w:b/>
      <w:bCs/>
      <w:sz w:val="20"/>
      <w:szCs w:val="20"/>
    </w:rPr>
  </w:style>
  <w:style w:type="paragraph" w:styleId="BodyText">
    <w:name w:val="Body Text"/>
    <w:basedOn w:val="Normal"/>
    <w:uiPriority w:val="1"/>
    <w:qFormat/>
    <w:rsid w:val="0099295F"/>
    <w:pPr>
      <w:contextualSpacing/>
      <w:jc w:val="both"/>
    </w:pPr>
    <w:rPr>
      <w:rFonts w:ascii="Times New Roman" w:hAnsi="Times New Roman" w:cs="Times New Roman"/>
      <w:noProof/>
      <w:color w:val="272527"/>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21F06"/>
    <w:pPr>
      <w:tabs>
        <w:tab w:val="center" w:pos="4513"/>
        <w:tab w:val="right" w:pos="9026"/>
      </w:tabs>
    </w:pPr>
  </w:style>
  <w:style w:type="character" w:customStyle="1" w:styleId="HeaderChar">
    <w:name w:val="Header Char"/>
    <w:basedOn w:val="DefaultParagraphFont"/>
    <w:link w:val="Header"/>
    <w:uiPriority w:val="99"/>
    <w:rsid w:val="00821F06"/>
  </w:style>
  <w:style w:type="paragraph" w:styleId="Footer">
    <w:name w:val="footer"/>
    <w:basedOn w:val="Normal"/>
    <w:link w:val="FooterChar"/>
    <w:unhideWhenUsed/>
    <w:rsid w:val="00821F06"/>
    <w:pPr>
      <w:tabs>
        <w:tab w:val="center" w:pos="4513"/>
        <w:tab w:val="right" w:pos="9026"/>
      </w:tabs>
    </w:pPr>
  </w:style>
  <w:style w:type="character" w:customStyle="1" w:styleId="FooterChar">
    <w:name w:val="Footer Char"/>
    <w:basedOn w:val="DefaultParagraphFont"/>
    <w:link w:val="Footer"/>
    <w:uiPriority w:val="99"/>
    <w:rsid w:val="00821F06"/>
  </w:style>
  <w:style w:type="character" w:styleId="Hyperlink">
    <w:name w:val="Hyperlink"/>
    <w:basedOn w:val="DefaultParagraphFont"/>
    <w:uiPriority w:val="99"/>
    <w:unhideWhenUsed/>
    <w:rsid w:val="00F80B6F"/>
    <w:rPr>
      <w:color w:val="0000FF" w:themeColor="hyperlink"/>
      <w:u w:val="single"/>
    </w:rPr>
  </w:style>
  <w:style w:type="character" w:styleId="UnresolvedMention">
    <w:name w:val="Unresolved Mention"/>
    <w:basedOn w:val="DefaultParagraphFont"/>
    <w:uiPriority w:val="99"/>
    <w:semiHidden/>
    <w:unhideWhenUsed/>
    <w:rsid w:val="00F80B6F"/>
    <w:rPr>
      <w:color w:val="605E5C"/>
      <w:shd w:val="clear" w:color="auto" w:fill="E1DFDD"/>
    </w:rPr>
  </w:style>
  <w:style w:type="table" w:styleId="TableGrid">
    <w:name w:val="Table Grid"/>
    <w:basedOn w:val="TableNormal"/>
    <w:uiPriority w:val="39"/>
    <w:rsid w:val="00C7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F64CE"/>
    <w:pPr>
      <w:keepNext/>
      <w:keepLines/>
      <w:widowControl/>
      <w:spacing w:before="240" w:line="259" w:lineRule="auto"/>
      <w:contextualSpacing w:val="0"/>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 w:type="character" w:styleId="PageNumber">
    <w:name w:val="page number"/>
    <w:basedOn w:val="DefaultParagraphFont"/>
    <w:semiHidden/>
    <w:rsid w:val="00F84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820489-C8FF-47B3-991E-2BEB665E5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4050A-4A97-4225-9A11-B81D60EAA01F}">
  <ds:schemaRefs>
    <ds:schemaRef ds:uri="http://schemas.microsoft.com/sharepoint/v3/contenttype/forms"/>
  </ds:schemaRefs>
</ds:datastoreItem>
</file>

<file path=customXml/itemProps3.xml><?xml version="1.0" encoding="utf-8"?>
<ds:datastoreItem xmlns:ds="http://schemas.openxmlformats.org/officeDocument/2006/customXml" ds:itemID="{1064E6D3-02AA-46D1-9D85-43B9D5C99CB3}">
  <ds:schemaRefs>
    <ds:schemaRef ds:uri="http://schemas.openxmlformats.org/officeDocument/2006/bibliography"/>
  </ds:schemaRefs>
</ds:datastoreItem>
</file>

<file path=customXml/itemProps4.xml><?xml version="1.0" encoding="utf-8"?>
<ds:datastoreItem xmlns:ds="http://schemas.openxmlformats.org/officeDocument/2006/customXml" ds:itemID="{4E9F24A8-3E7E-4904-A0AB-03CB8A9AFD30}"/>
</file>

<file path=docProps/app.xml><?xml version="1.0" encoding="utf-8"?>
<Properties xmlns="http://schemas.openxmlformats.org/officeDocument/2006/extended-properties" xmlns:vt="http://schemas.openxmlformats.org/officeDocument/2006/docPropsVTypes">
  <Template>Normal</Template>
  <TotalTime>0</TotalTime>
  <Pages>15</Pages>
  <Words>14260</Words>
  <Characters>8129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2022-06-30T09:31:00Z</dcterms:created>
  <dcterms:modified xsi:type="dcterms:W3CDTF">2022-10-19T13:06:00Z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