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EA23" w14:textId="77777777" w:rsidR="00102B35" w:rsidRPr="00102B35" w:rsidRDefault="00102B35" w:rsidP="00102B35">
      <w:pPr>
        <w:jc w:val="both"/>
        <w:rPr>
          <w:rFonts w:ascii="Times New Roman" w:eastAsia="Times New Roman" w:hAnsi="Times New Roman" w:cs="Times New Roman"/>
          <w:noProof/>
          <w:sz w:val="24"/>
          <w:szCs w:val="24"/>
        </w:rPr>
      </w:pPr>
    </w:p>
    <w:p w14:paraId="07E8FB76" w14:textId="77777777" w:rsidR="00102B35" w:rsidRPr="00102B35" w:rsidRDefault="00102B35" w:rsidP="00102B35">
      <w:pPr>
        <w:jc w:val="center"/>
        <w:rPr>
          <w:rFonts w:ascii="Times New Roman" w:eastAsia="Times New Roman" w:hAnsi="Times New Roman" w:cs="Times New Roman"/>
          <w:i/>
          <w:iCs/>
          <w:noProof/>
          <w:sz w:val="24"/>
          <w:szCs w:val="24"/>
        </w:rPr>
      </w:pPr>
      <w:r>
        <w:rPr>
          <w:rFonts w:ascii="Times New Roman" w:hAnsi="Times New Roman"/>
          <w:i/>
          <w:sz w:val="24"/>
        </w:rPr>
        <w:t>EA-7/04 – Atbilstība tiesību aktiem kā akreditētas ISO 14001:2015 sertifikācijas sastāvdaļa</w:t>
      </w:r>
    </w:p>
    <w:p w14:paraId="1003A0EE" w14:textId="77777777" w:rsidR="00102B35" w:rsidRPr="00102B35" w:rsidRDefault="00102B35" w:rsidP="00102B3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02B35" w:rsidRPr="00102B35" w14:paraId="4CCDAC3A" w14:textId="77777777" w:rsidTr="0093708D">
        <w:tc>
          <w:tcPr>
            <w:tcW w:w="5000" w:type="pct"/>
          </w:tcPr>
          <w:p w14:paraId="764193BD" w14:textId="77777777" w:rsidR="00102B35" w:rsidRPr="00102B35" w:rsidRDefault="00102B35" w:rsidP="0093708D">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916690F" wp14:editId="0BC92FE8">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762625" cy="802640"/>
                          </a:xfrm>
                          <a:prstGeom prst="rect">
                            <a:avLst/>
                          </a:prstGeom>
                        </pic:spPr>
                      </pic:pic>
                    </a:graphicData>
                  </a:graphic>
                </wp:inline>
              </w:drawing>
            </w:r>
          </w:p>
        </w:tc>
      </w:tr>
      <w:tr w:rsidR="00102B35" w:rsidRPr="00102B35" w14:paraId="1C6A3C2A" w14:textId="77777777" w:rsidTr="0093708D">
        <w:tc>
          <w:tcPr>
            <w:tcW w:w="5000" w:type="pct"/>
          </w:tcPr>
          <w:p w14:paraId="0954FC93" w14:textId="77777777" w:rsidR="00102B35" w:rsidRPr="00102B35" w:rsidRDefault="00102B35" w:rsidP="0093708D">
            <w:pPr>
              <w:jc w:val="both"/>
              <w:rPr>
                <w:rFonts w:ascii="Times New Roman" w:eastAsia="Times New Roman" w:hAnsi="Times New Roman" w:cs="Times New Roman"/>
                <w:b/>
                <w:bCs/>
                <w:noProof/>
                <w:sz w:val="24"/>
                <w:szCs w:val="24"/>
              </w:rPr>
            </w:pPr>
            <w:r>
              <w:rPr>
                <w:rFonts w:ascii="Times New Roman" w:hAnsi="Times New Roman"/>
                <w:b/>
                <w:sz w:val="24"/>
              </w:rPr>
              <w:t>EIROPAS AKREDITĀCIJAS SADARBĪBAS ORGANIZĀCIJA</w:t>
            </w:r>
          </w:p>
        </w:tc>
      </w:tr>
    </w:tbl>
    <w:p w14:paraId="3292E9E8" w14:textId="77777777" w:rsidR="00102B35" w:rsidRPr="00102B35" w:rsidRDefault="00102B35" w:rsidP="00102B35">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5"/>
        <w:gridCol w:w="4916"/>
      </w:tblGrid>
      <w:tr w:rsidR="00102B35" w:rsidRPr="00102B35" w14:paraId="4664659F" w14:textId="77777777" w:rsidTr="0093708D">
        <w:tc>
          <w:tcPr>
            <w:tcW w:w="2308" w:type="pct"/>
          </w:tcPr>
          <w:p w14:paraId="49242A2B" w14:textId="77777777" w:rsidR="00102B35" w:rsidRPr="00102B35" w:rsidRDefault="00102B35" w:rsidP="0093708D">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692" w:type="pct"/>
          </w:tcPr>
          <w:p w14:paraId="0B729901" w14:textId="77777777" w:rsidR="00102B35" w:rsidRPr="00102B35" w:rsidRDefault="00102B35" w:rsidP="0093708D">
            <w:pPr>
              <w:jc w:val="right"/>
              <w:rPr>
                <w:rFonts w:ascii="Times New Roman" w:eastAsia="Times New Roman" w:hAnsi="Times New Roman" w:cs="Times New Roman"/>
                <w:noProof/>
                <w:sz w:val="32"/>
                <w:szCs w:val="32"/>
              </w:rPr>
            </w:pPr>
            <w:r>
              <w:rPr>
                <w:rFonts w:ascii="Times New Roman" w:hAnsi="Times New Roman"/>
                <w:b/>
                <w:sz w:val="48"/>
              </w:rPr>
              <w:t>EA-7</w:t>
            </w:r>
            <w:r>
              <w:rPr>
                <w:rFonts w:ascii="Times New Roman" w:hAnsi="Times New Roman"/>
                <w:sz w:val="48"/>
              </w:rPr>
              <w:t>/04 M: 2017</w:t>
            </w:r>
          </w:p>
        </w:tc>
      </w:tr>
    </w:tbl>
    <w:p w14:paraId="149B6FB0" w14:textId="77777777" w:rsidR="00102B35" w:rsidRPr="00102B35" w:rsidRDefault="00102B35" w:rsidP="00102B35">
      <w:pPr>
        <w:jc w:val="both"/>
        <w:rPr>
          <w:rFonts w:ascii="Times New Roman" w:eastAsia="Times New Roman" w:hAnsi="Times New Roman" w:cs="Times New Roman"/>
          <w:noProof/>
          <w:sz w:val="24"/>
          <w:szCs w:val="24"/>
        </w:rPr>
      </w:pPr>
    </w:p>
    <w:p w14:paraId="2A186E22" w14:textId="77777777" w:rsidR="00102B35" w:rsidRPr="00102B35" w:rsidRDefault="00102B35" w:rsidP="00102B35">
      <w:pPr>
        <w:jc w:val="both"/>
        <w:rPr>
          <w:rFonts w:ascii="Times New Roman" w:eastAsia="Arial" w:hAnsi="Times New Roman" w:cs="Times New Roman"/>
          <w:i/>
          <w:noProof/>
          <w:sz w:val="24"/>
          <w:szCs w:val="24"/>
        </w:rPr>
      </w:pPr>
    </w:p>
    <w:p w14:paraId="0645D4DD" w14:textId="77777777" w:rsidR="00102B35" w:rsidRPr="00102B35" w:rsidRDefault="00102B35" w:rsidP="00102B35">
      <w:pPr>
        <w:jc w:val="both"/>
        <w:rPr>
          <w:rFonts w:ascii="Times New Roman" w:eastAsia="Arial" w:hAnsi="Times New Roman" w:cs="Times New Roman"/>
          <w:i/>
          <w:noProof/>
          <w:sz w:val="24"/>
          <w:szCs w:val="24"/>
        </w:rPr>
      </w:pPr>
    </w:p>
    <w:p w14:paraId="4003D2D7" w14:textId="77777777" w:rsidR="00102B35" w:rsidRPr="00102B35" w:rsidRDefault="00102B35" w:rsidP="00102B35">
      <w:pPr>
        <w:jc w:val="center"/>
        <w:rPr>
          <w:rFonts w:ascii="Times New Roman" w:eastAsia="Arial" w:hAnsi="Times New Roman" w:cs="Times New Roman"/>
          <w:b/>
          <w:bCs/>
          <w:iCs/>
          <w:noProof/>
          <w:sz w:val="60"/>
          <w:szCs w:val="60"/>
        </w:rPr>
      </w:pPr>
      <w:r>
        <w:rPr>
          <w:rFonts w:ascii="Times New Roman" w:hAnsi="Times New Roman"/>
          <w:b/>
          <w:sz w:val="60"/>
        </w:rPr>
        <w:t>Atbilstība tiesību aktiem kā akreditētas ISO 14001:2015 sertifikācijas sastāvdaļa</w:t>
      </w:r>
    </w:p>
    <w:p w14:paraId="6DBC508E" w14:textId="77777777" w:rsidR="00102B35" w:rsidRPr="00102B35" w:rsidRDefault="00102B35" w:rsidP="00102B35">
      <w:pPr>
        <w:jc w:val="both"/>
        <w:rPr>
          <w:rFonts w:ascii="Times New Roman" w:eastAsia="Arial" w:hAnsi="Times New Roman" w:cs="Times New Roman"/>
          <w:i/>
          <w:noProof/>
          <w:sz w:val="24"/>
          <w:szCs w:val="24"/>
        </w:rPr>
      </w:pPr>
    </w:p>
    <w:p w14:paraId="6C6B383E" w14:textId="77777777" w:rsidR="00102B35" w:rsidRPr="00102B35" w:rsidRDefault="00102B35" w:rsidP="00102B35">
      <w:pPr>
        <w:jc w:val="both"/>
        <w:rPr>
          <w:rFonts w:ascii="Times New Roman" w:eastAsia="Arial" w:hAnsi="Times New Roman" w:cs="Times New Roman"/>
          <w:i/>
          <w:noProof/>
          <w:sz w:val="24"/>
          <w:szCs w:val="24"/>
        </w:rPr>
      </w:pPr>
    </w:p>
    <w:p w14:paraId="685988A6" w14:textId="77777777" w:rsidR="00102B35" w:rsidRPr="00102B35" w:rsidRDefault="00102B35" w:rsidP="00102B35">
      <w:pPr>
        <w:jc w:val="both"/>
        <w:rPr>
          <w:rFonts w:ascii="Times New Roman" w:eastAsia="Arial" w:hAnsi="Times New Roman" w:cs="Times New Roman"/>
          <w:i/>
          <w:noProof/>
          <w:sz w:val="24"/>
          <w:szCs w:val="24"/>
        </w:rPr>
      </w:pPr>
    </w:p>
    <w:p w14:paraId="4DDC3852" w14:textId="77777777" w:rsidR="00102B35" w:rsidRPr="00102B35" w:rsidRDefault="00102B35" w:rsidP="00102B35">
      <w:pPr>
        <w:jc w:val="both"/>
        <w:rPr>
          <w:rFonts w:ascii="Times New Roman" w:eastAsia="Arial" w:hAnsi="Times New Roman" w:cs="Times New Roman"/>
          <w:i/>
          <w:noProof/>
          <w:sz w:val="24"/>
          <w:szCs w:val="24"/>
        </w:rPr>
      </w:pPr>
    </w:p>
    <w:p w14:paraId="146990D6" w14:textId="77777777" w:rsidR="00102B35" w:rsidRPr="00102B35" w:rsidRDefault="00102B35" w:rsidP="00102B35">
      <w:pPr>
        <w:jc w:val="both"/>
        <w:rPr>
          <w:rFonts w:ascii="Times New Roman" w:eastAsia="Arial" w:hAnsi="Times New Roman" w:cs="Times New Roman"/>
          <w:i/>
          <w:noProof/>
          <w:sz w:val="24"/>
          <w:szCs w:val="24"/>
        </w:rPr>
      </w:pPr>
    </w:p>
    <w:p w14:paraId="30E61C90" w14:textId="77777777" w:rsidR="00102B35" w:rsidRPr="00102B35" w:rsidRDefault="00102B35" w:rsidP="00102B35">
      <w:pPr>
        <w:jc w:val="both"/>
        <w:rPr>
          <w:rFonts w:ascii="Times New Roman" w:eastAsia="Arial" w:hAnsi="Times New Roman" w:cs="Times New Roman"/>
          <w:i/>
          <w:noProof/>
          <w:sz w:val="24"/>
          <w:szCs w:val="24"/>
        </w:rPr>
      </w:pPr>
    </w:p>
    <w:p w14:paraId="06E28A58" w14:textId="77777777" w:rsidR="00102B35" w:rsidRPr="00102B35" w:rsidRDefault="00102B35" w:rsidP="00102B35">
      <w:pPr>
        <w:jc w:val="both"/>
        <w:rPr>
          <w:rFonts w:ascii="Times New Roman" w:eastAsia="Arial" w:hAnsi="Times New Roman" w:cs="Times New Roman"/>
          <w:i/>
          <w:noProof/>
          <w:sz w:val="24"/>
          <w:szCs w:val="24"/>
        </w:rPr>
      </w:pPr>
    </w:p>
    <w:p w14:paraId="3BE21721" w14:textId="77777777" w:rsidR="00102B35" w:rsidRPr="00102B35" w:rsidRDefault="00102B35" w:rsidP="00102B35">
      <w:pPr>
        <w:jc w:val="both"/>
        <w:rPr>
          <w:rFonts w:ascii="Times New Roman" w:eastAsia="Arial" w:hAnsi="Times New Roman" w:cs="Times New Roman"/>
          <w:i/>
          <w:noProof/>
          <w:sz w:val="24"/>
          <w:szCs w:val="24"/>
        </w:rPr>
      </w:pPr>
    </w:p>
    <w:p w14:paraId="6B9E1990" w14:textId="77777777" w:rsidR="00102B35" w:rsidRPr="00102B35" w:rsidRDefault="00102B35" w:rsidP="00102B35">
      <w:pPr>
        <w:jc w:val="both"/>
        <w:rPr>
          <w:rFonts w:ascii="Times New Roman" w:eastAsia="Arial" w:hAnsi="Times New Roman" w:cs="Times New Roman"/>
          <w:i/>
          <w:noProof/>
          <w:sz w:val="24"/>
          <w:szCs w:val="24"/>
        </w:rPr>
      </w:pPr>
    </w:p>
    <w:p w14:paraId="2B479B94" w14:textId="77777777" w:rsidR="00102B35" w:rsidRPr="00102B35" w:rsidRDefault="00102B35" w:rsidP="00102B35">
      <w:pPr>
        <w:jc w:val="both"/>
        <w:rPr>
          <w:rFonts w:ascii="Times New Roman" w:eastAsia="Arial" w:hAnsi="Times New Roman" w:cs="Times New Roman"/>
          <w:i/>
          <w:noProof/>
          <w:sz w:val="24"/>
          <w:szCs w:val="24"/>
        </w:rPr>
      </w:pPr>
    </w:p>
    <w:p w14:paraId="752856C0" w14:textId="77777777" w:rsidR="00102B35" w:rsidRPr="00102B35" w:rsidRDefault="00102B35" w:rsidP="00102B35">
      <w:pPr>
        <w:jc w:val="both"/>
        <w:rPr>
          <w:rFonts w:ascii="Times New Roman" w:eastAsia="Arial" w:hAnsi="Times New Roman" w:cs="Times New Roman"/>
          <w:i/>
          <w:noProof/>
          <w:sz w:val="24"/>
          <w:szCs w:val="24"/>
        </w:rPr>
      </w:pPr>
    </w:p>
    <w:p w14:paraId="279509B9" w14:textId="77777777" w:rsidR="00102B35" w:rsidRPr="00102B35" w:rsidRDefault="00102B35" w:rsidP="00102B35">
      <w:pPr>
        <w:jc w:val="both"/>
        <w:rPr>
          <w:rFonts w:ascii="Times New Roman" w:eastAsia="Arial" w:hAnsi="Times New Roman" w:cs="Times New Roman"/>
          <w:i/>
          <w:noProof/>
          <w:sz w:val="24"/>
          <w:szCs w:val="24"/>
        </w:rPr>
      </w:pPr>
    </w:p>
    <w:p w14:paraId="1BA2CF5B" w14:textId="77777777" w:rsidR="00102B35" w:rsidRPr="00102B35" w:rsidRDefault="00102B35" w:rsidP="00102B35">
      <w:pPr>
        <w:jc w:val="both"/>
        <w:rPr>
          <w:rFonts w:ascii="Times New Roman" w:eastAsia="Arial" w:hAnsi="Times New Roman" w:cs="Times New Roman"/>
          <w:i/>
          <w:noProof/>
          <w:sz w:val="24"/>
          <w:szCs w:val="24"/>
        </w:rPr>
      </w:pPr>
    </w:p>
    <w:p w14:paraId="4FF9A508" w14:textId="77777777" w:rsidR="00102B35" w:rsidRPr="00102B35" w:rsidRDefault="00102B35" w:rsidP="00102B35">
      <w:pPr>
        <w:jc w:val="both"/>
        <w:rPr>
          <w:rFonts w:ascii="Times New Roman" w:eastAsia="Arial" w:hAnsi="Times New Roman" w:cs="Times New Roman"/>
          <w:i/>
          <w:noProof/>
          <w:sz w:val="24"/>
          <w:szCs w:val="24"/>
        </w:rPr>
      </w:pPr>
    </w:p>
    <w:p w14:paraId="373D0EFB" w14:textId="77777777" w:rsidR="00102B35" w:rsidRPr="00102B35" w:rsidRDefault="00102B35" w:rsidP="00102B35">
      <w:pPr>
        <w:pStyle w:val="BodyText"/>
        <w:rPr>
          <w:b/>
          <w:bCs/>
          <w:i/>
          <w:iCs/>
        </w:rPr>
      </w:pPr>
      <w:r>
        <w:rPr>
          <w:b/>
          <w:i/>
        </w:rPr>
        <w:t>MĒRĶIS</w:t>
      </w:r>
    </w:p>
    <w:p w14:paraId="3C747C50" w14:textId="77777777" w:rsidR="00102B35" w:rsidRPr="00102B35" w:rsidRDefault="00102B35" w:rsidP="00102B35">
      <w:pPr>
        <w:jc w:val="both"/>
        <w:rPr>
          <w:rFonts w:ascii="Times New Roman" w:eastAsia="Arial" w:hAnsi="Times New Roman" w:cs="Times New Roman"/>
          <w:noProof/>
          <w:sz w:val="24"/>
          <w:szCs w:val="24"/>
        </w:rPr>
      </w:pPr>
    </w:p>
    <w:p w14:paraId="5BD1EDB1" w14:textId="77777777" w:rsidR="00102B35" w:rsidRPr="00102B35" w:rsidRDefault="00102B35" w:rsidP="00102B35">
      <w:pPr>
        <w:pStyle w:val="BodyText"/>
      </w:pPr>
      <w:r>
        <w:t>Šo dokumentu ir sagatavojusi Eiropas akreditācijas sadarbības organizācijas (EA) darba grupa. Šā dokumenta mērķis ir sniegt noderīgu informāciju par saikni starp organizācijas akreditēto vides pārvaldības sistēmas (</w:t>
      </w:r>
      <w:r>
        <w:rPr>
          <w:i/>
          <w:iCs/>
        </w:rPr>
        <w:t>EMS</w:t>
      </w:r>
      <w:r>
        <w:t>) sertifikāciju saskaņā ar ISO 14001:2015 un šīs organizācijas atbilstības pakāpi piemērojamām vides prasībām.</w:t>
      </w:r>
    </w:p>
    <w:p w14:paraId="1F9876F8" w14:textId="77777777" w:rsidR="00102B35" w:rsidRPr="00102B35" w:rsidRDefault="00102B35" w:rsidP="00102B35">
      <w:pPr>
        <w:jc w:val="both"/>
        <w:rPr>
          <w:rFonts w:ascii="Times New Roman" w:eastAsia="Arial" w:hAnsi="Times New Roman" w:cs="Times New Roman"/>
          <w:noProof/>
          <w:sz w:val="24"/>
          <w:szCs w:val="24"/>
        </w:rPr>
      </w:pPr>
      <w:r>
        <w:br w:type="page"/>
      </w:r>
    </w:p>
    <w:p w14:paraId="3718CF80" w14:textId="77777777" w:rsidR="00102B35" w:rsidRPr="00102B35" w:rsidRDefault="00102B35" w:rsidP="00102B35">
      <w:pPr>
        <w:jc w:val="both"/>
        <w:rPr>
          <w:rFonts w:ascii="Times New Roman" w:eastAsia="Arial" w:hAnsi="Times New Roman" w:cs="Times New Roman"/>
          <w:noProof/>
          <w:sz w:val="24"/>
          <w:szCs w:val="24"/>
        </w:rPr>
      </w:pPr>
    </w:p>
    <w:p w14:paraId="4DDD3F4F" w14:textId="77777777" w:rsidR="00102B35" w:rsidRPr="00102B35" w:rsidRDefault="00102B35" w:rsidP="00102B35">
      <w:pPr>
        <w:jc w:val="both"/>
        <w:rPr>
          <w:rFonts w:ascii="Times New Roman" w:hAnsi="Times New Roman" w:cs="Times New Roman"/>
          <w:i/>
          <w:noProof/>
          <w:sz w:val="24"/>
          <w:szCs w:val="24"/>
        </w:rPr>
      </w:pPr>
      <w:r>
        <w:rPr>
          <w:rFonts w:ascii="Times New Roman" w:hAnsi="Times New Roman"/>
          <w:i/>
          <w:sz w:val="24"/>
        </w:rPr>
        <w:t>Autorība</w:t>
      </w:r>
    </w:p>
    <w:p w14:paraId="3BD2A36C" w14:textId="77777777" w:rsidR="00102B35" w:rsidRPr="00102B35" w:rsidRDefault="00102B35" w:rsidP="00102B35">
      <w:pPr>
        <w:pStyle w:val="BodyText"/>
      </w:pPr>
      <w:r>
        <w:t>Šo publikāciju ir sagatavojusi Sertifikācijas komiteja.</w:t>
      </w:r>
    </w:p>
    <w:p w14:paraId="1AD44B64" w14:textId="77777777" w:rsidR="00102B35" w:rsidRPr="00102B35" w:rsidRDefault="00102B35" w:rsidP="00102B35">
      <w:pPr>
        <w:jc w:val="both"/>
        <w:rPr>
          <w:rFonts w:ascii="Times New Roman" w:eastAsia="Arial" w:hAnsi="Times New Roman" w:cs="Times New Roman"/>
          <w:noProof/>
          <w:sz w:val="24"/>
          <w:szCs w:val="24"/>
        </w:rPr>
      </w:pPr>
    </w:p>
    <w:p w14:paraId="5D5CF70B" w14:textId="77777777" w:rsidR="00102B35" w:rsidRPr="00102B35" w:rsidRDefault="00102B35" w:rsidP="00102B35">
      <w:pPr>
        <w:jc w:val="both"/>
        <w:rPr>
          <w:rFonts w:ascii="Times New Roman" w:hAnsi="Times New Roman" w:cs="Times New Roman"/>
          <w:i/>
          <w:noProof/>
          <w:sz w:val="24"/>
          <w:szCs w:val="24"/>
        </w:rPr>
      </w:pPr>
      <w:r>
        <w:rPr>
          <w:rFonts w:ascii="Times New Roman" w:hAnsi="Times New Roman"/>
          <w:i/>
          <w:sz w:val="24"/>
        </w:rPr>
        <w:t>Oficiālā valoda</w:t>
      </w:r>
    </w:p>
    <w:p w14:paraId="527E5848" w14:textId="77777777" w:rsidR="00102B35" w:rsidRPr="00102B35" w:rsidRDefault="00102B35" w:rsidP="00102B35">
      <w:pPr>
        <w:pStyle w:val="BodyText"/>
      </w:pPr>
      <w:r>
        <w:t>Šo dokumentu, ja nepieciešams, drīkst tulkot citās valodās. Angļu valodas redakcija joprojām paliek galīgā redakcija.</w:t>
      </w:r>
    </w:p>
    <w:p w14:paraId="540DA297" w14:textId="77777777" w:rsidR="00102B35" w:rsidRPr="00102B35" w:rsidRDefault="00102B35" w:rsidP="00102B35">
      <w:pPr>
        <w:jc w:val="both"/>
        <w:rPr>
          <w:rFonts w:ascii="Times New Roman" w:eastAsia="Arial" w:hAnsi="Times New Roman" w:cs="Times New Roman"/>
          <w:noProof/>
          <w:sz w:val="24"/>
          <w:szCs w:val="24"/>
        </w:rPr>
      </w:pPr>
    </w:p>
    <w:p w14:paraId="2A234BEE" w14:textId="77777777" w:rsidR="00102B35" w:rsidRPr="00102B35" w:rsidRDefault="00102B35" w:rsidP="00102B35">
      <w:pPr>
        <w:jc w:val="both"/>
        <w:rPr>
          <w:rFonts w:ascii="Times New Roman" w:hAnsi="Times New Roman" w:cs="Times New Roman"/>
          <w:i/>
          <w:noProof/>
          <w:sz w:val="24"/>
          <w:szCs w:val="24"/>
        </w:rPr>
      </w:pPr>
      <w:r>
        <w:rPr>
          <w:rFonts w:ascii="Times New Roman" w:hAnsi="Times New Roman"/>
          <w:i/>
          <w:sz w:val="24"/>
        </w:rPr>
        <w:t>Autortiesības</w:t>
      </w:r>
    </w:p>
    <w:p w14:paraId="2724B178" w14:textId="77777777" w:rsidR="00102B35" w:rsidRPr="00102B35" w:rsidRDefault="00102B35" w:rsidP="00102B35">
      <w:pPr>
        <w:pStyle w:val="BodyText"/>
      </w:pPr>
      <w:r>
        <w:t>Šā dokumenta autortiesības pieder EA. Šo dokumentu nedrīkst kopēt tālākpārdošanai.</w:t>
      </w:r>
    </w:p>
    <w:p w14:paraId="45B9116D" w14:textId="77777777" w:rsidR="00102B35" w:rsidRPr="00102B35" w:rsidRDefault="00102B35" w:rsidP="00102B35">
      <w:pPr>
        <w:jc w:val="both"/>
        <w:rPr>
          <w:rFonts w:ascii="Times New Roman" w:eastAsia="Arial" w:hAnsi="Times New Roman" w:cs="Times New Roman"/>
          <w:noProof/>
          <w:sz w:val="24"/>
          <w:szCs w:val="24"/>
        </w:rPr>
      </w:pPr>
    </w:p>
    <w:p w14:paraId="67DE4B5A" w14:textId="77777777" w:rsidR="00102B35" w:rsidRPr="00102B35" w:rsidRDefault="00102B35" w:rsidP="00102B35">
      <w:pPr>
        <w:jc w:val="both"/>
        <w:rPr>
          <w:rFonts w:ascii="Times New Roman" w:hAnsi="Times New Roman" w:cs="Times New Roman"/>
          <w:i/>
          <w:noProof/>
          <w:sz w:val="24"/>
          <w:szCs w:val="24"/>
        </w:rPr>
      </w:pPr>
      <w:r>
        <w:rPr>
          <w:rFonts w:ascii="Times New Roman" w:hAnsi="Times New Roman"/>
          <w:i/>
          <w:sz w:val="24"/>
        </w:rPr>
        <w:t>Papildu informācija</w:t>
      </w:r>
    </w:p>
    <w:p w14:paraId="55FDA3D8" w14:textId="77777777" w:rsidR="00102B35" w:rsidRPr="00102B35" w:rsidRDefault="00102B35" w:rsidP="00102B35">
      <w:pPr>
        <w:pStyle w:val="BodyText"/>
      </w:pPr>
      <w:r>
        <w:t>Papildu informāciju par šo publikāciju var saņemt, sazinoties ar savas valsts EA locekli vai EA sekretariātu: secretariat@european-accreditation.org.</w:t>
      </w:r>
    </w:p>
    <w:p w14:paraId="7E8381BD" w14:textId="77777777" w:rsidR="00102B35" w:rsidRPr="00102B35" w:rsidRDefault="00102B35" w:rsidP="00102B35">
      <w:pPr>
        <w:jc w:val="both"/>
        <w:rPr>
          <w:rFonts w:ascii="Times New Roman" w:eastAsia="Arial" w:hAnsi="Times New Roman" w:cs="Times New Roman"/>
          <w:noProof/>
          <w:sz w:val="24"/>
          <w:szCs w:val="24"/>
        </w:rPr>
      </w:pPr>
    </w:p>
    <w:p w14:paraId="16151B8F" w14:textId="77777777" w:rsidR="00102B35" w:rsidRPr="00102B35" w:rsidRDefault="00102B35" w:rsidP="00102B35">
      <w:pPr>
        <w:pStyle w:val="BodyText"/>
      </w:pPr>
      <w:r>
        <w:t>Jaunākā informācija ir pieejama mūsu tīmekļa vietnē: http://www.european-accreditation.org/.</w:t>
      </w:r>
    </w:p>
    <w:p w14:paraId="42CF0601" w14:textId="77777777" w:rsidR="00102B35" w:rsidRPr="00102B35" w:rsidRDefault="00102B35" w:rsidP="00102B35">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1"/>
        <w:gridCol w:w="566"/>
        <w:gridCol w:w="5984"/>
      </w:tblGrid>
      <w:tr w:rsidR="00102B35" w:rsidRPr="00102B35" w14:paraId="4E3E1333" w14:textId="77777777" w:rsidTr="0093708D">
        <w:tc>
          <w:tcPr>
            <w:tcW w:w="1413" w:type="pct"/>
          </w:tcPr>
          <w:p w14:paraId="1B263207" w14:textId="77777777" w:rsidR="00102B35" w:rsidRPr="00102B35" w:rsidRDefault="00102B35" w:rsidP="0093708D">
            <w:pPr>
              <w:jc w:val="both"/>
              <w:rPr>
                <w:rFonts w:ascii="Times New Roman" w:hAnsi="Times New Roman" w:cs="Times New Roman"/>
                <w:b/>
                <w:noProof/>
                <w:sz w:val="24"/>
                <w:szCs w:val="24"/>
              </w:rPr>
            </w:pPr>
            <w:r>
              <w:rPr>
                <w:rFonts w:ascii="Times New Roman" w:hAnsi="Times New Roman"/>
                <w:b/>
                <w:sz w:val="24"/>
              </w:rPr>
              <w:t>Kategorija:</w:t>
            </w:r>
          </w:p>
        </w:tc>
        <w:tc>
          <w:tcPr>
            <w:tcW w:w="310" w:type="pct"/>
          </w:tcPr>
          <w:p w14:paraId="2359EBF8" w14:textId="77777777" w:rsidR="00102B35" w:rsidRPr="00102B35" w:rsidRDefault="00102B35" w:rsidP="0093708D">
            <w:pPr>
              <w:jc w:val="both"/>
              <w:rPr>
                <w:rFonts w:ascii="Times New Roman" w:hAnsi="Times New Roman" w:cs="Times New Roman"/>
                <w:b/>
                <w:noProof/>
                <w:sz w:val="24"/>
                <w:szCs w:val="24"/>
              </w:rPr>
            </w:pPr>
          </w:p>
        </w:tc>
        <w:tc>
          <w:tcPr>
            <w:tcW w:w="3277" w:type="pct"/>
          </w:tcPr>
          <w:p w14:paraId="4BBE5020" w14:textId="77777777" w:rsidR="00102B35" w:rsidRPr="00102B35" w:rsidRDefault="00102B35" w:rsidP="0093708D">
            <w:pPr>
              <w:pStyle w:val="BodyText"/>
              <w:rPr>
                <w:b/>
                <w:bCs/>
              </w:rPr>
            </w:pPr>
            <w:r>
              <w:rPr>
                <w:b/>
              </w:rPr>
              <w:t>Pieteikuma dokumenti un tehniskie/konsultatīvie dokumenti atbilstības novērtēšanas institūcijām</w:t>
            </w:r>
          </w:p>
          <w:p w14:paraId="5F14BCF5" w14:textId="77777777" w:rsidR="00102B35" w:rsidRPr="00102B35" w:rsidRDefault="00102B35" w:rsidP="0093708D">
            <w:pPr>
              <w:pStyle w:val="BodyText"/>
              <w:rPr>
                <w:b/>
                <w:bCs/>
              </w:rPr>
            </w:pPr>
          </w:p>
          <w:p w14:paraId="39A1DAF8" w14:textId="77777777" w:rsidR="00102B35" w:rsidRPr="00102B35" w:rsidRDefault="00102B35" w:rsidP="0093708D">
            <w:pPr>
              <w:jc w:val="both"/>
              <w:rPr>
                <w:rFonts w:ascii="Times New Roman" w:hAnsi="Times New Roman" w:cs="Times New Roman"/>
                <w:b/>
                <w:noProof/>
                <w:sz w:val="24"/>
                <w:szCs w:val="24"/>
              </w:rPr>
            </w:pPr>
            <w:r>
              <w:rPr>
                <w:rFonts w:ascii="Times New Roman" w:hAnsi="Times New Roman"/>
                <w:b/>
                <w:sz w:val="24"/>
              </w:rPr>
              <w:t>EA-7/04 ir obligātais dokuments</w:t>
            </w:r>
          </w:p>
          <w:p w14:paraId="115A3F60" w14:textId="77777777" w:rsidR="00102B35" w:rsidRPr="00102B35" w:rsidRDefault="00102B35" w:rsidP="0093708D">
            <w:pPr>
              <w:pStyle w:val="BodyText"/>
              <w:rPr>
                <w:b/>
                <w:bCs/>
              </w:rPr>
            </w:pPr>
          </w:p>
        </w:tc>
      </w:tr>
      <w:tr w:rsidR="00102B35" w:rsidRPr="00102B35" w14:paraId="2742558E" w14:textId="77777777" w:rsidTr="0093708D">
        <w:tc>
          <w:tcPr>
            <w:tcW w:w="1413" w:type="pct"/>
          </w:tcPr>
          <w:p w14:paraId="3E7376C0" w14:textId="77777777" w:rsidR="00102B35" w:rsidRPr="00102B35" w:rsidRDefault="00102B35" w:rsidP="0093708D">
            <w:pPr>
              <w:rPr>
                <w:rFonts w:ascii="Times New Roman" w:hAnsi="Times New Roman" w:cs="Times New Roman"/>
                <w:b/>
                <w:noProof/>
                <w:sz w:val="24"/>
                <w:szCs w:val="24"/>
              </w:rPr>
            </w:pPr>
            <w:r>
              <w:rPr>
                <w:rFonts w:ascii="Times New Roman" w:hAnsi="Times New Roman"/>
                <w:b/>
                <w:sz w:val="24"/>
              </w:rPr>
              <w:t>Apstiprināts:</w:t>
            </w:r>
          </w:p>
        </w:tc>
        <w:tc>
          <w:tcPr>
            <w:tcW w:w="310" w:type="pct"/>
          </w:tcPr>
          <w:p w14:paraId="6E9F7AD0" w14:textId="77777777" w:rsidR="00102B35" w:rsidRPr="00102B35" w:rsidRDefault="00102B35" w:rsidP="0093708D">
            <w:pPr>
              <w:jc w:val="both"/>
              <w:rPr>
                <w:rFonts w:ascii="Times New Roman" w:eastAsia="Arial" w:hAnsi="Times New Roman" w:cs="Times New Roman"/>
                <w:noProof/>
                <w:sz w:val="24"/>
                <w:szCs w:val="24"/>
              </w:rPr>
            </w:pPr>
          </w:p>
        </w:tc>
        <w:tc>
          <w:tcPr>
            <w:tcW w:w="3277" w:type="pct"/>
          </w:tcPr>
          <w:p w14:paraId="7737804F" w14:textId="77777777" w:rsidR="00102B35" w:rsidRPr="00102B35" w:rsidRDefault="00102B35" w:rsidP="0093708D">
            <w:pPr>
              <w:jc w:val="both"/>
              <w:rPr>
                <w:rFonts w:ascii="Times New Roman" w:hAnsi="Times New Roman" w:cs="Times New Roman"/>
                <w:noProof/>
                <w:sz w:val="24"/>
                <w:szCs w:val="24"/>
              </w:rPr>
            </w:pPr>
            <w:r>
              <w:rPr>
                <w:rFonts w:ascii="Times New Roman" w:hAnsi="Times New Roman"/>
                <w:sz w:val="24"/>
              </w:rPr>
              <w:t>2017. gada 14. maijā</w:t>
            </w:r>
          </w:p>
        </w:tc>
      </w:tr>
      <w:tr w:rsidR="00102B35" w:rsidRPr="00102B35" w14:paraId="42DCF4EE" w14:textId="77777777" w:rsidTr="0093708D">
        <w:tc>
          <w:tcPr>
            <w:tcW w:w="1413" w:type="pct"/>
          </w:tcPr>
          <w:p w14:paraId="36D8EFFE" w14:textId="77777777" w:rsidR="00102B35" w:rsidRPr="00102B35" w:rsidRDefault="00102B35" w:rsidP="0093708D">
            <w:pPr>
              <w:rPr>
                <w:rFonts w:ascii="Times New Roman" w:hAnsi="Times New Roman" w:cs="Times New Roman"/>
                <w:b/>
                <w:noProof/>
                <w:sz w:val="24"/>
                <w:szCs w:val="24"/>
              </w:rPr>
            </w:pPr>
            <w:r>
              <w:rPr>
                <w:rFonts w:ascii="Times New Roman" w:hAnsi="Times New Roman"/>
                <w:b/>
                <w:bCs/>
                <w:sz w:val="24"/>
              </w:rPr>
              <w:t>Ieviests</w:t>
            </w:r>
            <w:r>
              <w:rPr>
                <w:rFonts w:ascii="Times New Roman" w:hAnsi="Times New Roman"/>
                <w:b/>
                <w:sz w:val="24"/>
              </w:rPr>
              <w:t>:</w:t>
            </w:r>
          </w:p>
        </w:tc>
        <w:tc>
          <w:tcPr>
            <w:tcW w:w="310" w:type="pct"/>
          </w:tcPr>
          <w:p w14:paraId="3B7BC116" w14:textId="77777777" w:rsidR="00102B35" w:rsidRPr="00102B35" w:rsidRDefault="00102B35" w:rsidP="0093708D">
            <w:pPr>
              <w:jc w:val="both"/>
              <w:rPr>
                <w:rFonts w:ascii="Times New Roman" w:eastAsia="Arial" w:hAnsi="Times New Roman" w:cs="Times New Roman"/>
                <w:noProof/>
                <w:sz w:val="24"/>
                <w:szCs w:val="24"/>
              </w:rPr>
            </w:pPr>
          </w:p>
        </w:tc>
        <w:tc>
          <w:tcPr>
            <w:tcW w:w="3277" w:type="pct"/>
          </w:tcPr>
          <w:p w14:paraId="15AB2C5B" w14:textId="77777777" w:rsidR="00102B35" w:rsidRPr="00102B35" w:rsidRDefault="00102B35" w:rsidP="0093708D">
            <w:pPr>
              <w:jc w:val="both"/>
              <w:rPr>
                <w:rFonts w:ascii="Times New Roman" w:hAnsi="Times New Roman" w:cs="Times New Roman"/>
                <w:noProof/>
                <w:sz w:val="24"/>
                <w:szCs w:val="24"/>
              </w:rPr>
            </w:pPr>
            <w:r>
              <w:rPr>
                <w:rFonts w:ascii="Times New Roman" w:hAnsi="Times New Roman"/>
                <w:sz w:val="24"/>
              </w:rPr>
              <w:t>tūlītēji</w:t>
            </w:r>
          </w:p>
          <w:p w14:paraId="62D15DD9" w14:textId="77777777" w:rsidR="00102B35" w:rsidRPr="00102B35" w:rsidRDefault="00102B35" w:rsidP="0093708D">
            <w:pPr>
              <w:jc w:val="both"/>
              <w:rPr>
                <w:rFonts w:ascii="Times New Roman" w:hAnsi="Times New Roman" w:cs="Times New Roman"/>
                <w:noProof/>
                <w:sz w:val="24"/>
                <w:szCs w:val="24"/>
              </w:rPr>
            </w:pPr>
          </w:p>
          <w:p w14:paraId="150A2FEB" w14:textId="77777777" w:rsidR="00102B35" w:rsidRPr="00102B35" w:rsidRDefault="00102B35" w:rsidP="0093708D">
            <w:pPr>
              <w:jc w:val="both"/>
              <w:rPr>
                <w:rFonts w:ascii="Times New Roman" w:eastAsia="Arial" w:hAnsi="Times New Roman" w:cs="Times New Roman"/>
                <w:b/>
                <w:bCs/>
                <w:noProof/>
                <w:sz w:val="24"/>
                <w:szCs w:val="24"/>
              </w:rPr>
            </w:pPr>
            <w:r>
              <w:rPr>
                <w:rFonts w:ascii="Times New Roman" w:hAnsi="Times New Roman"/>
                <w:b/>
                <w:sz w:val="24"/>
                <w:highlight w:val="yellow"/>
              </w:rPr>
              <w:t>Versija, kas tūlītēji īstenojama saskaņā ar jauno ISO 14001:2015. Attiecībā uz ISO 14001:2004 izmantot iepriekšējo EA-7/04: 2007 2. pārskatīto redakciju.</w:t>
            </w:r>
          </w:p>
        </w:tc>
      </w:tr>
    </w:tbl>
    <w:p w14:paraId="31AD2EE5" w14:textId="77777777" w:rsidR="00102B35" w:rsidRPr="00102B35" w:rsidRDefault="00102B35" w:rsidP="00102B35">
      <w:pPr>
        <w:jc w:val="both"/>
        <w:rPr>
          <w:rFonts w:ascii="Times New Roman" w:eastAsia="Arial" w:hAnsi="Times New Roman" w:cs="Times New Roman"/>
          <w:noProof/>
          <w:sz w:val="24"/>
          <w:szCs w:val="24"/>
        </w:rPr>
      </w:pPr>
    </w:p>
    <w:p w14:paraId="5BECD843" w14:textId="77777777" w:rsidR="00102B35" w:rsidRPr="00102B35" w:rsidRDefault="00102B35" w:rsidP="00102B35">
      <w:pPr>
        <w:pStyle w:val="BodyText"/>
        <w:rPr>
          <w:b/>
          <w:bCs/>
        </w:rPr>
      </w:pPr>
      <w:r>
        <w:rPr>
          <w:b/>
        </w:rPr>
        <w:t>Pārskatīšana:</w:t>
      </w:r>
    </w:p>
    <w:p w14:paraId="283170B6" w14:textId="77777777" w:rsidR="00102B35" w:rsidRPr="00102B35" w:rsidRDefault="00102B35" w:rsidP="00102B35">
      <w:pPr>
        <w:jc w:val="both"/>
        <w:rPr>
          <w:rFonts w:ascii="Times New Roman" w:eastAsia="Arial" w:hAnsi="Times New Roman" w:cs="Times New Roman"/>
          <w:b/>
          <w:bCs/>
          <w:noProof/>
          <w:sz w:val="24"/>
          <w:szCs w:val="24"/>
        </w:rPr>
      </w:pPr>
    </w:p>
    <w:p w14:paraId="0BBDBEF3" w14:textId="77777777" w:rsidR="00102B35" w:rsidRPr="00102B35" w:rsidRDefault="00102B35" w:rsidP="00102B35">
      <w:pPr>
        <w:pStyle w:val="BodyText"/>
      </w:pPr>
      <w:r>
        <w:t>Šo dokumentu sākotnēji EA apstiprināja 2007. gada februārī, un pēc tam tas tika pārskatīts, lai atainotu spēkā esošās prasības.</w:t>
      </w:r>
    </w:p>
    <w:p w14:paraId="09533909" w14:textId="77777777" w:rsidR="00102B35" w:rsidRPr="00102B35" w:rsidRDefault="00102B35" w:rsidP="00102B35">
      <w:pPr>
        <w:pStyle w:val="BodyText"/>
      </w:pPr>
      <w:r>
        <w:t>2017. gada pārskatīšana tika veikta, lai dokumentā aktualizētu ISO 14001:2015, ISO/IEC 17021-1 un ISO/IEC 17021-2 prasības.</w:t>
      </w:r>
    </w:p>
    <w:p w14:paraId="58BFD00E" w14:textId="77777777" w:rsidR="00102B35" w:rsidRPr="00102B35" w:rsidRDefault="00102B35" w:rsidP="00102B35">
      <w:pPr>
        <w:jc w:val="both"/>
        <w:rPr>
          <w:rFonts w:ascii="Times New Roman" w:eastAsia="Arial" w:hAnsi="Times New Roman" w:cs="Times New Roman"/>
          <w:noProof/>
          <w:sz w:val="24"/>
          <w:szCs w:val="24"/>
        </w:rPr>
      </w:pPr>
      <w:r>
        <w:br w:type="page"/>
      </w:r>
    </w:p>
    <w:p w14:paraId="519D955B" w14:textId="77777777" w:rsidR="00102B35" w:rsidRPr="00102B35" w:rsidRDefault="00102B35" w:rsidP="00102B35">
      <w:pPr>
        <w:jc w:val="both"/>
        <w:rPr>
          <w:rFonts w:ascii="Times New Roman" w:eastAsia="Arial" w:hAnsi="Times New Roman" w:cs="Times New Roman"/>
          <w:noProof/>
          <w:sz w:val="24"/>
          <w:szCs w:val="24"/>
        </w:rPr>
      </w:pPr>
    </w:p>
    <w:tbl>
      <w:tblPr>
        <w:tblStyle w:val="TableGrid"/>
        <w:tblW w:w="0" w:type="auto"/>
        <w:tblBorders>
          <w:left w:val="single" w:sz="12" w:space="0" w:color="FFFFFF" w:themeColor="background1"/>
          <w:right w:val="single" w:sz="12" w:space="0" w:color="FFFFFF" w:themeColor="background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A761F2" w14:paraId="43E3E900" w14:textId="77777777" w:rsidTr="00A761F2">
        <w:tc>
          <w:tcPr>
            <w:tcW w:w="9291" w:type="dxa"/>
          </w:tcPr>
          <w:p w14:paraId="53717D62" w14:textId="191531F5" w:rsidR="00A761F2" w:rsidRPr="00A761F2" w:rsidRDefault="00A761F2" w:rsidP="00102B35">
            <w:pPr>
              <w:pStyle w:val="BodyText"/>
              <w:rPr>
                <w:b/>
                <w:bCs/>
                <w:sz w:val="28"/>
                <w:szCs w:val="28"/>
              </w:rPr>
            </w:pPr>
            <w:r w:rsidRPr="00FC2C8A">
              <w:rPr>
                <w:b/>
              </w:rPr>
              <w:t>Saturs</w:t>
            </w:r>
          </w:p>
        </w:tc>
      </w:tr>
    </w:tbl>
    <w:p w14:paraId="7BA6130E" w14:textId="77777777" w:rsidR="00102B35" w:rsidRPr="00102B35" w:rsidRDefault="00102B35" w:rsidP="00102B35">
      <w:pPr>
        <w:jc w:val="both"/>
        <w:rPr>
          <w:rFonts w:ascii="Times New Roman" w:eastAsia="Arial" w:hAnsi="Times New Roman" w:cs="Times New Roman"/>
          <w:b/>
          <w:bCs/>
          <w:noProof/>
          <w:sz w:val="24"/>
          <w:szCs w:val="24"/>
        </w:rPr>
      </w:pPr>
    </w:p>
    <w:sdt>
      <w:sdtPr>
        <w:rPr>
          <w:rFonts w:ascii="Times New Roman" w:hAnsi="Times New Roman" w:cs="Times New Roman"/>
          <w:sz w:val="24"/>
          <w:szCs w:val="24"/>
        </w:rPr>
        <w:id w:val="-721756498"/>
        <w:docPartObj>
          <w:docPartGallery w:val="Table of Contents"/>
          <w:docPartUnique/>
        </w:docPartObj>
      </w:sdtPr>
      <w:sdtEndPr>
        <w:rPr>
          <w:rFonts w:eastAsiaTheme="minorHAnsi"/>
          <w:b/>
          <w:bCs/>
          <w:noProof/>
          <w:color w:val="auto"/>
          <w:lang w:val="lv-LV"/>
        </w:rPr>
      </w:sdtEndPr>
      <w:sdtContent>
        <w:p w14:paraId="12CE7D74" w14:textId="7A7956CA" w:rsidR="00A761F2" w:rsidRPr="00A761F2" w:rsidRDefault="00A761F2" w:rsidP="00A761F2">
          <w:pPr>
            <w:pStyle w:val="TOCHeading"/>
            <w:spacing w:before="0" w:line="360" w:lineRule="auto"/>
            <w:rPr>
              <w:rFonts w:ascii="Times New Roman" w:hAnsi="Times New Roman" w:cs="Times New Roman"/>
              <w:sz w:val="24"/>
              <w:szCs w:val="24"/>
            </w:rPr>
          </w:pPr>
        </w:p>
        <w:p w14:paraId="41D92A14" w14:textId="03C15857"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r w:rsidRPr="00A761F2">
            <w:rPr>
              <w:rFonts w:ascii="Times New Roman" w:hAnsi="Times New Roman" w:cs="Times New Roman"/>
            </w:rPr>
            <w:fldChar w:fldCharType="begin"/>
          </w:r>
          <w:r w:rsidRPr="00A761F2">
            <w:rPr>
              <w:rFonts w:ascii="Times New Roman" w:hAnsi="Times New Roman" w:cs="Times New Roman"/>
            </w:rPr>
            <w:instrText xml:space="preserve"> TOC \o "1-3" \h \z \u </w:instrText>
          </w:r>
          <w:r w:rsidRPr="00A761F2">
            <w:rPr>
              <w:rFonts w:ascii="Times New Roman" w:hAnsi="Times New Roman" w:cs="Times New Roman"/>
            </w:rPr>
            <w:fldChar w:fldCharType="separate"/>
          </w:r>
          <w:hyperlink w:anchor="_Toc118117223" w:history="1">
            <w:r w:rsidRPr="00A761F2">
              <w:rPr>
                <w:rStyle w:val="Hyperlink"/>
                <w:rFonts w:ascii="Times New Roman" w:hAnsi="Times New Roman" w:cs="Times New Roman"/>
                <w:noProof/>
              </w:rPr>
              <w:t>1. IEVADS</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_Toc118117223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4</w:t>
            </w:r>
            <w:r w:rsidRPr="00A761F2">
              <w:rPr>
                <w:rFonts w:ascii="Times New Roman" w:hAnsi="Times New Roman" w:cs="Times New Roman"/>
                <w:noProof/>
                <w:webHidden/>
              </w:rPr>
              <w:fldChar w:fldCharType="end"/>
            </w:r>
          </w:hyperlink>
        </w:p>
        <w:p w14:paraId="43300A05" w14:textId="03098FDE"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24" w:history="1">
            <w:r w:rsidRPr="00A761F2">
              <w:rPr>
                <w:rStyle w:val="Hyperlink"/>
                <w:rFonts w:ascii="Times New Roman" w:hAnsi="Times New Roman" w:cs="Times New Roman"/>
                <w:noProof/>
              </w:rPr>
              <w:t>2. ISO 14001:2015 PRASĪBAS ATTIECĪBĀ UZ ATBILSTĪBU TIESĪBU AKTIEM</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_Toc118117224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5</w:t>
            </w:r>
            <w:r w:rsidRPr="00A761F2">
              <w:rPr>
                <w:rFonts w:ascii="Times New Roman" w:hAnsi="Times New Roman" w:cs="Times New Roman"/>
                <w:noProof/>
                <w:webHidden/>
              </w:rPr>
              <w:fldChar w:fldCharType="end"/>
            </w:r>
          </w:hyperlink>
        </w:p>
        <w:p w14:paraId="24FD49F8" w14:textId="30846E4D"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25" w:history="1">
            <w:r w:rsidRPr="00A761F2">
              <w:rPr>
                <w:rStyle w:val="Hyperlink"/>
                <w:rFonts w:ascii="Times New Roman" w:hAnsi="Times New Roman" w:cs="Times New Roman"/>
                <w:noProof/>
              </w:rPr>
              <w:t xml:space="preserve">3. KĀDAS KOMPETENCES IR NEPIECIEŠAMAS ATTIECĪBĀ UZ </w:t>
            </w:r>
            <w:r w:rsidRPr="00A761F2">
              <w:rPr>
                <w:rStyle w:val="Hyperlink"/>
                <w:rFonts w:ascii="Times New Roman" w:hAnsi="Times New Roman" w:cs="Times New Roman"/>
                <w:iCs/>
                <w:noProof/>
              </w:rPr>
              <w:t>EMS</w:t>
            </w:r>
            <w:r w:rsidRPr="00A761F2">
              <w:rPr>
                <w:rStyle w:val="Hyperlink"/>
                <w:rFonts w:ascii="Times New Roman" w:hAnsi="Times New Roman" w:cs="Times New Roman"/>
                <w:noProof/>
              </w:rPr>
              <w:t xml:space="preserve"> SERTIFIKĀCIJU UN ATBILSTĪBAS SAISTĪBĀM</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_Toc118117225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6</w:t>
            </w:r>
            <w:r w:rsidRPr="00A761F2">
              <w:rPr>
                <w:rFonts w:ascii="Times New Roman" w:hAnsi="Times New Roman" w:cs="Times New Roman"/>
                <w:noProof/>
                <w:webHidden/>
              </w:rPr>
              <w:fldChar w:fldCharType="end"/>
            </w:r>
          </w:hyperlink>
        </w:p>
        <w:p w14:paraId="240B7501" w14:textId="30C5E4B9"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26" w:history="1">
            <w:r w:rsidRPr="00A761F2">
              <w:rPr>
                <w:rStyle w:val="Hyperlink"/>
                <w:rFonts w:ascii="Times New Roman" w:hAnsi="Times New Roman" w:cs="Times New Roman"/>
                <w:noProof/>
              </w:rPr>
              <w:t xml:space="preserve">4. KĀ SERTIFIKĀCIJAS INSTITŪCIJAI BŪTU JĀAUDITĒ </w:t>
            </w:r>
            <w:r w:rsidRPr="00A761F2">
              <w:rPr>
                <w:rStyle w:val="Hyperlink"/>
                <w:rFonts w:ascii="Times New Roman" w:hAnsi="Times New Roman" w:cs="Times New Roman"/>
                <w:iCs/>
                <w:noProof/>
              </w:rPr>
              <w:t>EMS</w:t>
            </w:r>
            <w:r w:rsidRPr="00A761F2">
              <w:rPr>
                <w:rStyle w:val="Hyperlink"/>
                <w:rFonts w:ascii="Times New Roman" w:hAnsi="Times New Roman" w:cs="Times New Roman"/>
                <w:noProof/>
              </w:rPr>
              <w:t>, LAI NOTEIKTU, VAI TĀ ATBILST TIESĪBU AKTIEM</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_Toc118117226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6</w:t>
            </w:r>
            <w:r w:rsidRPr="00A761F2">
              <w:rPr>
                <w:rFonts w:ascii="Times New Roman" w:hAnsi="Times New Roman" w:cs="Times New Roman"/>
                <w:noProof/>
                <w:webHidden/>
              </w:rPr>
              <w:fldChar w:fldCharType="end"/>
            </w:r>
          </w:hyperlink>
        </w:p>
        <w:p w14:paraId="66946CE5" w14:textId="1300570E"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27" w:history="1">
            <w:r w:rsidRPr="00A761F2">
              <w:rPr>
                <w:rStyle w:val="Hyperlink"/>
                <w:rFonts w:ascii="Times New Roman" w:hAnsi="Times New Roman" w:cs="Times New Roman"/>
                <w:noProof/>
                <w:sz w:val="24"/>
                <w:szCs w:val="24"/>
              </w:rPr>
              <w:t>4.1. Vides politikā noteikta apņemšanās nodrošināt atbilstību tiesību aktiem (5.2. punkta d) apakšpunkts)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_Toc118117227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7</w:t>
            </w:r>
            <w:r w:rsidRPr="00A761F2">
              <w:rPr>
                <w:rFonts w:ascii="Times New Roman" w:hAnsi="Times New Roman" w:cs="Times New Roman"/>
                <w:noProof/>
                <w:webHidden/>
                <w:sz w:val="24"/>
                <w:szCs w:val="24"/>
              </w:rPr>
              <w:fldChar w:fldCharType="end"/>
            </w:r>
          </w:hyperlink>
        </w:p>
        <w:p w14:paraId="67227C9C" w14:textId="5EA92D38"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28" w:history="1">
            <w:r w:rsidRPr="00A761F2">
              <w:rPr>
                <w:rStyle w:val="Hyperlink"/>
                <w:rFonts w:ascii="Times New Roman" w:hAnsi="Times New Roman" w:cs="Times New Roman"/>
                <w:noProof/>
                <w:sz w:val="24"/>
                <w:szCs w:val="24"/>
              </w:rPr>
              <w:t>4.2. Tiesisko prasību identifikācija un to pieejamība (4.2. un 6.1.3.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_Toc118117228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7</w:t>
            </w:r>
            <w:r w:rsidRPr="00A761F2">
              <w:rPr>
                <w:rFonts w:ascii="Times New Roman" w:hAnsi="Times New Roman" w:cs="Times New Roman"/>
                <w:noProof/>
                <w:webHidden/>
                <w:sz w:val="24"/>
                <w:szCs w:val="24"/>
              </w:rPr>
              <w:fldChar w:fldCharType="end"/>
            </w:r>
          </w:hyperlink>
        </w:p>
        <w:p w14:paraId="31134A55" w14:textId="46040EC3"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29" w:history="1">
            <w:r w:rsidRPr="00A761F2">
              <w:rPr>
                <w:rStyle w:val="Hyperlink"/>
                <w:rFonts w:ascii="Times New Roman" w:hAnsi="Times New Roman" w:cs="Times New Roman"/>
                <w:noProof/>
                <w:sz w:val="24"/>
                <w:szCs w:val="24"/>
              </w:rPr>
              <w:t>4.3. Kā tiesiskās prasības ir piemērojamas organizācijas vides aspektiem (6.1.3.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_Toc118117229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8</w:t>
            </w:r>
            <w:r w:rsidRPr="00A761F2">
              <w:rPr>
                <w:rFonts w:ascii="Times New Roman" w:hAnsi="Times New Roman" w:cs="Times New Roman"/>
                <w:noProof/>
                <w:webHidden/>
                <w:sz w:val="24"/>
                <w:szCs w:val="24"/>
              </w:rPr>
              <w:fldChar w:fldCharType="end"/>
            </w:r>
          </w:hyperlink>
        </w:p>
        <w:p w14:paraId="4C177AAA" w14:textId="733098A9"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0" w:history="1">
            <w:r w:rsidRPr="00A761F2">
              <w:rPr>
                <w:rStyle w:val="Hyperlink"/>
                <w:rFonts w:ascii="Times New Roman" w:hAnsi="Times New Roman" w:cs="Times New Roman"/>
                <w:noProof/>
                <w:sz w:val="24"/>
                <w:szCs w:val="24"/>
              </w:rPr>
              <w:t>4.4. Vides mērķi un to sasniegšanas plānošana (6.2.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_Toc118117230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8</w:t>
            </w:r>
            <w:r w:rsidRPr="00A761F2">
              <w:rPr>
                <w:rFonts w:ascii="Times New Roman" w:hAnsi="Times New Roman" w:cs="Times New Roman"/>
                <w:noProof/>
                <w:webHidden/>
                <w:sz w:val="24"/>
                <w:szCs w:val="24"/>
              </w:rPr>
              <w:fldChar w:fldCharType="end"/>
            </w:r>
          </w:hyperlink>
        </w:p>
        <w:p w14:paraId="3BC9B927" w14:textId="019B0927"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1" w:history="1">
            <w:r w:rsidRPr="00A761F2">
              <w:rPr>
                <w:rStyle w:val="Hyperlink"/>
                <w:rFonts w:ascii="Times New Roman" w:hAnsi="Times New Roman" w:cs="Times New Roman"/>
                <w:noProof/>
                <w:sz w:val="24"/>
                <w:szCs w:val="24"/>
              </w:rPr>
              <w:t>4.5. Darbības plānošana un vadība (8.1.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_Toc118117231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9</w:t>
            </w:r>
            <w:r w:rsidRPr="00A761F2">
              <w:rPr>
                <w:rFonts w:ascii="Times New Roman" w:hAnsi="Times New Roman" w:cs="Times New Roman"/>
                <w:noProof/>
                <w:webHidden/>
                <w:sz w:val="24"/>
                <w:szCs w:val="24"/>
              </w:rPr>
              <w:fldChar w:fldCharType="end"/>
            </w:r>
          </w:hyperlink>
        </w:p>
        <w:p w14:paraId="44D0EE80" w14:textId="0B81FFC7"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2" w:history="1">
            <w:r w:rsidRPr="00A761F2">
              <w:rPr>
                <w:rStyle w:val="Hyperlink"/>
                <w:rFonts w:ascii="Times New Roman" w:hAnsi="Times New Roman" w:cs="Times New Roman"/>
                <w:noProof/>
                <w:sz w:val="24"/>
                <w:szCs w:val="24"/>
              </w:rPr>
              <w:t>4.6. Uzraudzība, mērīšana, analīze un novērtēšana – vispārīgas prasības (9.1.1.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_Toc118117232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9</w:t>
            </w:r>
            <w:r w:rsidRPr="00A761F2">
              <w:rPr>
                <w:rFonts w:ascii="Times New Roman" w:hAnsi="Times New Roman" w:cs="Times New Roman"/>
                <w:noProof/>
                <w:webHidden/>
                <w:sz w:val="24"/>
                <w:szCs w:val="24"/>
              </w:rPr>
              <w:fldChar w:fldCharType="end"/>
            </w:r>
          </w:hyperlink>
        </w:p>
        <w:p w14:paraId="1E5A7C78" w14:textId="691C01A8"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3" w:history="1">
            <w:r w:rsidRPr="00A761F2">
              <w:rPr>
                <w:rStyle w:val="Hyperlink"/>
                <w:rFonts w:ascii="Times New Roman" w:hAnsi="Times New Roman" w:cs="Times New Roman"/>
                <w:noProof/>
                <w:sz w:val="24"/>
                <w:szCs w:val="24"/>
              </w:rPr>
              <w:t>4.7. Atbilstības tiesību aktiem novērtēšana (9.1.2.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_Toc118117233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9</w:t>
            </w:r>
            <w:r w:rsidRPr="00A761F2">
              <w:rPr>
                <w:rFonts w:ascii="Times New Roman" w:hAnsi="Times New Roman" w:cs="Times New Roman"/>
                <w:noProof/>
                <w:webHidden/>
                <w:sz w:val="24"/>
                <w:szCs w:val="24"/>
              </w:rPr>
              <w:fldChar w:fldCharType="end"/>
            </w:r>
          </w:hyperlink>
        </w:p>
        <w:p w14:paraId="1065C484" w14:textId="7F854AE8"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4" w:history="1">
            <w:r w:rsidRPr="00A761F2">
              <w:rPr>
                <w:rStyle w:val="Hyperlink"/>
                <w:rFonts w:ascii="Times New Roman" w:hAnsi="Times New Roman" w:cs="Times New Roman"/>
                <w:noProof/>
                <w:sz w:val="24"/>
                <w:szCs w:val="24"/>
              </w:rPr>
              <w:t>4.8. Neatbilstība un korektīva darbība (10.2.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_Toc118117234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10</w:t>
            </w:r>
            <w:r w:rsidRPr="00A761F2">
              <w:rPr>
                <w:rFonts w:ascii="Times New Roman" w:hAnsi="Times New Roman" w:cs="Times New Roman"/>
                <w:noProof/>
                <w:webHidden/>
                <w:sz w:val="24"/>
                <w:szCs w:val="24"/>
              </w:rPr>
              <w:fldChar w:fldCharType="end"/>
            </w:r>
          </w:hyperlink>
        </w:p>
        <w:p w14:paraId="2B30A2EB" w14:textId="103C77EA"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5" w:history="1">
            <w:r w:rsidRPr="00A761F2">
              <w:rPr>
                <w:rStyle w:val="Hyperlink"/>
                <w:rFonts w:ascii="Times New Roman" w:hAnsi="Times New Roman" w:cs="Times New Roman"/>
                <w:noProof/>
                <w:sz w:val="24"/>
                <w:szCs w:val="24"/>
              </w:rPr>
              <w:t>4.9. Iekšējais audits (9.2.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_Toc118117235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11</w:t>
            </w:r>
            <w:r w:rsidRPr="00A761F2">
              <w:rPr>
                <w:rFonts w:ascii="Times New Roman" w:hAnsi="Times New Roman" w:cs="Times New Roman"/>
                <w:noProof/>
                <w:webHidden/>
                <w:sz w:val="24"/>
                <w:szCs w:val="24"/>
              </w:rPr>
              <w:fldChar w:fldCharType="end"/>
            </w:r>
          </w:hyperlink>
        </w:p>
        <w:p w14:paraId="03E6D63C" w14:textId="39D315FE" w:rsidR="00A761F2" w:rsidRPr="00A761F2" w:rsidRDefault="00A761F2" w:rsidP="00FC2C8A">
          <w:pPr>
            <w:pStyle w:val="TOC2"/>
            <w:tabs>
              <w:tab w:val="right" w:leader="dot" w:pos="9065"/>
            </w:tabs>
            <w:spacing w:line="360" w:lineRule="auto"/>
            <w:ind w:left="284" w:firstLine="0"/>
            <w:rPr>
              <w:rFonts w:ascii="Times New Roman" w:eastAsiaTheme="minorEastAsia" w:hAnsi="Times New Roman" w:cs="Times New Roman"/>
              <w:b w:val="0"/>
              <w:bCs w:val="0"/>
              <w:noProof/>
              <w:sz w:val="24"/>
              <w:szCs w:val="24"/>
              <w:lang w:eastAsia="lv-LV"/>
            </w:rPr>
          </w:pPr>
          <w:hyperlink w:anchor="_Toc118117236" w:history="1">
            <w:r w:rsidRPr="00A761F2">
              <w:rPr>
                <w:rStyle w:val="Hyperlink"/>
                <w:rFonts w:ascii="Times New Roman" w:hAnsi="Times New Roman" w:cs="Times New Roman"/>
                <w:noProof/>
                <w:sz w:val="24"/>
                <w:szCs w:val="24"/>
              </w:rPr>
              <w:t>4.10. Pārvaldības pārskats (9.3. punkts).</w:t>
            </w:r>
            <w:r w:rsidRPr="00A761F2">
              <w:rPr>
                <w:rFonts w:ascii="Times New Roman" w:hAnsi="Times New Roman" w:cs="Times New Roman"/>
                <w:noProof/>
                <w:webHidden/>
                <w:sz w:val="24"/>
                <w:szCs w:val="24"/>
              </w:rPr>
              <w:tab/>
            </w:r>
            <w:r w:rsidRPr="00A761F2">
              <w:rPr>
                <w:rFonts w:ascii="Times New Roman" w:hAnsi="Times New Roman" w:cs="Times New Roman"/>
                <w:noProof/>
                <w:webHidden/>
                <w:sz w:val="24"/>
                <w:szCs w:val="24"/>
              </w:rPr>
              <w:fldChar w:fldCharType="begin"/>
            </w:r>
            <w:r w:rsidRPr="00A761F2">
              <w:rPr>
                <w:rFonts w:ascii="Times New Roman" w:hAnsi="Times New Roman" w:cs="Times New Roman"/>
                <w:noProof/>
                <w:webHidden/>
                <w:sz w:val="24"/>
                <w:szCs w:val="24"/>
              </w:rPr>
              <w:instrText xml:space="preserve"> PAGEREF _Toc118117236 \h </w:instrText>
            </w:r>
            <w:r w:rsidRPr="00A761F2">
              <w:rPr>
                <w:rFonts w:ascii="Times New Roman" w:hAnsi="Times New Roman" w:cs="Times New Roman"/>
                <w:noProof/>
                <w:webHidden/>
                <w:sz w:val="24"/>
                <w:szCs w:val="24"/>
              </w:rPr>
            </w:r>
            <w:r w:rsidRPr="00A761F2">
              <w:rPr>
                <w:rFonts w:ascii="Times New Roman" w:hAnsi="Times New Roman" w:cs="Times New Roman"/>
                <w:noProof/>
                <w:webHidden/>
                <w:sz w:val="24"/>
                <w:szCs w:val="24"/>
              </w:rPr>
              <w:fldChar w:fldCharType="separate"/>
            </w:r>
            <w:r w:rsidRPr="00A761F2">
              <w:rPr>
                <w:rFonts w:ascii="Times New Roman" w:hAnsi="Times New Roman" w:cs="Times New Roman"/>
                <w:noProof/>
                <w:webHidden/>
                <w:sz w:val="24"/>
                <w:szCs w:val="24"/>
              </w:rPr>
              <w:t>11</w:t>
            </w:r>
            <w:r w:rsidRPr="00A761F2">
              <w:rPr>
                <w:rFonts w:ascii="Times New Roman" w:hAnsi="Times New Roman" w:cs="Times New Roman"/>
                <w:noProof/>
                <w:webHidden/>
                <w:sz w:val="24"/>
                <w:szCs w:val="24"/>
              </w:rPr>
              <w:fldChar w:fldCharType="end"/>
            </w:r>
          </w:hyperlink>
        </w:p>
        <w:p w14:paraId="49B56C80" w14:textId="2F2E533B"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37" w:history="1">
            <w:r w:rsidRPr="00A761F2">
              <w:rPr>
                <w:rStyle w:val="Hyperlink"/>
                <w:rFonts w:ascii="Times New Roman" w:hAnsi="Times New Roman" w:cs="Times New Roman"/>
                <w:noProof/>
              </w:rPr>
              <w:t>5. ATBILSTĪBAS KRITĒRIJI SERTIFIKĀCIJAS LĒMUMA PIEŅEMŠANAI</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_Toc118117237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11</w:t>
            </w:r>
            <w:r w:rsidRPr="00A761F2">
              <w:rPr>
                <w:rFonts w:ascii="Times New Roman" w:hAnsi="Times New Roman" w:cs="Times New Roman"/>
                <w:noProof/>
                <w:webHidden/>
              </w:rPr>
              <w:fldChar w:fldCharType="end"/>
            </w:r>
          </w:hyperlink>
        </w:p>
        <w:p w14:paraId="501046E3" w14:textId="20DABCD3"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38" w:history="1">
            <w:r w:rsidRPr="00A761F2">
              <w:rPr>
                <w:rStyle w:val="Hyperlink"/>
                <w:rFonts w:ascii="Times New Roman" w:hAnsi="Times New Roman" w:cs="Times New Roman"/>
                <w:noProof/>
              </w:rPr>
              <w:t>6. KOPSAVILKUMS</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_Toc118117238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12</w:t>
            </w:r>
            <w:r w:rsidRPr="00A761F2">
              <w:rPr>
                <w:rFonts w:ascii="Times New Roman" w:hAnsi="Times New Roman" w:cs="Times New Roman"/>
                <w:noProof/>
                <w:webHidden/>
              </w:rPr>
              <w:fldChar w:fldCharType="end"/>
            </w:r>
          </w:hyperlink>
        </w:p>
        <w:p w14:paraId="1B7C4AE2" w14:textId="0133B507"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39" w:history="1">
            <w:r w:rsidRPr="00A761F2">
              <w:rPr>
                <w:rStyle w:val="Hyperlink"/>
                <w:rFonts w:ascii="Times New Roman" w:hAnsi="Times New Roman" w:cs="Times New Roman"/>
                <w:noProof/>
              </w:rPr>
              <w:t>I PIELIKUMS. GLOSĀRIJS</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_Toc118117239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14</w:t>
            </w:r>
            <w:r w:rsidRPr="00A761F2">
              <w:rPr>
                <w:rFonts w:ascii="Times New Roman" w:hAnsi="Times New Roman" w:cs="Times New Roman"/>
                <w:noProof/>
                <w:webHidden/>
              </w:rPr>
              <w:fldChar w:fldCharType="end"/>
            </w:r>
          </w:hyperlink>
        </w:p>
        <w:p w14:paraId="0A518078" w14:textId="11C6E6D8" w:rsidR="00A761F2" w:rsidRPr="00A761F2" w:rsidRDefault="00A761F2" w:rsidP="00A761F2">
          <w:pPr>
            <w:pStyle w:val="TOC1"/>
            <w:tabs>
              <w:tab w:val="right" w:leader="dot" w:pos="9065"/>
            </w:tabs>
            <w:spacing w:before="0" w:line="360" w:lineRule="auto"/>
            <w:ind w:left="0" w:firstLine="0"/>
            <w:rPr>
              <w:rFonts w:ascii="Times New Roman" w:eastAsiaTheme="minorEastAsia" w:hAnsi="Times New Roman" w:cs="Times New Roman"/>
              <w:b w:val="0"/>
              <w:bCs w:val="0"/>
              <w:noProof/>
              <w:lang w:eastAsia="lv-LV"/>
            </w:rPr>
          </w:pPr>
          <w:hyperlink w:anchor="_Toc118117240" w:history="1">
            <w:r w:rsidRPr="00A761F2">
              <w:rPr>
                <w:rStyle w:val="Hyperlink"/>
                <w:rFonts w:ascii="Times New Roman" w:hAnsi="Times New Roman" w:cs="Times New Roman"/>
                <w:noProof/>
              </w:rPr>
              <w:t>2. PIELIKUMS. ATSAUCES</w:t>
            </w:r>
            <w:r w:rsidRPr="00A761F2">
              <w:rPr>
                <w:rFonts w:ascii="Times New Roman" w:hAnsi="Times New Roman" w:cs="Times New Roman"/>
                <w:noProof/>
                <w:webHidden/>
              </w:rPr>
              <w:tab/>
            </w:r>
            <w:r w:rsidRPr="00A761F2">
              <w:rPr>
                <w:rFonts w:ascii="Times New Roman" w:hAnsi="Times New Roman" w:cs="Times New Roman"/>
                <w:noProof/>
                <w:webHidden/>
              </w:rPr>
              <w:fldChar w:fldCharType="begin"/>
            </w:r>
            <w:r w:rsidRPr="00A761F2">
              <w:rPr>
                <w:rFonts w:ascii="Times New Roman" w:hAnsi="Times New Roman" w:cs="Times New Roman"/>
                <w:noProof/>
                <w:webHidden/>
              </w:rPr>
              <w:instrText xml:space="preserve"> PAGEREF _Toc118117240 \h </w:instrText>
            </w:r>
            <w:r w:rsidRPr="00A761F2">
              <w:rPr>
                <w:rFonts w:ascii="Times New Roman" w:hAnsi="Times New Roman" w:cs="Times New Roman"/>
                <w:noProof/>
                <w:webHidden/>
              </w:rPr>
            </w:r>
            <w:r w:rsidRPr="00A761F2">
              <w:rPr>
                <w:rFonts w:ascii="Times New Roman" w:hAnsi="Times New Roman" w:cs="Times New Roman"/>
                <w:noProof/>
                <w:webHidden/>
              </w:rPr>
              <w:fldChar w:fldCharType="separate"/>
            </w:r>
            <w:r w:rsidRPr="00A761F2">
              <w:rPr>
                <w:rFonts w:ascii="Times New Roman" w:hAnsi="Times New Roman" w:cs="Times New Roman"/>
                <w:noProof/>
                <w:webHidden/>
              </w:rPr>
              <w:t>15</w:t>
            </w:r>
            <w:r w:rsidRPr="00A761F2">
              <w:rPr>
                <w:rFonts w:ascii="Times New Roman" w:hAnsi="Times New Roman" w:cs="Times New Roman"/>
                <w:noProof/>
                <w:webHidden/>
              </w:rPr>
              <w:fldChar w:fldCharType="end"/>
            </w:r>
          </w:hyperlink>
        </w:p>
        <w:p w14:paraId="16AF7EC5" w14:textId="16929CA7" w:rsidR="00A761F2" w:rsidRPr="00A761F2" w:rsidRDefault="00A761F2" w:rsidP="00A761F2">
          <w:pPr>
            <w:spacing w:line="360" w:lineRule="auto"/>
            <w:rPr>
              <w:rFonts w:ascii="Times New Roman" w:hAnsi="Times New Roman" w:cs="Times New Roman"/>
              <w:sz w:val="24"/>
              <w:szCs w:val="24"/>
            </w:rPr>
          </w:pPr>
          <w:r w:rsidRPr="00A761F2">
            <w:rPr>
              <w:rFonts w:ascii="Times New Roman" w:hAnsi="Times New Roman" w:cs="Times New Roman"/>
              <w:b/>
              <w:bCs/>
              <w:noProof/>
              <w:sz w:val="24"/>
              <w:szCs w:val="24"/>
            </w:rPr>
            <w:fldChar w:fldCharType="end"/>
          </w:r>
        </w:p>
      </w:sdtContent>
    </w:sdt>
    <w:p w14:paraId="2D36041C" w14:textId="77777777" w:rsidR="00102B35" w:rsidRPr="00102B35" w:rsidRDefault="00102B35" w:rsidP="00102B35">
      <w:pPr>
        <w:jc w:val="both"/>
        <w:rPr>
          <w:rFonts w:ascii="Times New Roman" w:eastAsia="Arial" w:hAnsi="Times New Roman" w:cs="Times New Roman"/>
          <w:b/>
          <w:bCs/>
          <w:noProof/>
          <w:sz w:val="24"/>
          <w:szCs w:val="24"/>
        </w:rPr>
      </w:pPr>
    </w:p>
    <w:p w14:paraId="0C48821D" w14:textId="77777777" w:rsidR="00102B35" w:rsidRPr="00102B35" w:rsidRDefault="00102B35" w:rsidP="00102B35">
      <w:pPr>
        <w:jc w:val="both"/>
        <w:rPr>
          <w:rFonts w:ascii="Times New Roman" w:eastAsia="Arial" w:hAnsi="Times New Roman" w:cs="Times New Roman"/>
          <w:b/>
          <w:bCs/>
          <w:noProof/>
          <w:sz w:val="24"/>
          <w:szCs w:val="24"/>
        </w:rPr>
      </w:pPr>
      <w:r>
        <w:br w:type="page"/>
      </w:r>
    </w:p>
    <w:p w14:paraId="54B44124" w14:textId="77777777" w:rsidR="00102B35" w:rsidRPr="00102B35" w:rsidRDefault="00102B35" w:rsidP="00102B35">
      <w:pPr>
        <w:jc w:val="both"/>
        <w:rPr>
          <w:rFonts w:ascii="Times New Roman" w:eastAsia="Arial" w:hAnsi="Times New Roman" w:cs="Times New Roman"/>
          <w:b/>
          <w:bCs/>
          <w:noProof/>
          <w:sz w:val="24"/>
          <w:szCs w:val="24"/>
        </w:rPr>
      </w:pPr>
    </w:p>
    <w:p w14:paraId="2233DB2C" w14:textId="77777777" w:rsidR="00102B35" w:rsidRPr="00102B35" w:rsidRDefault="00102B35" w:rsidP="00102B35">
      <w:pPr>
        <w:pStyle w:val="Heading1"/>
      </w:pPr>
      <w:bookmarkStart w:id="0" w:name="_Toc118117223"/>
      <w:r>
        <w:t>1. IEVADS</w:t>
      </w:r>
      <w:bookmarkStart w:id="1" w:name="_bookmark0"/>
      <w:bookmarkEnd w:id="0"/>
      <w:bookmarkEnd w:id="1"/>
    </w:p>
    <w:p w14:paraId="3A6BD956" w14:textId="77777777" w:rsidR="00102B35" w:rsidRPr="00102B35" w:rsidRDefault="00102B35" w:rsidP="00102B35">
      <w:pPr>
        <w:jc w:val="both"/>
        <w:rPr>
          <w:rFonts w:ascii="Times New Roman" w:eastAsia="Arial" w:hAnsi="Times New Roman" w:cs="Times New Roman"/>
          <w:b/>
          <w:bCs/>
          <w:i/>
          <w:noProof/>
          <w:sz w:val="24"/>
          <w:szCs w:val="24"/>
        </w:rPr>
      </w:pPr>
    </w:p>
    <w:p w14:paraId="567D947A" w14:textId="77777777" w:rsidR="00102B35" w:rsidRPr="00102B35" w:rsidRDefault="00102B35" w:rsidP="00102B35">
      <w:pPr>
        <w:pStyle w:val="BodyText"/>
      </w:pPr>
      <w:r>
        <w:t>1.1. Šā dokumenta mērķis ir sniegt noderīgu informāciju par saikni starp organizācijas akreditēto vides pārvaldības sistēmas (</w:t>
      </w:r>
      <w:r>
        <w:rPr>
          <w:i/>
          <w:iCs/>
        </w:rPr>
        <w:t>EMS</w:t>
      </w:r>
      <w:r>
        <w:t>) sertifikāciju un šīs organizācijas atbilstības pakāpi piemērojamām tiesiskajām prasībām vides jomā.</w:t>
      </w:r>
    </w:p>
    <w:p w14:paraId="2AB5FD2A" w14:textId="77777777" w:rsidR="00102B35" w:rsidRPr="00102B35" w:rsidRDefault="00102B35" w:rsidP="00102B35">
      <w:pPr>
        <w:jc w:val="both"/>
        <w:rPr>
          <w:rFonts w:ascii="Times New Roman" w:eastAsia="Arial" w:hAnsi="Times New Roman" w:cs="Times New Roman"/>
          <w:noProof/>
          <w:sz w:val="24"/>
          <w:szCs w:val="24"/>
        </w:rPr>
      </w:pPr>
    </w:p>
    <w:p w14:paraId="22BDFCDE" w14:textId="77777777" w:rsidR="00102B35" w:rsidRPr="00102B35" w:rsidRDefault="00102B35" w:rsidP="00102B35">
      <w:pPr>
        <w:pStyle w:val="BodyText"/>
      </w:pPr>
      <w:r>
        <w:t xml:space="preserve">Dokumenta paredzētā auditorija ir organizācijas, kas ir ieviesušas vai ievieš </w:t>
      </w:r>
      <w:r>
        <w:rPr>
          <w:i/>
          <w:iCs/>
        </w:rPr>
        <w:t>EMS</w:t>
      </w:r>
      <w:r>
        <w:t>, kā arī valdības iestādes, vides regulatori, akreditācijas iestādes, akreditētas sertifikācijas institūcijas (vai ANI – atbilstības novērtēšanas institūcijas) un citas ieinteresētās personas.</w:t>
      </w:r>
    </w:p>
    <w:p w14:paraId="6D9A847F" w14:textId="77777777" w:rsidR="00102B35" w:rsidRPr="00102B35" w:rsidRDefault="00102B35" w:rsidP="00102B35">
      <w:pPr>
        <w:jc w:val="both"/>
        <w:rPr>
          <w:rFonts w:ascii="Times New Roman" w:eastAsia="Arial" w:hAnsi="Times New Roman" w:cs="Times New Roman"/>
          <w:noProof/>
          <w:sz w:val="24"/>
          <w:szCs w:val="24"/>
        </w:rPr>
      </w:pPr>
    </w:p>
    <w:p w14:paraId="5BD9F0A6" w14:textId="77777777" w:rsidR="00102B35" w:rsidRPr="00102B35" w:rsidRDefault="00102B35" w:rsidP="00102B35">
      <w:pPr>
        <w:pStyle w:val="BodyText"/>
      </w:pPr>
      <w:r>
        <w:t>Vides regulatoriem un sabiedrībai būtu jāuzticas organizācijām, kurām ir akreditēts ISO 14001:2015 sertifikāts, un jāspēj uztvert tās kā organizācijas, kas spēj pastāvīgi un konsekventi pārvaldīt savu atbilstību tiesību aktiem.</w:t>
      </w:r>
    </w:p>
    <w:p w14:paraId="52F1FB87" w14:textId="77777777" w:rsidR="00102B35" w:rsidRPr="00102B35" w:rsidRDefault="00102B35" w:rsidP="00102B35">
      <w:pPr>
        <w:jc w:val="both"/>
        <w:rPr>
          <w:rFonts w:ascii="Times New Roman" w:eastAsia="Arial" w:hAnsi="Times New Roman" w:cs="Times New Roman"/>
          <w:noProof/>
          <w:sz w:val="24"/>
          <w:szCs w:val="24"/>
        </w:rPr>
      </w:pPr>
    </w:p>
    <w:p w14:paraId="284B411D" w14:textId="77777777" w:rsidR="00102B35" w:rsidRPr="00102B35" w:rsidRDefault="00102B35" w:rsidP="00102B35">
      <w:pPr>
        <w:pStyle w:val="BodyText"/>
      </w:pPr>
      <w:r>
        <w:t xml:space="preserve">1.2. Ņemot vērā praktiski 20 gadus ilgo pieredzi, kas gūta kopš agrākā starptautiskā standarta ISO 14001:1996 publicēšanas, tā aizstāšanas ar ISO 14001:2004 un tagadējā ISO 14001:2015 publicēšanas, galvenie </w:t>
      </w:r>
      <w:r>
        <w:rPr>
          <w:i/>
          <w:iCs/>
        </w:rPr>
        <w:t>EMS</w:t>
      </w:r>
      <w:r>
        <w:t xml:space="preserve"> mērķi tagad ir skaidri noteikti tās tvērumā. Saskaņā ar organizācijas vides politiku paredzētie vides pārvaldības sistēmas rezultāti ir šādi:</w:t>
      </w:r>
    </w:p>
    <w:p w14:paraId="6A0DAB8E" w14:textId="77777777" w:rsidR="00102B35" w:rsidRPr="00102B35" w:rsidRDefault="00102B35" w:rsidP="00102B35">
      <w:pPr>
        <w:jc w:val="both"/>
        <w:rPr>
          <w:rFonts w:ascii="Times New Roman" w:eastAsia="Arial" w:hAnsi="Times New Roman" w:cs="Times New Roman"/>
          <w:noProof/>
          <w:sz w:val="24"/>
          <w:szCs w:val="24"/>
        </w:rPr>
      </w:pPr>
    </w:p>
    <w:p w14:paraId="297B655E" w14:textId="77777777" w:rsidR="00102B35" w:rsidRPr="00102B35" w:rsidRDefault="00102B35" w:rsidP="00C36EFF">
      <w:pPr>
        <w:pStyle w:val="BodyText"/>
        <w:numPr>
          <w:ilvl w:val="2"/>
          <w:numId w:val="10"/>
        </w:numPr>
        <w:ind w:left="567" w:hanging="283"/>
      </w:pPr>
      <w:r>
        <w:t>snieguma vides jomā uzlabošana;</w:t>
      </w:r>
    </w:p>
    <w:p w14:paraId="7DEC8782" w14:textId="77777777" w:rsidR="00102B35" w:rsidRPr="00102B35" w:rsidRDefault="00102B35" w:rsidP="00C36EFF">
      <w:pPr>
        <w:pStyle w:val="BodyText"/>
        <w:numPr>
          <w:ilvl w:val="2"/>
          <w:numId w:val="10"/>
        </w:numPr>
        <w:ind w:left="567" w:hanging="283"/>
      </w:pPr>
      <w:r>
        <w:t>atbilstības saistību izpilde;</w:t>
      </w:r>
    </w:p>
    <w:p w14:paraId="7617878D" w14:textId="77777777" w:rsidR="00102B35" w:rsidRPr="00102B35" w:rsidRDefault="00102B35" w:rsidP="00C36EFF">
      <w:pPr>
        <w:pStyle w:val="BodyText"/>
        <w:numPr>
          <w:ilvl w:val="2"/>
          <w:numId w:val="10"/>
        </w:numPr>
        <w:ind w:left="567" w:hanging="283"/>
      </w:pPr>
      <w:r>
        <w:t>vides mērķu sasniegšana.</w:t>
      </w:r>
    </w:p>
    <w:p w14:paraId="7FB819D7" w14:textId="77777777" w:rsidR="00102B35" w:rsidRPr="00102B35" w:rsidRDefault="00102B35" w:rsidP="00102B35">
      <w:pPr>
        <w:jc w:val="both"/>
        <w:rPr>
          <w:rFonts w:ascii="Times New Roman" w:eastAsia="Arial" w:hAnsi="Times New Roman" w:cs="Times New Roman"/>
          <w:noProof/>
          <w:sz w:val="24"/>
          <w:szCs w:val="24"/>
        </w:rPr>
      </w:pPr>
    </w:p>
    <w:p w14:paraId="54C4436B" w14:textId="77777777" w:rsidR="00102B35" w:rsidRPr="00102B35" w:rsidRDefault="00102B35" w:rsidP="00102B35">
      <w:pPr>
        <w:pStyle w:val="BodyText"/>
      </w:pPr>
      <w:r>
        <w:t xml:space="preserve">Ņemot vērā šos skaidri formulētos rezultātus, ir daudz organizāciju, kas ir ieviesušas un uztur </w:t>
      </w:r>
      <w:r>
        <w:rPr>
          <w:i/>
          <w:iCs/>
        </w:rPr>
        <w:t>EMS</w:t>
      </w:r>
      <w:r>
        <w:t xml:space="preserve"> atbilstoši standartam, kā rezultātā tās ir sasniegušas un nodrošina atbilstību tiesību aktiem.</w:t>
      </w:r>
    </w:p>
    <w:p w14:paraId="085B3285" w14:textId="77777777" w:rsidR="00102B35" w:rsidRPr="00102B35" w:rsidRDefault="00102B35" w:rsidP="00102B35">
      <w:pPr>
        <w:jc w:val="both"/>
        <w:rPr>
          <w:rFonts w:ascii="Times New Roman" w:eastAsia="Arial" w:hAnsi="Times New Roman" w:cs="Times New Roman"/>
          <w:noProof/>
          <w:sz w:val="24"/>
          <w:szCs w:val="24"/>
        </w:rPr>
      </w:pPr>
    </w:p>
    <w:p w14:paraId="2DADD935" w14:textId="77777777" w:rsidR="00102B35" w:rsidRPr="00102B35" w:rsidRDefault="00102B35" w:rsidP="00102B35">
      <w:pPr>
        <w:pStyle w:val="BodyText"/>
      </w:pPr>
      <w:r>
        <w:t xml:space="preserve">1.3. Valsts un reģiona valdības un vides regulatori ir arī atzinuši, ka </w:t>
      </w:r>
      <w:r>
        <w:rPr>
          <w:i/>
          <w:iCs/>
        </w:rPr>
        <w:t>EMS</w:t>
      </w:r>
      <w:r>
        <w:t xml:space="preserve"> ieviešana un uzturēšana iespējami palīdz uzlabot sniegumu vides jomā.</w:t>
      </w:r>
    </w:p>
    <w:p w14:paraId="01728546" w14:textId="77777777" w:rsidR="00102B35" w:rsidRPr="00102B35" w:rsidRDefault="00102B35" w:rsidP="00102B35">
      <w:pPr>
        <w:jc w:val="both"/>
        <w:rPr>
          <w:rFonts w:ascii="Times New Roman" w:eastAsia="Arial" w:hAnsi="Times New Roman" w:cs="Times New Roman"/>
          <w:noProof/>
          <w:sz w:val="24"/>
          <w:szCs w:val="24"/>
        </w:rPr>
      </w:pPr>
    </w:p>
    <w:p w14:paraId="216F78B1" w14:textId="77777777" w:rsidR="00102B35" w:rsidRPr="00102B35" w:rsidRDefault="00102B35" w:rsidP="00102B35">
      <w:pPr>
        <w:pStyle w:val="BodyText"/>
      </w:pPr>
      <w:r>
        <w:t xml:space="preserve">Ir piemēri tam, kā </w:t>
      </w:r>
      <w:r>
        <w:rPr>
          <w:i/>
          <w:iCs/>
        </w:rPr>
        <w:t>EMS</w:t>
      </w:r>
      <w:r>
        <w:t xml:space="preserve"> tiek izmantota saistībā ar īpašiem tiesību aktiem vides jomā vai kā vides regulatora sniegts nosacījums. Gadījumos, kad tiek ieviesta un uzturēta </w:t>
      </w:r>
      <w:r>
        <w:rPr>
          <w:i/>
          <w:iCs/>
        </w:rPr>
        <w:t>EMS</w:t>
      </w:r>
      <w:r>
        <w:t>, pieaug interese mīkstināt reglamentējošo uzraudzību.</w:t>
      </w:r>
    </w:p>
    <w:p w14:paraId="4C75E2DC" w14:textId="77777777" w:rsidR="00102B35" w:rsidRPr="00102B35" w:rsidRDefault="00102B35" w:rsidP="00102B35">
      <w:pPr>
        <w:jc w:val="both"/>
        <w:rPr>
          <w:rFonts w:ascii="Times New Roman" w:eastAsia="Arial" w:hAnsi="Times New Roman" w:cs="Times New Roman"/>
          <w:noProof/>
          <w:sz w:val="24"/>
          <w:szCs w:val="24"/>
        </w:rPr>
      </w:pPr>
    </w:p>
    <w:p w14:paraId="618CFEFA" w14:textId="77777777" w:rsidR="00102B35" w:rsidRPr="00102B35" w:rsidRDefault="00102B35" w:rsidP="00102B35">
      <w:pPr>
        <w:pStyle w:val="BodyText"/>
      </w:pPr>
      <w:r>
        <w:t>1.4. Reglamentējošā ciklā vides jomā ir vismaz šādi posmi:</w:t>
      </w:r>
    </w:p>
    <w:p w14:paraId="791EB84D" w14:textId="77777777" w:rsidR="00102B35" w:rsidRPr="00102B35" w:rsidRDefault="00102B35" w:rsidP="00102B35">
      <w:pPr>
        <w:jc w:val="both"/>
        <w:rPr>
          <w:rFonts w:ascii="Times New Roman" w:eastAsia="Arial" w:hAnsi="Times New Roman" w:cs="Times New Roman"/>
          <w:noProof/>
          <w:sz w:val="24"/>
          <w:szCs w:val="24"/>
        </w:rPr>
      </w:pPr>
    </w:p>
    <w:p w14:paraId="2A914900" w14:textId="77777777" w:rsidR="00102B35" w:rsidRPr="00102B35" w:rsidRDefault="00102B35" w:rsidP="00C36EFF">
      <w:pPr>
        <w:pStyle w:val="BodyText"/>
        <w:numPr>
          <w:ilvl w:val="2"/>
          <w:numId w:val="9"/>
        </w:numPr>
        <w:ind w:left="567" w:hanging="283"/>
      </w:pPr>
      <w:r>
        <w:t>tiesību aktu izstrāde un publicēšana;</w:t>
      </w:r>
    </w:p>
    <w:p w14:paraId="22AA558D" w14:textId="77777777" w:rsidR="00102B35" w:rsidRPr="00102B35" w:rsidRDefault="00102B35" w:rsidP="00C36EFF">
      <w:pPr>
        <w:pStyle w:val="BodyText"/>
        <w:numPr>
          <w:ilvl w:val="2"/>
          <w:numId w:val="9"/>
        </w:numPr>
        <w:ind w:left="567" w:hanging="283"/>
      </w:pPr>
      <w:r>
        <w:t>vides atļaujas (piem., licences, atļauju utt.) izdošana;</w:t>
      </w:r>
    </w:p>
    <w:p w14:paraId="7BA0BFCF" w14:textId="77777777" w:rsidR="00102B35" w:rsidRPr="00102B35" w:rsidRDefault="00102B35" w:rsidP="00C36EFF">
      <w:pPr>
        <w:pStyle w:val="BodyText"/>
        <w:numPr>
          <w:ilvl w:val="2"/>
          <w:numId w:val="9"/>
        </w:numPr>
        <w:ind w:left="567" w:hanging="283"/>
      </w:pPr>
      <w:r>
        <w:t>īstenošana;</w:t>
      </w:r>
    </w:p>
    <w:p w14:paraId="60EB743D" w14:textId="77777777" w:rsidR="00102B35" w:rsidRPr="00102B35" w:rsidRDefault="00102B35" w:rsidP="00C36EFF">
      <w:pPr>
        <w:pStyle w:val="BodyText"/>
        <w:numPr>
          <w:ilvl w:val="2"/>
          <w:numId w:val="9"/>
        </w:numPr>
        <w:ind w:left="567" w:hanging="283"/>
      </w:pPr>
      <w:r>
        <w:t>atbilstības pārbaude (piem., inspicēšana);</w:t>
      </w:r>
    </w:p>
    <w:p w14:paraId="43D734BB" w14:textId="77777777" w:rsidR="00102B35" w:rsidRPr="00102B35" w:rsidRDefault="00102B35" w:rsidP="00C36EFF">
      <w:pPr>
        <w:pStyle w:val="BodyText"/>
        <w:numPr>
          <w:ilvl w:val="2"/>
          <w:numId w:val="9"/>
        </w:numPr>
        <w:ind w:left="567" w:hanging="283"/>
      </w:pPr>
      <w:r>
        <w:t>piespiedu izpildes darbības neatbilstību gadījumos.</w:t>
      </w:r>
    </w:p>
    <w:p w14:paraId="320ECB57" w14:textId="77777777" w:rsidR="00102B35" w:rsidRPr="00102B35" w:rsidRDefault="00102B35" w:rsidP="00102B35">
      <w:pPr>
        <w:jc w:val="both"/>
        <w:rPr>
          <w:rFonts w:ascii="Times New Roman" w:eastAsia="Arial" w:hAnsi="Times New Roman" w:cs="Times New Roman"/>
          <w:noProof/>
          <w:sz w:val="24"/>
          <w:szCs w:val="24"/>
        </w:rPr>
      </w:pPr>
    </w:p>
    <w:p w14:paraId="7C9BA789" w14:textId="77777777" w:rsidR="00102B35" w:rsidRPr="00102B35" w:rsidRDefault="00102B35" w:rsidP="00102B35">
      <w:pPr>
        <w:pStyle w:val="BodyText"/>
      </w:pPr>
      <w:r>
        <w:t>Katrā valstī izpratne par šiem posmiem un to īstenošana atšķiras.</w:t>
      </w:r>
    </w:p>
    <w:p w14:paraId="7A77384A" w14:textId="77777777" w:rsidR="00102B35" w:rsidRPr="00102B35" w:rsidRDefault="00102B35" w:rsidP="00102B35">
      <w:pPr>
        <w:jc w:val="both"/>
        <w:rPr>
          <w:rFonts w:ascii="Times New Roman" w:eastAsia="Arial" w:hAnsi="Times New Roman" w:cs="Times New Roman"/>
          <w:noProof/>
          <w:sz w:val="24"/>
          <w:szCs w:val="24"/>
        </w:rPr>
      </w:pPr>
    </w:p>
    <w:p w14:paraId="4AB76319" w14:textId="77777777" w:rsidR="00102B35" w:rsidRPr="00102B35" w:rsidRDefault="00102B35" w:rsidP="00102B35">
      <w:pPr>
        <w:pStyle w:val="BodyText"/>
      </w:pPr>
      <w:r>
        <w:t>Par atbilstošu tiesību aktiem var uzskatīt organizācijas un vides regulatoru mijiedarbību situācijā, kad organizācijai nav jāveic reaģējošas piespiedu izpildes darbības vai netiek gaidīts, ka tās tai jāveic. Šīs piespiedu darbības var būt brīdinājumi, paziņojumi par atbilstību, paziņojumi par aizliegumu un administratīvas, krimināltiesiskas vai civiltiesiskas darbības.</w:t>
      </w:r>
    </w:p>
    <w:p w14:paraId="7861856E" w14:textId="77777777" w:rsidR="00102B35" w:rsidRPr="00102B35" w:rsidRDefault="00102B35" w:rsidP="00102B35">
      <w:pPr>
        <w:jc w:val="both"/>
        <w:rPr>
          <w:rFonts w:ascii="Times New Roman" w:eastAsia="Arial" w:hAnsi="Times New Roman" w:cs="Times New Roman"/>
          <w:noProof/>
          <w:sz w:val="24"/>
          <w:szCs w:val="24"/>
        </w:rPr>
      </w:pPr>
    </w:p>
    <w:p w14:paraId="5048B483" w14:textId="77777777" w:rsidR="00102B35" w:rsidRPr="00102B35" w:rsidRDefault="00102B35" w:rsidP="007F586A">
      <w:pPr>
        <w:pStyle w:val="BodyText"/>
        <w:keepNext/>
        <w:keepLines/>
      </w:pPr>
      <w:r>
        <w:lastRenderedPageBreak/>
        <w:t>1.5. Tomēr, raugoties plašāk, ieinteresētās puses sagaida, ka tiks nodrošināta pilnīga atbilstība tiesību aktiem atbilstoši piemērojamām tiesiskajām prasībām neatkarīgi no vides regulatora skatījuma.</w:t>
      </w:r>
    </w:p>
    <w:p w14:paraId="1041E0A2" w14:textId="77777777" w:rsidR="00102B35" w:rsidRPr="00102B35" w:rsidRDefault="00102B35" w:rsidP="00102B35">
      <w:pPr>
        <w:jc w:val="both"/>
        <w:rPr>
          <w:rFonts w:ascii="Times New Roman" w:eastAsia="Arial" w:hAnsi="Times New Roman" w:cs="Times New Roman"/>
          <w:noProof/>
          <w:sz w:val="24"/>
          <w:szCs w:val="24"/>
        </w:rPr>
      </w:pPr>
    </w:p>
    <w:p w14:paraId="4A534E90" w14:textId="77777777" w:rsidR="00102B35" w:rsidRPr="00102B35" w:rsidRDefault="00102B35" w:rsidP="00102B35">
      <w:pPr>
        <w:pStyle w:val="BodyText"/>
      </w:pPr>
      <w:r>
        <w:t xml:space="preserve">1.6. Izvērtējot dažādus skatupunktus un sadarbībā ar </w:t>
      </w:r>
      <w:r>
        <w:rPr>
          <w:i/>
          <w:iCs/>
        </w:rPr>
        <w:t>IMPEL2</w:t>
      </w:r>
      <w:r>
        <w:t>, termins “atbilstība tiesību aktiem” tiek definēts šādi: “atbilstība likumam tādā veidā, lai tiktu sasniegts paredzētais rezultāts”.</w:t>
      </w:r>
    </w:p>
    <w:p w14:paraId="78F9CE7D" w14:textId="77777777" w:rsidR="00102B35" w:rsidRPr="00102B35" w:rsidRDefault="00102B35" w:rsidP="00102B35">
      <w:pPr>
        <w:jc w:val="both"/>
        <w:rPr>
          <w:rFonts w:ascii="Times New Roman" w:eastAsia="Arial" w:hAnsi="Times New Roman" w:cs="Times New Roman"/>
          <w:noProof/>
          <w:sz w:val="24"/>
          <w:szCs w:val="24"/>
        </w:rPr>
      </w:pPr>
    </w:p>
    <w:p w14:paraId="22738BFF" w14:textId="77777777" w:rsidR="00102B35" w:rsidRPr="00102B35" w:rsidRDefault="00102B35" w:rsidP="00102B35">
      <w:pPr>
        <w:pStyle w:val="BodyText"/>
      </w:pPr>
      <w:r>
        <w:t xml:space="preserve">1.7. Lai arī </w:t>
      </w:r>
      <w:r>
        <w:rPr>
          <w:i/>
          <w:iCs/>
        </w:rPr>
        <w:t>EMS</w:t>
      </w:r>
      <w:r>
        <w:t xml:space="preserve"> sertificēšana atbilstoši ISO 14001:2015 prasībām negarantē atbilstību tiesību aktiem (tāpat kā to negarantē arī citi kontroles līdzekļi, tostarp valdības vai cita veida kontrole un/vai inspekcijas, kurās pārbauda atbilstību tiesību aktiem, vai citu veidu sertificēšana vai verificēšana), sertificēšana ir pierādīts un efektīvs rīks, lai sasniegtu un uzturētu atbilstību tiesību aktiem.</w:t>
      </w:r>
    </w:p>
    <w:p w14:paraId="45CE6F68" w14:textId="77777777" w:rsidR="00102B35" w:rsidRPr="00102B35" w:rsidRDefault="00102B35" w:rsidP="00102B35">
      <w:pPr>
        <w:jc w:val="both"/>
        <w:rPr>
          <w:rFonts w:ascii="Times New Roman" w:eastAsia="Arial" w:hAnsi="Times New Roman" w:cs="Times New Roman"/>
          <w:noProof/>
          <w:sz w:val="24"/>
          <w:szCs w:val="24"/>
        </w:rPr>
      </w:pPr>
    </w:p>
    <w:p w14:paraId="1B94C459" w14:textId="77777777" w:rsidR="00102B35" w:rsidRPr="00102B35" w:rsidRDefault="00102B35" w:rsidP="00102B35">
      <w:pPr>
        <w:pStyle w:val="BodyText"/>
      </w:pPr>
      <w:r>
        <w:t xml:space="preserve">Akreditēta ISO 14001:2015 sertifikācija apliecina, ka neatkarīga trešā puse (sertifikācijas institūcija) ir novērtējusi un apstiprinājusi, ka organizācija ir parādījusi, ka tai ir efektīva </w:t>
      </w:r>
      <w:r>
        <w:rPr>
          <w:i/>
          <w:iCs/>
        </w:rPr>
        <w:t>EMS</w:t>
      </w:r>
      <w:r>
        <w:t>, lai nodrošinātu, ka tiek izpildītas saistības politikas jomā, tostarp atbilstības saistības.</w:t>
      </w:r>
    </w:p>
    <w:p w14:paraId="353D3C76" w14:textId="77777777" w:rsidR="00102B35" w:rsidRPr="00102B35" w:rsidRDefault="00102B35" w:rsidP="00102B35">
      <w:pPr>
        <w:jc w:val="both"/>
        <w:rPr>
          <w:rFonts w:ascii="Times New Roman" w:eastAsia="Arial" w:hAnsi="Times New Roman" w:cs="Times New Roman"/>
          <w:noProof/>
          <w:sz w:val="24"/>
          <w:szCs w:val="24"/>
        </w:rPr>
      </w:pPr>
    </w:p>
    <w:p w14:paraId="09454234" w14:textId="77777777" w:rsidR="00102B35" w:rsidRPr="00102B35" w:rsidRDefault="00102B35" w:rsidP="00102B35">
      <w:pPr>
        <w:pStyle w:val="BodyText"/>
      </w:pPr>
      <w:r>
        <w:t xml:space="preserve">Pastāvīga vai iespējama neatbilstība piemērojamām tiesiskajām prasībām liecinās par vadības kontroles trūkumu organizācijā, un būs rūpīgi jāpārskata tās </w:t>
      </w:r>
      <w:r>
        <w:rPr>
          <w:i/>
          <w:iCs/>
        </w:rPr>
        <w:t>EMS</w:t>
      </w:r>
      <w:r>
        <w:t xml:space="preserve"> un atbilstība standartam.</w:t>
      </w:r>
    </w:p>
    <w:p w14:paraId="4109755F" w14:textId="77777777" w:rsidR="00102B35" w:rsidRPr="00102B35" w:rsidRDefault="00102B35" w:rsidP="00102B35">
      <w:pPr>
        <w:jc w:val="both"/>
        <w:rPr>
          <w:rFonts w:ascii="Times New Roman" w:eastAsia="Arial" w:hAnsi="Times New Roman" w:cs="Times New Roman"/>
          <w:noProof/>
          <w:sz w:val="24"/>
          <w:szCs w:val="24"/>
        </w:rPr>
      </w:pPr>
    </w:p>
    <w:p w14:paraId="22E884FF" w14:textId="77777777" w:rsidR="00102B35" w:rsidRPr="00102B35" w:rsidRDefault="00102B35" w:rsidP="00102B35">
      <w:pPr>
        <w:pStyle w:val="BodyText"/>
      </w:pPr>
      <w:r>
        <w:t xml:space="preserve">1.8. Jāatzīst, ka atbilstība tiesību aktiem nav vienīgais kritērijs, kas nosaka </w:t>
      </w:r>
      <w:r>
        <w:rPr>
          <w:i/>
          <w:iCs/>
        </w:rPr>
        <w:t>EMS</w:t>
      </w:r>
      <w:r>
        <w:t xml:space="preserve"> efektivitāti. </w:t>
      </w:r>
      <w:r>
        <w:rPr>
          <w:i/>
          <w:iCs/>
        </w:rPr>
        <w:t>EMS</w:t>
      </w:r>
      <w:r>
        <w:t xml:space="preserve"> ir svarīgs rīks, lai kontrolētu vides riskus, kur juridiskās sekas/ietekme, ko rada neatbilstošs sniegums, ir tikai viena no vismaz četrām iespējamām sekām/ietekmēm.</w:t>
      </w:r>
    </w:p>
    <w:p w14:paraId="4D42E90D" w14:textId="77777777" w:rsidR="00102B35" w:rsidRPr="00102B35" w:rsidRDefault="00102B35" w:rsidP="00102B35">
      <w:pPr>
        <w:jc w:val="both"/>
        <w:rPr>
          <w:rFonts w:ascii="Times New Roman" w:eastAsia="Arial" w:hAnsi="Times New Roman" w:cs="Times New Roman"/>
          <w:noProof/>
          <w:sz w:val="24"/>
          <w:szCs w:val="24"/>
        </w:rPr>
      </w:pPr>
    </w:p>
    <w:p w14:paraId="1AF37D54" w14:textId="77777777" w:rsidR="00102B35" w:rsidRPr="00102B35" w:rsidRDefault="00102B35" w:rsidP="00102B35">
      <w:pPr>
        <w:pStyle w:val="BodyText"/>
      </w:pPr>
      <w:r>
        <w:t>Citas sekas/ietekmes ir šādas:</w:t>
      </w:r>
    </w:p>
    <w:p w14:paraId="0A1BBEAF" w14:textId="77777777" w:rsidR="00102B35" w:rsidRPr="00102B35" w:rsidRDefault="00102B35" w:rsidP="00102B35">
      <w:pPr>
        <w:jc w:val="both"/>
        <w:rPr>
          <w:rFonts w:ascii="Times New Roman" w:eastAsia="Arial" w:hAnsi="Times New Roman" w:cs="Times New Roman"/>
          <w:noProof/>
          <w:sz w:val="24"/>
          <w:szCs w:val="24"/>
        </w:rPr>
      </w:pPr>
    </w:p>
    <w:p w14:paraId="656EF7C5" w14:textId="77777777" w:rsidR="00102B35" w:rsidRPr="00102B35" w:rsidRDefault="00102B35" w:rsidP="00102B35">
      <w:pPr>
        <w:pStyle w:val="BodyText"/>
        <w:ind w:left="284"/>
      </w:pPr>
      <w:r>
        <w:t>1. ekoloģiskās sekas (piemēram, kaitējums videi);</w:t>
      </w:r>
    </w:p>
    <w:p w14:paraId="6D24233F" w14:textId="77777777" w:rsidR="00102B35" w:rsidRPr="00102B35" w:rsidRDefault="00102B35" w:rsidP="00102B35">
      <w:pPr>
        <w:pStyle w:val="BodyText"/>
        <w:ind w:left="284"/>
      </w:pPr>
      <w:r>
        <w:t>2. sekas ieinteresētajām personām (piemēram, uzņēmuma reputācija) un</w:t>
      </w:r>
    </w:p>
    <w:p w14:paraId="1E690A32" w14:textId="77777777" w:rsidR="00102B35" w:rsidRPr="00102B35" w:rsidRDefault="00102B35" w:rsidP="00102B35">
      <w:pPr>
        <w:pStyle w:val="BodyText"/>
        <w:ind w:left="284"/>
      </w:pPr>
      <w:r>
        <w:t>3. sekas uzņēmumam (piemēram, finanšu stāvoklis, konkurētspēja).</w:t>
      </w:r>
    </w:p>
    <w:p w14:paraId="3EB8DFA1" w14:textId="77777777" w:rsidR="00102B35" w:rsidRPr="00102B35" w:rsidRDefault="00102B35" w:rsidP="00102B35">
      <w:pPr>
        <w:jc w:val="both"/>
        <w:rPr>
          <w:rFonts w:ascii="Times New Roman" w:eastAsia="Arial" w:hAnsi="Times New Roman" w:cs="Times New Roman"/>
          <w:noProof/>
          <w:sz w:val="24"/>
          <w:szCs w:val="24"/>
        </w:rPr>
      </w:pPr>
    </w:p>
    <w:p w14:paraId="5567F78F" w14:textId="77777777" w:rsidR="00102B35" w:rsidRPr="00102B35" w:rsidRDefault="00102B35" w:rsidP="00102B35">
      <w:pPr>
        <w:pStyle w:val="BodyText"/>
      </w:pPr>
      <w:r>
        <w:t xml:space="preserve">1.9. Šis dokuments ir publicēts kā EA dokuments, kas sagatavots, lai atainotu kopīgu izpratni par EA </w:t>
      </w:r>
      <w:r>
        <w:rPr>
          <w:i/>
          <w:iCs/>
        </w:rPr>
        <w:t>MLA</w:t>
      </w:r>
      <w:r>
        <w:t xml:space="preserve"> akreditācijas iestādes locekļu </w:t>
      </w:r>
      <w:r>
        <w:rPr>
          <w:i/>
          <w:iCs/>
        </w:rPr>
        <w:t>EMS</w:t>
      </w:r>
      <w:r>
        <w:t xml:space="preserve"> sertifikāciju. Jāatzīst, ka citos reģionos var būt cita izpratne par šajā dokumentā paustajiem viedokļiem.</w:t>
      </w:r>
    </w:p>
    <w:p w14:paraId="1090FB26" w14:textId="77777777" w:rsidR="00102B35" w:rsidRPr="00102B35" w:rsidRDefault="00102B35" w:rsidP="00102B35">
      <w:pPr>
        <w:jc w:val="both"/>
        <w:rPr>
          <w:rFonts w:ascii="Times New Roman" w:eastAsia="Arial" w:hAnsi="Times New Roman" w:cs="Times New Roman"/>
          <w:noProof/>
          <w:sz w:val="24"/>
          <w:szCs w:val="24"/>
        </w:rPr>
      </w:pPr>
    </w:p>
    <w:p w14:paraId="24FF9E3F" w14:textId="77777777" w:rsidR="00102B35" w:rsidRPr="00102B35" w:rsidRDefault="00102B35" w:rsidP="00102B35">
      <w:pPr>
        <w:pStyle w:val="BodyText"/>
      </w:pPr>
      <w:r>
        <w:t>1.10. Šajā dokumentā netiek interpretētas citas ISO 14001:2015 prasības, bet ir norādītas starptautiskā standarta prasības, kas tieši attiecas uz atbilstību tiesību aktiem, un sīkāk izklāstīts, kam ir jābūt ietvertam sertifikācijas procesā, lai nodrošinātu ieinteresēto personu un citu ieinteresēto pušu pamatoto gaidu kopumu.</w:t>
      </w:r>
    </w:p>
    <w:p w14:paraId="7D66AEA0" w14:textId="77777777" w:rsidR="00102B35" w:rsidRPr="00102B35" w:rsidRDefault="00102B35" w:rsidP="00102B35">
      <w:pPr>
        <w:jc w:val="both"/>
        <w:rPr>
          <w:rFonts w:ascii="Times New Roman" w:eastAsia="Arial" w:hAnsi="Times New Roman" w:cs="Times New Roman"/>
          <w:noProof/>
          <w:sz w:val="24"/>
          <w:szCs w:val="24"/>
        </w:rPr>
      </w:pPr>
    </w:p>
    <w:p w14:paraId="674624DC" w14:textId="692B73F4" w:rsidR="00102B35" w:rsidRPr="00102B35" w:rsidRDefault="00102B35" w:rsidP="00102B35">
      <w:pPr>
        <w:pStyle w:val="BodyText"/>
      </w:pPr>
      <w:r>
        <w:t>1.11. Šajā dokumentā vēlējuma un vajadzības izteiksmi lieto, lai norādītu atzītus standarta prasību izpildes līdzekļus</w:t>
      </w:r>
      <w:r w:rsidR="00265BDE">
        <w:rPr>
          <w:rStyle w:val="FootnoteReference"/>
        </w:rPr>
        <w:footnoteReference w:id="1"/>
      </w:r>
      <w:r>
        <w:t>.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C43A87">
        <w:rPr>
          <w:rStyle w:val="FootnoteReference"/>
        </w:rPr>
        <w:footnoteReference w:id="2"/>
      </w:r>
      <w:r>
        <w:t>.</w:t>
      </w:r>
    </w:p>
    <w:p w14:paraId="09010C21" w14:textId="77777777" w:rsidR="00102B35" w:rsidRPr="00102B35" w:rsidRDefault="00102B35" w:rsidP="00102B35">
      <w:pPr>
        <w:jc w:val="both"/>
        <w:rPr>
          <w:rFonts w:ascii="Times New Roman" w:hAnsi="Times New Roman" w:cs="Times New Roman"/>
          <w:noProof/>
          <w:sz w:val="24"/>
          <w:szCs w:val="24"/>
        </w:rPr>
      </w:pPr>
    </w:p>
    <w:p w14:paraId="083AF94D" w14:textId="77777777" w:rsidR="00102B35" w:rsidRPr="00102B35" w:rsidRDefault="00102B35" w:rsidP="00AE15D1">
      <w:pPr>
        <w:pStyle w:val="BodyText"/>
        <w:keepNext/>
        <w:keepLines/>
      </w:pPr>
      <w:r>
        <w:lastRenderedPageBreak/>
        <w:t xml:space="preserve">1.12. ISO 14001:2015 ir definēts un minēts termins “atbilstības saistības” vispārējā veidā. “Tiesiskās un citas prasības” ir vēl viens termins, ar kuru var atveidot šo pašu jēdzienu (skat. ISO 14001:2015 3.2.9. punktu). Tā kā ar terminu “atbilstības saistības” apzīmē ne tikai tiesiskās prasības, lai uzsvērtu šā dokumenta nolūku (saikni starp atbilstību tiesību aktiem un </w:t>
      </w:r>
      <w:r>
        <w:rPr>
          <w:i/>
          <w:iCs/>
        </w:rPr>
        <w:t>EMS</w:t>
      </w:r>
      <w:r>
        <w:t xml:space="preserve"> sertifikāciju), dažviet tiek lietots termins “tiesiskās prasības”.</w:t>
      </w:r>
    </w:p>
    <w:p w14:paraId="597AB1FF" w14:textId="77777777" w:rsidR="00102B35" w:rsidRPr="00102B35" w:rsidRDefault="00102B35" w:rsidP="00102B35">
      <w:pPr>
        <w:jc w:val="both"/>
        <w:rPr>
          <w:rFonts w:ascii="Times New Roman" w:eastAsia="Arial" w:hAnsi="Times New Roman" w:cs="Times New Roman"/>
          <w:noProof/>
          <w:sz w:val="24"/>
          <w:szCs w:val="24"/>
        </w:rPr>
      </w:pPr>
    </w:p>
    <w:p w14:paraId="530B7839" w14:textId="77777777" w:rsidR="00102B35" w:rsidRPr="00102B35" w:rsidRDefault="00102B35" w:rsidP="00102B35">
      <w:pPr>
        <w:pStyle w:val="Heading1"/>
      </w:pPr>
      <w:bookmarkStart w:id="2" w:name="_Toc118117224"/>
      <w:r>
        <w:t>2. ISO 14001:2015 PRASĪBAS ATTIECĪBĀ UZ ATBILSTĪBU TIESĪBU AKTIEM</w:t>
      </w:r>
      <w:bookmarkStart w:id="3" w:name="_bookmark1"/>
      <w:bookmarkEnd w:id="2"/>
      <w:bookmarkEnd w:id="3"/>
    </w:p>
    <w:p w14:paraId="7A1014D2" w14:textId="77777777" w:rsidR="00102B35" w:rsidRPr="00102B35" w:rsidRDefault="00102B35" w:rsidP="00102B35">
      <w:pPr>
        <w:pStyle w:val="BodyText"/>
      </w:pPr>
    </w:p>
    <w:p w14:paraId="55FBAEA1" w14:textId="77777777" w:rsidR="00102B35" w:rsidRPr="00102B35" w:rsidRDefault="00102B35" w:rsidP="00102B35">
      <w:pPr>
        <w:pStyle w:val="BodyText"/>
      </w:pPr>
      <w:r>
        <w:t>2. ISO 14001:2015 prasīta organizācijas “apņemšanās” attiecībā uz vides politiku, lai izpildītu atbilstības saistības, kas attiecas uz tās vides aspektiem. Organizācija izveido, ievieš un uztur procesu(-us), lai periodiski novērtētu atbilstību piemērojamajām tiesiskajām prasībām, kas saskan ar šīs apņemšanās īstenošanu.</w:t>
      </w:r>
    </w:p>
    <w:p w14:paraId="33673786" w14:textId="77777777" w:rsidR="00102B35" w:rsidRPr="00102B35" w:rsidRDefault="00102B35" w:rsidP="00102B35">
      <w:pPr>
        <w:jc w:val="both"/>
        <w:rPr>
          <w:rFonts w:ascii="Times New Roman" w:eastAsia="Arial" w:hAnsi="Times New Roman" w:cs="Times New Roman"/>
          <w:noProof/>
          <w:sz w:val="24"/>
          <w:szCs w:val="24"/>
        </w:rPr>
      </w:pPr>
    </w:p>
    <w:p w14:paraId="19C9CBC6" w14:textId="77777777" w:rsidR="00102B35" w:rsidRPr="00102B35" w:rsidRDefault="00102B35" w:rsidP="00102B35">
      <w:pPr>
        <w:pStyle w:val="BodyText"/>
      </w:pPr>
      <w:r>
        <w:t xml:space="preserve">2.2. Svarīgākie ISO 14001:2015 punkti, kas konkrēti attiecas uz atbilstību tiesību aktiem, ir šādi </w:t>
      </w:r>
      <w:r>
        <w:rPr>
          <w:i/>
          <w:iCs/>
        </w:rPr>
        <w:t>EMS</w:t>
      </w:r>
      <w:r>
        <w:t xml:space="preserve"> elementi:</w:t>
      </w:r>
    </w:p>
    <w:p w14:paraId="6D9B3854" w14:textId="77777777" w:rsidR="00102B35" w:rsidRPr="00102B35" w:rsidRDefault="00102B35" w:rsidP="00102B35">
      <w:pPr>
        <w:jc w:val="both"/>
        <w:rPr>
          <w:rFonts w:ascii="Times New Roman" w:eastAsia="Arial" w:hAnsi="Times New Roman" w:cs="Times New Roman"/>
          <w:noProof/>
          <w:sz w:val="24"/>
          <w:szCs w:val="24"/>
        </w:rPr>
      </w:pPr>
    </w:p>
    <w:p w14:paraId="76CCE0B4" w14:textId="77777777" w:rsidR="00102B35" w:rsidRPr="00102B35" w:rsidRDefault="00102B35" w:rsidP="00102B35">
      <w:pPr>
        <w:pStyle w:val="BodyText"/>
        <w:ind w:left="284"/>
      </w:pPr>
      <w:r>
        <w:t>1) sabiedrības vides politikas apņemšanās izpildīt atbilstības saistības (5.2. punkta d) apakšpunkts);</w:t>
      </w:r>
    </w:p>
    <w:p w14:paraId="2CD552B3" w14:textId="77777777" w:rsidR="00102B35" w:rsidRPr="00102B35" w:rsidRDefault="00102B35" w:rsidP="00102B35">
      <w:pPr>
        <w:pStyle w:val="BodyText"/>
        <w:ind w:left="284"/>
      </w:pPr>
      <w:r>
        <w:t>2) izpratne, kādas ir ieinteresēto pušu vajadzības un vēlmes, kas kļūst par organizācijas atbilstības saistībām (4.2. punkts);</w:t>
      </w:r>
    </w:p>
    <w:p w14:paraId="0ED279DE" w14:textId="77777777" w:rsidR="00102B35" w:rsidRPr="00102B35" w:rsidRDefault="00102B35" w:rsidP="00102B35">
      <w:pPr>
        <w:pStyle w:val="BodyText"/>
        <w:ind w:left="284"/>
      </w:pPr>
      <w:r>
        <w:t>3) piemērojamo tiesisko prasību un citu ar vides aspektiem saistīto prasību identifikācija un piekļuve tām (6.1.3. punkta a) apakšpunkts);</w:t>
      </w:r>
    </w:p>
    <w:p w14:paraId="3B99EF26" w14:textId="77777777" w:rsidR="00102B35" w:rsidRPr="00102B35" w:rsidRDefault="00102B35" w:rsidP="00102B35">
      <w:pPr>
        <w:pStyle w:val="BodyText"/>
        <w:ind w:left="284"/>
      </w:pPr>
      <w:r>
        <w:t>4) kā šīs tiesiskās prasības ir attiecināmas uz organizācijas vides aspektiem (6.1.3. punkta b) apakšpunkts);</w:t>
      </w:r>
    </w:p>
    <w:p w14:paraId="1B7852CF" w14:textId="77777777" w:rsidR="00102B35" w:rsidRPr="00102B35" w:rsidRDefault="00102B35" w:rsidP="00102B35">
      <w:pPr>
        <w:pStyle w:val="BodyText"/>
        <w:ind w:left="284"/>
      </w:pPr>
      <w:r>
        <w:t>5) mērķi/mērķvērtības/programmas (6.2.1. punkts);</w:t>
      </w:r>
    </w:p>
    <w:p w14:paraId="720D860B" w14:textId="77777777" w:rsidR="00102B35" w:rsidRPr="00102B35" w:rsidRDefault="00102B35" w:rsidP="00102B35">
      <w:pPr>
        <w:pStyle w:val="BodyText"/>
        <w:ind w:left="284"/>
      </w:pPr>
      <w:r>
        <w:t>6) juridisko saistību regulāra vadība un uzraudzība (8.1. un 9.1.1. punkts);</w:t>
      </w:r>
    </w:p>
    <w:p w14:paraId="0BDC52B4" w14:textId="77777777" w:rsidR="00102B35" w:rsidRPr="00102B35" w:rsidRDefault="00102B35" w:rsidP="00102B35">
      <w:pPr>
        <w:pStyle w:val="BodyText"/>
        <w:ind w:left="284"/>
      </w:pPr>
      <w:r>
        <w:t>7) atbilstības tiesību aktiem novērtēšana (9.1.2. punkts);</w:t>
      </w:r>
    </w:p>
    <w:p w14:paraId="1E5D7CDD" w14:textId="77777777" w:rsidR="00102B35" w:rsidRPr="00102B35" w:rsidRDefault="00102B35" w:rsidP="00102B35">
      <w:pPr>
        <w:pStyle w:val="BodyText"/>
        <w:ind w:left="284"/>
      </w:pPr>
      <w:r>
        <w:t>8) prasība organizācijai uzticami komunicēt ar ārējām ieinteresētajām personām, ja tas prasīts atbilstības saistībās (7.4.3. punkts);</w:t>
      </w:r>
    </w:p>
    <w:p w14:paraId="038BE9FA" w14:textId="77777777" w:rsidR="00102B35" w:rsidRPr="00102B35" w:rsidRDefault="00102B35" w:rsidP="00102B35">
      <w:pPr>
        <w:pStyle w:val="BodyText"/>
        <w:ind w:left="284"/>
      </w:pPr>
      <w:r>
        <w:t>9) vajadzības gadījumā korektīvās darbības (9.1.2. punkta b) apakšpunkts un 10.2. punkts);</w:t>
      </w:r>
    </w:p>
    <w:p w14:paraId="299BDE6F" w14:textId="77777777" w:rsidR="00102B35" w:rsidRPr="00102B35" w:rsidRDefault="00102B35" w:rsidP="00102B35">
      <w:pPr>
        <w:pStyle w:val="BodyText"/>
        <w:ind w:left="284"/>
      </w:pPr>
      <w:r>
        <w:t>10) iekšējais audits (9.2.2. punkts) un</w:t>
      </w:r>
    </w:p>
    <w:p w14:paraId="5BB10E28" w14:textId="77777777" w:rsidR="00102B35" w:rsidRPr="00102B35" w:rsidRDefault="00102B35" w:rsidP="00102B35">
      <w:pPr>
        <w:pStyle w:val="BodyText"/>
        <w:ind w:left="284"/>
      </w:pPr>
      <w:r>
        <w:t>11) pārvaldības pārskats (9.3. punkta b), c), d), f) apakšpunkts).</w:t>
      </w:r>
    </w:p>
    <w:p w14:paraId="3278F976" w14:textId="77777777" w:rsidR="00102B35" w:rsidRPr="00102B35" w:rsidRDefault="00102B35" w:rsidP="00102B35">
      <w:pPr>
        <w:jc w:val="both"/>
        <w:rPr>
          <w:rFonts w:ascii="Times New Roman" w:eastAsia="Arial" w:hAnsi="Times New Roman" w:cs="Times New Roman"/>
          <w:noProof/>
          <w:sz w:val="24"/>
          <w:szCs w:val="24"/>
        </w:rPr>
      </w:pPr>
    </w:p>
    <w:p w14:paraId="6606F10B" w14:textId="77777777" w:rsidR="00102B35" w:rsidRPr="00102B35" w:rsidRDefault="00102B35" w:rsidP="00102B35">
      <w:pPr>
        <w:pStyle w:val="Heading1"/>
      </w:pPr>
      <w:bookmarkStart w:id="4" w:name="_Toc118117225"/>
      <w:r>
        <w:t xml:space="preserve">3. KĀDAS KOMPETENCES IR NEPIECIEŠAMAS ATTIECĪBĀ UZ </w:t>
      </w:r>
      <w:r>
        <w:rPr>
          <w:iCs/>
        </w:rPr>
        <w:t>EMS</w:t>
      </w:r>
      <w:r>
        <w:t xml:space="preserve"> SERTIFIKĀCIJU UN ATBILSTĪBAS SAISTĪBĀM</w:t>
      </w:r>
      <w:bookmarkStart w:id="5" w:name="_bookmark2"/>
      <w:bookmarkEnd w:id="4"/>
      <w:bookmarkEnd w:id="5"/>
    </w:p>
    <w:p w14:paraId="335A1048" w14:textId="77777777" w:rsidR="00102B35" w:rsidRPr="00102B35" w:rsidRDefault="00102B35" w:rsidP="00102B35">
      <w:pPr>
        <w:jc w:val="both"/>
        <w:rPr>
          <w:rFonts w:ascii="Times New Roman" w:eastAsia="Arial" w:hAnsi="Times New Roman" w:cs="Times New Roman"/>
          <w:b/>
          <w:bCs/>
          <w:i/>
          <w:noProof/>
          <w:sz w:val="24"/>
          <w:szCs w:val="24"/>
        </w:rPr>
      </w:pPr>
    </w:p>
    <w:p w14:paraId="212F7978" w14:textId="77777777" w:rsidR="00102B35" w:rsidRPr="00102B35" w:rsidRDefault="00102B35" w:rsidP="00102B35">
      <w:pPr>
        <w:pStyle w:val="BodyText"/>
      </w:pPr>
      <w:r>
        <w:t>3.1. Auditoriem un personālam, kas pārskata audita ziņojumus un pieņem lēmumus par sertifikāciju, šo funkciju veikšanai ir jāizpilda sertifikācijas institūcijas kompetences prasības (ISO/IEC TS 17021-2</w:t>
      </w:r>
      <w:r>
        <w:rPr>
          <w:vertAlign w:val="superscript"/>
        </w:rPr>
        <w:t>4</w:t>
      </w:r>
      <w:r>
        <w:t>). Sertifikācijas institūcija katrai tehniskajai jomai, kurā tā darbojas, apraksta, kādām zināšanām ir jābūt attiecībā uz atbilstības saistībām, kas piemērojamas organizācijas vides aspektiem.</w:t>
      </w:r>
    </w:p>
    <w:p w14:paraId="3553A5DE" w14:textId="77777777" w:rsidR="00102B35" w:rsidRPr="00102B35" w:rsidRDefault="00102B35" w:rsidP="00102B35">
      <w:pPr>
        <w:jc w:val="both"/>
        <w:rPr>
          <w:rFonts w:ascii="Times New Roman" w:hAnsi="Times New Roman" w:cs="Times New Roman"/>
          <w:noProof/>
          <w:sz w:val="24"/>
          <w:szCs w:val="24"/>
        </w:rPr>
      </w:pPr>
    </w:p>
    <w:p w14:paraId="650F151B" w14:textId="77777777" w:rsidR="00102B35" w:rsidRPr="00102B35" w:rsidRDefault="00102B35" w:rsidP="00102B35">
      <w:pPr>
        <w:pStyle w:val="BodyText"/>
      </w:pPr>
      <w:r>
        <w:t xml:space="preserve">3.2. Jo īpaši attiecībā uz katru </w:t>
      </w:r>
      <w:r>
        <w:rPr>
          <w:i/>
          <w:iCs/>
        </w:rPr>
        <w:t>EMS</w:t>
      </w:r>
      <w:r>
        <w:t xml:space="preserve"> auditoru (kura pienākums ir auditēt atbilstības saistību prasības saistībā ar ISO 14001:2015 6.1.3., 8.1. un 9.1.2. punktu), kompetences kritēriji saistībā ar atbilstības saistībām ir pietiekamas zināšanas un sapratne par attiecīgajām tiesiskajām un citām prasībām, kas ļauj uzzināt, vai organizācija, pirmkārt, ir noteikusi un, otrkārt, īsteno atbilstības saistības.</w:t>
      </w:r>
    </w:p>
    <w:p w14:paraId="0EA99663" w14:textId="77777777" w:rsidR="00102B35" w:rsidRPr="00102B35" w:rsidRDefault="00102B35" w:rsidP="00102B35">
      <w:pPr>
        <w:jc w:val="both"/>
        <w:rPr>
          <w:rFonts w:ascii="Times New Roman" w:hAnsi="Times New Roman" w:cs="Times New Roman"/>
          <w:noProof/>
          <w:sz w:val="24"/>
          <w:szCs w:val="24"/>
        </w:rPr>
      </w:pPr>
    </w:p>
    <w:p w14:paraId="1AFB04D2" w14:textId="77777777" w:rsidR="00102B35" w:rsidRPr="00102B35" w:rsidRDefault="00102B35" w:rsidP="00AE15D1">
      <w:pPr>
        <w:pStyle w:val="Heading1"/>
        <w:keepNext/>
        <w:keepLines/>
      </w:pPr>
      <w:bookmarkStart w:id="6" w:name="_Toc118117226"/>
      <w:r>
        <w:lastRenderedPageBreak/>
        <w:t xml:space="preserve">4. KĀ SERTIFIKĀCIJAS INSTITŪCIJAI BŪTU JĀAUDITĒ </w:t>
      </w:r>
      <w:r>
        <w:rPr>
          <w:iCs/>
        </w:rPr>
        <w:t>EMS</w:t>
      </w:r>
      <w:r>
        <w:t>, LAI NOTEIKTU, VAI TĀ ATBILST TIESĪBU AKTIEM</w:t>
      </w:r>
      <w:bookmarkStart w:id="7" w:name="_bookmark3"/>
      <w:bookmarkEnd w:id="6"/>
      <w:bookmarkEnd w:id="7"/>
    </w:p>
    <w:p w14:paraId="2AF4B040" w14:textId="77777777" w:rsidR="00102B35" w:rsidRPr="00102B35" w:rsidRDefault="00102B35" w:rsidP="00AE15D1">
      <w:pPr>
        <w:keepNext/>
        <w:keepLines/>
        <w:jc w:val="both"/>
        <w:rPr>
          <w:rFonts w:ascii="Times New Roman" w:eastAsia="Arial" w:hAnsi="Times New Roman" w:cs="Times New Roman"/>
          <w:b/>
          <w:bCs/>
          <w:i/>
          <w:noProof/>
          <w:sz w:val="24"/>
          <w:szCs w:val="24"/>
        </w:rPr>
      </w:pPr>
    </w:p>
    <w:p w14:paraId="081A576D" w14:textId="77777777" w:rsidR="00102B35" w:rsidRPr="00102B35" w:rsidRDefault="00102B35" w:rsidP="00AE15D1">
      <w:pPr>
        <w:pStyle w:val="BodyText"/>
        <w:keepNext/>
        <w:keepLines/>
      </w:pPr>
      <w:r>
        <w:t>4.0.1. Sertifikācijas novērtēšanas procesā sertifikācijas institūcija novērtē organizācijas atbilstību ISO 14001:2015 prasībām, jo tās ir saistītas ar organizācijas atbilstības saistībām, un piešķir sertifikātu tikai tad, ja organizācija var pierādīt šo atbilstību, ņemot vērā 4. punkta noteikumus.</w:t>
      </w:r>
    </w:p>
    <w:p w14:paraId="7598B1B5" w14:textId="77777777" w:rsidR="00102B35" w:rsidRPr="00102B35" w:rsidRDefault="00102B35" w:rsidP="00102B35">
      <w:pPr>
        <w:jc w:val="both"/>
        <w:rPr>
          <w:rFonts w:ascii="Times New Roman" w:eastAsia="Arial" w:hAnsi="Times New Roman" w:cs="Times New Roman"/>
          <w:noProof/>
          <w:sz w:val="24"/>
          <w:szCs w:val="24"/>
        </w:rPr>
      </w:pPr>
    </w:p>
    <w:p w14:paraId="7DE66709" w14:textId="77777777" w:rsidR="00102B35" w:rsidRPr="00102B35" w:rsidRDefault="00102B35" w:rsidP="00102B35">
      <w:pPr>
        <w:pStyle w:val="BodyText"/>
      </w:pPr>
      <w:r>
        <w:t>Pēc tam sertifikācijas institūcija veic uzraudzības un resertifikācijas auditus atbilstoši minētajai auditu metodoloģijai, ņemot vērā 4.0.4. un 4.0.5. punktā sniegtos apsvērumus.</w:t>
      </w:r>
    </w:p>
    <w:p w14:paraId="0B0BAEE5" w14:textId="77777777" w:rsidR="00102B35" w:rsidRPr="00102B35" w:rsidRDefault="00102B35" w:rsidP="00102B35">
      <w:pPr>
        <w:pStyle w:val="BodyText"/>
      </w:pPr>
    </w:p>
    <w:p w14:paraId="5A414CF3" w14:textId="77777777" w:rsidR="00102B35" w:rsidRPr="00102B35" w:rsidRDefault="00102B35" w:rsidP="00102B35">
      <w:pPr>
        <w:pStyle w:val="BodyText"/>
      </w:pPr>
      <w:r>
        <w:t xml:space="preserve">4.0.2. Attiecībā uz to, lai būtu līdzsvarā dokumentu un pierakstu pārskatīšana un </w:t>
      </w:r>
      <w:r>
        <w:rPr>
          <w:i/>
          <w:iCs/>
        </w:rPr>
        <w:t>EMS</w:t>
      </w:r>
      <w:r>
        <w:t xml:space="preserve"> īstenošanas novērtēšana, veicot auditēšanu uz vietas (piemēram, apmeklējot ražotnes, veicot auditu darba vietā), sertifikācijas institūcija nodrošina, ka tiek pienācīgi auditēta </w:t>
      </w:r>
      <w:r>
        <w:rPr>
          <w:i/>
          <w:iCs/>
        </w:rPr>
        <w:t>EMS</w:t>
      </w:r>
      <w:r>
        <w:t xml:space="preserve"> efektivitāte.</w:t>
      </w:r>
    </w:p>
    <w:p w14:paraId="1631E43E" w14:textId="77777777" w:rsidR="00102B35" w:rsidRPr="00102B35" w:rsidRDefault="00102B35" w:rsidP="00102B35">
      <w:pPr>
        <w:jc w:val="both"/>
        <w:rPr>
          <w:rFonts w:ascii="Times New Roman" w:eastAsia="Arial" w:hAnsi="Times New Roman" w:cs="Times New Roman"/>
          <w:noProof/>
          <w:sz w:val="24"/>
          <w:szCs w:val="24"/>
        </w:rPr>
      </w:pPr>
    </w:p>
    <w:p w14:paraId="130DC976" w14:textId="77777777" w:rsidR="00102B35" w:rsidRPr="00102B35" w:rsidRDefault="00102B35" w:rsidP="00102B35">
      <w:pPr>
        <w:pStyle w:val="BodyText"/>
      </w:pPr>
      <w:r>
        <w:t xml:space="preserve">4.0.3. Nav formulas, kādai ir jābūt relatīvajai proporcijai, jo katrā organizācijā situācija ir atšķirīga. Tomēr ir norādes, ka pārāk ilga audita laika atvēlēšana pārskatiem birojā ir problēma, kas rodas visai bieži. Tādējādi var gadīties, ka nepietiekami tiek novērtēta </w:t>
      </w:r>
      <w:r>
        <w:rPr>
          <w:i/>
          <w:iCs/>
        </w:rPr>
        <w:t>EMS</w:t>
      </w:r>
      <w:r>
        <w:t xml:space="preserve"> efektivitāte attiecībā uz jautājumiem par atbilstību tiesību aktiem, un var gadīties, ka netiek pamanīts vājš sniegums, kā rezultātā ieinteresētās personas zaudē uzticību sertifikācijas procesam.</w:t>
      </w:r>
    </w:p>
    <w:p w14:paraId="12F66A6B" w14:textId="77777777" w:rsidR="00102B35" w:rsidRPr="00102B35" w:rsidRDefault="00102B35" w:rsidP="00102B35">
      <w:pPr>
        <w:jc w:val="both"/>
        <w:rPr>
          <w:rFonts w:ascii="Times New Roman" w:eastAsia="Arial" w:hAnsi="Times New Roman" w:cs="Times New Roman"/>
          <w:noProof/>
          <w:sz w:val="24"/>
          <w:szCs w:val="24"/>
        </w:rPr>
      </w:pPr>
    </w:p>
    <w:p w14:paraId="125D4757" w14:textId="77777777" w:rsidR="00102B35" w:rsidRPr="00102B35" w:rsidRDefault="00102B35" w:rsidP="00102B35">
      <w:pPr>
        <w:pStyle w:val="BodyText"/>
      </w:pPr>
      <w:r>
        <w:t>Sertifikācijas institūcijai, izmantojot atbilstošu uzraudzības programmu, ir jānodrošina, ka atbilstība tiek saglabāta visā sertifikācijas ciklā, kas parasti ir trīs gadi. Sertifikācijas institūcijas auditori pārliecinās par atbilstības saistību vadību, pamatojoties uz apliecinājumiem par sistēmas īstenošanu, nevis balstoties tikai uz plānotajiem vai gaidāmajiem rezultātiem.</w:t>
      </w:r>
    </w:p>
    <w:p w14:paraId="1F869E7D" w14:textId="77777777" w:rsidR="00102B35" w:rsidRPr="00102B35" w:rsidRDefault="00102B35" w:rsidP="00102B35">
      <w:pPr>
        <w:jc w:val="both"/>
        <w:rPr>
          <w:rFonts w:ascii="Times New Roman" w:eastAsia="Arial" w:hAnsi="Times New Roman" w:cs="Times New Roman"/>
          <w:noProof/>
          <w:sz w:val="24"/>
          <w:szCs w:val="24"/>
        </w:rPr>
      </w:pPr>
    </w:p>
    <w:p w14:paraId="0A7AD8A3" w14:textId="77777777" w:rsidR="00102B35" w:rsidRPr="00102B35" w:rsidRDefault="00102B35" w:rsidP="00102B35">
      <w:pPr>
        <w:pStyle w:val="BodyText"/>
      </w:pPr>
      <w:r>
        <w:t>4.0.4. Ja organizācija nespēj pierādīt sākotnēji uzņemto vai pastāvīgo apņemšanos ievērot atbilstības saistības, izmantojot turpmāk izklāstītos pamatelementus, sertifikācijas institūcija to nesertificē vai neturpina sertificēt kā ISO 14001:2015 prasībām atbilstošu organizāciju.</w:t>
      </w:r>
    </w:p>
    <w:p w14:paraId="25D593AC" w14:textId="77777777" w:rsidR="00102B35" w:rsidRPr="00102B35" w:rsidRDefault="00102B35" w:rsidP="00102B35">
      <w:pPr>
        <w:jc w:val="both"/>
        <w:rPr>
          <w:rFonts w:ascii="Times New Roman" w:eastAsia="Arial" w:hAnsi="Times New Roman" w:cs="Times New Roman"/>
          <w:noProof/>
          <w:sz w:val="24"/>
          <w:szCs w:val="24"/>
        </w:rPr>
      </w:pPr>
    </w:p>
    <w:p w14:paraId="0D8EF8A4" w14:textId="77777777" w:rsidR="00102B35" w:rsidRPr="00102B35" w:rsidRDefault="00102B35" w:rsidP="00102B35">
      <w:pPr>
        <w:pStyle w:val="BodyText"/>
      </w:pPr>
      <w:r>
        <w:t>4.0.5. Uzskatāms, ka apzināta vai konsekventa neatbilstība ir nopietna politiskās apņemšanās neizpilde, kas liedz sasniegt atbilstības saistības, un tādā gadījumā sertifikācija netiek turpināta vai arī esošais ISO 14001:2015 sertifikāts tiek apturēts vai atcelts.</w:t>
      </w:r>
    </w:p>
    <w:p w14:paraId="40E5662C" w14:textId="77777777" w:rsidR="00102B35" w:rsidRPr="00102B35" w:rsidRDefault="00102B35" w:rsidP="00102B35">
      <w:pPr>
        <w:jc w:val="both"/>
        <w:rPr>
          <w:rFonts w:ascii="Times New Roman" w:eastAsia="Arial" w:hAnsi="Times New Roman" w:cs="Times New Roman"/>
          <w:noProof/>
          <w:sz w:val="24"/>
          <w:szCs w:val="24"/>
        </w:rPr>
      </w:pPr>
    </w:p>
    <w:p w14:paraId="3B8D8179" w14:textId="77777777" w:rsidR="00102B35" w:rsidRPr="00102B35" w:rsidRDefault="00102B35" w:rsidP="00102B35">
      <w:pPr>
        <w:pStyle w:val="BodyText"/>
      </w:pPr>
      <w:r>
        <w:t xml:space="preserve">Šā dokumenta turpmākajās sadaļās ir norādīts, kas būtu pamatoti jāsagaida no sertifikācijas institūcijas, kad tā novērtē </w:t>
      </w:r>
      <w:r>
        <w:rPr>
          <w:i/>
          <w:iCs/>
        </w:rPr>
        <w:t>EMS</w:t>
      </w:r>
      <w:r>
        <w:t xml:space="preserve"> saistībā ar atbilstību tiesību aktiem.</w:t>
      </w:r>
    </w:p>
    <w:p w14:paraId="3EACD07B" w14:textId="77777777" w:rsidR="00102B35" w:rsidRPr="00102B35" w:rsidRDefault="00102B35" w:rsidP="00102B35">
      <w:pPr>
        <w:jc w:val="both"/>
        <w:rPr>
          <w:rFonts w:ascii="Times New Roman" w:eastAsia="Arial" w:hAnsi="Times New Roman" w:cs="Times New Roman"/>
          <w:noProof/>
          <w:sz w:val="24"/>
          <w:szCs w:val="24"/>
        </w:rPr>
      </w:pPr>
    </w:p>
    <w:p w14:paraId="06C6CA24" w14:textId="77777777" w:rsidR="00102B35" w:rsidRPr="00102B35" w:rsidRDefault="00102B35" w:rsidP="00102B35">
      <w:pPr>
        <w:pStyle w:val="Heading2"/>
      </w:pPr>
      <w:bookmarkStart w:id="8" w:name="_Toc118117227"/>
      <w:r>
        <w:t>4.1. Vides politikā noteikta apņemšanās nodrošināt atbilstību tiesību aktiem (5.2. punkta d) apakšpunkts)</w:t>
      </w:r>
      <w:bookmarkStart w:id="9" w:name="_bookmark4"/>
      <w:bookmarkEnd w:id="8"/>
      <w:bookmarkEnd w:id="9"/>
    </w:p>
    <w:p w14:paraId="1345772F" w14:textId="77777777" w:rsidR="00102B35" w:rsidRPr="00102B35" w:rsidRDefault="00102B35" w:rsidP="00102B35">
      <w:pPr>
        <w:jc w:val="both"/>
        <w:rPr>
          <w:rFonts w:ascii="Times New Roman" w:eastAsia="Arial" w:hAnsi="Times New Roman" w:cs="Times New Roman"/>
          <w:b/>
          <w:bCs/>
          <w:noProof/>
          <w:sz w:val="24"/>
          <w:szCs w:val="24"/>
        </w:rPr>
      </w:pPr>
    </w:p>
    <w:p w14:paraId="6AFA1113" w14:textId="77777777" w:rsidR="00102B35" w:rsidRPr="00102B35" w:rsidRDefault="00102B35" w:rsidP="00102B35">
      <w:pPr>
        <w:pStyle w:val="BodyText"/>
      </w:pPr>
      <w:r>
        <w:t>4.1.1. Sertifikācijas institūcija noskaidro, vai ir parādīti visi konkrētie punkti attiecībā uz organizācijas vides politikas paziņojumu, ka:</w:t>
      </w:r>
    </w:p>
    <w:p w14:paraId="166DFF4A" w14:textId="77777777" w:rsidR="00102B35" w:rsidRPr="00102B35" w:rsidRDefault="00102B35" w:rsidP="00102B35">
      <w:pPr>
        <w:jc w:val="both"/>
        <w:rPr>
          <w:rFonts w:ascii="Times New Roman" w:eastAsia="Arial" w:hAnsi="Times New Roman" w:cs="Times New Roman"/>
          <w:noProof/>
          <w:sz w:val="24"/>
          <w:szCs w:val="24"/>
        </w:rPr>
      </w:pPr>
    </w:p>
    <w:p w14:paraId="14E77741" w14:textId="77777777" w:rsidR="00102B35" w:rsidRPr="00102B35" w:rsidRDefault="00102B35" w:rsidP="00102B35">
      <w:pPr>
        <w:pStyle w:val="BodyText"/>
        <w:ind w:left="284"/>
      </w:pPr>
      <w:r>
        <w:t>1) ir šāda politika;</w:t>
      </w:r>
    </w:p>
    <w:p w14:paraId="0ED6A307" w14:textId="77777777" w:rsidR="00102B35" w:rsidRPr="00102B35" w:rsidRDefault="00102B35" w:rsidP="00102B35">
      <w:pPr>
        <w:pStyle w:val="BodyText"/>
        <w:ind w:left="284"/>
      </w:pPr>
      <w:r>
        <w:t>2) ka tā atbilst ISO 14001:2015 5.2. punkta prasībām, un konkrēti, ka</w:t>
      </w:r>
    </w:p>
    <w:p w14:paraId="5B38EFAD" w14:textId="77777777" w:rsidR="00102B35" w:rsidRPr="00102B35" w:rsidRDefault="00102B35" w:rsidP="00102B35">
      <w:pPr>
        <w:pStyle w:val="BodyText"/>
        <w:ind w:left="284"/>
      </w:pPr>
      <w:r>
        <w:t>3) tajā ir iekļauta apņemšanās izpildīt atbilstības saistības;</w:t>
      </w:r>
    </w:p>
    <w:p w14:paraId="324F992A" w14:textId="77777777" w:rsidR="00102B35" w:rsidRPr="00102B35" w:rsidRDefault="00102B35" w:rsidP="00102B35">
      <w:pPr>
        <w:pStyle w:val="BodyText"/>
        <w:ind w:left="284"/>
      </w:pPr>
      <w:r>
        <w:t>4) tajā ir iekļauta apņemšanās aizsargāt vidi, tostarp novērst piesārņojumu;</w:t>
      </w:r>
    </w:p>
    <w:p w14:paraId="32B3A784" w14:textId="77777777" w:rsidR="00102B35" w:rsidRPr="00102B35" w:rsidRDefault="00102B35" w:rsidP="00102B35">
      <w:pPr>
        <w:pStyle w:val="BodyText"/>
        <w:ind w:left="284"/>
      </w:pPr>
      <w:r>
        <w:t xml:space="preserve">5) tā ir darīta zināma darbiniekiem un citām personām, kas strādā organizācijas vārdā un </w:t>
      </w:r>
      <w:r>
        <w:lastRenderedPageBreak/>
        <w:t>tās labā; tā ir pieejama ieinteresētajām pusēm;</w:t>
      </w:r>
    </w:p>
    <w:p w14:paraId="312E42D4" w14:textId="77777777" w:rsidR="00102B35" w:rsidRPr="00102B35" w:rsidRDefault="00102B35" w:rsidP="00102B35">
      <w:pPr>
        <w:pStyle w:val="BodyText"/>
        <w:ind w:left="284"/>
      </w:pPr>
      <w:r>
        <w:t>6) to ir izstrādājusi, ieviesusi un uztur augstākā vadība;</w:t>
      </w:r>
    </w:p>
    <w:p w14:paraId="56C68A9E" w14:textId="77777777" w:rsidR="00102B35" w:rsidRPr="00102B35" w:rsidRDefault="00102B35" w:rsidP="00102B35">
      <w:pPr>
        <w:pStyle w:val="BodyText"/>
        <w:ind w:left="284"/>
      </w:pPr>
      <w:r>
        <w:t>7) vadība periodiski pārskata tās piemērotību, atbilstību un efektivitāti.</w:t>
      </w:r>
    </w:p>
    <w:p w14:paraId="19C0B3CE" w14:textId="77777777" w:rsidR="00102B35" w:rsidRPr="00102B35" w:rsidRDefault="00102B35" w:rsidP="00102B35">
      <w:pPr>
        <w:jc w:val="both"/>
        <w:rPr>
          <w:rFonts w:ascii="Times New Roman" w:eastAsia="Arial" w:hAnsi="Times New Roman" w:cs="Times New Roman"/>
          <w:noProof/>
          <w:sz w:val="24"/>
          <w:szCs w:val="24"/>
        </w:rPr>
      </w:pPr>
    </w:p>
    <w:p w14:paraId="10BEA89A" w14:textId="77777777" w:rsidR="00102B35" w:rsidRPr="00102B35" w:rsidRDefault="00102B35" w:rsidP="000A5F84">
      <w:pPr>
        <w:pStyle w:val="Heading2"/>
        <w:keepNext/>
        <w:keepLines/>
      </w:pPr>
      <w:bookmarkStart w:id="10" w:name="_Toc118117228"/>
      <w:r>
        <w:t>4.2. Tiesisko prasību identifikācija un to pieejamība (4.2. un 6.1.3. punkts)</w:t>
      </w:r>
      <w:bookmarkStart w:id="11" w:name="_bookmark5"/>
      <w:bookmarkEnd w:id="10"/>
      <w:bookmarkEnd w:id="11"/>
    </w:p>
    <w:p w14:paraId="7D56C959" w14:textId="77777777" w:rsidR="00102B35" w:rsidRPr="00102B35" w:rsidRDefault="00102B35" w:rsidP="000A5F84">
      <w:pPr>
        <w:keepNext/>
        <w:keepLines/>
        <w:jc w:val="both"/>
        <w:rPr>
          <w:rFonts w:ascii="Times New Roman" w:eastAsia="Arial" w:hAnsi="Times New Roman" w:cs="Times New Roman"/>
          <w:b/>
          <w:bCs/>
          <w:noProof/>
          <w:sz w:val="24"/>
          <w:szCs w:val="24"/>
        </w:rPr>
      </w:pPr>
    </w:p>
    <w:p w14:paraId="05775E63" w14:textId="77777777" w:rsidR="00102B35" w:rsidRPr="00102B35" w:rsidRDefault="00102B35" w:rsidP="000A5F84">
      <w:pPr>
        <w:pStyle w:val="BodyText"/>
        <w:keepNext/>
        <w:keepLines/>
      </w:pPr>
      <w:r>
        <w:t>4.2.1. Sertifikācijas institūcija konstatē, vai organizācija efektīvi nosaka ieinteresēto pušu vajadzības un vēlmes, jo īpaši tās, kas kļūst par atbilstības saistībām (ISO 14001:2015 4.2. punkta c) apakšpunkts). Tas nozīmē, ka sertifikācijas institūcija ir faktiski apstiprinājusi, ka organizācija pilnībā pārzina dažādas kompetentās iestādes, kuras nosaka organizācijai atbilstības saistības (piemēram, Eiropas iestādes, valsts iestādes (Vides ministrija) un reģionālās iestādes, piemēram, provinces, apgabala vai pašvaldības iestādes).</w:t>
      </w:r>
    </w:p>
    <w:p w14:paraId="4F6CA39A" w14:textId="77777777" w:rsidR="00102B35" w:rsidRPr="00102B35" w:rsidRDefault="00102B35" w:rsidP="00102B35">
      <w:pPr>
        <w:jc w:val="both"/>
        <w:rPr>
          <w:rFonts w:ascii="Times New Roman" w:eastAsia="Arial" w:hAnsi="Times New Roman" w:cs="Times New Roman"/>
          <w:noProof/>
          <w:sz w:val="24"/>
          <w:szCs w:val="24"/>
        </w:rPr>
      </w:pPr>
    </w:p>
    <w:p w14:paraId="15CD2829" w14:textId="77777777" w:rsidR="00102B35" w:rsidRPr="00102B35" w:rsidRDefault="00102B35" w:rsidP="00102B35">
      <w:pPr>
        <w:pStyle w:val="BodyText"/>
      </w:pPr>
      <w:r>
        <w:t>4.2.2. Sertifikācijas institūcija nosaka, vai organizācija ir identificējusi visas konkrētās piemērojamās tiesiskās prasības, kas attiecas uz tās vides aspektiem, kurus ir noteikušās šīs ieinteresētās personas, un vai šīs tiesiskās prasības ir organizācijai pieejamas.</w:t>
      </w:r>
    </w:p>
    <w:p w14:paraId="7A8A5EDE" w14:textId="77777777" w:rsidR="00102B35" w:rsidRPr="00102B35" w:rsidRDefault="00102B35" w:rsidP="00102B35">
      <w:pPr>
        <w:jc w:val="both"/>
        <w:rPr>
          <w:rFonts w:ascii="Times New Roman" w:eastAsia="Arial" w:hAnsi="Times New Roman" w:cs="Times New Roman"/>
          <w:noProof/>
          <w:sz w:val="24"/>
          <w:szCs w:val="24"/>
        </w:rPr>
      </w:pPr>
    </w:p>
    <w:p w14:paraId="296670C6" w14:textId="77777777" w:rsidR="00102B35" w:rsidRPr="00102B35" w:rsidRDefault="00102B35" w:rsidP="00102B35">
      <w:pPr>
        <w:pStyle w:val="BodyText"/>
      </w:pPr>
      <w:r>
        <w:t xml:space="preserve">4.2.3. Turklāt sertifikācijas institūcija pārbauda, ka periodiskos pārskatos tiek nodrošināta šo tiesisko prasību identificēšana (ISO 14001:2015, 9.3. punkta b) apakšpunkts), lai noteiktu jaunās vai mainītās prasības un lai ieviestu izmaiņas </w:t>
      </w:r>
      <w:r>
        <w:rPr>
          <w:i/>
          <w:iCs/>
        </w:rPr>
        <w:t>EMS</w:t>
      </w:r>
      <w:r>
        <w:t>.</w:t>
      </w:r>
    </w:p>
    <w:p w14:paraId="5A0114CD" w14:textId="77777777" w:rsidR="00102B35" w:rsidRPr="00102B35" w:rsidRDefault="00102B35" w:rsidP="00102B35">
      <w:pPr>
        <w:jc w:val="both"/>
        <w:rPr>
          <w:rFonts w:ascii="Times New Roman" w:eastAsia="Arial" w:hAnsi="Times New Roman" w:cs="Times New Roman"/>
          <w:noProof/>
          <w:sz w:val="24"/>
          <w:szCs w:val="24"/>
        </w:rPr>
      </w:pPr>
    </w:p>
    <w:p w14:paraId="7687D123" w14:textId="77777777" w:rsidR="00102B35" w:rsidRPr="00102B35" w:rsidRDefault="00102B35" w:rsidP="00102B35">
      <w:pPr>
        <w:pStyle w:val="BodyText"/>
      </w:pPr>
      <w:r>
        <w:t>4.2.4. Sertifikācijas institūcija pārbauda, vai organizācija pilnībā identificē piemērojamās tiesiskās prasības un vai tās tai ir pilnībā pieejamas. Sertifikācijas institūcijai nav pienākuma apstiprināt, vai identificētās tiesiskās prasības ir galīgas vai noteicošas. Tas ir vienīgi pašas organizācijas pienākums.</w:t>
      </w:r>
    </w:p>
    <w:p w14:paraId="536F35A8" w14:textId="77777777" w:rsidR="00102B35" w:rsidRPr="00102B35" w:rsidRDefault="00102B35" w:rsidP="00102B35">
      <w:pPr>
        <w:jc w:val="both"/>
        <w:rPr>
          <w:rFonts w:ascii="Times New Roman" w:eastAsia="Arial" w:hAnsi="Times New Roman" w:cs="Times New Roman"/>
          <w:noProof/>
          <w:sz w:val="24"/>
          <w:szCs w:val="24"/>
        </w:rPr>
      </w:pPr>
    </w:p>
    <w:p w14:paraId="6C6A574E" w14:textId="77777777" w:rsidR="00102B35" w:rsidRPr="00102B35" w:rsidRDefault="00102B35" w:rsidP="00102B35">
      <w:pPr>
        <w:pStyle w:val="BodyText"/>
      </w:pPr>
      <w:r>
        <w:t>4.2.5. Sertifikācijas institūcijas audita grupai ir jābūt kompetentai un ar attiecīgām zināšanām par to, kādas tiesiskās prasības ir piemērojamas organizācijas atrašanās vietai un vides aspektiem, lai noteiktu kļūdas vai izlaidumus un nepilnības organizācijas noteikto tiesisko prasību pieejamībā.</w:t>
      </w:r>
    </w:p>
    <w:p w14:paraId="46A42D0B" w14:textId="77777777" w:rsidR="00102B35" w:rsidRPr="00102B35" w:rsidRDefault="00102B35" w:rsidP="00102B35">
      <w:pPr>
        <w:jc w:val="both"/>
        <w:rPr>
          <w:rFonts w:ascii="Times New Roman" w:eastAsia="Arial" w:hAnsi="Times New Roman" w:cs="Times New Roman"/>
          <w:noProof/>
          <w:sz w:val="24"/>
          <w:szCs w:val="24"/>
        </w:rPr>
      </w:pPr>
    </w:p>
    <w:p w14:paraId="2360D371" w14:textId="77777777" w:rsidR="00102B35" w:rsidRPr="00102B35" w:rsidRDefault="00102B35" w:rsidP="00102B35">
      <w:pPr>
        <w:pStyle w:val="Heading2"/>
      </w:pPr>
      <w:bookmarkStart w:id="12" w:name="_Toc118117229"/>
      <w:r>
        <w:t>4.3. Kā tiesiskās prasības ir piemērojamas organizācijas vides aspektiem (6.1.3. punkts)</w:t>
      </w:r>
      <w:bookmarkStart w:id="13" w:name="_bookmark6"/>
      <w:bookmarkEnd w:id="12"/>
      <w:bookmarkEnd w:id="13"/>
    </w:p>
    <w:p w14:paraId="549C64B9" w14:textId="77777777" w:rsidR="00102B35" w:rsidRPr="00102B35" w:rsidRDefault="00102B35" w:rsidP="00102B35">
      <w:pPr>
        <w:jc w:val="both"/>
        <w:rPr>
          <w:rFonts w:ascii="Times New Roman" w:eastAsia="Arial" w:hAnsi="Times New Roman" w:cs="Times New Roman"/>
          <w:b/>
          <w:bCs/>
          <w:noProof/>
          <w:sz w:val="24"/>
          <w:szCs w:val="24"/>
        </w:rPr>
      </w:pPr>
    </w:p>
    <w:p w14:paraId="0ED102C6" w14:textId="77777777" w:rsidR="00102B35" w:rsidRPr="00102B35" w:rsidRDefault="00102B35" w:rsidP="00102B35">
      <w:pPr>
        <w:pStyle w:val="BodyText"/>
      </w:pPr>
      <w:r>
        <w:t>4.3.1. Sertifikācijas institūcija auditā noskaidro:</w:t>
      </w:r>
    </w:p>
    <w:p w14:paraId="0364192F" w14:textId="77777777" w:rsidR="00102B35" w:rsidRPr="00102B35" w:rsidRDefault="00102B35" w:rsidP="00102B35">
      <w:pPr>
        <w:jc w:val="both"/>
        <w:rPr>
          <w:rFonts w:ascii="Times New Roman" w:eastAsia="Arial" w:hAnsi="Times New Roman" w:cs="Times New Roman"/>
          <w:noProof/>
          <w:sz w:val="24"/>
          <w:szCs w:val="24"/>
        </w:rPr>
      </w:pPr>
    </w:p>
    <w:p w14:paraId="3226DCD8" w14:textId="77777777" w:rsidR="00102B35" w:rsidRPr="00102B35" w:rsidRDefault="00102B35" w:rsidP="00102B35">
      <w:pPr>
        <w:pStyle w:val="BodyText"/>
        <w:ind w:left="284"/>
      </w:pPr>
      <w:r>
        <w:t>1) vai organizācija ir noteikusi, kā tiesiskās prasības ir piemērojamas vides aspektiem, un</w:t>
      </w:r>
    </w:p>
    <w:p w14:paraId="17F309DC" w14:textId="77777777" w:rsidR="00102B35" w:rsidRPr="00102B35" w:rsidRDefault="00102B35" w:rsidP="00102B35">
      <w:pPr>
        <w:pStyle w:val="BodyText"/>
        <w:ind w:left="284"/>
      </w:pPr>
      <w:r>
        <w:t xml:space="preserve">2) vai šīs tiesiskās prasības ir ņemtas vērā, izstrādājot, īstenojot un uzturot </w:t>
      </w:r>
      <w:r>
        <w:rPr>
          <w:i/>
          <w:iCs/>
        </w:rPr>
        <w:t>EMS</w:t>
      </w:r>
      <w:r>
        <w:t xml:space="preserve"> un turpmākos kontroles pasākumus.</w:t>
      </w:r>
    </w:p>
    <w:p w14:paraId="61CE0A05" w14:textId="77777777" w:rsidR="00102B35" w:rsidRPr="00102B35" w:rsidRDefault="00102B35" w:rsidP="00102B35">
      <w:pPr>
        <w:jc w:val="both"/>
        <w:rPr>
          <w:rFonts w:ascii="Times New Roman" w:hAnsi="Times New Roman" w:cs="Times New Roman"/>
          <w:noProof/>
          <w:sz w:val="24"/>
          <w:szCs w:val="24"/>
        </w:rPr>
      </w:pPr>
    </w:p>
    <w:p w14:paraId="38635E7F" w14:textId="77777777" w:rsidR="00102B35" w:rsidRPr="00102B35" w:rsidRDefault="00102B35" w:rsidP="00102B35">
      <w:pPr>
        <w:pStyle w:val="BodyText"/>
      </w:pPr>
      <w:r>
        <w:t>4.3.2. Izvērtējot organizācijas riskus, auditā faktiski parāda, ka tiesiskās prasības ir efektīvi ņemtas vērā:</w:t>
      </w:r>
    </w:p>
    <w:p w14:paraId="572D1191" w14:textId="77777777" w:rsidR="00102B35" w:rsidRPr="00102B35" w:rsidRDefault="00102B35" w:rsidP="00102B35">
      <w:pPr>
        <w:jc w:val="both"/>
        <w:rPr>
          <w:rFonts w:ascii="Times New Roman" w:eastAsia="Arial" w:hAnsi="Times New Roman" w:cs="Times New Roman"/>
          <w:noProof/>
          <w:sz w:val="24"/>
          <w:szCs w:val="24"/>
        </w:rPr>
      </w:pPr>
    </w:p>
    <w:p w14:paraId="7707C2EF" w14:textId="77777777" w:rsidR="00102B35" w:rsidRPr="00102B35" w:rsidRDefault="00102B35" w:rsidP="00A86D19">
      <w:pPr>
        <w:pStyle w:val="BodyText"/>
        <w:numPr>
          <w:ilvl w:val="0"/>
          <w:numId w:val="4"/>
        </w:numPr>
        <w:ind w:left="567" w:hanging="283"/>
      </w:pPr>
      <w:r>
        <w:t>novērtējot pārbaudītus pierādījumus par organizācijas tiesiskajām prasībām, tostarp, bet ne tikai, arī dokumentētu informāciju, pierakstus, tiešus novērojumus un intervijas;</w:t>
      </w:r>
    </w:p>
    <w:p w14:paraId="7FCE542A" w14:textId="77777777" w:rsidR="00102B35" w:rsidRPr="00102B35" w:rsidRDefault="00102B35" w:rsidP="00A86D19">
      <w:pPr>
        <w:pStyle w:val="BodyText"/>
        <w:numPr>
          <w:ilvl w:val="0"/>
          <w:numId w:val="4"/>
        </w:numPr>
        <w:ind w:left="567" w:hanging="283"/>
      </w:pPr>
      <w:r>
        <w:t>un secinot, vai rezultāts (organizācijas uzraudzība un kontrole) parāda, ka tiek vadītas visas atbilstības saistības (tostarp tiesiskās prasības).</w:t>
      </w:r>
    </w:p>
    <w:p w14:paraId="297FCD84" w14:textId="77777777" w:rsidR="00102B35" w:rsidRPr="00102B35" w:rsidRDefault="00102B35" w:rsidP="00102B35">
      <w:pPr>
        <w:jc w:val="both"/>
        <w:rPr>
          <w:rFonts w:ascii="Times New Roman" w:eastAsia="Arial" w:hAnsi="Times New Roman" w:cs="Times New Roman"/>
          <w:noProof/>
          <w:sz w:val="24"/>
          <w:szCs w:val="24"/>
        </w:rPr>
      </w:pPr>
    </w:p>
    <w:p w14:paraId="26FBF6FA" w14:textId="77777777" w:rsidR="00102B35" w:rsidRPr="00102B35" w:rsidRDefault="00102B35" w:rsidP="00102B35">
      <w:pPr>
        <w:pStyle w:val="BodyText"/>
      </w:pPr>
      <w:r>
        <w:t xml:space="preserve">4.3.3. Sertifikācijas institūcija auditā konstatē, ka </w:t>
      </w:r>
      <w:r>
        <w:rPr>
          <w:i/>
          <w:iCs/>
        </w:rPr>
        <w:t>EMS</w:t>
      </w:r>
      <w:r>
        <w:t xml:space="preserve"> spēj izpildīt atbilstības saistības (proti, sasniegt atbilstību tiesību aktiem). To var panākt ar auditācijas pierakstiem, veicot tiešu novērtējumu uz vietas, kas ietver operatīvo darbību un apkārtnes novērtēšanu, izmantojot vai nu nozīmīgu vides aspektu piemēru auditu un auditācijas pierakstus no </w:t>
      </w:r>
      <w:r>
        <w:rPr>
          <w:i/>
          <w:iCs/>
        </w:rPr>
        <w:t>EMS</w:t>
      </w:r>
      <w:r>
        <w:t xml:space="preserve"> līdz konkrētām </w:t>
      </w:r>
      <w:r>
        <w:lastRenderedPageBreak/>
        <w:t xml:space="preserve">tiesiskajām prasībām, vai apgrieztā secībā – veicot tiesisko prasību izlases veida pārbaudi un auditācijas pierakstus no </w:t>
      </w:r>
      <w:r>
        <w:rPr>
          <w:i/>
          <w:iCs/>
        </w:rPr>
        <w:t>EMS</w:t>
      </w:r>
      <w:r>
        <w:t xml:space="preserve"> līdz būtiskiem vides aspektiem. Sertifikācijas institūcija apstiprina (auditā), ka organizācijas uzraudzības un kontroles mehānismi ir efektīvi īstenoti un sniedz atbilstošu ieskatu par sniegumu attiecībā uz tās atbilstības saistībām.</w:t>
      </w:r>
    </w:p>
    <w:p w14:paraId="2B3EAD3D" w14:textId="77777777" w:rsidR="00102B35" w:rsidRPr="00102B35" w:rsidRDefault="00102B35" w:rsidP="00102B35">
      <w:pPr>
        <w:jc w:val="both"/>
        <w:rPr>
          <w:rFonts w:ascii="Times New Roman" w:eastAsia="Arial" w:hAnsi="Times New Roman" w:cs="Times New Roman"/>
          <w:noProof/>
          <w:sz w:val="24"/>
          <w:szCs w:val="24"/>
        </w:rPr>
      </w:pPr>
    </w:p>
    <w:p w14:paraId="1E88BD87" w14:textId="77777777" w:rsidR="00102B35" w:rsidRPr="00102B35" w:rsidRDefault="00102B35" w:rsidP="00102B35">
      <w:pPr>
        <w:pStyle w:val="Heading2"/>
      </w:pPr>
      <w:bookmarkStart w:id="14" w:name="_Toc118117230"/>
      <w:r>
        <w:t>4.4. Vides mērķi un to sasniegšanas plānošana (6.2. punkts)</w:t>
      </w:r>
      <w:bookmarkStart w:id="15" w:name="_bookmark7"/>
      <w:bookmarkEnd w:id="14"/>
      <w:bookmarkEnd w:id="15"/>
    </w:p>
    <w:p w14:paraId="7EDB98A4" w14:textId="77777777" w:rsidR="00102B35" w:rsidRPr="00102B35" w:rsidRDefault="00102B35" w:rsidP="00102B35">
      <w:pPr>
        <w:jc w:val="both"/>
        <w:rPr>
          <w:rFonts w:ascii="Times New Roman" w:eastAsia="Arial" w:hAnsi="Times New Roman" w:cs="Times New Roman"/>
          <w:b/>
          <w:bCs/>
          <w:noProof/>
          <w:sz w:val="24"/>
          <w:szCs w:val="24"/>
        </w:rPr>
      </w:pPr>
    </w:p>
    <w:p w14:paraId="497BB90C" w14:textId="77777777" w:rsidR="00102B35" w:rsidRPr="00102B35" w:rsidRDefault="00102B35" w:rsidP="00102B35">
      <w:pPr>
        <w:pStyle w:val="BodyText"/>
      </w:pPr>
      <w:r>
        <w:t>4.4.1. Ir izstrādāti un tiek īstenoti vides mērķi un to sasniegšanas plāni, lai uzlabotu organizācijas sniegumu vides jomā papildus jautājumam par atbilstību tiesību aktiem vai jomās, kurās nav tiesisko prasību (piemēram, energoresursu patēriņš ražošanas procesā vai ar produktu saistītie aspekti).</w:t>
      </w:r>
    </w:p>
    <w:p w14:paraId="2A76E9BC" w14:textId="77777777" w:rsidR="00102B35" w:rsidRPr="00102B35" w:rsidRDefault="00102B35" w:rsidP="00102B35">
      <w:pPr>
        <w:jc w:val="both"/>
        <w:rPr>
          <w:rFonts w:ascii="Times New Roman" w:eastAsia="Arial" w:hAnsi="Times New Roman" w:cs="Times New Roman"/>
          <w:noProof/>
          <w:sz w:val="24"/>
          <w:szCs w:val="24"/>
        </w:rPr>
      </w:pPr>
    </w:p>
    <w:p w14:paraId="2EF1AC1D" w14:textId="77777777" w:rsidR="00102B35" w:rsidRPr="00102B35" w:rsidRDefault="00102B35" w:rsidP="00102B35">
      <w:pPr>
        <w:pStyle w:val="BodyText"/>
      </w:pPr>
      <w:r>
        <w:t>4.4.2. Vides mērķi var būt arī vides politikas rīks, lai vadītu vides risku saistībā ar neatbilstību tiesiskajām prasībām. Piemēram, plānojot turpmāko tiesisko prasību ieviešanu vai ja rodas atsevišķas vai sporādiskas neatbilstības tiesiskajām prasībām, vides mērķu sasniegšanas plāns varētu būt atbilstošs veids, kā risināt neatbilstības kontrolētā un/vai vadītā veidā. Tomēr balstīšanās uz vispārējiem mērķiem, lai sasniegtu atbilstību tiesiskajām prasībām, visticamāk, neatbilst standartam.</w:t>
      </w:r>
    </w:p>
    <w:p w14:paraId="08648DB6" w14:textId="77777777" w:rsidR="00102B35" w:rsidRPr="00102B35" w:rsidRDefault="00102B35" w:rsidP="00102B35">
      <w:pPr>
        <w:jc w:val="both"/>
        <w:rPr>
          <w:rFonts w:ascii="Times New Roman" w:eastAsia="Arial" w:hAnsi="Times New Roman" w:cs="Times New Roman"/>
          <w:noProof/>
          <w:sz w:val="24"/>
          <w:szCs w:val="24"/>
        </w:rPr>
      </w:pPr>
    </w:p>
    <w:p w14:paraId="149D22F0" w14:textId="77777777" w:rsidR="00102B35" w:rsidRPr="00102B35" w:rsidRDefault="00102B35" w:rsidP="00102B35">
      <w:pPr>
        <w:pStyle w:val="BodyText"/>
      </w:pPr>
      <w:r>
        <w:t xml:space="preserve">4.4.3. Sertifikācijas institūcija noskaidro, vai vides mērķi un plānošana, kas ir izstrādāti, ieviesti un tiek uzturēti </w:t>
      </w:r>
      <w:r>
        <w:rPr>
          <w:i/>
          <w:iCs/>
        </w:rPr>
        <w:t>EMS</w:t>
      </w:r>
      <w:r>
        <w:t>, atbilst spēkā esošajām tiesiskajām prasībām un mainīgajiem apstākļiem, kas identificēti vadības pārskatā (ISO 14001:2015 9.3. punkts).</w:t>
      </w:r>
    </w:p>
    <w:p w14:paraId="6B51FDEB" w14:textId="77777777" w:rsidR="00102B35" w:rsidRPr="00102B35" w:rsidRDefault="00102B35" w:rsidP="00102B35">
      <w:pPr>
        <w:jc w:val="both"/>
        <w:rPr>
          <w:rFonts w:ascii="Times New Roman" w:eastAsia="Arial" w:hAnsi="Times New Roman" w:cs="Times New Roman"/>
          <w:noProof/>
          <w:sz w:val="24"/>
          <w:szCs w:val="24"/>
        </w:rPr>
      </w:pPr>
    </w:p>
    <w:p w14:paraId="43870B12" w14:textId="77777777" w:rsidR="00102B35" w:rsidRPr="00102B35" w:rsidRDefault="00102B35" w:rsidP="00102B35">
      <w:pPr>
        <w:pStyle w:val="Heading2"/>
      </w:pPr>
      <w:bookmarkStart w:id="16" w:name="_Toc118117231"/>
      <w:r>
        <w:t>4.5. Darbības plānošana un vadība (8.1. punkts)</w:t>
      </w:r>
      <w:bookmarkStart w:id="17" w:name="_bookmark8"/>
      <w:bookmarkEnd w:id="16"/>
      <w:bookmarkEnd w:id="17"/>
    </w:p>
    <w:p w14:paraId="2EC07E31" w14:textId="77777777" w:rsidR="00102B35" w:rsidRPr="00102B35" w:rsidRDefault="00102B35" w:rsidP="00102B35">
      <w:pPr>
        <w:jc w:val="both"/>
        <w:rPr>
          <w:rFonts w:ascii="Times New Roman" w:eastAsia="Arial" w:hAnsi="Times New Roman" w:cs="Times New Roman"/>
          <w:b/>
          <w:bCs/>
          <w:noProof/>
          <w:sz w:val="24"/>
          <w:szCs w:val="24"/>
        </w:rPr>
      </w:pPr>
    </w:p>
    <w:p w14:paraId="29B5F0AC" w14:textId="77777777" w:rsidR="00102B35" w:rsidRPr="00102B35" w:rsidRDefault="00102B35" w:rsidP="00102B35">
      <w:pPr>
        <w:pStyle w:val="BodyText"/>
      </w:pPr>
      <w:r>
        <w:t>4.5.1. Darbības vadība ir organizācijas operatīvo darbību un tās emisiju vidē vadības kontroles būtiska sastāvdaļa un tieši ietekmē atbilstības tiesību aktiem sasniegšanu.</w:t>
      </w:r>
    </w:p>
    <w:p w14:paraId="43DECC47" w14:textId="77777777" w:rsidR="00102B35" w:rsidRPr="00102B35" w:rsidRDefault="00102B35" w:rsidP="00102B35">
      <w:pPr>
        <w:jc w:val="both"/>
        <w:rPr>
          <w:rFonts w:ascii="Times New Roman" w:eastAsia="Arial" w:hAnsi="Times New Roman" w:cs="Times New Roman"/>
          <w:noProof/>
          <w:sz w:val="24"/>
          <w:szCs w:val="24"/>
        </w:rPr>
      </w:pPr>
    </w:p>
    <w:p w14:paraId="554F98CF" w14:textId="77777777" w:rsidR="00102B35" w:rsidRPr="00102B35" w:rsidRDefault="00102B35" w:rsidP="00102B35">
      <w:pPr>
        <w:pStyle w:val="BodyText"/>
      </w:pPr>
      <w:r>
        <w:t>4.5.2. Sertifikācijas institūcija pārliecinās, ka organizācija ir identificējusi un plānojusi savas darbības, kas ir saistītas ar risku un iespēju risināšanas pasākumiem, un darbības, kas saistītas ar vides mērķu sasniegšanu, saskaņā ar tās politikā noteikto apņemšanos pildīt atbilstības saistības.</w:t>
      </w:r>
    </w:p>
    <w:p w14:paraId="69A60EF2" w14:textId="77777777" w:rsidR="00102B35" w:rsidRPr="00102B35" w:rsidRDefault="00102B35" w:rsidP="00102B35">
      <w:pPr>
        <w:jc w:val="both"/>
        <w:rPr>
          <w:rFonts w:ascii="Times New Roman" w:eastAsia="Arial" w:hAnsi="Times New Roman" w:cs="Times New Roman"/>
          <w:noProof/>
          <w:sz w:val="24"/>
          <w:szCs w:val="24"/>
        </w:rPr>
      </w:pPr>
    </w:p>
    <w:p w14:paraId="22983A46" w14:textId="77777777" w:rsidR="00102B35" w:rsidRPr="00102B35" w:rsidRDefault="00102B35" w:rsidP="00102B35">
      <w:pPr>
        <w:pStyle w:val="BodyText"/>
      </w:pPr>
      <w:r>
        <w:t>Šim(-iem) procesam(-iem) ir jākontrolē situācijas gadījumos, kad to neesība varētu radīt atkāpes no atbilstības tiesību aktiem, un ir jādefinē darbības kritēriji, kas saskan ar atbilstību tiesību aktiem.</w:t>
      </w:r>
    </w:p>
    <w:p w14:paraId="45005989" w14:textId="77777777" w:rsidR="00102B35" w:rsidRPr="00102B35" w:rsidRDefault="00102B35" w:rsidP="00102B35">
      <w:pPr>
        <w:jc w:val="both"/>
        <w:rPr>
          <w:rFonts w:ascii="Times New Roman" w:eastAsia="Arial" w:hAnsi="Times New Roman" w:cs="Times New Roman"/>
          <w:noProof/>
          <w:sz w:val="24"/>
          <w:szCs w:val="24"/>
        </w:rPr>
      </w:pPr>
    </w:p>
    <w:p w14:paraId="3977A8E6" w14:textId="77777777" w:rsidR="00102B35" w:rsidRPr="00102B35" w:rsidRDefault="00102B35" w:rsidP="00102B35">
      <w:pPr>
        <w:pStyle w:val="BodyText"/>
      </w:pPr>
      <w:r>
        <w:t>4.5.3. Sertifikācijas institūcija pārliecinās, ka tiek uzturēta atbilstoši dokumentēta informācija, lai parādītu, ka procesi ir īstenoti, kā plānots.</w:t>
      </w:r>
    </w:p>
    <w:p w14:paraId="3E974803" w14:textId="77777777" w:rsidR="00102B35" w:rsidRPr="00102B35" w:rsidRDefault="00102B35" w:rsidP="00102B35">
      <w:pPr>
        <w:jc w:val="both"/>
        <w:rPr>
          <w:rFonts w:ascii="Times New Roman" w:eastAsia="Arial" w:hAnsi="Times New Roman" w:cs="Times New Roman"/>
          <w:noProof/>
          <w:sz w:val="24"/>
          <w:szCs w:val="24"/>
        </w:rPr>
      </w:pPr>
    </w:p>
    <w:p w14:paraId="4CB2675E" w14:textId="77777777" w:rsidR="00102B35" w:rsidRPr="00102B35" w:rsidRDefault="00102B35" w:rsidP="00102B35">
      <w:pPr>
        <w:pStyle w:val="BodyText"/>
      </w:pPr>
      <w:r>
        <w:t>4.5.4. Šajos procesos ir jāņem vērā, ka piegādātājiem, tostarp līgumslēdzējiem, ir jāpaziņo piemērojamās prasības.</w:t>
      </w:r>
    </w:p>
    <w:p w14:paraId="7334578A" w14:textId="77777777" w:rsidR="00102B35" w:rsidRPr="00102B35" w:rsidRDefault="00102B35" w:rsidP="00102B35">
      <w:pPr>
        <w:jc w:val="both"/>
        <w:rPr>
          <w:rFonts w:ascii="Times New Roman" w:eastAsia="Arial" w:hAnsi="Times New Roman" w:cs="Times New Roman"/>
          <w:noProof/>
          <w:sz w:val="24"/>
          <w:szCs w:val="24"/>
        </w:rPr>
      </w:pPr>
    </w:p>
    <w:p w14:paraId="3A0F3388" w14:textId="77777777" w:rsidR="00102B35" w:rsidRPr="00102B35" w:rsidRDefault="00102B35" w:rsidP="00102B35">
      <w:pPr>
        <w:pStyle w:val="Heading2"/>
      </w:pPr>
      <w:bookmarkStart w:id="18" w:name="_Toc118117232"/>
      <w:r>
        <w:t>4.6. Uzraudzība, mērīšana, analīze un novērtēšana – vispārīgas prasības (9.1.1. punkts)</w:t>
      </w:r>
      <w:bookmarkStart w:id="19" w:name="_bookmark9"/>
      <w:bookmarkEnd w:id="18"/>
      <w:bookmarkEnd w:id="19"/>
    </w:p>
    <w:p w14:paraId="7438BF8C" w14:textId="77777777" w:rsidR="00102B35" w:rsidRPr="00102B35" w:rsidRDefault="00102B35" w:rsidP="00102B35">
      <w:pPr>
        <w:jc w:val="both"/>
        <w:rPr>
          <w:rFonts w:ascii="Times New Roman" w:eastAsia="Arial" w:hAnsi="Times New Roman" w:cs="Times New Roman"/>
          <w:b/>
          <w:bCs/>
          <w:noProof/>
          <w:sz w:val="24"/>
          <w:szCs w:val="24"/>
        </w:rPr>
      </w:pPr>
    </w:p>
    <w:p w14:paraId="40194137" w14:textId="77777777" w:rsidR="00102B35" w:rsidRPr="00102B35" w:rsidRDefault="00102B35" w:rsidP="00102B35">
      <w:pPr>
        <w:pStyle w:val="BodyText"/>
      </w:pPr>
      <w:r>
        <w:t>4.6.1. Uzraudzība un mērīšana ir pasākumi, kas ļauj organizācijai gūt priekšstatu, kas nepieciešams, lai novērtētu atbilstības saistības, un tāpēc ir svarīgi auditēt šo jomu, lai nodrošinātu atbilstību tiesību aktiem. Uzraudzības un mērīšanas rezultāti sniedz datus, kas ļauj novērtēt atbilstību (9.1.2. punkts) un korektīvās darbības (10.2. punkts).</w:t>
      </w:r>
    </w:p>
    <w:p w14:paraId="23E7AF6D" w14:textId="77777777" w:rsidR="00102B35" w:rsidRPr="00102B35" w:rsidRDefault="00102B35" w:rsidP="00102B35">
      <w:pPr>
        <w:jc w:val="both"/>
        <w:rPr>
          <w:rFonts w:ascii="Times New Roman" w:eastAsia="Arial" w:hAnsi="Times New Roman" w:cs="Times New Roman"/>
          <w:noProof/>
          <w:sz w:val="24"/>
          <w:szCs w:val="24"/>
        </w:rPr>
      </w:pPr>
    </w:p>
    <w:p w14:paraId="0A41B747" w14:textId="77777777" w:rsidR="00102B35" w:rsidRPr="00102B35" w:rsidRDefault="00102B35" w:rsidP="001A46A5">
      <w:pPr>
        <w:pStyle w:val="BodyText"/>
        <w:keepNext/>
        <w:keepLines/>
      </w:pPr>
      <w:r>
        <w:lastRenderedPageBreak/>
        <w:t>4.6.2. Ja ir atklāta neatbilstība tiesiskajām prasībām, organizācijai ir jāveic tūlītējas korektīvas darbības (tostarp cēloņu analīze, korekcija un atkārtošanās novēršanas pasākumi), tostarp var būt vajadzība tūlītēji informēt vides regulatoru atkarībā no konkrētām tiesiskajām prasībām un neatbilstības apmēra.</w:t>
      </w:r>
    </w:p>
    <w:p w14:paraId="1620C7A2" w14:textId="77777777" w:rsidR="00102B35" w:rsidRPr="00102B35" w:rsidRDefault="00102B35" w:rsidP="00102B35">
      <w:pPr>
        <w:jc w:val="both"/>
        <w:rPr>
          <w:rFonts w:ascii="Times New Roman" w:eastAsia="Arial" w:hAnsi="Times New Roman" w:cs="Times New Roman"/>
          <w:noProof/>
          <w:sz w:val="24"/>
          <w:szCs w:val="24"/>
        </w:rPr>
      </w:pPr>
    </w:p>
    <w:p w14:paraId="0297451B" w14:textId="77777777" w:rsidR="00102B35" w:rsidRPr="00102B35" w:rsidRDefault="00102B35" w:rsidP="00102B35">
      <w:pPr>
        <w:pStyle w:val="BodyText"/>
      </w:pPr>
      <w:r>
        <w:t>4.6.3. Sertifikācijas institūcija auditē, vai veiktās korektīvās darbības un vajadzības gadījumā atkārtošanās novēršanas pasākumi ir efektīvi un savlaicīgi, ņemot vērā neatbilstības ietekmes uz vidi būtību un apmēru.</w:t>
      </w:r>
    </w:p>
    <w:p w14:paraId="0042D994" w14:textId="77777777" w:rsidR="00102B35" w:rsidRPr="00102B35" w:rsidRDefault="00102B35" w:rsidP="00102B35">
      <w:pPr>
        <w:jc w:val="both"/>
        <w:rPr>
          <w:rFonts w:ascii="Times New Roman" w:eastAsia="Arial" w:hAnsi="Times New Roman" w:cs="Times New Roman"/>
          <w:noProof/>
          <w:sz w:val="24"/>
          <w:szCs w:val="24"/>
        </w:rPr>
      </w:pPr>
    </w:p>
    <w:p w14:paraId="1FA1C229" w14:textId="77777777" w:rsidR="00102B35" w:rsidRPr="00102B35" w:rsidRDefault="00102B35" w:rsidP="00102B35">
      <w:pPr>
        <w:pStyle w:val="Heading2"/>
      </w:pPr>
      <w:bookmarkStart w:id="20" w:name="_Toc118117233"/>
      <w:r>
        <w:t>4.7. Atbilstības tiesību aktiem novērtēšana (9.1.2. punkts)</w:t>
      </w:r>
      <w:bookmarkStart w:id="21" w:name="_bookmark10"/>
      <w:bookmarkEnd w:id="20"/>
      <w:bookmarkEnd w:id="21"/>
    </w:p>
    <w:p w14:paraId="1BA25CA2" w14:textId="77777777" w:rsidR="00102B35" w:rsidRPr="00102B35" w:rsidRDefault="00102B35" w:rsidP="00102B35">
      <w:pPr>
        <w:jc w:val="both"/>
        <w:rPr>
          <w:rFonts w:ascii="Times New Roman" w:eastAsia="Arial" w:hAnsi="Times New Roman" w:cs="Times New Roman"/>
          <w:b/>
          <w:bCs/>
          <w:noProof/>
          <w:sz w:val="24"/>
          <w:szCs w:val="24"/>
        </w:rPr>
      </w:pPr>
    </w:p>
    <w:p w14:paraId="3EC86FD8" w14:textId="77777777" w:rsidR="00102B35" w:rsidRPr="00102B35" w:rsidRDefault="00102B35" w:rsidP="00102B35">
      <w:pPr>
        <w:pStyle w:val="BodyText"/>
      </w:pPr>
      <w:r>
        <w:t xml:space="preserve">4.7.1. Sertifikācijas institūcijas auditoriem ir jāveic audits, lai pārliecinātos, vai </w:t>
      </w:r>
      <w:r>
        <w:rPr>
          <w:i/>
          <w:iCs/>
        </w:rPr>
        <w:t>EMS</w:t>
      </w:r>
      <w:r>
        <w:t xml:space="preserve"> atbilst ISO 14001:2015 prasībām. Viņiem nav tieši jānovērtē atbilstība tiesību aktiem, jo tā ir no šā punkta izrietoša prasība organizācijai, kā arī sertifikācijas institūcijas auditoram nav prasīts veikt atbilstības auditu, jo tas ir vides regulatora vai šim nolūkam konkrēti nolīgta auditora/inspektora uzdevums.</w:t>
      </w:r>
    </w:p>
    <w:p w14:paraId="2A7785C4" w14:textId="77777777" w:rsidR="00102B35" w:rsidRPr="00102B35" w:rsidRDefault="00102B35" w:rsidP="00102B35">
      <w:pPr>
        <w:jc w:val="both"/>
        <w:rPr>
          <w:rFonts w:ascii="Times New Roman" w:eastAsia="Arial" w:hAnsi="Times New Roman" w:cs="Times New Roman"/>
          <w:noProof/>
          <w:sz w:val="24"/>
          <w:szCs w:val="24"/>
        </w:rPr>
      </w:pPr>
    </w:p>
    <w:p w14:paraId="465370F1" w14:textId="77777777" w:rsidR="00102B35" w:rsidRPr="00102B35" w:rsidRDefault="00102B35" w:rsidP="00102B35">
      <w:pPr>
        <w:pStyle w:val="BodyText"/>
      </w:pPr>
      <w:r>
        <w:t xml:space="preserve">4.7.2. Organizācijas pienākums un </w:t>
      </w:r>
      <w:r>
        <w:rPr>
          <w:i/>
          <w:iCs/>
        </w:rPr>
        <w:t>EMS</w:t>
      </w:r>
      <w:r>
        <w:t xml:space="preserve"> funkcija ir nodrošināt, ka organizācija periodiski novērtē atbilstību visām savām atbilstības saistībām, ka tā ir dokumentējusi šo novērtēšanu un ka zina savu atbilstības statusu. Ja </w:t>
      </w:r>
      <w:r>
        <w:rPr>
          <w:i/>
          <w:iCs/>
        </w:rPr>
        <w:t>EMS</w:t>
      </w:r>
      <w:r>
        <w:t xml:space="preserve"> ir sertificēta kā atbilstoša ISO 14001:2015 prasībām, sagaidāms, ka tā spēj identificēt organizācijas atbilstības statusu.</w:t>
      </w:r>
    </w:p>
    <w:p w14:paraId="0A20A4FF" w14:textId="77777777" w:rsidR="00102B35" w:rsidRPr="00102B35" w:rsidRDefault="00102B35" w:rsidP="00102B35">
      <w:pPr>
        <w:jc w:val="both"/>
        <w:rPr>
          <w:rFonts w:ascii="Times New Roman" w:eastAsia="Arial" w:hAnsi="Times New Roman" w:cs="Times New Roman"/>
          <w:noProof/>
          <w:sz w:val="24"/>
          <w:szCs w:val="24"/>
        </w:rPr>
      </w:pPr>
    </w:p>
    <w:p w14:paraId="21667D24" w14:textId="77777777" w:rsidR="00102B35" w:rsidRPr="00102B35" w:rsidRDefault="00102B35" w:rsidP="00102B35">
      <w:pPr>
        <w:pStyle w:val="BodyText"/>
      </w:pPr>
      <w:r>
        <w:t>4.7.3. Sertifikācijas institūcija nosaka, vai organizācija ir izstrādājusi nepieciešamo(-os) procesu(-us), vai tā ir pilnībā novērtējusi atbilstību visām piemērojamajām tiesiskajām prasībām un vai ir atbilstoši dokumentējusi šā novērtējuma rezultātus. Šāda audita pamatelements ir tas, ka personām, kas novērtē atbilstību, ir jābūt kompetencei tiesisko prasību un to piemērošanas jomā (tādējādi netieši ISO 14001:2015 7.2. punkts arī attiecas uz atbilstību tiesību aktiem).</w:t>
      </w:r>
    </w:p>
    <w:p w14:paraId="73DB91E3" w14:textId="77777777" w:rsidR="00102B35" w:rsidRPr="00102B35" w:rsidRDefault="00102B35" w:rsidP="00102B35">
      <w:pPr>
        <w:jc w:val="both"/>
        <w:rPr>
          <w:rFonts w:ascii="Times New Roman" w:eastAsia="Arial" w:hAnsi="Times New Roman" w:cs="Times New Roman"/>
          <w:noProof/>
          <w:sz w:val="24"/>
          <w:szCs w:val="24"/>
        </w:rPr>
      </w:pPr>
    </w:p>
    <w:p w14:paraId="49789A11" w14:textId="77777777" w:rsidR="00102B35" w:rsidRPr="00102B35" w:rsidRDefault="00102B35" w:rsidP="00102B35">
      <w:pPr>
        <w:pStyle w:val="BodyText"/>
      </w:pPr>
      <w:r>
        <w:t>4.7.4. Sertifikācijas institūcijai ir jāauditē novērtēšanas efektivitāte:</w:t>
      </w:r>
    </w:p>
    <w:p w14:paraId="32BB4788" w14:textId="77777777" w:rsidR="00102B35" w:rsidRPr="00102B35" w:rsidRDefault="00102B35" w:rsidP="00102B35">
      <w:pPr>
        <w:jc w:val="both"/>
        <w:rPr>
          <w:rFonts w:ascii="Times New Roman" w:eastAsia="Arial" w:hAnsi="Times New Roman" w:cs="Times New Roman"/>
          <w:noProof/>
          <w:sz w:val="24"/>
          <w:szCs w:val="24"/>
        </w:rPr>
      </w:pPr>
    </w:p>
    <w:p w14:paraId="55B3FF93" w14:textId="77777777" w:rsidR="00102B35" w:rsidRPr="00102B35" w:rsidRDefault="00102B35" w:rsidP="00102B35">
      <w:pPr>
        <w:pStyle w:val="BodyText"/>
        <w:ind w:left="284"/>
      </w:pPr>
      <w:r>
        <w:t>1) pārbaudot, vai organizācija ir noteikusi atbilstību, izmantojot konkrētu tiesisko prasību piemērus;</w:t>
      </w:r>
    </w:p>
    <w:p w14:paraId="75609C11" w14:textId="77777777" w:rsidR="00102B35" w:rsidRPr="00102B35" w:rsidRDefault="00102B35" w:rsidP="00102B35">
      <w:pPr>
        <w:pStyle w:val="BodyText"/>
        <w:ind w:left="284"/>
      </w:pPr>
      <w:r>
        <w:t>2) meklējot pierādījumus par atbilstību vai neatbilstību citu novērtēšanas pasākumu laikā (veicot novērtēšanu uz vietas un darbības vadības auditu, utt.);</w:t>
      </w:r>
    </w:p>
    <w:p w14:paraId="16502713" w14:textId="77777777" w:rsidR="00102B35" w:rsidRPr="00102B35" w:rsidRDefault="00102B35" w:rsidP="00102B35">
      <w:pPr>
        <w:pStyle w:val="BodyText"/>
        <w:ind w:left="284"/>
      </w:pPr>
      <w:r>
        <w:t>3) pārbaudot, ka organizācija atbilstības novērtējumā ir iekļāvusi visas identificētās tiesiskās prasības;</w:t>
      </w:r>
    </w:p>
    <w:p w14:paraId="1BF7B0C9" w14:textId="77777777" w:rsidR="00102B35" w:rsidRPr="00102B35" w:rsidRDefault="00102B35" w:rsidP="00102B35">
      <w:pPr>
        <w:pStyle w:val="BodyText"/>
        <w:ind w:left="284"/>
      </w:pPr>
      <w:r>
        <w:t>4) pārbaudot organizācijas novērtēšanas spējas (iesaistītā personāla kompetenci, novērtēšanas sfēru saistībā ar organizācijas darbībām utt.).</w:t>
      </w:r>
    </w:p>
    <w:p w14:paraId="0845E14B" w14:textId="77777777" w:rsidR="00102B35" w:rsidRPr="00102B35" w:rsidRDefault="00102B35" w:rsidP="00102B35">
      <w:pPr>
        <w:jc w:val="both"/>
        <w:rPr>
          <w:rFonts w:ascii="Times New Roman" w:eastAsia="Arial" w:hAnsi="Times New Roman" w:cs="Times New Roman"/>
          <w:noProof/>
          <w:sz w:val="24"/>
          <w:szCs w:val="24"/>
        </w:rPr>
      </w:pPr>
    </w:p>
    <w:p w14:paraId="7BE0BEA7" w14:textId="77777777" w:rsidR="00102B35" w:rsidRPr="00102B35" w:rsidRDefault="00102B35" w:rsidP="00102B35">
      <w:pPr>
        <w:pStyle w:val="BodyText"/>
      </w:pPr>
      <w:r>
        <w:t>4.7.5. Organizācijas novērtējuma atbilstību un atbilstības statusu var noteikt no dažādiem avotiem, tostarp no novērtējumiem uz vietas, konkrētu instanču ziņojumiem par neatbilstībām, vides regulatora ziņojumiem un no jautājumiem, kas sniegti pārvaldības pārskatā, kā aprakstīts ISO 14001:2015 9.3. punktā. Visticamāk, atsevišķi ņemti, šie avoti nesniegs pietiekami objektīvus pierādījumus, bet apvienojumā (piemēram, veicot šo avotu kontrolpārbaudi) tie var sniegt nepieciešamo apliecinājumu.</w:t>
      </w:r>
    </w:p>
    <w:p w14:paraId="77FF06A6" w14:textId="77777777" w:rsidR="00102B35" w:rsidRPr="00102B35" w:rsidRDefault="00102B35" w:rsidP="00102B35">
      <w:pPr>
        <w:jc w:val="both"/>
        <w:rPr>
          <w:rFonts w:ascii="Times New Roman" w:eastAsia="Arial" w:hAnsi="Times New Roman" w:cs="Times New Roman"/>
          <w:noProof/>
          <w:sz w:val="24"/>
          <w:szCs w:val="24"/>
        </w:rPr>
      </w:pPr>
    </w:p>
    <w:p w14:paraId="0DAF036C" w14:textId="77777777" w:rsidR="00102B35" w:rsidRPr="00102B35" w:rsidRDefault="00102B35" w:rsidP="00102B35">
      <w:pPr>
        <w:pStyle w:val="BodyText"/>
      </w:pPr>
      <w:r>
        <w:t xml:space="preserve">4.7.6. Sertifikācijas institūcija var izmantot riska vadības paņēmienus, lai izlases veidā ņemtu </w:t>
      </w:r>
      <w:r>
        <w:rPr>
          <w:i/>
          <w:iCs/>
        </w:rPr>
        <w:t>EMS</w:t>
      </w:r>
      <w:r>
        <w:t xml:space="preserve"> daļas sertifikācijas novērtējuma laikā un lai noteiktu vides aspektus, kas būtiski ietekmē organizācijai atbilstību tiesību aktiem (piemēram, jomās, kur varētu piemērot nozīmīgus naudas sodus, direktoru un vadības apcietināšanu vai kuru rezultātā var rasties jautājumi par </w:t>
      </w:r>
      <w:r>
        <w:lastRenderedPageBreak/>
        <w:t>ieinteresētajām personām un/vai komunikācijas jautājumi).</w:t>
      </w:r>
    </w:p>
    <w:p w14:paraId="0E22F61E" w14:textId="77777777" w:rsidR="00102B35" w:rsidRPr="00102B35" w:rsidRDefault="00102B35" w:rsidP="00102B35">
      <w:pPr>
        <w:jc w:val="both"/>
        <w:rPr>
          <w:rFonts w:ascii="Times New Roman" w:eastAsia="Arial" w:hAnsi="Times New Roman" w:cs="Times New Roman"/>
          <w:noProof/>
          <w:sz w:val="24"/>
          <w:szCs w:val="24"/>
        </w:rPr>
      </w:pPr>
    </w:p>
    <w:p w14:paraId="6E4892FF" w14:textId="77777777" w:rsidR="00102B35" w:rsidRPr="00102B35" w:rsidRDefault="00102B35" w:rsidP="000A5F84">
      <w:pPr>
        <w:pStyle w:val="Heading2"/>
        <w:keepNext/>
        <w:keepLines/>
      </w:pPr>
      <w:bookmarkStart w:id="22" w:name="_Toc118117234"/>
      <w:r>
        <w:t>4.8. Neatbilstība un korektīva darbība (10.2. punkts)</w:t>
      </w:r>
      <w:bookmarkStart w:id="23" w:name="_bookmark11"/>
      <w:bookmarkEnd w:id="22"/>
      <w:bookmarkEnd w:id="23"/>
    </w:p>
    <w:p w14:paraId="713C2005" w14:textId="77777777" w:rsidR="00102B35" w:rsidRPr="00102B35" w:rsidRDefault="00102B35" w:rsidP="000A5F84">
      <w:pPr>
        <w:keepNext/>
        <w:keepLines/>
        <w:jc w:val="both"/>
        <w:rPr>
          <w:rFonts w:ascii="Times New Roman" w:eastAsia="Arial" w:hAnsi="Times New Roman" w:cs="Times New Roman"/>
          <w:b/>
          <w:bCs/>
          <w:noProof/>
          <w:sz w:val="24"/>
          <w:szCs w:val="24"/>
        </w:rPr>
      </w:pPr>
    </w:p>
    <w:p w14:paraId="2AA54280" w14:textId="77777777" w:rsidR="00102B35" w:rsidRPr="00102B35" w:rsidRDefault="00102B35" w:rsidP="000A5F84">
      <w:pPr>
        <w:pStyle w:val="BodyText"/>
        <w:keepNext/>
        <w:keepLines/>
      </w:pPr>
      <w:r>
        <w:t xml:space="preserve">4.8.1. Organizācijai ir jāparāda, izmantojot tās </w:t>
      </w:r>
      <w:r>
        <w:rPr>
          <w:i/>
          <w:iCs/>
        </w:rPr>
        <w:t>EMS</w:t>
      </w:r>
      <w:r>
        <w:t>, ka tā spēj atrisināt neatbilstību kontrolētā un vadītā veidā.</w:t>
      </w:r>
    </w:p>
    <w:p w14:paraId="20F4E485" w14:textId="77777777" w:rsidR="00102B35" w:rsidRPr="00102B35" w:rsidRDefault="00102B35" w:rsidP="00102B35">
      <w:pPr>
        <w:jc w:val="both"/>
        <w:rPr>
          <w:rFonts w:ascii="Times New Roman" w:eastAsia="Arial" w:hAnsi="Times New Roman" w:cs="Times New Roman"/>
          <w:noProof/>
          <w:sz w:val="24"/>
          <w:szCs w:val="24"/>
        </w:rPr>
      </w:pPr>
    </w:p>
    <w:p w14:paraId="6DEF88BF" w14:textId="77777777" w:rsidR="00102B35" w:rsidRPr="00102B35" w:rsidRDefault="00102B35" w:rsidP="00102B35">
      <w:pPr>
        <w:pStyle w:val="BodyText"/>
      </w:pPr>
      <w:r>
        <w:t xml:space="preserve">4.8.2. Sertifikācijas institūcija nosaka, vai organizācija ir atbilstoši vadījusi korektīvo(-ās) darbību(-as) un neatbilstību(-as), izmantojot savu </w:t>
      </w:r>
      <w:r>
        <w:rPr>
          <w:i/>
          <w:iCs/>
        </w:rPr>
        <w:t>EMS</w:t>
      </w:r>
      <w:r>
        <w:t xml:space="preserve">. Ja tas tā nav, sertifikācijas institūcijai būtu jāpauž bažas par visas </w:t>
      </w:r>
      <w:r>
        <w:rPr>
          <w:i/>
          <w:iCs/>
        </w:rPr>
        <w:t>EMS</w:t>
      </w:r>
      <w:r>
        <w:t xml:space="preserve"> efektivitāti un tās spēju nodrošināt organizācijas vides politiku un tās mērķus un uzdevumus.</w:t>
      </w:r>
    </w:p>
    <w:p w14:paraId="195DFDB4" w14:textId="77777777" w:rsidR="00102B35" w:rsidRPr="00102B35" w:rsidRDefault="00102B35" w:rsidP="00102B35">
      <w:pPr>
        <w:jc w:val="both"/>
        <w:rPr>
          <w:rFonts w:ascii="Times New Roman" w:eastAsia="Arial" w:hAnsi="Times New Roman" w:cs="Times New Roman"/>
          <w:noProof/>
          <w:sz w:val="24"/>
          <w:szCs w:val="24"/>
        </w:rPr>
      </w:pPr>
    </w:p>
    <w:p w14:paraId="45DA8EAC" w14:textId="77777777" w:rsidR="00102B35" w:rsidRPr="00102B35" w:rsidRDefault="00102B35" w:rsidP="00102B35">
      <w:pPr>
        <w:pStyle w:val="BodyText"/>
      </w:pPr>
      <w:r>
        <w:t>4.8.3. Korektīvajām darbībām, ko veic organizācija, būtu jābūt samērīgām ar neatbilstības apmēru. Ja neatbilstības apmērs pārsniedz organizācijas spēju to labot, ir nekavējoties jāziņo vides regulatoram par neatbilstību un jāvienojas par darbībām, kas nepieciešamas, lai atgūtu atbilstību (piemēram, darbību plāns) un mazinātu kaitējumu videi.</w:t>
      </w:r>
    </w:p>
    <w:p w14:paraId="6CA043BC" w14:textId="77777777" w:rsidR="00102B35" w:rsidRPr="00102B35" w:rsidRDefault="00102B35" w:rsidP="00102B35">
      <w:pPr>
        <w:jc w:val="both"/>
        <w:rPr>
          <w:rFonts w:ascii="Times New Roman" w:eastAsia="Arial" w:hAnsi="Times New Roman" w:cs="Times New Roman"/>
          <w:noProof/>
          <w:sz w:val="24"/>
          <w:szCs w:val="24"/>
        </w:rPr>
      </w:pPr>
    </w:p>
    <w:p w14:paraId="5B5368AC" w14:textId="77777777" w:rsidR="00102B35" w:rsidRPr="00102B35" w:rsidRDefault="00102B35" w:rsidP="00102B35">
      <w:pPr>
        <w:pStyle w:val="BodyText"/>
      </w:pPr>
      <w:r>
        <w:t>4.8.4. Sertifikācijas institūcija auditē minēto situāciju, lai noskaidrotu, vai ir atbilstība vismaz ISO 14001:2015 6.1.3. un 9.1.2. punktam. Sertificēšanas integritātes sekas analizē, ņemot vērā vides risku, ko uzņēmusies sertifikācijas institūcija, un cik vērtīgs ir sertifikāts ieinteresētajām pusēm.</w:t>
      </w:r>
    </w:p>
    <w:p w14:paraId="29E3858C" w14:textId="77777777" w:rsidR="00102B35" w:rsidRPr="00102B35" w:rsidRDefault="00102B35" w:rsidP="00102B35">
      <w:pPr>
        <w:jc w:val="both"/>
        <w:rPr>
          <w:rFonts w:ascii="Times New Roman" w:eastAsia="Arial" w:hAnsi="Times New Roman" w:cs="Times New Roman"/>
          <w:noProof/>
          <w:sz w:val="24"/>
          <w:szCs w:val="24"/>
        </w:rPr>
      </w:pPr>
    </w:p>
    <w:p w14:paraId="18871764" w14:textId="77777777" w:rsidR="00102B35" w:rsidRPr="00102B35" w:rsidRDefault="00102B35" w:rsidP="00102B35">
      <w:pPr>
        <w:pStyle w:val="BodyText"/>
      </w:pPr>
      <w:r>
        <w:t>4.8.5. Ja sertifikāta darbības laikā pastāv neatbilstība, sertifikācijas institūcija nodrošina, ka organizācijas korektīvās darbības ir pietiekamas, lai joprojām attaisnotu ieinteresēto personu cerības. To var, piemēram, sasniegt ar apstiprinājumu, ka organizācijai ir dokumentārs apliecinājums, ka kompetentā iestāde piekrīt saskaņotā korektīvo darbību plāna īstenošanai, lai atgūtu pilnīgu atbilstību; var uzskatīt, ka tā ir apņemšanās izpildīt atbilstības saistības, ko organizācija ir uzņēmusies savā vides politikā. Attiecībā un apzinātu un konsekventu neatbilstību skat. 4.0.5. punktu.</w:t>
      </w:r>
    </w:p>
    <w:p w14:paraId="11990E67" w14:textId="77777777" w:rsidR="00102B35" w:rsidRPr="00102B35" w:rsidRDefault="00102B35" w:rsidP="00102B35">
      <w:pPr>
        <w:jc w:val="both"/>
        <w:rPr>
          <w:rFonts w:ascii="Times New Roman" w:eastAsia="Arial" w:hAnsi="Times New Roman" w:cs="Times New Roman"/>
          <w:noProof/>
          <w:sz w:val="24"/>
          <w:szCs w:val="24"/>
        </w:rPr>
      </w:pPr>
    </w:p>
    <w:p w14:paraId="37CA4C4D" w14:textId="77777777" w:rsidR="00102B35" w:rsidRPr="00102B35" w:rsidRDefault="00102B35" w:rsidP="00102B35">
      <w:pPr>
        <w:pStyle w:val="Heading2"/>
      </w:pPr>
      <w:bookmarkStart w:id="24" w:name="_Toc118117235"/>
      <w:r>
        <w:t>4.9. Iekšējais audits (9.2. punkts)</w:t>
      </w:r>
      <w:bookmarkStart w:id="25" w:name="_bookmark12"/>
      <w:bookmarkEnd w:id="24"/>
      <w:bookmarkEnd w:id="25"/>
    </w:p>
    <w:p w14:paraId="66DDF95E" w14:textId="77777777" w:rsidR="00102B35" w:rsidRPr="00102B35" w:rsidRDefault="00102B35" w:rsidP="00102B35">
      <w:pPr>
        <w:jc w:val="both"/>
        <w:rPr>
          <w:rFonts w:ascii="Times New Roman" w:eastAsia="Arial" w:hAnsi="Times New Roman" w:cs="Times New Roman"/>
          <w:b/>
          <w:bCs/>
          <w:noProof/>
          <w:sz w:val="24"/>
          <w:szCs w:val="24"/>
        </w:rPr>
      </w:pPr>
    </w:p>
    <w:p w14:paraId="6CB46B5B" w14:textId="77777777" w:rsidR="00102B35" w:rsidRPr="00102B35" w:rsidRDefault="00102B35" w:rsidP="00102B35">
      <w:pPr>
        <w:pStyle w:val="BodyText"/>
      </w:pPr>
      <w:r>
        <w:t>4.9.1. Sertifikācijas institūcija nosaka, vai organizācija veic iekšējo auditu, lai novērtētu organizācijas apņemšanos izpildīt atbilstības saistības attiecībā uz vides aspektiem.</w:t>
      </w:r>
    </w:p>
    <w:p w14:paraId="60876496" w14:textId="77777777" w:rsidR="00102B35" w:rsidRPr="00102B35" w:rsidRDefault="00102B35" w:rsidP="00102B35">
      <w:pPr>
        <w:jc w:val="both"/>
        <w:rPr>
          <w:rFonts w:ascii="Times New Roman" w:eastAsia="Arial" w:hAnsi="Times New Roman" w:cs="Times New Roman"/>
          <w:noProof/>
          <w:sz w:val="24"/>
          <w:szCs w:val="24"/>
        </w:rPr>
      </w:pPr>
    </w:p>
    <w:p w14:paraId="452AC94D" w14:textId="77777777" w:rsidR="00102B35" w:rsidRPr="00102B35" w:rsidRDefault="00102B35" w:rsidP="00102B35">
      <w:pPr>
        <w:pStyle w:val="BodyText"/>
      </w:pPr>
      <w:r>
        <w:t>4.9.2. Kad sertifikācijas institūcija auditē organizācijas iekšējo auditu, sagaidāms, ka tā ietver visus šajā dokumentā identificētos jautājumus.</w:t>
      </w:r>
    </w:p>
    <w:p w14:paraId="15795DA6" w14:textId="77777777" w:rsidR="00102B35" w:rsidRPr="00102B35" w:rsidRDefault="00102B35" w:rsidP="00102B35">
      <w:pPr>
        <w:jc w:val="both"/>
        <w:rPr>
          <w:rFonts w:ascii="Times New Roman" w:eastAsia="Arial" w:hAnsi="Times New Roman" w:cs="Times New Roman"/>
          <w:noProof/>
          <w:sz w:val="24"/>
          <w:szCs w:val="24"/>
        </w:rPr>
      </w:pPr>
    </w:p>
    <w:p w14:paraId="6C0A7880" w14:textId="77777777" w:rsidR="00102B35" w:rsidRPr="00102B35" w:rsidRDefault="00102B35" w:rsidP="00102B35">
      <w:pPr>
        <w:pStyle w:val="BodyText"/>
      </w:pPr>
      <w:r>
        <w:t>4.9.3. Sertifikācijas institūcija nodrošina, ka iekšējos auditos tiek novērtēts, kādā apmērā organizācija ir novērtējusi savu atbilstības tiesību aktiem statusu attiecībā pret piemērojamajām tiesiskajām prasībām, un vai šo prasību identificēšanas process(-i) ir efektīvs(-i) un skaidrs(-i).</w:t>
      </w:r>
    </w:p>
    <w:p w14:paraId="68BDC67A" w14:textId="77777777" w:rsidR="00102B35" w:rsidRPr="00102B35" w:rsidRDefault="00102B35" w:rsidP="00102B35">
      <w:pPr>
        <w:jc w:val="both"/>
        <w:rPr>
          <w:rFonts w:ascii="Times New Roman" w:eastAsia="Arial" w:hAnsi="Times New Roman" w:cs="Times New Roman"/>
          <w:noProof/>
          <w:sz w:val="24"/>
          <w:szCs w:val="24"/>
        </w:rPr>
      </w:pPr>
    </w:p>
    <w:p w14:paraId="53741973" w14:textId="77777777" w:rsidR="00102B35" w:rsidRPr="00102B35" w:rsidRDefault="00102B35" w:rsidP="00102B35">
      <w:pPr>
        <w:pStyle w:val="BodyText"/>
      </w:pPr>
      <w:r>
        <w:t xml:space="preserve">4.9.4. Iekšējo auditu rezultāts viens pats nesniedz informāciju par atbilstības tiesību aktiem novērtējumu (9.1.2. punkts). Iekšējā auditā galveno uzmanību pievērš </w:t>
      </w:r>
      <w:r>
        <w:rPr>
          <w:i/>
          <w:iCs/>
        </w:rPr>
        <w:t>EMS</w:t>
      </w:r>
      <w:r>
        <w:t xml:space="preserve"> atbilstībai un tās pareizai īstenošanai un uzturēšanai.</w:t>
      </w:r>
    </w:p>
    <w:p w14:paraId="28013688" w14:textId="77777777" w:rsidR="00102B35" w:rsidRPr="00102B35" w:rsidRDefault="00102B35" w:rsidP="00102B35">
      <w:pPr>
        <w:jc w:val="both"/>
        <w:rPr>
          <w:rFonts w:ascii="Times New Roman" w:eastAsia="Arial" w:hAnsi="Times New Roman" w:cs="Times New Roman"/>
          <w:noProof/>
          <w:sz w:val="24"/>
          <w:szCs w:val="24"/>
        </w:rPr>
      </w:pPr>
    </w:p>
    <w:p w14:paraId="5195CC82" w14:textId="77777777" w:rsidR="00102B35" w:rsidRPr="00102B35" w:rsidRDefault="00102B35" w:rsidP="00102B35">
      <w:pPr>
        <w:pStyle w:val="BodyText"/>
      </w:pPr>
      <w:r>
        <w:t>Tas ir jānošķir no audita, kurā vērtē atbilstību tiesību aktiem, vai atbilstības novērtēšanas, ko organizācija varētu pasūtīt atsevišķi. Atbilstības tiesību aktiem audita rezultāti varētu būt ievaddati, ko izmanto, lai novērtētu atbilstību tiesību aktiem saskaņā ar ISO 14001:2015 9.1.2. punktu, un tie savukārt varētu būt ievaddati pārvaldības pārskatam.</w:t>
      </w:r>
    </w:p>
    <w:p w14:paraId="7AD36D8A" w14:textId="77777777" w:rsidR="00102B35" w:rsidRPr="00102B35" w:rsidRDefault="00102B35" w:rsidP="00102B35">
      <w:pPr>
        <w:jc w:val="both"/>
        <w:rPr>
          <w:rFonts w:ascii="Times New Roman" w:eastAsia="Arial" w:hAnsi="Times New Roman" w:cs="Times New Roman"/>
          <w:noProof/>
          <w:sz w:val="24"/>
          <w:szCs w:val="24"/>
        </w:rPr>
      </w:pPr>
    </w:p>
    <w:p w14:paraId="1C1E50EE" w14:textId="77777777" w:rsidR="00102B35" w:rsidRPr="00102B35" w:rsidRDefault="00102B35" w:rsidP="000A5F84">
      <w:pPr>
        <w:pStyle w:val="Heading2"/>
        <w:keepNext/>
        <w:keepLines/>
      </w:pPr>
      <w:bookmarkStart w:id="26" w:name="_Toc118117236"/>
      <w:r>
        <w:t>4.10. Pārvaldības pārskats (9.3. punkts).</w:t>
      </w:r>
      <w:bookmarkStart w:id="27" w:name="_bookmark13"/>
      <w:bookmarkEnd w:id="26"/>
      <w:bookmarkEnd w:id="27"/>
    </w:p>
    <w:p w14:paraId="52136F6F" w14:textId="77777777" w:rsidR="00102B35" w:rsidRPr="00102B35" w:rsidRDefault="00102B35" w:rsidP="000A5F84">
      <w:pPr>
        <w:keepNext/>
        <w:keepLines/>
        <w:jc w:val="both"/>
        <w:rPr>
          <w:rFonts w:ascii="Times New Roman" w:eastAsia="Arial" w:hAnsi="Times New Roman" w:cs="Times New Roman"/>
          <w:b/>
          <w:bCs/>
          <w:noProof/>
          <w:sz w:val="24"/>
          <w:szCs w:val="24"/>
        </w:rPr>
      </w:pPr>
    </w:p>
    <w:p w14:paraId="4EA6DF46" w14:textId="77777777" w:rsidR="00102B35" w:rsidRPr="00102B35" w:rsidRDefault="00102B35" w:rsidP="000A5F84">
      <w:pPr>
        <w:pStyle w:val="BodyText"/>
        <w:keepNext/>
        <w:keepLines/>
      </w:pPr>
      <w:r>
        <w:t>4.10.1. Sertifikācijas institūcija noskaidro, vai organizācija ir iekļāvusi atbilstības novērtēšanas rezultātus (9.1.2. punkts) pārvaldības pārskatos. Tas ir nepieciešams, lai nodrošinātu, ka augstākā vadība ir apzinājusi iespējamas vai faktiskas neatbilstības riskus un veikusi attiecīgus pasākumus, lai īstenotu organizācijas apņemšanos izpildīt atbilstības saistības.</w:t>
      </w:r>
    </w:p>
    <w:p w14:paraId="72D0541F" w14:textId="77777777" w:rsidR="00102B35" w:rsidRPr="00102B35" w:rsidRDefault="00102B35" w:rsidP="00102B35">
      <w:pPr>
        <w:jc w:val="both"/>
        <w:rPr>
          <w:rFonts w:ascii="Times New Roman" w:eastAsia="Arial" w:hAnsi="Times New Roman" w:cs="Times New Roman"/>
          <w:noProof/>
          <w:sz w:val="24"/>
          <w:szCs w:val="24"/>
        </w:rPr>
      </w:pPr>
    </w:p>
    <w:p w14:paraId="3D382558" w14:textId="77777777" w:rsidR="00102B35" w:rsidRPr="00102B35" w:rsidRDefault="00102B35" w:rsidP="00102B35">
      <w:pPr>
        <w:pStyle w:val="BodyText"/>
      </w:pPr>
      <w:r>
        <w:t>4.10.2. Sertifikācijas institūcijas nosaka, vai organizācijas pārvaldības pārskatā ir pārskatīti mainīgie apstākļi, tostarp ieinteresēto pušu vajadzību un cerību izmaiņas, tostarp atbilstības saistības.</w:t>
      </w:r>
    </w:p>
    <w:p w14:paraId="2DFD7304" w14:textId="77777777" w:rsidR="00102B35" w:rsidRPr="00102B35" w:rsidRDefault="00102B35" w:rsidP="00102B35">
      <w:pPr>
        <w:jc w:val="both"/>
        <w:rPr>
          <w:rFonts w:ascii="Times New Roman" w:hAnsi="Times New Roman" w:cs="Times New Roman"/>
          <w:noProof/>
          <w:sz w:val="24"/>
          <w:szCs w:val="24"/>
        </w:rPr>
      </w:pPr>
    </w:p>
    <w:p w14:paraId="6F323652" w14:textId="77777777" w:rsidR="00102B35" w:rsidRPr="00102B35" w:rsidRDefault="00102B35" w:rsidP="00102B35">
      <w:pPr>
        <w:pStyle w:val="Heading1"/>
      </w:pPr>
      <w:bookmarkStart w:id="28" w:name="_Toc118117237"/>
      <w:r>
        <w:t>5. ATBILSTĪBAS KRITĒRIJI SERTIFIKĀCIJAS LĒMUMA PIEŅEMŠANAI</w:t>
      </w:r>
      <w:bookmarkStart w:id="29" w:name="_bookmark14"/>
      <w:bookmarkEnd w:id="28"/>
      <w:bookmarkEnd w:id="29"/>
    </w:p>
    <w:p w14:paraId="745AC7C5" w14:textId="77777777" w:rsidR="00102B35" w:rsidRPr="00102B35" w:rsidRDefault="00102B35" w:rsidP="00102B35">
      <w:pPr>
        <w:jc w:val="both"/>
        <w:rPr>
          <w:rFonts w:ascii="Times New Roman" w:eastAsia="Arial" w:hAnsi="Times New Roman" w:cs="Times New Roman"/>
          <w:b/>
          <w:bCs/>
          <w:i/>
          <w:noProof/>
          <w:sz w:val="24"/>
          <w:szCs w:val="24"/>
        </w:rPr>
      </w:pPr>
    </w:p>
    <w:p w14:paraId="59AEC4A1" w14:textId="77777777" w:rsidR="00102B35" w:rsidRPr="00102B35" w:rsidRDefault="00102B35" w:rsidP="00102B35">
      <w:pPr>
        <w:pStyle w:val="BodyText"/>
      </w:pPr>
      <w:r>
        <w:t xml:space="preserve">5.1. Organizācijas ieinteresētās personas un ieinteresētās puses vēlas pilnīgu atbilstību tiesību aktiem, prasot atbilstību </w:t>
      </w:r>
      <w:r>
        <w:rPr>
          <w:i/>
          <w:iCs/>
        </w:rPr>
        <w:t>EMS</w:t>
      </w:r>
      <w:r>
        <w:t xml:space="preserve"> standartam. Akreditētas sertifikācijas vērtība šajā jomā, kā tā tiek uztverta, ir cieši saistīta ar ieinteresēto pušu apmierinātību attiecībā uz atbilstību tiesību aktiem.</w:t>
      </w:r>
    </w:p>
    <w:p w14:paraId="20BA3C44" w14:textId="77777777" w:rsidR="00102B35" w:rsidRPr="00102B35" w:rsidRDefault="00102B35" w:rsidP="00102B35">
      <w:pPr>
        <w:jc w:val="both"/>
        <w:rPr>
          <w:rFonts w:ascii="Times New Roman" w:eastAsia="Arial" w:hAnsi="Times New Roman" w:cs="Times New Roman"/>
          <w:noProof/>
          <w:sz w:val="24"/>
          <w:szCs w:val="24"/>
        </w:rPr>
      </w:pPr>
    </w:p>
    <w:p w14:paraId="23A6C623" w14:textId="77777777" w:rsidR="00102B35" w:rsidRPr="00102B35" w:rsidRDefault="00102B35" w:rsidP="00102B35">
      <w:pPr>
        <w:pStyle w:val="BodyText"/>
      </w:pPr>
      <w:r>
        <w:t>5.2. Organizācijai ir jāspēj pierādīt, ka tā atbilst tiesiskajām prasībām vides jomā, pašai veicot atbilstības novērtēšanu, pirms sertifikācijas institūcija piešķir sertifikāciju.</w:t>
      </w:r>
    </w:p>
    <w:p w14:paraId="500BE07D" w14:textId="77777777" w:rsidR="00102B35" w:rsidRPr="00102B35" w:rsidRDefault="00102B35" w:rsidP="00102B35">
      <w:pPr>
        <w:jc w:val="both"/>
        <w:rPr>
          <w:rFonts w:ascii="Times New Roman" w:eastAsia="Arial" w:hAnsi="Times New Roman" w:cs="Times New Roman"/>
          <w:noProof/>
          <w:sz w:val="24"/>
          <w:szCs w:val="24"/>
        </w:rPr>
      </w:pPr>
    </w:p>
    <w:p w14:paraId="72B008F4" w14:textId="77777777" w:rsidR="00102B35" w:rsidRPr="00102B35" w:rsidRDefault="00102B35" w:rsidP="00102B35">
      <w:pPr>
        <w:pStyle w:val="BodyText"/>
      </w:pPr>
      <w:r>
        <w:t>5.3. Ja organizācija neatbilstu tiesību aktiem, tai būtu jāspēj parādīt dokumentāru vienošanos ar vides regulatoru, kā tā plāno sasniegt pilnīgu atbilstību. Šāda plāna sekmīga īstenošana ir uzskatāma par prioritāti pārvaldības sistēmā.</w:t>
      </w:r>
    </w:p>
    <w:p w14:paraId="665467E8" w14:textId="77777777" w:rsidR="00102B35" w:rsidRPr="00102B35" w:rsidRDefault="00102B35" w:rsidP="00102B35">
      <w:pPr>
        <w:jc w:val="both"/>
        <w:rPr>
          <w:rFonts w:ascii="Times New Roman" w:eastAsia="Arial" w:hAnsi="Times New Roman" w:cs="Times New Roman"/>
          <w:noProof/>
          <w:sz w:val="24"/>
          <w:szCs w:val="24"/>
        </w:rPr>
      </w:pPr>
    </w:p>
    <w:p w14:paraId="4F232571" w14:textId="77777777" w:rsidR="00102B35" w:rsidRPr="00102B35" w:rsidRDefault="00102B35" w:rsidP="00102B35">
      <w:pPr>
        <w:pStyle w:val="BodyText"/>
      </w:pPr>
      <w:r>
        <w:t xml:space="preserve">5.4. Izņēmuma kārtā sertifikācijas institūcija var tomēr piešķirt sertifikāciju, bet lūgt sniegt objektīvus pierādījumus, ka </w:t>
      </w:r>
      <w:r>
        <w:rPr>
          <w:i/>
          <w:iCs/>
        </w:rPr>
        <w:t>EMS</w:t>
      </w:r>
      <w:r>
        <w:t xml:space="preserve"> spēj sasniegt prasīto atbilstību, pilnībā īstenojot minēto dokumentēto vienošanos.</w:t>
      </w:r>
    </w:p>
    <w:p w14:paraId="12604B0D" w14:textId="77777777" w:rsidR="00102B35" w:rsidRPr="00102B35" w:rsidRDefault="00102B35" w:rsidP="00102B35">
      <w:pPr>
        <w:jc w:val="both"/>
        <w:rPr>
          <w:rFonts w:ascii="Times New Roman" w:eastAsia="Arial" w:hAnsi="Times New Roman" w:cs="Times New Roman"/>
          <w:noProof/>
          <w:sz w:val="24"/>
          <w:szCs w:val="24"/>
        </w:rPr>
      </w:pPr>
    </w:p>
    <w:p w14:paraId="132BF3E3" w14:textId="77777777" w:rsidR="00102B35" w:rsidRPr="00102B35" w:rsidRDefault="00102B35" w:rsidP="00102B35">
      <w:pPr>
        <w:pStyle w:val="BodyText"/>
      </w:pPr>
      <w:r>
        <w:t xml:space="preserve">5.5. Izmantojot ISO/IEC 17021-1 9.4.8.3. punkta a) apakšpunktā noteiktās prasības un paredzētos rezultātus, kas skaidri noteikti ISO 14001:2015, sertifikācijas institūcija nodrošina, ka audita ziņojumos ir ietverts paziņojums par organizācijas </w:t>
      </w:r>
      <w:r>
        <w:rPr>
          <w:i/>
          <w:iCs/>
        </w:rPr>
        <w:t>EMS</w:t>
      </w:r>
      <w:r>
        <w:t xml:space="preserve"> atbilstību un efektivitāti, kā arī pierādījumu kopsavilkums attiecībā uz </w:t>
      </w:r>
      <w:r>
        <w:rPr>
          <w:i/>
          <w:iCs/>
        </w:rPr>
        <w:t>EMS</w:t>
      </w:r>
      <w:r>
        <w:t xml:space="preserve"> spēju izpildīt atbilstības saistības.</w:t>
      </w:r>
    </w:p>
    <w:p w14:paraId="18380DDB" w14:textId="77777777" w:rsidR="00102B35" w:rsidRPr="00102B35" w:rsidRDefault="00102B35" w:rsidP="00102B35">
      <w:pPr>
        <w:jc w:val="both"/>
        <w:rPr>
          <w:rFonts w:ascii="Times New Roman" w:eastAsia="Arial" w:hAnsi="Times New Roman" w:cs="Times New Roman"/>
          <w:noProof/>
          <w:sz w:val="24"/>
          <w:szCs w:val="24"/>
        </w:rPr>
      </w:pPr>
    </w:p>
    <w:p w14:paraId="39783B7D" w14:textId="77777777" w:rsidR="00102B35" w:rsidRPr="00102B35" w:rsidRDefault="00102B35" w:rsidP="00102B35">
      <w:pPr>
        <w:pStyle w:val="Heading1"/>
      </w:pPr>
      <w:bookmarkStart w:id="30" w:name="_Toc118117238"/>
      <w:r>
        <w:t>6. KOPSAVILKUMS</w:t>
      </w:r>
      <w:bookmarkStart w:id="31" w:name="_bookmark15"/>
      <w:bookmarkEnd w:id="30"/>
      <w:bookmarkEnd w:id="31"/>
    </w:p>
    <w:p w14:paraId="548EF556" w14:textId="77777777" w:rsidR="00102B35" w:rsidRPr="00102B35" w:rsidRDefault="00102B35" w:rsidP="00102B35">
      <w:pPr>
        <w:jc w:val="both"/>
        <w:rPr>
          <w:rFonts w:ascii="Times New Roman" w:eastAsia="Arial" w:hAnsi="Times New Roman" w:cs="Times New Roman"/>
          <w:b/>
          <w:bCs/>
          <w:i/>
          <w:noProof/>
          <w:sz w:val="24"/>
          <w:szCs w:val="24"/>
        </w:rPr>
      </w:pPr>
    </w:p>
    <w:p w14:paraId="0B66D6A9" w14:textId="77777777" w:rsidR="00102B35" w:rsidRPr="00102B35" w:rsidRDefault="00102B35" w:rsidP="00102B35">
      <w:pPr>
        <w:pStyle w:val="BodyText"/>
      </w:pPr>
      <w:r>
        <w:t xml:space="preserve">6.1. Organizācijas </w:t>
      </w:r>
      <w:r>
        <w:rPr>
          <w:i/>
          <w:iCs/>
        </w:rPr>
        <w:t>EMS</w:t>
      </w:r>
      <w:r>
        <w:t xml:space="preserve"> akreditēta sertifikācija norāda, ka tiek izpildītas ISO 14001:2015 prasības, un ietver apliecinātu un faktisku apņemšanos izpildīt atbilstības saistības.</w:t>
      </w:r>
    </w:p>
    <w:p w14:paraId="0345D2E3" w14:textId="77777777" w:rsidR="00102B35" w:rsidRPr="00102B35" w:rsidRDefault="00102B35" w:rsidP="00102B35">
      <w:pPr>
        <w:jc w:val="both"/>
        <w:rPr>
          <w:rFonts w:ascii="Times New Roman" w:eastAsia="Arial" w:hAnsi="Times New Roman" w:cs="Times New Roman"/>
          <w:noProof/>
          <w:sz w:val="24"/>
          <w:szCs w:val="24"/>
        </w:rPr>
      </w:pPr>
    </w:p>
    <w:p w14:paraId="28B7F880" w14:textId="77777777" w:rsidR="00102B35" w:rsidRPr="00102B35" w:rsidRDefault="00102B35" w:rsidP="00102B35">
      <w:pPr>
        <w:pStyle w:val="BodyText"/>
      </w:pPr>
      <w:r>
        <w:t xml:space="preserve">6.2. Organizācija kontrolē atbilstību tiesību aktiem, kas ir svarīgs </w:t>
      </w:r>
      <w:r>
        <w:rPr>
          <w:i/>
          <w:iCs/>
        </w:rPr>
        <w:t>EMS</w:t>
      </w:r>
      <w:r>
        <w:t xml:space="preserve"> novērtēšanas komponents un ir organizācijas pienākums.</w:t>
      </w:r>
    </w:p>
    <w:p w14:paraId="34C51C85" w14:textId="77777777" w:rsidR="00102B35" w:rsidRPr="00102B35" w:rsidRDefault="00102B35" w:rsidP="00102B35">
      <w:pPr>
        <w:jc w:val="both"/>
        <w:rPr>
          <w:rFonts w:ascii="Times New Roman" w:eastAsia="Arial" w:hAnsi="Times New Roman" w:cs="Times New Roman"/>
          <w:noProof/>
          <w:sz w:val="24"/>
          <w:szCs w:val="24"/>
        </w:rPr>
      </w:pPr>
    </w:p>
    <w:p w14:paraId="08E3F8E1" w14:textId="77777777" w:rsidR="00102B35" w:rsidRPr="00102B35" w:rsidRDefault="00102B35" w:rsidP="00102B35">
      <w:pPr>
        <w:pStyle w:val="BodyText"/>
      </w:pPr>
      <w:r>
        <w:t>6.3. Būtu jāuzsver, ka sertifikācijas institūcijas auditori nav vides regulatora inspektori. Viņiem nebūtu jāsniedz “paziņojumi” vai “deklarācijas” par atbilstību tiesību aktiem. Tomēr viņi “pārbauda atbilstības tiesību aktiem novērtējumu”, lai novērtētu atbilstību ISO 14001:2015.</w:t>
      </w:r>
    </w:p>
    <w:p w14:paraId="2CCF8C0F" w14:textId="77777777" w:rsidR="00102B35" w:rsidRPr="00102B35" w:rsidRDefault="00102B35" w:rsidP="00102B35">
      <w:pPr>
        <w:jc w:val="both"/>
        <w:rPr>
          <w:rFonts w:ascii="Times New Roman" w:eastAsia="Arial" w:hAnsi="Times New Roman" w:cs="Times New Roman"/>
          <w:noProof/>
          <w:sz w:val="24"/>
          <w:szCs w:val="24"/>
        </w:rPr>
      </w:pPr>
    </w:p>
    <w:p w14:paraId="313CD765" w14:textId="77777777" w:rsidR="00102B35" w:rsidRPr="00102B35" w:rsidRDefault="00102B35" w:rsidP="001A46A5">
      <w:pPr>
        <w:pStyle w:val="BodyText"/>
        <w:keepNext/>
        <w:keepLines/>
      </w:pPr>
      <w:r>
        <w:lastRenderedPageBreak/>
        <w:t xml:space="preserve">6.4. </w:t>
      </w:r>
      <w:r>
        <w:rPr>
          <w:i/>
          <w:iCs/>
        </w:rPr>
        <w:t>EMS</w:t>
      </w:r>
      <w:r>
        <w:t xml:space="preserve"> akreditēta sertifikācija, kas apliecina, ka </w:t>
      </w:r>
      <w:r>
        <w:rPr>
          <w:i/>
          <w:iCs/>
        </w:rPr>
        <w:t>EMS</w:t>
      </w:r>
      <w:r>
        <w:t xml:space="preserve"> izpilda ISO 14001:2015 prasības, nevar būt absolūta un nepārtraukta garantija, ka tiek nodrošināta atbilstība tiesību aktiem, bet arī neviens sertifikāts vai juridiskā shēma nevar garantēt turpmāko atbilstību tiesību aktiem. Tomēr ir pierādījies, ka </w:t>
      </w:r>
      <w:r>
        <w:rPr>
          <w:i/>
          <w:iCs/>
        </w:rPr>
        <w:t>EMS</w:t>
      </w:r>
      <w:r>
        <w:t xml:space="preserve"> ir efektīvs rīks, kas ļauj sasniegt un uzturēt atbilstību tiesību aktiem, un sniedz augstākajai vadībai atbilstošu un savlaicīgu informāciju par organizācijas atbilstības statusu.</w:t>
      </w:r>
    </w:p>
    <w:p w14:paraId="061FFD29" w14:textId="77777777" w:rsidR="00102B35" w:rsidRPr="00102B35" w:rsidRDefault="00102B35" w:rsidP="00102B35">
      <w:pPr>
        <w:jc w:val="both"/>
        <w:rPr>
          <w:rFonts w:ascii="Times New Roman" w:eastAsia="Arial" w:hAnsi="Times New Roman" w:cs="Times New Roman"/>
          <w:noProof/>
          <w:sz w:val="24"/>
          <w:szCs w:val="24"/>
        </w:rPr>
      </w:pPr>
    </w:p>
    <w:p w14:paraId="143FBB9B" w14:textId="77777777" w:rsidR="00102B35" w:rsidRPr="00102B35" w:rsidRDefault="00102B35" w:rsidP="00102B35">
      <w:pPr>
        <w:pStyle w:val="BodyText"/>
      </w:pPr>
      <w:r>
        <w:t>6.5. ISO 14001:2015 ir prasīta apņemšanās izpildīt atbilstības saistības. Organizācijai ir jāspēj pierādīt, ka tā var izpildīt savas atbilstības saistības, pašai veicot atbilstības novērtēšanu, pirms sertifikācijas institūcija piešķir sertifikāciju.</w:t>
      </w:r>
    </w:p>
    <w:p w14:paraId="6C0CD524" w14:textId="77777777" w:rsidR="00102B35" w:rsidRPr="00102B35" w:rsidRDefault="00102B35" w:rsidP="00102B35">
      <w:pPr>
        <w:jc w:val="both"/>
        <w:rPr>
          <w:rFonts w:ascii="Times New Roman" w:eastAsia="Arial" w:hAnsi="Times New Roman" w:cs="Times New Roman"/>
          <w:noProof/>
          <w:sz w:val="24"/>
          <w:szCs w:val="24"/>
        </w:rPr>
      </w:pPr>
    </w:p>
    <w:p w14:paraId="4359A9E2" w14:textId="77777777" w:rsidR="00102B35" w:rsidRPr="00102B35" w:rsidRDefault="00102B35" w:rsidP="00102B35">
      <w:pPr>
        <w:pStyle w:val="BodyText"/>
      </w:pPr>
      <w:r>
        <w:t xml:space="preserve">6.6. </w:t>
      </w:r>
      <w:r>
        <w:rPr>
          <w:i/>
          <w:iCs/>
        </w:rPr>
        <w:t>EMS</w:t>
      </w:r>
      <w:r>
        <w:t xml:space="preserve"> sertifikācija par ISO 14001:2015 prasību izpildi apstiprina, ka gūts apliecinājums, ka vides pārvaldības sistēma efektīvi sasniedz politiskas apņemšanās, tostarp izpilda atbilstības saistības un sniedz pamatu un atbalstu, lai organizācija turpinātu atbilstību tiesību aktiem.</w:t>
      </w:r>
    </w:p>
    <w:p w14:paraId="61D71AD7" w14:textId="77777777" w:rsidR="00102B35" w:rsidRPr="00102B35" w:rsidRDefault="00102B35" w:rsidP="00102B35">
      <w:pPr>
        <w:jc w:val="both"/>
        <w:rPr>
          <w:rFonts w:ascii="Times New Roman" w:eastAsia="Arial" w:hAnsi="Times New Roman" w:cs="Times New Roman"/>
          <w:noProof/>
          <w:sz w:val="24"/>
          <w:szCs w:val="24"/>
        </w:rPr>
      </w:pPr>
    </w:p>
    <w:p w14:paraId="142D9ED9" w14:textId="77777777" w:rsidR="00102B35" w:rsidRPr="00102B35" w:rsidRDefault="00102B35" w:rsidP="00102B35">
      <w:pPr>
        <w:pStyle w:val="BodyText"/>
      </w:pPr>
      <w:r>
        <w:t xml:space="preserve">6.7. Lai uzturētu ieinteresēto pušu un ieinteresēto personu uzticēšanos minētajām </w:t>
      </w:r>
      <w:r>
        <w:rPr>
          <w:i/>
          <w:iCs/>
        </w:rPr>
        <w:t>EMS</w:t>
      </w:r>
      <w:r>
        <w:t xml:space="preserve"> akreditētas sertifikācijas pazīmēm, sertifikācijas institūcija apliecina, ka sistēma ir </w:t>
      </w:r>
      <w:r>
        <w:rPr>
          <w:i/>
          <w:iCs/>
        </w:rPr>
        <w:t>pierādījusi efektivitāti</w:t>
      </w:r>
      <w:r>
        <w:t xml:space="preserve"> pirms sertifikācijas piešķiršanas, uzturēšanas vai atjaunošanas.</w:t>
      </w:r>
    </w:p>
    <w:p w14:paraId="35339E29" w14:textId="77777777" w:rsidR="00102B35" w:rsidRPr="00102B35" w:rsidRDefault="00102B35" w:rsidP="00102B35">
      <w:pPr>
        <w:jc w:val="both"/>
        <w:rPr>
          <w:rFonts w:ascii="Times New Roman" w:eastAsia="Arial" w:hAnsi="Times New Roman" w:cs="Times New Roman"/>
          <w:noProof/>
          <w:sz w:val="24"/>
          <w:szCs w:val="24"/>
        </w:rPr>
      </w:pPr>
    </w:p>
    <w:p w14:paraId="18474EA2" w14:textId="77777777" w:rsidR="00102B35" w:rsidRPr="00102B35" w:rsidRDefault="00102B35" w:rsidP="00102B35">
      <w:pPr>
        <w:pStyle w:val="BodyText"/>
      </w:pPr>
      <w:r>
        <w:t xml:space="preserve">6.8. </w:t>
      </w:r>
      <w:r>
        <w:rPr>
          <w:i/>
          <w:iCs/>
        </w:rPr>
        <w:t>EMS</w:t>
      </w:r>
      <w:r>
        <w:t xml:space="preserve"> var būt rīks, ar ko īsteno organizācijas un tās vides regulatoru dialogu, un pamats uzticamu attiecību veidošanai, aizstājot agrākās konfrontējošās “viņi un mēs” attiecības.</w:t>
      </w:r>
    </w:p>
    <w:p w14:paraId="02A05820" w14:textId="77777777" w:rsidR="00102B35" w:rsidRPr="00102B35" w:rsidRDefault="00102B35" w:rsidP="00102B35">
      <w:pPr>
        <w:jc w:val="both"/>
        <w:rPr>
          <w:rFonts w:ascii="Times New Roman" w:eastAsia="Arial" w:hAnsi="Times New Roman" w:cs="Times New Roman"/>
          <w:noProof/>
          <w:sz w:val="24"/>
          <w:szCs w:val="24"/>
        </w:rPr>
      </w:pPr>
    </w:p>
    <w:p w14:paraId="5C616ABC" w14:textId="77777777" w:rsidR="00102B35" w:rsidRPr="00102B35" w:rsidRDefault="00102B35" w:rsidP="00102B35">
      <w:pPr>
        <w:pStyle w:val="BodyText"/>
      </w:pPr>
      <w:r>
        <w:t>Vides regulatoriem un sabiedrībai būtu jāuzticas organizācijām, kurām ir akreditēts ISO 14001:2015 sertifikāts, un jāspēj uztvert tās kā organizācijas, kas spēj pastāvīgi un konsekventi pārvaldīt savu atbilstību tiesību aktiem.</w:t>
      </w:r>
    </w:p>
    <w:p w14:paraId="2048A776" w14:textId="77777777" w:rsidR="00102B35" w:rsidRPr="00102B35" w:rsidRDefault="00102B35" w:rsidP="00102B35">
      <w:pPr>
        <w:rPr>
          <w:rFonts w:ascii="Times New Roman" w:hAnsi="Times New Roman" w:cs="Times New Roman"/>
          <w:noProof/>
          <w:sz w:val="24"/>
          <w:szCs w:val="24"/>
        </w:rPr>
      </w:pPr>
      <w:r>
        <w:br w:type="page"/>
      </w:r>
    </w:p>
    <w:p w14:paraId="1E4D1955" w14:textId="77777777" w:rsidR="00102B35" w:rsidRPr="00102B35" w:rsidRDefault="00102B35" w:rsidP="00102B35">
      <w:pPr>
        <w:jc w:val="both"/>
        <w:rPr>
          <w:rFonts w:ascii="Times New Roman" w:hAnsi="Times New Roman" w:cs="Times New Roman"/>
          <w:noProof/>
          <w:sz w:val="24"/>
          <w:szCs w:val="24"/>
        </w:rPr>
      </w:pPr>
    </w:p>
    <w:p w14:paraId="0ED1A5F4" w14:textId="77777777" w:rsidR="00102B35" w:rsidRPr="00102B35" w:rsidRDefault="00102B35" w:rsidP="00102B35">
      <w:pPr>
        <w:pStyle w:val="Heading1"/>
      </w:pPr>
      <w:bookmarkStart w:id="32" w:name="_Toc118117239"/>
      <w:r>
        <w:t>I PIELIKUMS. GLOSĀRIJS</w:t>
      </w:r>
      <w:bookmarkStart w:id="33" w:name="_bookmark16"/>
      <w:bookmarkEnd w:id="32"/>
      <w:bookmarkEnd w:id="33"/>
    </w:p>
    <w:p w14:paraId="1BD82D7A" w14:textId="77777777" w:rsidR="00102B35" w:rsidRPr="00102B35" w:rsidRDefault="00102B35" w:rsidP="00102B35">
      <w:pPr>
        <w:jc w:val="both"/>
        <w:rPr>
          <w:rFonts w:ascii="Times New Roman" w:eastAsia="Arial" w:hAnsi="Times New Roman" w:cs="Times New Roman"/>
          <w:b/>
          <w:bCs/>
          <w:i/>
          <w:noProof/>
          <w:sz w:val="24"/>
          <w:szCs w:val="24"/>
        </w:rPr>
      </w:pPr>
    </w:p>
    <w:p w14:paraId="4F555EC3" w14:textId="77777777" w:rsidR="00102B35" w:rsidRPr="00102B35" w:rsidRDefault="00102B35" w:rsidP="00102B35">
      <w:pPr>
        <w:pStyle w:val="BodyText"/>
      </w:pPr>
      <w:r>
        <w:t>Šajā dokumentā ir izmantoti šādi termini:</w:t>
      </w:r>
    </w:p>
    <w:p w14:paraId="19213695" w14:textId="77777777" w:rsidR="00102B35" w:rsidRPr="00102B35" w:rsidRDefault="00102B35" w:rsidP="00102B35">
      <w:pPr>
        <w:jc w:val="both"/>
        <w:rPr>
          <w:rFonts w:ascii="Times New Roman" w:eastAsia="Arial" w:hAnsi="Times New Roman" w:cs="Times New Roman"/>
          <w:noProof/>
          <w:sz w:val="24"/>
          <w:szCs w:val="24"/>
        </w:rPr>
      </w:pPr>
    </w:p>
    <w:p w14:paraId="2A37C081" w14:textId="77777777" w:rsidR="00102B35" w:rsidRPr="00102B35" w:rsidRDefault="00102B35" w:rsidP="00102B35">
      <w:pPr>
        <w:pStyle w:val="BodyText"/>
      </w:pPr>
      <w:r>
        <w:rPr>
          <w:b/>
          <w:bCs/>
          <w:i/>
          <w:iCs/>
        </w:rPr>
        <w:t>EMS</w:t>
      </w:r>
      <w:r>
        <w:t xml:space="preserve"> – izmanto, lai attēlotu vides pārvaldības sistēmu, kas atbilst ISO 14001:2015 prasībām;</w:t>
      </w:r>
    </w:p>
    <w:p w14:paraId="37E0EE8E" w14:textId="77777777" w:rsidR="00102B35" w:rsidRPr="00102B35" w:rsidRDefault="00102B35" w:rsidP="00102B35">
      <w:pPr>
        <w:jc w:val="both"/>
        <w:rPr>
          <w:rFonts w:ascii="Times New Roman" w:eastAsia="Arial" w:hAnsi="Times New Roman" w:cs="Times New Roman"/>
          <w:noProof/>
          <w:sz w:val="24"/>
          <w:szCs w:val="24"/>
        </w:rPr>
      </w:pPr>
    </w:p>
    <w:p w14:paraId="4B2C8152" w14:textId="77777777" w:rsidR="00102B35" w:rsidRPr="00102B35" w:rsidRDefault="00102B35" w:rsidP="00102B35">
      <w:pPr>
        <w:pStyle w:val="BodyText"/>
      </w:pPr>
      <w:r>
        <w:rPr>
          <w:b/>
          <w:bCs/>
        </w:rPr>
        <w:t>sertifikācijas institūcija</w:t>
      </w:r>
      <w:r>
        <w:t xml:space="preserve"> – atbilstības novērtēšanas institūcija (ANI), kas sniedz atbilstības novērtēšanas pakalpojumus attiecībā uz ISO 14001:2015;</w:t>
      </w:r>
    </w:p>
    <w:p w14:paraId="056A086D" w14:textId="77777777" w:rsidR="00102B35" w:rsidRPr="00102B35" w:rsidRDefault="00102B35" w:rsidP="00102B35">
      <w:pPr>
        <w:jc w:val="both"/>
        <w:rPr>
          <w:rFonts w:ascii="Times New Roman" w:eastAsia="Arial" w:hAnsi="Times New Roman" w:cs="Times New Roman"/>
          <w:noProof/>
          <w:sz w:val="24"/>
          <w:szCs w:val="24"/>
        </w:rPr>
      </w:pPr>
    </w:p>
    <w:p w14:paraId="4FD1E4B6" w14:textId="77777777" w:rsidR="00102B35" w:rsidRPr="00102B35" w:rsidRDefault="00102B35" w:rsidP="00102B35">
      <w:pPr>
        <w:pStyle w:val="BodyText"/>
      </w:pPr>
      <w:r>
        <w:rPr>
          <w:b/>
          <w:bCs/>
        </w:rPr>
        <w:t>akreditācija</w:t>
      </w:r>
      <w:r>
        <w:t xml:space="preserve"> – trešās puses apliecinājums saistībā ar atbilstības novērtēšanas institūciju, kas formāli apliecina tās kompetenci veikt konkrētus atbilstības novērtēšanas uzdevumus; šajā gadījumā apliecinājums, ka sertifikācijas institūcija atbilst ISO/IEC 17021-1 prasībām;</w:t>
      </w:r>
    </w:p>
    <w:p w14:paraId="423FECEA" w14:textId="77777777" w:rsidR="00102B35" w:rsidRPr="00102B35" w:rsidRDefault="00102B35" w:rsidP="00102B35">
      <w:pPr>
        <w:jc w:val="both"/>
        <w:rPr>
          <w:rFonts w:ascii="Times New Roman" w:eastAsia="Arial" w:hAnsi="Times New Roman" w:cs="Times New Roman"/>
          <w:noProof/>
          <w:sz w:val="24"/>
          <w:szCs w:val="24"/>
        </w:rPr>
      </w:pPr>
    </w:p>
    <w:p w14:paraId="29709BD6" w14:textId="77777777" w:rsidR="00102B35" w:rsidRPr="00102B35" w:rsidRDefault="00102B35" w:rsidP="00102B35">
      <w:pPr>
        <w:pStyle w:val="BodyText"/>
      </w:pPr>
      <w:r>
        <w:rPr>
          <w:b/>
          <w:bCs/>
        </w:rPr>
        <w:t>tiesiskās prasības</w:t>
      </w:r>
      <w:r>
        <w:t xml:space="preserve"> – piemērojamās tiesiskās prasības, kas attiecas uz organizācijas vides aspektiem un saistīto ietekmi; skat, arī ISO 14001:2015 3.2.9. punktu. “Atbilstības saistības” kā termins, kas ietver tiesiskās prasības;</w:t>
      </w:r>
    </w:p>
    <w:p w14:paraId="60171783" w14:textId="77777777" w:rsidR="00102B35" w:rsidRPr="00102B35" w:rsidRDefault="00102B35" w:rsidP="00102B35">
      <w:pPr>
        <w:pStyle w:val="BodyText"/>
      </w:pPr>
    </w:p>
    <w:p w14:paraId="70EDF453" w14:textId="77777777" w:rsidR="00102B35" w:rsidRPr="00102B35" w:rsidRDefault="00102B35" w:rsidP="00102B35">
      <w:pPr>
        <w:pStyle w:val="BodyText"/>
      </w:pPr>
      <w:r>
        <w:rPr>
          <w:b/>
          <w:bCs/>
        </w:rPr>
        <w:t>atbilstība</w:t>
      </w:r>
      <w:r>
        <w:t xml:space="preserve"> – organizācijas </w:t>
      </w:r>
      <w:r>
        <w:rPr>
          <w:i/>
          <w:iCs/>
        </w:rPr>
        <w:t>EMS</w:t>
      </w:r>
      <w:r>
        <w:t xml:space="preserve"> atbilstība ISO 14001:2015 prasībām vai sertifikācijas institūcijas atbilstība ISO/IEC 17021-1</w:t>
      </w:r>
      <w:r>
        <w:rPr>
          <w:vertAlign w:val="superscript"/>
        </w:rPr>
        <w:t>3</w:t>
      </w:r>
      <w:r>
        <w:t xml:space="preserve"> prasībām; attiecīgā gadījumā saistībā ar Starptautiskā akreditācijas foruma obligātajiem dokumentiem.</w:t>
      </w:r>
    </w:p>
    <w:p w14:paraId="73C2F807" w14:textId="77777777" w:rsidR="00102B35" w:rsidRPr="00102B35" w:rsidRDefault="00102B35" w:rsidP="00102B35">
      <w:pPr>
        <w:rPr>
          <w:rFonts w:ascii="Times New Roman" w:hAnsi="Times New Roman" w:cs="Times New Roman"/>
          <w:noProof/>
          <w:sz w:val="24"/>
          <w:szCs w:val="24"/>
        </w:rPr>
      </w:pPr>
      <w:r>
        <w:br w:type="page"/>
      </w:r>
    </w:p>
    <w:p w14:paraId="19B229B1" w14:textId="77777777" w:rsidR="00102B35" w:rsidRPr="00102B35" w:rsidRDefault="00102B35" w:rsidP="00102B35">
      <w:pPr>
        <w:jc w:val="both"/>
        <w:rPr>
          <w:rFonts w:ascii="Times New Roman" w:hAnsi="Times New Roman" w:cs="Times New Roman"/>
          <w:noProof/>
          <w:sz w:val="24"/>
          <w:szCs w:val="24"/>
        </w:rPr>
      </w:pPr>
    </w:p>
    <w:p w14:paraId="62F63C99" w14:textId="77777777" w:rsidR="00102B35" w:rsidRPr="00102B35" w:rsidRDefault="00102B35" w:rsidP="00102B35">
      <w:pPr>
        <w:pStyle w:val="Heading1"/>
      </w:pPr>
      <w:bookmarkStart w:id="34" w:name="_Toc118117240"/>
      <w:r>
        <w:t>2. PIELIKUMS. ATSAUCES</w:t>
      </w:r>
      <w:bookmarkStart w:id="35" w:name="_bookmark17"/>
      <w:bookmarkEnd w:id="34"/>
      <w:bookmarkEnd w:id="35"/>
    </w:p>
    <w:p w14:paraId="1B7F967F" w14:textId="77777777" w:rsidR="00102B35" w:rsidRPr="00102B35" w:rsidRDefault="00102B35" w:rsidP="00102B35">
      <w:pPr>
        <w:jc w:val="both"/>
        <w:rPr>
          <w:rFonts w:ascii="Times New Roman" w:eastAsia="Arial" w:hAnsi="Times New Roman" w:cs="Times New Roman"/>
          <w:b/>
          <w:bCs/>
          <w:i/>
          <w:noProof/>
          <w:sz w:val="24"/>
          <w:szCs w:val="24"/>
        </w:rPr>
      </w:pPr>
    </w:p>
    <w:p w14:paraId="08BD429C" w14:textId="77777777" w:rsidR="00102B35" w:rsidRPr="00102B35" w:rsidRDefault="00102B35" w:rsidP="00102B35">
      <w:pPr>
        <w:pStyle w:val="BodyText"/>
      </w:pPr>
      <w:r>
        <w:t>1. ISO 14001:2015 - Environmental management systems – Requirements</w:t>
      </w:r>
    </w:p>
    <w:p w14:paraId="5FB0FE30" w14:textId="77777777" w:rsidR="00102B35" w:rsidRPr="00102B35" w:rsidRDefault="00102B35" w:rsidP="00102B35">
      <w:pPr>
        <w:jc w:val="both"/>
        <w:rPr>
          <w:rFonts w:ascii="Times New Roman" w:eastAsia="Arial" w:hAnsi="Times New Roman" w:cs="Times New Roman"/>
          <w:noProof/>
          <w:sz w:val="24"/>
          <w:szCs w:val="24"/>
        </w:rPr>
      </w:pPr>
    </w:p>
    <w:p w14:paraId="24145506" w14:textId="77777777" w:rsidR="00102B35" w:rsidRPr="00102B35" w:rsidRDefault="00102B35" w:rsidP="00102B35">
      <w:pPr>
        <w:pStyle w:val="BodyText"/>
      </w:pPr>
      <w:r>
        <w:t>2. Information on IMPEL (European Union Network for the Implementation and Enforcement of Environmental Law) may be found at www.impel.eu</w:t>
      </w:r>
    </w:p>
    <w:p w14:paraId="3B0E9C00" w14:textId="77777777" w:rsidR="00102B35" w:rsidRPr="00102B35" w:rsidRDefault="00102B35" w:rsidP="00102B35">
      <w:pPr>
        <w:jc w:val="both"/>
        <w:rPr>
          <w:rFonts w:ascii="Times New Roman" w:eastAsia="Arial" w:hAnsi="Times New Roman" w:cs="Times New Roman"/>
          <w:noProof/>
          <w:sz w:val="24"/>
          <w:szCs w:val="24"/>
        </w:rPr>
      </w:pPr>
    </w:p>
    <w:p w14:paraId="3A837727" w14:textId="77777777" w:rsidR="00102B35" w:rsidRPr="00102B35" w:rsidRDefault="00102B35" w:rsidP="00102B35">
      <w:pPr>
        <w:pStyle w:val="BodyText"/>
      </w:pPr>
      <w:r>
        <w:t>3. ISO / IEC 17021-1 Conformity assessment – Requirements for bodies providing audit and certification of management systems</w:t>
      </w:r>
    </w:p>
    <w:p w14:paraId="607EF420" w14:textId="77777777" w:rsidR="00102B35" w:rsidRPr="00102B35" w:rsidRDefault="00102B35" w:rsidP="00102B35">
      <w:pPr>
        <w:jc w:val="both"/>
        <w:rPr>
          <w:rFonts w:ascii="Times New Roman" w:eastAsia="Arial" w:hAnsi="Times New Roman" w:cs="Times New Roman"/>
          <w:noProof/>
          <w:sz w:val="24"/>
          <w:szCs w:val="24"/>
        </w:rPr>
      </w:pPr>
    </w:p>
    <w:p w14:paraId="01684B1E" w14:textId="77777777" w:rsidR="00102B35" w:rsidRPr="00102B35" w:rsidRDefault="00102B35" w:rsidP="00102B35">
      <w:pPr>
        <w:pStyle w:val="BodyText"/>
      </w:pPr>
      <w:r>
        <w:t>4. ISO/IEC 17021-2 Conformity assessment - Requirements for bodies providing audit and certification of management systems - Part 2: Competence requirements for auditing and certification of environmental management systems</w:t>
      </w:r>
    </w:p>
    <w:sectPr w:rsidR="00102B35" w:rsidRPr="00102B35" w:rsidSect="00341D8B">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23E1" w14:textId="77777777" w:rsidR="00A1732B" w:rsidRPr="00102B35" w:rsidRDefault="00A1732B">
      <w:pPr>
        <w:rPr>
          <w:noProof/>
        </w:rPr>
      </w:pPr>
      <w:r w:rsidRPr="00102B35">
        <w:rPr>
          <w:noProof/>
        </w:rPr>
        <w:separator/>
      </w:r>
    </w:p>
  </w:endnote>
  <w:endnote w:type="continuationSeparator" w:id="0">
    <w:p w14:paraId="407917DD" w14:textId="77777777" w:rsidR="00A1732B" w:rsidRPr="00102B35" w:rsidRDefault="00A1732B">
      <w:pPr>
        <w:rPr>
          <w:noProof/>
        </w:rPr>
      </w:pPr>
      <w:r w:rsidRPr="00102B3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C608" w14:textId="77777777" w:rsidR="00D7439A" w:rsidRPr="003E62C2" w:rsidRDefault="00D7439A" w:rsidP="00D7439A">
    <w:pPr>
      <w:pStyle w:val="Header"/>
      <w:tabs>
        <w:tab w:val="left" w:pos="9072"/>
      </w:tabs>
      <w:jc w:val="both"/>
      <w:rPr>
        <w:rStyle w:val="PageNumber"/>
        <w:rFonts w:ascii="Times New Roman" w:hAnsi="Times New Roman" w:cs="Times New Roman"/>
        <w:noProof/>
        <w:sz w:val="20"/>
        <w:szCs w:val="20"/>
        <w:lang w:val="en-US"/>
      </w:rPr>
    </w:pPr>
  </w:p>
  <w:p w14:paraId="43551D23" w14:textId="77777777" w:rsidR="00D7439A" w:rsidRPr="003E62C2" w:rsidRDefault="00D7439A" w:rsidP="00D7439A">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34BA7D9" w14:textId="77777777" w:rsidR="00D7439A" w:rsidRPr="003E62C2" w:rsidRDefault="00D7439A" w:rsidP="00D7439A">
    <w:pPr>
      <w:pStyle w:val="Header"/>
      <w:tabs>
        <w:tab w:val="right" w:pos="9072"/>
      </w:tabs>
      <w:jc w:val="both"/>
      <w:rPr>
        <w:rStyle w:val="PageNumber"/>
        <w:rFonts w:ascii="Times New Roman" w:hAnsi="Times New Roman" w:cs="Times New Roman"/>
        <w:noProof/>
        <w:sz w:val="20"/>
        <w:szCs w:val="20"/>
        <w:lang w:val="en-US"/>
      </w:rPr>
    </w:pPr>
  </w:p>
  <w:p w14:paraId="78730B64" w14:textId="77777777" w:rsidR="00D7439A" w:rsidRPr="003E62C2" w:rsidRDefault="00D7439A" w:rsidP="00D7439A">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E255" w14:textId="77777777" w:rsidR="00BA188C" w:rsidRPr="003E62C2" w:rsidRDefault="00BA188C" w:rsidP="00BA188C">
    <w:pPr>
      <w:pStyle w:val="Header"/>
      <w:tabs>
        <w:tab w:val="left" w:pos="9072"/>
      </w:tabs>
      <w:jc w:val="both"/>
      <w:rPr>
        <w:rStyle w:val="PageNumber"/>
        <w:rFonts w:ascii="Times New Roman" w:hAnsi="Times New Roman"/>
        <w:noProof/>
        <w:sz w:val="20"/>
        <w:szCs w:val="18"/>
        <w:lang w:val="en-US"/>
      </w:rPr>
    </w:pPr>
    <w:bookmarkStart w:id="50" w:name="_Hlk496261764"/>
    <w:bookmarkStart w:id="51" w:name="_Hlk496261765"/>
    <w:bookmarkStart w:id="52" w:name="_Hlk496261766"/>
    <w:bookmarkStart w:id="53" w:name="_Hlk30491075"/>
    <w:bookmarkStart w:id="54" w:name="_Hlk30491076"/>
  </w:p>
  <w:p w14:paraId="41B6C5D9" w14:textId="77777777" w:rsidR="00BA188C" w:rsidRPr="003E62C2" w:rsidRDefault="00BA188C" w:rsidP="00BA188C">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BD0F020" w14:textId="77777777" w:rsidR="00BA188C" w:rsidRPr="003E62C2" w:rsidRDefault="00BA188C" w:rsidP="00BA188C">
    <w:pPr>
      <w:pStyle w:val="Header"/>
      <w:tabs>
        <w:tab w:val="left" w:pos="9072"/>
      </w:tabs>
      <w:jc w:val="both"/>
      <w:rPr>
        <w:rStyle w:val="PageNumber"/>
        <w:rFonts w:ascii="Times New Roman" w:hAnsi="Times New Roman"/>
        <w:noProof/>
        <w:sz w:val="20"/>
        <w:szCs w:val="18"/>
        <w:lang w:val="en-US"/>
      </w:rPr>
    </w:pPr>
  </w:p>
  <w:p w14:paraId="4CF4EA37" w14:textId="0D3F2019" w:rsidR="00102B35" w:rsidRPr="00BA188C" w:rsidRDefault="00BA188C" w:rsidP="00BA188C">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50"/>
    <w:bookmarkEnd w:id="51"/>
    <w:bookmarkEnd w:id="52"/>
    <w:r w:rsidRPr="003E62C2">
      <w:rPr>
        <w:rFonts w:ascii="Times New Roman" w:hAnsi="Times New Roman"/>
        <w:noProof/>
        <w:sz w:val="20"/>
        <w:szCs w:val="18"/>
        <w:lang w:val="en-US"/>
      </w:rPr>
      <w:t>2</w:t>
    </w:r>
    <w:bookmarkEnd w:id="53"/>
    <w:bookmarkEnd w:id="54"/>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9B1F" w14:textId="77777777" w:rsidR="00A1732B" w:rsidRPr="00102B35" w:rsidRDefault="00A1732B">
      <w:pPr>
        <w:rPr>
          <w:noProof/>
        </w:rPr>
      </w:pPr>
      <w:r w:rsidRPr="00102B35">
        <w:rPr>
          <w:noProof/>
        </w:rPr>
        <w:separator/>
      </w:r>
    </w:p>
  </w:footnote>
  <w:footnote w:type="continuationSeparator" w:id="0">
    <w:p w14:paraId="7B02D378" w14:textId="77777777" w:rsidR="00A1732B" w:rsidRPr="00102B35" w:rsidRDefault="00A1732B">
      <w:pPr>
        <w:rPr>
          <w:noProof/>
        </w:rPr>
      </w:pPr>
      <w:r w:rsidRPr="00102B35">
        <w:rPr>
          <w:noProof/>
        </w:rPr>
        <w:continuationSeparator/>
      </w:r>
    </w:p>
  </w:footnote>
  <w:footnote w:id="1">
    <w:p w14:paraId="6A794C25" w14:textId="40E5B136" w:rsidR="00265BDE" w:rsidRPr="005C58D5" w:rsidRDefault="00265BDE">
      <w:pPr>
        <w:pStyle w:val="FootnoteText"/>
        <w:rPr>
          <w:rFonts w:ascii="Times New Roman" w:hAnsi="Times New Roman" w:cs="Times New Roman"/>
        </w:rPr>
      </w:pPr>
      <w:r w:rsidRPr="005C58D5">
        <w:rPr>
          <w:rStyle w:val="FootnoteReference"/>
          <w:rFonts w:ascii="Times New Roman" w:hAnsi="Times New Roman" w:cs="Times New Roman"/>
        </w:rPr>
        <w:footnoteRef/>
      </w:r>
      <w:r w:rsidRPr="005C58D5">
        <w:rPr>
          <w:rFonts w:ascii="Times New Roman" w:hAnsi="Times New Roman" w:cs="Times New Roman"/>
        </w:rPr>
        <w:t xml:space="preserve"> </w:t>
      </w:r>
      <w:r w:rsidR="005C58D5" w:rsidRPr="005C58D5">
        <w:rPr>
          <w:rFonts w:ascii="Times New Roman" w:hAnsi="Times New Roman" w:cs="Times New Roman"/>
        </w:rPr>
        <w:t>Tulkotāja piezīme. Tekstā angļu valodā šis komentārs attiecas uz konstrukcijām ar “should”.</w:t>
      </w:r>
    </w:p>
  </w:footnote>
  <w:footnote w:id="2">
    <w:p w14:paraId="430C50F3" w14:textId="77777777" w:rsidR="00C43A87" w:rsidRDefault="00C43A87" w:rsidP="00C43A87">
      <w:pPr>
        <w:pStyle w:val="FootnoteText"/>
      </w:pPr>
      <w:r w:rsidRPr="005C58D5">
        <w:rPr>
          <w:rStyle w:val="FootnoteReference"/>
          <w:rFonts w:ascii="Times New Roman" w:hAnsi="Times New Roman" w:cs="Times New Roman"/>
        </w:rPr>
        <w:footnoteRef/>
      </w:r>
      <w:r w:rsidRPr="005C58D5">
        <w:rPr>
          <w:rFonts w:ascii="Times New Roman" w:hAnsi="Times New Roman" w:cs="Times New Roman"/>
        </w:rPr>
        <w:t xml:space="preserve"> </w:t>
      </w:r>
      <w:r w:rsidRPr="005C58D5">
        <w:rPr>
          <w:rFonts w:ascii="Times New Roman" w:hAnsi="Times New Roman" w:cs="Times New Roman"/>
          <w:color w:val="242424"/>
          <w:shd w:val="clear" w:color="auto" w:fill="FFFFFF"/>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8FFB" w14:textId="77777777" w:rsidR="000A1E31" w:rsidRPr="003E62C2" w:rsidRDefault="000A1E31" w:rsidP="000A1E31">
    <w:pPr>
      <w:pStyle w:val="Header"/>
      <w:rPr>
        <w:rStyle w:val="PageNumber"/>
        <w:rFonts w:ascii="Times New Roman" w:hAnsi="Times New Roman" w:cs="Times New Roman"/>
        <w:noProof/>
        <w:sz w:val="20"/>
        <w:szCs w:val="20"/>
        <w:lang w:val="en-US"/>
      </w:rPr>
    </w:pPr>
    <w:bookmarkStart w:id="36" w:name="_Hlk496261784"/>
    <w:bookmarkStart w:id="37" w:name="_Hlk496261785"/>
    <w:bookmarkStart w:id="38" w:name="_Hlk496261786"/>
    <w:bookmarkStart w:id="39" w:name="_Hlk502757728"/>
    <w:bookmarkStart w:id="40" w:name="_Hlk502757729"/>
    <w:bookmarkStart w:id="41" w:name="_Hlk502757738"/>
    <w:bookmarkStart w:id="42" w:name="_Hlk502757739"/>
    <w:bookmarkStart w:id="43" w:name="_Hlk30491084"/>
    <w:bookmarkStart w:id="44" w:name="_Hlk30491085"/>
  </w:p>
  <w:p w14:paraId="7A28696C" w14:textId="77777777" w:rsidR="000A1E31" w:rsidRPr="003E62C2" w:rsidRDefault="000A1E31" w:rsidP="000A1E31">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36"/>
  <w:bookmarkEnd w:id="37"/>
  <w:bookmarkEnd w:id="38"/>
  <w:bookmarkEnd w:id="39"/>
  <w:bookmarkEnd w:id="40"/>
  <w:bookmarkEnd w:id="41"/>
  <w:bookmarkEnd w:id="42"/>
  <w:bookmarkEnd w:id="43"/>
  <w:bookmarkEnd w:id="44"/>
  <w:p w14:paraId="7B613AE2" w14:textId="77777777" w:rsidR="000A1E31" w:rsidRPr="003E62C2" w:rsidRDefault="000A1E31" w:rsidP="000A1E31">
    <w:pPr>
      <w:pStyle w:val="Header"/>
      <w:rPr>
        <w:rFonts w:ascii="Times New Roman" w:hAnsi="Times New Roman" w:cs="Times New Roman"/>
        <w:noProof/>
        <w:sz w:val="20"/>
        <w:szCs w:val="20"/>
        <w:lang w:val="en-US"/>
      </w:rPr>
    </w:pPr>
  </w:p>
  <w:p w14:paraId="3ADADD32" w14:textId="4F701C92" w:rsidR="007364E7" w:rsidRDefault="007364E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F8B6" w14:textId="77777777" w:rsidR="00494FAC" w:rsidRPr="003E62C2" w:rsidRDefault="00494FAC" w:rsidP="00494FAC">
    <w:pPr>
      <w:pBdr>
        <w:bottom w:val="single" w:sz="12" w:space="5" w:color="auto"/>
      </w:pBdr>
      <w:rPr>
        <w:rFonts w:ascii="Times New Roman" w:hAnsi="Times New Roman" w:cs="Times New Roman"/>
        <w:noProof/>
        <w:sz w:val="20"/>
        <w:szCs w:val="20"/>
        <w:lang w:val="en-US"/>
      </w:rPr>
    </w:pPr>
    <w:bookmarkStart w:id="45" w:name="_Hlk496261745"/>
    <w:bookmarkStart w:id="46" w:name="_Hlk496261746"/>
    <w:bookmarkStart w:id="47" w:name="_Hlk496261747"/>
    <w:bookmarkStart w:id="48" w:name="_Hlk30491063"/>
    <w:bookmarkStart w:id="49" w:name="_Hlk30491064"/>
  </w:p>
  <w:bookmarkEnd w:id="45"/>
  <w:bookmarkEnd w:id="46"/>
  <w:bookmarkEnd w:id="47"/>
  <w:bookmarkEnd w:id="48"/>
  <w:bookmarkEnd w:id="49"/>
  <w:p w14:paraId="4D9FA118" w14:textId="77777777" w:rsidR="00102B35" w:rsidRDefault="00102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F7C"/>
    <w:multiLevelType w:val="multilevel"/>
    <w:tmpl w:val="05B67722"/>
    <w:lvl w:ilvl="0">
      <w:start w:val="4"/>
      <w:numFmt w:val="decimal"/>
      <w:lvlText w:val="%1"/>
      <w:lvlJc w:val="left"/>
      <w:pPr>
        <w:ind w:left="833" w:hanging="721"/>
      </w:pPr>
      <w:rPr>
        <w:rFonts w:hint="default"/>
      </w:rPr>
    </w:lvl>
    <w:lvl w:ilvl="1">
      <w:start w:val="1"/>
      <w:numFmt w:val="decimal"/>
      <w:lvlText w:val="%1.%2"/>
      <w:lvlJc w:val="left"/>
      <w:pPr>
        <w:ind w:left="833" w:hanging="721"/>
      </w:pPr>
      <w:rPr>
        <w:rFonts w:hint="default"/>
      </w:rPr>
    </w:lvl>
    <w:lvl w:ilvl="2">
      <w:start w:val="1"/>
      <w:numFmt w:val="decimal"/>
      <w:lvlText w:val="%1.%2.%3"/>
      <w:lvlJc w:val="left"/>
      <w:pPr>
        <w:ind w:left="833" w:hanging="721"/>
      </w:pPr>
      <w:rPr>
        <w:rFonts w:ascii="Arial" w:eastAsia="Arial" w:hAnsi="Arial" w:hint="default"/>
        <w:sz w:val="22"/>
        <w:szCs w:val="22"/>
      </w:rPr>
    </w:lvl>
    <w:lvl w:ilvl="3">
      <w:start w:val="1"/>
      <w:numFmt w:val="bullet"/>
      <w:lvlText w:val="•"/>
      <w:lvlJc w:val="left"/>
      <w:pPr>
        <w:ind w:left="3543" w:hanging="721"/>
      </w:pPr>
      <w:rPr>
        <w:rFonts w:hint="default"/>
      </w:rPr>
    </w:lvl>
    <w:lvl w:ilvl="4">
      <w:start w:val="1"/>
      <w:numFmt w:val="bullet"/>
      <w:lvlText w:val="•"/>
      <w:lvlJc w:val="left"/>
      <w:pPr>
        <w:ind w:left="4447" w:hanging="721"/>
      </w:pPr>
      <w:rPr>
        <w:rFonts w:hint="default"/>
      </w:rPr>
    </w:lvl>
    <w:lvl w:ilvl="5">
      <w:start w:val="1"/>
      <w:numFmt w:val="bullet"/>
      <w:lvlText w:val="•"/>
      <w:lvlJc w:val="left"/>
      <w:pPr>
        <w:ind w:left="5351" w:hanging="721"/>
      </w:pPr>
      <w:rPr>
        <w:rFonts w:hint="default"/>
      </w:rPr>
    </w:lvl>
    <w:lvl w:ilvl="6">
      <w:start w:val="1"/>
      <w:numFmt w:val="bullet"/>
      <w:lvlText w:val="•"/>
      <w:lvlJc w:val="left"/>
      <w:pPr>
        <w:ind w:left="6254" w:hanging="721"/>
      </w:pPr>
      <w:rPr>
        <w:rFonts w:hint="default"/>
      </w:rPr>
    </w:lvl>
    <w:lvl w:ilvl="7">
      <w:start w:val="1"/>
      <w:numFmt w:val="bullet"/>
      <w:lvlText w:val="•"/>
      <w:lvlJc w:val="left"/>
      <w:pPr>
        <w:ind w:left="7158" w:hanging="721"/>
      </w:pPr>
      <w:rPr>
        <w:rFonts w:hint="default"/>
      </w:rPr>
    </w:lvl>
    <w:lvl w:ilvl="8">
      <w:start w:val="1"/>
      <w:numFmt w:val="bullet"/>
      <w:lvlText w:val="•"/>
      <w:lvlJc w:val="left"/>
      <w:pPr>
        <w:ind w:left="8061" w:hanging="721"/>
      </w:pPr>
      <w:rPr>
        <w:rFonts w:hint="default"/>
      </w:rPr>
    </w:lvl>
  </w:abstractNum>
  <w:abstractNum w:abstractNumId="1" w15:restartNumberingAfterBreak="0">
    <w:nsid w:val="02CF66D1"/>
    <w:multiLevelType w:val="multilevel"/>
    <w:tmpl w:val="7696E076"/>
    <w:lvl w:ilvl="0">
      <w:start w:val="1"/>
      <w:numFmt w:val="decimal"/>
      <w:lvlText w:val="%1"/>
      <w:lvlJc w:val="left"/>
      <w:pPr>
        <w:ind w:left="1080" w:hanging="428"/>
      </w:pPr>
      <w:rPr>
        <w:rFonts w:ascii="Arial" w:eastAsia="Arial" w:hAnsi="Arial" w:hint="default"/>
        <w:b/>
        <w:bCs/>
        <w:sz w:val="24"/>
        <w:szCs w:val="24"/>
      </w:rPr>
    </w:lvl>
    <w:lvl w:ilvl="1">
      <w:start w:val="1"/>
      <w:numFmt w:val="decimal"/>
      <w:lvlText w:val="%1.%2"/>
      <w:lvlJc w:val="left"/>
      <w:pPr>
        <w:ind w:left="1613" w:hanging="740"/>
      </w:pPr>
      <w:rPr>
        <w:rFonts w:ascii="Arial" w:eastAsia="Arial" w:hAnsi="Arial" w:hint="default"/>
        <w:b/>
        <w:bCs/>
        <w:sz w:val="22"/>
        <w:szCs w:val="22"/>
      </w:rPr>
    </w:lvl>
    <w:lvl w:ilvl="2">
      <w:start w:val="1"/>
      <w:numFmt w:val="bullet"/>
      <w:lvlText w:val="•"/>
      <w:lvlJc w:val="left"/>
      <w:pPr>
        <w:ind w:left="2601" w:hanging="740"/>
      </w:pPr>
      <w:rPr>
        <w:rFonts w:hint="default"/>
      </w:rPr>
    </w:lvl>
    <w:lvl w:ilvl="3">
      <w:start w:val="1"/>
      <w:numFmt w:val="bullet"/>
      <w:lvlText w:val="•"/>
      <w:lvlJc w:val="left"/>
      <w:pPr>
        <w:ind w:left="3590" w:hanging="740"/>
      </w:pPr>
      <w:rPr>
        <w:rFonts w:hint="default"/>
      </w:rPr>
    </w:lvl>
    <w:lvl w:ilvl="4">
      <w:start w:val="1"/>
      <w:numFmt w:val="bullet"/>
      <w:lvlText w:val="•"/>
      <w:lvlJc w:val="left"/>
      <w:pPr>
        <w:ind w:left="4578" w:hanging="740"/>
      </w:pPr>
      <w:rPr>
        <w:rFonts w:hint="default"/>
      </w:rPr>
    </w:lvl>
    <w:lvl w:ilvl="5">
      <w:start w:val="1"/>
      <w:numFmt w:val="bullet"/>
      <w:lvlText w:val="•"/>
      <w:lvlJc w:val="left"/>
      <w:pPr>
        <w:ind w:left="5566" w:hanging="740"/>
      </w:pPr>
      <w:rPr>
        <w:rFonts w:hint="default"/>
      </w:rPr>
    </w:lvl>
    <w:lvl w:ilvl="6">
      <w:start w:val="1"/>
      <w:numFmt w:val="bullet"/>
      <w:lvlText w:val="•"/>
      <w:lvlJc w:val="left"/>
      <w:pPr>
        <w:ind w:left="6555" w:hanging="740"/>
      </w:pPr>
      <w:rPr>
        <w:rFonts w:hint="default"/>
      </w:rPr>
    </w:lvl>
    <w:lvl w:ilvl="7">
      <w:start w:val="1"/>
      <w:numFmt w:val="bullet"/>
      <w:lvlText w:val="•"/>
      <w:lvlJc w:val="left"/>
      <w:pPr>
        <w:ind w:left="7543" w:hanging="740"/>
      </w:pPr>
      <w:rPr>
        <w:rFonts w:hint="default"/>
      </w:rPr>
    </w:lvl>
    <w:lvl w:ilvl="8">
      <w:start w:val="1"/>
      <w:numFmt w:val="bullet"/>
      <w:lvlText w:val="•"/>
      <w:lvlJc w:val="left"/>
      <w:pPr>
        <w:ind w:left="8532" w:hanging="740"/>
      </w:pPr>
      <w:rPr>
        <w:rFonts w:hint="default"/>
      </w:rPr>
    </w:lvl>
  </w:abstractNum>
  <w:abstractNum w:abstractNumId="2" w15:restartNumberingAfterBreak="0">
    <w:nsid w:val="0ABD2307"/>
    <w:multiLevelType w:val="hybridMultilevel"/>
    <w:tmpl w:val="BE32FF98"/>
    <w:lvl w:ilvl="0" w:tplc="82E292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183E25"/>
    <w:multiLevelType w:val="multilevel"/>
    <w:tmpl w:val="C08895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A6943"/>
    <w:multiLevelType w:val="multilevel"/>
    <w:tmpl w:val="14AA066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65296"/>
    <w:multiLevelType w:val="multilevel"/>
    <w:tmpl w:val="1520F22C"/>
    <w:lvl w:ilvl="0">
      <w:start w:val="1"/>
      <w:numFmt w:val="decimal"/>
      <w:lvlText w:val="%1"/>
      <w:lvlJc w:val="left"/>
      <w:pPr>
        <w:ind w:left="833" w:hanging="721"/>
      </w:pPr>
      <w:rPr>
        <w:rFonts w:hint="default"/>
      </w:rPr>
    </w:lvl>
    <w:lvl w:ilvl="1">
      <w:start w:val="4"/>
      <w:numFmt w:val="decimal"/>
      <w:lvlText w:val="%1.%2"/>
      <w:lvlJc w:val="left"/>
      <w:pPr>
        <w:ind w:left="833" w:hanging="721"/>
      </w:pPr>
      <w:rPr>
        <w:rFonts w:ascii="Arial" w:eastAsia="Arial" w:hAnsi="Arial" w:hint="default"/>
        <w:sz w:val="22"/>
        <w:szCs w:val="22"/>
      </w:rPr>
    </w:lvl>
    <w:lvl w:ilvl="2">
      <w:start w:val="1"/>
      <w:numFmt w:val="bullet"/>
      <w:lvlText w:val=""/>
      <w:lvlJc w:val="left"/>
      <w:pPr>
        <w:ind w:left="1553" w:hanging="360"/>
      </w:pPr>
      <w:rPr>
        <w:rFonts w:ascii="Symbol" w:eastAsia="Symbol" w:hAnsi="Symbol" w:hint="default"/>
        <w:sz w:val="22"/>
        <w:szCs w:val="22"/>
      </w:rPr>
    </w:lvl>
    <w:lvl w:ilvl="3">
      <w:start w:val="1"/>
      <w:numFmt w:val="bullet"/>
      <w:lvlText w:val="•"/>
      <w:lvlJc w:val="left"/>
      <w:pPr>
        <w:ind w:left="3401" w:hanging="360"/>
      </w:pPr>
      <w:rPr>
        <w:rFonts w:hint="default"/>
      </w:rPr>
    </w:lvl>
    <w:lvl w:ilvl="4">
      <w:start w:val="1"/>
      <w:numFmt w:val="bullet"/>
      <w:lvlText w:val="•"/>
      <w:lvlJc w:val="left"/>
      <w:pPr>
        <w:ind w:left="4325" w:hanging="360"/>
      </w:pPr>
      <w:rPr>
        <w:rFonts w:hint="default"/>
      </w:rPr>
    </w:lvl>
    <w:lvl w:ilvl="5">
      <w:start w:val="1"/>
      <w:numFmt w:val="bullet"/>
      <w:lvlText w:val="•"/>
      <w:lvlJc w:val="left"/>
      <w:pPr>
        <w:ind w:left="5249" w:hanging="360"/>
      </w:pPr>
      <w:rPr>
        <w:rFonts w:hint="default"/>
      </w:rPr>
    </w:lvl>
    <w:lvl w:ilvl="6">
      <w:start w:val="1"/>
      <w:numFmt w:val="bullet"/>
      <w:lvlText w:val="•"/>
      <w:lvlJc w:val="left"/>
      <w:pPr>
        <w:ind w:left="6172" w:hanging="360"/>
      </w:pPr>
      <w:rPr>
        <w:rFonts w:hint="default"/>
      </w:rPr>
    </w:lvl>
    <w:lvl w:ilvl="7">
      <w:start w:val="1"/>
      <w:numFmt w:val="bullet"/>
      <w:lvlText w:val="•"/>
      <w:lvlJc w:val="left"/>
      <w:pPr>
        <w:ind w:left="7096" w:hanging="360"/>
      </w:pPr>
      <w:rPr>
        <w:rFonts w:hint="default"/>
      </w:rPr>
    </w:lvl>
    <w:lvl w:ilvl="8">
      <w:start w:val="1"/>
      <w:numFmt w:val="bullet"/>
      <w:lvlText w:val="•"/>
      <w:lvlJc w:val="left"/>
      <w:pPr>
        <w:ind w:left="8020" w:hanging="360"/>
      </w:pPr>
      <w:rPr>
        <w:rFonts w:hint="default"/>
      </w:rPr>
    </w:lvl>
  </w:abstractNum>
  <w:abstractNum w:abstractNumId="6" w15:restartNumberingAfterBreak="0">
    <w:nsid w:val="1D3948C3"/>
    <w:multiLevelType w:val="hybridMultilevel"/>
    <w:tmpl w:val="F8BA92D2"/>
    <w:lvl w:ilvl="0" w:tplc="200008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282650"/>
    <w:multiLevelType w:val="multilevel"/>
    <w:tmpl w:val="188C26BC"/>
    <w:lvl w:ilvl="0">
      <w:start w:val="6"/>
      <w:numFmt w:val="decimal"/>
      <w:lvlText w:val="%1."/>
      <w:lvlJc w:val="left"/>
      <w:pPr>
        <w:ind w:left="833" w:hanging="721"/>
      </w:pPr>
      <w:rPr>
        <w:rFonts w:ascii="Arial" w:eastAsia="Arial" w:hAnsi="Arial" w:hint="default"/>
        <w:b/>
        <w:bCs/>
        <w:i/>
        <w:sz w:val="28"/>
        <w:szCs w:val="28"/>
      </w:rPr>
    </w:lvl>
    <w:lvl w:ilvl="1">
      <w:start w:val="1"/>
      <w:numFmt w:val="decimal"/>
      <w:lvlText w:val="%1.%2"/>
      <w:lvlJc w:val="left"/>
      <w:pPr>
        <w:ind w:left="821" w:hanging="709"/>
      </w:pPr>
      <w:rPr>
        <w:rFonts w:ascii="Arial" w:eastAsia="Arial" w:hAnsi="Arial" w:hint="default"/>
        <w:sz w:val="22"/>
        <w:szCs w:val="22"/>
      </w:rPr>
    </w:lvl>
    <w:lvl w:ilvl="2">
      <w:start w:val="1"/>
      <w:numFmt w:val="bullet"/>
      <w:lvlText w:val="•"/>
      <w:lvlJc w:val="left"/>
      <w:pPr>
        <w:ind w:left="1837" w:hanging="709"/>
      </w:pPr>
      <w:rPr>
        <w:rFonts w:hint="default"/>
      </w:rPr>
    </w:lvl>
    <w:lvl w:ilvl="3">
      <w:start w:val="1"/>
      <w:numFmt w:val="bullet"/>
      <w:lvlText w:val="•"/>
      <w:lvlJc w:val="left"/>
      <w:pPr>
        <w:ind w:left="2841" w:hanging="709"/>
      </w:pPr>
      <w:rPr>
        <w:rFonts w:hint="default"/>
      </w:rPr>
    </w:lvl>
    <w:lvl w:ilvl="4">
      <w:start w:val="1"/>
      <w:numFmt w:val="bullet"/>
      <w:lvlText w:val="•"/>
      <w:lvlJc w:val="left"/>
      <w:pPr>
        <w:ind w:left="3845" w:hanging="709"/>
      </w:pPr>
      <w:rPr>
        <w:rFonts w:hint="default"/>
      </w:rPr>
    </w:lvl>
    <w:lvl w:ilvl="5">
      <w:start w:val="1"/>
      <w:numFmt w:val="bullet"/>
      <w:lvlText w:val="•"/>
      <w:lvlJc w:val="left"/>
      <w:pPr>
        <w:ind w:left="4849" w:hanging="709"/>
      </w:pPr>
      <w:rPr>
        <w:rFonts w:hint="default"/>
      </w:rPr>
    </w:lvl>
    <w:lvl w:ilvl="6">
      <w:start w:val="1"/>
      <w:numFmt w:val="bullet"/>
      <w:lvlText w:val="•"/>
      <w:lvlJc w:val="left"/>
      <w:pPr>
        <w:ind w:left="5853" w:hanging="709"/>
      </w:pPr>
      <w:rPr>
        <w:rFonts w:hint="default"/>
      </w:rPr>
    </w:lvl>
    <w:lvl w:ilvl="7">
      <w:start w:val="1"/>
      <w:numFmt w:val="bullet"/>
      <w:lvlText w:val="•"/>
      <w:lvlJc w:val="left"/>
      <w:pPr>
        <w:ind w:left="6856" w:hanging="709"/>
      </w:pPr>
      <w:rPr>
        <w:rFonts w:hint="default"/>
      </w:rPr>
    </w:lvl>
    <w:lvl w:ilvl="8">
      <w:start w:val="1"/>
      <w:numFmt w:val="bullet"/>
      <w:lvlText w:val="•"/>
      <w:lvlJc w:val="left"/>
      <w:pPr>
        <w:ind w:left="7860" w:hanging="709"/>
      </w:pPr>
      <w:rPr>
        <w:rFonts w:hint="default"/>
      </w:rPr>
    </w:lvl>
  </w:abstractNum>
  <w:abstractNum w:abstractNumId="8" w15:restartNumberingAfterBreak="0">
    <w:nsid w:val="2BE36CB5"/>
    <w:multiLevelType w:val="multilevel"/>
    <w:tmpl w:val="31AA94D0"/>
    <w:lvl w:ilvl="0">
      <w:start w:val="5"/>
      <w:numFmt w:val="decimal"/>
      <w:lvlText w:val="%1"/>
      <w:lvlJc w:val="left"/>
      <w:pPr>
        <w:ind w:left="713" w:hanging="601"/>
      </w:pPr>
      <w:rPr>
        <w:rFonts w:ascii="Arial" w:eastAsia="Arial" w:hAnsi="Arial" w:hint="default"/>
        <w:b/>
        <w:bCs/>
        <w:i/>
        <w:sz w:val="28"/>
        <w:szCs w:val="28"/>
      </w:rPr>
    </w:lvl>
    <w:lvl w:ilvl="1">
      <w:start w:val="1"/>
      <w:numFmt w:val="decimal"/>
      <w:lvlText w:val="%1.%2"/>
      <w:lvlJc w:val="left"/>
      <w:pPr>
        <w:ind w:left="821" w:hanging="709"/>
      </w:pPr>
      <w:rPr>
        <w:rFonts w:ascii="Arial" w:eastAsia="Arial" w:hAnsi="Arial" w:hint="default"/>
        <w:sz w:val="22"/>
        <w:szCs w:val="22"/>
      </w:rPr>
    </w:lvl>
    <w:lvl w:ilvl="2">
      <w:start w:val="1"/>
      <w:numFmt w:val="bullet"/>
      <w:lvlText w:val="•"/>
      <w:lvlJc w:val="left"/>
      <w:pPr>
        <w:ind w:left="1826" w:hanging="709"/>
      </w:pPr>
      <w:rPr>
        <w:rFonts w:hint="default"/>
      </w:rPr>
    </w:lvl>
    <w:lvl w:ilvl="3">
      <w:start w:val="1"/>
      <w:numFmt w:val="bullet"/>
      <w:lvlText w:val="•"/>
      <w:lvlJc w:val="left"/>
      <w:pPr>
        <w:ind w:left="2831" w:hanging="709"/>
      </w:pPr>
      <w:rPr>
        <w:rFonts w:hint="default"/>
      </w:rPr>
    </w:lvl>
    <w:lvl w:ilvl="4">
      <w:start w:val="1"/>
      <w:numFmt w:val="bullet"/>
      <w:lvlText w:val="•"/>
      <w:lvlJc w:val="left"/>
      <w:pPr>
        <w:ind w:left="3837" w:hanging="709"/>
      </w:pPr>
      <w:rPr>
        <w:rFonts w:hint="default"/>
      </w:rPr>
    </w:lvl>
    <w:lvl w:ilvl="5">
      <w:start w:val="1"/>
      <w:numFmt w:val="bullet"/>
      <w:lvlText w:val="•"/>
      <w:lvlJc w:val="left"/>
      <w:pPr>
        <w:ind w:left="4842" w:hanging="709"/>
      </w:pPr>
      <w:rPr>
        <w:rFonts w:hint="default"/>
      </w:rPr>
    </w:lvl>
    <w:lvl w:ilvl="6">
      <w:start w:val="1"/>
      <w:numFmt w:val="bullet"/>
      <w:lvlText w:val="•"/>
      <w:lvlJc w:val="left"/>
      <w:pPr>
        <w:ind w:left="5847" w:hanging="709"/>
      </w:pPr>
      <w:rPr>
        <w:rFonts w:hint="default"/>
      </w:rPr>
    </w:lvl>
    <w:lvl w:ilvl="7">
      <w:start w:val="1"/>
      <w:numFmt w:val="bullet"/>
      <w:lvlText w:val="•"/>
      <w:lvlJc w:val="left"/>
      <w:pPr>
        <w:ind w:left="6852" w:hanging="709"/>
      </w:pPr>
      <w:rPr>
        <w:rFonts w:hint="default"/>
      </w:rPr>
    </w:lvl>
    <w:lvl w:ilvl="8">
      <w:start w:val="1"/>
      <w:numFmt w:val="bullet"/>
      <w:lvlText w:val="•"/>
      <w:lvlJc w:val="left"/>
      <w:pPr>
        <w:ind w:left="7858" w:hanging="709"/>
      </w:pPr>
      <w:rPr>
        <w:rFonts w:hint="default"/>
      </w:rPr>
    </w:lvl>
  </w:abstractNum>
  <w:abstractNum w:abstractNumId="9" w15:restartNumberingAfterBreak="0">
    <w:nsid w:val="34D21ED7"/>
    <w:multiLevelType w:val="multilevel"/>
    <w:tmpl w:val="C04CA408"/>
    <w:lvl w:ilvl="0">
      <w:start w:val="2"/>
      <w:numFmt w:val="decimal"/>
      <w:lvlText w:val="%1"/>
      <w:lvlJc w:val="left"/>
      <w:pPr>
        <w:ind w:left="833" w:hanging="721"/>
      </w:pPr>
      <w:rPr>
        <w:rFonts w:ascii="Arial" w:eastAsia="Arial" w:hAnsi="Arial" w:hint="default"/>
        <w:b/>
        <w:bCs/>
        <w:i/>
        <w:sz w:val="28"/>
        <w:szCs w:val="28"/>
      </w:rPr>
    </w:lvl>
    <w:lvl w:ilvl="1">
      <w:start w:val="1"/>
      <w:numFmt w:val="decimal"/>
      <w:lvlText w:val="%1.%2"/>
      <w:lvlJc w:val="left"/>
      <w:pPr>
        <w:ind w:left="814" w:hanging="702"/>
      </w:pPr>
      <w:rPr>
        <w:rFonts w:ascii="Arial" w:eastAsia="Arial" w:hAnsi="Arial" w:hint="default"/>
        <w:sz w:val="22"/>
        <w:szCs w:val="22"/>
      </w:rPr>
    </w:lvl>
    <w:lvl w:ilvl="2">
      <w:start w:val="1"/>
      <w:numFmt w:val="decimal"/>
      <w:lvlText w:val="%3)"/>
      <w:lvlJc w:val="left"/>
      <w:pPr>
        <w:ind w:left="1193" w:hanging="360"/>
      </w:pPr>
      <w:rPr>
        <w:rFonts w:ascii="Arial" w:eastAsia="Arial" w:hAnsi="Arial" w:hint="default"/>
        <w:spacing w:val="-1"/>
        <w:sz w:val="22"/>
        <w:szCs w:val="22"/>
      </w:rPr>
    </w:lvl>
    <w:lvl w:ilvl="3">
      <w:start w:val="1"/>
      <w:numFmt w:val="bullet"/>
      <w:lvlText w:val="•"/>
      <w:lvlJc w:val="left"/>
      <w:pPr>
        <w:ind w:left="2277" w:hanging="360"/>
      </w:pPr>
      <w:rPr>
        <w:rFonts w:hint="default"/>
      </w:rPr>
    </w:lvl>
    <w:lvl w:ilvl="4">
      <w:start w:val="1"/>
      <w:numFmt w:val="bullet"/>
      <w:lvlText w:val="•"/>
      <w:lvlJc w:val="left"/>
      <w:pPr>
        <w:ind w:left="3362" w:hanging="360"/>
      </w:pPr>
      <w:rPr>
        <w:rFonts w:hint="default"/>
      </w:rPr>
    </w:lvl>
    <w:lvl w:ilvl="5">
      <w:start w:val="1"/>
      <w:numFmt w:val="bullet"/>
      <w:lvlText w:val="•"/>
      <w:lvlJc w:val="left"/>
      <w:pPr>
        <w:ind w:left="4446" w:hanging="360"/>
      </w:pPr>
      <w:rPr>
        <w:rFonts w:hint="default"/>
      </w:rPr>
    </w:lvl>
    <w:lvl w:ilvl="6">
      <w:start w:val="1"/>
      <w:numFmt w:val="bullet"/>
      <w:lvlText w:val="•"/>
      <w:lvlJc w:val="left"/>
      <w:pPr>
        <w:ind w:left="5531" w:hanging="360"/>
      </w:pPr>
      <w:rPr>
        <w:rFonts w:hint="default"/>
      </w:rPr>
    </w:lvl>
    <w:lvl w:ilvl="7">
      <w:start w:val="1"/>
      <w:numFmt w:val="bullet"/>
      <w:lvlText w:val="•"/>
      <w:lvlJc w:val="left"/>
      <w:pPr>
        <w:ind w:left="6615" w:hanging="360"/>
      </w:pPr>
      <w:rPr>
        <w:rFonts w:hint="default"/>
      </w:rPr>
    </w:lvl>
    <w:lvl w:ilvl="8">
      <w:start w:val="1"/>
      <w:numFmt w:val="bullet"/>
      <w:lvlText w:val="•"/>
      <w:lvlJc w:val="left"/>
      <w:pPr>
        <w:ind w:left="7699" w:hanging="360"/>
      </w:pPr>
      <w:rPr>
        <w:rFonts w:hint="default"/>
      </w:rPr>
    </w:lvl>
  </w:abstractNum>
  <w:abstractNum w:abstractNumId="10" w15:restartNumberingAfterBreak="0">
    <w:nsid w:val="3EA92D35"/>
    <w:multiLevelType w:val="hybridMultilevel"/>
    <w:tmpl w:val="2F98426E"/>
    <w:lvl w:ilvl="0" w:tplc="DD8CEA64">
      <w:start w:val="1"/>
      <w:numFmt w:val="bullet"/>
      <w:lvlText w:val=""/>
      <w:lvlJc w:val="left"/>
      <w:pPr>
        <w:ind w:left="1193" w:hanging="360"/>
      </w:pPr>
      <w:rPr>
        <w:rFonts w:ascii="Symbol" w:eastAsia="Symbol" w:hAnsi="Symbol" w:hint="default"/>
        <w:sz w:val="22"/>
        <w:szCs w:val="22"/>
      </w:rPr>
    </w:lvl>
    <w:lvl w:ilvl="1" w:tplc="BB02C162">
      <w:start w:val="1"/>
      <w:numFmt w:val="bullet"/>
      <w:lvlText w:val="•"/>
      <w:lvlJc w:val="left"/>
      <w:pPr>
        <w:ind w:left="2060" w:hanging="360"/>
      </w:pPr>
      <w:rPr>
        <w:rFonts w:hint="default"/>
      </w:rPr>
    </w:lvl>
    <w:lvl w:ilvl="2" w:tplc="7BC4AA44">
      <w:start w:val="1"/>
      <w:numFmt w:val="bullet"/>
      <w:lvlText w:val="•"/>
      <w:lvlJc w:val="left"/>
      <w:pPr>
        <w:ind w:left="2928" w:hanging="360"/>
      </w:pPr>
      <w:rPr>
        <w:rFonts w:hint="default"/>
      </w:rPr>
    </w:lvl>
    <w:lvl w:ilvl="3" w:tplc="829E4DA4">
      <w:start w:val="1"/>
      <w:numFmt w:val="bullet"/>
      <w:lvlText w:val="•"/>
      <w:lvlJc w:val="left"/>
      <w:pPr>
        <w:ind w:left="3795" w:hanging="360"/>
      </w:pPr>
      <w:rPr>
        <w:rFonts w:hint="default"/>
      </w:rPr>
    </w:lvl>
    <w:lvl w:ilvl="4" w:tplc="180AAFAA">
      <w:start w:val="1"/>
      <w:numFmt w:val="bullet"/>
      <w:lvlText w:val="•"/>
      <w:lvlJc w:val="left"/>
      <w:pPr>
        <w:ind w:left="4663" w:hanging="360"/>
      </w:pPr>
      <w:rPr>
        <w:rFonts w:hint="default"/>
      </w:rPr>
    </w:lvl>
    <w:lvl w:ilvl="5" w:tplc="A50A0514">
      <w:start w:val="1"/>
      <w:numFmt w:val="bullet"/>
      <w:lvlText w:val="•"/>
      <w:lvlJc w:val="left"/>
      <w:pPr>
        <w:ind w:left="5531" w:hanging="360"/>
      </w:pPr>
      <w:rPr>
        <w:rFonts w:hint="default"/>
      </w:rPr>
    </w:lvl>
    <w:lvl w:ilvl="6" w:tplc="08DAFE08">
      <w:start w:val="1"/>
      <w:numFmt w:val="bullet"/>
      <w:lvlText w:val="•"/>
      <w:lvlJc w:val="left"/>
      <w:pPr>
        <w:ind w:left="6398" w:hanging="360"/>
      </w:pPr>
      <w:rPr>
        <w:rFonts w:hint="default"/>
      </w:rPr>
    </w:lvl>
    <w:lvl w:ilvl="7" w:tplc="1D1891F4">
      <w:start w:val="1"/>
      <w:numFmt w:val="bullet"/>
      <w:lvlText w:val="•"/>
      <w:lvlJc w:val="left"/>
      <w:pPr>
        <w:ind w:left="7266" w:hanging="360"/>
      </w:pPr>
      <w:rPr>
        <w:rFonts w:hint="default"/>
      </w:rPr>
    </w:lvl>
    <w:lvl w:ilvl="8" w:tplc="CF7A3162">
      <w:start w:val="1"/>
      <w:numFmt w:val="bullet"/>
      <w:lvlText w:val="•"/>
      <w:lvlJc w:val="left"/>
      <w:pPr>
        <w:ind w:left="8133" w:hanging="360"/>
      </w:pPr>
      <w:rPr>
        <w:rFonts w:hint="default"/>
      </w:rPr>
    </w:lvl>
  </w:abstractNum>
  <w:abstractNum w:abstractNumId="11" w15:restartNumberingAfterBreak="0">
    <w:nsid w:val="427F49E7"/>
    <w:multiLevelType w:val="multilevel"/>
    <w:tmpl w:val="BA48DE5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A6737D"/>
    <w:multiLevelType w:val="multilevel"/>
    <w:tmpl w:val="CCB49018"/>
    <w:lvl w:ilvl="0">
      <w:start w:val="1"/>
      <w:numFmt w:val="decimal"/>
      <w:lvlText w:val="%1"/>
      <w:lvlJc w:val="left"/>
      <w:pPr>
        <w:ind w:left="833" w:hanging="721"/>
      </w:pPr>
      <w:rPr>
        <w:rFonts w:ascii="Arial" w:eastAsia="Arial" w:hAnsi="Arial" w:hint="default"/>
        <w:b/>
        <w:bCs/>
        <w:i/>
        <w:sz w:val="28"/>
        <w:szCs w:val="28"/>
      </w:rPr>
    </w:lvl>
    <w:lvl w:ilvl="1">
      <w:start w:val="1"/>
      <w:numFmt w:val="decimal"/>
      <w:lvlText w:val="%1.%2"/>
      <w:lvlJc w:val="left"/>
      <w:pPr>
        <w:ind w:left="833" w:hanging="721"/>
      </w:pPr>
      <w:rPr>
        <w:rFonts w:ascii="Arial" w:eastAsia="Arial" w:hAnsi="Arial" w:hint="default"/>
        <w:sz w:val="22"/>
        <w:szCs w:val="22"/>
      </w:rPr>
    </w:lvl>
    <w:lvl w:ilvl="2">
      <w:start w:val="1"/>
      <w:numFmt w:val="bullet"/>
      <w:lvlText w:val="o"/>
      <w:lvlJc w:val="left"/>
      <w:pPr>
        <w:ind w:left="1553" w:hanging="360"/>
      </w:pPr>
      <w:rPr>
        <w:rFonts w:ascii="Courier New" w:eastAsia="Courier New" w:hAnsi="Courier New" w:hint="default"/>
        <w:sz w:val="22"/>
        <w:szCs w:val="22"/>
      </w:rPr>
    </w:lvl>
    <w:lvl w:ilvl="3">
      <w:start w:val="1"/>
      <w:numFmt w:val="bullet"/>
      <w:lvlText w:val="•"/>
      <w:lvlJc w:val="left"/>
      <w:pPr>
        <w:ind w:left="3401" w:hanging="360"/>
      </w:pPr>
      <w:rPr>
        <w:rFonts w:hint="default"/>
      </w:rPr>
    </w:lvl>
    <w:lvl w:ilvl="4">
      <w:start w:val="1"/>
      <w:numFmt w:val="bullet"/>
      <w:lvlText w:val="•"/>
      <w:lvlJc w:val="left"/>
      <w:pPr>
        <w:ind w:left="4325" w:hanging="360"/>
      </w:pPr>
      <w:rPr>
        <w:rFonts w:hint="default"/>
      </w:rPr>
    </w:lvl>
    <w:lvl w:ilvl="5">
      <w:start w:val="1"/>
      <w:numFmt w:val="bullet"/>
      <w:lvlText w:val="•"/>
      <w:lvlJc w:val="left"/>
      <w:pPr>
        <w:ind w:left="5249" w:hanging="360"/>
      </w:pPr>
      <w:rPr>
        <w:rFonts w:hint="default"/>
      </w:rPr>
    </w:lvl>
    <w:lvl w:ilvl="6">
      <w:start w:val="1"/>
      <w:numFmt w:val="bullet"/>
      <w:lvlText w:val="•"/>
      <w:lvlJc w:val="left"/>
      <w:pPr>
        <w:ind w:left="6172" w:hanging="360"/>
      </w:pPr>
      <w:rPr>
        <w:rFonts w:hint="default"/>
      </w:rPr>
    </w:lvl>
    <w:lvl w:ilvl="7">
      <w:start w:val="1"/>
      <w:numFmt w:val="bullet"/>
      <w:lvlText w:val="•"/>
      <w:lvlJc w:val="left"/>
      <w:pPr>
        <w:ind w:left="7096" w:hanging="360"/>
      </w:pPr>
      <w:rPr>
        <w:rFonts w:hint="default"/>
      </w:rPr>
    </w:lvl>
    <w:lvl w:ilvl="8">
      <w:start w:val="1"/>
      <w:numFmt w:val="bullet"/>
      <w:lvlText w:val="•"/>
      <w:lvlJc w:val="left"/>
      <w:pPr>
        <w:ind w:left="8020" w:hanging="360"/>
      </w:pPr>
      <w:rPr>
        <w:rFonts w:hint="default"/>
      </w:rPr>
    </w:lvl>
  </w:abstractNum>
  <w:abstractNum w:abstractNumId="13" w15:restartNumberingAfterBreak="0">
    <w:nsid w:val="471B0DCA"/>
    <w:multiLevelType w:val="hybridMultilevel"/>
    <w:tmpl w:val="766464FE"/>
    <w:lvl w:ilvl="0" w:tplc="E1F2A698">
      <w:start w:val="1"/>
      <w:numFmt w:val="decimal"/>
      <w:lvlText w:val="%1."/>
      <w:lvlJc w:val="left"/>
      <w:pPr>
        <w:ind w:left="1553" w:hanging="720"/>
      </w:pPr>
      <w:rPr>
        <w:rFonts w:ascii="Arial" w:eastAsia="Arial" w:hAnsi="Arial" w:hint="default"/>
        <w:spacing w:val="-1"/>
        <w:sz w:val="22"/>
        <w:szCs w:val="22"/>
      </w:rPr>
    </w:lvl>
    <w:lvl w:ilvl="1" w:tplc="98C69344">
      <w:start w:val="1"/>
      <w:numFmt w:val="bullet"/>
      <w:lvlText w:val="•"/>
      <w:lvlJc w:val="left"/>
      <w:pPr>
        <w:ind w:left="2384" w:hanging="720"/>
      </w:pPr>
      <w:rPr>
        <w:rFonts w:hint="default"/>
      </w:rPr>
    </w:lvl>
    <w:lvl w:ilvl="2" w:tplc="106661E8">
      <w:start w:val="1"/>
      <w:numFmt w:val="bullet"/>
      <w:lvlText w:val="•"/>
      <w:lvlJc w:val="left"/>
      <w:pPr>
        <w:ind w:left="3216" w:hanging="720"/>
      </w:pPr>
      <w:rPr>
        <w:rFonts w:hint="default"/>
      </w:rPr>
    </w:lvl>
    <w:lvl w:ilvl="3" w:tplc="8876AECA">
      <w:start w:val="1"/>
      <w:numFmt w:val="bullet"/>
      <w:lvlText w:val="•"/>
      <w:lvlJc w:val="left"/>
      <w:pPr>
        <w:ind w:left="4047" w:hanging="720"/>
      </w:pPr>
      <w:rPr>
        <w:rFonts w:hint="default"/>
      </w:rPr>
    </w:lvl>
    <w:lvl w:ilvl="4" w:tplc="00BA2A38">
      <w:start w:val="1"/>
      <w:numFmt w:val="bullet"/>
      <w:lvlText w:val="•"/>
      <w:lvlJc w:val="left"/>
      <w:pPr>
        <w:ind w:left="4879" w:hanging="720"/>
      </w:pPr>
      <w:rPr>
        <w:rFonts w:hint="default"/>
      </w:rPr>
    </w:lvl>
    <w:lvl w:ilvl="5" w:tplc="33245592">
      <w:start w:val="1"/>
      <w:numFmt w:val="bullet"/>
      <w:lvlText w:val="•"/>
      <w:lvlJc w:val="left"/>
      <w:pPr>
        <w:ind w:left="5711" w:hanging="720"/>
      </w:pPr>
      <w:rPr>
        <w:rFonts w:hint="default"/>
      </w:rPr>
    </w:lvl>
    <w:lvl w:ilvl="6" w:tplc="2976E1EE">
      <w:start w:val="1"/>
      <w:numFmt w:val="bullet"/>
      <w:lvlText w:val="•"/>
      <w:lvlJc w:val="left"/>
      <w:pPr>
        <w:ind w:left="6542" w:hanging="720"/>
      </w:pPr>
      <w:rPr>
        <w:rFonts w:hint="default"/>
      </w:rPr>
    </w:lvl>
    <w:lvl w:ilvl="7" w:tplc="FF1C9E3E">
      <w:start w:val="1"/>
      <w:numFmt w:val="bullet"/>
      <w:lvlText w:val="•"/>
      <w:lvlJc w:val="left"/>
      <w:pPr>
        <w:ind w:left="7374" w:hanging="720"/>
      </w:pPr>
      <w:rPr>
        <w:rFonts w:hint="default"/>
      </w:rPr>
    </w:lvl>
    <w:lvl w:ilvl="8" w:tplc="226CECE8">
      <w:start w:val="1"/>
      <w:numFmt w:val="bullet"/>
      <w:lvlText w:val="•"/>
      <w:lvlJc w:val="left"/>
      <w:pPr>
        <w:ind w:left="8205" w:hanging="720"/>
      </w:pPr>
      <w:rPr>
        <w:rFonts w:hint="default"/>
      </w:rPr>
    </w:lvl>
  </w:abstractNum>
  <w:abstractNum w:abstractNumId="14" w15:restartNumberingAfterBreak="0">
    <w:nsid w:val="4EFA08B8"/>
    <w:multiLevelType w:val="multilevel"/>
    <w:tmpl w:val="794A832C"/>
    <w:lvl w:ilvl="0">
      <w:start w:val="4"/>
      <w:numFmt w:val="decimal"/>
      <w:lvlText w:val="%1"/>
      <w:lvlJc w:val="left"/>
      <w:pPr>
        <w:ind w:left="593" w:hanging="481"/>
      </w:pPr>
      <w:rPr>
        <w:rFonts w:hint="default"/>
      </w:rPr>
    </w:lvl>
    <w:lvl w:ilvl="1">
      <w:start w:val="1"/>
      <w:numFmt w:val="decimal"/>
      <w:lvlText w:val="%1.%2"/>
      <w:lvlJc w:val="left"/>
      <w:pPr>
        <w:ind w:left="593" w:hanging="481"/>
      </w:pPr>
      <w:rPr>
        <w:rFonts w:ascii="Arial" w:eastAsia="Arial" w:hAnsi="Arial" w:hint="default"/>
        <w:b/>
        <w:bCs/>
        <w:sz w:val="28"/>
        <w:szCs w:val="28"/>
      </w:rPr>
    </w:lvl>
    <w:lvl w:ilvl="2">
      <w:start w:val="1"/>
      <w:numFmt w:val="decimal"/>
      <w:lvlText w:val="%1.%2.%3"/>
      <w:lvlJc w:val="left"/>
      <w:pPr>
        <w:ind w:left="833" w:hanging="721"/>
      </w:pPr>
      <w:rPr>
        <w:rFonts w:ascii="Arial" w:eastAsia="Arial" w:hAnsi="Arial" w:hint="default"/>
        <w:sz w:val="22"/>
        <w:szCs w:val="22"/>
      </w:rPr>
    </w:lvl>
    <w:lvl w:ilvl="3">
      <w:start w:val="1"/>
      <w:numFmt w:val="decimal"/>
      <w:lvlText w:val="%4)"/>
      <w:lvlJc w:val="left"/>
      <w:pPr>
        <w:ind w:left="1193" w:hanging="360"/>
      </w:pPr>
      <w:rPr>
        <w:rFonts w:ascii="Arial" w:eastAsia="Arial" w:hAnsi="Arial" w:hint="default"/>
        <w:spacing w:val="-1"/>
        <w:sz w:val="22"/>
        <w:szCs w:val="22"/>
      </w:rPr>
    </w:lvl>
    <w:lvl w:ilvl="4">
      <w:start w:val="1"/>
      <w:numFmt w:val="bullet"/>
      <w:lvlText w:val="•"/>
      <w:lvlJc w:val="left"/>
      <w:pPr>
        <w:ind w:left="3362" w:hanging="360"/>
      </w:pPr>
      <w:rPr>
        <w:rFonts w:hint="default"/>
      </w:rPr>
    </w:lvl>
    <w:lvl w:ilvl="5">
      <w:start w:val="1"/>
      <w:numFmt w:val="bullet"/>
      <w:lvlText w:val="•"/>
      <w:lvlJc w:val="left"/>
      <w:pPr>
        <w:ind w:left="4446" w:hanging="360"/>
      </w:pPr>
      <w:rPr>
        <w:rFonts w:hint="default"/>
      </w:rPr>
    </w:lvl>
    <w:lvl w:ilvl="6">
      <w:start w:val="1"/>
      <w:numFmt w:val="bullet"/>
      <w:lvlText w:val="•"/>
      <w:lvlJc w:val="left"/>
      <w:pPr>
        <w:ind w:left="5531" w:hanging="360"/>
      </w:pPr>
      <w:rPr>
        <w:rFonts w:hint="default"/>
      </w:rPr>
    </w:lvl>
    <w:lvl w:ilvl="7">
      <w:start w:val="1"/>
      <w:numFmt w:val="bullet"/>
      <w:lvlText w:val="•"/>
      <w:lvlJc w:val="left"/>
      <w:pPr>
        <w:ind w:left="6615" w:hanging="360"/>
      </w:pPr>
      <w:rPr>
        <w:rFonts w:hint="default"/>
      </w:rPr>
    </w:lvl>
    <w:lvl w:ilvl="8">
      <w:start w:val="1"/>
      <w:numFmt w:val="bullet"/>
      <w:lvlText w:val="•"/>
      <w:lvlJc w:val="left"/>
      <w:pPr>
        <w:ind w:left="7699" w:hanging="360"/>
      </w:pPr>
      <w:rPr>
        <w:rFonts w:hint="default"/>
      </w:rPr>
    </w:lvl>
  </w:abstractNum>
  <w:abstractNum w:abstractNumId="15" w15:restartNumberingAfterBreak="0">
    <w:nsid w:val="791B4FBA"/>
    <w:multiLevelType w:val="hybridMultilevel"/>
    <w:tmpl w:val="9B0A5DE4"/>
    <w:lvl w:ilvl="0" w:tplc="470ABC24">
      <w:start w:val="1"/>
      <w:numFmt w:val="decimal"/>
      <w:lvlText w:val="%1"/>
      <w:lvlJc w:val="left"/>
      <w:pPr>
        <w:ind w:left="814" w:hanging="721"/>
      </w:pPr>
      <w:rPr>
        <w:rFonts w:ascii="Arial" w:eastAsia="Arial" w:hAnsi="Arial" w:hint="default"/>
        <w:sz w:val="22"/>
        <w:szCs w:val="22"/>
      </w:rPr>
    </w:lvl>
    <w:lvl w:ilvl="1" w:tplc="449C7DFE">
      <w:start w:val="1"/>
      <w:numFmt w:val="bullet"/>
      <w:lvlText w:val="•"/>
      <w:lvlJc w:val="left"/>
      <w:pPr>
        <w:ind w:left="1719" w:hanging="721"/>
      </w:pPr>
      <w:rPr>
        <w:rFonts w:hint="default"/>
      </w:rPr>
    </w:lvl>
    <w:lvl w:ilvl="2" w:tplc="FE966FDA">
      <w:start w:val="1"/>
      <w:numFmt w:val="bullet"/>
      <w:lvlText w:val="•"/>
      <w:lvlJc w:val="left"/>
      <w:pPr>
        <w:ind w:left="2625" w:hanging="721"/>
      </w:pPr>
      <w:rPr>
        <w:rFonts w:hint="default"/>
      </w:rPr>
    </w:lvl>
    <w:lvl w:ilvl="3" w:tplc="5C14D4C6">
      <w:start w:val="1"/>
      <w:numFmt w:val="bullet"/>
      <w:lvlText w:val="•"/>
      <w:lvlJc w:val="left"/>
      <w:pPr>
        <w:ind w:left="3530" w:hanging="721"/>
      </w:pPr>
      <w:rPr>
        <w:rFonts w:hint="default"/>
      </w:rPr>
    </w:lvl>
    <w:lvl w:ilvl="4" w:tplc="678AB110">
      <w:start w:val="1"/>
      <w:numFmt w:val="bullet"/>
      <w:lvlText w:val="•"/>
      <w:lvlJc w:val="left"/>
      <w:pPr>
        <w:ind w:left="4435" w:hanging="721"/>
      </w:pPr>
      <w:rPr>
        <w:rFonts w:hint="default"/>
      </w:rPr>
    </w:lvl>
    <w:lvl w:ilvl="5" w:tplc="4F8AD1FC">
      <w:start w:val="1"/>
      <w:numFmt w:val="bullet"/>
      <w:lvlText w:val="•"/>
      <w:lvlJc w:val="left"/>
      <w:pPr>
        <w:ind w:left="5341" w:hanging="721"/>
      </w:pPr>
      <w:rPr>
        <w:rFonts w:hint="default"/>
      </w:rPr>
    </w:lvl>
    <w:lvl w:ilvl="6" w:tplc="3C5264E2">
      <w:start w:val="1"/>
      <w:numFmt w:val="bullet"/>
      <w:lvlText w:val="•"/>
      <w:lvlJc w:val="left"/>
      <w:pPr>
        <w:ind w:left="6246" w:hanging="721"/>
      </w:pPr>
      <w:rPr>
        <w:rFonts w:hint="default"/>
      </w:rPr>
    </w:lvl>
    <w:lvl w:ilvl="7" w:tplc="B7ACD6CA">
      <w:start w:val="1"/>
      <w:numFmt w:val="bullet"/>
      <w:lvlText w:val="•"/>
      <w:lvlJc w:val="left"/>
      <w:pPr>
        <w:ind w:left="7152" w:hanging="721"/>
      </w:pPr>
      <w:rPr>
        <w:rFonts w:hint="default"/>
      </w:rPr>
    </w:lvl>
    <w:lvl w:ilvl="8" w:tplc="B7D04960">
      <w:start w:val="1"/>
      <w:numFmt w:val="bullet"/>
      <w:lvlText w:val="•"/>
      <w:lvlJc w:val="left"/>
      <w:pPr>
        <w:ind w:left="8057" w:hanging="721"/>
      </w:pPr>
      <w:rPr>
        <w:rFonts w:hint="default"/>
      </w:rPr>
    </w:lvl>
  </w:abstractNum>
  <w:num w:numId="1" w16cid:durableId="1740445017">
    <w:abstractNumId w:val="15"/>
  </w:num>
  <w:num w:numId="2" w16cid:durableId="7298685">
    <w:abstractNumId w:val="7"/>
  </w:num>
  <w:num w:numId="3" w16cid:durableId="622270960">
    <w:abstractNumId w:val="8"/>
  </w:num>
  <w:num w:numId="4" w16cid:durableId="966201172">
    <w:abstractNumId w:val="10"/>
  </w:num>
  <w:num w:numId="5" w16cid:durableId="1568951290">
    <w:abstractNumId w:val="14"/>
  </w:num>
  <w:num w:numId="6" w16cid:durableId="769817350">
    <w:abstractNumId w:val="0"/>
  </w:num>
  <w:num w:numId="7" w16cid:durableId="861170694">
    <w:abstractNumId w:val="9"/>
  </w:num>
  <w:num w:numId="8" w16cid:durableId="629625726">
    <w:abstractNumId w:val="13"/>
  </w:num>
  <w:num w:numId="9" w16cid:durableId="2044164255">
    <w:abstractNumId w:val="5"/>
  </w:num>
  <w:num w:numId="10" w16cid:durableId="1674533629">
    <w:abstractNumId w:val="12"/>
  </w:num>
  <w:num w:numId="11" w16cid:durableId="478424133">
    <w:abstractNumId w:val="1"/>
  </w:num>
  <w:num w:numId="12" w16cid:durableId="900092239">
    <w:abstractNumId w:val="6"/>
  </w:num>
  <w:num w:numId="13" w16cid:durableId="651061527">
    <w:abstractNumId w:val="3"/>
  </w:num>
  <w:num w:numId="14" w16cid:durableId="1602952552">
    <w:abstractNumId w:val="11"/>
  </w:num>
  <w:num w:numId="15" w16cid:durableId="1535190138">
    <w:abstractNumId w:val="4"/>
  </w:num>
  <w:num w:numId="16" w16cid:durableId="113836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64E7"/>
    <w:rsid w:val="000A1E31"/>
    <w:rsid w:val="000A5F84"/>
    <w:rsid w:val="00102B35"/>
    <w:rsid w:val="001A46A5"/>
    <w:rsid w:val="001C3969"/>
    <w:rsid w:val="00265BDE"/>
    <w:rsid w:val="002B32A6"/>
    <w:rsid w:val="00341D8B"/>
    <w:rsid w:val="00494FAC"/>
    <w:rsid w:val="004C6C36"/>
    <w:rsid w:val="005C58D5"/>
    <w:rsid w:val="005E2244"/>
    <w:rsid w:val="007202FE"/>
    <w:rsid w:val="007364E7"/>
    <w:rsid w:val="00761F9C"/>
    <w:rsid w:val="007D118A"/>
    <w:rsid w:val="007F586A"/>
    <w:rsid w:val="008B61B0"/>
    <w:rsid w:val="00A1732B"/>
    <w:rsid w:val="00A761F2"/>
    <w:rsid w:val="00A86D19"/>
    <w:rsid w:val="00AE15D1"/>
    <w:rsid w:val="00B1303E"/>
    <w:rsid w:val="00B77A67"/>
    <w:rsid w:val="00BA188C"/>
    <w:rsid w:val="00C36EFF"/>
    <w:rsid w:val="00C43A87"/>
    <w:rsid w:val="00CF05A8"/>
    <w:rsid w:val="00D47EE8"/>
    <w:rsid w:val="00D7439A"/>
    <w:rsid w:val="00F9615E"/>
    <w:rsid w:val="00FC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D47EE8"/>
    <w:pPr>
      <w:outlineLvl w:val="0"/>
    </w:pPr>
    <w:rPr>
      <w:i/>
      <w:iCs w:val="0"/>
    </w:rPr>
  </w:style>
  <w:style w:type="paragraph" w:styleId="Heading2">
    <w:name w:val="heading 2"/>
    <w:basedOn w:val="Normal"/>
    <w:uiPriority w:val="9"/>
    <w:unhideWhenUsed/>
    <w:qFormat/>
    <w:rsid w:val="00761F9C"/>
    <w:pPr>
      <w:tabs>
        <w:tab w:val="left" w:pos="834"/>
      </w:tabs>
      <w:jc w:val="both"/>
      <w:outlineLvl w:val="1"/>
    </w:pPr>
    <w:rPr>
      <w:rFonts w:ascii="Times New Roman" w:eastAsia="Arial" w:hAnsi="Times New Roman" w:cs="Times New Roman"/>
      <w:b/>
      <w:bCs/>
      <w:iCs/>
      <w:noProof/>
      <w:sz w:val="24"/>
      <w:szCs w:val="24"/>
    </w:rPr>
  </w:style>
  <w:style w:type="paragraph" w:styleId="Heading3">
    <w:name w:val="heading 3"/>
    <w:basedOn w:val="Normal"/>
    <w:uiPriority w:val="9"/>
    <w:unhideWhenUsed/>
    <w:qFormat/>
    <w:pPr>
      <w:spacing w:before="72"/>
      <w:ind w:left="112"/>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1080" w:hanging="428"/>
    </w:pPr>
    <w:rPr>
      <w:rFonts w:ascii="Arial" w:eastAsia="Arial" w:hAnsi="Arial"/>
      <w:b/>
      <w:bCs/>
      <w:sz w:val="24"/>
      <w:szCs w:val="24"/>
    </w:rPr>
  </w:style>
  <w:style w:type="paragraph" w:styleId="TOC2">
    <w:name w:val="toc 2"/>
    <w:basedOn w:val="Normal"/>
    <w:uiPriority w:val="39"/>
    <w:qFormat/>
    <w:pPr>
      <w:ind w:left="1613" w:hanging="739"/>
    </w:pPr>
    <w:rPr>
      <w:rFonts w:ascii="Arial" w:eastAsia="Arial" w:hAnsi="Arial"/>
      <w:b/>
      <w:bCs/>
    </w:rPr>
  </w:style>
  <w:style w:type="paragraph" w:styleId="TOC3">
    <w:name w:val="toc 3"/>
    <w:basedOn w:val="Normal"/>
    <w:uiPriority w:val="1"/>
    <w:qFormat/>
    <w:pPr>
      <w:ind w:left="1080"/>
    </w:pPr>
    <w:rPr>
      <w:rFonts w:ascii="Arial" w:eastAsia="Arial" w:hAnsi="Arial"/>
      <w:b/>
      <w:bCs/>
      <w:sz w:val="24"/>
      <w:szCs w:val="24"/>
    </w:rPr>
  </w:style>
  <w:style w:type="paragraph" w:styleId="TOC4">
    <w:name w:val="toc 4"/>
    <w:basedOn w:val="Normal"/>
    <w:uiPriority w:val="1"/>
    <w:qFormat/>
    <w:pPr>
      <w:ind w:left="1613"/>
    </w:pPr>
    <w:rPr>
      <w:rFonts w:ascii="Arial" w:eastAsia="Arial" w:hAnsi="Arial"/>
      <w:b/>
      <w:bCs/>
    </w:rPr>
  </w:style>
  <w:style w:type="paragraph" w:styleId="BodyText">
    <w:name w:val="Body Text"/>
    <w:basedOn w:val="Normal"/>
    <w:uiPriority w:val="1"/>
    <w:qFormat/>
    <w:rsid w:val="00341D8B"/>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F05A8"/>
    <w:pPr>
      <w:tabs>
        <w:tab w:val="center" w:pos="4513"/>
        <w:tab w:val="right" w:pos="9026"/>
      </w:tabs>
    </w:pPr>
  </w:style>
  <w:style w:type="character" w:customStyle="1" w:styleId="HeaderChar">
    <w:name w:val="Header Char"/>
    <w:basedOn w:val="DefaultParagraphFont"/>
    <w:link w:val="Header"/>
    <w:rsid w:val="00CF05A8"/>
  </w:style>
  <w:style w:type="paragraph" w:styleId="Footer">
    <w:name w:val="footer"/>
    <w:basedOn w:val="Normal"/>
    <w:link w:val="FooterChar"/>
    <w:unhideWhenUsed/>
    <w:rsid w:val="00CF05A8"/>
    <w:pPr>
      <w:tabs>
        <w:tab w:val="center" w:pos="4513"/>
        <w:tab w:val="right" w:pos="9026"/>
      </w:tabs>
    </w:pPr>
  </w:style>
  <w:style w:type="character" w:customStyle="1" w:styleId="FooterChar">
    <w:name w:val="Footer Char"/>
    <w:basedOn w:val="DefaultParagraphFont"/>
    <w:link w:val="Footer"/>
    <w:rsid w:val="00CF05A8"/>
  </w:style>
  <w:style w:type="table" w:styleId="TableGrid">
    <w:name w:val="Table Grid"/>
    <w:basedOn w:val="TableNormal"/>
    <w:uiPriority w:val="39"/>
    <w:rsid w:val="00B1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761F2"/>
    <w:pPr>
      <w:keepNext/>
      <w:keepLines/>
      <w:widowControl/>
      <w:tabs>
        <w:tab w:val="clear" w:pos="834"/>
      </w:tabs>
      <w:spacing w:before="240" w:line="259" w:lineRule="auto"/>
      <w:jc w:val="left"/>
      <w:outlineLvl w:val="9"/>
    </w:pPr>
    <w:rPr>
      <w:rFonts w:asciiTheme="majorHAnsi" w:eastAsiaTheme="majorEastAsia" w:hAnsiTheme="majorHAnsi" w:cstheme="majorBidi"/>
      <w:b w:val="0"/>
      <w:bCs w:val="0"/>
      <w:i w:val="0"/>
      <w:noProof w:val="0"/>
      <w:color w:val="365F91" w:themeColor="accent1" w:themeShade="BF"/>
      <w:sz w:val="32"/>
      <w:szCs w:val="32"/>
      <w:lang w:val="en-US"/>
    </w:rPr>
  </w:style>
  <w:style w:type="character" w:styleId="Hyperlink">
    <w:name w:val="Hyperlink"/>
    <w:basedOn w:val="DefaultParagraphFont"/>
    <w:uiPriority w:val="99"/>
    <w:unhideWhenUsed/>
    <w:rsid w:val="00A761F2"/>
    <w:rPr>
      <w:color w:val="0000FF" w:themeColor="hyperlink"/>
      <w:u w:val="single"/>
    </w:rPr>
  </w:style>
  <w:style w:type="character" w:styleId="PageNumber">
    <w:name w:val="page number"/>
    <w:basedOn w:val="DefaultParagraphFont"/>
    <w:semiHidden/>
    <w:rsid w:val="00BA188C"/>
  </w:style>
  <w:style w:type="paragraph" w:styleId="FootnoteText">
    <w:name w:val="footnote text"/>
    <w:basedOn w:val="Normal"/>
    <w:link w:val="FootnoteTextChar"/>
    <w:uiPriority w:val="99"/>
    <w:semiHidden/>
    <w:unhideWhenUsed/>
    <w:rsid w:val="00265BDE"/>
    <w:rPr>
      <w:sz w:val="20"/>
      <w:szCs w:val="20"/>
    </w:rPr>
  </w:style>
  <w:style w:type="character" w:customStyle="1" w:styleId="FootnoteTextChar">
    <w:name w:val="Footnote Text Char"/>
    <w:basedOn w:val="DefaultParagraphFont"/>
    <w:link w:val="FootnoteText"/>
    <w:uiPriority w:val="99"/>
    <w:semiHidden/>
    <w:rsid w:val="00265BDE"/>
    <w:rPr>
      <w:sz w:val="20"/>
      <w:szCs w:val="20"/>
    </w:rPr>
  </w:style>
  <w:style w:type="character" w:styleId="FootnoteReference">
    <w:name w:val="footnote reference"/>
    <w:basedOn w:val="DefaultParagraphFont"/>
    <w:uiPriority w:val="99"/>
    <w:semiHidden/>
    <w:unhideWhenUsed/>
    <w:rsid w:val="0026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7B0F006-42F1-4544-9025-7E7CC8C9C29C}">
  <ds:schemaRefs>
    <ds:schemaRef ds:uri="http://schemas.openxmlformats.org/officeDocument/2006/bibliography"/>
  </ds:schemaRefs>
</ds:datastoreItem>
</file>

<file path=customXml/itemProps2.xml><?xml version="1.0" encoding="utf-8"?>
<ds:datastoreItem xmlns:ds="http://schemas.openxmlformats.org/officeDocument/2006/customXml" ds:itemID="{B9A4B013-6ACA-4EF5-BEA7-1267DA165040}"/>
</file>

<file path=customXml/itemProps3.xml><?xml version="1.0" encoding="utf-8"?>
<ds:datastoreItem xmlns:ds="http://schemas.openxmlformats.org/officeDocument/2006/customXml" ds:itemID="{47C78752-A376-435A-9AA7-1559B88FC936}"/>
</file>

<file path=customXml/itemProps4.xml><?xml version="1.0" encoding="utf-8"?>
<ds:datastoreItem xmlns:ds="http://schemas.openxmlformats.org/officeDocument/2006/customXml" ds:itemID="{C0DD709D-6C09-49E7-B569-F4E523146B2D}"/>
</file>

<file path=docProps/app.xml><?xml version="1.0" encoding="utf-8"?>
<Properties xmlns="http://schemas.openxmlformats.org/officeDocument/2006/extended-properties" xmlns:vt="http://schemas.openxmlformats.org/officeDocument/2006/docPropsVTypes">
  <Template>Normal</Template>
  <TotalTime>0</TotalTime>
  <Pages>15</Pages>
  <Words>21273</Words>
  <Characters>12127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2022-08-03T13:37:00Z</dcterms:created>
  <dcterms:modified xsi:type="dcterms:W3CDTF">2022-10-31T12:10:00Z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