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CAE3" w14:textId="77777777" w:rsidR="00F91036" w:rsidRPr="00F91036" w:rsidRDefault="00F91036" w:rsidP="00F91036">
      <w:pPr>
        <w:spacing w:after="0" w:line="240" w:lineRule="auto"/>
        <w:jc w:val="right"/>
        <w:rPr>
          <w:rFonts w:ascii="Times New Roman" w:hAnsi="Times New Roman"/>
          <w:noProof/>
          <w:sz w:val="24"/>
          <w:lang w:val="en-US"/>
        </w:rPr>
      </w:pPr>
    </w:p>
    <w:p w14:paraId="27FC2DCC" w14:textId="77777777" w:rsidR="00F91036" w:rsidRPr="00F91036" w:rsidRDefault="00F91036" w:rsidP="00F91036">
      <w:pPr>
        <w:spacing w:after="0" w:line="240" w:lineRule="auto"/>
        <w:jc w:val="both"/>
        <w:rPr>
          <w:rFonts w:ascii="Times New Roman" w:hAnsi="Times New Roman"/>
          <w:noProof/>
          <w:sz w:val="20"/>
          <w:szCs w:val="18"/>
          <w:lang w:val="en-US"/>
        </w:rPr>
      </w:pPr>
      <w:r w:rsidRPr="00F91036">
        <w:rPr>
          <w:rFonts w:ascii="Times New Roman" w:hAnsi="Times New Roman"/>
          <w:noProof/>
          <w:sz w:val="20"/>
          <w:szCs w:val="18"/>
          <w:lang w:val="en-US"/>
        </w:rPr>
        <w:t>Text consolidated by Valsts valodas centrs (State Language Centre) with amending laws of:</w:t>
      </w:r>
    </w:p>
    <w:p w14:paraId="1075C1F4" w14:textId="77777777" w:rsidR="00F91036" w:rsidRPr="00F91036" w:rsidRDefault="00F91036" w:rsidP="00F91036">
      <w:pPr>
        <w:spacing w:after="0" w:line="240" w:lineRule="auto"/>
        <w:jc w:val="center"/>
        <w:rPr>
          <w:rFonts w:ascii="Times New Roman" w:hAnsi="Times New Roman"/>
          <w:noProof/>
          <w:sz w:val="20"/>
          <w:szCs w:val="18"/>
          <w:lang w:val="en-US"/>
        </w:rPr>
      </w:pPr>
      <w:r w:rsidRPr="00F91036">
        <w:rPr>
          <w:rFonts w:ascii="Times New Roman" w:hAnsi="Times New Roman"/>
          <w:noProof/>
          <w:sz w:val="20"/>
          <w:szCs w:val="18"/>
          <w:lang w:val="en-US"/>
        </w:rPr>
        <w:t>27 July 2001 [shall come into force on 1 January 2002];</w:t>
      </w:r>
    </w:p>
    <w:p w14:paraId="109E7520" w14:textId="77777777" w:rsidR="00F91036" w:rsidRPr="00F91036" w:rsidRDefault="00F91036" w:rsidP="00F91036">
      <w:pPr>
        <w:spacing w:after="0" w:line="240" w:lineRule="auto"/>
        <w:jc w:val="center"/>
        <w:rPr>
          <w:rFonts w:ascii="Times New Roman" w:hAnsi="Times New Roman"/>
          <w:noProof/>
          <w:sz w:val="20"/>
          <w:szCs w:val="18"/>
          <w:lang w:val="en-US"/>
        </w:rPr>
      </w:pPr>
      <w:r w:rsidRPr="00F91036">
        <w:rPr>
          <w:rFonts w:ascii="Times New Roman" w:hAnsi="Times New Roman"/>
          <w:noProof/>
          <w:sz w:val="20"/>
          <w:szCs w:val="18"/>
          <w:lang w:val="en-US"/>
        </w:rPr>
        <w:t>27 January 2005 [shall come into force on 18 February 2005];</w:t>
      </w:r>
    </w:p>
    <w:p w14:paraId="2A000B0B" w14:textId="77777777" w:rsidR="00F91036" w:rsidRPr="00F91036" w:rsidRDefault="00F91036" w:rsidP="00F91036">
      <w:pPr>
        <w:spacing w:after="0" w:line="240" w:lineRule="auto"/>
        <w:jc w:val="center"/>
        <w:rPr>
          <w:rFonts w:ascii="Times New Roman" w:hAnsi="Times New Roman"/>
          <w:noProof/>
          <w:sz w:val="20"/>
          <w:szCs w:val="18"/>
          <w:lang w:val="en-US"/>
        </w:rPr>
      </w:pPr>
      <w:r w:rsidRPr="00F91036">
        <w:rPr>
          <w:rFonts w:ascii="Times New Roman" w:hAnsi="Times New Roman"/>
          <w:noProof/>
          <w:sz w:val="20"/>
          <w:szCs w:val="18"/>
          <w:lang w:val="en-US"/>
        </w:rPr>
        <w:t>17 December 2009 [shall come into force on 13 January 2010];</w:t>
      </w:r>
    </w:p>
    <w:p w14:paraId="5EB4643C" w14:textId="77777777" w:rsidR="00F91036" w:rsidRPr="00F91036" w:rsidRDefault="00F91036" w:rsidP="00F91036">
      <w:pPr>
        <w:spacing w:after="0" w:line="240" w:lineRule="auto"/>
        <w:jc w:val="center"/>
        <w:rPr>
          <w:rFonts w:ascii="Times New Roman" w:hAnsi="Times New Roman"/>
          <w:noProof/>
          <w:sz w:val="20"/>
          <w:szCs w:val="18"/>
          <w:lang w:val="en-US"/>
        </w:rPr>
      </w:pPr>
      <w:r w:rsidRPr="00F91036">
        <w:rPr>
          <w:rFonts w:ascii="Times New Roman" w:hAnsi="Times New Roman"/>
          <w:noProof/>
          <w:sz w:val="20"/>
          <w:szCs w:val="18"/>
          <w:lang w:val="en-US"/>
        </w:rPr>
        <w:t>14 March 2013 [shall come into force on 10 April 2013];</w:t>
      </w:r>
    </w:p>
    <w:p w14:paraId="49763753" w14:textId="77777777" w:rsidR="00F91036" w:rsidRPr="00F91036" w:rsidRDefault="00F91036" w:rsidP="00F91036">
      <w:pPr>
        <w:spacing w:after="0" w:line="240" w:lineRule="auto"/>
        <w:jc w:val="center"/>
        <w:rPr>
          <w:rFonts w:ascii="Times New Roman" w:hAnsi="Times New Roman"/>
          <w:noProof/>
          <w:sz w:val="20"/>
          <w:szCs w:val="18"/>
          <w:lang w:val="en-US"/>
        </w:rPr>
      </w:pPr>
      <w:r w:rsidRPr="00F91036">
        <w:rPr>
          <w:rFonts w:ascii="Times New Roman" w:hAnsi="Times New Roman"/>
          <w:noProof/>
          <w:sz w:val="20"/>
          <w:szCs w:val="18"/>
          <w:lang w:val="en-US"/>
        </w:rPr>
        <w:t>12 September 2013 [shall come into force on 1 January 2014].</w:t>
      </w:r>
    </w:p>
    <w:p w14:paraId="573549B6" w14:textId="77777777" w:rsidR="00F91036" w:rsidRPr="00F91036" w:rsidRDefault="00F91036" w:rsidP="00F91036">
      <w:pPr>
        <w:spacing w:after="0" w:line="240" w:lineRule="auto"/>
        <w:jc w:val="both"/>
        <w:rPr>
          <w:rFonts w:ascii="Times New Roman" w:hAnsi="Times New Roman"/>
          <w:noProof/>
          <w:sz w:val="20"/>
          <w:szCs w:val="18"/>
          <w:lang w:val="en-US"/>
        </w:rPr>
      </w:pPr>
      <w:r w:rsidRPr="00F91036">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259ADCD" w14:textId="77777777" w:rsidR="00F91036" w:rsidRPr="00F91036" w:rsidRDefault="00F91036" w:rsidP="00F91036">
      <w:pPr>
        <w:spacing w:after="0" w:line="240" w:lineRule="auto"/>
        <w:jc w:val="both"/>
        <w:rPr>
          <w:rFonts w:ascii="Times New Roman" w:hAnsi="Times New Roman"/>
          <w:noProof/>
          <w:sz w:val="24"/>
          <w:lang w:val="en-US"/>
        </w:rPr>
      </w:pPr>
    </w:p>
    <w:p w14:paraId="356D4D6B" w14:textId="77777777" w:rsidR="00F91036" w:rsidRPr="00F91036" w:rsidRDefault="00F91036" w:rsidP="00F91036">
      <w:pPr>
        <w:spacing w:after="0" w:line="240" w:lineRule="auto"/>
        <w:jc w:val="right"/>
        <w:rPr>
          <w:rFonts w:ascii="Times New Roman" w:hAnsi="Times New Roman"/>
          <w:noProof/>
          <w:sz w:val="24"/>
          <w:lang w:val="en-US"/>
        </w:rPr>
      </w:pPr>
      <w:r w:rsidRPr="00F91036">
        <w:rPr>
          <w:rFonts w:ascii="Times New Roman" w:hAnsi="Times New Roman"/>
          <w:noProof/>
          <w:sz w:val="24"/>
          <w:lang w:val="en-US"/>
        </w:rPr>
        <w:t xml:space="preserve">The </w:t>
      </w:r>
      <w:r w:rsidRPr="00F91036">
        <w:rPr>
          <w:rFonts w:ascii="Times New Roman" w:hAnsi="Times New Roman"/>
          <w:i/>
          <w:iCs/>
          <w:noProof/>
          <w:sz w:val="24"/>
          <w:lang w:val="en-US"/>
        </w:rPr>
        <w:t>Saeima</w:t>
      </w:r>
      <w:r w:rsidRPr="00F91036">
        <w:rPr>
          <w:rFonts w:ascii="Times New Roman" w:hAnsi="Times New Roman"/>
          <w:noProof/>
          <w:sz w:val="24"/>
          <w:vertAlign w:val="superscript"/>
          <w:lang w:val="en-US"/>
        </w:rPr>
        <w:t>1</w:t>
      </w:r>
      <w:r w:rsidRPr="00F91036">
        <w:rPr>
          <w:rFonts w:ascii="Times New Roman" w:hAnsi="Times New Roman"/>
          <w:noProof/>
          <w:sz w:val="24"/>
          <w:lang w:val="en-US"/>
        </w:rPr>
        <w:t xml:space="preserve"> has adopted and</w:t>
      </w:r>
    </w:p>
    <w:p w14:paraId="3D3FC156" w14:textId="77777777" w:rsidR="00F91036" w:rsidRPr="00F91036" w:rsidRDefault="00F91036" w:rsidP="00F91036">
      <w:pPr>
        <w:spacing w:after="0" w:line="240" w:lineRule="auto"/>
        <w:jc w:val="right"/>
        <w:rPr>
          <w:rFonts w:ascii="Times New Roman" w:hAnsi="Times New Roman"/>
          <w:noProof/>
          <w:sz w:val="24"/>
          <w:lang w:val="en-US"/>
        </w:rPr>
      </w:pPr>
      <w:r w:rsidRPr="00F91036">
        <w:rPr>
          <w:rFonts w:ascii="Times New Roman" w:hAnsi="Times New Roman"/>
          <w:noProof/>
          <w:sz w:val="24"/>
          <w:lang w:val="en-US"/>
        </w:rPr>
        <w:t>the President has proclaimed the following law:</w:t>
      </w:r>
    </w:p>
    <w:p w14:paraId="51E8D450"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6C25D342"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02266EC9" w14:textId="77777777" w:rsidR="00F91036" w:rsidRPr="00F91036" w:rsidRDefault="00F91036" w:rsidP="00F91036">
      <w:pPr>
        <w:spacing w:after="0" w:line="240" w:lineRule="auto"/>
        <w:jc w:val="center"/>
        <w:rPr>
          <w:rFonts w:ascii="Times New Roman" w:hAnsi="Times New Roman"/>
          <w:b/>
          <w:noProof/>
          <w:sz w:val="28"/>
          <w:lang w:val="en-US"/>
        </w:rPr>
      </w:pPr>
      <w:r w:rsidRPr="00F91036">
        <w:rPr>
          <w:rFonts w:ascii="Times New Roman" w:hAnsi="Times New Roman"/>
          <w:b/>
          <w:noProof/>
          <w:sz w:val="28"/>
          <w:lang w:val="en-US"/>
        </w:rPr>
        <w:t>Law on the Rēzekne Special Economic Zone</w:t>
      </w:r>
    </w:p>
    <w:p w14:paraId="1774C666"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75EC056E"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7A993DA6" w14:textId="77777777" w:rsidR="00F91036" w:rsidRPr="00F91036" w:rsidRDefault="00F91036" w:rsidP="00F91036">
      <w:pPr>
        <w:spacing w:after="0" w:line="240" w:lineRule="auto"/>
        <w:jc w:val="center"/>
        <w:rPr>
          <w:rFonts w:ascii="Times New Roman" w:hAnsi="Times New Roman"/>
          <w:b/>
          <w:noProof/>
          <w:sz w:val="24"/>
          <w:lang w:val="en-US"/>
        </w:rPr>
      </w:pPr>
      <w:bookmarkStart w:id="0" w:name="n1"/>
      <w:bookmarkStart w:id="1" w:name="n-20041"/>
      <w:bookmarkEnd w:id="0"/>
      <w:bookmarkEnd w:id="1"/>
      <w:r w:rsidRPr="00F91036">
        <w:rPr>
          <w:rFonts w:ascii="Times New Roman" w:hAnsi="Times New Roman"/>
          <w:b/>
          <w:noProof/>
          <w:sz w:val="24"/>
          <w:lang w:val="en-US"/>
        </w:rPr>
        <w:t>Chapter I</w:t>
      </w:r>
    </w:p>
    <w:p w14:paraId="63DF10B3"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General Provisions</w:t>
      </w:r>
    </w:p>
    <w:p w14:paraId="7F90858E"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2" w:name="p1"/>
      <w:bookmarkStart w:id="3" w:name="p-322232"/>
      <w:bookmarkEnd w:id="2"/>
      <w:bookmarkEnd w:id="3"/>
    </w:p>
    <w:p w14:paraId="66609351"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 </w:t>
      </w:r>
      <w:r w:rsidRPr="00F91036">
        <w:rPr>
          <w:rFonts w:ascii="Times New Roman" w:hAnsi="Times New Roman"/>
          <w:noProof/>
          <w:sz w:val="24"/>
          <w:lang w:val="en-US"/>
        </w:rPr>
        <w:t>The following terms are used in this Law:</w:t>
      </w:r>
    </w:p>
    <w:p w14:paraId="220078A6" w14:textId="77777777" w:rsidR="00F91036" w:rsidRPr="00F91036" w:rsidRDefault="00F91036" w:rsidP="00F91036">
      <w:pPr>
        <w:spacing w:after="0" w:line="240" w:lineRule="auto"/>
        <w:ind w:firstLine="709"/>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 xml:space="preserve">1) </w:t>
      </w:r>
      <w:r w:rsidRPr="00F91036">
        <w:rPr>
          <w:rFonts w:ascii="Times New Roman" w:hAnsi="Times New Roman"/>
          <w:b/>
          <w:bCs/>
          <w:noProof/>
          <w:sz w:val="24"/>
          <w:lang w:val="en-US"/>
        </w:rPr>
        <w:t>territory of the Rēzekne Special Economic Zone </w:t>
      </w:r>
      <w:r w:rsidRPr="00F91036">
        <w:rPr>
          <w:rFonts w:ascii="Times New Roman" w:hAnsi="Times New Roman"/>
          <w:noProof/>
          <w:sz w:val="24"/>
          <w:lang w:val="en-US"/>
        </w:rPr>
        <w:t>– part of the territory of Rēzekne city and Rēzekne municipality which has been established for the achievement of the objectives defined in this Law and the borders of which have been defined by this Law;</w:t>
      </w:r>
    </w:p>
    <w:p w14:paraId="07213334" w14:textId="77777777" w:rsidR="00F91036" w:rsidRPr="00F91036" w:rsidRDefault="00F91036" w:rsidP="00F91036">
      <w:pPr>
        <w:spacing w:after="0" w:line="240" w:lineRule="auto"/>
        <w:ind w:firstLine="709"/>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 xml:space="preserve">2) </w:t>
      </w:r>
      <w:r w:rsidRPr="00F91036">
        <w:rPr>
          <w:rFonts w:ascii="Times New Roman" w:hAnsi="Times New Roman"/>
          <w:b/>
          <w:bCs/>
          <w:noProof/>
          <w:sz w:val="24"/>
          <w:lang w:val="en-US"/>
        </w:rPr>
        <w:t>investors of the Rēzekne Special Economic Zone </w:t>
      </w:r>
      <w:r w:rsidRPr="00F91036">
        <w:rPr>
          <w:rFonts w:ascii="Times New Roman" w:hAnsi="Times New Roman"/>
          <w:noProof/>
          <w:sz w:val="24"/>
          <w:lang w:val="en-US"/>
        </w:rPr>
        <w:t>– Latvian or foreign natural or legal persons which have entered into a contract with the Rēzekne Special Economic Zone Authority on investments for the performance of commercial activity in the territory of the Rēzekne Special Economic Zone;</w:t>
      </w:r>
    </w:p>
    <w:p w14:paraId="1FB5FC87" w14:textId="77777777" w:rsidR="00F91036" w:rsidRPr="00F91036" w:rsidRDefault="00F91036" w:rsidP="00F91036">
      <w:pPr>
        <w:spacing w:after="0" w:line="240" w:lineRule="auto"/>
        <w:ind w:firstLine="709"/>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 xml:space="preserve">3) </w:t>
      </w:r>
      <w:r w:rsidRPr="00F91036">
        <w:rPr>
          <w:rFonts w:ascii="Times New Roman" w:hAnsi="Times New Roman"/>
          <w:b/>
          <w:noProof/>
          <w:sz w:val="24"/>
          <w:lang w:val="en-US"/>
        </w:rPr>
        <w:t>merchants of the Rēzekne Special Economic Zone </w:t>
      </w:r>
      <w:r w:rsidRPr="00F91036">
        <w:rPr>
          <w:rFonts w:ascii="Times New Roman" w:hAnsi="Times New Roman"/>
          <w:noProof/>
          <w:sz w:val="24"/>
          <w:lang w:val="en-US"/>
        </w:rPr>
        <w:t>– merchants which have been established or restructured in accordance with the procedures laid down in this Law and which are located in the territory of the Rēzekne Special Economic Zone, and which have entered into contracts with the Rēzekne Special Economic Zone Authority on commercial activity in the territory of the Rēzekne Special Economic Zone;</w:t>
      </w:r>
    </w:p>
    <w:p w14:paraId="23A58815"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4) [27 July 2001];</w:t>
      </w:r>
    </w:p>
    <w:p w14:paraId="20625A95" w14:textId="77777777" w:rsidR="00F91036" w:rsidRPr="00F91036" w:rsidRDefault="00F91036" w:rsidP="00F91036">
      <w:pPr>
        <w:spacing w:after="0" w:line="240" w:lineRule="auto"/>
        <w:ind w:firstLine="709"/>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 xml:space="preserve">5) </w:t>
      </w:r>
      <w:r w:rsidRPr="00F91036">
        <w:rPr>
          <w:rFonts w:ascii="Times New Roman" w:hAnsi="Times New Roman"/>
          <w:b/>
          <w:bCs/>
          <w:noProof/>
          <w:sz w:val="24"/>
          <w:lang w:val="en-US"/>
        </w:rPr>
        <w:t>support foundation for commercial activity of the Rēzekne Special Economic Zone </w:t>
      </w:r>
      <w:r w:rsidRPr="00F91036">
        <w:rPr>
          <w:rFonts w:ascii="Times New Roman" w:hAnsi="Times New Roman"/>
          <w:noProof/>
          <w:sz w:val="24"/>
          <w:lang w:val="en-US"/>
        </w:rPr>
        <w:t>– an authority established to promote the development of the Rēzekne Special Economic Zone.</w:t>
      </w:r>
    </w:p>
    <w:p w14:paraId="7839CE82"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July 2001; 27 January 2005; 17 December 2009</w:t>
      </w:r>
      <w:r w:rsidRPr="00F91036">
        <w:rPr>
          <w:rFonts w:ascii="Times New Roman" w:hAnsi="Times New Roman"/>
          <w:noProof/>
          <w:sz w:val="24"/>
          <w:lang w:val="en-US"/>
        </w:rPr>
        <w:t>]</w:t>
      </w:r>
    </w:p>
    <w:p w14:paraId="5CB43CE6"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29572"/>
      <w:bookmarkEnd w:id="4"/>
      <w:bookmarkEnd w:id="5"/>
    </w:p>
    <w:p w14:paraId="09911E26"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 </w:t>
      </w:r>
      <w:r w:rsidRPr="00F91036">
        <w:rPr>
          <w:rFonts w:ascii="Times New Roman" w:hAnsi="Times New Roman"/>
          <w:noProof/>
          <w:sz w:val="24"/>
          <w:lang w:val="en-US"/>
        </w:rPr>
        <w:t>This Law prescribes the procedures for the administration and use of the Rēzekne Special Economic Zone, the specific nature of the performance of commercial activity and investments, and also action with immovable property in the Rēzekne Special Economic Zone.</w:t>
      </w:r>
    </w:p>
    <w:p w14:paraId="1F3E3C1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31935515"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322237"/>
      <w:bookmarkEnd w:id="6"/>
      <w:bookmarkEnd w:id="7"/>
    </w:p>
    <w:p w14:paraId="7C33D899"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3. </w:t>
      </w:r>
      <w:r w:rsidRPr="00F91036">
        <w:rPr>
          <w:rFonts w:ascii="Times New Roman" w:hAnsi="Times New Roman"/>
          <w:noProof/>
          <w:sz w:val="24"/>
          <w:lang w:val="en-US"/>
        </w:rPr>
        <w:t>(1) The Rēzekne Special Economic Zone has been established with the objective of promoting trade, developing industry and transport, and also export and import of goods through Latvia. The task of the Rēzekne Special Economic Zone shall be to attract investments for the development of manufacturing and infrastructure and creation of new workplaces.</w:t>
      </w:r>
    </w:p>
    <w:p w14:paraId="6C095AD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Rēzekne Special Economic Zone shall promote the development of Rēzekne, Rēzekne municipality, and the entire Latgale region.</w:t>
      </w:r>
    </w:p>
    <w:p w14:paraId="3DEEF4A6"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132C589A"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322322"/>
      <w:bookmarkEnd w:id="8"/>
      <w:bookmarkEnd w:id="9"/>
    </w:p>
    <w:p w14:paraId="274FCCAF"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4. </w:t>
      </w:r>
      <w:r w:rsidRPr="00F91036">
        <w:rPr>
          <w:rFonts w:ascii="Times New Roman" w:hAnsi="Times New Roman"/>
          <w:noProof/>
          <w:sz w:val="24"/>
          <w:lang w:val="en-US"/>
        </w:rPr>
        <w:t>The Rēzekne Special Economic Zone shall consist of the territory of the Rēzekne Special Economic Zone where the merchants of the Rēzekne Special Economic Zone perform commercial activity and which is administered and supervised by the Rēzekne Special Economic Zone Authority.</w:t>
      </w:r>
    </w:p>
    <w:p w14:paraId="3B6C2D04"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4007CB52"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10" w:name="p5"/>
      <w:bookmarkStart w:id="11" w:name="p-322325"/>
      <w:bookmarkEnd w:id="10"/>
      <w:bookmarkEnd w:id="11"/>
    </w:p>
    <w:p w14:paraId="060FCC9A"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5. </w:t>
      </w:r>
      <w:r w:rsidRPr="00F91036">
        <w:rPr>
          <w:rFonts w:ascii="Times New Roman" w:hAnsi="Times New Roman"/>
          <w:noProof/>
          <w:sz w:val="24"/>
          <w:lang w:val="en-US"/>
        </w:rPr>
        <w:t>(1) The Rēzekne Special Economic Zone Authority shall, in accordance with the procedures laid down in this Law, enter into contracts with the merchants of the Rēzekne Special Economic Zone on commercial activity in the territory of the Rēzekne Special Economic Zone.</w:t>
      </w:r>
    </w:p>
    <w:p w14:paraId="2728F22F"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If necessary, the Rēzekne Special Economic Zone Authority shall, in accordance with the procedures laid down in this Law, lease or sell, if necessary, the land located in the territory of the Rēzekne Special Economic Zone and other immovable property to the merchants of the Rēzekne Special Economic Zone.</w:t>
      </w:r>
    </w:p>
    <w:p w14:paraId="68DFBE6D"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6A995521"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12" w:name="p6"/>
      <w:bookmarkStart w:id="13" w:name="p-322244"/>
      <w:bookmarkEnd w:id="12"/>
      <w:bookmarkEnd w:id="13"/>
    </w:p>
    <w:p w14:paraId="1763C4A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6. </w:t>
      </w:r>
      <w:r w:rsidRPr="00F91036">
        <w:rPr>
          <w:rFonts w:ascii="Times New Roman" w:hAnsi="Times New Roman"/>
          <w:noProof/>
          <w:sz w:val="24"/>
          <w:lang w:val="en-US"/>
        </w:rPr>
        <w:t>The territory of the Rēzekne Special Economic Zone is defined in accordance with the Territorial Plan of the Rēzekne Special Economic Zone (Annex 1), the Description of Borders of the Territory of the Rēzekne Special Economic Zone (Annex 2), and the Diagram of the Description of Section Borders of the Territorial Plan of the Rēzekne Special Economic Zone (Annex 3).</w:t>
      </w:r>
    </w:p>
    <w:p w14:paraId="697C298F"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5B534C8E"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14" w:name="p7"/>
      <w:bookmarkStart w:id="15" w:name="p-29573"/>
      <w:bookmarkEnd w:id="14"/>
      <w:bookmarkEnd w:id="15"/>
    </w:p>
    <w:p w14:paraId="25ACDC39"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7. </w:t>
      </w:r>
      <w:r w:rsidRPr="00F91036">
        <w:rPr>
          <w:rFonts w:ascii="Times New Roman" w:hAnsi="Times New Roman"/>
          <w:noProof/>
          <w:sz w:val="24"/>
          <w:lang w:val="en-US"/>
        </w:rPr>
        <w:t>Laws and other regulatory enactments of the Republic of Latvia shall be fully in force in the territory of the Rēzekne Special Economic Zone. This Law prescribes exceptions in relation to the merchants of the Rēzekne Special Economic Zone only in matters concerning commercial activity and investments, and also in relation to action with the immovable property.</w:t>
      </w:r>
    </w:p>
    <w:p w14:paraId="73893B1D"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July 2001; 27 January 2005</w:t>
      </w:r>
      <w:r w:rsidRPr="00F91036">
        <w:rPr>
          <w:rFonts w:ascii="Times New Roman" w:hAnsi="Times New Roman"/>
          <w:noProof/>
          <w:sz w:val="24"/>
          <w:lang w:val="en-US"/>
        </w:rPr>
        <w:t>]</w:t>
      </w:r>
    </w:p>
    <w:p w14:paraId="72ADC184"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16" w:name="n2"/>
      <w:bookmarkStart w:id="17" w:name="n-322246"/>
      <w:bookmarkEnd w:id="16"/>
      <w:bookmarkEnd w:id="17"/>
    </w:p>
    <w:p w14:paraId="0EE5DA12"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Chapter II</w:t>
      </w:r>
    </w:p>
    <w:p w14:paraId="22EB946C"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Rēzekne Special Economic Zone Authority</w:t>
      </w:r>
    </w:p>
    <w:p w14:paraId="42A9A955" w14:textId="77777777" w:rsidR="00F91036" w:rsidRPr="00F91036" w:rsidRDefault="00F91036" w:rsidP="00F91036">
      <w:pPr>
        <w:spacing w:after="0" w:line="240" w:lineRule="auto"/>
        <w:jc w:val="center"/>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01D20144"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322256"/>
      <w:bookmarkEnd w:id="18"/>
      <w:bookmarkEnd w:id="19"/>
    </w:p>
    <w:p w14:paraId="708749F1"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8. </w:t>
      </w:r>
      <w:r w:rsidRPr="00F91036">
        <w:rPr>
          <w:rFonts w:ascii="Times New Roman" w:hAnsi="Times New Roman"/>
          <w:noProof/>
          <w:sz w:val="24"/>
          <w:lang w:val="en-US"/>
        </w:rPr>
        <w:t>(1) The supervision of the Rēzekne Special Economic Zone Authority shall be exercised by an institution established jointly by local governments, i.e. the Rēzekne Special Economic Zone Authority in accordance with the functions laid down in this Law and the approved by-laws.</w:t>
      </w:r>
    </w:p>
    <w:p w14:paraId="112CA442"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functions of the Rēzekne Special Economic Zone Authority shall be performed by the supervisory board of the Rēzekne Special Economic Zone and the executive body of the Rēzekne Special Economic Zone, chaired by the administrator of the Rēzekne Special Economic Zone.</w:t>
      </w:r>
    </w:p>
    <w:p w14:paraId="78A62C3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19FA9186"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322259"/>
      <w:bookmarkEnd w:id="20"/>
      <w:bookmarkEnd w:id="21"/>
    </w:p>
    <w:p w14:paraId="3CAD71DC"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9. </w:t>
      </w:r>
      <w:r w:rsidRPr="00F91036">
        <w:rPr>
          <w:rFonts w:ascii="Times New Roman" w:hAnsi="Times New Roman"/>
          <w:noProof/>
          <w:sz w:val="24"/>
          <w:lang w:val="en-US"/>
        </w:rPr>
        <w:t>(1) The supervisory board of the Rēzekne Special Economic Zone Authority shall be the supreme collective supervisory and administrative body of the Rēzekne Special Economic Zone.</w:t>
      </w:r>
    </w:p>
    <w:p w14:paraId="64F5D6E4"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deputy chairpersons of local government councils forming the supervisory board of the Rēzekne Special Economic Zone or other officials are delegated to work in the supervisory board of the Rēzekne Special Economic Zone Authority. The minimum number of the supervisory board members shall be three.</w:t>
      </w:r>
    </w:p>
    <w:p w14:paraId="4641DE17"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The work of the supervisory board of the Rēzekne Special Economic Zone Authority shall be managed by the chairperson of the supervisory board. The duties of the chairperson of the supervisory board shall be performed by the deputy chairperson of the local government council with the largest population, unless local governments agree otherwise.</w:t>
      </w:r>
    </w:p>
    <w:p w14:paraId="67F1FC75"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496F081E"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322267"/>
      <w:bookmarkEnd w:id="22"/>
      <w:bookmarkEnd w:id="23"/>
    </w:p>
    <w:p w14:paraId="43974B27"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10. </w:t>
      </w:r>
      <w:r w:rsidRPr="00F91036">
        <w:rPr>
          <w:rFonts w:ascii="Times New Roman" w:hAnsi="Times New Roman"/>
          <w:noProof/>
          <w:sz w:val="24"/>
          <w:lang w:val="en-US"/>
        </w:rPr>
        <w:t>(1) The supervisory board of the Rēzekne Special Economic Zone shall perform the following functions:</w:t>
      </w:r>
    </w:p>
    <w:p w14:paraId="1E2AF25C"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approve the development plan of the Rēzekne Special Economic Zone in accordance with this Law and the State, local government, and public interests, and also approve the action plan and the annual budget of the Rēzekne Special Economic Zone Authority;</w:t>
      </w:r>
    </w:p>
    <w:p w14:paraId="70A06911"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enter into contracts with the investors of the Rēzekne Special Economic Zone on investments and on activity of commercial companies in the territory of the Rēzekne Special Economic Zone;</w:t>
      </w:r>
    </w:p>
    <w:p w14:paraId="54EBB37A"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enter into contracts with the commercial companies of the Rēzekne Special Economic Zone on the commercial activity thereof in the territory of the Rēzekne Special Economic Zone;</w:t>
      </w:r>
    </w:p>
    <w:p w14:paraId="7151245C"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4) issue an authorisation to the commercial companies of the Rēzekne Special Economic Zone on the rights to apply the tax exemptions provided for in the law On the Application of Taxes in Free Ports and Special Economic Zones;</w:t>
      </w:r>
    </w:p>
    <w:p w14:paraId="50ECE3D8"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5) determine the free zones and the borders thereof, coordinating eligibility of these zones for the introduction of the free zone regime with the State Revenue Service;</w:t>
      </w:r>
    </w:p>
    <w:p w14:paraId="2AEDAA37"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6) enter into contracts on leasing or alienation of the land located in the territory of the Rēzekne Special Economic Zone, except for the cases referred to in this Law when privatisation of land and other immovable property in the territory of the Rēzekne Special Economic Zone is performed by other authorities;</w:t>
      </w:r>
    </w:p>
    <w:p w14:paraId="7AA7C429"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7) enter into contracts with the commercial companies of the Rēzekne Special Economic Zone on transfer of separate economic functions to them in separate service areas of the Rēzekne Special Economic Zone or in separate parts of the territory of the Rēzekne Special Economic Zone;</w:t>
      </w:r>
    </w:p>
    <w:p w14:paraId="111D6457"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8) control the fulfilment of the contracts entered into;</w:t>
      </w:r>
    </w:p>
    <w:p w14:paraId="2F9F126E"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9) evaluate the performance of the joint institution;</w:t>
      </w:r>
    </w:p>
    <w:p w14:paraId="0492E1FA"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10) perform the duties of the free zone administration laid down in the laws and regulations in the territory of the Rēzekne Special Economic Zone;</w:t>
      </w:r>
    </w:p>
    <w:p w14:paraId="11F3E966"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11) administer the support foundation for commercial activity of the Rēzekne Special Economic Zone;</w:t>
      </w:r>
    </w:p>
    <w:p w14:paraId="554D9CA9"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12) manage and control the activities of the executive body of the Rēzekne Special Economic Zone Authority.</w:t>
      </w:r>
    </w:p>
    <w:p w14:paraId="1D7FD87D"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supervisory board of the Rēzekne Special Economic Zone shall also decide on other matters falling within its field of competence in accordance with this Law, the By-laws of the Rēzekne Special Economic Zone Authority, and other laws and regulations in force.</w:t>
      </w:r>
    </w:p>
    <w:p w14:paraId="4CA0E5C3"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The supervisory board of the Rēzekne Special Economic Zone Authority may take over to its field of competence any matter transferred to the field of competence of the executive body of the Rēzekne Special Economic Zone.</w:t>
      </w:r>
    </w:p>
    <w:p w14:paraId="539B461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06DC37C0"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24" w:name="p11"/>
      <w:bookmarkStart w:id="25" w:name="p-29552"/>
      <w:bookmarkEnd w:id="24"/>
      <w:bookmarkEnd w:id="25"/>
    </w:p>
    <w:p w14:paraId="495362FE" w14:textId="77777777" w:rsidR="00F91036" w:rsidRPr="00F91036" w:rsidRDefault="00F91036" w:rsidP="00F91036">
      <w:pPr>
        <w:spacing w:after="0" w:line="240" w:lineRule="auto"/>
        <w:jc w:val="both"/>
        <w:rPr>
          <w:rFonts w:ascii="Times New Roman" w:hAnsi="Times New Roman"/>
          <w:b/>
          <w:noProof/>
          <w:sz w:val="24"/>
          <w:lang w:val="en-US"/>
        </w:rPr>
      </w:pPr>
      <w:r w:rsidRPr="00F91036">
        <w:rPr>
          <w:rFonts w:ascii="Times New Roman" w:hAnsi="Times New Roman"/>
          <w:b/>
          <w:noProof/>
          <w:sz w:val="24"/>
          <w:lang w:val="en-US"/>
        </w:rPr>
        <w:t>Section 11.</w:t>
      </w:r>
    </w:p>
    <w:p w14:paraId="1F09847D"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[27 January 2005]</w:t>
      </w:r>
    </w:p>
    <w:p w14:paraId="4B2C7D8F"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26" w:name="p11_1"/>
      <w:bookmarkStart w:id="27" w:name="p-322275"/>
      <w:bookmarkEnd w:id="26"/>
      <w:bookmarkEnd w:id="27"/>
    </w:p>
    <w:p w14:paraId="04D9C21A"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b/>
          <w:noProof/>
          <w:sz w:val="24"/>
          <w:lang w:val="en-US"/>
        </w:rPr>
        <w:t>Section 11.</w:t>
      </w:r>
      <w:r w:rsidRPr="00F91036">
        <w:rPr>
          <w:rFonts w:ascii="Times New Roman" w:hAnsi="Times New Roman"/>
          <w:b/>
          <w:noProof/>
          <w:sz w:val="24"/>
          <w:vertAlign w:val="superscript"/>
          <w:lang w:val="en-US"/>
        </w:rPr>
        <w:t xml:space="preserve">1 </w:t>
      </w:r>
      <w:r w:rsidRPr="00F91036">
        <w:rPr>
          <w:rFonts w:ascii="Times New Roman" w:hAnsi="Times New Roman"/>
          <w:noProof/>
          <w:sz w:val="24"/>
          <w:lang w:val="en-US"/>
        </w:rPr>
        <w:t>(1) The executive body of the Rēzekne Special Economic Zone shall perform the following functions:</w:t>
      </w:r>
    </w:p>
    <w:p w14:paraId="30F8092E"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draw up the development plan of the Rēzekne Special Economic Zone in accordance with this Law, the State, local government, and public interests;</w:t>
      </w:r>
    </w:p>
    <w:p w14:paraId="36850A38"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develop a draft budget for the use of financial resources for the next calendar year and subsequent years and, if necessary, adjustments in the prospective budget regarding the use of financial resources submitted in the previous year in accordance with the procedures laid down in the By-laws of the Rēzekne Special Economic Zone Authority;</w:t>
      </w:r>
    </w:p>
    <w:p w14:paraId="28E5DE63"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organise research and assessment of the Rēzekne Special Economic Zone, distribute information, and perform market research for the attraction of investors;</w:t>
      </w:r>
    </w:p>
    <w:p w14:paraId="15913FDA"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4) organise the attraction of investors through their own efforts, entering into contracts with special agencies and commercial companies;</w:t>
      </w:r>
    </w:p>
    <w:p w14:paraId="004B5768"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5) ensure the fulfilment of the development plan of the Rēzekne Special Economic Zone;</w:t>
      </w:r>
    </w:p>
    <w:p w14:paraId="6564CFA6"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6) organise establishment of infrastructure and construction of communications in the territory of the Rēzekne Special Economic Zone in accordance with the development plan of the Rēzekne Special Economic Zone;</w:t>
      </w:r>
    </w:p>
    <w:p w14:paraId="677F0D36"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7) participate in the development of the infrastructure in the territory of the Rēzekne Special Economic Zone;</w:t>
      </w:r>
    </w:p>
    <w:p w14:paraId="102ACD27"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8) ensure a set of services for the investors of the Rēzekne Special Economic Zone and the commercial companies of the Rēzekne Special Economic Zone;</w:t>
      </w:r>
    </w:p>
    <w:p w14:paraId="550D004C"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9) perform other functions, except for those specified in Section 10 of this Law.</w:t>
      </w:r>
    </w:p>
    <w:p w14:paraId="6ED1471D"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6DA205C4"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28" w:name="p12"/>
      <w:bookmarkStart w:id="29" w:name="p-322278"/>
      <w:bookmarkEnd w:id="28"/>
      <w:bookmarkEnd w:id="29"/>
    </w:p>
    <w:p w14:paraId="7BC40F22"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12. </w:t>
      </w:r>
      <w:r w:rsidRPr="00F91036">
        <w:rPr>
          <w:rFonts w:ascii="Times New Roman" w:hAnsi="Times New Roman"/>
          <w:noProof/>
          <w:sz w:val="24"/>
          <w:lang w:val="en-US"/>
        </w:rPr>
        <w:t>(1) The executive body of the Rēzekne Special Economic Zone shall be the executive and representative body of the Rēzekne Special Economic Zone Authority.</w:t>
      </w:r>
    </w:p>
    <w:p w14:paraId="2B8590F3"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administrator of the Rēzekne Special Economic Zone shall be appointed by the supervisory board of the Rēzekne Special Economic Zone Authority.</w:t>
      </w:r>
    </w:p>
    <w:p w14:paraId="3E168F06"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The executive body of the Rēzekne Special Economic Zone shall be appointed and managed by the administrator of the Rēzekne Special Economic Zone.</w:t>
      </w:r>
    </w:p>
    <w:p w14:paraId="02799D5E"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(4) The rights and obligations of the executive body and administrator of the Rēzekne Special Economic Zone shall be determined by the By-laws of the Rēzekne Special Economic Zone Authority.</w:t>
      </w:r>
    </w:p>
    <w:p w14:paraId="0E96DDDE"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4CCA4266"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30" w:name="p13"/>
      <w:bookmarkStart w:id="31" w:name="p-322329"/>
      <w:bookmarkEnd w:id="30"/>
      <w:bookmarkEnd w:id="31"/>
    </w:p>
    <w:p w14:paraId="06622F1B"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13. </w:t>
      </w:r>
      <w:r w:rsidRPr="00F91036">
        <w:rPr>
          <w:rFonts w:ascii="Times New Roman" w:hAnsi="Times New Roman"/>
          <w:noProof/>
          <w:sz w:val="24"/>
          <w:lang w:val="en-US"/>
        </w:rPr>
        <w:t>(1) The budget of the Rēzekne Special Economic Zone Authority shall consist of:</w:t>
      </w:r>
    </w:p>
    <w:p w14:paraId="7FB5CF6F"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the revenues resulting from the activity of the Rēzekne Special Economic Zone Authority;</w:t>
      </w:r>
    </w:p>
    <w:p w14:paraId="7CE3D11A"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the contributions from the special programmes of the State and local government budgets;</w:t>
      </w:r>
    </w:p>
    <w:p w14:paraId="4AD9D558"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the contributions from various foundations.</w:t>
      </w:r>
    </w:p>
    <w:p w14:paraId="21DA7766"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budget of the Rēzekne Special Economic Zone Authority shall be used for:</w:t>
      </w:r>
    </w:p>
    <w:p w14:paraId="55234325"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the funding of the Rēzekne Special Economic Zone Authority and the programmes thereof;</w:t>
      </w:r>
    </w:p>
    <w:p w14:paraId="44D3BA08"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the development of the infrastructure in the territory of the Rēzekne Special Economic Zone;</w:t>
      </w:r>
    </w:p>
    <w:p w14:paraId="0994ABB6"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the purchase of land and other immovable property in the territory of the Rēzekne Special Economic Zone.</w:t>
      </w:r>
    </w:p>
    <w:p w14:paraId="278C20B0"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45CEC2EC"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32" w:name="p14"/>
      <w:bookmarkStart w:id="33" w:name="p-322332"/>
      <w:bookmarkEnd w:id="32"/>
      <w:bookmarkEnd w:id="33"/>
    </w:p>
    <w:p w14:paraId="2818C069"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14. </w:t>
      </w:r>
      <w:r w:rsidRPr="00F91036">
        <w:rPr>
          <w:rFonts w:ascii="Times New Roman" w:hAnsi="Times New Roman"/>
          <w:noProof/>
          <w:sz w:val="24"/>
          <w:lang w:val="en-US"/>
        </w:rPr>
        <w:t>The financial activity of the Rēzekne Special Economic Zone Authority shall be controlled by the relevant authorities in accordance with the procedures laid down in laws and other regulatory enactments.</w:t>
      </w:r>
    </w:p>
    <w:p w14:paraId="589A4C77"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327466A5"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34" w:name="n3"/>
      <w:bookmarkStart w:id="35" w:name="n-29574"/>
      <w:bookmarkEnd w:id="34"/>
      <w:bookmarkEnd w:id="35"/>
    </w:p>
    <w:p w14:paraId="3692939F" w14:textId="77777777" w:rsidR="00F91036" w:rsidRPr="00F91036" w:rsidRDefault="00F91036" w:rsidP="00F91036">
      <w:pPr>
        <w:keepNext/>
        <w:keepLines/>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Chapter III</w:t>
      </w:r>
    </w:p>
    <w:p w14:paraId="3035FFC6" w14:textId="77777777" w:rsidR="00F91036" w:rsidRPr="00F91036" w:rsidRDefault="00F91036" w:rsidP="00F91036">
      <w:pPr>
        <w:keepNext/>
        <w:keepLines/>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Support Foundation for Commercial Activity of the Rēzekne Special Economic Zone</w:t>
      </w:r>
    </w:p>
    <w:p w14:paraId="22A20D92" w14:textId="77777777" w:rsidR="00F91036" w:rsidRPr="00F91036" w:rsidRDefault="00F91036" w:rsidP="00F91036">
      <w:pPr>
        <w:spacing w:after="0" w:line="240" w:lineRule="auto"/>
        <w:jc w:val="center"/>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3DEF6E2F"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36" w:name="p15"/>
      <w:bookmarkStart w:id="37" w:name="p-29575"/>
      <w:bookmarkEnd w:id="36"/>
      <w:bookmarkEnd w:id="37"/>
    </w:p>
    <w:p w14:paraId="2562DA3E"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15. </w:t>
      </w:r>
      <w:r w:rsidRPr="00F91036">
        <w:rPr>
          <w:rFonts w:ascii="Times New Roman" w:hAnsi="Times New Roman"/>
          <w:noProof/>
          <w:sz w:val="24"/>
          <w:lang w:val="en-US"/>
        </w:rPr>
        <w:t>(1) The support foundation for commercial activity of the Rēzekne Special Economic Zone is established by this Law.</w:t>
      </w:r>
    </w:p>
    <w:p w14:paraId="5C5B35D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objective of the support foundation for commercial activity of the Rēzekne Special Economic Zone is to promote and support the commercial activities of the merchants of the Rēzekne Special Economic Zone, and also to finance the development of the infrastructure in the territory of the Rēzekne Special Economic Zone.</w:t>
      </w:r>
    </w:p>
    <w:p w14:paraId="322D7796"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15518059"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38" w:name="p16"/>
      <w:bookmarkStart w:id="39" w:name="p-322279"/>
      <w:bookmarkEnd w:id="38"/>
      <w:bookmarkEnd w:id="39"/>
    </w:p>
    <w:p w14:paraId="72B59B6A"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16. </w:t>
      </w:r>
      <w:r w:rsidRPr="00F91036">
        <w:rPr>
          <w:rFonts w:ascii="Times New Roman" w:hAnsi="Times New Roman"/>
          <w:noProof/>
          <w:sz w:val="24"/>
          <w:lang w:val="en-US"/>
        </w:rPr>
        <w:t>The Rēzekne Special Economic Zone Authority shall be the holder and administrator of the support foundation for commercial activity of the Rēzekne Special Economic Zone.</w:t>
      </w:r>
    </w:p>
    <w:p w14:paraId="3C181D7B"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042FC7C9"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40" w:name="p17"/>
      <w:bookmarkStart w:id="41" w:name="p-29576"/>
      <w:bookmarkEnd w:id="40"/>
      <w:bookmarkEnd w:id="41"/>
    </w:p>
    <w:p w14:paraId="3810242A"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17. </w:t>
      </w:r>
      <w:r w:rsidRPr="00F91036">
        <w:rPr>
          <w:rFonts w:ascii="Times New Roman" w:hAnsi="Times New Roman"/>
          <w:noProof/>
          <w:sz w:val="24"/>
          <w:lang w:val="en-US"/>
        </w:rPr>
        <w:t>The following is transferred to the support foundation for commercial activity of the Rēzekne Special Economic Zone:</w:t>
      </w:r>
    </w:p>
    <w:p w14:paraId="5E48374C"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deductions from the profits of the merchants of the Rēzekne Special Economic Zone according to the contracts entered into by the merchants of the Rēzekne Special Economic Zone on commercial activities in the territory of the Rēzekne Special Economic Zone;</w:t>
      </w:r>
    </w:p>
    <w:p w14:paraId="137E48DC"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purpose payments, donations, and gifts from foreign and international aid institutions;</w:t>
      </w:r>
    </w:p>
    <w:p w14:paraId="6EBDE920"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purpose payments, donations, and gifts from natural persons and legal persons;</w:t>
      </w:r>
    </w:p>
    <w:p w14:paraId="06A55C3A"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4) contributions from various foundations;</w:t>
      </w:r>
    </w:p>
    <w:p w14:paraId="10CFCA41"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5) other income.</w:t>
      </w:r>
    </w:p>
    <w:p w14:paraId="0E8EE766"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1B4FE7FC"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42" w:name="p18"/>
      <w:bookmarkStart w:id="43" w:name="p-29577"/>
      <w:bookmarkEnd w:id="42"/>
      <w:bookmarkEnd w:id="43"/>
    </w:p>
    <w:p w14:paraId="63835D4D"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18. </w:t>
      </w:r>
      <w:r w:rsidRPr="00F91036">
        <w:rPr>
          <w:rFonts w:ascii="Times New Roman" w:hAnsi="Times New Roman"/>
          <w:noProof/>
          <w:sz w:val="24"/>
          <w:lang w:val="en-US"/>
        </w:rPr>
        <w:t>The following may be financed from the support foundation for commercial activity of the Rēzekne Special Economic Zone:</w:t>
      </w:r>
    </w:p>
    <w:p w14:paraId="419F3A00"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research and development programmes of the territory of the Rēzekne Special Economic Zone;</w:t>
      </w:r>
    </w:p>
    <w:p w14:paraId="1480E27A"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programmes for the research, commencement, and support of commercial activity and also training programmes of the Rēzekne Special Economic Zone;</w:t>
      </w:r>
    </w:p>
    <w:p w14:paraId="2F7D18F2"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educational programmes of the Rēzekne Special Economic Zone;</w:t>
      </w:r>
    </w:p>
    <w:p w14:paraId="6D32BF59"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4) investments in the infrastructure and immovable properties of the Rēzekne Special Economic Zone;</w:t>
      </w:r>
    </w:p>
    <w:p w14:paraId="4EE3A574"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5) payments to the merchants of the Rēzekne Special Economic Zone in the form of subsidies for investments, repayment of their credits and interest on credits, provided that at least one of the following conditions has been fulfilled thereby:</w:t>
      </w:r>
    </w:p>
    <w:p w14:paraId="0E4F312E" w14:textId="77777777" w:rsidR="00F91036" w:rsidRPr="00F91036" w:rsidRDefault="00F91036" w:rsidP="00F91036">
      <w:pPr>
        <w:spacing w:after="0" w:line="240" w:lineRule="auto"/>
        <w:ind w:left="709" w:firstLine="709"/>
        <w:jc w:val="both"/>
        <w:rPr>
          <w:rFonts w:ascii="Times New Roman" w:hAnsi="Times New Roman"/>
          <w:noProof/>
          <w:sz w:val="24"/>
          <w:lang w:val="en-US"/>
        </w:rPr>
      </w:pPr>
      <w:r w:rsidRPr="00F91036">
        <w:rPr>
          <w:rFonts w:ascii="Times New Roman" w:hAnsi="Times New Roman"/>
          <w:noProof/>
          <w:sz w:val="24"/>
          <w:lang w:val="en-US"/>
        </w:rPr>
        <w:t>a) they have created new workplaces;</w:t>
      </w:r>
    </w:p>
    <w:p w14:paraId="0F1E639E" w14:textId="77777777" w:rsidR="00F91036" w:rsidRPr="00F91036" w:rsidRDefault="00F91036" w:rsidP="00F91036">
      <w:pPr>
        <w:spacing w:after="0" w:line="240" w:lineRule="auto"/>
        <w:ind w:left="709" w:firstLine="709"/>
        <w:jc w:val="both"/>
        <w:rPr>
          <w:rFonts w:ascii="Times New Roman" w:hAnsi="Times New Roman"/>
          <w:noProof/>
          <w:sz w:val="24"/>
          <w:lang w:val="en-US"/>
        </w:rPr>
      </w:pPr>
      <w:r w:rsidRPr="00F91036">
        <w:rPr>
          <w:rFonts w:ascii="Times New Roman" w:hAnsi="Times New Roman"/>
          <w:noProof/>
          <w:sz w:val="24"/>
          <w:lang w:val="en-US"/>
        </w:rPr>
        <w:t>b) they have introduced modern (environment-friendly) technology;</w:t>
      </w:r>
    </w:p>
    <w:p w14:paraId="1BE056D4" w14:textId="77777777" w:rsidR="00F91036" w:rsidRPr="00F91036" w:rsidRDefault="00F91036" w:rsidP="00F91036">
      <w:pPr>
        <w:spacing w:after="0" w:line="240" w:lineRule="auto"/>
        <w:ind w:left="709" w:firstLine="709"/>
        <w:jc w:val="both"/>
        <w:rPr>
          <w:rFonts w:ascii="Times New Roman" w:hAnsi="Times New Roman"/>
          <w:noProof/>
          <w:sz w:val="24"/>
          <w:lang w:val="en-US"/>
        </w:rPr>
      </w:pPr>
      <w:r w:rsidRPr="00F91036">
        <w:rPr>
          <w:rFonts w:ascii="Times New Roman" w:hAnsi="Times New Roman"/>
          <w:noProof/>
          <w:sz w:val="24"/>
          <w:lang w:val="en-US"/>
        </w:rPr>
        <w:t>c) they have increased the processing and export volume of agricultural products through the use of the agricultural products produced in the supported regions.</w:t>
      </w:r>
    </w:p>
    <w:p w14:paraId="086FBFDC"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42202148"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44" w:name="n4"/>
      <w:bookmarkStart w:id="45" w:name="n-29578"/>
      <w:bookmarkEnd w:id="44"/>
      <w:bookmarkEnd w:id="45"/>
    </w:p>
    <w:p w14:paraId="65A99022" w14:textId="77777777" w:rsidR="00F91036" w:rsidRPr="00F91036" w:rsidRDefault="00F91036" w:rsidP="00F91036">
      <w:pPr>
        <w:keepNext/>
        <w:keepLines/>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Chapter IV</w:t>
      </w:r>
    </w:p>
    <w:p w14:paraId="350B6568" w14:textId="77777777" w:rsidR="00F91036" w:rsidRPr="00F91036" w:rsidRDefault="00F91036" w:rsidP="00F91036">
      <w:pPr>
        <w:keepNext/>
        <w:keepLines/>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Investments and Commercial Activity in the Territory of the Rēzekne Special Economic Zone</w:t>
      </w:r>
    </w:p>
    <w:p w14:paraId="113E26B1" w14:textId="77777777" w:rsidR="00F91036" w:rsidRPr="00F91036" w:rsidRDefault="00F91036" w:rsidP="00F91036">
      <w:pPr>
        <w:keepNext/>
        <w:keepLines/>
        <w:spacing w:after="0" w:line="240" w:lineRule="auto"/>
        <w:jc w:val="center"/>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185F1AF6" w14:textId="77777777" w:rsidR="00F91036" w:rsidRPr="00F91036" w:rsidRDefault="00F91036" w:rsidP="00F91036">
      <w:pPr>
        <w:keepNext/>
        <w:keepLines/>
        <w:spacing w:after="0" w:line="240" w:lineRule="auto"/>
        <w:jc w:val="both"/>
        <w:rPr>
          <w:rFonts w:ascii="Times New Roman" w:eastAsia="Times New Roman" w:hAnsi="Times New Roman" w:cs="Times New Roman"/>
          <w:b/>
          <w:bCs/>
          <w:noProof/>
          <w:sz w:val="24"/>
          <w:szCs w:val="24"/>
          <w:lang w:val="en-US"/>
        </w:rPr>
      </w:pPr>
      <w:bookmarkStart w:id="46" w:name="p19"/>
      <w:bookmarkStart w:id="47" w:name="p-29583"/>
      <w:bookmarkEnd w:id="46"/>
      <w:bookmarkEnd w:id="47"/>
    </w:p>
    <w:p w14:paraId="139A0DDC" w14:textId="77777777" w:rsidR="00F91036" w:rsidRPr="00F91036" w:rsidRDefault="00F91036" w:rsidP="00F91036">
      <w:pPr>
        <w:keepNext/>
        <w:keepLines/>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19. </w:t>
      </w:r>
      <w:r w:rsidRPr="00F91036">
        <w:rPr>
          <w:rFonts w:ascii="Times New Roman" w:hAnsi="Times New Roman"/>
          <w:noProof/>
          <w:sz w:val="24"/>
          <w:lang w:val="en-US"/>
        </w:rPr>
        <w:t>(1) Investments in the territory of the Rēzekne Special Economic Zone are made and the protection thereof is provided in accordance with the procedures laid down in laws.</w:t>
      </w:r>
    </w:p>
    <w:p w14:paraId="18127722"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[27 January 2005]</w:t>
      </w:r>
    </w:p>
    <w:p w14:paraId="17710E66"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674217A0"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48" w:name="p20"/>
      <w:bookmarkStart w:id="49" w:name="p-322333"/>
      <w:bookmarkEnd w:id="48"/>
      <w:bookmarkEnd w:id="49"/>
    </w:p>
    <w:p w14:paraId="6D91344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20. </w:t>
      </w:r>
      <w:r w:rsidRPr="00F91036">
        <w:rPr>
          <w:rFonts w:ascii="Times New Roman" w:hAnsi="Times New Roman"/>
          <w:noProof/>
          <w:sz w:val="24"/>
          <w:lang w:val="en-US"/>
        </w:rPr>
        <w:t>Prior to commencement of commercial activity and provision of investments, investors of the Rēzekne Special Economic Zone shall enter into a contract with the Rēzekne Special Economic Zone Authority on investments for the performance of commercial activity.</w:t>
      </w:r>
    </w:p>
    <w:p w14:paraId="768FA238"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7F4F261E"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50" w:name="p21"/>
      <w:bookmarkStart w:id="51" w:name="p-322334"/>
      <w:bookmarkEnd w:id="50"/>
      <w:bookmarkEnd w:id="51"/>
    </w:p>
    <w:p w14:paraId="1A763CC5"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21. </w:t>
      </w:r>
      <w:r w:rsidRPr="00F91036">
        <w:rPr>
          <w:rFonts w:ascii="Times New Roman" w:hAnsi="Times New Roman"/>
          <w:noProof/>
          <w:sz w:val="24"/>
          <w:lang w:val="en-US"/>
        </w:rPr>
        <w:t>(1) Investors of the Rēzekne Special Economic Zone may invest in merchants located in the territory of the Rēzekne Special Economic Zone only after entering into a contract with the Rēzekne Special Economic Zone Authority.</w:t>
      </w:r>
    </w:p>
    <w:p w14:paraId="45060C63"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Investments in the territory of the Rēzekne Special Economic Zone shall be made in accordance with the procedures and in the amounts specified in the contract.</w:t>
      </w:r>
    </w:p>
    <w:p w14:paraId="1415FBFF"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2A712ACC"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52" w:name="p22"/>
      <w:bookmarkStart w:id="53" w:name="p-29579"/>
      <w:bookmarkEnd w:id="52"/>
      <w:bookmarkEnd w:id="53"/>
    </w:p>
    <w:p w14:paraId="5283A0AF"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22. </w:t>
      </w:r>
      <w:r w:rsidRPr="00F91036">
        <w:rPr>
          <w:rFonts w:ascii="Times New Roman" w:hAnsi="Times New Roman"/>
          <w:noProof/>
          <w:sz w:val="24"/>
          <w:lang w:val="en-US"/>
        </w:rPr>
        <w:t>(1) In order to perform commercial activity, investors of the Rēzekne Special Economic Zone must be registered with the Commercial Register.</w:t>
      </w:r>
    </w:p>
    <w:p w14:paraId="1EB84BD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In addition to the documents specified in the Commercial Law, a true copy of the contract indicated in this Law on investments for the performance of commercial activities in the territory of the Rēzekne Special Economic Zone shall be submitted to the Enterprise Register.</w:t>
      </w:r>
    </w:p>
    <w:p w14:paraId="1F425106"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The words “of the Rēzekne Special Economic Zone” shall be additionally included in the name of a merchant of the Rēzekne Special Economic Zone subject to registration.</w:t>
      </w:r>
    </w:p>
    <w:p w14:paraId="4E2B0575"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637D2EC5"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54" w:name="p23"/>
      <w:bookmarkStart w:id="55" w:name="p-322343"/>
      <w:bookmarkEnd w:id="54"/>
      <w:bookmarkEnd w:id="55"/>
    </w:p>
    <w:p w14:paraId="54783087"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23. </w:t>
      </w:r>
      <w:r w:rsidRPr="00F91036">
        <w:rPr>
          <w:rFonts w:ascii="Times New Roman" w:hAnsi="Times New Roman"/>
          <w:noProof/>
          <w:sz w:val="24"/>
          <w:lang w:val="en-US"/>
        </w:rPr>
        <w:t>In order to perform commercial activity, a merchant of the Rēzekne Special Economic Zone must:</w:t>
      </w:r>
    </w:p>
    <w:p w14:paraId="21EA99A4"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enter into a contract with the Rēzekne Special Economic Zone Authority;</w:t>
      </w:r>
    </w:p>
    <w:p w14:paraId="4014DFF3"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[27 January 2005];</w:t>
      </w:r>
    </w:p>
    <w:p w14:paraId="7BE05008"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receive an authorisation for the performance of commercial activity in the territory of the Rēzekne Special Economic Zone.</w:t>
      </w:r>
    </w:p>
    <w:p w14:paraId="676B2C2E"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158AC27F"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56" w:name="p24"/>
      <w:bookmarkStart w:id="57" w:name="p-322347"/>
      <w:bookmarkEnd w:id="56"/>
      <w:bookmarkEnd w:id="57"/>
    </w:p>
    <w:p w14:paraId="07543731"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24. </w:t>
      </w:r>
      <w:r w:rsidRPr="00F91036">
        <w:rPr>
          <w:rFonts w:ascii="Times New Roman" w:hAnsi="Times New Roman"/>
          <w:noProof/>
          <w:sz w:val="24"/>
          <w:lang w:val="en-US"/>
        </w:rPr>
        <w:t>(1) The authorisation issued by the Rēzekne Special Economic Zone Authority shall certify that a merchant has the right to apply the direct tax reliefs provided for in the law On the Application of Taxes in Free Ports and Special Economic Zones.</w:t>
      </w:r>
    </w:p>
    <w:p w14:paraId="44D5F6FE"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Rēzekne Special Economic Zone Authority shall submit a true copy of the authorisation to the State Revenue Service and the local government.</w:t>
      </w:r>
    </w:p>
    <w:p w14:paraId="5F713DD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The authorisation shall not be unilaterally revoked, cancelled, or otherwise unilaterally terminated except in accordance with the procedures laid down in the law On the Application of Taxes in Free Ports and Special Economic Zones or by the Rēzekne Special Economic Zone Authority or another State authority authorised by law when bringing an action to a court to terminate the contract with a merchant of the Rēzekne Special Economic Zone, to delete the words “Rēzekne Special Economic Zone” from the name of a merchant of the Rēzekne Special Economic Zone registered in the Enterprise Register, and to cancel the authorisation issued to the merchant.</w:t>
      </w:r>
    </w:p>
    <w:p w14:paraId="165E83ED"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July 2001; 27 January 2005; 17 December 2009</w:t>
      </w:r>
      <w:r w:rsidRPr="00F91036">
        <w:rPr>
          <w:rFonts w:ascii="Times New Roman" w:hAnsi="Times New Roman"/>
          <w:noProof/>
          <w:sz w:val="24"/>
          <w:lang w:val="en-US"/>
        </w:rPr>
        <w:t>]</w:t>
      </w:r>
    </w:p>
    <w:p w14:paraId="42F7E99F"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58" w:name="p25"/>
      <w:bookmarkStart w:id="59" w:name="p-322348"/>
      <w:bookmarkEnd w:id="58"/>
      <w:bookmarkEnd w:id="59"/>
    </w:p>
    <w:p w14:paraId="3BCA6063"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25. </w:t>
      </w:r>
      <w:r w:rsidRPr="00F91036">
        <w:rPr>
          <w:rFonts w:ascii="Times New Roman" w:hAnsi="Times New Roman"/>
          <w:noProof/>
          <w:sz w:val="24"/>
          <w:lang w:val="en-US"/>
        </w:rPr>
        <w:t>When entering into contracts on performance of commercial activity in the territory of the Rēzekne Special Economic Zone with the merchants of the Rēzekne Special Economic Zone, the Rēzekne Special Economic Zone Authority shall define in these contracts what kind of commercial activity is permitted for the merchants of the Rēzekne Special Economic Zone to be eligible for the tax reliefs laid down in the law On the Application of Taxes in Free Ports and Special Economic Zones.</w:t>
      </w:r>
    </w:p>
    <w:p w14:paraId="5DE097D2"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July 2001; 27 January 2005; 17 December 2009</w:t>
      </w:r>
      <w:r w:rsidRPr="00F91036">
        <w:rPr>
          <w:rFonts w:ascii="Times New Roman" w:hAnsi="Times New Roman"/>
          <w:noProof/>
          <w:sz w:val="24"/>
          <w:lang w:val="en-US"/>
        </w:rPr>
        <w:t>]</w:t>
      </w:r>
    </w:p>
    <w:p w14:paraId="0C2D35AC"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60" w:name="p26"/>
      <w:bookmarkStart w:id="61" w:name="p-29584"/>
      <w:bookmarkEnd w:id="60"/>
      <w:bookmarkEnd w:id="61"/>
    </w:p>
    <w:p w14:paraId="3D70CDEB" w14:textId="77777777" w:rsidR="00F91036" w:rsidRPr="00F91036" w:rsidRDefault="00F91036" w:rsidP="00F91036">
      <w:pPr>
        <w:spacing w:after="0" w:line="240" w:lineRule="auto"/>
        <w:jc w:val="both"/>
        <w:rPr>
          <w:rFonts w:ascii="Times New Roman" w:hAnsi="Times New Roman"/>
          <w:b/>
          <w:noProof/>
          <w:sz w:val="24"/>
          <w:lang w:val="en-US"/>
        </w:rPr>
      </w:pPr>
      <w:r w:rsidRPr="00F91036">
        <w:rPr>
          <w:rFonts w:ascii="Times New Roman" w:hAnsi="Times New Roman"/>
          <w:b/>
          <w:noProof/>
          <w:sz w:val="24"/>
          <w:lang w:val="en-US"/>
        </w:rPr>
        <w:t>Section 26.</w:t>
      </w:r>
    </w:p>
    <w:p w14:paraId="2B988052"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[27 January 2005]</w:t>
      </w:r>
    </w:p>
    <w:p w14:paraId="147F9C5D"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62" w:name="p27"/>
      <w:bookmarkStart w:id="63" w:name="p-322349"/>
      <w:bookmarkEnd w:id="62"/>
      <w:bookmarkEnd w:id="63"/>
    </w:p>
    <w:p w14:paraId="7E9E55B4"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27. </w:t>
      </w:r>
      <w:r w:rsidRPr="00F91036">
        <w:rPr>
          <w:rFonts w:ascii="Times New Roman" w:hAnsi="Times New Roman"/>
          <w:noProof/>
          <w:sz w:val="24"/>
          <w:lang w:val="en-US"/>
        </w:rPr>
        <w:t>(1) When entering into contracts with the investors of the Rēzekne Special Economic Zone and the merchants of the Rēzekne Special Economic Zone, the Rēzekne Special Economic Zone Authority shall include the following fixed-term conditions in the contracts in relation to:</w:t>
      </w:r>
    </w:p>
    <w:p w14:paraId="1B4AC3E4"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the types and amounts of investments;</w:t>
      </w:r>
    </w:p>
    <w:p w14:paraId="1E49D214"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the number of workplaces;</w:t>
      </w:r>
    </w:p>
    <w:p w14:paraId="110D115A"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the introduction of modern technologies;</w:t>
      </w:r>
    </w:p>
    <w:p w14:paraId="3D5F5322"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4) the expected volume of production of goods and services or cargo turnover.</w:t>
      </w:r>
    </w:p>
    <w:p w14:paraId="0D0503FD"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When entering into contracts with the merchants of the Rēzekne Special Economic Zone on commercial activity in the territory of the Rēzekne Special Economic Zone, the Rēzekne Special Economic Zone Authority has the right to include in the contract an obligation for a merchant of the Rēzekne Special Economic Zone to make an annual deduction in the support foundation for commercial activity of the Rēzekne Special Economic Zone in the amount not exceeding 10 per cent of the annual profit of the merchant after payment of taxes, whereas a merchant of the Rēzekne Special Economic Zone has the obligation to make such deductions.</w:t>
      </w:r>
    </w:p>
    <w:p w14:paraId="1476C31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July 2001; 27 January 2005; 17 December 2009</w:t>
      </w:r>
      <w:r w:rsidRPr="00F91036">
        <w:rPr>
          <w:rFonts w:ascii="Times New Roman" w:hAnsi="Times New Roman"/>
          <w:noProof/>
          <w:sz w:val="24"/>
          <w:lang w:val="en-US"/>
        </w:rPr>
        <w:t>]</w:t>
      </w:r>
    </w:p>
    <w:p w14:paraId="2B26724A"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64" w:name="p28"/>
      <w:bookmarkStart w:id="65" w:name="p-29580"/>
      <w:bookmarkEnd w:id="64"/>
      <w:bookmarkEnd w:id="65"/>
    </w:p>
    <w:p w14:paraId="7CFB582C"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28. </w:t>
      </w:r>
      <w:r w:rsidRPr="00F91036">
        <w:rPr>
          <w:rFonts w:ascii="Times New Roman" w:hAnsi="Times New Roman"/>
          <w:noProof/>
          <w:sz w:val="24"/>
          <w:lang w:val="en-US"/>
        </w:rPr>
        <w:t>(1) A merchant of the Rēzekne Special Economic Zone shall be located in the territory of the Rēzekne Special Economic Zone.</w:t>
      </w:r>
    </w:p>
    <w:p w14:paraId="51728146"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A merchant of the Rēzekne Special Economic Zone has the right to perform commercial activity in the territory of the Rēzekne Special Economic Zone only.</w:t>
      </w:r>
    </w:p>
    <w:p w14:paraId="30D64CD9"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The following shall not be considered as commercial activity outside the territory of the Rēzekne Special Economic Zone:</w:t>
      </w:r>
    </w:p>
    <w:p w14:paraId="284EE252"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1) location of an administrative body or a branch of a merchant of the Rēzekne Special Economic Zone outside the territory of the Rēzekne Special Economic Zone;</w:t>
      </w:r>
    </w:p>
    <w:p w14:paraId="754D342F"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2) conducting of business negotiations and entering into contracts outside the territory of the Rēzekne Special Economic Zone;</w:t>
      </w:r>
    </w:p>
    <w:p w14:paraId="2DD7EB75"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3) transit of goods from or to the territory of the Rēzekne Special Economic Zone;</w:t>
      </w:r>
    </w:p>
    <w:p w14:paraId="4F70AF0F" w14:textId="77777777" w:rsidR="00F91036" w:rsidRPr="00F91036" w:rsidRDefault="00F91036" w:rsidP="00F91036">
      <w:pPr>
        <w:spacing w:after="0" w:line="240" w:lineRule="auto"/>
        <w:ind w:firstLine="709"/>
        <w:jc w:val="both"/>
        <w:rPr>
          <w:rFonts w:ascii="Times New Roman" w:hAnsi="Times New Roman"/>
          <w:noProof/>
          <w:sz w:val="24"/>
          <w:lang w:val="en-US"/>
        </w:rPr>
      </w:pPr>
      <w:r w:rsidRPr="00F91036">
        <w:rPr>
          <w:rFonts w:ascii="Times New Roman" w:hAnsi="Times New Roman"/>
          <w:noProof/>
          <w:sz w:val="24"/>
          <w:lang w:val="en-US"/>
        </w:rPr>
        <w:t>4) other activities which are not aimed at production of goods or provision of services for consideration.</w:t>
      </w:r>
    </w:p>
    <w:p w14:paraId="30F8BE3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July 2001; 27 January 2005</w:t>
      </w:r>
      <w:r w:rsidRPr="00F91036">
        <w:rPr>
          <w:rFonts w:ascii="Times New Roman" w:hAnsi="Times New Roman"/>
          <w:noProof/>
          <w:sz w:val="24"/>
          <w:lang w:val="en-US"/>
        </w:rPr>
        <w:t>]</w:t>
      </w:r>
    </w:p>
    <w:p w14:paraId="51A565A5"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66" w:name="p29"/>
      <w:bookmarkStart w:id="67" w:name="p-29581"/>
      <w:bookmarkEnd w:id="66"/>
      <w:bookmarkEnd w:id="67"/>
    </w:p>
    <w:p w14:paraId="513950D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29. </w:t>
      </w:r>
      <w:r w:rsidRPr="00F91036">
        <w:rPr>
          <w:rFonts w:ascii="Times New Roman" w:hAnsi="Times New Roman"/>
          <w:noProof/>
          <w:sz w:val="24"/>
          <w:lang w:val="en-US"/>
        </w:rPr>
        <w:t>A merchant of the Rēzekne Special Economic Zone shall provide control of the goods imported and produced in the territory thereof and exported therefrom.</w:t>
      </w:r>
    </w:p>
    <w:p w14:paraId="1EDF4982"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7713CE4C"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68" w:name="n5"/>
      <w:bookmarkStart w:id="69" w:name="n-29543"/>
      <w:bookmarkEnd w:id="68"/>
      <w:bookmarkEnd w:id="69"/>
    </w:p>
    <w:p w14:paraId="4DDE4427" w14:textId="77777777" w:rsidR="00F91036" w:rsidRPr="00F91036" w:rsidRDefault="00F91036" w:rsidP="00F91036">
      <w:pPr>
        <w:keepNext/>
        <w:keepLines/>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Chapter V</w:t>
      </w:r>
    </w:p>
    <w:p w14:paraId="62E96076" w14:textId="77777777" w:rsidR="00F91036" w:rsidRPr="00F91036" w:rsidRDefault="00F91036" w:rsidP="00F91036">
      <w:pPr>
        <w:keepNext/>
        <w:keepLines/>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Tax Reliefs in the Territory of the Rēzekne Special Economic Zone</w:t>
      </w:r>
    </w:p>
    <w:p w14:paraId="2E2675F8" w14:textId="77777777" w:rsidR="00F91036" w:rsidRPr="00F91036" w:rsidRDefault="00F91036" w:rsidP="00F91036">
      <w:pPr>
        <w:keepNext/>
        <w:keepLines/>
        <w:spacing w:after="0" w:line="240" w:lineRule="auto"/>
        <w:jc w:val="center"/>
        <w:rPr>
          <w:rFonts w:ascii="Times New Roman" w:hAnsi="Times New Roman"/>
          <w:noProof/>
          <w:sz w:val="24"/>
          <w:lang w:val="en-US"/>
        </w:rPr>
      </w:pPr>
      <w:r w:rsidRPr="00F91036">
        <w:rPr>
          <w:rFonts w:ascii="Times New Roman" w:hAnsi="Times New Roman"/>
          <w:noProof/>
          <w:sz w:val="24"/>
          <w:lang w:val="en-US"/>
        </w:rPr>
        <w:t>[27 July 2001]</w:t>
      </w:r>
    </w:p>
    <w:p w14:paraId="1488828A" w14:textId="77777777" w:rsidR="00F91036" w:rsidRPr="00F91036" w:rsidRDefault="00F91036" w:rsidP="00F91036">
      <w:pPr>
        <w:keepNext/>
        <w:keepLines/>
        <w:spacing w:after="0" w:line="240" w:lineRule="auto"/>
        <w:jc w:val="both"/>
        <w:rPr>
          <w:rFonts w:ascii="Times New Roman" w:eastAsia="Times New Roman" w:hAnsi="Times New Roman" w:cs="Times New Roman"/>
          <w:noProof/>
          <w:sz w:val="24"/>
          <w:szCs w:val="24"/>
          <w:lang w:val="en-US"/>
        </w:rPr>
      </w:pPr>
      <w:bookmarkStart w:id="70" w:name="n6"/>
      <w:bookmarkStart w:id="71" w:name="n-20091"/>
      <w:bookmarkEnd w:id="70"/>
      <w:bookmarkEnd w:id="71"/>
    </w:p>
    <w:p w14:paraId="54049AA2" w14:textId="77777777" w:rsidR="00F91036" w:rsidRPr="00F91036" w:rsidRDefault="00F91036" w:rsidP="00F91036">
      <w:pPr>
        <w:keepNext/>
        <w:keepLines/>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Chapter VI</w:t>
      </w:r>
    </w:p>
    <w:p w14:paraId="4FAD2306"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Immovable Property in the Rēzekne Special Economic Zone</w:t>
      </w:r>
    </w:p>
    <w:p w14:paraId="402585C8"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72" w:name="p45"/>
      <w:bookmarkStart w:id="73" w:name="p-29582"/>
      <w:bookmarkEnd w:id="72"/>
      <w:bookmarkEnd w:id="73"/>
    </w:p>
    <w:p w14:paraId="7A8A1302"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45. </w:t>
      </w:r>
      <w:r w:rsidRPr="00F91036">
        <w:rPr>
          <w:rFonts w:ascii="Times New Roman" w:hAnsi="Times New Roman"/>
          <w:noProof/>
          <w:sz w:val="24"/>
          <w:lang w:val="en-US"/>
        </w:rPr>
        <w:t>Land and other immovable properties located in the Rēzekne Special Economic Zone and owned by natural or legal persons, except for the merchants of the Rēzekne Special Economic Zone, may be leased and alienated in accordance with general procedures.</w:t>
      </w:r>
    </w:p>
    <w:p w14:paraId="1E082D4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3ABD2ECB"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74" w:name="p46"/>
      <w:bookmarkStart w:id="75" w:name="p-322350"/>
      <w:bookmarkEnd w:id="74"/>
      <w:bookmarkEnd w:id="75"/>
    </w:p>
    <w:p w14:paraId="06B8F83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46. </w:t>
      </w:r>
      <w:r w:rsidRPr="00F91036">
        <w:rPr>
          <w:rFonts w:ascii="Times New Roman" w:hAnsi="Times New Roman"/>
          <w:noProof/>
          <w:sz w:val="24"/>
          <w:lang w:val="en-US"/>
        </w:rPr>
        <w:t>(1) Land and other immovable properties owned by local governments and the State which are located in the territory of the Rēzekne Special Economic Zone are transferred at the disposal of the Rēzekne Special Economic Zone Authority, except for land and immovable properties located in the territories occupied by the Latvian Railway, merchants, and other organisations.</w:t>
      </w:r>
    </w:p>
    <w:p w14:paraId="011720FD"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Rēzekne Special Economic Zone Authority may, on behalf of the State and local governments, lease or alienate the land and other immovable property of the State and local governments transferred at the disposal thereof without a special authorisation only on the basis of this Law.</w:t>
      </w:r>
    </w:p>
    <w:p w14:paraId="6F593691"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Land and other immovable properties owned by the State and local governments shall be registered in the Land Registers in the name of the State or local governments.</w:t>
      </w:r>
    </w:p>
    <w:p w14:paraId="4C8F3C68"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2E0D3E2B"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76" w:name="p47"/>
      <w:bookmarkStart w:id="77" w:name="p-322351"/>
      <w:bookmarkEnd w:id="76"/>
      <w:bookmarkEnd w:id="77"/>
    </w:p>
    <w:p w14:paraId="4D16D009"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47. </w:t>
      </w:r>
      <w:r w:rsidRPr="00F91036">
        <w:rPr>
          <w:rFonts w:ascii="Times New Roman" w:hAnsi="Times New Roman"/>
          <w:noProof/>
          <w:sz w:val="24"/>
          <w:lang w:val="en-US"/>
        </w:rPr>
        <w:t>(1) When entering into contracts on the lease of land and other immovable property, the Rēzekne Special Economic Zone Authority may stipulate in the contract subsequent alienation thereof in ownership of a merchant of the Rēzekne Special Economic Zone, i.e. leaseholder of the land and other immovable property, provided that all conditions of the law and the contract are fulfilled.</w:t>
      </w:r>
    </w:p>
    <w:p w14:paraId="7F37CFFE"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Contracts on the lease of other immovable shall be entered into for the period of time not exceeding 99 years.</w:t>
      </w:r>
    </w:p>
    <w:p w14:paraId="1B33449A"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Land leased by a merchant of the Rēzekne Special Economic Zone may be subleased with the consent of the Rēzekne Special Economic Zone Authority.</w:t>
      </w:r>
    </w:p>
    <w:p w14:paraId="18DB8F34"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3A118DC4"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78" w:name="p48"/>
      <w:bookmarkStart w:id="79" w:name="p-483812"/>
      <w:bookmarkEnd w:id="78"/>
      <w:bookmarkEnd w:id="79"/>
    </w:p>
    <w:p w14:paraId="4E7863CE"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48. </w:t>
      </w:r>
      <w:r w:rsidRPr="00F91036">
        <w:rPr>
          <w:rFonts w:ascii="Times New Roman" w:hAnsi="Times New Roman"/>
          <w:noProof/>
          <w:sz w:val="24"/>
          <w:lang w:val="en-US"/>
        </w:rPr>
        <w:t>(1) The Rēzekne Special Economic Zone Authority is entitled to alienate land and other immovable property in possession or ownership of a merchant of the Rēzekne Special Economic Zone in ownership of the merchants of the Rēzekne Special Economic Zone Authority, provided that the amount of at least EUR 142 287 per hectare of the land subject to alienation has been invested in the territory of the Rēzekne Special Economic Zone within the time limit specified in the contract.</w:t>
      </w:r>
    </w:p>
    <w:p w14:paraId="7B99BA3D"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The area leased to or alienated for one merchant of the Rēzekne Special Economic Zone may not exceed 10 per cent of the territory of the Rēzekne Special Economic Zone.</w:t>
      </w:r>
    </w:p>
    <w:p w14:paraId="538A9F49"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 12 September 2013</w:t>
      </w:r>
      <w:r w:rsidRPr="00F91036">
        <w:rPr>
          <w:rFonts w:ascii="Times New Roman" w:hAnsi="Times New Roman"/>
          <w:noProof/>
          <w:sz w:val="24"/>
          <w:lang w:val="en-US"/>
        </w:rPr>
        <w:t>]</w:t>
      </w:r>
    </w:p>
    <w:p w14:paraId="080D875E"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80" w:name="p49"/>
      <w:bookmarkStart w:id="81" w:name="p-322355"/>
      <w:bookmarkEnd w:id="80"/>
      <w:bookmarkEnd w:id="81"/>
    </w:p>
    <w:p w14:paraId="0A0EDE72"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49. </w:t>
      </w:r>
      <w:r w:rsidRPr="00F91036">
        <w:rPr>
          <w:rFonts w:ascii="Times New Roman" w:hAnsi="Times New Roman"/>
          <w:noProof/>
          <w:sz w:val="24"/>
          <w:lang w:val="en-US"/>
        </w:rPr>
        <w:t>Contracts with the Rēzekne Special Economic Zone Authority on the lease or alienation of land and other immovable property shall be revoked in accordance with the procedures laid down in the law, provided that the merchants of the Rēzekne Special Economic Zone fail to fulfil the conditions of laws and contracts.</w:t>
      </w:r>
    </w:p>
    <w:p w14:paraId="77785EDA"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5FDBCE2D"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82" w:name="p50"/>
      <w:bookmarkStart w:id="83" w:name="p-322357"/>
      <w:bookmarkEnd w:id="82"/>
      <w:bookmarkEnd w:id="83"/>
    </w:p>
    <w:p w14:paraId="0E816D4A"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50. </w:t>
      </w:r>
      <w:r w:rsidRPr="00F91036">
        <w:rPr>
          <w:rFonts w:ascii="Times New Roman" w:hAnsi="Times New Roman"/>
          <w:noProof/>
          <w:sz w:val="24"/>
          <w:lang w:val="en-US"/>
        </w:rPr>
        <w:t>The Rēzekne Special Economic Zone Authority has the right of first refusal and pre-emption right of the land and other immovable property in the territory of the Rēzekne Special Economic Zone, unless the right of first refusal has been assigned to another person by the relevant law or this person does not exercise this right.</w:t>
      </w:r>
    </w:p>
    <w:p w14:paraId="164A7AAA"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425089E0"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84" w:name="n7"/>
      <w:bookmarkStart w:id="85" w:name="n-29585"/>
      <w:bookmarkEnd w:id="84"/>
      <w:bookmarkEnd w:id="85"/>
    </w:p>
    <w:p w14:paraId="26C6201B"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Chapter VII</w:t>
      </w:r>
    </w:p>
    <w:p w14:paraId="19CA7B76"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Residence and Employment of Foreigners in the Rēzekne Special Economic Zone</w:t>
      </w:r>
    </w:p>
    <w:p w14:paraId="07EF1492" w14:textId="77777777" w:rsidR="00F91036" w:rsidRPr="00F91036" w:rsidRDefault="00F91036" w:rsidP="00F91036">
      <w:pPr>
        <w:spacing w:after="0" w:line="240" w:lineRule="auto"/>
        <w:jc w:val="center"/>
        <w:rPr>
          <w:rFonts w:ascii="Times New Roman" w:hAnsi="Times New Roman"/>
          <w:noProof/>
          <w:sz w:val="24"/>
          <w:lang w:val="en-US"/>
        </w:rPr>
      </w:pPr>
      <w:r w:rsidRPr="00F91036">
        <w:rPr>
          <w:rFonts w:ascii="Times New Roman" w:hAnsi="Times New Roman"/>
          <w:noProof/>
          <w:sz w:val="24"/>
          <w:lang w:val="en-US"/>
        </w:rPr>
        <w:t>[27 January 2005]</w:t>
      </w:r>
    </w:p>
    <w:p w14:paraId="79F4C914"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86" w:name="n8"/>
      <w:bookmarkStart w:id="87" w:name="n-20102"/>
      <w:bookmarkEnd w:id="86"/>
      <w:bookmarkEnd w:id="87"/>
    </w:p>
    <w:p w14:paraId="3ED2EC44"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Chapter VIII</w:t>
      </w:r>
    </w:p>
    <w:p w14:paraId="3CBECB0A"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Final Provisions</w:t>
      </w:r>
    </w:p>
    <w:p w14:paraId="7E800C68"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88" w:name="p54"/>
      <w:bookmarkStart w:id="89" w:name="p-464942"/>
      <w:bookmarkEnd w:id="88"/>
      <w:bookmarkEnd w:id="89"/>
    </w:p>
    <w:p w14:paraId="1168E074"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54. </w:t>
      </w:r>
      <w:r w:rsidRPr="00F91036">
        <w:rPr>
          <w:rFonts w:ascii="Times New Roman" w:hAnsi="Times New Roman"/>
          <w:noProof/>
          <w:sz w:val="24"/>
          <w:lang w:val="en-US"/>
        </w:rPr>
        <w:t>(1) The Rēzekne Special Economic Zone is established from the day of coming into force of this Law and exists until 31 December 2035.</w:t>
      </w:r>
    </w:p>
    <w:p w14:paraId="7F77808D"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[27 January 2005]</w:t>
      </w:r>
    </w:p>
    <w:p w14:paraId="268BAD31"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14 March 2013</w:t>
      </w:r>
      <w:r w:rsidRPr="00F91036">
        <w:rPr>
          <w:rFonts w:ascii="Times New Roman" w:hAnsi="Times New Roman"/>
          <w:noProof/>
          <w:sz w:val="24"/>
          <w:lang w:val="en-US"/>
        </w:rPr>
        <w:t>]</w:t>
      </w:r>
    </w:p>
    <w:p w14:paraId="577FEFF7"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90" w:name="p55"/>
      <w:bookmarkStart w:id="91" w:name="p-322361"/>
      <w:bookmarkEnd w:id="90"/>
      <w:bookmarkEnd w:id="91"/>
    </w:p>
    <w:p w14:paraId="6225B54A"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55. </w:t>
      </w:r>
      <w:r w:rsidRPr="00F91036">
        <w:rPr>
          <w:rFonts w:ascii="Times New Roman" w:hAnsi="Times New Roman"/>
          <w:noProof/>
          <w:sz w:val="24"/>
          <w:lang w:val="en-US"/>
        </w:rPr>
        <w:t>(1) Upon expiry of the period of operation of the Rēzekne Special Economic Zone, the Rēzekne Special Economic Zone Authority is liquidated or reorganised in accordance with the procedures laid down in the law.</w:t>
      </w:r>
    </w:p>
    <w:p w14:paraId="5BA8BA90"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 Upon expiry of the period of operation of the Rēzekne Special Economic Zone, the legal relations previously established between the Rēzekne Special Economic Zone Authority and the merchants of the Rēzekne Special Economic Zone remain in effect and are continued in accordance with general procedures.</w:t>
      </w:r>
    </w:p>
    <w:p w14:paraId="730A089E"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62F97B39"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rPr>
      </w:pPr>
      <w:bookmarkStart w:id="92" w:name="p56"/>
      <w:bookmarkStart w:id="93" w:name="p-322365"/>
      <w:bookmarkEnd w:id="92"/>
      <w:bookmarkEnd w:id="93"/>
    </w:p>
    <w:p w14:paraId="17F9343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b/>
          <w:noProof/>
          <w:sz w:val="24"/>
          <w:lang w:val="en-US"/>
        </w:rPr>
        <w:t xml:space="preserve">Section 56. </w:t>
      </w:r>
      <w:r w:rsidRPr="00F91036">
        <w:rPr>
          <w:rFonts w:ascii="Times New Roman" w:hAnsi="Times New Roman"/>
          <w:noProof/>
          <w:sz w:val="24"/>
          <w:lang w:val="en-US"/>
        </w:rPr>
        <w:t>Amendments to the provisions of this Law may not have an adverse effect on the legal position of the merchants of the Rēzekne Special Economic Zone which have commenced their activity in the territory of the Rēzekne Special Economic Zone and have received the relevant authorisation issued by the Rēzekne Special Economic Zone Authority for a specific period of time, except for cases where amendments to the law have been made in accordance with the international obligations of Latvia.</w:t>
      </w:r>
    </w:p>
    <w:p w14:paraId="4E54FB25"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 17 December 2009</w:t>
      </w:r>
      <w:r w:rsidRPr="00F91036">
        <w:rPr>
          <w:rFonts w:ascii="Times New Roman" w:hAnsi="Times New Roman"/>
          <w:noProof/>
          <w:sz w:val="24"/>
          <w:lang w:val="en-US"/>
        </w:rPr>
        <w:t>]</w:t>
      </w:r>
    </w:p>
    <w:p w14:paraId="2D339A20"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94" w:name="20106"/>
      <w:bookmarkEnd w:id="94"/>
    </w:p>
    <w:p w14:paraId="2FAC95BE"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Transitional Provisions</w:t>
      </w:r>
      <w:bookmarkStart w:id="95" w:name="pn-20106"/>
      <w:bookmarkEnd w:id="95"/>
    </w:p>
    <w:p w14:paraId="0AF964E1"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96" w:name="p-29570"/>
      <w:bookmarkEnd w:id="96"/>
    </w:p>
    <w:p w14:paraId="1C9FD0D3"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 Upon entry into force of this Law, the land and other immovable properties owned by or under jurisdiction of the State located in the territory of the Rēzekne Special Economic Zone shall be transferred into ownership of the local governments of Rēzekne city, Griškāni rural territory, and Vērēmi rural territory, except for the land and immovable properties located in the territories occupied by the Latvian Railway, and also the undertakings, companies, and other organisations of Rēzekne. The abovementioned land and other immovable properties shall be registered in the Land Registers in the name of the local government of Rēzekne city in the person of the joint stock company for the administration of the Rēzekne Special Economic Zone after demarcation of the borders in nature and drawing up of the documents specified in the law.</w:t>
      </w:r>
      <w:bookmarkStart w:id="97" w:name="pn1"/>
      <w:bookmarkEnd w:id="97"/>
    </w:p>
    <w:p w14:paraId="3A1AF44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37197E5D"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98" w:name="p-29571"/>
      <w:bookmarkEnd w:id="98"/>
    </w:p>
    <w:p w14:paraId="68118F53" w14:textId="77777777" w:rsidR="00F91036" w:rsidRPr="00F91036" w:rsidRDefault="00F91036" w:rsidP="00F91036">
      <w:pPr>
        <w:keepNext/>
        <w:keepLines/>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 xml:space="preserve">2. </w:t>
      </w:r>
      <w:r w:rsidRPr="00F91036">
        <w:rPr>
          <w:rFonts w:ascii="Times New Roman" w:hAnsi="Times New Roman"/>
          <w:i/>
          <w:iCs/>
          <w:noProof/>
          <w:sz w:val="24"/>
          <w:lang w:val="en-US"/>
        </w:rPr>
        <w:t xml:space="preserve">Akciju sabiedrība “Rēzeknes speciālā ekonomiskā zona” </w:t>
      </w:r>
      <w:r w:rsidRPr="00F91036">
        <w:rPr>
          <w:rFonts w:ascii="Times New Roman" w:hAnsi="Times New Roman"/>
          <w:noProof/>
          <w:sz w:val="24"/>
          <w:lang w:val="en-US"/>
        </w:rPr>
        <w:t>[joint stock company Rēzekne Special Economic Zone] registered in the Enterprise Register shall be determined as the joint stock company for the administration of the Rēzekne Special Economic Zone specified in this Law.</w:t>
      </w:r>
      <w:bookmarkStart w:id="99" w:name="pn2"/>
      <w:bookmarkEnd w:id="99"/>
    </w:p>
    <w:p w14:paraId="04B43F51"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11EDC9F0"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100" w:name="p-29587"/>
      <w:bookmarkEnd w:id="100"/>
    </w:p>
    <w:p w14:paraId="6A68C8E9"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 The authorisations for the performance of commercial activity issued by the undertaking for the administration of the Rēzekne Special Economic Zone shall be valid until the expiry date specified in such authorisations.</w:t>
      </w:r>
      <w:bookmarkStart w:id="101" w:name="pn3"/>
      <w:bookmarkEnd w:id="101"/>
    </w:p>
    <w:p w14:paraId="50F092D9"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27 January 2005</w:t>
      </w:r>
      <w:r w:rsidRPr="00F91036">
        <w:rPr>
          <w:rFonts w:ascii="Times New Roman" w:hAnsi="Times New Roman"/>
          <w:noProof/>
          <w:sz w:val="24"/>
          <w:lang w:val="en-US"/>
        </w:rPr>
        <w:t>]</w:t>
      </w:r>
    </w:p>
    <w:p w14:paraId="383E6081"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102" w:name="p-322281"/>
      <w:bookmarkEnd w:id="102"/>
    </w:p>
    <w:p w14:paraId="4C090E41"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4. By 1 June 2010, the joint stock company for the administration of the Rēzekne Special Economic Zone shall be liquidated and the Rēzekne Special Economic Zone Authority shall be established as an institution.</w:t>
      </w:r>
      <w:bookmarkStart w:id="103" w:name="pn4"/>
      <w:bookmarkEnd w:id="103"/>
    </w:p>
    <w:p w14:paraId="1274A1D7"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1F7180DC"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104" w:name="p-322282"/>
      <w:bookmarkEnd w:id="104"/>
    </w:p>
    <w:p w14:paraId="606943E6"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5. Until the establishment of the Rēzekne Special Economic Zone Authority, but not longer than until 1 June 2010, the administrative functions specified in this Law shall be performed by the joint stock company for the administration of the Rēzekne Special Economic Zone.</w:t>
      </w:r>
      <w:bookmarkStart w:id="105" w:name="pn5"/>
      <w:bookmarkEnd w:id="105"/>
    </w:p>
    <w:p w14:paraId="415EAF70"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687D3034"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106" w:name="p-322284"/>
      <w:bookmarkEnd w:id="106"/>
    </w:p>
    <w:p w14:paraId="25AF36E6"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6. The Rēzekne Special Economic Zone Authority shall take over all rights and obligations of the joint stock company for the administration of the Rēzekne Special Economic Zone.</w:t>
      </w:r>
      <w:bookmarkStart w:id="107" w:name="pn6"/>
      <w:bookmarkEnd w:id="107"/>
    </w:p>
    <w:p w14:paraId="4DD9E0A2"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3A8B80D7"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108" w:name="p-322287"/>
      <w:bookmarkEnd w:id="108"/>
    </w:p>
    <w:p w14:paraId="14DA97B8"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7. The local government of Rēzekne city shall, not later than by 1 June 2010, take the necessary measures to ensure that the land and other immovable properties which, in accordance with Paragraph 1 of the Transitional Provisions of this Law, are registered in the Land Registers in the name of the local government of Rēzekne city in the person of the joint stock company for the administration of the Rēzekne Special Economic Zone would be registered in the name of the local government of Rēzekne city or the local government of Rēzekne municipality.</w:t>
      </w:r>
      <w:bookmarkStart w:id="109" w:name="pn7"/>
      <w:bookmarkEnd w:id="109"/>
    </w:p>
    <w:p w14:paraId="20FB18A1"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5BECA776"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20E144F1"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7D1E9AAD"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r w:rsidRPr="00F91036">
        <w:rPr>
          <w:rFonts w:ascii="Times New Roman" w:hAnsi="Times New Roman"/>
          <w:noProof/>
          <w:sz w:val="24"/>
          <w:lang w:val="en-US"/>
        </w:rPr>
        <w:t xml:space="preserve">The Law has been adopted by the </w:t>
      </w:r>
      <w:r w:rsidRPr="00F91036">
        <w:rPr>
          <w:rFonts w:ascii="Times New Roman" w:hAnsi="Times New Roman"/>
          <w:i/>
          <w:iCs/>
          <w:noProof/>
          <w:sz w:val="24"/>
          <w:lang w:val="en-US"/>
        </w:rPr>
        <w:t xml:space="preserve">Saeima </w:t>
      </w:r>
      <w:r w:rsidRPr="00F91036">
        <w:rPr>
          <w:rFonts w:ascii="Times New Roman" w:hAnsi="Times New Roman"/>
          <w:noProof/>
          <w:sz w:val="24"/>
          <w:lang w:val="en-US"/>
        </w:rPr>
        <w:t>on 1 October 1997.</w:t>
      </w:r>
    </w:p>
    <w:p w14:paraId="1A20E9D8"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7BB7B4D8"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51A1B735" w14:textId="77777777" w:rsidR="00F91036" w:rsidRPr="00F91036" w:rsidRDefault="00F91036" w:rsidP="00F91036">
      <w:pPr>
        <w:tabs>
          <w:tab w:val="left" w:pos="7938"/>
        </w:tabs>
        <w:spacing w:after="0" w:line="240" w:lineRule="auto"/>
        <w:jc w:val="both"/>
        <w:rPr>
          <w:rFonts w:ascii="Times New Roman" w:hAnsi="Times New Roman"/>
          <w:noProof/>
          <w:sz w:val="24"/>
          <w:lang w:val="en-US"/>
        </w:rPr>
      </w:pPr>
      <w:r w:rsidRPr="00F91036">
        <w:rPr>
          <w:rFonts w:ascii="Times New Roman" w:hAnsi="Times New Roman"/>
          <w:noProof/>
          <w:sz w:val="24"/>
          <w:lang w:val="en-US"/>
        </w:rPr>
        <w:t xml:space="preserve">Acting for the President, Deputy Chairperson of the </w:t>
      </w:r>
      <w:r w:rsidRPr="002A7297">
        <w:rPr>
          <w:rFonts w:ascii="Times New Roman" w:hAnsi="Times New Roman"/>
          <w:i/>
          <w:iCs/>
          <w:noProof/>
          <w:sz w:val="24"/>
          <w:lang w:val="en-US"/>
        </w:rPr>
        <w:t>Saeima</w:t>
      </w:r>
      <w:r w:rsidRPr="00F91036">
        <w:rPr>
          <w:rFonts w:ascii="Times New Roman" w:hAnsi="Times New Roman"/>
          <w:noProof/>
          <w:sz w:val="24"/>
          <w:lang w:val="en-US"/>
        </w:rPr>
        <w:tab/>
        <w:t>A. Ameriks</w:t>
      </w:r>
    </w:p>
    <w:p w14:paraId="43FE4618"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0CD3D865" w14:textId="77777777" w:rsidR="00F91036" w:rsidRPr="00F91036" w:rsidRDefault="00F91036" w:rsidP="00F91036">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Rīga, 21 October 1997</w:t>
      </w:r>
    </w:p>
    <w:p w14:paraId="36214DB8"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36AF5A12" w14:textId="77777777" w:rsidR="00F91036" w:rsidRPr="00F91036" w:rsidRDefault="00F91036" w:rsidP="00F91036">
      <w:pPr>
        <w:rPr>
          <w:noProof/>
          <w:lang w:val="en-US"/>
        </w:rPr>
      </w:pPr>
      <w:r w:rsidRPr="00F91036">
        <w:rPr>
          <w:noProof/>
          <w:lang w:val="en-US"/>
        </w:rPr>
        <w:br w:type="page"/>
      </w:r>
    </w:p>
    <w:p w14:paraId="001F304C"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478C7939" w14:textId="77777777" w:rsidR="00F91036" w:rsidRPr="00F91036" w:rsidRDefault="00F91036" w:rsidP="00F91036">
      <w:pPr>
        <w:spacing w:after="0" w:line="240" w:lineRule="auto"/>
        <w:jc w:val="right"/>
        <w:rPr>
          <w:rFonts w:ascii="Times New Roman" w:hAnsi="Times New Roman"/>
          <w:noProof/>
          <w:sz w:val="24"/>
          <w:lang w:val="en-US"/>
        </w:rPr>
      </w:pPr>
      <w:bookmarkStart w:id="110" w:name="piel1"/>
      <w:bookmarkEnd w:id="110"/>
      <w:r w:rsidRPr="00F91036">
        <w:rPr>
          <w:rFonts w:ascii="Times New Roman" w:hAnsi="Times New Roman"/>
          <w:noProof/>
          <w:sz w:val="24"/>
          <w:lang w:val="en-US"/>
        </w:rPr>
        <w:t>Law on the Rēzekne Special Economic Zone</w:t>
      </w:r>
    </w:p>
    <w:p w14:paraId="73136097" w14:textId="77777777" w:rsidR="00F91036" w:rsidRPr="00F91036" w:rsidRDefault="00F91036" w:rsidP="00F91036">
      <w:pPr>
        <w:spacing w:after="0" w:line="240" w:lineRule="auto"/>
        <w:jc w:val="right"/>
        <w:rPr>
          <w:rFonts w:ascii="Times New Roman" w:hAnsi="Times New Roman"/>
          <w:b/>
          <w:noProof/>
          <w:sz w:val="24"/>
          <w:lang w:val="en-US"/>
        </w:rPr>
      </w:pPr>
      <w:r w:rsidRPr="00F91036">
        <w:rPr>
          <w:rFonts w:ascii="Times New Roman" w:hAnsi="Times New Roman"/>
          <w:b/>
          <w:noProof/>
          <w:sz w:val="24"/>
          <w:lang w:val="en-US"/>
        </w:rPr>
        <w:t>Annex 1</w:t>
      </w:r>
      <w:bookmarkStart w:id="111" w:name="piel-322296"/>
      <w:bookmarkEnd w:id="111"/>
    </w:p>
    <w:p w14:paraId="496D63C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049900B1"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7CBC3966" w14:textId="77777777" w:rsidR="00F91036" w:rsidRPr="00F91036" w:rsidRDefault="00F91036" w:rsidP="00F91036">
      <w:pPr>
        <w:spacing w:after="0" w:line="240" w:lineRule="auto"/>
        <w:jc w:val="center"/>
        <w:rPr>
          <w:rFonts w:ascii="Times New Roman" w:hAnsi="Times New Roman"/>
          <w:b/>
          <w:noProof/>
          <w:sz w:val="28"/>
          <w:lang w:val="en-US"/>
        </w:rPr>
      </w:pPr>
      <w:bookmarkStart w:id="112" w:name="322298"/>
      <w:bookmarkStart w:id="113" w:name="n-322298"/>
      <w:bookmarkEnd w:id="112"/>
      <w:bookmarkEnd w:id="113"/>
      <w:r w:rsidRPr="00F91036">
        <w:rPr>
          <w:rFonts w:ascii="Times New Roman" w:hAnsi="Times New Roman"/>
          <w:b/>
          <w:noProof/>
          <w:sz w:val="28"/>
          <w:lang w:val="en-US"/>
        </w:rPr>
        <w:t>Territorial Plan of the Rēzekne Special Economic Zone (RSEZ)</w:t>
      </w:r>
    </w:p>
    <w:p w14:paraId="5BF2F99C" w14:textId="77777777" w:rsidR="00F91036" w:rsidRPr="00F91036" w:rsidRDefault="00F91036" w:rsidP="00F91036">
      <w:pPr>
        <w:spacing w:after="0" w:line="240" w:lineRule="auto"/>
        <w:jc w:val="center"/>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135EC3BF"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35882358"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42C0C035" w14:textId="77777777" w:rsidR="00F91036" w:rsidRPr="00F91036" w:rsidRDefault="00F91036" w:rsidP="00F91036">
      <w:pPr>
        <w:spacing w:after="0" w:line="240" w:lineRule="auto"/>
        <w:jc w:val="center"/>
        <w:rPr>
          <w:rFonts w:ascii="Times New Roman" w:eastAsia="Times New Roman" w:hAnsi="Times New Roman" w:cs="Times New Roman"/>
          <w:noProof/>
          <w:sz w:val="24"/>
          <w:szCs w:val="24"/>
          <w:lang w:val="en-US"/>
        </w:rPr>
      </w:pPr>
      <w:r w:rsidRPr="00F91036">
        <w:rPr>
          <w:rFonts w:ascii="Times New Roman" w:eastAsia="Times New Roman" w:hAnsi="Times New Roman" w:cs="Times New Roman"/>
          <w:noProof/>
          <w:sz w:val="24"/>
          <w:szCs w:val="24"/>
          <w:lang w:val="en-US"/>
        </w:rPr>
        <w:drawing>
          <wp:inline distT="0" distB="0" distL="0" distR="0" wp14:anchorId="318F1E85" wp14:editId="5A92932E">
            <wp:extent cx="5731510" cy="6904355"/>
            <wp:effectExtent l="0" t="0" r="2540" b="0"/>
            <wp:docPr id="2" name="Attēls 2"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karte&#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904355"/>
                    </a:xfrm>
                    <a:prstGeom prst="rect">
                      <a:avLst/>
                    </a:prstGeom>
                    <a:noFill/>
                    <a:ln>
                      <a:noFill/>
                    </a:ln>
                  </pic:spPr>
                </pic:pic>
              </a:graphicData>
            </a:graphic>
          </wp:inline>
        </w:drawing>
      </w:r>
    </w:p>
    <w:p w14:paraId="779A97E7"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114" w:name="piel2"/>
      <w:bookmarkEnd w:id="114"/>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628"/>
        <w:gridCol w:w="4433"/>
      </w:tblGrid>
      <w:tr w:rsidR="00F91036" w:rsidRPr="00F91036" w14:paraId="61A1259D" w14:textId="77777777" w:rsidTr="00E422C1">
        <w:tc>
          <w:tcPr>
            <w:tcW w:w="2554" w:type="pct"/>
          </w:tcPr>
          <w:p w14:paraId="00C27348" w14:textId="77777777" w:rsidR="00F91036" w:rsidRPr="00F91036" w:rsidRDefault="00F91036" w:rsidP="00E422C1">
            <w:pPr>
              <w:keepNext/>
              <w:keepLines/>
              <w:jc w:val="center"/>
              <w:rPr>
                <w:rFonts w:ascii="Times New Roman" w:eastAsia="Times New Roman" w:hAnsi="Times New Roman" w:cs="Times New Roman"/>
                <w:b/>
                <w:bCs/>
                <w:noProof/>
                <w:sz w:val="24"/>
                <w:szCs w:val="24"/>
                <w:lang w:val="en-US"/>
              </w:rPr>
            </w:pPr>
            <w:r w:rsidRPr="00F91036">
              <w:rPr>
                <w:rFonts w:ascii="Times New Roman" w:eastAsia="Times New Roman" w:hAnsi="Times New Roman" w:cs="Times New Roman"/>
                <w:b/>
                <w:bCs/>
                <w:noProof/>
                <w:sz w:val="24"/>
                <w:szCs w:val="24"/>
                <w:lang w:val="en-US"/>
              </w:rPr>
              <w:t>Latviešu val.</w:t>
            </w:r>
          </w:p>
        </w:tc>
        <w:tc>
          <w:tcPr>
            <w:tcW w:w="2446" w:type="pct"/>
          </w:tcPr>
          <w:p w14:paraId="3ECD3619" w14:textId="77777777" w:rsidR="00F91036" w:rsidRPr="00F91036" w:rsidRDefault="00F91036" w:rsidP="00E422C1">
            <w:pPr>
              <w:keepNext/>
              <w:keepLines/>
              <w:jc w:val="center"/>
              <w:rPr>
                <w:rFonts w:ascii="Times New Roman" w:eastAsia="Times New Roman" w:hAnsi="Times New Roman" w:cs="Times New Roman"/>
                <w:b/>
                <w:bCs/>
                <w:noProof/>
                <w:sz w:val="24"/>
                <w:szCs w:val="24"/>
                <w:lang w:val="en-US"/>
              </w:rPr>
            </w:pPr>
            <w:r w:rsidRPr="00F91036">
              <w:rPr>
                <w:rFonts w:ascii="Times New Roman" w:eastAsia="Times New Roman" w:hAnsi="Times New Roman" w:cs="Times New Roman"/>
                <w:b/>
                <w:bCs/>
                <w:noProof/>
                <w:sz w:val="24"/>
                <w:szCs w:val="24"/>
                <w:lang w:val="en-US"/>
              </w:rPr>
              <w:t>Angļu val.</w:t>
            </w:r>
          </w:p>
        </w:tc>
      </w:tr>
      <w:tr w:rsidR="00F91036" w:rsidRPr="00F91036" w14:paraId="73F898B7" w14:textId="77777777" w:rsidTr="00E422C1">
        <w:tc>
          <w:tcPr>
            <w:tcW w:w="2554" w:type="pct"/>
          </w:tcPr>
          <w:p w14:paraId="7E2CD6BE" w14:textId="77777777" w:rsidR="00F91036" w:rsidRPr="00F91036" w:rsidRDefault="00F91036" w:rsidP="00E422C1">
            <w:pPr>
              <w:keepNext/>
              <w:keepLines/>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RĒZEKNES SPECIĀLĀS EKONOMISKĀS ZONAS (RSEZ) TERITORIJAS PLĀNS</w:t>
            </w:r>
          </w:p>
        </w:tc>
        <w:tc>
          <w:tcPr>
            <w:tcW w:w="2446" w:type="pct"/>
          </w:tcPr>
          <w:p w14:paraId="193727A5" w14:textId="77777777" w:rsidR="00F91036" w:rsidRPr="00F91036" w:rsidRDefault="00F91036" w:rsidP="00E422C1">
            <w:pPr>
              <w:keepNext/>
              <w:keepLines/>
              <w:jc w:val="both"/>
              <w:rPr>
                <w:rFonts w:ascii="Times New Roman" w:hAnsi="Times New Roman"/>
                <w:bCs/>
                <w:noProof/>
                <w:sz w:val="24"/>
                <w:lang w:val="en-US"/>
              </w:rPr>
            </w:pPr>
            <w:r w:rsidRPr="00F91036">
              <w:rPr>
                <w:rFonts w:ascii="Times New Roman" w:hAnsi="Times New Roman"/>
                <w:bCs/>
                <w:noProof/>
                <w:sz w:val="24"/>
                <w:lang w:val="en-US"/>
              </w:rPr>
              <w:t>TERRITORIAL PLAN OF THE RĒZEKNE SPECIAL ECONOMIC ZONE (RSEZ)</w:t>
            </w:r>
          </w:p>
        </w:tc>
      </w:tr>
      <w:tr w:rsidR="00F91036" w:rsidRPr="00F91036" w14:paraId="0283CE3F" w14:textId="77777777" w:rsidTr="00E422C1">
        <w:tc>
          <w:tcPr>
            <w:tcW w:w="2554" w:type="pct"/>
          </w:tcPr>
          <w:p w14:paraId="23079207"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Mērogs 1:100 000</w:t>
            </w:r>
          </w:p>
        </w:tc>
        <w:tc>
          <w:tcPr>
            <w:tcW w:w="2446" w:type="pct"/>
          </w:tcPr>
          <w:p w14:paraId="7479DF98"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Scale 1:100 000</w:t>
            </w:r>
          </w:p>
        </w:tc>
      </w:tr>
      <w:tr w:rsidR="00F91036" w:rsidRPr="00F91036" w14:paraId="44A974D6" w14:textId="77777777" w:rsidTr="00E422C1">
        <w:tc>
          <w:tcPr>
            <w:tcW w:w="2554" w:type="pct"/>
          </w:tcPr>
          <w:p w14:paraId="158BFC77"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RSEC teritorijas platība:</w:t>
            </w:r>
          </w:p>
        </w:tc>
        <w:tc>
          <w:tcPr>
            <w:tcW w:w="2446" w:type="pct"/>
          </w:tcPr>
          <w:p w14:paraId="36610FD7"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Area of the RSEC territory:</w:t>
            </w:r>
          </w:p>
        </w:tc>
      </w:tr>
      <w:tr w:rsidR="00F91036" w:rsidRPr="00F91036" w14:paraId="43B888BB" w14:textId="77777777" w:rsidTr="00E422C1">
        <w:tc>
          <w:tcPr>
            <w:tcW w:w="2554" w:type="pct"/>
          </w:tcPr>
          <w:p w14:paraId="33F40564"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1. nogabals – 203.86 ha</w:t>
            </w:r>
          </w:p>
        </w:tc>
        <w:tc>
          <w:tcPr>
            <w:tcW w:w="2446" w:type="pct"/>
          </w:tcPr>
          <w:p w14:paraId="337FAA64"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1st section – 203.86 ha</w:t>
            </w:r>
          </w:p>
        </w:tc>
      </w:tr>
      <w:tr w:rsidR="00F91036" w:rsidRPr="00F91036" w14:paraId="27B242AC" w14:textId="77777777" w:rsidTr="00E422C1">
        <w:tc>
          <w:tcPr>
            <w:tcW w:w="2554" w:type="pct"/>
          </w:tcPr>
          <w:p w14:paraId="196255F0" w14:textId="77777777" w:rsidR="00F91036" w:rsidRPr="00F91036" w:rsidRDefault="00F91036" w:rsidP="00E422C1">
            <w:pPr>
              <w:jc w:val="both"/>
              <w:rPr>
                <w:rFonts w:ascii="Times New Roman" w:eastAsia="Times New Roman" w:hAnsi="Times New Roman" w:cs="Times New Roman"/>
                <w:i/>
                <w:iCs/>
                <w:noProof/>
                <w:sz w:val="24"/>
                <w:szCs w:val="24"/>
                <w:lang w:val="en-US" w:eastAsia="lv-LV"/>
              </w:rPr>
            </w:pPr>
            <w:r w:rsidRPr="00F91036">
              <w:rPr>
                <w:rFonts w:ascii="Times New Roman" w:eastAsia="Times New Roman" w:hAnsi="Times New Roman" w:cs="Times New Roman"/>
                <w:i/>
                <w:iCs/>
                <w:noProof/>
                <w:sz w:val="24"/>
                <w:szCs w:val="24"/>
                <w:lang w:val="en-US" w:eastAsia="lv-LV"/>
              </w:rPr>
              <w:t>Sanktpēterburga</w:t>
            </w:r>
          </w:p>
        </w:tc>
        <w:tc>
          <w:tcPr>
            <w:tcW w:w="2446" w:type="pct"/>
          </w:tcPr>
          <w:p w14:paraId="6C879028" w14:textId="77777777" w:rsidR="00F91036" w:rsidRPr="00F91036" w:rsidRDefault="00F91036" w:rsidP="00E422C1">
            <w:pPr>
              <w:jc w:val="both"/>
              <w:rPr>
                <w:rFonts w:ascii="Times New Roman" w:hAnsi="Times New Roman"/>
                <w:bCs/>
                <w:i/>
                <w:noProof/>
                <w:sz w:val="24"/>
                <w:lang w:val="en-US"/>
              </w:rPr>
            </w:pPr>
            <w:r w:rsidRPr="00F91036">
              <w:rPr>
                <w:rFonts w:ascii="Times New Roman" w:hAnsi="Times New Roman"/>
                <w:bCs/>
                <w:i/>
                <w:noProof/>
                <w:sz w:val="24"/>
                <w:lang w:val="en-US"/>
              </w:rPr>
              <w:t>Saint Petersburg</w:t>
            </w:r>
          </w:p>
        </w:tc>
      </w:tr>
      <w:tr w:rsidR="00F91036" w:rsidRPr="00F91036" w14:paraId="68AE088E" w14:textId="77777777" w:rsidTr="00E422C1">
        <w:tc>
          <w:tcPr>
            <w:tcW w:w="2554" w:type="pct"/>
          </w:tcPr>
          <w:p w14:paraId="7CB488F0" w14:textId="77777777" w:rsidR="00F91036" w:rsidRPr="00F91036" w:rsidRDefault="00F91036" w:rsidP="00E422C1">
            <w:pPr>
              <w:jc w:val="both"/>
              <w:rPr>
                <w:rFonts w:ascii="Times New Roman" w:eastAsia="Times New Roman" w:hAnsi="Times New Roman" w:cs="Times New Roman"/>
                <w:i/>
                <w:iCs/>
                <w:noProof/>
                <w:sz w:val="24"/>
                <w:szCs w:val="24"/>
                <w:lang w:val="en-US" w:eastAsia="lv-LV"/>
              </w:rPr>
            </w:pPr>
            <w:r w:rsidRPr="00F91036">
              <w:rPr>
                <w:rFonts w:ascii="Times New Roman" w:eastAsia="Times New Roman" w:hAnsi="Times New Roman" w:cs="Times New Roman"/>
                <w:i/>
                <w:iCs/>
                <w:noProof/>
                <w:sz w:val="24"/>
                <w:szCs w:val="24"/>
                <w:lang w:val="en-US" w:eastAsia="lv-LV"/>
              </w:rPr>
              <w:t>Krievijas pierobeža</w:t>
            </w:r>
          </w:p>
        </w:tc>
        <w:tc>
          <w:tcPr>
            <w:tcW w:w="2446" w:type="pct"/>
          </w:tcPr>
          <w:p w14:paraId="34F651D4" w14:textId="77777777" w:rsidR="00F91036" w:rsidRPr="00F91036" w:rsidRDefault="00F91036" w:rsidP="00E422C1">
            <w:pPr>
              <w:jc w:val="both"/>
              <w:rPr>
                <w:rFonts w:ascii="Times New Roman" w:hAnsi="Times New Roman"/>
                <w:bCs/>
                <w:i/>
                <w:noProof/>
                <w:sz w:val="24"/>
                <w:lang w:val="en-US"/>
              </w:rPr>
            </w:pPr>
            <w:r w:rsidRPr="00F91036">
              <w:rPr>
                <w:rFonts w:ascii="Times New Roman" w:hAnsi="Times New Roman"/>
                <w:bCs/>
                <w:i/>
                <w:noProof/>
                <w:sz w:val="24"/>
                <w:lang w:val="en-US"/>
              </w:rPr>
              <w:t>Border area of Russia</w:t>
            </w:r>
          </w:p>
        </w:tc>
      </w:tr>
      <w:tr w:rsidR="00F91036" w:rsidRPr="00F91036" w14:paraId="5339C608" w14:textId="77777777" w:rsidTr="00E422C1">
        <w:tc>
          <w:tcPr>
            <w:tcW w:w="2554" w:type="pct"/>
          </w:tcPr>
          <w:p w14:paraId="778B27EB"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Verēmu pagasts</w:t>
            </w:r>
          </w:p>
        </w:tc>
        <w:tc>
          <w:tcPr>
            <w:tcW w:w="2446" w:type="pct"/>
          </w:tcPr>
          <w:p w14:paraId="308757A3"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Vērēmi rural territory</w:t>
            </w:r>
          </w:p>
        </w:tc>
      </w:tr>
      <w:tr w:rsidR="00F91036" w:rsidRPr="00F91036" w14:paraId="56F66A0A" w14:textId="77777777" w:rsidTr="00E422C1">
        <w:tc>
          <w:tcPr>
            <w:tcW w:w="2554" w:type="pct"/>
          </w:tcPr>
          <w:p w14:paraId="6A6EF520" w14:textId="77777777" w:rsidR="00F91036" w:rsidRPr="00F91036" w:rsidRDefault="00F91036" w:rsidP="00E422C1">
            <w:pPr>
              <w:jc w:val="both"/>
              <w:rPr>
                <w:rFonts w:ascii="Times New Roman" w:eastAsia="Times New Roman" w:hAnsi="Times New Roman" w:cs="Times New Roman"/>
                <w:i/>
                <w:iCs/>
                <w:noProof/>
                <w:sz w:val="24"/>
                <w:szCs w:val="24"/>
                <w:lang w:val="en-US" w:eastAsia="lv-LV"/>
              </w:rPr>
            </w:pPr>
            <w:r w:rsidRPr="00F91036">
              <w:rPr>
                <w:rFonts w:ascii="Times New Roman" w:eastAsia="Times New Roman" w:hAnsi="Times New Roman" w:cs="Times New Roman"/>
                <w:i/>
                <w:iCs/>
                <w:noProof/>
                <w:sz w:val="24"/>
                <w:szCs w:val="24"/>
                <w:lang w:val="en-US" w:eastAsia="lv-LV"/>
              </w:rPr>
              <w:t>Jēkabpils</w:t>
            </w:r>
          </w:p>
        </w:tc>
        <w:tc>
          <w:tcPr>
            <w:tcW w:w="2446" w:type="pct"/>
          </w:tcPr>
          <w:p w14:paraId="3DBEACC2" w14:textId="77777777" w:rsidR="00F91036" w:rsidRPr="00F91036" w:rsidRDefault="00F91036" w:rsidP="00E422C1">
            <w:pPr>
              <w:jc w:val="both"/>
              <w:rPr>
                <w:rFonts w:ascii="Times New Roman" w:hAnsi="Times New Roman"/>
                <w:bCs/>
                <w:i/>
                <w:noProof/>
                <w:sz w:val="24"/>
                <w:lang w:val="en-US"/>
              </w:rPr>
            </w:pPr>
            <w:r w:rsidRPr="00F91036">
              <w:rPr>
                <w:rFonts w:ascii="Times New Roman" w:hAnsi="Times New Roman"/>
                <w:bCs/>
                <w:i/>
                <w:noProof/>
                <w:sz w:val="24"/>
                <w:lang w:val="en-US"/>
              </w:rPr>
              <w:t>Jēkabpils</w:t>
            </w:r>
          </w:p>
        </w:tc>
      </w:tr>
      <w:tr w:rsidR="00F91036" w:rsidRPr="00F91036" w14:paraId="1D1AC1D9" w14:textId="77777777" w:rsidTr="00E422C1">
        <w:tc>
          <w:tcPr>
            <w:tcW w:w="2554" w:type="pct"/>
          </w:tcPr>
          <w:p w14:paraId="464EDA20" w14:textId="77777777" w:rsidR="00F91036" w:rsidRPr="00F91036" w:rsidRDefault="00F91036" w:rsidP="00E422C1">
            <w:pPr>
              <w:jc w:val="both"/>
              <w:rPr>
                <w:rFonts w:ascii="Times New Roman" w:eastAsia="Times New Roman" w:hAnsi="Times New Roman" w:cs="Times New Roman"/>
                <w:i/>
                <w:iCs/>
                <w:noProof/>
                <w:sz w:val="24"/>
                <w:szCs w:val="24"/>
                <w:lang w:val="en-US" w:eastAsia="lv-LV"/>
              </w:rPr>
            </w:pPr>
            <w:r w:rsidRPr="00F91036">
              <w:rPr>
                <w:rFonts w:ascii="Times New Roman" w:eastAsia="Times New Roman" w:hAnsi="Times New Roman" w:cs="Times New Roman"/>
                <w:i/>
                <w:iCs/>
                <w:noProof/>
                <w:sz w:val="24"/>
                <w:szCs w:val="24"/>
                <w:lang w:val="en-US" w:eastAsia="lv-LV"/>
              </w:rPr>
              <w:t>Rīga</w:t>
            </w:r>
          </w:p>
        </w:tc>
        <w:tc>
          <w:tcPr>
            <w:tcW w:w="2446" w:type="pct"/>
          </w:tcPr>
          <w:p w14:paraId="5A12C4F5" w14:textId="77777777" w:rsidR="00F91036" w:rsidRPr="00F91036" w:rsidRDefault="00F91036" w:rsidP="00E422C1">
            <w:pPr>
              <w:jc w:val="both"/>
              <w:rPr>
                <w:rFonts w:ascii="Times New Roman" w:hAnsi="Times New Roman"/>
                <w:bCs/>
                <w:i/>
                <w:noProof/>
                <w:sz w:val="24"/>
                <w:lang w:val="en-US"/>
              </w:rPr>
            </w:pPr>
            <w:r w:rsidRPr="00F91036">
              <w:rPr>
                <w:rFonts w:ascii="Times New Roman" w:hAnsi="Times New Roman"/>
                <w:bCs/>
                <w:i/>
                <w:noProof/>
                <w:sz w:val="24"/>
                <w:lang w:val="en-US"/>
              </w:rPr>
              <w:t>Riga</w:t>
            </w:r>
          </w:p>
        </w:tc>
      </w:tr>
      <w:tr w:rsidR="00F91036" w:rsidRPr="00F91036" w14:paraId="2B974BB6" w14:textId="77777777" w:rsidTr="00E422C1">
        <w:tc>
          <w:tcPr>
            <w:tcW w:w="2554" w:type="pct"/>
          </w:tcPr>
          <w:p w14:paraId="268B6951" w14:textId="77777777" w:rsidR="00F91036" w:rsidRPr="00F91036" w:rsidRDefault="00F91036" w:rsidP="00E422C1">
            <w:pPr>
              <w:jc w:val="both"/>
              <w:rPr>
                <w:rFonts w:ascii="Times New Roman" w:eastAsia="Times New Roman" w:hAnsi="Times New Roman" w:cs="Times New Roman"/>
                <w:i/>
                <w:iCs/>
                <w:noProof/>
                <w:sz w:val="24"/>
                <w:szCs w:val="24"/>
                <w:lang w:val="en-US" w:eastAsia="lv-LV"/>
              </w:rPr>
            </w:pPr>
            <w:r w:rsidRPr="00F91036">
              <w:rPr>
                <w:rFonts w:ascii="Times New Roman" w:eastAsia="Times New Roman" w:hAnsi="Times New Roman" w:cs="Times New Roman"/>
                <w:i/>
                <w:iCs/>
                <w:noProof/>
                <w:sz w:val="24"/>
                <w:szCs w:val="24"/>
                <w:lang w:val="en-US" w:eastAsia="lv-LV"/>
              </w:rPr>
              <w:t>Maskava</w:t>
            </w:r>
          </w:p>
        </w:tc>
        <w:tc>
          <w:tcPr>
            <w:tcW w:w="2446" w:type="pct"/>
          </w:tcPr>
          <w:p w14:paraId="4D5406D7" w14:textId="77777777" w:rsidR="00F91036" w:rsidRPr="00F91036" w:rsidRDefault="00F91036" w:rsidP="00E422C1">
            <w:pPr>
              <w:jc w:val="both"/>
              <w:rPr>
                <w:rFonts w:ascii="Times New Roman" w:hAnsi="Times New Roman"/>
                <w:bCs/>
                <w:i/>
                <w:noProof/>
                <w:sz w:val="24"/>
                <w:lang w:val="en-US"/>
              </w:rPr>
            </w:pPr>
            <w:r w:rsidRPr="00F91036">
              <w:rPr>
                <w:rFonts w:ascii="Times New Roman" w:hAnsi="Times New Roman"/>
                <w:bCs/>
                <w:i/>
                <w:noProof/>
                <w:sz w:val="24"/>
                <w:lang w:val="en-US"/>
              </w:rPr>
              <w:t>Moscow</w:t>
            </w:r>
          </w:p>
        </w:tc>
      </w:tr>
      <w:tr w:rsidR="00F91036" w:rsidRPr="00F91036" w14:paraId="6C59BB29" w14:textId="77777777" w:rsidTr="00E422C1">
        <w:tc>
          <w:tcPr>
            <w:tcW w:w="2554" w:type="pct"/>
          </w:tcPr>
          <w:p w14:paraId="66404448" w14:textId="77777777" w:rsidR="00F91036" w:rsidRPr="00F91036" w:rsidRDefault="00F91036" w:rsidP="00E422C1">
            <w:pPr>
              <w:jc w:val="both"/>
              <w:rPr>
                <w:rFonts w:ascii="Times New Roman" w:eastAsia="Times New Roman" w:hAnsi="Times New Roman" w:cs="Times New Roman"/>
                <w:i/>
                <w:iCs/>
                <w:noProof/>
                <w:sz w:val="24"/>
                <w:szCs w:val="24"/>
                <w:lang w:val="en-US" w:eastAsia="lv-LV"/>
              </w:rPr>
            </w:pPr>
            <w:r w:rsidRPr="00F91036">
              <w:rPr>
                <w:rFonts w:ascii="Times New Roman" w:eastAsia="Times New Roman" w:hAnsi="Times New Roman" w:cs="Times New Roman"/>
                <w:i/>
                <w:iCs/>
                <w:noProof/>
                <w:sz w:val="24"/>
                <w:szCs w:val="24"/>
                <w:lang w:val="en-US" w:eastAsia="lv-LV"/>
              </w:rPr>
              <w:t>Ludza</w:t>
            </w:r>
          </w:p>
        </w:tc>
        <w:tc>
          <w:tcPr>
            <w:tcW w:w="2446" w:type="pct"/>
          </w:tcPr>
          <w:p w14:paraId="4A885CB7" w14:textId="77777777" w:rsidR="00F91036" w:rsidRPr="00F91036" w:rsidRDefault="00F91036" w:rsidP="00E422C1">
            <w:pPr>
              <w:jc w:val="both"/>
              <w:rPr>
                <w:rFonts w:ascii="Times New Roman" w:hAnsi="Times New Roman"/>
                <w:bCs/>
                <w:i/>
                <w:noProof/>
                <w:sz w:val="24"/>
                <w:lang w:val="en-US"/>
              </w:rPr>
            </w:pPr>
            <w:r w:rsidRPr="00F91036">
              <w:rPr>
                <w:rFonts w:ascii="Times New Roman" w:hAnsi="Times New Roman"/>
                <w:bCs/>
                <w:i/>
                <w:noProof/>
                <w:sz w:val="24"/>
                <w:lang w:val="en-US"/>
              </w:rPr>
              <w:t>Ludza</w:t>
            </w:r>
          </w:p>
        </w:tc>
      </w:tr>
      <w:tr w:rsidR="00F91036" w:rsidRPr="00F91036" w14:paraId="5E00BF20" w14:textId="77777777" w:rsidTr="00E422C1">
        <w:tc>
          <w:tcPr>
            <w:tcW w:w="2554" w:type="pct"/>
          </w:tcPr>
          <w:p w14:paraId="496DF633"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RĒZEKNE</w:t>
            </w:r>
          </w:p>
        </w:tc>
        <w:tc>
          <w:tcPr>
            <w:tcW w:w="2446" w:type="pct"/>
          </w:tcPr>
          <w:p w14:paraId="1A8AE85C"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RĒZEKNE</w:t>
            </w:r>
          </w:p>
        </w:tc>
      </w:tr>
      <w:tr w:rsidR="00F91036" w:rsidRPr="00F91036" w14:paraId="59A2A47A" w14:textId="77777777" w:rsidTr="00E422C1">
        <w:tc>
          <w:tcPr>
            <w:tcW w:w="2554" w:type="pct"/>
          </w:tcPr>
          <w:p w14:paraId="5DB1272F"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Ozolmuižas pagasts</w:t>
            </w:r>
          </w:p>
        </w:tc>
        <w:tc>
          <w:tcPr>
            <w:tcW w:w="2446" w:type="pct"/>
          </w:tcPr>
          <w:p w14:paraId="703919E0"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Ozolmuiža rural territory</w:t>
            </w:r>
          </w:p>
        </w:tc>
      </w:tr>
      <w:tr w:rsidR="00F91036" w:rsidRPr="00F91036" w14:paraId="7667C0B3" w14:textId="77777777" w:rsidTr="00E422C1">
        <w:tc>
          <w:tcPr>
            <w:tcW w:w="2554" w:type="pct"/>
          </w:tcPr>
          <w:p w14:paraId="4F8CD122"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Griškānu pagasts</w:t>
            </w:r>
          </w:p>
        </w:tc>
        <w:tc>
          <w:tcPr>
            <w:tcW w:w="2446" w:type="pct"/>
          </w:tcPr>
          <w:p w14:paraId="683FE602"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Griškāni rural territory</w:t>
            </w:r>
          </w:p>
        </w:tc>
      </w:tr>
      <w:tr w:rsidR="00F91036" w:rsidRPr="00F91036" w14:paraId="6112CB47" w14:textId="77777777" w:rsidTr="00E422C1">
        <w:tc>
          <w:tcPr>
            <w:tcW w:w="2554" w:type="pct"/>
          </w:tcPr>
          <w:p w14:paraId="05589B67"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Ozolaines pagasts</w:t>
            </w:r>
          </w:p>
        </w:tc>
        <w:tc>
          <w:tcPr>
            <w:tcW w:w="2446" w:type="pct"/>
          </w:tcPr>
          <w:p w14:paraId="334E6203"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Ozolaine rural territory</w:t>
            </w:r>
          </w:p>
        </w:tc>
      </w:tr>
      <w:tr w:rsidR="00F91036" w:rsidRPr="00F91036" w14:paraId="3D20136E" w14:textId="77777777" w:rsidTr="00E422C1">
        <w:tc>
          <w:tcPr>
            <w:tcW w:w="2554" w:type="pct"/>
          </w:tcPr>
          <w:p w14:paraId="290D59DB" w14:textId="77777777" w:rsidR="00F91036" w:rsidRPr="00F91036" w:rsidRDefault="00F91036" w:rsidP="00E422C1">
            <w:pPr>
              <w:jc w:val="both"/>
              <w:rPr>
                <w:rFonts w:ascii="Times New Roman" w:eastAsia="Times New Roman" w:hAnsi="Times New Roman" w:cs="Times New Roman"/>
                <w:i/>
                <w:iCs/>
                <w:noProof/>
                <w:sz w:val="24"/>
                <w:szCs w:val="24"/>
                <w:lang w:val="en-US" w:eastAsia="lv-LV"/>
              </w:rPr>
            </w:pPr>
            <w:r w:rsidRPr="00F91036">
              <w:rPr>
                <w:rFonts w:ascii="Times New Roman" w:eastAsia="Times New Roman" w:hAnsi="Times New Roman" w:cs="Times New Roman"/>
                <w:i/>
                <w:iCs/>
                <w:noProof/>
                <w:sz w:val="24"/>
                <w:szCs w:val="24"/>
                <w:lang w:val="en-US" w:eastAsia="lv-LV"/>
              </w:rPr>
              <w:t>Varšava</w:t>
            </w:r>
          </w:p>
        </w:tc>
        <w:tc>
          <w:tcPr>
            <w:tcW w:w="2446" w:type="pct"/>
          </w:tcPr>
          <w:p w14:paraId="003CF217" w14:textId="77777777" w:rsidR="00F91036" w:rsidRPr="00F91036" w:rsidRDefault="00F91036" w:rsidP="00E422C1">
            <w:pPr>
              <w:jc w:val="both"/>
              <w:rPr>
                <w:rFonts w:ascii="Times New Roman" w:hAnsi="Times New Roman"/>
                <w:bCs/>
                <w:i/>
                <w:noProof/>
                <w:sz w:val="24"/>
                <w:lang w:val="en-US"/>
              </w:rPr>
            </w:pPr>
            <w:r w:rsidRPr="00F91036">
              <w:rPr>
                <w:rFonts w:ascii="Times New Roman" w:hAnsi="Times New Roman"/>
                <w:bCs/>
                <w:i/>
                <w:noProof/>
                <w:sz w:val="24"/>
                <w:lang w:val="en-US"/>
              </w:rPr>
              <w:t>Warsaw</w:t>
            </w:r>
          </w:p>
        </w:tc>
      </w:tr>
      <w:tr w:rsidR="00F91036" w:rsidRPr="00F91036" w14:paraId="3D31E3AA" w14:textId="77777777" w:rsidTr="00E422C1">
        <w:tc>
          <w:tcPr>
            <w:tcW w:w="2554" w:type="pct"/>
          </w:tcPr>
          <w:p w14:paraId="129629D9" w14:textId="77777777" w:rsidR="00F91036" w:rsidRPr="00F91036" w:rsidRDefault="00F91036" w:rsidP="00E422C1">
            <w:pPr>
              <w:jc w:val="both"/>
              <w:rPr>
                <w:rFonts w:ascii="Times New Roman" w:eastAsia="Times New Roman" w:hAnsi="Times New Roman" w:cs="Times New Roman"/>
                <w:i/>
                <w:iCs/>
                <w:noProof/>
                <w:sz w:val="24"/>
                <w:szCs w:val="24"/>
                <w:lang w:val="en-US" w:eastAsia="lv-LV"/>
              </w:rPr>
            </w:pPr>
            <w:r w:rsidRPr="00F91036">
              <w:rPr>
                <w:rFonts w:ascii="Times New Roman" w:eastAsia="Times New Roman" w:hAnsi="Times New Roman" w:cs="Times New Roman"/>
                <w:i/>
                <w:iCs/>
                <w:noProof/>
                <w:sz w:val="24"/>
                <w:szCs w:val="24"/>
                <w:lang w:val="en-US" w:eastAsia="lv-LV"/>
              </w:rPr>
              <w:t>Daugavpils</w:t>
            </w:r>
          </w:p>
        </w:tc>
        <w:tc>
          <w:tcPr>
            <w:tcW w:w="2446" w:type="pct"/>
          </w:tcPr>
          <w:p w14:paraId="25D02541" w14:textId="77777777" w:rsidR="00F91036" w:rsidRPr="00F91036" w:rsidRDefault="00F91036" w:rsidP="00E422C1">
            <w:pPr>
              <w:jc w:val="both"/>
              <w:rPr>
                <w:rFonts w:ascii="Times New Roman" w:hAnsi="Times New Roman"/>
                <w:bCs/>
                <w:i/>
                <w:noProof/>
                <w:sz w:val="24"/>
                <w:lang w:val="en-US"/>
              </w:rPr>
            </w:pPr>
            <w:r w:rsidRPr="00F91036">
              <w:rPr>
                <w:rFonts w:ascii="Times New Roman" w:hAnsi="Times New Roman"/>
                <w:bCs/>
                <w:i/>
                <w:noProof/>
                <w:sz w:val="24"/>
                <w:lang w:val="en-US"/>
              </w:rPr>
              <w:t>Daugavpils</w:t>
            </w:r>
          </w:p>
        </w:tc>
      </w:tr>
      <w:tr w:rsidR="00F91036" w:rsidRPr="00F91036" w14:paraId="3300324F" w14:textId="77777777" w:rsidTr="00E422C1">
        <w:tc>
          <w:tcPr>
            <w:tcW w:w="2554" w:type="pct"/>
          </w:tcPr>
          <w:p w14:paraId="3DF7BB50"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Apzīmējumi:</w:t>
            </w:r>
          </w:p>
        </w:tc>
        <w:tc>
          <w:tcPr>
            <w:tcW w:w="2446" w:type="pct"/>
          </w:tcPr>
          <w:p w14:paraId="63D9BBA2"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Designations:</w:t>
            </w:r>
          </w:p>
        </w:tc>
      </w:tr>
      <w:tr w:rsidR="00F91036" w:rsidRPr="00F91036" w14:paraId="100B8FBD" w14:textId="77777777" w:rsidTr="00E422C1">
        <w:tc>
          <w:tcPr>
            <w:tcW w:w="2554" w:type="pct"/>
          </w:tcPr>
          <w:p w14:paraId="2996CF3A"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RSEZ teritorija</w:t>
            </w:r>
          </w:p>
        </w:tc>
        <w:tc>
          <w:tcPr>
            <w:tcW w:w="2446" w:type="pct"/>
          </w:tcPr>
          <w:p w14:paraId="1998A556" w14:textId="77777777" w:rsidR="00F91036" w:rsidRPr="00F91036" w:rsidRDefault="00F91036" w:rsidP="00E422C1">
            <w:pPr>
              <w:jc w:val="both"/>
              <w:rPr>
                <w:rFonts w:ascii="Times New Roman" w:hAnsi="Times New Roman"/>
                <w:bCs/>
                <w:noProof/>
                <w:sz w:val="24"/>
                <w:lang w:val="en-US"/>
              </w:rPr>
            </w:pPr>
            <w:r w:rsidRPr="00F91036">
              <w:rPr>
                <w:rFonts w:ascii="Times New Roman" w:hAnsi="Times New Roman"/>
                <w:bCs/>
                <w:noProof/>
                <w:sz w:val="24"/>
                <w:lang w:val="en-US"/>
              </w:rPr>
              <w:t>RSEZ territory</w:t>
            </w:r>
          </w:p>
        </w:tc>
      </w:tr>
      <w:tr w:rsidR="00F91036" w:rsidRPr="00F91036" w14:paraId="05FC27E5" w14:textId="77777777" w:rsidTr="00E422C1">
        <w:tc>
          <w:tcPr>
            <w:tcW w:w="2554" w:type="pct"/>
          </w:tcPr>
          <w:p w14:paraId="269601AE" w14:textId="77777777" w:rsidR="00F91036" w:rsidRPr="00F91036" w:rsidRDefault="00F91036" w:rsidP="00E422C1">
            <w:pPr>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Rēzeknes novada pagastu teritorijas robeža</w:t>
            </w:r>
          </w:p>
        </w:tc>
        <w:tc>
          <w:tcPr>
            <w:tcW w:w="2446" w:type="pct"/>
          </w:tcPr>
          <w:p w14:paraId="63CB36A4" w14:textId="77777777" w:rsidR="00F91036" w:rsidRPr="00F91036" w:rsidRDefault="00F91036" w:rsidP="00E422C1">
            <w:pPr>
              <w:rPr>
                <w:rFonts w:ascii="Times New Roman" w:hAnsi="Times New Roman"/>
                <w:bCs/>
                <w:noProof/>
                <w:sz w:val="24"/>
                <w:lang w:val="en-US"/>
              </w:rPr>
            </w:pPr>
            <w:r w:rsidRPr="00F91036">
              <w:rPr>
                <w:rFonts w:ascii="Times New Roman" w:hAnsi="Times New Roman"/>
                <w:bCs/>
                <w:noProof/>
                <w:sz w:val="24"/>
                <w:lang w:val="en-US"/>
              </w:rPr>
              <w:t>Border of the territory of rural territories of Rēzekne municipality</w:t>
            </w:r>
          </w:p>
        </w:tc>
      </w:tr>
      <w:tr w:rsidR="00F91036" w:rsidRPr="00F91036" w14:paraId="2F7D19BE" w14:textId="77777777" w:rsidTr="00E422C1">
        <w:tc>
          <w:tcPr>
            <w:tcW w:w="2554" w:type="pct"/>
          </w:tcPr>
          <w:p w14:paraId="35932866" w14:textId="77777777" w:rsidR="00F91036" w:rsidRPr="00F91036" w:rsidRDefault="00F91036" w:rsidP="00E422C1">
            <w:pPr>
              <w:ind w:left="720" w:hanging="720"/>
              <w:jc w:val="both"/>
              <w:rPr>
                <w:rFonts w:ascii="Times New Roman" w:eastAsia="Times New Roman" w:hAnsi="Times New Roman" w:cs="Times New Roman"/>
                <w:noProof/>
                <w:sz w:val="24"/>
                <w:szCs w:val="24"/>
                <w:lang w:val="en-US" w:eastAsia="lv-LV"/>
              </w:rPr>
            </w:pPr>
            <w:r w:rsidRPr="00F91036">
              <w:rPr>
                <w:rFonts w:ascii="Times New Roman" w:eastAsia="Times New Roman" w:hAnsi="Times New Roman" w:cs="Times New Roman"/>
                <w:noProof/>
                <w:sz w:val="24"/>
                <w:szCs w:val="24"/>
                <w:lang w:val="en-US" w:eastAsia="lv-LV"/>
              </w:rPr>
              <w:t>Rēzeknes pilsētas robeža</w:t>
            </w:r>
          </w:p>
        </w:tc>
        <w:tc>
          <w:tcPr>
            <w:tcW w:w="2446" w:type="pct"/>
          </w:tcPr>
          <w:p w14:paraId="6981B156" w14:textId="77777777" w:rsidR="00F91036" w:rsidRPr="00F91036" w:rsidRDefault="00F91036" w:rsidP="00E422C1">
            <w:pPr>
              <w:ind w:left="720" w:hanging="720"/>
              <w:jc w:val="both"/>
              <w:rPr>
                <w:rFonts w:ascii="Times New Roman" w:hAnsi="Times New Roman"/>
                <w:bCs/>
                <w:noProof/>
                <w:sz w:val="24"/>
                <w:lang w:val="en-US"/>
              </w:rPr>
            </w:pPr>
            <w:r w:rsidRPr="00F91036">
              <w:rPr>
                <w:rFonts w:ascii="Times New Roman" w:hAnsi="Times New Roman"/>
                <w:bCs/>
                <w:noProof/>
                <w:sz w:val="24"/>
                <w:lang w:val="en-US"/>
              </w:rPr>
              <w:t>Border of Rēzekne city</w:t>
            </w:r>
          </w:p>
        </w:tc>
      </w:tr>
    </w:tbl>
    <w:p w14:paraId="6D515E45"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p>
    <w:p w14:paraId="659A6B82" w14:textId="77777777" w:rsidR="00F91036" w:rsidRPr="00F91036" w:rsidRDefault="00F91036" w:rsidP="00F91036">
      <w:pPr>
        <w:rPr>
          <w:noProof/>
          <w:lang w:val="en-US"/>
        </w:rPr>
      </w:pPr>
      <w:r w:rsidRPr="00F91036">
        <w:rPr>
          <w:noProof/>
          <w:lang w:val="en-US"/>
        </w:rPr>
        <w:br w:type="page"/>
      </w:r>
    </w:p>
    <w:p w14:paraId="701B5089"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62ED90B4" w14:textId="77777777" w:rsidR="00F91036" w:rsidRPr="00F91036" w:rsidRDefault="00F91036" w:rsidP="00F91036">
      <w:pPr>
        <w:spacing w:after="0" w:line="240" w:lineRule="auto"/>
        <w:jc w:val="right"/>
        <w:rPr>
          <w:rFonts w:ascii="Times New Roman" w:hAnsi="Times New Roman"/>
          <w:noProof/>
          <w:sz w:val="24"/>
          <w:lang w:val="en-US"/>
        </w:rPr>
      </w:pPr>
      <w:r w:rsidRPr="00F91036">
        <w:rPr>
          <w:rFonts w:ascii="Times New Roman" w:hAnsi="Times New Roman"/>
          <w:noProof/>
          <w:sz w:val="24"/>
          <w:lang w:val="en-US"/>
        </w:rPr>
        <w:t>Law on the Rēzekne Special Economic Zone</w:t>
      </w:r>
    </w:p>
    <w:p w14:paraId="4ED529D3" w14:textId="77777777" w:rsidR="00F91036" w:rsidRPr="00F91036" w:rsidRDefault="00F91036" w:rsidP="00F91036">
      <w:pPr>
        <w:spacing w:after="0" w:line="240" w:lineRule="auto"/>
        <w:jc w:val="right"/>
        <w:rPr>
          <w:rFonts w:ascii="Times New Roman" w:hAnsi="Times New Roman"/>
          <w:b/>
          <w:noProof/>
          <w:sz w:val="24"/>
          <w:lang w:val="en-US"/>
        </w:rPr>
      </w:pPr>
      <w:r w:rsidRPr="00F91036">
        <w:rPr>
          <w:rFonts w:ascii="Times New Roman" w:hAnsi="Times New Roman"/>
          <w:b/>
          <w:noProof/>
          <w:sz w:val="24"/>
          <w:lang w:val="en-US"/>
        </w:rPr>
        <w:t>Annex 2</w:t>
      </w:r>
      <w:bookmarkStart w:id="115" w:name="piel-322310"/>
      <w:bookmarkEnd w:id="115"/>
    </w:p>
    <w:p w14:paraId="62B254B9"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6E692B93"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53B99598" w14:textId="77777777" w:rsidR="00F91036" w:rsidRPr="00F91036" w:rsidRDefault="00F91036" w:rsidP="00F91036">
      <w:pPr>
        <w:spacing w:after="0" w:line="240" w:lineRule="auto"/>
        <w:jc w:val="center"/>
        <w:rPr>
          <w:rFonts w:ascii="Times New Roman" w:hAnsi="Times New Roman"/>
          <w:b/>
          <w:noProof/>
          <w:sz w:val="28"/>
          <w:lang w:val="en-US"/>
        </w:rPr>
      </w:pPr>
      <w:bookmarkStart w:id="116" w:name="322311"/>
      <w:bookmarkStart w:id="117" w:name="n-322311"/>
      <w:bookmarkEnd w:id="116"/>
      <w:bookmarkEnd w:id="117"/>
      <w:r w:rsidRPr="00F91036">
        <w:rPr>
          <w:rFonts w:ascii="Times New Roman" w:hAnsi="Times New Roman"/>
          <w:b/>
          <w:noProof/>
          <w:sz w:val="28"/>
          <w:lang w:val="en-US"/>
        </w:rPr>
        <w:t>Description of Borders of the Territory of the Rēzekne Special Economic Zone</w:t>
      </w:r>
    </w:p>
    <w:p w14:paraId="11ACD757" w14:textId="77777777" w:rsidR="00F91036" w:rsidRPr="00F91036" w:rsidRDefault="00F91036" w:rsidP="00F91036">
      <w:pPr>
        <w:spacing w:after="0" w:line="240" w:lineRule="auto"/>
        <w:jc w:val="center"/>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2ECDE665"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2C0C769A"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752EB77A"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1st section</w:t>
      </w:r>
    </w:p>
    <w:p w14:paraId="1C41B2BE"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8212"/>
      </w:tblGrid>
      <w:tr w:rsidR="00F91036" w:rsidRPr="00F91036" w14:paraId="3F28F9B0"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1F72DA6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1–2</w:t>
            </w:r>
          </w:p>
        </w:tc>
        <w:tc>
          <w:tcPr>
            <w:tcW w:w="4510" w:type="pct"/>
            <w:tcBorders>
              <w:top w:val="outset" w:sz="6" w:space="0" w:color="auto"/>
              <w:left w:val="outset" w:sz="6" w:space="0" w:color="auto"/>
              <w:bottom w:val="outset" w:sz="6" w:space="0" w:color="auto"/>
              <w:right w:val="outset" w:sz="6" w:space="0" w:color="auto"/>
            </w:tcBorders>
            <w:hideMark/>
          </w:tcPr>
          <w:p w14:paraId="14313773"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side of the right of way of the State major motor road A12 Jēkabpils–Rēzekne–Ludza–Russian Border (Terehova) up to the border of the land parcel with cadastral designation No. 78960070103</w:t>
            </w:r>
          </w:p>
        </w:tc>
      </w:tr>
      <w:tr w:rsidR="00F91036" w:rsidRPr="00F91036" w14:paraId="4FF820A4"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1FFB6A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2–3</w:t>
            </w:r>
          </w:p>
        </w:tc>
        <w:tc>
          <w:tcPr>
            <w:tcW w:w="4510" w:type="pct"/>
            <w:tcBorders>
              <w:top w:val="outset" w:sz="6" w:space="0" w:color="auto"/>
              <w:left w:val="outset" w:sz="6" w:space="0" w:color="auto"/>
              <w:bottom w:val="outset" w:sz="6" w:space="0" w:color="auto"/>
              <w:right w:val="outset" w:sz="6" w:space="0" w:color="auto"/>
            </w:tcBorders>
            <w:hideMark/>
          </w:tcPr>
          <w:p w14:paraId="6A0EAC6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western border of the land parcel with cadastral designation No. 78960070042 up to motor road 9 Lejas Ančupāni–Meļņova of Vērēmi rural territory in Rēzekne municipality</w:t>
            </w:r>
          </w:p>
        </w:tc>
      </w:tr>
      <w:tr w:rsidR="00F91036" w:rsidRPr="00F91036" w14:paraId="1F9E586A"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7D0902C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3–4</w:t>
            </w:r>
          </w:p>
        </w:tc>
        <w:tc>
          <w:tcPr>
            <w:tcW w:w="4510" w:type="pct"/>
            <w:tcBorders>
              <w:top w:val="outset" w:sz="6" w:space="0" w:color="auto"/>
              <w:left w:val="outset" w:sz="6" w:space="0" w:color="auto"/>
              <w:bottom w:val="outset" w:sz="6" w:space="0" w:color="auto"/>
              <w:right w:val="outset" w:sz="6" w:space="0" w:color="auto"/>
            </w:tcBorders>
            <w:hideMark/>
          </w:tcPr>
          <w:p w14:paraId="5DBC65E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motor road 9 Lejas Ančupāni–Meļņova of Vērēmi rural territory in Rēzekne municipality up to the intersection with motor road 7 Skudra–Meļņova–Rēzekne of Vērēmi rural territory in Rēzekne municipality</w:t>
            </w:r>
          </w:p>
        </w:tc>
      </w:tr>
      <w:tr w:rsidR="00F91036" w:rsidRPr="00F91036" w14:paraId="6598D859"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18B299E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4–5</w:t>
            </w:r>
          </w:p>
        </w:tc>
        <w:tc>
          <w:tcPr>
            <w:tcW w:w="4510" w:type="pct"/>
            <w:tcBorders>
              <w:top w:val="outset" w:sz="6" w:space="0" w:color="auto"/>
              <w:left w:val="outset" w:sz="6" w:space="0" w:color="auto"/>
              <w:bottom w:val="outset" w:sz="6" w:space="0" w:color="auto"/>
              <w:right w:val="outset" w:sz="6" w:space="0" w:color="auto"/>
            </w:tcBorders>
            <w:hideMark/>
          </w:tcPr>
          <w:p w14:paraId="16C6D9A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motor road 7 Skudra–Meļņova– Rēzekne of Vērēmi rural territory in Rēzekne municipality up to the border of Rēzekne city</w:t>
            </w:r>
          </w:p>
        </w:tc>
      </w:tr>
      <w:tr w:rsidR="00F91036" w:rsidRPr="00F91036" w14:paraId="4FBA056D"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3B0B1C3"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5–6</w:t>
            </w:r>
          </w:p>
        </w:tc>
        <w:tc>
          <w:tcPr>
            <w:tcW w:w="4510" w:type="pct"/>
            <w:tcBorders>
              <w:top w:val="outset" w:sz="6" w:space="0" w:color="auto"/>
              <w:left w:val="outset" w:sz="6" w:space="0" w:color="auto"/>
              <w:bottom w:val="outset" w:sz="6" w:space="0" w:color="auto"/>
              <w:right w:val="outset" w:sz="6" w:space="0" w:color="auto"/>
            </w:tcBorders>
            <w:hideMark/>
          </w:tcPr>
          <w:p w14:paraId="1CA0611B"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Rēzekne city and the territory of Vērēmi rural territory in Rēzekne municipality up to Atbrīvošanas aleja in Rēzekne city</w:t>
            </w:r>
          </w:p>
        </w:tc>
      </w:tr>
      <w:tr w:rsidR="00F91036" w:rsidRPr="00F91036" w14:paraId="207169C4"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E6EFE6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6–7</w:t>
            </w:r>
          </w:p>
        </w:tc>
        <w:tc>
          <w:tcPr>
            <w:tcW w:w="4510" w:type="pct"/>
            <w:tcBorders>
              <w:top w:val="outset" w:sz="6" w:space="0" w:color="auto"/>
              <w:left w:val="outset" w:sz="6" w:space="0" w:color="auto"/>
              <w:bottom w:val="outset" w:sz="6" w:space="0" w:color="auto"/>
              <w:right w:val="outset" w:sz="6" w:space="0" w:color="auto"/>
            </w:tcBorders>
            <w:hideMark/>
          </w:tcPr>
          <w:p w14:paraId="7322FDD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Atbrīvošanas aleja in Rēzekne city up to the border of Rēzekne city and along the side of the right of way of the State major motor road A13 Russian Border (Grebņeva)–Rēzekne–Daugavpils–Lithuanian Border (Medumi) up to the intersection with the State major motor road A12 Jēkabpils–Rēzekne–Ludza–Russian Border (Terehova)</w:t>
            </w:r>
          </w:p>
        </w:tc>
      </w:tr>
      <w:tr w:rsidR="00F91036" w:rsidRPr="00F91036" w14:paraId="54556200"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9F34877"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7–8</w:t>
            </w:r>
          </w:p>
        </w:tc>
        <w:tc>
          <w:tcPr>
            <w:tcW w:w="4510" w:type="pct"/>
            <w:tcBorders>
              <w:top w:val="outset" w:sz="6" w:space="0" w:color="auto"/>
              <w:left w:val="outset" w:sz="6" w:space="0" w:color="auto"/>
              <w:bottom w:val="outset" w:sz="6" w:space="0" w:color="auto"/>
              <w:right w:val="outset" w:sz="6" w:space="0" w:color="auto"/>
            </w:tcBorders>
            <w:hideMark/>
          </w:tcPr>
          <w:p w14:paraId="452FC2E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State major motor road A12 Jēkabpils–Rēzekne–Ludza–Russian Border (Terehova) up to the intersection with the railway Saint Petersburg–Warsaw</w:t>
            </w:r>
          </w:p>
        </w:tc>
      </w:tr>
      <w:tr w:rsidR="00F91036" w:rsidRPr="00F91036" w14:paraId="0028D423"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6A9D6F6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8–9</w:t>
            </w:r>
          </w:p>
        </w:tc>
        <w:tc>
          <w:tcPr>
            <w:tcW w:w="4510" w:type="pct"/>
            <w:tcBorders>
              <w:top w:val="outset" w:sz="6" w:space="0" w:color="auto"/>
              <w:left w:val="outset" w:sz="6" w:space="0" w:color="auto"/>
              <w:bottom w:val="outset" w:sz="6" w:space="0" w:color="auto"/>
              <w:right w:val="outset" w:sz="6" w:space="0" w:color="auto"/>
            </w:tcBorders>
            <w:hideMark/>
          </w:tcPr>
          <w:p w14:paraId="34C8386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side of the railway Saint Petersburg–Warsaw to the south up to the land parcel with cadastral designation No. 78960050277</w:t>
            </w:r>
          </w:p>
        </w:tc>
      </w:tr>
      <w:tr w:rsidR="00F91036" w:rsidRPr="00F91036" w14:paraId="55C2B9F4"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95EFAD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9–10</w:t>
            </w:r>
          </w:p>
        </w:tc>
        <w:tc>
          <w:tcPr>
            <w:tcW w:w="4510" w:type="pct"/>
            <w:tcBorders>
              <w:top w:val="outset" w:sz="6" w:space="0" w:color="auto"/>
              <w:left w:val="outset" w:sz="6" w:space="0" w:color="auto"/>
              <w:bottom w:val="outset" w:sz="6" w:space="0" w:color="auto"/>
              <w:right w:val="outset" w:sz="6" w:space="0" w:color="auto"/>
            </w:tcBorders>
            <w:hideMark/>
          </w:tcPr>
          <w:p w14:paraId="0BC9BF7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northern border of the land parcels with cadastral designations No. 78960050277, 78960050014, 78960050019 up to the northern corner of the border of the land parcel with cadastral designation No. 78960050523</w:t>
            </w:r>
          </w:p>
        </w:tc>
      </w:tr>
      <w:tr w:rsidR="00F91036" w:rsidRPr="00F91036" w14:paraId="7F60377F"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A64A64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10–11</w:t>
            </w:r>
          </w:p>
        </w:tc>
        <w:tc>
          <w:tcPr>
            <w:tcW w:w="4510" w:type="pct"/>
            <w:tcBorders>
              <w:top w:val="outset" w:sz="6" w:space="0" w:color="auto"/>
              <w:left w:val="outset" w:sz="6" w:space="0" w:color="auto"/>
              <w:bottom w:val="outset" w:sz="6" w:space="0" w:color="auto"/>
              <w:right w:val="outset" w:sz="6" w:space="0" w:color="auto"/>
            </w:tcBorders>
            <w:hideMark/>
          </w:tcPr>
          <w:p w14:paraId="724C979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the garage cooperative up to motor road 51 Lejas Ančupāni of Vērēmi rural territory in Rēzekne municipality (roads of the horticultural association)</w:t>
            </w:r>
          </w:p>
        </w:tc>
      </w:tr>
      <w:tr w:rsidR="00F91036" w:rsidRPr="00F91036" w14:paraId="5E98963B"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93DF37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11–12</w:t>
            </w:r>
          </w:p>
        </w:tc>
        <w:tc>
          <w:tcPr>
            <w:tcW w:w="4510" w:type="pct"/>
            <w:tcBorders>
              <w:top w:val="outset" w:sz="6" w:space="0" w:color="auto"/>
              <w:left w:val="outset" w:sz="6" w:space="0" w:color="auto"/>
              <w:bottom w:val="outset" w:sz="6" w:space="0" w:color="auto"/>
              <w:right w:val="outset" w:sz="6" w:space="0" w:color="auto"/>
            </w:tcBorders>
            <w:hideMark/>
          </w:tcPr>
          <w:p w14:paraId="48B18DC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motor road 51 Lejas Ančupāni of Vērēmi rural territory in Rēzekne municipality (roads of the horticultural association) up to the border of the land parcel with cadastral designation No. 78960050019</w:t>
            </w:r>
          </w:p>
        </w:tc>
      </w:tr>
      <w:tr w:rsidR="00F91036" w:rsidRPr="00F91036" w14:paraId="044C5FC1"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1EC8433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12–13</w:t>
            </w:r>
          </w:p>
        </w:tc>
        <w:tc>
          <w:tcPr>
            <w:tcW w:w="4510" w:type="pct"/>
            <w:tcBorders>
              <w:top w:val="outset" w:sz="6" w:space="0" w:color="auto"/>
              <w:left w:val="outset" w:sz="6" w:space="0" w:color="auto"/>
              <w:bottom w:val="outset" w:sz="6" w:space="0" w:color="auto"/>
              <w:right w:val="outset" w:sz="6" w:space="0" w:color="auto"/>
            </w:tcBorders>
            <w:hideMark/>
          </w:tcPr>
          <w:p w14:paraId="03C6FFB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the land parcels with cadastral designations No. 78960050041, 78960050206, 78960050524 to the south-west up to the local government motor road Stučeva–Kolna Ančupāni of Vērēmi rural territory in Rēzekne municipality</w:t>
            </w:r>
          </w:p>
        </w:tc>
      </w:tr>
      <w:tr w:rsidR="00F91036" w:rsidRPr="00F91036" w14:paraId="013CA5EE"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01022DE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13–14</w:t>
            </w:r>
          </w:p>
        </w:tc>
        <w:tc>
          <w:tcPr>
            <w:tcW w:w="4510" w:type="pct"/>
            <w:tcBorders>
              <w:top w:val="outset" w:sz="6" w:space="0" w:color="auto"/>
              <w:left w:val="outset" w:sz="6" w:space="0" w:color="auto"/>
              <w:bottom w:val="outset" w:sz="6" w:space="0" w:color="auto"/>
              <w:right w:val="outset" w:sz="6" w:space="0" w:color="auto"/>
            </w:tcBorders>
            <w:hideMark/>
          </w:tcPr>
          <w:p w14:paraId="4BA7D900"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local government motor road Stučeva–Kolna Ančupāni of Vērēmi rural territory in Rēzekne municipality up to the border of the land parcel with cadastral designation No. 78960050018</w:t>
            </w:r>
          </w:p>
        </w:tc>
      </w:tr>
      <w:tr w:rsidR="00F91036" w:rsidRPr="00F91036" w14:paraId="53C5AA71"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0EB63AA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14–15</w:t>
            </w:r>
          </w:p>
        </w:tc>
        <w:tc>
          <w:tcPr>
            <w:tcW w:w="4510" w:type="pct"/>
            <w:tcBorders>
              <w:top w:val="outset" w:sz="6" w:space="0" w:color="auto"/>
              <w:left w:val="outset" w:sz="6" w:space="0" w:color="auto"/>
              <w:bottom w:val="outset" w:sz="6" w:space="0" w:color="auto"/>
              <w:right w:val="outset" w:sz="6" w:space="0" w:color="auto"/>
            </w:tcBorders>
            <w:hideMark/>
          </w:tcPr>
          <w:p w14:paraId="7FF421E7"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the land parcels with cadastral designations No. 8960050018, 78960050565, 78960050046 to the south-west up to the border of Rēzekne city with the territory of Vērēmi rural territory in Rēzekne municipality</w:t>
            </w:r>
          </w:p>
        </w:tc>
      </w:tr>
      <w:tr w:rsidR="00F91036" w:rsidRPr="00F91036" w14:paraId="425FC19E"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61289B8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15–16</w:t>
            </w:r>
          </w:p>
        </w:tc>
        <w:tc>
          <w:tcPr>
            <w:tcW w:w="4510" w:type="pct"/>
            <w:tcBorders>
              <w:top w:val="outset" w:sz="6" w:space="0" w:color="auto"/>
              <w:left w:val="outset" w:sz="6" w:space="0" w:color="auto"/>
              <w:bottom w:val="outset" w:sz="6" w:space="0" w:color="auto"/>
              <w:right w:val="outset" w:sz="6" w:space="0" w:color="auto"/>
            </w:tcBorders>
            <w:hideMark/>
          </w:tcPr>
          <w:p w14:paraId="6DE341C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Rēzekne city with the territory of Vērēmi rural territory in Rēzekne municipality up to the railway Saint Petersburg–Warsaw</w:t>
            </w:r>
          </w:p>
        </w:tc>
      </w:tr>
      <w:tr w:rsidR="00F91036" w:rsidRPr="00F91036" w14:paraId="17D0695B"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6E939F2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16–17</w:t>
            </w:r>
          </w:p>
        </w:tc>
        <w:tc>
          <w:tcPr>
            <w:tcW w:w="4510" w:type="pct"/>
            <w:tcBorders>
              <w:top w:val="outset" w:sz="6" w:space="0" w:color="auto"/>
              <w:left w:val="outset" w:sz="6" w:space="0" w:color="auto"/>
              <w:bottom w:val="outset" w:sz="6" w:space="0" w:color="auto"/>
              <w:right w:val="outset" w:sz="6" w:space="0" w:color="auto"/>
            </w:tcBorders>
            <w:hideMark/>
          </w:tcPr>
          <w:p w14:paraId="304D12A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railway Saint Petersburg–Warsaw in a southern direction up to the intersection of railways Saint Petersburg–Warsaw and Riga–Moscow</w:t>
            </w:r>
          </w:p>
        </w:tc>
      </w:tr>
      <w:tr w:rsidR="00F91036" w:rsidRPr="00F91036" w14:paraId="128CA83F"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1668AB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17–18</w:t>
            </w:r>
          </w:p>
        </w:tc>
        <w:tc>
          <w:tcPr>
            <w:tcW w:w="4510" w:type="pct"/>
            <w:tcBorders>
              <w:top w:val="outset" w:sz="6" w:space="0" w:color="auto"/>
              <w:left w:val="outset" w:sz="6" w:space="0" w:color="auto"/>
              <w:bottom w:val="outset" w:sz="6" w:space="0" w:color="auto"/>
              <w:right w:val="outset" w:sz="6" w:space="0" w:color="auto"/>
            </w:tcBorders>
            <w:hideMark/>
          </w:tcPr>
          <w:p w14:paraId="45E58E30"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right of way of the railway Riga–Moscow up to the supposed intersection with Stacijas iela in Rēzekne city</w:t>
            </w:r>
          </w:p>
        </w:tc>
      </w:tr>
      <w:tr w:rsidR="00F91036" w:rsidRPr="00F91036" w14:paraId="0529FCD9"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91F4670"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18–19</w:t>
            </w:r>
          </w:p>
        </w:tc>
        <w:tc>
          <w:tcPr>
            <w:tcW w:w="4510" w:type="pct"/>
            <w:tcBorders>
              <w:top w:val="outset" w:sz="6" w:space="0" w:color="auto"/>
              <w:left w:val="outset" w:sz="6" w:space="0" w:color="auto"/>
              <w:bottom w:val="outset" w:sz="6" w:space="0" w:color="auto"/>
              <w:right w:val="outset" w:sz="6" w:space="0" w:color="auto"/>
            </w:tcBorders>
            <w:hideMark/>
          </w:tcPr>
          <w:p w14:paraId="7FDE1073"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Stacijas iela up to the intersection of Upes iela and Jupatovkas iela in Rēzekne city</w:t>
            </w:r>
          </w:p>
        </w:tc>
      </w:tr>
      <w:tr w:rsidR="00F91036" w:rsidRPr="00F91036" w14:paraId="414BB06F"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6D5C80E"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19–20</w:t>
            </w:r>
          </w:p>
        </w:tc>
        <w:tc>
          <w:tcPr>
            <w:tcW w:w="4510" w:type="pct"/>
            <w:tcBorders>
              <w:top w:val="outset" w:sz="6" w:space="0" w:color="auto"/>
              <w:left w:val="outset" w:sz="6" w:space="0" w:color="auto"/>
              <w:bottom w:val="outset" w:sz="6" w:space="0" w:color="auto"/>
              <w:right w:val="outset" w:sz="6" w:space="0" w:color="auto"/>
            </w:tcBorders>
            <w:hideMark/>
          </w:tcPr>
          <w:p w14:paraId="426895E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From the intersection of Upes iela and Jupatovkas iela along Jupatovkas iela up to the border of Rēzekne city and Griškāni rural territory in Rēzekne municipality</w:t>
            </w:r>
          </w:p>
        </w:tc>
      </w:tr>
      <w:tr w:rsidR="00F91036" w:rsidRPr="00F91036" w14:paraId="3E17C777"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0FBC734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20–21</w:t>
            </w:r>
          </w:p>
        </w:tc>
        <w:tc>
          <w:tcPr>
            <w:tcW w:w="4510" w:type="pct"/>
            <w:tcBorders>
              <w:top w:val="outset" w:sz="6" w:space="0" w:color="auto"/>
              <w:left w:val="outset" w:sz="6" w:space="0" w:color="auto"/>
              <w:bottom w:val="outset" w:sz="6" w:space="0" w:color="auto"/>
              <w:right w:val="outset" w:sz="6" w:space="0" w:color="auto"/>
            </w:tcBorders>
            <w:hideMark/>
          </w:tcPr>
          <w:p w14:paraId="4B9F6CA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Rēzekne city and Griškāni rural territory in Rēzekne municipality in a southern direction up to the River Rēzekne</w:t>
            </w:r>
          </w:p>
        </w:tc>
      </w:tr>
      <w:tr w:rsidR="00F91036" w:rsidRPr="00F91036" w14:paraId="5AB9C3FF"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14BEBA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21–22</w:t>
            </w:r>
          </w:p>
        </w:tc>
        <w:tc>
          <w:tcPr>
            <w:tcW w:w="4510" w:type="pct"/>
            <w:tcBorders>
              <w:top w:val="outset" w:sz="6" w:space="0" w:color="auto"/>
              <w:left w:val="outset" w:sz="6" w:space="0" w:color="auto"/>
              <w:bottom w:val="outset" w:sz="6" w:space="0" w:color="auto"/>
              <w:right w:val="outset" w:sz="6" w:space="0" w:color="auto"/>
            </w:tcBorders>
            <w:hideMark/>
          </w:tcPr>
          <w:p w14:paraId="489D6F0B"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From the River Rēzekne in a southern direction up to Zilupes iela in Rēzekne city</w:t>
            </w:r>
          </w:p>
        </w:tc>
      </w:tr>
      <w:tr w:rsidR="00F91036" w:rsidRPr="00F91036" w14:paraId="09E181A3"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3A1070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22–23</w:t>
            </w:r>
          </w:p>
        </w:tc>
        <w:tc>
          <w:tcPr>
            <w:tcW w:w="4510" w:type="pct"/>
            <w:tcBorders>
              <w:top w:val="outset" w:sz="6" w:space="0" w:color="auto"/>
              <w:left w:val="outset" w:sz="6" w:space="0" w:color="auto"/>
              <w:bottom w:val="outset" w:sz="6" w:space="0" w:color="auto"/>
              <w:right w:val="outset" w:sz="6" w:space="0" w:color="auto"/>
            </w:tcBorders>
            <w:hideMark/>
          </w:tcPr>
          <w:p w14:paraId="73972E8B"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Zilupes iela in a south-western direction up to the southern border of the land parcel with cadastral designation No. 21000100527</w:t>
            </w:r>
          </w:p>
        </w:tc>
      </w:tr>
      <w:tr w:rsidR="00F91036" w:rsidRPr="00F91036" w14:paraId="3EF4B458"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B36F680"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23–24</w:t>
            </w:r>
          </w:p>
        </w:tc>
        <w:tc>
          <w:tcPr>
            <w:tcW w:w="4510" w:type="pct"/>
            <w:tcBorders>
              <w:top w:val="outset" w:sz="6" w:space="0" w:color="auto"/>
              <w:left w:val="outset" w:sz="6" w:space="0" w:color="auto"/>
              <w:bottom w:val="outset" w:sz="6" w:space="0" w:color="auto"/>
              <w:right w:val="outset" w:sz="6" w:space="0" w:color="auto"/>
            </w:tcBorders>
            <w:hideMark/>
          </w:tcPr>
          <w:p w14:paraId="769B4D63"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southern border of the land parcel with cadastral designation No. 21000100527 up to Parka iela in Rēzekne city</w:t>
            </w:r>
          </w:p>
        </w:tc>
      </w:tr>
      <w:tr w:rsidR="00F91036" w:rsidRPr="00F91036" w14:paraId="68CE20BD"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CB764AB"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24–25</w:t>
            </w:r>
          </w:p>
        </w:tc>
        <w:tc>
          <w:tcPr>
            <w:tcW w:w="4510" w:type="pct"/>
            <w:tcBorders>
              <w:top w:val="outset" w:sz="6" w:space="0" w:color="auto"/>
              <w:left w:val="outset" w:sz="6" w:space="0" w:color="auto"/>
              <w:bottom w:val="outset" w:sz="6" w:space="0" w:color="auto"/>
              <w:right w:val="outset" w:sz="6" w:space="0" w:color="auto"/>
            </w:tcBorders>
            <w:hideMark/>
          </w:tcPr>
          <w:p w14:paraId="329DBFA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Parka iela up to the border of the land parcel with cadastral designation No. 21000100517</w:t>
            </w:r>
          </w:p>
        </w:tc>
      </w:tr>
      <w:tr w:rsidR="00F91036" w:rsidRPr="00F91036" w14:paraId="48C6BF0E"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6CADFE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25–26</w:t>
            </w:r>
          </w:p>
        </w:tc>
        <w:tc>
          <w:tcPr>
            <w:tcW w:w="4510" w:type="pct"/>
            <w:tcBorders>
              <w:top w:val="outset" w:sz="6" w:space="0" w:color="auto"/>
              <w:left w:val="outset" w:sz="6" w:space="0" w:color="auto"/>
              <w:bottom w:val="outset" w:sz="6" w:space="0" w:color="auto"/>
              <w:right w:val="outset" w:sz="6" w:space="0" w:color="auto"/>
            </w:tcBorders>
            <w:hideMark/>
          </w:tcPr>
          <w:p w14:paraId="6FFC9AA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land parcel with cadastral designation No. 21000100527 in a north-eastern direction up to the border of Rēzekne city and Griškāni rural territory in Rēzekne municipality</w:t>
            </w:r>
          </w:p>
        </w:tc>
      </w:tr>
      <w:tr w:rsidR="00F91036" w:rsidRPr="00F91036" w14:paraId="13BEF847"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0B9C5E9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26–27</w:t>
            </w:r>
          </w:p>
        </w:tc>
        <w:tc>
          <w:tcPr>
            <w:tcW w:w="4510" w:type="pct"/>
            <w:tcBorders>
              <w:top w:val="outset" w:sz="6" w:space="0" w:color="auto"/>
              <w:left w:val="outset" w:sz="6" w:space="0" w:color="auto"/>
              <w:bottom w:val="outset" w:sz="6" w:space="0" w:color="auto"/>
              <w:right w:val="outset" w:sz="6" w:space="0" w:color="auto"/>
            </w:tcBorders>
            <w:hideMark/>
          </w:tcPr>
          <w:p w14:paraId="08E6A7C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Rēzekne city and Griškāni rural territory in Rēzekne municipality up to Zilupes iela</w:t>
            </w:r>
          </w:p>
        </w:tc>
      </w:tr>
      <w:tr w:rsidR="00F91036" w:rsidRPr="00F91036" w14:paraId="4E9DDE90"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04768C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27–28</w:t>
            </w:r>
          </w:p>
        </w:tc>
        <w:tc>
          <w:tcPr>
            <w:tcW w:w="4510" w:type="pct"/>
            <w:tcBorders>
              <w:top w:val="outset" w:sz="6" w:space="0" w:color="auto"/>
              <w:left w:val="outset" w:sz="6" w:space="0" w:color="auto"/>
              <w:bottom w:val="outset" w:sz="6" w:space="0" w:color="auto"/>
              <w:right w:val="outset" w:sz="6" w:space="0" w:color="auto"/>
            </w:tcBorders>
            <w:hideMark/>
          </w:tcPr>
          <w:p w14:paraId="6E8A66F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Zilupes iela up to the intersection with motor road 28 Rēzekne–Jupatovka of Griškāni rural territory in Rēzekne municipality</w:t>
            </w:r>
          </w:p>
        </w:tc>
      </w:tr>
      <w:tr w:rsidR="00F91036" w:rsidRPr="00F91036" w14:paraId="1CE6BACF"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19700E7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28–29</w:t>
            </w:r>
          </w:p>
        </w:tc>
        <w:tc>
          <w:tcPr>
            <w:tcW w:w="4510" w:type="pct"/>
            <w:tcBorders>
              <w:top w:val="outset" w:sz="6" w:space="0" w:color="auto"/>
              <w:left w:val="outset" w:sz="6" w:space="0" w:color="auto"/>
              <w:bottom w:val="outset" w:sz="6" w:space="0" w:color="auto"/>
              <w:right w:val="outset" w:sz="6" w:space="0" w:color="auto"/>
            </w:tcBorders>
            <w:hideMark/>
          </w:tcPr>
          <w:p w14:paraId="7AE777A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motor road 28 Rēzekne–Jupatovka of Griškāni rural territory in Rēzekne municipality up to the intersection with motor road 27 Litavnieki–Jupatovka of Griškāni rural territory in Rēzekne municipality</w:t>
            </w:r>
          </w:p>
        </w:tc>
      </w:tr>
      <w:tr w:rsidR="00F91036" w:rsidRPr="00F91036" w14:paraId="4257CE1D"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5A99490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29–30</w:t>
            </w:r>
          </w:p>
        </w:tc>
        <w:tc>
          <w:tcPr>
            <w:tcW w:w="4510" w:type="pct"/>
            <w:tcBorders>
              <w:top w:val="outset" w:sz="6" w:space="0" w:color="auto"/>
              <w:left w:val="outset" w:sz="6" w:space="0" w:color="auto"/>
              <w:bottom w:val="outset" w:sz="6" w:space="0" w:color="auto"/>
              <w:right w:val="outset" w:sz="6" w:space="0" w:color="auto"/>
            </w:tcBorders>
            <w:hideMark/>
          </w:tcPr>
          <w:p w14:paraId="4593635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motor road 27 Litavnieki–Jupatovka of Griškāni rural territory in Rēzekne municipality up to the border of the land parcel with cadastral designation No. 78560010132</w:t>
            </w:r>
          </w:p>
        </w:tc>
      </w:tr>
      <w:tr w:rsidR="00F91036" w:rsidRPr="00F91036" w14:paraId="45E96339"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D8AF48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30–31</w:t>
            </w:r>
          </w:p>
        </w:tc>
        <w:tc>
          <w:tcPr>
            <w:tcW w:w="4510" w:type="pct"/>
            <w:tcBorders>
              <w:top w:val="outset" w:sz="6" w:space="0" w:color="auto"/>
              <w:left w:val="outset" w:sz="6" w:space="0" w:color="auto"/>
              <w:bottom w:val="outset" w:sz="6" w:space="0" w:color="auto"/>
              <w:right w:val="outset" w:sz="6" w:space="0" w:color="auto"/>
            </w:tcBorders>
            <w:hideMark/>
          </w:tcPr>
          <w:p w14:paraId="16D35ED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the land parcel with cadastral designation No. 78560010132 to the north up to the railway Riga–Moscow</w:t>
            </w:r>
          </w:p>
        </w:tc>
      </w:tr>
      <w:tr w:rsidR="00F91036" w:rsidRPr="00F91036" w14:paraId="109DF3AD"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5905FBE"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31–1</w:t>
            </w:r>
          </w:p>
        </w:tc>
        <w:tc>
          <w:tcPr>
            <w:tcW w:w="4510" w:type="pct"/>
            <w:tcBorders>
              <w:top w:val="outset" w:sz="6" w:space="0" w:color="auto"/>
              <w:left w:val="outset" w:sz="6" w:space="0" w:color="auto"/>
              <w:bottom w:val="outset" w:sz="6" w:space="0" w:color="auto"/>
              <w:right w:val="outset" w:sz="6" w:space="0" w:color="auto"/>
            </w:tcBorders>
            <w:hideMark/>
          </w:tcPr>
          <w:p w14:paraId="2EB5D44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right of way of the railway Riga–Moscow up to the intersection with the State major motor road A12 Jēkabpils–Rēzekne–Ludza–Russian Border (Terehova)</w:t>
            </w:r>
          </w:p>
        </w:tc>
      </w:tr>
    </w:tbl>
    <w:p w14:paraId="1699F0B1"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eastAsia="lv-LV"/>
        </w:rPr>
      </w:pPr>
    </w:p>
    <w:p w14:paraId="2AB37CA9" w14:textId="77777777" w:rsidR="00F91036" w:rsidRPr="00F91036" w:rsidRDefault="00F91036" w:rsidP="00F91036">
      <w:pPr>
        <w:keepNext/>
        <w:keepLines/>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Excluding territory:</w:t>
      </w:r>
    </w:p>
    <w:p w14:paraId="42C22860" w14:textId="77777777" w:rsidR="00F91036" w:rsidRPr="00F91036" w:rsidRDefault="00F91036" w:rsidP="00F91036">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8212"/>
      </w:tblGrid>
      <w:tr w:rsidR="00F91036" w:rsidRPr="00F91036" w14:paraId="7710BC26"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D93C19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A–B</w:t>
            </w:r>
          </w:p>
        </w:tc>
        <w:tc>
          <w:tcPr>
            <w:tcW w:w="4510" w:type="pct"/>
            <w:tcBorders>
              <w:top w:val="outset" w:sz="6" w:space="0" w:color="auto"/>
              <w:left w:val="outset" w:sz="6" w:space="0" w:color="auto"/>
              <w:bottom w:val="outset" w:sz="6" w:space="0" w:color="auto"/>
              <w:right w:val="outset" w:sz="6" w:space="0" w:color="auto"/>
            </w:tcBorders>
            <w:hideMark/>
          </w:tcPr>
          <w:p w14:paraId="1875B79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From the intersection of Atbrīvošanas aleja and Maskavas iela in Rēzekne city up to Noliktavu iela in Rēzekne city</w:t>
            </w:r>
          </w:p>
        </w:tc>
      </w:tr>
      <w:tr w:rsidR="00F91036" w:rsidRPr="00F91036" w14:paraId="5E403C18"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580EE2A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B–C</w:t>
            </w:r>
          </w:p>
        </w:tc>
        <w:tc>
          <w:tcPr>
            <w:tcW w:w="4510" w:type="pct"/>
            <w:tcBorders>
              <w:top w:val="outset" w:sz="6" w:space="0" w:color="auto"/>
              <w:left w:val="outset" w:sz="6" w:space="0" w:color="auto"/>
              <w:bottom w:val="outset" w:sz="6" w:space="0" w:color="auto"/>
              <w:right w:val="outset" w:sz="6" w:space="0" w:color="auto"/>
            </w:tcBorders>
            <w:hideMark/>
          </w:tcPr>
          <w:p w14:paraId="4E1A33C0"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From the beginning of Noliktavu iela to the south up to the border of the land parcel with cadastral designation No. 1000030410</w:t>
            </w:r>
          </w:p>
        </w:tc>
      </w:tr>
      <w:tr w:rsidR="00F91036" w:rsidRPr="00F91036" w14:paraId="6096DEBE"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614E3B6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C–D</w:t>
            </w:r>
          </w:p>
        </w:tc>
        <w:tc>
          <w:tcPr>
            <w:tcW w:w="4510" w:type="pct"/>
            <w:tcBorders>
              <w:top w:val="outset" w:sz="6" w:space="0" w:color="auto"/>
              <w:left w:val="outset" w:sz="6" w:space="0" w:color="auto"/>
              <w:bottom w:val="outset" w:sz="6" w:space="0" w:color="auto"/>
              <w:right w:val="outset" w:sz="6" w:space="0" w:color="auto"/>
            </w:tcBorders>
            <w:hideMark/>
          </w:tcPr>
          <w:p w14:paraId="114A0B0E"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north-west border of the land parcels with cadastral designations No. 21000030410, 21000030450, 21000030408, 21000030402 to the south-west up to Blaumaņa iela in Rēzekne city</w:t>
            </w:r>
          </w:p>
        </w:tc>
      </w:tr>
      <w:tr w:rsidR="00F91036" w:rsidRPr="00F91036" w14:paraId="5C27E952"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16EC03E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D–E</w:t>
            </w:r>
          </w:p>
        </w:tc>
        <w:tc>
          <w:tcPr>
            <w:tcW w:w="4510" w:type="pct"/>
            <w:tcBorders>
              <w:top w:val="outset" w:sz="6" w:space="0" w:color="auto"/>
              <w:left w:val="outset" w:sz="6" w:space="0" w:color="auto"/>
              <w:bottom w:val="outset" w:sz="6" w:space="0" w:color="auto"/>
              <w:right w:val="outset" w:sz="6" w:space="0" w:color="auto"/>
            </w:tcBorders>
            <w:hideMark/>
          </w:tcPr>
          <w:p w14:paraId="775D94F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Blaumaņa iela to the south up to the intersection with Varoņu iela in Rēzekne city</w:t>
            </w:r>
          </w:p>
        </w:tc>
      </w:tr>
      <w:tr w:rsidR="00F91036" w:rsidRPr="00F91036" w14:paraId="368210DA"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022ECDB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E–F</w:t>
            </w:r>
          </w:p>
        </w:tc>
        <w:tc>
          <w:tcPr>
            <w:tcW w:w="4510" w:type="pct"/>
            <w:tcBorders>
              <w:top w:val="outset" w:sz="6" w:space="0" w:color="auto"/>
              <w:left w:val="outset" w:sz="6" w:space="0" w:color="auto"/>
              <w:bottom w:val="outset" w:sz="6" w:space="0" w:color="auto"/>
              <w:right w:val="outset" w:sz="6" w:space="0" w:color="auto"/>
            </w:tcBorders>
            <w:hideMark/>
          </w:tcPr>
          <w:p w14:paraId="5897115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Varoņu iela to the west up to Atbrīvošanas aleja</w:t>
            </w:r>
          </w:p>
        </w:tc>
      </w:tr>
      <w:tr w:rsidR="00F91036" w:rsidRPr="00F91036" w14:paraId="760AB020"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6CD538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F–A</w:t>
            </w:r>
          </w:p>
        </w:tc>
        <w:tc>
          <w:tcPr>
            <w:tcW w:w="4510" w:type="pct"/>
            <w:tcBorders>
              <w:top w:val="outset" w:sz="6" w:space="0" w:color="auto"/>
              <w:left w:val="outset" w:sz="6" w:space="0" w:color="auto"/>
              <w:bottom w:val="outset" w:sz="6" w:space="0" w:color="auto"/>
              <w:right w:val="outset" w:sz="6" w:space="0" w:color="auto"/>
            </w:tcBorders>
            <w:hideMark/>
          </w:tcPr>
          <w:p w14:paraId="7E0A8E8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Atbrīvošanas aleja up to the intersection with Maskavas iela</w:t>
            </w:r>
          </w:p>
        </w:tc>
      </w:tr>
    </w:tbl>
    <w:p w14:paraId="1313A8CC"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eastAsia="lv-LV"/>
        </w:rPr>
      </w:pPr>
    </w:p>
    <w:p w14:paraId="743F669C"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2nd section</w:t>
      </w:r>
    </w:p>
    <w:p w14:paraId="3F5059F8"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8212"/>
      </w:tblGrid>
      <w:tr w:rsidR="00F91036" w:rsidRPr="00F91036" w14:paraId="33D2FD68"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08985D2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1–2</w:t>
            </w:r>
          </w:p>
        </w:tc>
        <w:tc>
          <w:tcPr>
            <w:tcW w:w="4510" w:type="pct"/>
            <w:tcBorders>
              <w:top w:val="outset" w:sz="6" w:space="0" w:color="auto"/>
              <w:left w:val="outset" w:sz="6" w:space="0" w:color="auto"/>
              <w:bottom w:val="outset" w:sz="6" w:space="0" w:color="auto"/>
              <w:right w:val="outset" w:sz="6" w:space="0" w:color="auto"/>
            </w:tcBorders>
            <w:hideMark/>
          </w:tcPr>
          <w:p w14:paraId="5839934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right of way of the railway line Riga–Moscow in a southern direction up to the south-eastern point of the land parcel with cadastral designation No. 78960030118</w:t>
            </w:r>
          </w:p>
        </w:tc>
      </w:tr>
      <w:tr w:rsidR="00F91036" w:rsidRPr="00F91036" w14:paraId="2B867107"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0503BA0"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2–3</w:t>
            </w:r>
          </w:p>
        </w:tc>
        <w:tc>
          <w:tcPr>
            <w:tcW w:w="4510" w:type="pct"/>
            <w:tcBorders>
              <w:top w:val="outset" w:sz="6" w:space="0" w:color="auto"/>
              <w:left w:val="outset" w:sz="6" w:space="0" w:color="auto"/>
              <w:bottom w:val="outset" w:sz="6" w:space="0" w:color="auto"/>
              <w:right w:val="outset" w:sz="6" w:space="0" w:color="auto"/>
            </w:tcBorders>
            <w:hideMark/>
          </w:tcPr>
          <w:p w14:paraId="610C2F7B"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southern border of the land parcel with cadastral designation No. 78960030188 in a western direction up to the south-western point of the relevant land parcel</w:t>
            </w:r>
          </w:p>
        </w:tc>
      </w:tr>
      <w:tr w:rsidR="00F91036" w:rsidRPr="00F91036" w14:paraId="114D9F6A"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5FAAF03C"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3–4</w:t>
            </w:r>
          </w:p>
        </w:tc>
        <w:tc>
          <w:tcPr>
            <w:tcW w:w="4510" w:type="pct"/>
            <w:tcBorders>
              <w:top w:val="outset" w:sz="6" w:space="0" w:color="auto"/>
              <w:left w:val="outset" w:sz="6" w:space="0" w:color="auto"/>
              <w:bottom w:val="outset" w:sz="6" w:space="0" w:color="auto"/>
              <w:right w:val="outset" w:sz="6" w:space="0" w:color="auto"/>
            </w:tcBorders>
            <w:hideMark/>
          </w:tcPr>
          <w:p w14:paraId="3BCF0DB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eastern border of the land parcel with cadastral designation No. 7896000245 in a southern direction and along the southern and south-western border of the relevant land parcel up to the eastern point of the land parcel with cadastral designation No. 78960030162</w:t>
            </w:r>
          </w:p>
        </w:tc>
      </w:tr>
      <w:tr w:rsidR="00F91036" w:rsidRPr="00F91036" w14:paraId="673044A9"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69E963F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4–5</w:t>
            </w:r>
          </w:p>
        </w:tc>
        <w:tc>
          <w:tcPr>
            <w:tcW w:w="4510" w:type="pct"/>
            <w:tcBorders>
              <w:top w:val="outset" w:sz="6" w:space="0" w:color="auto"/>
              <w:left w:val="outset" w:sz="6" w:space="0" w:color="auto"/>
              <w:bottom w:val="outset" w:sz="6" w:space="0" w:color="auto"/>
              <w:right w:val="outset" w:sz="6" w:space="0" w:color="auto"/>
            </w:tcBorders>
            <w:hideMark/>
          </w:tcPr>
          <w:p w14:paraId="39AE1A3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southern border of the land parcel with cadastral designation No. 78960030162 in a western direction up to the State local motor road V562 Greivuļi–Ilzeskalns</w:t>
            </w:r>
          </w:p>
        </w:tc>
      </w:tr>
      <w:tr w:rsidR="00F91036" w:rsidRPr="00F91036" w14:paraId="51BCD18C"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1C6E65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5–6</w:t>
            </w:r>
          </w:p>
        </w:tc>
        <w:tc>
          <w:tcPr>
            <w:tcW w:w="4510" w:type="pct"/>
            <w:tcBorders>
              <w:top w:val="outset" w:sz="6" w:space="0" w:color="auto"/>
              <w:left w:val="outset" w:sz="6" w:space="0" w:color="auto"/>
              <w:bottom w:val="outset" w:sz="6" w:space="0" w:color="auto"/>
              <w:right w:val="outset" w:sz="6" w:space="0" w:color="auto"/>
            </w:tcBorders>
            <w:hideMark/>
          </w:tcPr>
          <w:p w14:paraId="067F03AE"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right of way of the State local motor road V562 Greivuļi–Ilzeskalns in a north-eastern direction up to the northern point of the land parcel with cadastral designation No. 78960030162</w:t>
            </w:r>
          </w:p>
        </w:tc>
      </w:tr>
      <w:tr w:rsidR="00F91036" w:rsidRPr="00F91036" w14:paraId="5DD44F30"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53BFCF8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6–7</w:t>
            </w:r>
          </w:p>
        </w:tc>
        <w:tc>
          <w:tcPr>
            <w:tcW w:w="4510" w:type="pct"/>
            <w:tcBorders>
              <w:top w:val="outset" w:sz="6" w:space="0" w:color="auto"/>
              <w:left w:val="outset" w:sz="6" w:space="0" w:color="auto"/>
              <w:bottom w:val="outset" w:sz="6" w:space="0" w:color="auto"/>
              <w:right w:val="outset" w:sz="6" w:space="0" w:color="auto"/>
            </w:tcBorders>
            <w:hideMark/>
          </w:tcPr>
          <w:p w14:paraId="008A89C7"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north-western border of the land parcels with cadastral designations No. 78960030162, 78960030245 in a south-eastern direction up to the southern point of the land parcel with cadastral designation No. 78960030233</w:t>
            </w:r>
          </w:p>
        </w:tc>
      </w:tr>
      <w:tr w:rsidR="00F91036" w:rsidRPr="00F91036" w14:paraId="2669E1A0"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4EED19C"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7–8</w:t>
            </w:r>
          </w:p>
        </w:tc>
        <w:tc>
          <w:tcPr>
            <w:tcW w:w="4510" w:type="pct"/>
            <w:tcBorders>
              <w:top w:val="outset" w:sz="6" w:space="0" w:color="auto"/>
              <w:left w:val="outset" w:sz="6" w:space="0" w:color="auto"/>
              <w:bottom w:val="outset" w:sz="6" w:space="0" w:color="auto"/>
              <w:right w:val="outset" w:sz="6" w:space="0" w:color="auto"/>
            </w:tcBorders>
            <w:hideMark/>
          </w:tcPr>
          <w:p w14:paraId="48EC2590"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western border of the land parcels with cadastral designations No. 78960030243, 78960030154, 78960030213, 78960030010 in a northern direction up to the State local motor road V574 service road Burzavas ABR</w:t>
            </w:r>
          </w:p>
        </w:tc>
      </w:tr>
      <w:tr w:rsidR="00F91036" w:rsidRPr="00F91036" w14:paraId="7A90660D"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701889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8–9</w:t>
            </w:r>
          </w:p>
        </w:tc>
        <w:tc>
          <w:tcPr>
            <w:tcW w:w="4510" w:type="pct"/>
            <w:tcBorders>
              <w:top w:val="outset" w:sz="6" w:space="0" w:color="auto"/>
              <w:left w:val="outset" w:sz="6" w:space="0" w:color="auto"/>
              <w:bottom w:val="outset" w:sz="6" w:space="0" w:color="auto"/>
              <w:right w:val="outset" w:sz="6" w:space="0" w:color="auto"/>
            </w:tcBorders>
            <w:hideMark/>
          </w:tcPr>
          <w:p w14:paraId="20E133E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right of way of the State local motor road V574 service road Burzavas ABR in a north-eastern direction up to the western side of the land parcel with cadastral designation No. 78960030138</w:t>
            </w:r>
          </w:p>
        </w:tc>
      </w:tr>
      <w:tr w:rsidR="00F91036" w:rsidRPr="00F91036" w14:paraId="52694827"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10A7F1B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9–10</w:t>
            </w:r>
          </w:p>
        </w:tc>
        <w:tc>
          <w:tcPr>
            <w:tcW w:w="4510" w:type="pct"/>
            <w:tcBorders>
              <w:top w:val="outset" w:sz="6" w:space="0" w:color="auto"/>
              <w:left w:val="outset" w:sz="6" w:space="0" w:color="auto"/>
              <w:bottom w:val="outset" w:sz="6" w:space="0" w:color="auto"/>
              <w:right w:val="outset" w:sz="6" w:space="0" w:color="auto"/>
            </w:tcBorders>
            <w:hideMark/>
          </w:tcPr>
          <w:p w14:paraId="15F0D007"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north-western border of the land parcel with cadastral designation No. 78960030277 in a north-western direction up to the south-western point of the relevant land parcel</w:t>
            </w:r>
          </w:p>
        </w:tc>
      </w:tr>
      <w:tr w:rsidR="00F91036" w:rsidRPr="00F91036" w14:paraId="0E91CE69"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C01CF1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10–11</w:t>
            </w:r>
          </w:p>
        </w:tc>
        <w:tc>
          <w:tcPr>
            <w:tcW w:w="4510" w:type="pct"/>
            <w:tcBorders>
              <w:top w:val="outset" w:sz="6" w:space="0" w:color="auto"/>
              <w:left w:val="outset" w:sz="6" w:space="0" w:color="auto"/>
              <w:bottom w:val="outset" w:sz="6" w:space="0" w:color="auto"/>
              <w:right w:val="outset" w:sz="6" w:space="0" w:color="auto"/>
            </w:tcBorders>
            <w:hideMark/>
          </w:tcPr>
          <w:p w14:paraId="5C71A347"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south-eastern border of the land parcels with cadastral designations No. 78960030117, 78960030005, 78960030126 in a north-eastern direction up to the south-eastern point of the land parcel with cadastral designation No. 78960030126</w:t>
            </w:r>
          </w:p>
        </w:tc>
      </w:tr>
      <w:tr w:rsidR="00F91036" w:rsidRPr="00F91036" w14:paraId="5C361884"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0AA8500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11–12</w:t>
            </w:r>
          </w:p>
        </w:tc>
        <w:tc>
          <w:tcPr>
            <w:tcW w:w="4510" w:type="pct"/>
            <w:tcBorders>
              <w:top w:val="outset" w:sz="6" w:space="0" w:color="auto"/>
              <w:left w:val="outset" w:sz="6" w:space="0" w:color="auto"/>
              <w:bottom w:val="outset" w:sz="6" w:space="0" w:color="auto"/>
              <w:right w:val="outset" w:sz="6" w:space="0" w:color="auto"/>
            </w:tcBorders>
            <w:hideMark/>
          </w:tcPr>
          <w:p w14:paraId="7613447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south-eastern border of the land parcels with cadastral designations No. 78960030126, 78960030122, 78960030125, 78960030121, 78960030194, 78960030128, 78960018 in a northern direction</w:t>
            </w:r>
          </w:p>
        </w:tc>
      </w:tr>
      <w:tr w:rsidR="00F91036" w:rsidRPr="00F91036" w14:paraId="4EDD8133"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2575BE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12–13</w:t>
            </w:r>
          </w:p>
        </w:tc>
        <w:tc>
          <w:tcPr>
            <w:tcW w:w="4510" w:type="pct"/>
            <w:tcBorders>
              <w:top w:val="outset" w:sz="6" w:space="0" w:color="auto"/>
              <w:left w:val="outset" w:sz="6" w:space="0" w:color="auto"/>
              <w:bottom w:val="outset" w:sz="6" w:space="0" w:color="auto"/>
              <w:right w:val="outset" w:sz="6" w:space="0" w:color="auto"/>
            </w:tcBorders>
            <w:hideMark/>
          </w:tcPr>
          <w:p w14:paraId="0C6D0EC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southern border of the land parcels with cadastral designations No. 78960030120, 78960030127 in a western direction up to the south-western point of the land parcel with cadastral designation No. 78960030127</w:t>
            </w:r>
          </w:p>
        </w:tc>
      </w:tr>
      <w:tr w:rsidR="00F91036" w:rsidRPr="00F91036" w14:paraId="4C547B51"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2B25A3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13–14</w:t>
            </w:r>
          </w:p>
        </w:tc>
        <w:tc>
          <w:tcPr>
            <w:tcW w:w="4510" w:type="pct"/>
            <w:tcBorders>
              <w:top w:val="outset" w:sz="6" w:space="0" w:color="auto"/>
              <w:left w:val="outset" w:sz="6" w:space="0" w:color="auto"/>
              <w:bottom w:val="outset" w:sz="6" w:space="0" w:color="auto"/>
              <w:right w:val="outset" w:sz="6" w:space="0" w:color="auto"/>
            </w:tcBorders>
            <w:hideMark/>
          </w:tcPr>
          <w:p w14:paraId="2F3CD8C3"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the land parcel with cadastral designation No. 78960030166 up to the northern point of the relevant land parcel</w:t>
            </w:r>
          </w:p>
        </w:tc>
      </w:tr>
      <w:tr w:rsidR="00F91036" w:rsidRPr="00F91036" w14:paraId="3179A76F"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600BC16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14–15</w:t>
            </w:r>
          </w:p>
        </w:tc>
        <w:tc>
          <w:tcPr>
            <w:tcW w:w="4510" w:type="pct"/>
            <w:tcBorders>
              <w:top w:val="outset" w:sz="6" w:space="0" w:color="auto"/>
              <w:left w:val="outset" w:sz="6" w:space="0" w:color="auto"/>
              <w:bottom w:val="outset" w:sz="6" w:space="0" w:color="auto"/>
              <w:right w:val="outset" w:sz="6" w:space="0" w:color="auto"/>
            </w:tcBorders>
            <w:hideMark/>
          </w:tcPr>
          <w:p w14:paraId="3E0719E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southern border of the land parcel with cadastral designation No. 78960030184 in an eastern direction up to the southern point of the land parcel with cadastral designation No. 78960030270</w:t>
            </w:r>
          </w:p>
        </w:tc>
      </w:tr>
      <w:tr w:rsidR="00F91036" w:rsidRPr="00F91036" w14:paraId="758A1392"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319121C"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15–16</w:t>
            </w:r>
          </w:p>
        </w:tc>
        <w:tc>
          <w:tcPr>
            <w:tcW w:w="4510" w:type="pct"/>
            <w:tcBorders>
              <w:top w:val="outset" w:sz="6" w:space="0" w:color="auto"/>
              <w:left w:val="outset" w:sz="6" w:space="0" w:color="auto"/>
              <w:bottom w:val="outset" w:sz="6" w:space="0" w:color="auto"/>
              <w:right w:val="outset" w:sz="6" w:space="0" w:color="auto"/>
            </w:tcBorders>
            <w:hideMark/>
          </w:tcPr>
          <w:p w14:paraId="13D88C4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south-eastern border of the land parcels with cadastral designations No. 78960030270, 78960030171 in a north-eastern direction up to the eastern point of the land parcel with cadastral designation No. 78960030171</w:t>
            </w:r>
          </w:p>
        </w:tc>
      </w:tr>
      <w:tr w:rsidR="00F91036" w:rsidRPr="00F91036" w14:paraId="24B77E0D"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D1DC67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16–17</w:t>
            </w:r>
          </w:p>
        </w:tc>
        <w:tc>
          <w:tcPr>
            <w:tcW w:w="4510" w:type="pct"/>
            <w:tcBorders>
              <w:top w:val="outset" w:sz="6" w:space="0" w:color="auto"/>
              <w:left w:val="outset" w:sz="6" w:space="0" w:color="auto"/>
              <w:bottom w:val="outset" w:sz="6" w:space="0" w:color="auto"/>
              <w:right w:val="outset" w:sz="6" w:space="0" w:color="auto"/>
            </w:tcBorders>
            <w:hideMark/>
          </w:tcPr>
          <w:p w14:paraId="0A52C76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the land parcel with cadastral designation No. 78960030172 up to the eastern point of the land parcel with cadastral designation No. 78960030150</w:t>
            </w:r>
          </w:p>
        </w:tc>
      </w:tr>
      <w:tr w:rsidR="00F91036" w:rsidRPr="00F91036" w14:paraId="362A7005"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2E6B79D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17–18</w:t>
            </w:r>
          </w:p>
        </w:tc>
        <w:tc>
          <w:tcPr>
            <w:tcW w:w="4510" w:type="pct"/>
            <w:tcBorders>
              <w:top w:val="outset" w:sz="6" w:space="0" w:color="auto"/>
              <w:left w:val="outset" w:sz="6" w:space="0" w:color="auto"/>
              <w:bottom w:val="outset" w:sz="6" w:space="0" w:color="auto"/>
              <w:right w:val="outset" w:sz="6" w:space="0" w:color="auto"/>
            </w:tcBorders>
            <w:hideMark/>
          </w:tcPr>
          <w:p w14:paraId="6C2DDAA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north-eastern border of the land parcel with cadastral designation No. 78960030150 in a north-western direction up to the northern point of the relevant land parcel</w:t>
            </w:r>
          </w:p>
        </w:tc>
      </w:tr>
      <w:tr w:rsidR="00F91036" w:rsidRPr="00F91036" w14:paraId="1EE88F16"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1518359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18–19</w:t>
            </w:r>
          </w:p>
        </w:tc>
        <w:tc>
          <w:tcPr>
            <w:tcW w:w="4510" w:type="pct"/>
            <w:tcBorders>
              <w:top w:val="outset" w:sz="6" w:space="0" w:color="auto"/>
              <w:left w:val="outset" w:sz="6" w:space="0" w:color="auto"/>
              <w:bottom w:val="outset" w:sz="6" w:space="0" w:color="auto"/>
              <w:right w:val="outset" w:sz="6" w:space="0" w:color="auto"/>
            </w:tcBorders>
            <w:hideMark/>
          </w:tcPr>
          <w:p w14:paraId="5CCC265C"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south-eastern border of the land parcels with cadastral designations No. 78960030176, 78960030178 up to the south-eastern point of the land parcel with cadastral designation No. 78960030178</w:t>
            </w:r>
          </w:p>
        </w:tc>
      </w:tr>
      <w:tr w:rsidR="00F91036" w:rsidRPr="00F91036" w14:paraId="28117A9D"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5AC5F58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19–20</w:t>
            </w:r>
          </w:p>
        </w:tc>
        <w:tc>
          <w:tcPr>
            <w:tcW w:w="4510" w:type="pct"/>
            <w:tcBorders>
              <w:top w:val="outset" w:sz="6" w:space="0" w:color="auto"/>
              <w:left w:val="outset" w:sz="6" w:space="0" w:color="auto"/>
              <w:bottom w:val="outset" w:sz="6" w:space="0" w:color="auto"/>
              <w:right w:val="outset" w:sz="6" w:space="0" w:color="auto"/>
            </w:tcBorders>
            <w:hideMark/>
          </w:tcPr>
          <w:p w14:paraId="776991F6"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south-western border of the land parcel with cadastral designation No. 78960030188 up to the western point of the relevant land parcel</w:t>
            </w:r>
          </w:p>
        </w:tc>
      </w:tr>
      <w:tr w:rsidR="00F91036" w:rsidRPr="00F91036" w14:paraId="7F2B190A"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199906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20–21</w:t>
            </w:r>
          </w:p>
        </w:tc>
        <w:tc>
          <w:tcPr>
            <w:tcW w:w="4510" w:type="pct"/>
            <w:tcBorders>
              <w:top w:val="outset" w:sz="6" w:space="0" w:color="auto"/>
              <w:left w:val="outset" w:sz="6" w:space="0" w:color="auto"/>
              <w:bottom w:val="outset" w:sz="6" w:space="0" w:color="auto"/>
              <w:right w:val="outset" w:sz="6" w:space="0" w:color="auto"/>
            </w:tcBorders>
            <w:hideMark/>
          </w:tcPr>
          <w:p w14:paraId="3B45C88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western border of the land parcel with cadastral designation No. 78960030266 up to border of Ilzeskalns rural territory in Rēzekne municipality</w:t>
            </w:r>
          </w:p>
        </w:tc>
      </w:tr>
      <w:tr w:rsidR="00F91036" w:rsidRPr="00F91036" w14:paraId="5482D56A"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36C9CB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21–22</w:t>
            </w:r>
          </w:p>
        </w:tc>
        <w:tc>
          <w:tcPr>
            <w:tcW w:w="4510" w:type="pct"/>
            <w:tcBorders>
              <w:top w:val="outset" w:sz="6" w:space="0" w:color="auto"/>
              <w:left w:val="outset" w:sz="6" w:space="0" w:color="auto"/>
              <w:bottom w:val="outset" w:sz="6" w:space="0" w:color="auto"/>
              <w:right w:val="outset" w:sz="6" w:space="0" w:color="auto"/>
            </w:tcBorders>
            <w:hideMark/>
          </w:tcPr>
          <w:p w14:paraId="68C479D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Vērēmi and Ilzeskalns rural territories in Rēzekne municipality in a north-eastern direction up to the northern point of the land parcel with cadastral designation No. 78960030266</w:t>
            </w:r>
          </w:p>
        </w:tc>
      </w:tr>
      <w:tr w:rsidR="00F91036" w:rsidRPr="00F91036" w14:paraId="6794584C"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3A42391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22–23</w:t>
            </w:r>
          </w:p>
        </w:tc>
        <w:tc>
          <w:tcPr>
            <w:tcW w:w="4510" w:type="pct"/>
            <w:tcBorders>
              <w:top w:val="outset" w:sz="6" w:space="0" w:color="auto"/>
              <w:left w:val="outset" w:sz="6" w:space="0" w:color="auto"/>
              <w:bottom w:val="outset" w:sz="6" w:space="0" w:color="auto"/>
              <w:right w:val="outset" w:sz="6" w:space="0" w:color="auto"/>
            </w:tcBorders>
            <w:hideMark/>
          </w:tcPr>
          <w:p w14:paraId="19944128"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north-eastern border of the land parcel with cadastral designation No. 78960030266 up to the south-eastern point of the relevant land parcel</w:t>
            </w:r>
          </w:p>
        </w:tc>
      </w:tr>
      <w:tr w:rsidR="00F91036" w:rsidRPr="00F91036" w14:paraId="09692FC9" w14:textId="77777777" w:rsidTr="00E422C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14:paraId="410C415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23–1</w:t>
            </w:r>
          </w:p>
        </w:tc>
        <w:tc>
          <w:tcPr>
            <w:tcW w:w="4510" w:type="pct"/>
            <w:tcBorders>
              <w:top w:val="outset" w:sz="6" w:space="0" w:color="auto"/>
              <w:left w:val="outset" w:sz="6" w:space="0" w:color="auto"/>
              <w:bottom w:val="outset" w:sz="6" w:space="0" w:color="auto"/>
              <w:right w:val="outset" w:sz="6" w:space="0" w:color="auto"/>
            </w:tcBorders>
            <w:hideMark/>
          </w:tcPr>
          <w:p w14:paraId="0E3459E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In a south-eastern direction up to the railway line Riga–Moscow</w:t>
            </w:r>
          </w:p>
        </w:tc>
      </w:tr>
    </w:tbl>
    <w:p w14:paraId="235AEF17"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eastAsia="lv-LV"/>
        </w:rPr>
      </w:pPr>
    </w:p>
    <w:p w14:paraId="7292FA41"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3rd section</w:t>
      </w:r>
    </w:p>
    <w:p w14:paraId="0B977299"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8354"/>
      </w:tblGrid>
      <w:tr w:rsidR="00F91036" w:rsidRPr="00F91036" w14:paraId="35C58D7F"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C14091C"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1–2</w:t>
            </w:r>
          </w:p>
        </w:tc>
        <w:tc>
          <w:tcPr>
            <w:tcW w:w="4588" w:type="pct"/>
            <w:tcBorders>
              <w:top w:val="outset" w:sz="6" w:space="0" w:color="auto"/>
              <w:left w:val="outset" w:sz="6" w:space="0" w:color="auto"/>
              <w:bottom w:val="outset" w:sz="6" w:space="0" w:color="auto"/>
              <w:right w:val="outset" w:sz="6" w:space="0" w:color="auto"/>
            </w:tcBorders>
            <w:hideMark/>
          </w:tcPr>
          <w:p w14:paraId="37AE537C"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border of Rēzekne city and Griškāni rural territory in Rēzekne municipality in a southern direction up to Meža iela in Rēzekne city</w:t>
            </w:r>
          </w:p>
        </w:tc>
      </w:tr>
      <w:tr w:rsidR="00F91036" w:rsidRPr="00F91036" w14:paraId="7CD86A65"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6D2059E"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2–3</w:t>
            </w:r>
          </w:p>
        </w:tc>
        <w:tc>
          <w:tcPr>
            <w:tcW w:w="4588" w:type="pct"/>
            <w:tcBorders>
              <w:top w:val="outset" w:sz="6" w:space="0" w:color="auto"/>
              <w:left w:val="outset" w:sz="6" w:space="0" w:color="auto"/>
              <w:bottom w:val="outset" w:sz="6" w:space="0" w:color="auto"/>
              <w:right w:val="outset" w:sz="6" w:space="0" w:color="auto"/>
            </w:tcBorders>
            <w:hideMark/>
          </w:tcPr>
          <w:p w14:paraId="722E7F5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Meža iela in a north-western direction up to the north-western point of the land parcel with cadastral designation No. 21000101808</w:t>
            </w:r>
          </w:p>
        </w:tc>
      </w:tr>
      <w:tr w:rsidR="00F91036" w:rsidRPr="00F91036" w14:paraId="5157A414"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576A8A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3–4</w:t>
            </w:r>
          </w:p>
        </w:tc>
        <w:tc>
          <w:tcPr>
            <w:tcW w:w="4588" w:type="pct"/>
            <w:tcBorders>
              <w:top w:val="outset" w:sz="6" w:space="0" w:color="auto"/>
              <w:left w:val="outset" w:sz="6" w:space="0" w:color="auto"/>
              <w:bottom w:val="outset" w:sz="6" w:space="0" w:color="auto"/>
              <w:right w:val="outset" w:sz="6" w:space="0" w:color="auto"/>
            </w:tcBorders>
            <w:hideMark/>
          </w:tcPr>
          <w:p w14:paraId="0430707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southern border of the land parcels with cadastral designations No. 21000150601, 21000150604, 21000150605, 21000150606 in a western direction up to the south-western point of the land parcel with cadastral designation No. 21000150606</w:t>
            </w:r>
          </w:p>
        </w:tc>
      </w:tr>
      <w:tr w:rsidR="00F91036" w:rsidRPr="00F91036" w14:paraId="408AB1B3"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A3E701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4–5</w:t>
            </w:r>
          </w:p>
        </w:tc>
        <w:tc>
          <w:tcPr>
            <w:tcW w:w="4588" w:type="pct"/>
            <w:tcBorders>
              <w:top w:val="outset" w:sz="6" w:space="0" w:color="auto"/>
              <w:left w:val="outset" w:sz="6" w:space="0" w:color="auto"/>
              <w:bottom w:val="outset" w:sz="6" w:space="0" w:color="auto"/>
              <w:right w:val="outset" w:sz="6" w:space="0" w:color="auto"/>
            </w:tcBorders>
            <w:hideMark/>
          </w:tcPr>
          <w:p w14:paraId="385F714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western border of the land parcels with cadastral designations No. 2100150606, 21000150509, 21000150605 in a northern direction up to Rēznas iela in Rēzekne city</w:t>
            </w:r>
          </w:p>
        </w:tc>
      </w:tr>
      <w:tr w:rsidR="00F91036" w:rsidRPr="00F91036" w14:paraId="249B3F43"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3CFFD3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5–6</w:t>
            </w:r>
          </w:p>
        </w:tc>
        <w:tc>
          <w:tcPr>
            <w:tcW w:w="4588" w:type="pct"/>
            <w:tcBorders>
              <w:top w:val="outset" w:sz="6" w:space="0" w:color="auto"/>
              <w:left w:val="outset" w:sz="6" w:space="0" w:color="auto"/>
              <w:bottom w:val="outset" w:sz="6" w:space="0" w:color="auto"/>
              <w:right w:val="outset" w:sz="6" w:space="0" w:color="auto"/>
            </w:tcBorders>
            <w:hideMark/>
          </w:tcPr>
          <w:p w14:paraId="7D32E57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side of Rēznas iela in an eastern direction up to Meža iela in Rēzekne city</w:t>
            </w:r>
          </w:p>
        </w:tc>
      </w:tr>
      <w:tr w:rsidR="00F91036" w:rsidRPr="00F91036" w14:paraId="09CFE641"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2D6A63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6–7</w:t>
            </w:r>
          </w:p>
        </w:tc>
        <w:tc>
          <w:tcPr>
            <w:tcW w:w="4588" w:type="pct"/>
            <w:tcBorders>
              <w:top w:val="outset" w:sz="6" w:space="0" w:color="auto"/>
              <w:left w:val="outset" w:sz="6" w:space="0" w:color="auto"/>
              <w:bottom w:val="outset" w:sz="6" w:space="0" w:color="auto"/>
              <w:right w:val="outset" w:sz="6" w:space="0" w:color="auto"/>
            </w:tcBorders>
            <w:hideMark/>
          </w:tcPr>
          <w:p w14:paraId="2FB33A4A"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side of Meža iela in a southern direction up to the eastern border of the land parcel with cadastral designation No. 21000150601</w:t>
            </w:r>
          </w:p>
        </w:tc>
      </w:tr>
      <w:tr w:rsidR="00F91036" w:rsidRPr="00F91036" w14:paraId="0E91C42A"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7C0F607"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7–8</w:t>
            </w:r>
          </w:p>
        </w:tc>
        <w:tc>
          <w:tcPr>
            <w:tcW w:w="4588" w:type="pct"/>
            <w:tcBorders>
              <w:top w:val="outset" w:sz="6" w:space="0" w:color="auto"/>
              <w:left w:val="outset" w:sz="6" w:space="0" w:color="auto"/>
              <w:bottom w:val="outset" w:sz="6" w:space="0" w:color="auto"/>
              <w:right w:val="outset" w:sz="6" w:space="0" w:color="auto"/>
            </w:tcBorders>
            <w:hideMark/>
          </w:tcPr>
          <w:p w14:paraId="10AB16AE"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southern border of the land parcels with cadastral designations No. 21000101801, 21000101830 in an eastern direction</w:t>
            </w:r>
          </w:p>
        </w:tc>
      </w:tr>
      <w:tr w:rsidR="00F91036" w:rsidRPr="00F91036" w14:paraId="46A9619E"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91F4685"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8–9</w:t>
            </w:r>
          </w:p>
        </w:tc>
        <w:tc>
          <w:tcPr>
            <w:tcW w:w="4588" w:type="pct"/>
            <w:tcBorders>
              <w:top w:val="outset" w:sz="6" w:space="0" w:color="auto"/>
              <w:left w:val="outset" w:sz="6" w:space="0" w:color="auto"/>
              <w:bottom w:val="outset" w:sz="6" w:space="0" w:color="auto"/>
              <w:right w:val="outset" w:sz="6" w:space="0" w:color="auto"/>
            </w:tcBorders>
            <w:hideMark/>
          </w:tcPr>
          <w:p w14:paraId="0FE105D4"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eastern border of the land parcels with cadastral designations No. 21000101830, 21000101806 in a northern direction up to the side of Rēznas iela in Rēzekne city</w:t>
            </w:r>
          </w:p>
        </w:tc>
      </w:tr>
      <w:tr w:rsidR="00F91036" w:rsidRPr="00F91036" w14:paraId="19BCFC6E"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B12CEC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9–10</w:t>
            </w:r>
          </w:p>
        </w:tc>
        <w:tc>
          <w:tcPr>
            <w:tcW w:w="4588" w:type="pct"/>
            <w:tcBorders>
              <w:top w:val="outset" w:sz="6" w:space="0" w:color="auto"/>
              <w:left w:val="outset" w:sz="6" w:space="0" w:color="auto"/>
              <w:bottom w:val="outset" w:sz="6" w:space="0" w:color="auto"/>
              <w:right w:val="outset" w:sz="6" w:space="0" w:color="auto"/>
            </w:tcBorders>
            <w:hideMark/>
          </w:tcPr>
          <w:p w14:paraId="4B947799"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Rēznas iela in an eastern direction up to the northern side of the land parcel with cadastral designation No. 21000101805</w:t>
            </w:r>
          </w:p>
        </w:tc>
      </w:tr>
      <w:tr w:rsidR="00F91036" w:rsidRPr="00F91036" w14:paraId="07ED977F"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22CC54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10–1</w:t>
            </w:r>
          </w:p>
        </w:tc>
        <w:tc>
          <w:tcPr>
            <w:tcW w:w="4588" w:type="pct"/>
            <w:tcBorders>
              <w:top w:val="outset" w:sz="6" w:space="0" w:color="auto"/>
              <w:left w:val="outset" w:sz="6" w:space="0" w:color="auto"/>
              <w:bottom w:val="outset" w:sz="6" w:space="0" w:color="auto"/>
              <w:right w:val="outset" w:sz="6" w:space="0" w:color="auto"/>
            </w:tcBorders>
            <w:hideMark/>
          </w:tcPr>
          <w:p w14:paraId="0A98186C"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northern border of the land parcel with cadastral designation No. 21000101805 up to the border of Griškāni rural territory in Rēzekne municipality</w:t>
            </w:r>
          </w:p>
        </w:tc>
      </w:tr>
    </w:tbl>
    <w:p w14:paraId="40D98658"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eastAsia="lv-LV"/>
        </w:rPr>
      </w:pPr>
    </w:p>
    <w:p w14:paraId="7403B6C9" w14:textId="77777777" w:rsidR="00F91036" w:rsidRPr="00F91036" w:rsidRDefault="00F91036" w:rsidP="00F91036">
      <w:pPr>
        <w:spacing w:after="0" w:line="240" w:lineRule="auto"/>
        <w:jc w:val="center"/>
        <w:rPr>
          <w:rFonts w:ascii="Times New Roman" w:hAnsi="Times New Roman"/>
          <w:b/>
          <w:noProof/>
          <w:sz w:val="24"/>
          <w:lang w:val="en-US"/>
        </w:rPr>
      </w:pPr>
      <w:r w:rsidRPr="00F91036">
        <w:rPr>
          <w:rFonts w:ascii="Times New Roman" w:hAnsi="Times New Roman"/>
          <w:b/>
          <w:noProof/>
          <w:sz w:val="24"/>
          <w:lang w:val="en-US"/>
        </w:rPr>
        <w:t>4th section</w:t>
      </w:r>
    </w:p>
    <w:p w14:paraId="4D8827A4" w14:textId="77777777" w:rsidR="00F91036" w:rsidRPr="00F91036" w:rsidRDefault="00F91036" w:rsidP="00F9103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8354"/>
      </w:tblGrid>
      <w:tr w:rsidR="00F91036" w:rsidRPr="00F91036" w14:paraId="2412255C"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B65AAB2"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1–2</w:t>
            </w:r>
          </w:p>
        </w:tc>
        <w:tc>
          <w:tcPr>
            <w:tcW w:w="4588" w:type="pct"/>
            <w:tcBorders>
              <w:top w:val="outset" w:sz="6" w:space="0" w:color="auto"/>
              <w:left w:val="outset" w:sz="6" w:space="0" w:color="auto"/>
              <w:bottom w:val="outset" w:sz="6" w:space="0" w:color="auto"/>
              <w:right w:val="outset" w:sz="6" w:space="0" w:color="auto"/>
            </w:tcBorders>
            <w:hideMark/>
          </w:tcPr>
          <w:p w14:paraId="065272FE"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side of the right of way of the State major motor road A13 Russian Border (Grebņeva)–Rēzekne–Daugavpils–Lithuanian Border (Medumi) up to the north-eastern point of the land parcel with cadastral designation No. 78760011220</w:t>
            </w:r>
          </w:p>
        </w:tc>
      </w:tr>
      <w:tr w:rsidR="00F91036" w:rsidRPr="00F91036" w14:paraId="022309A5"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72FFEE7"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2–3</w:t>
            </w:r>
          </w:p>
        </w:tc>
        <w:tc>
          <w:tcPr>
            <w:tcW w:w="4588" w:type="pct"/>
            <w:tcBorders>
              <w:top w:val="outset" w:sz="6" w:space="0" w:color="auto"/>
              <w:left w:val="outset" w:sz="6" w:space="0" w:color="auto"/>
              <w:bottom w:val="outset" w:sz="6" w:space="0" w:color="auto"/>
              <w:right w:val="outset" w:sz="6" w:space="0" w:color="auto"/>
            </w:tcBorders>
            <w:hideMark/>
          </w:tcPr>
          <w:p w14:paraId="3752E4D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north-eastern border of the land parcel with cadastral designation No. 78760011220 and along the north-western side of the relevant land parcel in a north-western direction up to the land parcel with cadastral designation No. 78760012436</w:t>
            </w:r>
          </w:p>
        </w:tc>
      </w:tr>
      <w:tr w:rsidR="00F91036" w:rsidRPr="00F91036" w14:paraId="627185B3"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535AF20"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3–4</w:t>
            </w:r>
          </w:p>
        </w:tc>
        <w:tc>
          <w:tcPr>
            <w:tcW w:w="4588" w:type="pct"/>
            <w:tcBorders>
              <w:top w:val="outset" w:sz="6" w:space="0" w:color="auto"/>
              <w:left w:val="outset" w:sz="6" w:space="0" w:color="auto"/>
              <w:bottom w:val="outset" w:sz="6" w:space="0" w:color="auto"/>
              <w:right w:val="outset" w:sz="6" w:space="0" w:color="auto"/>
            </w:tcBorders>
            <w:hideMark/>
          </w:tcPr>
          <w:p w14:paraId="478C0A3C"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south-western border of the land parcels with cadastral designations No. 78760012436, 78760012466, 78760012519, 78760012293 in a north-western direction up to the right of way of the railway Saint Petersburg–Warsaw</w:t>
            </w:r>
          </w:p>
        </w:tc>
      </w:tr>
      <w:tr w:rsidR="00F91036" w:rsidRPr="00F91036" w14:paraId="61C3646D"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822FF1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4–5 </w:t>
            </w:r>
          </w:p>
        </w:tc>
        <w:tc>
          <w:tcPr>
            <w:tcW w:w="4588" w:type="pct"/>
            <w:tcBorders>
              <w:top w:val="outset" w:sz="6" w:space="0" w:color="auto"/>
              <w:left w:val="outset" w:sz="6" w:space="0" w:color="auto"/>
              <w:bottom w:val="outset" w:sz="6" w:space="0" w:color="auto"/>
              <w:right w:val="outset" w:sz="6" w:space="0" w:color="auto"/>
            </w:tcBorders>
            <w:hideMark/>
          </w:tcPr>
          <w:p w14:paraId="319FFD41"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side of the right of way of the railway Saint Petersburg–Warsaw in a north-eastern direction up to the northern point of the land parcel with cadastral designation No. 78760011046</w:t>
            </w:r>
          </w:p>
        </w:tc>
      </w:tr>
      <w:tr w:rsidR="00F91036" w:rsidRPr="00F91036" w14:paraId="79783207"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FF0A42F"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5–6</w:t>
            </w:r>
          </w:p>
        </w:tc>
        <w:tc>
          <w:tcPr>
            <w:tcW w:w="4588" w:type="pct"/>
            <w:tcBorders>
              <w:top w:val="outset" w:sz="6" w:space="0" w:color="auto"/>
              <w:left w:val="outset" w:sz="6" w:space="0" w:color="auto"/>
              <w:bottom w:val="outset" w:sz="6" w:space="0" w:color="auto"/>
              <w:right w:val="outset" w:sz="6" w:space="0" w:color="auto"/>
            </w:tcBorders>
            <w:hideMark/>
          </w:tcPr>
          <w:p w14:paraId="6DD758D7"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north-eastern border of the land parcels with cadastral designations No. 78760011046, 78760011039, 78760012423, 78760012479, 78760012430 in a south-eastern direction up to the north-eastern point of the land parcel with cadastral designation No. 78760012430</w:t>
            </w:r>
          </w:p>
        </w:tc>
      </w:tr>
      <w:tr w:rsidR="00F91036" w:rsidRPr="00F91036" w14:paraId="48CBCD75" w14:textId="77777777" w:rsidTr="00E422C1">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324358D"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6–1</w:t>
            </w:r>
          </w:p>
        </w:tc>
        <w:tc>
          <w:tcPr>
            <w:tcW w:w="4588" w:type="pct"/>
            <w:tcBorders>
              <w:top w:val="outset" w:sz="6" w:space="0" w:color="auto"/>
              <w:left w:val="outset" w:sz="6" w:space="0" w:color="auto"/>
              <w:bottom w:val="outset" w:sz="6" w:space="0" w:color="auto"/>
              <w:right w:val="outset" w:sz="6" w:space="0" w:color="auto"/>
            </w:tcBorders>
            <w:hideMark/>
          </w:tcPr>
          <w:p w14:paraId="6F271133" w14:textId="77777777" w:rsidR="00F91036" w:rsidRPr="00F91036" w:rsidRDefault="00F91036" w:rsidP="00E422C1">
            <w:pPr>
              <w:spacing w:after="0" w:line="240" w:lineRule="auto"/>
              <w:jc w:val="both"/>
              <w:rPr>
                <w:rFonts w:ascii="Times New Roman" w:hAnsi="Times New Roman"/>
                <w:noProof/>
                <w:sz w:val="24"/>
                <w:lang w:val="en-US"/>
              </w:rPr>
            </w:pPr>
            <w:r w:rsidRPr="00F91036">
              <w:rPr>
                <w:rFonts w:ascii="Times New Roman" w:hAnsi="Times New Roman"/>
                <w:noProof/>
                <w:sz w:val="24"/>
                <w:lang w:val="en-US"/>
              </w:rPr>
              <w:t>Along the eastern border of the land parcel with cadastral designation No. 78760012430 and along the northern border of the land parcel with cadastral designation No. 78760012353 in a southern direction up to the north-eastern point of the relevant land parcel</w:t>
            </w:r>
          </w:p>
        </w:tc>
      </w:tr>
    </w:tbl>
    <w:p w14:paraId="4D95EC20"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rPr>
      </w:pPr>
      <w:bookmarkStart w:id="118" w:name="piel3"/>
      <w:bookmarkEnd w:id="118"/>
    </w:p>
    <w:p w14:paraId="0B9073AD" w14:textId="77777777" w:rsidR="00F91036" w:rsidRPr="00F91036" w:rsidRDefault="00F91036" w:rsidP="00F91036">
      <w:pPr>
        <w:rPr>
          <w:noProof/>
          <w:lang w:val="en-US"/>
        </w:rPr>
      </w:pPr>
      <w:r w:rsidRPr="00F91036">
        <w:rPr>
          <w:noProof/>
          <w:lang w:val="en-US"/>
        </w:rPr>
        <w:br w:type="page"/>
      </w:r>
    </w:p>
    <w:p w14:paraId="3FB2647A"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39C571BD" w14:textId="77777777" w:rsidR="00F91036" w:rsidRPr="00F91036" w:rsidRDefault="00F91036" w:rsidP="00F91036">
      <w:pPr>
        <w:spacing w:after="0" w:line="240" w:lineRule="auto"/>
        <w:jc w:val="right"/>
        <w:rPr>
          <w:rFonts w:ascii="Times New Roman" w:hAnsi="Times New Roman"/>
          <w:noProof/>
          <w:sz w:val="24"/>
          <w:lang w:val="en-US"/>
        </w:rPr>
      </w:pPr>
      <w:r w:rsidRPr="00F91036">
        <w:rPr>
          <w:rFonts w:ascii="Times New Roman" w:hAnsi="Times New Roman"/>
          <w:noProof/>
          <w:sz w:val="24"/>
          <w:lang w:val="en-US"/>
        </w:rPr>
        <w:t>Law on the Rēzekne Special Economic Zone</w:t>
      </w:r>
    </w:p>
    <w:p w14:paraId="66A93C32" w14:textId="77777777" w:rsidR="00F91036" w:rsidRPr="00F91036" w:rsidRDefault="00F91036" w:rsidP="00F91036">
      <w:pPr>
        <w:spacing w:after="0" w:line="240" w:lineRule="auto"/>
        <w:jc w:val="right"/>
        <w:rPr>
          <w:rFonts w:ascii="Times New Roman" w:hAnsi="Times New Roman"/>
          <w:b/>
          <w:noProof/>
          <w:sz w:val="24"/>
          <w:lang w:val="en-US"/>
        </w:rPr>
      </w:pPr>
      <w:r w:rsidRPr="00F91036">
        <w:rPr>
          <w:rFonts w:ascii="Times New Roman" w:hAnsi="Times New Roman"/>
          <w:b/>
          <w:noProof/>
          <w:sz w:val="24"/>
          <w:lang w:val="en-US"/>
        </w:rPr>
        <w:t>Annex 3</w:t>
      </w:r>
      <w:bookmarkStart w:id="119" w:name="piel-322315"/>
      <w:bookmarkEnd w:id="119"/>
    </w:p>
    <w:p w14:paraId="05773085"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488D1670"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67A2A266" w14:textId="77777777" w:rsidR="00F91036" w:rsidRPr="00F91036" w:rsidRDefault="00F91036" w:rsidP="00F91036">
      <w:pPr>
        <w:spacing w:after="0" w:line="240" w:lineRule="auto"/>
        <w:jc w:val="center"/>
        <w:rPr>
          <w:rFonts w:ascii="Times New Roman" w:hAnsi="Times New Roman"/>
          <w:b/>
          <w:noProof/>
          <w:sz w:val="28"/>
          <w:lang w:val="en-US"/>
        </w:rPr>
      </w:pPr>
      <w:bookmarkStart w:id="120" w:name="322317"/>
      <w:bookmarkStart w:id="121" w:name="n-322317"/>
      <w:bookmarkEnd w:id="120"/>
      <w:bookmarkEnd w:id="121"/>
      <w:r w:rsidRPr="00F91036">
        <w:rPr>
          <w:rFonts w:ascii="Times New Roman" w:hAnsi="Times New Roman"/>
          <w:b/>
          <w:noProof/>
          <w:sz w:val="28"/>
          <w:lang w:val="en-US"/>
        </w:rPr>
        <w:t>Diagram of the Description of Section Borders of the Territorial Plan of the Rēzekne Special Economic Zone (RSEZ)</w:t>
      </w:r>
    </w:p>
    <w:p w14:paraId="653D097B" w14:textId="77777777" w:rsidR="00F91036" w:rsidRPr="00F91036" w:rsidRDefault="00F91036" w:rsidP="00F91036">
      <w:pPr>
        <w:spacing w:after="0" w:line="240" w:lineRule="auto"/>
        <w:jc w:val="center"/>
        <w:rPr>
          <w:rFonts w:ascii="Times New Roman" w:eastAsia="Times New Roman" w:hAnsi="Times New Roman" w:cs="Times New Roman"/>
          <w:noProof/>
          <w:sz w:val="24"/>
          <w:szCs w:val="24"/>
          <w:lang w:val="en-US"/>
        </w:rPr>
      </w:pPr>
      <w:r w:rsidRPr="00F91036">
        <w:rPr>
          <w:rFonts w:ascii="Times New Roman" w:hAnsi="Times New Roman"/>
          <w:noProof/>
          <w:sz w:val="24"/>
          <w:lang w:val="en-US"/>
        </w:rPr>
        <w:t>[</w:t>
      </w:r>
      <w:r w:rsidRPr="00F91036">
        <w:rPr>
          <w:rFonts w:ascii="Times New Roman" w:hAnsi="Times New Roman"/>
          <w:i/>
          <w:iCs/>
          <w:noProof/>
          <w:sz w:val="24"/>
          <w:lang w:val="en-US"/>
        </w:rPr>
        <w:t>17 December 2009</w:t>
      </w:r>
      <w:r w:rsidRPr="00F91036">
        <w:rPr>
          <w:rFonts w:ascii="Times New Roman" w:hAnsi="Times New Roman"/>
          <w:noProof/>
          <w:sz w:val="24"/>
          <w:lang w:val="en-US"/>
        </w:rPr>
        <w:t>]</w:t>
      </w:r>
    </w:p>
    <w:p w14:paraId="71A19922"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5F7CAB4E" w14:textId="77777777" w:rsidR="00F91036" w:rsidRPr="00F91036" w:rsidRDefault="00F91036" w:rsidP="00F91036">
      <w:pPr>
        <w:spacing w:after="0" w:line="240" w:lineRule="auto"/>
        <w:jc w:val="both"/>
        <w:rPr>
          <w:rFonts w:ascii="Times New Roman" w:eastAsia="Times New Roman" w:hAnsi="Times New Roman" w:cs="Times New Roman"/>
          <w:noProof/>
          <w:sz w:val="24"/>
          <w:szCs w:val="24"/>
          <w:lang w:val="en-US" w:eastAsia="lv-LV"/>
        </w:rPr>
      </w:pPr>
    </w:p>
    <w:p w14:paraId="4CC4B636" w14:textId="77777777" w:rsidR="00F91036" w:rsidRPr="00F91036" w:rsidRDefault="00F91036" w:rsidP="00F91036">
      <w:pPr>
        <w:spacing w:after="0" w:line="240" w:lineRule="auto"/>
        <w:jc w:val="center"/>
        <w:rPr>
          <w:rFonts w:ascii="Times New Roman" w:hAnsi="Times New Roman" w:cs="Times New Roman"/>
          <w:noProof/>
          <w:sz w:val="24"/>
          <w:szCs w:val="24"/>
          <w:lang w:val="en-US"/>
        </w:rPr>
      </w:pPr>
      <w:r w:rsidRPr="00F91036">
        <w:rPr>
          <w:rFonts w:ascii="Times New Roman" w:hAnsi="Times New Roman" w:cs="Times New Roman"/>
          <w:noProof/>
          <w:sz w:val="24"/>
          <w:szCs w:val="24"/>
          <w:lang w:val="en-US"/>
        </w:rPr>
        <w:drawing>
          <wp:inline distT="0" distB="0" distL="0" distR="0" wp14:anchorId="442534C3" wp14:editId="6265E9A4">
            <wp:extent cx="4464942" cy="7409450"/>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80893" cy="7435920"/>
                    </a:xfrm>
                    <a:prstGeom prst="rect">
                      <a:avLst/>
                    </a:prstGeom>
                  </pic:spPr>
                </pic:pic>
              </a:graphicData>
            </a:graphic>
          </wp:inline>
        </w:drawing>
      </w:r>
    </w:p>
    <w:sectPr w:rsidR="00F91036" w:rsidRPr="00F91036" w:rsidSect="003876D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0BC0" w14:textId="77777777" w:rsidR="000706B4" w:rsidRPr="00F91036" w:rsidRDefault="000706B4" w:rsidP="00201C9A">
      <w:pPr>
        <w:spacing w:after="0" w:line="240" w:lineRule="auto"/>
        <w:rPr>
          <w:noProof/>
          <w:lang w:val="en-US"/>
        </w:rPr>
      </w:pPr>
      <w:r w:rsidRPr="00F91036">
        <w:rPr>
          <w:noProof/>
          <w:lang w:val="en-US"/>
        </w:rPr>
        <w:separator/>
      </w:r>
    </w:p>
  </w:endnote>
  <w:endnote w:type="continuationSeparator" w:id="0">
    <w:p w14:paraId="3E57A7D8" w14:textId="77777777" w:rsidR="000706B4" w:rsidRPr="00F91036" w:rsidRDefault="000706B4" w:rsidP="00201C9A">
      <w:pPr>
        <w:spacing w:after="0" w:line="240" w:lineRule="auto"/>
        <w:rPr>
          <w:noProof/>
          <w:lang w:val="en-US"/>
        </w:rPr>
      </w:pPr>
      <w:r w:rsidRPr="00F9103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CFB7" w14:textId="77777777" w:rsidR="00F91036" w:rsidRDefault="00F91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7473" w14:textId="77777777" w:rsidR="00465651" w:rsidRPr="00F91036" w:rsidRDefault="00465651" w:rsidP="00465651">
    <w:pPr>
      <w:pStyle w:val="Footer"/>
      <w:rPr>
        <w:rFonts w:ascii="Times New Roman" w:hAnsi="Times New Roman" w:cs="Times New Roman"/>
        <w:noProof/>
        <w:sz w:val="20"/>
        <w:szCs w:val="20"/>
        <w:lang w:val="en-US"/>
      </w:rPr>
    </w:pPr>
  </w:p>
  <w:p w14:paraId="4F741CFE" w14:textId="77777777" w:rsidR="00465651" w:rsidRPr="00F91036" w:rsidRDefault="00465651" w:rsidP="00465651">
    <w:pPr>
      <w:pStyle w:val="Footer"/>
      <w:framePr w:wrap="around" w:vAnchor="text" w:hAnchor="margin" w:xAlign="right" w:y="1"/>
      <w:jc w:val="right"/>
      <w:rPr>
        <w:rStyle w:val="PageNumber"/>
        <w:rFonts w:ascii="Times New Roman" w:hAnsi="Times New Roman" w:cs="Times New Roman"/>
        <w:noProof/>
        <w:sz w:val="20"/>
        <w:szCs w:val="20"/>
        <w:lang w:val="en-US"/>
      </w:rPr>
    </w:pPr>
    <w:r w:rsidRPr="00F91036">
      <w:rPr>
        <w:rStyle w:val="PageNumber"/>
        <w:rFonts w:ascii="Times New Roman" w:hAnsi="Times New Roman" w:cs="Times New Roman"/>
        <w:noProof/>
        <w:sz w:val="20"/>
        <w:szCs w:val="20"/>
        <w:lang w:val="en-US"/>
      </w:rPr>
      <w:fldChar w:fldCharType="begin"/>
    </w:r>
    <w:r w:rsidRPr="00F91036">
      <w:rPr>
        <w:rStyle w:val="PageNumber"/>
        <w:rFonts w:ascii="Times New Roman" w:hAnsi="Times New Roman" w:cs="Times New Roman"/>
        <w:noProof/>
        <w:sz w:val="20"/>
        <w:szCs w:val="20"/>
        <w:lang w:val="en-US"/>
      </w:rPr>
      <w:instrText xml:space="preserve"> PAGE </w:instrText>
    </w:r>
    <w:r w:rsidRPr="00F91036">
      <w:rPr>
        <w:rStyle w:val="PageNumber"/>
        <w:rFonts w:ascii="Times New Roman" w:hAnsi="Times New Roman" w:cs="Times New Roman"/>
        <w:noProof/>
        <w:sz w:val="20"/>
        <w:szCs w:val="20"/>
        <w:lang w:val="en-US"/>
      </w:rPr>
      <w:fldChar w:fldCharType="separate"/>
    </w:r>
    <w:r w:rsidRPr="00F91036">
      <w:rPr>
        <w:rStyle w:val="PageNumber"/>
        <w:rFonts w:ascii="Times New Roman" w:hAnsi="Times New Roman" w:cs="Times New Roman"/>
        <w:noProof/>
        <w:sz w:val="20"/>
        <w:szCs w:val="20"/>
        <w:lang w:val="en-US"/>
      </w:rPr>
      <w:t>2</w:t>
    </w:r>
    <w:r w:rsidRPr="00F91036">
      <w:rPr>
        <w:rStyle w:val="PageNumber"/>
        <w:rFonts w:ascii="Times New Roman" w:hAnsi="Times New Roman" w:cs="Times New Roman"/>
        <w:noProof/>
        <w:sz w:val="20"/>
        <w:szCs w:val="20"/>
        <w:lang w:val="en-US"/>
      </w:rPr>
      <w:fldChar w:fldCharType="end"/>
    </w:r>
    <w:r w:rsidRPr="00F91036">
      <w:rPr>
        <w:rStyle w:val="PageNumber"/>
        <w:rFonts w:ascii="Times New Roman" w:hAnsi="Times New Roman" w:cs="Times New Roman"/>
        <w:noProof/>
        <w:sz w:val="20"/>
        <w:szCs w:val="20"/>
        <w:lang w:val="en-US"/>
      </w:rPr>
      <w:t xml:space="preserve"> </w:t>
    </w:r>
  </w:p>
  <w:p w14:paraId="5A4F6C77" w14:textId="30248BBC" w:rsidR="00201C9A" w:rsidRPr="00F91036" w:rsidRDefault="00465651">
    <w:pPr>
      <w:pStyle w:val="Footer"/>
      <w:rPr>
        <w:rFonts w:ascii="Times New Roman" w:hAnsi="Times New Roman" w:cs="Times New Roman"/>
        <w:noProof/>
        <w:sz w:val="20"/>
        <w:szCs w:val="20"/>
        <w:lang w:val="en-US"/>
      </w:rPr>
    </w:pPr>
    <w:r w:rsidRPr="00F91036">
      <w:rPr>
        <w:rFonts w:ascii="Times New Roman" w:hAnsi="Times New Roman" w:cs="Times New Roman"/>
        <w:noProof/>
        <w:sz w:val="20"/>
        <w:szCs w:val="20"/>
        <w:lang w:val="en-US"/>
      </w:rPr>
      <w:t xml:space="preserve">Translation </w:t>
    </w:r>
    <w:r w:rsidRPr="00F91036">
      <w:rPr>
        <w:rFonts w:ascii="Times New Roman" w:hAnsi="Times New Roman" w:cs="Times New Roman"/>
        <w:noProof/>
        <w:sz w:val="20"/>
        <w:szCs w:val="20"/>
        <w:lang w:val="en-US"/>
      </w:rPr>
      <w:fldChar w:fldCharType="begin"/>
    </w:r>
    <w:r w:rsidRPr="00F91036">
      <w:rPr>
        <w:rFonts w:ascii="Times New Roman" w:hAnsi="Times New Roman" w:cs="Times New Roman"/>
        <w:noProof/>
        <w:sz w:val="20"/>
        <w:szCs w:val="20"/>
        <w:lang w:val="en-US"/>
      </w:rPr>
      <w:instrText>symbol 169 \f "UnivrstyRoman TL" \s 8</w:instrText>
    </w:r>
    <w:r w:rsidRPr="00F91036">
      <w:rPr>
        <w:rFonts w:ascii="Times New Roman" w:hAnsi="Times New Roman" w:cs="Times New Roman"/>
        <w:noProof/>
        <w:sz w:val="20"/>
        <w:szCs w:val="20"/>
        <w:lang w:val="en-US"/>
      </w:rPr>
      <w:fldChar w:fldCharType="separate"/>
    </w:r>
    <w:r w:rsidRPr="00F91036">
      <w:rPr>
        <w:rFonts w:ascii="Times New Roman" w:hAnsi="Times New Roman" w:cs="Times New Roman"/>
        <w:noProof/>
        <w:sz w:val="20"/>
        <w:szCs w:val="20"/>
        <w:lang w:val="en-US"/>
      </w:rPr>
      <w:t>©</w:t>
    </w:r>
    <w:r w:rsidRPr="00F91036">
      <w:rPr>
        <w:rFonts w:ascii="Times New Roman" w:hAnsi="Times New Roman" w:cs="Times New Roman"/>
        <w:noProof/>
        <w:sz w:val="20"/>
        <w:szCs w:val="20"/>
        <w:lang w:val="en-US"/>
      </w:rPr>
      <w:fldChar w:fldCharType="end"/>
    </w:r>
    <w:r w:rsidRPr="00F91036">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D5A9" w14:textId="77777777" w:rsidR="00482E5F" w:rsidRPr="00F91036" w:rsidRDefault="00482E5F" w:rsidP="00482E5F">
    <w:pPr>
      <w:pStyle w:val="Footer"/>
      <w:rPr>
        <w:rFonts w:ascii="Times New Roman" w:hAnsi="Times New Roman" w:cs="Times New Roman"/>
        <w:noProof/>
        <w:sz w:val="20"/>
        <w:szCs w:val="20"/>
        <w:vertAlign w:val="superscript"/>
        <w:lang w:val="en-US"/>
      </w:rPr>
    </w:pPr>
    <w:bookmarkStart w:id="122" w:name="_Hlk4057576"/>
    <w:bookmarkStart w:id="123" w:name="_Hlk4057577"/>
  </w:p>
  <w:p w14:paraId="6A0F80F8" w14:textId="77777777" w:rsidR="00482E5F" w:rsidRPr="00F91036" w:rsidRDefault="00482E5F" w:rsidP="00482E5F">
    <w:pPr>
      <w:pStyle w:val="Footer"/>
      <w:rPr>
        <w:rFonts w:ascii="Times New Roman" w:hAnsi="Times New Roman" w:cs="Times New Roman"/>
        <w:noProof/>
        <w:sz w:val="20"/>
        <w:szCs w:val="20"/>
        <w:lang w:val="en-US"/>
      </w:rPr>
    </w:pPr>
    <w:r w:rsidRPr="00F91036">
      <w:rPr>
        <w:rFonts w:ascii="Times New Roman" w:hAnsi="Times New Roman" w:cs="Times New Roman"/>
        <w:noProof/>
        <w:sz w:val="20"/>
        <w:szCs w:val="20"/>
        <w:vertAlign w:val="superscript"/>
        <w:lang w:val="en-US"/>
      </w:rPr>
      <w:t xml:space="preserve">1 </w:t>
    </w:r>
    <w:r w:rsidRPr="00F91036">
      <w:rPr>
        <w:rFonts w:ascii="Times New Roman" w:hAnsi="Times New Roman" w:cs="Times New Roman"/>
        <w:noProof/>
        <w:sz w:val="20"/>
        <w:szCs w:val="20"/>
        <w:lang w:val="en-US"/>
      </w:rPr>
      <w:t>The Parliament of the Republic of Latvia</w:t>
    </w:r>
  </w:p>
  <w:p w14:paraId="6FD39C5B" w14:textId="77777777" w:rsidR="00482E5F" w:rsidRPr="00F91036" w:rsidRDefault="00482E5F" w:rsidP="00482E5F">
    <w:pPr>
      <w:pStyle w:val="Footer"/>
      <w:rPr>
        <w:rFonts w:ascii="Times New Roman" w:hAnsi="Times New Roman" w:cs="Times New Roman"/>
        <w:noProof/>
        <w:sz w:val="20"/>
        <w:szCs w:val="20"/>
        <w:lang w:val="en-US"/>
      </w:rPr>
    </w:pPr>
  </w:p>
  <w:p w14:paraId="4E6A546D" w14:textId="2E44CCF1" w:rsidR="00201C9A" w:rsidRPr="00F91036" w:rsidRDefault="00482E5F">
    <w:pPr>
      <w:pStyle w:val="Footer"/>
      <w:rPr>
        <w:rFonts w:ascii="Times New Roman" w:hAnsi="Times New Roman" w:cs="Times New Roman"/>
        <w:noProof/>
        <w:sz w:val="20"/>
        <w:szCs w:val="20"/>
        <w:lang w:val="en-US"/>
      </w:rPr>
    </w:pPr>
    <w:r w:rsidRPr="00F91036">
      <w:rPr>
        <w:rFonts w:ascii="Times New Roman" w:hAnsi="Times New Roman" w:cs="Times New Roman"/>
        <w:noProof/>
        <w:sz w:val="20"/>
        <w:szCs w:val="20"/>
        <w:lang w:val="en-US"/>
      </w:rPr>
      <w:t xml:space="preserve">Translation </w:t>
    </w:r>
    <w:r w:rsidRPr="00F91036">
      <w:rPr>
        <w:rFonts w:ascii="Times New Roman" w:hAnsi="Times New Roman" w:cs="Times New Roman"/>
        <w:noProof/>
        <w:sz w:val="20"/>
        <w:szCs w:val="20"/>
        <w:lang w:val="en-US"/>
      </w:rPr>
      <w:fldChar w:fldCharType="begin"/>
    </w:r>
    <w:r w:rsidRPr="00F91036">
      <w:rPr>
        <w:rFonts w:ascii="Times New Roman" w:hAnsi="Times New Roman" w:cs="Times New Roman"/>
        <w:noProof/>
        <w:sz w:val="20"/>
        <w:szCs w:val="20"/>
        <w:lang w:val="en-US"/>
      </w:rPr>
      <w:instrText>symbol 169 \f "UnivrstyRoman TL" \s 8</w:instrText>
    </w:r>
    <w:r w:rsidRPr="00F91036">
      <w:rPr>
        <w:rFonts w:ascii="Times New Roman" w:hAnsi="Times New Roman" w:cs="Times New Roman"/>
        <w:noProof/>
        <w:sz w:val="20"/>
        <w:szCs w:val="20"/>
        <w:lang w:val="en-US"/>
      </w:rPr>
      <w:fldChar w:fldCharType="separate"/>
    </w:r>
    <w:r w:rsidRPr="00F91036">
      <w:rPr>
        <w:rFonts w:ascii="Times New Roman" w:hAnsi="Times New Roman" w:cs="Times New Roman"/>
        <w:noProof/>
        <w:sz w:val="20"/>
        <w:szCs w:val="20"/>
        <w:lang w:val="en-US"/>
      </w:rPr>
      <w:t>©</w:t>
    </w:r>
    <w:r w:rsidRPr="00F91036">
      <w:rPr>
        <w:rFonts w:ascii="Times New Roman" w:hAnsi="Times New Roman" w:cs="Times New Roman"/>
        <w:noProof/>
        <w:sz w:val="20"/>
        <w:szCs w:val="20"/>
        <w:lang w:val="en-US"/>
      </w:rPr>
      <w:fldChar w:fldCharType="end"/>
    </w:r>
    <w:r w:rsidRPr="00F91036">
      <w:rPr>
        <w:rFonts w:ascii="Times New Roman" w:hAnsi="Times New Roman" w:cs="Times New Roman"/>
        <w:noProof/>
        <w:sz w:val="20"/>
        <w:szCs w:val="20"/>
        <w:lang w:val="en-US"/>
      </w:rPr>
      <w:t xml:space="preserve"> 2022 Valsts valodas centrs (State Language Centre)</w:t>
    </w:r>
    <w:bookmarkEnd w:id="122"/>
    <w:bookmarkEnd w:id="1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5548" w14:textId="77777777" w:rsidR="000706B4" w:rsidRPr="00F91036" w:rsidRDefault="000706B4" w:rsidP="00201C9A">
      <w:pPr>
        <w:spacing w:after="0" w:line="240" w:lineRule="auto"/>
        <w:rPr>
          <w:noProof/>
          <w:lang w:val="en-US"/>
        </w:rPr>
      </w:pPr>
      <w:r w:rsidRPr="00F91036">
        <w:rPr>
          <w:noProof/>
          <w:lang w:val="en-US"/>
        </w:rPr>
        <w:separator/>
      </w:r>
    </w:p>
  </w:footnote>
  <w:footnote w:type="continuationSeparator" w:id="0">
    <w:p w14:paraId="4CC7670B" w14:textId="77777777" w:rsidR="000706B4" w:rsidRPr="00F91036" w:rsidRDefault="000706B4" w:rsidP="00201C9A">
      <w:pPr>
        <w:spacing w:after="0" w:line="240" w:lineRule="auto"/>
        <w:rPr>
          <w:noProof/>
          <w:lang w:val="en-US"/>
        </w:rPr>
      </w:pPr>
      <w:r w:rsidRPr="00F9103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EC4C" w14:textId="77777777" w:rsidR="00F91036" w:rsidRDefault="00F91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18B2" w14:textId="77777777" w:rsidR="00F91036" w:rsidRDefault="00F91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04F7" w14:textId="77777777" w:rsidR="00F91036" w:rsidRDefault="00F91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revisionView w:markup="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C5"/>
    <w:rsid w:val="00067BCC"/>
    <w:rsid w:val="000706B4"/>
    <w:rsid w:val="0009753A"/>
    <w:rsid w:val="000C43C4"/>
    <w:rsid w:val="001575C2"/>
    <w:rsid w:val="00195ECB"/>
    <w:rsid w:val="00201C9A"/>
    <w:rsid w:val="002219FE"/>
    <w:rsid w:val="0026443F"/>
    <w:rsid w:val="002661C7"/>
    <w:rsid w:val="00270408"/>
    <w:rsid w:val="0027210A"/>
    <w:rsid w:val="0028797C"/>
    <w:rsid w:val="002A7297"/>
    <w:rsid w:val="002C516A"/>
    <w:rsid w:val="002C638A"/>
    <w:rsid w:val="003103A2"/>
    <w:rsid w:val="00375E01"/>
    <w:rsid w:val="003876D4"/>
    <w:rsid w:val="003D203D"/>
    <w:rsid w:val="00400BCF"/>
    <w:rsid w:val="00432ED6"/>
    <w:rsid w:val="00441585"/>
    <w:rsid w:val="00465651"/>
    <w:rsid w:val="004752AF"/>
    <w:rsid w:val="00482E5F"/>
    <w:rsid w:val="00487055"/>
    <w:rsid w:val="00497AB1"/>
    <w:rsid w:val="004F590E"/>
    <w:rsid w:val="00545468"/>
    <w:rsid w:val="00584E59"/>
    <w:rsid w:val="005B69B0"/>
    <w:rsid w:val="005C20C2"/>
    <w:rsid w:val="005E5340"/>
    <w:rsid w:val="00683097"/>
    <w:rsid w:val="00704D90"/>
    <w:rsid w:val="007053C5"/>
    <w:rsid w:val="00722A19"/>
    <w:rsid w:val="007656C3"/>
    <w:rsid w:val="00786ED2"/>
    <w:rsid w:val="00803BC8"/>
    <w:rsid w:val="0088271F"/>
    <w:rsid w:val="008D190D"/>
    <w:rsid w:val="008E415E"/>
    <w:rsid w:val="009237B6"/>
    <w:rsid w:val="00992BF2"/>
    <w:rsid w:val="009C74D9"/>
    <w:rsid w:val="00A168FF"/>
    <w:rsid w:val="00A46653"/>
    <w:rsid w:val="00A62C46"/>
    <w:rsid w:val="00AD0DC3"/>
    <w:rsid w:val="00B0789E"/>
    <w:rsid w:val="00B20D9B"/>
    <w:rsid w:val="00B2133F"/>
    <w:rsid w:val="00B2729C"/>
    <w:rsid w:val="00B46218"/>
    <w:rsid w:val="00B75854"/>
    <w:rsid w:val="00B864DB"/>
    <w:rsid w:val="00BC3F7D"/>
    <w:rsid w:val="00BC5F71"/>
    <w:rsid w:val="00BC6935"/>
    <w:rsid w:val="00BD5A0D"/>
    <w:rsid w:val="00BF3FEC"/>
    <w:rsid w:val="00C12952"/>
    <w:rsid w:val="00C847E2"/>
    <w:rsid w:val="00CA08FC"/>
    <w:rsid w:val="00D20143"/>
    <w:rsid w:val="00D42A10"/>
    <w:rsid w:val="00DE0976"/>
    <w:rsid w:val="00E05C3F"/>
    <w:rsid w:val="00E21AC4"/>
    <w:rsid w:val="00E5215A"/>
    <w:rsid w:val="00E65F4C"/>
    <w:rsid w:val="00E85B86"/>
    <w:rsid w:val="00F317A3"/>
    <w:rsid w:val="00F35607"/>
    <w:rsid w:val="00F440B7"/>
    <w:rsid w:val="00F67C91"/>
    <w:rsid w:val="00F717A5"/>
    <w:rsid w:val="00F910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A6D9"/>
  <w15:chartTrackingRefBased/>
  <w15:docId w15:val="{C93F8DA2-A4DB-46E3-93F1-D7220A8A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01C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01C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01C9A"/>
  </w:style>
  <w:style w:type="character" w:styleId="Hyperlink">
    <w:name w:val="Hyperlink"/>
    <w:basedOn w:val="DefaultParagraphFont"/>
    <w:uiPriority w:val="99"/>
    <w:semiHidden/>
    <w:unhideWhenUsed/>
    <w:rsid w:val="00201C9A"/>
    <w:rPr>
      <w:color w:val="0000FF"/>
      <w:u w:val="single"/>
    </w:rPr>
  </w:style>
  <w:style w:type="character" w:styleId="FollowedHyperlink">
    <w:name w:val="FollowedHyperlink"/>
    <w:basedOn w:val="DefaultParagraphFont"/>
    <w:uiPriority w:val="99"/>
    <w:semiHidden/>
    <w:unhideWhenUsed/>
    <w:rsid w:val="00201C9A"/>
    <w:rPr>
      <w:color w:val="800080"/>
      <w:u w:val="single"/>
    </w:rPr>
  </w:style>
  <w:style w:type="paragraph" w:customStyle="1" w:styleId="labojumupamats">
    <w:name w:val="labojumu_pamats"/>
    <w:basedOn w:val="Normal"/>
    <w:rsid w:val="00201C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01C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01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C9A"/>
  </w:style>
  <w:style w:type="paragraph" w:styleId="Footer">
    <w:name w:val="footer"/>
    <w:basedOn w:val="Normal"/>
    <w:link w:val="FooterChar"/>
    <w:unhideWhenUsed/>
    <w:rsid w:val="00201C9A"/>
    <w:pPr>
      <w:tabs>
        <w:tab w:val="center" w:pos="4513"/>
        <w:tab w:val="right" w:pos="9026"/>
      </w:tabs>
      <w:spacing w:after="0" w:line="240" w:lineRule="auto"/>
    </w:pPr>
  </w:style>
  <w:style w:type="character" w:customStyle="1" w:styleId="FooterChar">
    <w:name w:val="Footer Char"/>
    <w:basedOn w:val="DefaultParagraphFont"/>
    <w:link w:val="Footer"/>
    <w:rsid w:val="00201C9A"/>
  </w:style>
  <w:style w:type="paragraph" w:styleId="ListParagraph">
    <w:name w:val="List Paragraph"/>
    <w:basedOn w:val="Normal"/>
    <w:uiPriority w:val="34"/>
    <w:qFormat/>
    <w:rsid w:val="00803BC8"/>
    <w:pPr>
      <w:ind w:left="720"/>
      <w:contextualSpacing/>
    </w:pPr>
  </w:style>
  <w:style w:type="character" w:styleId="PageNumber">
    <w:name w:val="page number"/>
    <w:basedOn w:val="DefaultParagraphFont"/>
    <w:rsid w:val="00465651"/>
  </w:style>
  <w:style w:type="table" w:styleId="TableGrid">
    <w:name w:val="Table Grid"/>
    <w:basedOn w:val="TableNormal"/>
    <w:uiPriority w:val="39"/>
    <w:rsid w:val="0072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60556">
      <w:bodyDiv w:val="1"/>
      <w:marLeft w:val="0"/>
      <w:marRight w:val="0"/>
      <w:marTop w:val="0"/>
      <w:marBottom w:val="0"/>
      <w:divBdr>
        <w:top w:val="none" w:sz="0" w:space="0" w:color="auto"/>
        <w:left w:val="none" w:sz="0" w:space="0" w:color="auto"/>
        <w:bottom w:val="none" w:sz="0" w:space="0" w:color="auto"/>
        <w:right w:val="none" w:sz="0" w:space="0" w:color="auto"/>
      </w:divBdr>
      <w:divsChild>
        <w:div w:id="1177110231">
          <w:marLeft w:val="0"/>
          <w:marRight w:val="0"/>
          <w:marTop w:val="0"/>
          <w:marBottom w:val="0"/>
          <w:divBdr>
            <w:top w:val="none" w:sz="0" w:space="0" w:color="auto"/>
            <w:left w:val="none" w:sz="0" w:space="0" w:color="auto"/>
            <w:bottom w:val="none" w:sz="0" w:space="0" w:color="auto"/>
            <w:right w:val="none" w:sz="0" w:space="0" w:color="auto"/>
          </w:divBdr>
        </w:div>
        <w:div w:id="1260871203">
          <w:marLeft w:val="0"/>
          <w:marRight w:val="0"/>
          <w:marTop w:val="0"/>
          <w:marBottom w:val="0"/>
          <w:divBdr>
            <w:top w:val="none" w:sz="0" w:space="0" w:color="auto"/>
            <w:left w:val="none" w:sz="0" w:space="0" w:color="auto"/>
            <w:bottom w:val="none" w:sz="0" w:space="0" w:color="auto"/>
            <w:right w:val="none" w:sz="0" w:space="0" w:color="auto"/>
          </w:divBdr>
        </w:div>
        <w:div w:id="118302944">
          <w:marLeft w:val="0"/>
          <w:marRight w:val="0"/>
          <w:marTop w:val="0"/>
          <w:marBottom w:val="0"/>
          <w:divBdr>
            <w:top w:val="none" w:sz="0" w:space="0" w:color="auto"/>
            <w:left w:val="none" w:sz="0" w:space="0" w:color="auto"/>
            <w:bottom w:val="none" w:sz="0" w:space="0" w:color="auto"/>
            <w:right w:val="none" w:sz="0" w:space="0" w:color="auto"/>
          </w:divBdr>
        </w:div>
        <w:div w:id="900217143">
          <w:marLeft w:val="0"/>
          <w:marRight w:val="0"/>
          <w:marTop w:val="0"/>
          <w:marBottom w:val="0"/>
          <w:divBdr>
            <w:top w:val="none" w:sz="0" w:space="0" w:color="auto"/>
            <w:left w:val="none" w:sz="0" w:space="0" w:color="auto"/>
            <w:bottom w:val="none" w:sz="0" w:space="0" w:color="auto"/>
            <w:right w:val="none" w:sz="0" w:space="0" w:color="auto"/>
          </w:divBdr>
        </w:div>
        <w:div w:id="2147161587">
          <w:marLeft w:val="0"/>
          <w:marRight w:val="0"/>
          <w:marTop w:val="0"/>
          <w:marBottom w:val="0"/>
          <w:divBdr>
            <w:top w:val="none" w:sz="0" w:space="0" w:color="auto"/>
            <w:left w:val="none" w:sz="0" w:space="0" w:color="auto"/>
            <w:bottom w:val="none" w:sz="0" w:space="0" w:color="auto"/>
            <w:right w:val="none" w:sz="0" w:space="0" w:color="auto"/>
          </w:divBdr>
        </w:div>
        <w:div w:id="643896776">
          <w:marLeft w:val="0"/>
          <w:marRight w:val="0"/>
          <w:marTop w:val="0"/>
          <w:marBottom w:val="0"/>
          <w:divBdr>
            <w:top w:val="none" w:sz="0" w:space="0" w:color="auto"/>
            <w:left w:val="none" w:sz="0" w:space="0" w:color="auto"/>
            <w:bottom w:val="none" w:sz="0" w:space="0" w:color="auto"/>
            <w:right w:val="none" w:sz="0" w:space="0" w:color="auto"/>
          </w:divBdr>
        </w:div>
        <w:div w:id="773666966">
          <w:marLeft w:val="0"/>
          <w:marRight w:val="0"/>
          <w:marTop w:val="0"/>
          <w:marBottom w:val="0"/>
          <w:divBdr>
            <w:top w:val="none" w:sz="0" w:space="0" w:color="auto"/>
            <w:left w:val="none" w:sz="0" w:space="0" w:color="auto"/>
            <w:bottom w:val="none" w:sz="0" w:space="0" w:color="auto"/>
            <w:right w:val="none" w:sz="0" w:space="0" w:color="auto"/>
          </w:divBdr>
        </w:div>
        <w:div w:id="2106805364">
          <w:marLeft w:val="0"/>
          <w:marRight w:val="0"/>
          <w:marTop w:val="0"/>
          <w:marBottom w:val="0"/>
          <w:divBdr>
            <w:top w:val="none" w:sz="0" w:space="0" w:color="auto"/>
            <w:left w:val="none" w:sz="0" w:space="0" w:color="auto"/>
            <w:bottom w:val="none" w:sz="0" w:space="0" w:color="auto"/>
            <w:right w:val="none" w:sz="0" w:space="0" w:color="auto"/>
          </w:divBdr>
        </w:div>
        <w:div w:id="392850421">
          <w:marLeft w:val="0"/>
          <w:marRight w:val="0"/>
          <w:marTop w:val="0"/>
          <w:marBottom w:val="0"/>
          <w:divBdr>
            <w:top w:val="none" w:sz="0" w:space="0" w:color="auto"/>
            <w:left w:val="none" w:sz="0" w:space="0" w:color="auto"/>
            <w:bottom w:val="none" w:sz="0" w:space="0" w:color="auto"/>
            <w:right w:val="none" w:sz="0" w:space="0" w:color="auto"/>
          </w:divBdr>
        </w:div>
        <w:div w:id="1188451070">
          <w:marLeft w:val="0"/>
          <w:marRight w:val="0"/>
          <w:marTop w:val="0"/>
          <w:marBottom w:val="0"/>
          <w:divBdr>
            <w:top w:val="none" w:sz="0" w:space="0" w:color="auto"/>
            <w:left w:val="none" w:sz="0" w:space="0" w:color="auto"/>
            <w:bottom w:val="none" w:sz="0" w:space="0" w:color="auto"/>
            <w:right w:val="none" w:sz="0" w:space="0" w:color="auto"/>
          </w:divBdr>
        </w:div>
        <w:div w:id="2087259977">
          <w:marLeft w:val="0"/>
          <w:marRight w:val="0"/>
          <w:marTop w:val="0"/>
          <w:marBottom w:val="0"/>
          <w:divBdr>
            <w:top w:val="none" w:sz="0" w:space="0" w:color="auto"/>
            <w:left w:val="none" w:sz="0" w:space="0" w:color="auto"/>
            <w:bottom w:val="none" w:sz="0" w:space="0" w:color="auto"/>
            <w:right w:val="none" w:sz="0" w:space="0" w:color="auto"/>
          </w:divBdr>
        </w:div>
        <w:div w:id="7372635">
          <w:marLeft w:val="0"/>
          <w:marRight w:val="0"/>
          <w:marTop w:val="0"/>
          <w:marBottom w:val="0"/>
          <w:divBdr>
            <w:top w:val="none" w:sz="0" w:space="0" w:color="auto"/>
            <w:left w:val="none" w:sz="0" w:space="0" w:color="auto"/>
            <w:bottom w:val="none" w:sz="0" w:space="0" w:color="auto"/>
            <w:right w:val="none" w:sz="0" w:space="0" w:color="auto"/>
          </w:divBdr>
        </w:div>
        <w:div w:id="1850876430">
          <w:marLeft w:val="0"/>
          <w:marRight w:val="0"/>
          <w:marTop w:val="0"/>
          <w:marBottom w:val="0"/>
          <w:divBdr>
            <w:top w:val="none" w:sz="0" w:space="0" w:color="auto"/>
            <w:left w:val="none" w:sz="0" w:space="0" w:color="auto"/>
            <w:bottom w:val="none" w:sz="0" w:space="0" w:color="auto"/>
            <w:right w:val="none" w:sz="0" w:space="0" w:color="auto"/>
          </w:divBdr>
        </w:div>
        <w:div w:id="165168549">
          <w:marLeft w:val="0"/>
          <w:marRight w:val="0"/>
          <w:marTop w:val="0"/>
          <w:marBottom w:val="0"/>
          <w:divBdr>
            <w:top w:val="none" w:sz="0" w:space="0" w:color="auto"/>
            <w:left w:val="none" w:sz="0" w:space="0" w:color="auto"/>
            <w:bottom w:val="none" w:sz="0" w:space="0" w:color="auto"/>
            <w:right w:val="none" w:sz="0" w:space="0" w:color="auto"/>
          </w:divBdr>
        </w:div>
        <w:div w:id="1493061068">
          <w:marLeft w:val="0"/>
          <w:marRight w:val="0"/>
          <w:marTop w:val="0"/>
          <w:marBottom w:val="0"/>
          <w:divBdr>
            <w:top w:val="none" w:sz="0" w:space="0" w:color="auto"/>
            <w:left w:val="none" w:sz="0" w:space="0" w:color="auto"/>
            <w:bottom w:val="none" w:sz="0" w:space="0" w:color="auto"/>
            <w:right w:val="none" w:sz="0" w:space="0" w:color="auto"/>
          </w:divBdr>
        </w:div>
        <w:div w:id="681663409">
          <w:marLeft w:val="0"/>
          <w:marRight w:val="0"/>
          <w:marTop w:val="0"/>
          <w:marBottom w:val="0"/>
          <w:divBdr>
            <w:top w:val="none" w:sz="0" w:space="0" w:color="auto"/>
            <w:left w:val="none" w:sz="0" w:space="0" w:color="auto"/>
            <w:bottom w:val="none" w:sz="0" w:space="0" w:color="auto"/>
            <w:right w:val="none" w:sz="0" w:space="0" w:color="auto"/>
          </w:divBdr>
        </w:div>
        <w:div w:id="1259829928">
          <w:marLeft w:val="0"/>
          <w:marRight w:val="0"/>
          <w:marTop w:val="0"/>
          <w:marBottom w:val="0"/>
          <w:divBdr>
            <w:top w:val="none" w:sz="0" w:space="0" w:color="auto"/>
            <w:left w:val="none" w:sz="0" w:space="0" w:color="auto"/>
            <w:bottom w:val="none" w:sz="0" w:space="0" w:color="auto"/>
            <w:right w:val="none" w:sz="0" w:space="0" w:color="auto"/>
          </w:divBdr>
        </w:div>
        <w:div w:id="980767283">
          <w:marLeft w:val="0"/>
          <w:marRight w:val="0"/>
          <w:marTop w:val="0"/>
          <w:marBottom w:val="0"/>
          <w:divBdr>
            <w:top w:val="none" w:sz="0" w:space="0" w:color="auto"/>
            <w:left w:val="none" w:sz="0" w:space="0" w:color="auto"/>
            <w:bottom w:val="none" w:sz="0" w:space="0" w:color="auto"/>
            <w:right w:val="none" w:sz="0" w:space="0" w:color="auto"/>
          </w:divBdr>
        </w:div>
        <w:div w:id="16080047">
          <w:marLeft w:val="0"/>
          <w:marRight w:val="0"/>
          <w:marTop w:val="0"/>
          <w:marBottom w:val="0"/>
          <w:divBdr>
            <w:top w:val="none" w:sz="0" w:space="0" w:color="auto"/>
            <w:left w:val="none" w:sz="0" w:space="0" w:color="auto"/>
            <w:bottom w:val="none" w:sz="0" w:space="0" w:color="auto"/>
            <w:right w:val="none" w:sz="0" w:space="0" w:color="auto"/>
          </w:divBdr>
        </w:div>
        <w:div w:id="1104377930">
          <w:marLeft w:val="0"/>
          <w:marRight w:val="0"/>
          <w:marTop w:val="0"/>
          <w:marBottom w:val="0"/>
          <w:divBdr>
            <w:top w:val="none" w:sz="0" w:space="0" w:color="auto"/>
            <w:left w:val="none" w:sz="0" w:space="0" w:color="auto"/>
            <w:bottom w:val="none" w:sz="0" w:space="0" w:color="auto"/>
            <w:right w:val="none" w:sz="0" w:space="0" w:color="auto"/>
          </w:divBdr>
        </w:div>
        <w:div w:id="1652900110">
          <w:marLeft w:val="0"/>
          <w:marRight w:val="0"/>
          <w:marTop w:val="0"/>
          <w:marBottom w:val="0"/>
          <w:divBdr>
            <w:top w:val="none" w:sz="0" w:space="0" w:color="auto"/>
            <w:left w:val="none" w:sz="0" w:space="0" w:color="auto"/>
            <w:bottom w:val="none" w:sz="0" w:space="0" w:color="auto"/>
            <w:right w:val="none" w:sz="0" w:space="0" w:color="auto"/>
          </w:divBdr>
        </w:div>
        <w:div w:id="1594781105">
          <w:marLeft w:val="0"/>
          <w:marRight w:val="0"/>
          <w:marTop w:val="0"/>
          <w:marBottom w:val="0"/>
          <w:divBdr>
            <w:top w:val="none" w:sz="0" w:space="0" w:color="auto"/>
            <w:left w:val="none" w:sz="0" w:space="0" w:color="auto"/>
            <w:bottom w:val="none" w:sz="0" w:space="0" w:color="auto"/>
            <w:right w:val="none" w:sz="0" w:space="0" w:color="auto"/>
          </w:divBdr>
        </w:div>
        <w:div w:id="1018893195">
          <w:marLeft w:val="0"/>
          <w:marRight w:val="0"/>
          <w:marTop w:val="0"/>
          <w:marBottom w:val="0"/>
          <w:divBdr>
            <w:top w:val="none" w:sz="0" w:space="0" w:color="auto"/>
            <w:left w:val="none" w:sz="0" w:space="0" w:color="auto"/>
            <w:bottom w:val="none" w:sz="0" w:space="0" w:color="auto"/>
            <w:right w:val="none" w:sz="0" w:space="0" w:color="auto"/>
          </w:divBdr>
        </w:div>
        <w:div w:id="1530416097">
          <w:marLeft w:val="0"/>
          <w:marRight w:val="0"/>
          <w:marTop w:val="0"/>
          <w:marBottom w:val="0"/>
          <w:divBdr>
            <w:top w:val="none" w:sz="0" w:space="0" w:color="auto"/>
            <w:left w:val="none" w:sz="0" w:space="0" w:color="auto"/>
            <w:bottom w:val="none" w:sz="0" w:space="0" w:color="auto"/>
            <w:right w:val="none" w:sz="0" w:space="0" w:color="auto"/>
          </w:divBdr>
        </w:div>
        <w:div w:id="93325780">
          <w:marLeft w:val="0"/>
          <w:marRight w:val="0"/>
          <w:marTop w:val="0"/>
          <w:marBottom w:val="0"/>
          <w:divBdr>
            <w:top w:val="none" w:sz="0" w:space="0" w:color="auto"/>
            <w:left w:val="none" w:sz="0" w:space="0" w:color="auto"/>
            <w:bottom w:val="none" w:sz="0" w:space="0" w:color="auto"/>
            <w:right w:val="none" w:sz="0" w:space="0" w:color="auto"/>
          </w:divBdr>
        </w:div>
        <w:div w:id="253364027">
          <w:marLeft w:val="0"/>
          <w:marRight w:val="0"/>
          <w:marTop w:val="0"/>
          <w:marBottom w:val="0"/>
          <w:divBdr>
            <w:top w:val="none" w:sz="0" w:space="0" w:color="auto"/>
            <w:left w:val="none" w:sz="0" w:space="0" w:color="auto"/>
            <w:bottom w:val="none" w:sz="0" w:space="0" w:color="auto"/>
            <w:right w:val="none" w:sz="0" w:space="0" w:color="auto"/>
          </w:divBdr>
        </w:div>
        <w:div w:id="1861774472">
          <w:marLeft w:val="0"/>
          <w:marRight w:val="0"/>
          <w:marTop w:val="0"/>
          <w:marBottom w:val="0"/>
          <w:divBdr>
            <w:top w:val="none" w:sz="0" w:space="0" w:color="auto"/>
            <w:left w:val="none" w:sz="0" w:space="0" w:color="auto"/>
            <w:bottom w:val="none" w:sz="0" w:space="0" w:color="auto"/>
            <w:right w:val="none" w:sz="0" w:space="0" w:color="auto"/>
          </w:divBdr>
        </w:div>
        <w:div w:id="1310405071">
          <w:marLeft w:val="0"/>
          <w:marRight w:val="0"/>
          <w:marTop w:val="0"/>
          <w:marBottom w:val="0"/>
          <w:divBdr>
            <w:top w:val="none" w:sz="0" w:space="0" w:color="auto"/>
            <w:left w:val="none" w:sz="0" w:space="0" w:color="auto"/>
            <w:bottom w:val="none" w:sz="0" w:space="0" w:color="auto"/>
            <w:right w:val="none" w:sz="0" w:space="0" w:color="auto"/>
          </w:divBdr>
        </w:div>
        <w:div w:id="1681547136">
          <w:marLeft w:val="0"/>
          <w:marRight w:val="0"/>
          <w:marTop w:val="0"/>
          <w:marBottom w:val="0"/>
          <w:divBdr>
            <w:top w:val="none" w:sz="0" w:space="0" w:color="auto"/>
            <w:left w:val="none" w:sz="0" w:space="0" w:color="auto"/>
            <w:bottom w:val="none" w:sz="0" w:space="0" w:color="auto"/>
            <w:right w:val="none" w:sz="0" w:space="0" w:color="auto"/>
          </w:divBdr>
        </w:div>
        <w:div w:id="1242830636">
          <w:marLeft w:val="0"/>
          <w:marRight w:val="0"/>
          <w:marTop w:val="0"/>
          <w:marBottom w:val="0"/>
          <w:divBdr>
            <w:top w:val="none" w:sz="0" w:space="0" w:color="auto"/>
            <w:left w:val="none" w:sz="0" w:space="0" w:color="auto"/>
            <w:bottom w:val="none" w:sz="0" w:space="0" w:color="auto"/>
            <w:right w:val="none" w:sz="0" w:space="0" w:color="auto"/>
          </w:divBdr>
        </w:div>
        <w:div w:id="129058420">
          <w:marLeft w:val="0"/>
          <w:marRight w:val="0"/>
          <w:marTop w:val="0"/>
          <w:marBottom w:val="0"/>
          <w:divBdr>
            <w:top w:val="none" w:sz="0" w:space="0" w:color="auto"/>
            <w:left w:val="none" w:sz="0" w:space="0" w:color="auto"/>
            <w:bottom w:val="none" w:sz="0" w:space="0" w:color="auto"/>
            <w:right w:val="none" w:sz="0" w:space="0" w:color="auto"/>
          </w:divBdr>
        </w:div>
        <w:div w:id="1849784778">
          <w:marLeft w:val="0"/>
          <w:marRight w:val="0"/>
          <w:marTop w:val="0"/>
          <w:marBottom w:val="0"/>
          <w:divBdr>
            <w:top w:val="none" w:sz="0" w:space="0" w:color="auto"/>
            <w:left w:val="none" w:sz="0" w:space="0" w:color="auto"/>
            <w:bottom w:val="none" w:sz="0" w:space="0" w:color="auto"/>
            <w:right w:val="none" w:sz="0" w:space="0" w:color="auto"/>
          </w:divBdr>
        </w:div>
        <w:div w:id="1991402541">
          <w:marLeft w:val="0"/>
          <w:marRight w:val="0"/>
          <w:marTop w:val="0"/>
          <w:marBottom w:val="0"/>
          <w:divBdr>
            <w:top w:val="none" w:sz="0" w:space="0" w:color="auto"/>
            <w:left w:val="none" w:sz="0" w:space="0" w:color="auto"/>
            <w:bottom w:val="none" w:sz="0" w:space="0" w:color="auto"/>
            <w:right w:val="none" w:sz="0" w:space="0" w:color="auto"/>
          </w:divBdr>
        </w:div>
        <w:div w:id="731344694">
          <w:marLeft w:val="0"/>
          <w:marRight w:val="0"/>
          <w:marTop w:val="0"/>
          <w:marBottom w:val="0"/>
          <w:divBdr>
            <w:top w:val="none" w:sz="0" w:space="0" w:color="auto"/>
            <w:left w:val="none" w:sz="0" w:space="0" w:color="auto"/>
            <w:bottom w:val="none" w:sz="0" w:space="0" w:color="auto"/>
            <w:right w:val="none" w:sz="0" w:space="0" w:color="auto"/>
          </w:divBdr>
        </w:div>
        <w:div w:id="632490046">
          <w:marLeft w:val="0"/>
          <w:marRight w:val="0"/>
          <w:marTop w:val="0"/>
          <w:marBottom w:val="0"/>
          <w:divBdr>
            <w:top w:val="none" w:sz="0" w:space="0" w:color="auto"/>
            <w:left w:val="none" w:sz="0" w:space="0" w:color="auto"/>
            <w:bottom w:val="none" w:sz="0" w:space="0" w:color="auto"/>
            <w:right w:val="none" w:sz="0" w:space="0" w:color="auto"/>
          </w:divBdr>
        </w:div>
        <w:div w:id="882903632">
          <w:marLeft w:val="0"/>
          <w:marRight w:val="0"/>
          <w:marTop w:val="0"/>
          <w:marBottom w:val="0"/>
          <w:divBdr>
            <w:top w:val="none" w:sz="0" w:space="0" w:color="auto"/>
            <w:left w:val="none" w:sz="0" w:space="0" w:color="auto"/>
            <w:bottom w:val="none" w:sz="0" w:space="0" w:color="auto"/>
            <w:right w:val="none" w:sz="0" w:space="0" w:color="auto"/>
          </w:divBdr>
        </w:div>
        <w:div w:id="749011454">
          <w:marLeft w:val="0"/>
          <w:marRight w:val="0"/>
          <w:marTop w:val="0"/>
          <w:marBottom w:val="0"/>
          <w:divBdr>
            <w:top w:val="none" w:sz="0" w:space="0" w:color="auto"/>
            <w:left w:val="none" w:sz="0" w:space="0" w:color="auto"/>
            <w:bottom w:val="none" w:sz="0" w:space="0" w:color="auto"/>
            <w:right w:val="none" w:sz="0" w:space="0" w:color="auto"/>
          </w:divBdr>
        </w:div>
        <w:div w:id="1814180448">
          <w:marLeft w:val="0"/>
          <w:marRight w:val="0"/>
          <w:marTop w:val="0"/>
          <w:marBottom w:val="0"/>
          <w:divBdr>
            <w:top w:val="none" w:sz="0" w:space="0" w:color="auto"/>
            <w:left w:val="none" w:sz="0" w:space="0" w:color="auto"/>
            <w:bottom w:val="none" w:sz="0" w:space="0" w:color="auto"/>
            <w:right w:val="none" w:sz="0" w:space="0" w:color="auto"/>
          </w:divBdr>
        </w:div>
        <w:div w:id="337081379">
          <w:marLeft w:val="0"/>
          <w:marRight w:val="0"/>
          <w:marTop w:val="0"/>
          <w:marBottom w:val="0"/>
          <w:divBdr>
            <w:top w:val="none" w:sz="0" w:space="0" w:color="auto"/>
            <w:left w:val="none" w:sz="0" w:space="0" w:color="auto"/>
            <w:bottom w:val="none" w:sz="0" w:space="0" w:color="auto"/>
            <w:right w:val="none" w:sz="0" w:space="0" w:color="auto"/>
          </w:divBdr>
        </w:div>
        <w:div w:id="222834704">
          <w:marLeft w:val="0"/>
          <w:marRight w:val="0"/>
          <w:marTop w:val="0"/>
          <w:marBottom w:val="0"/>
          <w:divBdr>
            <w:top w:val="none" w:sz="0" w:space="0" w:color="auto"/>
            <w:left w:val="none" w:sz="0" w:space="0" w:color="auto"/>
            <w:bottom w:val="none" w:sz="0" w:space="0" w:color="auto"/>
            <w:right w:val="none" w:sz="0" w:space="0" w:color="auto"/>
          </w:divBdr>
        </w:div>
        <w:div w:id="1672373697">
          <w:marLeft w:val="0"/>
          <w:marRight w:val="0"/>
          <w:marTop w:val="0"/>
          <w:marBottom w:val="0"/>
          <w:divBdr>
            <w:top w:val="none" w:sz="0" w:space="0" w:color="auto"/>
            <w:left w:val="none" w:sz="0" w:space="0" w:color="auto"/>
            <w:bottom w:val="none" w:sz="0" w:space="0" w:color="auto"/>
            <w:right w:val="none" w:sz="0" w:space="0" w:color="auto"/>
          </w:divBdr>
        </w:div>
        <w:div w:id="1309361387">
          <w:marLeft w:val="0"/>
          <w:marRight w:val="0"/>
          <w:marTop w:val="0"/>
          <w:marBottom w:val="0"/>
          <w:divBdr>
            <w:top w:val="none" w:sz="0" w:space="0" w:color="auto"/>
            <w:left w:val="none" w:sz="0" w:space="0" w:color="auto"/>
            <w:bottom w:val="none" w:sz="0" w:space="0" w:color="auto"/>
            <w:right w:val="none" w:sz="0" w:space="0" w:color="auto"/>
          </w:divBdr>
        </w:div>
        <w:div w:id="2013410666">
          <w:marLeft w:val="0"/>
          <w:marRight w:val="0"/>
          <w:marTop w:val="0"/>
          <w:marBottom w:val="0"/>
          <w:divBdr>
            <w:top w:val="none" w:sz="0" w:space="0" w:color="auto"/>
            <w:left w:val="none" w:sz="0" w:space="0" w:color="auto"/>
            <w:bottom w:val="none" w:sz="0" w:space="0" w:color="auto"/>
            <w:right w:val="none" w:sz="0" w:space="0" w:color="auto"/>
          </w:divBdr>
        </w:div>
        <w:div w:id="1208757732">
          <w:marLeft w:val="0"/>
          <w:marRight w:val="0"/>
          <w:marTop w:val="0"/>
          <w:marBottom w:val="0"/>
          <w:divBdr>
            <w:top w:val="none" w:sz="0" w:space="0" w:color="auto"/>
            <w:left w:val="none" w:sz="0" w:space="0" w:color="auto"/>
            <w:bottom w:val="none" w:sz="0" w:space="0" w:color="auto"/>
            <w:right w:val="none" w:sz="0" w:space="0" w:color="auto"/>
          </w:divBdr>
        </w:div>
        <w:div w:id="227769112">
          <w:marLeft w:val="0"/>
          <w:marRight w:val="0"/>
          <w:marTop w:val="0"/>
          <w:marBottom w:val="0"/>
          <w:divBdr>
            <w:top w:val="none" w:sz="0" w:space="0" w:color="auto"/>
            <w:left w:val="none" w:sz="0" w:space="0" w:color="auto"/>
            <w:bottom w:val="none" w:sz="0" w:space="0" w:color="auto"/>
            <w:right w:val="none" w:sz="0" w:space="0" w:color="auto"/>
          </w:divBdr>
        </w:div>
        <w:div w:id="55668932">
          <w:marLeft w:val="0"/>
          <w:marRight w:val="0"/>
          <w:marTop w:val="0"/>
          <w:marBottom w:val="0"/>
          <w:divBdr>
            <w:top w:val="none" w:sz="0" w:space="0" w:color="auto"/>
            <w:left w:val="none" w:sz="0" w:space="0" w:color="auto"/>
            <w:bottom w:val="none" w:sz="0" w:space="0" w:color="auto"/>
            <w:right w:val="none" w:sz="0" w:space="0" w:color="auto"/>
          </w:divBdr>
        </w:div>
        <w:div w:id="1122269066">
          <w:marLeft w:val="0"/>
          <w:marRight w:val="0"/>
          <w:marTop w:val="0"/>
          <w:marBottom w:val="0"/>
          <w:divBdr>
            <w:top w:val="none" w:sz="0" w:space="0" w:color="auto"/>
            <w:left w:val="none" w:sz="0" w:space="0" w:color="auto"/>
            <w:bottom w:val="none" w:sz="0" w:space="0" w:color="auto"/>
            <w:right w:val="none" w:sz="0" w:space="0" w:color="auto"/>
          </w:divBdr>
        </w:div>
        <w:div w:id="534389400">
          <w:marLeft w:val="0"/>
          <w:marRight w:val="0"/>
          <w:marTop w:val="0"/>
          <w:marBottom w:val="0"/>
          <w:divBdr>
            <w:top w:val="none" w:sz="0" w:space="0" w:color="auto"/>
            <w:left w:val="none" w:sz="0" w:space="0" w:color="auto"/>
            <w:bottom w:val="none" w:sz="0" w:space="0" w:color="auto"/>
            <w:right w:val="none" w:sz="0" w:space="0" w:color="auto"/>
          </w:divBdr>
        </w:div>
        <w:div w:id="929511727">
          <w:marLeft w:val="0"/>
          <w:marRight w:val="0"/>
          <w:marTop w:val="0"/>
          <w:marBottom w:val="0"/>
          <w:divBdr>
            <w:top w:val="none" w:sz="0" w:space="0" w:color="auto"/>
            <w:left w:val="none" w:sz="0" w:space="0" w:color="auto"/>
            <w:bottom w:val="none" w:sz="0" w:space="0" w:color="auto"/>
            <w:right w:val="none" w:sz="0" w:space="0" w:color="auto"/>
          </w:divBdr>
        </w:div>
        <w:div w:id="1529640978">
          <w:marLeft w:val="0"/>
          <w:marRight w:val="0"/>
          <w:marTop w:val="0"/>
          <w:marBottom w:val="0"/>
          <w:divBdr>
            <w:top w:val="none" w:sz="0" w:space="0" w:color="auto"/>
            <w:left w:val="none" w:sz="0" w:space="0" w:color="auto"/>
            <w:bottom w:val="none" w:sz="0" w:space="0" w:color="auto"/>
            <w:right w:val="none" w:sz="0" w:space="0" w:color="auto"/>
          </w:divBdr>
        </w:div>
        <w:div w:id="1926259565">
          <w:marLeft w:val="0"/>
          <w:marRight w:val="0"/>
          <w:marTop w:val="0"/>
          <w:marBottom w:val="0"/>
          <w:divBdr>
            <w:top w:val="none" w:sz="0" w:space="0" w:color="auto"/>
            <w:left w:val="none" w:sz="0" w:space="0" w:color="auto"/>
            <w:bottom w:val="none" w:sz="0" w:space="0" w:color="auto"/>
            <w:right w:val="none" w:sz="0" w:space="0" w:color="auto"/>
          </w:divBdr>
        </w:div>
        <w:div w:id="2033725652">
          <w:marLeft w:val="0"/>
          <w:marRight w:val="0"/>
          <w:marTop w:val="0"/>
          <w:marBottom w:val="0"/>
          <w:divBdr>
            <w:top w:val="none" w:sz="0" w:space="0" w:color="auto"/>
            <w:left w:val="none" w:sz="0" w:space="0" w:color="auto"/>
            <w:bottom w:val="none" w:sz="0" w:space="0" w:color="auto"/>
            <w:right w:val="none" w:sz="0" w:space="0" w:color="auto"/>
          </w:divBdr>
        </w:div>
        <w:div w:id="1579369010">
          <w:marLeft w:val="0"/>
          <w:marRight w:val="0"/>
          <w:marTop w:val="0"/>
          <w:marBottom w:val="0"/>
          <w:divBdr>
            <w:top w:val="none" w:sz="0" w:space="0" w:color="auto"/>
            <w:left w:val="none" w:sz="0" w:space="0" w:color="auto"/>
            <w:bottom w:val="none" w:sz="0" w:space="0" w:color="auto"/>
            <w:right w:val="none" w:sz="0" w:space="0" w:color="auto"/>
          </w:divBdr>
        </w:div>
        <w:div w:id="379667802">
          <w:marLeft w:val="0"/>
          <w:marRight w:val="0"/>
          <w:marTop w:val="0"/>
          <w:marBottom w:val="0"/>
          <w:divBdr>
            <w:top w:val="none" w:sz="0" w:space="0" w:color="auto"/>
            <w:left w:val="none" w:sz="0" w:space="0" w:color="auto"/>
            <w:bottom w:val="none" w:sz="0" w:space="0" w:color="auto"/>
            <w:right w:val="none" w:sz="0" w:space="0" w:color="auto"/>
          </w:divBdr>
        </w:div>
        <w:div w:id="562327417">
          <w:marLeft w:val="0"/>
          <w:marRight w:val="0"/>
          <w:marTop w:val="0"/>
          <w:marBottom w:val="0"/>
          <w:divBdr>
            <w:top w:val="none" w:sz="0" w:space="0" w:color="auto"/>
            <w:left w:val="none" w:sz="0" w:space="0" w:color="auto"/>
            <w:bottom w:val="none" w:sz="0" w:space="0" w:color="auto"/>
            <w:right w:val="none" w:sz="0" w:space="0" w:color="auto"/>
          </w:divBdr>
        </w:div>
        <w:div w:id="741027881">
          <w:marLeft w:val="0"/>
          <w:marRight w:val="0"/>
          <w:marTop w:val="0"/>
          <w:marBottom w:val="0"/>
          <w:divBdr>
            <w:top w:val="none" w:sz="0" w:space="0" w:color="auto"/>
            <w:left w:val="none" w:sz="0" w:space="0" w:color="auto"/>
            <w:bottom w:val="none" w:sz="0" w:space="0" w:color="auto"/>
            <w:right w:val="none" w:sz="0" w:space="0" w:color="auto"/>
          </w:divBdr>
        </w:div>
        <w:div w:id="731198332">
          <w:marLeft w:val="0"/>
          <w:marRight w:val="0"/>
          <w:marTop w:val="0"/>
          <w:marBottom w:val="0"/>
          <w:divBdr>
            <w:top w:val="none" w:sz="0" w:space="0" w:color="auto"/>
            <w:left w:val="none" w:sz="0" w:space="0" w:color="auto"/>
            <w:bottom w:val="none" w:sz="0" w:space="0" w:color="auto"/>
            <w:right w:val="none" w:sz="0" w:space="0" w:color="auto"/>
          </w:divBdr>
        </w:div>
        <w:div w:id="761070171">
          <w:marLeft w:val="0"/>
          <w:marRight w:val="0"/>
          <w:marTop w:val="0"/>
          <w:marBottom w:val="0"/>
          <w:divBdr>
            <w:top w:val="none" w:sz="0" w:space="0" w:color="auto"/>
            <w:left w:val="none" w:sz="0" w:space="0" w:color="auto"/>
            <w:bottom w:val="none" w:sz="0" w:space="0" w:color="auto"/>
            <w:right w:val="none" w:sz="0" w:space="0" w:color="auto"/>
          </w:divBdr>
        </w:div>
        <w:div w:id="1400590280">
          <w:marLeft w:val="0"/>
          <w:marRight w:val="0"/>
          <w:marTop w:val="0"/>
          <w:marBottom w:val="0"/>
          <w:divBdr>
            <w:top w:val="none" w:sz="0" w:space="0" w:color="auto"/>
            <w:left w:val="none" w:sz="0" w:space="0" w:color="auto"/>
            <w:bottom w:val="none" w:sz="0" w:space="0" w:color="auto"/>
            <w:right w:val="none" w:sz="0" w:space="0" w:color="auto"/>
          </w:divBdr>
        </w:div>
        <w:div w:id="1346521844">
          <w:marLeft w:val="0"/>
          <w:marRight w:val="0"/>
          <w:marTop w:val="0"/>
          <w:marBottom w:val="0"/>
          <w:divBdr>
            <w:top w:val="none" w:sz="0" w:space="0" w:color="auto"/>
            <w:left w:val="none" w:sz="0" w:space="0" w:color="auto"/>
            <w:bottom w:val="none" w:sz="0" w:space="0" w:color="auto"/>
            <w:right w:val="none" w:sz="0" w:space="0" w:color="auto"/>
          </w:divBdr>
        </w:div>
        <w:div w:id="2125029714">
          <w:marLeft w:val="0"/>
          <w:marRight w:val="0"/>
          <w:marTop w:val="0"/>
          <w:marBottom w:val="0"/>
          <w:divBdr>
            <w:top w:val="none" w:sz="0" w:space="0" w:color="auto"/>
            <w:left w:val="none" w:sz="0" w:space="0" w:color="auto"/>
            <w:bottom w:val="none" w:sz="0" w:space="0" w:color="auto"/>
            <w:right w:val="none" w:sz="0" w:space="0" w:color="auto"/>
          </w:divBdr>
        </w:div>
        <w:div w:id="1033504805">
          <w:marLeft w:val="0"/>
          <w:marRight w:val="0"/>
          <w:marTop w:val="0"/>
          <w:marBottom w:val="0"/>
          <w:divBdr>
            <w:top w:val="none" w:sz="0" w:space="0" w:color="auto"/>
            <w:left w:val="none" w:sz="0" w:space="0" w:color="auto"/>
            <w:bottom w:val="none" w:sz="0" w:space="0" w:color="auto"/>
            <w:right w:val="none" w:sz="0" w:space="0" w:color="auto"/>
          </w:divBdr>
        </w:div>
        <w:div w:id="113066204">
          <w:marLeft w:val="0"/>
          <w:marRight w:val="0"/>
          <w:marTop w:val="0"/>
          <w:marBottom w:val="0"/>
          <w:divBdr>
            <w:top w:val="none" w:sz="0" w:space="0" w:color="auto"/>
            <w:left w:val="none" w:sz="0" w:space="0" w:color="auto"/>
            <w:bottom w:val="none" w:sz="0" w:space="0" w:color="auto"/>
            <w:right w:val="none" w:sz="0" w:space="0" w:color="auto"/>
          </w:divBdr>
        </w:div>
        <w:div w:id="1258292592">
          <w:marLeft w:val="0"/>
          <w:marRight w:val="0"/>
          <w:marTop w:val="0"/>
          <w:marBottom w:val="0"/>
          <w:divBdr>
            <w:top w:val="none" w:sz="0" w:space="0" w:color="auto"/>
            <w:left w:val="none" w:sz="0" w:space="0" w:color="auto"/>
            <w:bottom w:val="none" w:sz="0" w:space="0" w:color="auto"/>
            <w:right w:val="none" w:sz="0" w:space="0" w:color="auto"/>
          </w:divBdr>
        </w:div>
        <w:div w:id="831532119">
          <w:marLeft w:val="0"/>
          <w:marRight w:val="0"/>
          <w:marTop w:val="0"/>
          <w:marBottom w:val="0"/>
          <w:divBdr>
            <w:top w:val="none" w:sz="0" w:space="0" w:color="auto"/>
            <w:left w:val="none" w:sz="0" w:space="0" w:color="auto"/>
            <w:bottom w:val="none" w:sz="0" w:space="0" w:color="auto"/>
            <w:right w:val="none" w:sz="0" w:space="0" w:color="auto"/>
          </w:divBdr>
        </w:div>
        <w:div w:id="1448885798">
          <w:marLeft w:val="0"/>
          <w:marRight w:val="0"/>
          <w:marTop w:val="0"/>
          <w:marBottom w:val="0"/>
          <w:divBdr>
            <w:top w:val="none" w:sz="0" w:space="0" w:color="auto"/>
            <w:left w:val="none" w:sz="0" w:space="0" w:color="auto"/>
            <w:bottom w:val="none" w:sz="0" w:space="0" w:color="auto"/>
            <w:right w:val="none" w:sz="0" w:space="0" w:color="auto"/>
          </w:divBdr>
        </w:div>
        <w:div w:id="1133451650">
          <w:marLeft w:val="0"/>
          <w:marRight w:val="0"/>
          <w:marTop w:val="0"/>
          <w:marBottom w:val="0"/>
          <w:divBdr>
            <w:top w:val="none" w:sz="0" w:space="0" w:color="auto"/>
            <w:left w:val="none" w:sz="0" w:space="0" w:color="auto"/>
            <w:bottom w:val="none" w:sz="0" w:space="0" w:color="auto"/>
            <w:right w:val="none" w:sz="0" w:space="0" w:color="auto"/>
          </w:divBdr>
        </w:div>
        <w:div w:id="740953167">
          <w:marLeft w:val="0"/>
          <w:marRight w:val="0"/>
          <w:marTop w:val="0"/>
          <w:marBottom w:val="0"/>
          <w:divBdr>
            <w:top w:val="none" w:sz="0" w:space="0" w:color="auto"/>
            <w:left w:val="none" w:sz="0" w:space="0" w:color="auto"/>
            <w:bottom w:val="none" w:sz="0" w:space="0" w:color="auto"/>
            <w:right w:val="none" w:sz="0" w:space="0" w:color="auto"/>
          </w:divBdr>
        </w:div>
        <w:div w:id="109354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9CD8D-61F4-4A52-AFFE-CDA26F520B5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842D0EF7-BA3E-4580-8E79-873F6CDC8439}"/>
</file>

<file path=customXml/itemProps3.xml><?xml version="1.0" encoding="utf-8"?>
<ds:datastoreItem xmlns:ds="http://schemas.openxmlformats.org/officeDocument/2006/customXml" ds:itemID="{A90B2622-1F66-4C21-A8C1-9A680E4EA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27497</Words>
  <Characters>15674</Characters>
  <Application>Microsoft Office Word</Application>
  <DocSecurity>0</DocSecurity>
  <Lines>130</Lines>
  <Paragraphs>86</Paragraphs>
  <ScaleCrop>false</ScaleCrop>
  <Company/>
  <LinksUpToDate>false</LinksUpToDate>
  <CharactersWithSpaces>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Eva Kauliņa</cp:lastModifiedBy>
  <cp:revision>77</cp:revision>
  <dcterms:created xsi:type="dcterms:W3CDTF">2021-09-13T09:57:00Z</dcterms:created>
  <dcterms:modified xsi:type="dcterms:W3CDTF">2022-11-15T14:44:00Z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