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81170" w14:textId="77777777" w:rsidR="003F572A" w:rsidRPr="003F572A" w:rsidRDefault="003F572A" w:rsidP="003F572A">
      <w:pPr>
        <w:widowControl w:val="0"/>
        <w:spacing w:after="0" w:line="240" w:lineRule="auto"/>
        <w:jc w:val="both"/>
        <w:rPr>
          <w:rFonts w:ascii="Times New Roman" w:hAnsi="Times New Roman"/>
          <w:noProof/>
          <w:sz w:val="24"/>
          <w:szCs w:val="32"/>
          <w:lang w:val="en-US"/>
        </w:rPr>
      </w:pPr>
    </w:p>
    <w:p w14:paraId="7351B96B" w14:textId="77777777" w:rsidR="003F572A" w:rsidRPr="003F572A" w:rsidRDefault="003F572A" w:rsidP="003F572A">
      <w:pPr>
        <w:widowControl w:val="0"/>
        <w:spacing w:after="0" w:line="240" w:lineRule="auto"/>
        <w:jc w:val="both"/>
        <w:rPr>
          <w:rFonts w:ascii="Times New Roman" w:hAnsi="Times New Roman"/>
          <w:noProof/>
          <w:sz w:val="20"/>
          <w:szCs w:val="24"/>
          <w:lang w:val="en-US"/>
        </w:rPr>
      </w:pPr>
      <w:r w:rsidRPr="003F572A">
        <w:rPr>
          <w:rFonts w:ascii="Times New Roman" w:hAnsi="Times New Roman"/>
          <w:noProof/>
          <w:sz w:val="20"/>
          <w:szCs w:val="24"/>
          <w:lang w:val="en-US"/>
        </w:rPr>
        <w:t>Text consolidated by Valsts valodas centrs (State Language Centre) with amending regulations of:</w:t>
      </w:r>
    </w:p>
    <w:p w14:paraId="214345DF" w14:textId="77777777" w:rsidR="003F572A" w:rsidRPr="003F572A" w:rsidRDefault="003F572A" w:rsidP="003F572A">
      <w:pPr>
        <w:pStyle w:val="BlockText"/>
        <w:ind w:left="0" w:right="26"/>
        <w:jc w:val="center"/>
        <w:rPr>
          <w:noProof/>
          <w:szCs w:val="24"/>
          <w:lang w:val="en-US"/>
        </w:rPr>
      </w:pPr>
      <w:r w:rsidRPr="003F572A">
        <w:rPr>
          <w:noProof/>
          <w:szCs w:val="24"/>
          <w:lang w:val="en-US"/>
        </w:rPr>
        <w:t>21 December 2021 [shall come into force on 1 January 2022];</w:t>
      </w:r>
    </w:p>
    <w:p w14:paraId="2CDC3A21" w14:textId="77777777" w:rsidR="003F572A" w:rsidRPr="003F572A" w:rsidRDefault="003F572A" w:rsidP="003F572A">
      <w:pPr>
        <w:pStyle w:val="BlockText"/>
        <w:ind w:left="0" w:right="26"/>
        <w:jc w:val="center"/>
        <w:rPr>
          <w:noProof/>
          <w:szCs w:val="24"/>
          <w:lang w:val="en-US"/>
        </w:rPr>
      </w:pPr>
      <w:r w:rsidRPr="003F572A">
        <w:rPr>
          <w:noProof/>
          <w:szCs w:val="24"/>
          <w:lang w:val="en-US"/>
        </w:rPr>
        <w:t>5 April 2022 [shall come into force on 8 April 2022];</w:t>
      </w:r>
    </w:p>
    <w:p w14:paraId="17AECDB8" w14:textId="77777777" w:rsidR="003F572A" w:rsidRPr="003F572A" w:rsidRDefault="003F572A" w:rsidP="003F572A">
      <w:pPr>
        <w:pStyle w:val="BlockText"/>
        <w:ind w:left="0" w:right="26"/>
        <w:jc w:val="center"/>
        <w:rPr>
          <w:noProof/>
          <w:szCs w:val="24"/>
          <w:lang w:val="en-US"/>
        </w:rPr>
      </w:pPr>
      <w:r w:rsidRPr="003F572A">
        <w:rPr>
          <w:noProof/>
          <w:szCs w:val="24"/>
          <w:lang w:val="en-US"/>
        </w:rPr>
        <w:t>21 June 2022 [shall come into force on 29 June 2022].</w:t>
      </w:r>
    </w:p>
    <w:p w14:paraId="2816DB7F" w14:textId="77777777" w:rsidR="003F572A" w:rsidRPr="003F572A" w:rsidRDefault="003F572A" w:rsidP="003F572A">
      <w:pPr>
        <w:widowControl w:val="0"/>
        <w:spacing w:after="0" w:line="240" w:lineRule="auto"/>
        <w:jc w:val="both"/>
        <w:rPr>
          <w:rFonts w:ascii="Times New Roman" w:hAnsi="Times New Roman"/>
          <w:noProof/>
          <w:sz w:val="20"/>
          <w:szCs w:val="24"/>
          <w:lang w:val="en-US"/>
        </w:rPr>
      </w:pPr>
      <w:r w:rsidRPr="003F572A">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FEF4DD6" w14:textId="77777777" w:rsidR="003F572A" w:rsidRPr="003F572A" w:rsidRDefault="003F572A" w:rsidP="003F572A">
      <w:pPr>
        <w:spacing w:after="0" w:line="240" w:lineRule="auto"/>
        <w:rPr>
          <w:rFonts w:ascii="Times New Roman" w:hAnsi="Times New Roman"/>
          <w:noProof/>
          <w:sz w:val="24"/>
          <w:lang w:val="en-US"/>
        </w:rPr>
      </w:pPr>
    </w:p>
    <w:p w14:paraId="6A89D525" w14:textId="77777777" w:rsidR="003F572A" w:rsidRPr="003F572A" w:rsidRDefault="003F572A" w:rsidP="003F572A">
      <w:pPr>
        <w:spacing w:after="0" w:line="240" w:lineRule="auto"/>
        <w:rPr>
          <w:rFonts w:ascii="Times New Roman" w:hAnsi="Times New Roman"/>
          <w:noProof/>
          <w:sz w:val="24"/>
          <w:lang w:val="en-US"/>
        </w:rPr>
      </w:pPr>
    </w:p>
    <w:p w14:paraId="44C2D471" w14:textId="77777777" w:rsidR="003F572A" w:rsidRPr="003F572A" w:rsidRDefault="003F572A" w:rsidP="003F572A">
      <w:pPr>
        <w:spacing w:after="0" w:line="240" w:lineRule="auto"/>
        <w:jc w:val="center"/>
        <w:rPr>
          <w:rFonts w:ascii="Times New Roman" w:hAnsi="Times New Roman"/>
          <w:noProof/>
          <w:sz w:val="24"/>
          <w:szCs w:val="24"/>
          <w:lang w:val="en-US"/>
        </w:rPr>
      </w:pPr>
      <w:r w:rsidRPr="003F572A">
        <w:rPr>
          <w:rFonts w:ascii="Times New Roman" w:hAnsi="Times New Roman"/>
          <w:noProof/>
          <w:sz w:val="24"/>
          <w:szCs w:val="24"/>
          <w:lang w:val="en-US"/>
        </w:rPr>
        <w:t>Republic of Latvia</w:t>
      </w:r>
    </w:p>
    <w:p w14:paraId="015CD164" w14:textId="77777777" w:rsidR="003F572A" w:rsidRPr="003F572A" w:rsidRDefault="003F572A" w:rsidP="003F572A">
      <w:pPr>
        <w:spacing w:after="0" w:line="240" w:lineRule="auto"/>
        <w:jc w:val="center"/>
        <w:rPr>
          <w:rFonts w:ascii="Times New Roman" w:hAnsi="Times New Roman"/>
          <w:noProof/>
          <w:sz w:val="24"/>
          <w:lang w:val="en-US"/>
        </w:rPr>
      </w:pPr>
    </w:p>
    <w:p w14:paraId="60D990BD" w14:textId="77777777" w:rsidR="003F572A" w:rsidRPr="003F572A" w:rsidRDefault="003F572A" w:rsidP="003F572A">
      <w:pPr>
        <w:shd w:val="clear" w:color="auto" w:fill="FFFFFF"/>
        <w:spacing w:after="0" w:line="240" w:lineRule="auto"/>
        <w:jc w:val="center"/>
        <w:rPr>
          <w:rFonts w:ascii="Times New Roman" w:hAnsi="Times New Roman"/>
          <w:noProof/>
          <w:sz w:val="24"/>
          <w:lang w:val="en-US"/>
        </w:rPr>
      </w:pPr>
      <w:r w:rsidRPr="003F572A">
        <w:rPr>
          <w:rFonts w:ascii="Times New Roman" w:hAnsi="Times New Roman"/>
          <w:noProof/>
          <w:sz w:val="24"/>
          <w:lang w:val="en-US"/>
        </w:rPr>
        <w:t>Cabinet</w:t>
      </w:r>
    </w:p>
    <w:p w14:paraId="15929155" w14:textId="77777777" w:rsidR="003F572A" w:rsidRPr="003F572A" w:rsidRDefault="003F572A" w:rsidP="003F572A">
      <w:pPr>
        <w:shd w:val="clear" w:color="auto" w:fill="FFFFFF"/>
        <w:spacing w:after="0" w:line="240" w:lineRule="auto"/>
        <w:jc w:val="center"/>
        <w:rPr>
          <w:rFonts w:ascii="Times New Roman" w:hAnsi="Times New Roman"/>
          <w:noProof/>
          <w:sz w:val="24"/>
          <w:lang w:val="en-US"/>
        </w:rPr>
      </w:pPr>
      <w:r w:rsidRPr="003F572A">
        <w:rPr>
          <w:rFonts w:ascii="Times New Roman" w:hAnsi="Times New Roman"/>
          <w:noProof/>
          <w:sz w:val="24"/>
          <w:lang w:val="en-US"/>
        </w:rPr>
        <w:t>Regulation No. 503</w:t>
      </w:r>
    </w:p>
    <w:p w14:paraId="32DE33AF" w14:textId="77777777" w:rsidR="003F572A" w:rsidRPr="003F572A" w:rsidRDefault="003F572A" w:rsidP="003F572A">
      <w:pPr>
        <w:shd w:val="clear" w:color="auto" w:fill="FFFFFF"/>
        <w:spacing w:after="0" w:line="240" w:lineRule="auto"/>
        <w:jc w:val="center"/>
        <w:rPr>
          <w:rFonts w:ascii="Times New Roman" w:hAnsi="Times New Roman"/>
          <w:noProof/>
          <w:sz w:val="24"/>
          <w:lang w:val="en-US"/>
        </w:rPr>
      </w:pPr>
      <w:r w:rsidRPr="003F572A">
        <w:rPr>
          <w:rFonts w:ascii="Times New Roman" w:hAnsi="Times New Roman"/>
          <w:noProof/>
          <w:sz w:val="24"/>
          <w:lang w:val="en-US"/>
        </w:rPr>
        <w:t>Adopted on 6 July 2021 (Par. 135 of Minutes No. 51)</w:t>
      </w:r>
    </w:p>
    <w:p w14:paraId="11719732"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DC20BBD"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84942CE" w14:textId="77777777" w:rsidR="003F572A" w:rsidRPr="003F572A" w:rsidRDefault="003F572A" w:rsidP="003F572A">
      <w:pPr>
        <w:shd w:val="clear" w:color="auto" w:fill="FFFFFF"/>
        <w:spacing w:after="0" w:line="240" w:lineRule="auto"/>
        <w:jc w:val="center"/>
        <w:rPr>
          <w:rFonts w:ascii="Times New Roman" w:hAnsi="Times New Roman"/>
          <w:b/>
          <w:noProof/>
          <w:sz w:val="28"/>
          <w:lang w:val="en-US"/>
        </w:rPr>
      </w:pPr>
      <w:r w:rsidRPr="003F572A">
        <w:rPr>
          <w:rFonts w:ascii="Times New Roman" w:hAnsi="Times New Roman"/>
          <w:b/>
          <w:noProof/>
          <w:sz w:val="28"/>
          <w:lang w:val="en-US"/>
        </w:rPr>
        <w:t>Regulations Regarding Loans with Capital Discount for Investment Projects of Merchants for Facilitating Competitiveness</w:t>
      </w:r>
    </w:p>
    <w:p w14:paraId="1D9496F4"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6FD85E"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CC842A" w14:textId="77777777" w:rsidR="003F572A" w:rsidRPr="003F572A" w:rsidRDefault="003F572A" w:rsidP="003F572A">
      <w:pPr>
        <w:shd w:val="clear" w:color="auto" w:fill="FFFFFF"/>
        <w:spacing w:after="0" w:line="240" w:lineRule="auto"/>
        <w:jc w:val="right"/>
        <w:rPr>
          <w:rFonts w:ascii="Times New Roman" w:hAnsi="Times New Roman"/>
          <w:i/>
          <w:noProof/>
          <w:sz w:val="24"/>
          <w:lang w:val="en-US"/>
        </w:rPr>
      </w:pPr>
      <w:r w:rsidRPr="003F572A">
        <w:rPr>
          <w:rFonts w:ascii="Times New Roman" w:hAnsi="Times New Roman"/>
          <w:i/>
          <w:noProof/>
          <w:sz w:val="24"/>
          <w:lang w:val="en-US"/>
        </w:rPr>
        <w:t>Issued pursuant to</w:t>
      </w:r>
    </w:p>
    <w:p w14:paraId="31F6F5F5" w14:textId="77777777" w:rsidR="003F572A" w:rsidRPr="003F572A" w:rsidRDefault="003F572A" w:rsidP="003F572A">
      <w:pPr>
        <w:shd w:val="clear" w:color="auto" w:fill="FFFFFF"/>
        <w:spacing w:after="0" w:line="240" w:lineRule="auto"/>
        <w:jc w:val="right"/>
        <w:rPr>
          <w:rFonts w:ascii="Times New Roman" w:hAnsi="Times New Roman"/>
          <w:i/>
          <w:noProof/>
          <w:sz w:val="24"/>
          <w:lang w:val="en-US"/>
        </w:rPr>
      </w:pPr>
      <w:r w:rsidRPr="003F572A">
        <w:rPr>
          <w:rFonts w:ascii="Times New Roman" w:hAnsi="Times New Roman"/>
          <w:i/>
          <w:noProof/>
          <w:sz w:val="24"/>
          <w:lang w:val="en-US"/>
        </w:rPr>
        <w:t>Section 12, Paragraph four of the Law on Development Finance Institution</w:t>
      </w:r>
    </w:p>
    <w:p w14:paraId="6A468268"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790780"/>
      <w:bookmarkEnd w:id="0"/>
      <w:bookmarkEnd w:id="1"/>
    </w:p>
    <w:p w14:paraId="2E05B7C8"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C6851FE" w14:textId="77777777" w:rsidR="003F572A" w:rsidRPr="003F572A" w:rsidRDefault="003F572A" w:rsidP="003F572A">
      <w:pPr>
        <w:shd w:val="clear" w:color="auto" w:fill="FFFFFF"/>
        <w:spacing w:after="0" w:line="240" w:lineRule="auto"/>
        <w:jc w:val="center"/>
        <w:rPr>
          <w:rFonts w:ascii="Times New Roman" w:hAnsi="Times New Roman"/>
          <w:b/>
          <w:noProof/>
          <w:sz w:val="24"/>
          <w:lang w:val="en-US"/>
        </w:rPr>
      </w:pPr>
      <w:r w:rsidRPr="003F572A">
        <w:rPr>
          <w:rFonts w:ascii="Times New Roman" w:hAnsi="Times New Roman"/>
          <w:b/>
          <w:noProof/>
          <w:sz w:val="24"/>
          <w:lang w:val="en-US"/>
        </w:rPr>
        <w:t>I. General Provisions</w:t>
      </w:r>
    </w:p>
    <w:p w14:paraId="391E4B0D"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
      <w:bookmarkStart w:id="3" w:name="p-790781"/>
      <w:bookmarkEnd w:id="2"/>
      <w:bookmarkEnd w:id="3"/>
    </w:p>
    <w:p w14:paraId="5A31FA07"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1. The Regulation prescribes:</w:t>
      </w:r>
    </w:p>
    <w:p w14:paraId="4A51C33F"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1.1. the conditions for granting aid in the form of loans and capital discount (which is granted as partial extinguishing of the principal amount of the loan) (hereinafter – the loan programme);</w:t>
      </w:r>
    </w:p>
    <w:p w14:paraId="3DBC2686"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1.2. the procedures for the implementation of the loan programme included in this Regulation;</w:t>
      </w:r>
    </w:p>
    <w:p w14:paraId="761EA5F6"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1.3. the financing available for the implementation of the loan programme;</w:t>
      </w:r>
    </w:p>
    <w:p w14:paraId="10D1D2EB"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1.4. the conditions for the activities to be supported and for the eligibility of costs;</w:t>
      </w:r>
    </w:p>
    <w:p w14:paraId="5C954149"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1.5. accounting of the aid, the sectors and activities not to be supported.</w:t>
      </w:r>
    </w:p>
    <w:p w14:paraId="64F66509"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2"/>
      <w:bookmarkStart w:id="5" w:name="p-790782"/>
      <w:bookmarkEnd w:id="4"/>
      <w:bookmarkEnd w:id="5"/>
    </w:p>
    <w:p w14:paraId="5B8EEA1A"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2. The objective of the loan programme is to provide aid to merchants for the implementation of viable entrepreneurial projects, facilitating the development of merchants, their competitiveness, increase in export amount and ensuring financing for the implementation of such projects which are directed towards the introduction of new facilities and technological processes.</w:t>
      </w:r>
    </w:p>
    <w:p w14:paraId="14B7CD80"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3"/>
      <w:bookmarkStart w:id="7" w:name="p-1027886"/>
      <w:bookmarkEnd w:id="6"/>
      <w:bookmarkEnd w:id="7"/>
    </w:p>
    <w:p w14:paraId="6A536A1C"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 xml:space="preserve">3. Within the scope of the loan programme, loans shall be issued and capital discount shall be granted and applied by </w:t>
      </w:r>
      <w:r w:rsidRPr="003F572A">
        <w:rPr>
          <w:rFonts w:ascii="Times New Roman" w:hAnsi="Times New Roman"/>
          <w:i/>
          <w:noProof/>
          <w:sz w:val="24"/>
          <w:lang w:val="en-US"/>
        </w:rPr>
        <w:t xml:space="preserve">akciju sabiedrība “Attīstības finanšu institūcija Altum” </w:t>
      </w:r>
      <w:r w:rsidRPr="003F572A">
        <w:rPr>
          <w:rFonts w:ascii="Times New Roman" w:hAnsi="Times New Roman"/>
          <w:noProof/>
          <w:sz w:val="24"/>
          <w:lang w:val="en-US"/>
        </w:rPr>
        <w:t xml:space="preserve">[joint-stock company Development Finance Institution </w:t>
      </w:r>
      <w:r w:rsidRPr="003F572A">
        <w:rPr>
          <w:rFonts w:ascii="Times New Roman" w:hAnsi="Times New Roman"/>
          <w:i/>
          <w:noProof/>
          <w:sz w:val="24"/>
          <w:lang w:val="en-US"/>
        </w:rPr>
        <w:t>Altum</w:t>
      </w:r>
      <w:r w:rsidRPr="003F572A">
        <w:rPr>
          <w:rFonts w:ascii="Times New Roman" w:hAnsi="Times New Roman"/>
          <w:noProof/>
          <w:sz w:val="24"/>
          <w:lang w:val="en-US"/>
        </w:rPr>
        <w:t xml:space="preserve">] (hereinafter – the company </w:t>
      </w:r>
      <w:r w:rsidRPr="003F572A">
        <w:rPr>
          <w:rFonts w:ascii="Times New Roman" w:hAnsi="Times New Roman"/>
          <w:i/>
          <w:noProof/>
          <w:sz w:val="24"/>
          <w:lang w:val="en-US"/>
        </w:rPr>
        <w:t>Altum</w:t>
      </w:r>
      <w:r w:rsidRPr="003F572A">
        <w:rPr>
          <w:rFonts w:ascii="Times New Roman" w:hAnsi="Times New Roman"/>
          <w:noProof/>
          <w:sz w:val="24"/>
          <w:lang w:val="en-US"/>
        </w:rPr>
        <w:t xml:space="preserve">) within the scope of the agreement entered into with the merchant (hereinafter – the loan agreement) which, </w:t>
      </w:r>
      <w:r w:rsidRPr="003F572A">
        <w:rPr>
          <w:rFonts w:ascii="Times New Roman" w:hAnsi="Times New Roman"/>
          <w:i/>
          <w:noProof/>
          <w:sz w:val="24"/>
          <w:lang w:val="en-US"/>
        </w:rPr>
        <w:t>inter alia</w:t>
      </w:r>
      <w:r w:rsidRPr="003F572A">
        <w:rPr>
          <w:rFonts w:ascii="Times New Roman" w:hAnsi="Times New Roman"/>
          <w:noProof/>
          <w:sz w:val="24"/>
          <w:lang w:val="en-US"/>
        </w:rPr>
        <w:t xml:space="preserve">, shall include the conditions for the application of the capital discount, the follow-up procedures, and the consequences in case of failure to meet the conditions of this Regulation.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 xml:space="preserve">may issue a loan only together with the loan of another funding provider (an international financial institution, a private investment fund, or a credit institution). Within the scope of the loan programme, the capital discount shall be either full or partial reduction of the principal amount of the loan issued by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which is applied upon fulfilment of certain conditions or a set of criteria.</w:t>
      </w:r>
    </w:p>
    <w:p w14:paraId="1D1AA05F"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December 2021</w:t>
      </w:r>
      <w:r w:rsidRPr="003F572A">
        <w:rPr>
          <w:rFonts w:ascii="Times New Roman" w:hAnsi="Times New Roman"/>
          <w:noProof/>
          <w:sz w:val="24"/>
          <w:lang w:val="en-US"/>
        </w:rPr>
        <w:t>]</w:t>
      </w:r>
    </w:p>
    <w:p w14:paraId="21871B14"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4"/>
      <w:bookmarkStart w:id="9" w:name="p-1027888"/>
      <w:bookmarkEnd w:id="8"/>
      <w:bookmarkEnd w:id="9"/>
    </w:p>
    <w:p w14:paraId="57269B71"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4. The Investment and Development Agency of Latvia (hereinafter – the Agency) shall provide an assessment:</w:t>
      </w:r>
    </w:p>
    <w:p w14:paraId="7F261B55" w14:textId="77777777" w:rsidR="003F572A" w:rsidRPr="003F572A" w:rsidRDefault="003F572A" w:rsidP="003F57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 xml:space="preserve">4.1. within the scope of the selection round referred to in Paragraph 28 of this Regulation on the eligibility of the merchant and the project implemented thereby in order to qualify for a loan from the company </w:t>
      </w:r>
      <w:r w:rsidRPr="003F572A">
        <w:rPr>
          <w:rFonts w:ascii="Times New Roman" w:hAnsi="Times New Roman"/>
          <w:i/>
          <w:iCs/>
          <w:noProof/>
          <w:sz w:val="24"/>
          <w:lang w:val="en-US"/>
        </w:rPr>
        <w:t>Altum</w:t>
      </w:r>
      <w:r w:rsidRPr="003F572A">
        <w:rPr>
          <w:rFonts w:ascii="Times New Roman" w:hAnsi="Times New Roman"/>
          <w:noProof/>
          <w:sz w:val="24"/>
          <w:lang w:val="en-US"/>
        </w:rPr>
        <w:t>;</w:t>
      </w:r>
    </w:p>
    <w:p w14:paraId="73F3918C" w14:textId="77777777" w:rsidR="003F572A" w:rsidRPr="003F572A" w:rsidRDefault="003F572A" w:rsidP="003F57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 xml:space="preserve">4.2. on the fulfilment of the conditions for the application of the capital discount within the scope of the loan programme for loans granted by the company </w:t>
      </w:r>
      <w:r w:rsidRPr="003F572A">
        <w:rPr>
          <w:rFonts w:ascii="Times New Roman" w:hAnsi="Times New Roman"/>
          <w:i/>
          <w:noProof/>
          <w:sz w:val="24"/>
          <w:lang w:val="en-US"/>
        </w:rPr>
        <w:t>Altum</w:t>
      </w:r>
      <w:r w:rsidRPr="003F572A">
        <w:rPr>
          <w:rFonts w:ascii="Times New Roman" w:hAnsi="Times New Roman"/>
          <w:noProof/>
          <w:sz w:val="24"/>
          <w:lang w:val="en-US"/>
        </w:rPr>
        <w:t>, in addition to the conditions included in the loan agreement referred to in Paragraph 3 of this Regulation.</w:t>
      </w:r>
    </w:p>
    <w:p w14:paraId="6223A9DC"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December 2021</w:t>
      </w:r>
      <w:r w:rsidRPr="003F572A">
        <w:rPr>
          <w:rFonts w:ascii="Times New Roman" w:hAnsi="Times New Roman"/>
          <w:noProof/>
          <w:sz w:val="24"/>
          <w:lang w:val="en-US"/>
        </w:rPr>
        <w:t>]</w:t>
      </w:r>
    </w:p>
    <w:p w14:paraId="0D383C75"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5"/>
      <w:bookmarkStart w:id="11" w:name="p-1027895"/>
      <w:bookmarkEnd w:id="10"/>
      <w:bookmarkEnd w:id="11"/>
    </w:p>
    <w:p w14:paraId="41741EAF"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5. Within the meaning of this Regulation the financing may be received by a merchant which conforms to the following conditions:</w:t>
      </w:r>
    </w:p>
    <w:p w14:paraId="1EC9F2AC"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5.1. it is a large merchant which corresponds to the definition laid down in Article 2(24) of Commission Regulation (EU) No 651/2014 of 17 June 2014 declaring certain categories of aid compatible with the internal market in application of Articles 107 and 108 of the Treaty (hereinafter – Commission Regulation No 651/2014) or a medium-sized merchant which conforms to the criteria laid down in Article 2(1) of Annex I to Commission Regulation No 651/2014 and exceeds the criteria laid down in Article 2(2) of Annex I to Commission Regulation No 651/2014;</w:t>
      </w:r>
    </w:p>
    <w:p w14:paraId="446F74D2"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5.2. it has been registered with the Commercial Register of the Republic of Latvia;</w:t>
      </w:r>
    </w:p>
    <w:p w14:paraId="02E168F2"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5.3. the objective of the investment project thereof is the introduction of new facilities and technological processes in the production or in the provision of services in the sectors to be supported and referred to in Sub-paragraph 19.2 of this Regulation;</w:t>
      </w:r>
    </w:p>
    <w:p w14:paraId="1C83B86D"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5.4. in accordance with Article 2(49)(a) of Commission Regulation No 651/2014, the objective of the loan is financial contributions in the initial investment of the project of the merchant, i.e. in tangible and intangible assets for the commencement of production, the extension and effectivisation thereof, for setting-up of a new establishment, the extension of the capacity of an existing establishment, for the diversification of the output of an establishment with products not previously produced in the establishment, or for a fundamental change in the overall production process of an existing establishment;</w:t>
      </w:r>
    </w:p>
    <w:p w14:paraId="0446DD09" w14:textId="77777777" w:rsidR="003F572A" w:rsidRPr="003F572A" w:rsidRDefault="003F572A" w:rsidP="003F57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 xml:space="preserve">5.5. according to the information available in the database of debtors of taxes (fees) administered by the State Revenue Service, it has no tax or fee debts, including debt of the mandatory State social insurance contributions which in total exceeds EUR 1000, except for tax payments for the covering of which an extension of the payment term has been granted, has entered into an agreement on voluntary payment of taxes, or has entered into an arrangement contract.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shall verify conformity with the abovementioned condition until the commencement of the issuing of the loans;</w:t>
      </w:r>
    </w:p>
    <w:p w14:paraId="2D9A4590"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5.6. it is not to be regarded as an undertaking in difficulty in accordance with Article 2(18) of Commission Regulation No 651/2014, except for the exception referred to in Article 1(4)(c) of Commission Regulation No 651/2014;</w:t>
      </w:r>
    </w:p>
    <w:p w14:paraId="126B6DFF"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5.7. a recovery order in accordance with Article 1(4)(a) of Commission Regulation No 651/2014 does not apply to it;</w:t>
      </w:r>
    </w:p>
    <w:p w14:paraId="3E678A75"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5.8. the investment supports the activity of a merchant according to the objectives of the European Union and the commitments of Latvia which apply to green and digital transformation, including the objective of the European Union to achieve climate neutrality by 2050.</w:t>
      </w:r>
    </w:p>
    <w:p w14:paraId="25377489"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December 2021</w:t>
      </w:r>
      <w:r w:rsidRPr="003F572A">
        <w:rPr>
          <w:rFonts w:ascii="Times New Roman" w:hAnsi="Times New Roman"/>
          <w:noProof/>
          <w:sz w:val="24"/>
          <w:lang w:val="en-US"/>
        </w:rPr>
        <w:t>]</w:t>
      </w:r>
    </w:p>
    <w:p w14:paraId="5B7E70ED"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6"/>
      <w:bookmarkStart w:id="13" w:name="p-790786"/>
      <w:bookmarkEnd w:id="12"/>
      <w:bookmarkEnd w:id="13"/>
    </w:p>
    <w:p w14:paraId="1CBF270A"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6. Within the meaning of this Regulation, linked persons are performers of economic activity which conform to the definition laid down in Article 3(3) of Annex I to Commission Regulation No 651/2014.</w:t>
      </w:r>
    </w:p>
    <w:p w14:paraId="6C497688"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7"/>
      <w:bookmarkStart w:id="15" w:name="p-1027913"/>
      <w:bookmarkEnd w:id="14"/>
      <w:bookmarkEnd w:id="15"/>
    </w:p>
    <w:p w14:paraId="59553FAF"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 xml:space="preserve">7. The financing available for the implementation of the loan programme shall consist of the State budget financing in the amount of EUR 99 565 000. The financing shall be used for covering the expected losses for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and for covering the capital discount.</w:t>
      </w:r>
    </w:p>
    <w:p w14:paraId="3678F537"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December 2021</w:t>
      </w:r>
      <w:r w:rsidRPr="003F572A">
        <w:rPr>
          <w:rFonts w:ascii="Times New Roman" w:hAnsi="Times New Roman"/>
          <w:noProof/>
          <w:sz w:val="24"/>
          <w:lang w:val="en-US"/>
        </w:rPr>
        <w:t>]</w:t>
      </w:r>
    </w:p>
    <w:p w14:paraId="5964143F"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8"/>
      <w:bookmarkStart w:id="17" w:name="p-1027915"/>
      <w:bookmarkEnd w:id="16"/>
      <w:bookmarkEnd w:id="17"/>
    </w:p>
    <w:p w14:paraId="6F69A9D9"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8. [21 December 2021]</w:t>
      </w:r>
    </w:p>
    <w:p w14:paraId="43A5D86D"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9"/>
      <w:bookmarkStart w:id="19" w:name="p-1027917"/>
      <w:bookmarkEnd w:id="18"/>
      <w:bookmarkEnd w:id="19"/>
    </w:p>
    <w:p w14:paraId="4C6CAB55"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 xml:space="preserve">9. The date of taking the decision by the company </w:t>
      </w:r>
      <w:r w:rsidRPr="003F572A">
        <w:rPr>
          <w:rFonts w:ascii="Times New Roman" w:hAnsi="Times New Roman"/>
          <w:i/>
          <w:iCs/>
          <w:noProof/>
          <w:sz w:val="24"/>
          <w:lang w:val="en-US"/>
        </w:rPr>
        <w:t xml:space="preserve">Altum </w:t>
      </w:r>
      <w:r w:rsidRPr="003F572A">
        <w:rPr>
          <w:rFonts w:ascii="Times New Roman" w:hAnsi="Times New Roman"/>
          <w:noProof/>
          <w:sz w:val="24"/>
          <w:lang w:val="en-US"/>
        </w:rPr>
        <w:t>to grant the loan which determines the maximum amount of aid, aid intensity, the maximum available capital discount, and also the maximum term of the loan, including the extension not exceeding the period referred to in Paragraph 18 of this Regulation, shall be regarded as the date of granting the aid before which the conformity of the merchant and the project implemented thereby with the conditions of Sub-paragraphs 5.1, 5.2, 5.3, 5.4, 5.5, 5.6, and 5.7 of this Regulation has been assessed.</w:t>
      </w:r>
    </w:p>
    <w:p w14:paraId="7FF5BEA1"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December 2021</w:t>
      </w:r>
      <w:r w:rsidRPr="003F572A">
        <w:rPr>
          <w:rFonts w:ascii="Times New Roman" w:hAnsi="Times New Roman"/>
          <w:noProof/>
          <w:sz w:val="24"/>
          <w:lang w:val="en-US"/>
        </w:rPr>
        <w:t>]</w:t>
      </w:r>
    </w:p>
    <w:p w14:paraId="119F3621"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10"/>
      <w:bookmarkStart w:id="21" w:name="p-1027919"/>
      <w:bookmarkEnd w:id="20"/>
      <w:bookmarkEnd w:id="21"/>
    </w:p>
    <w:p w14:paraId="23EC4B69"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 xml:space="preserve">10. The merchant shall apply for aid by submitting an application to the company </w:t>
      </w:r>
      <w:r w:rsidRPr="003F572A">
        <w:rPr>
          <w:rFonts w:ascii="Times New Roman" w:hAnsi="Times New Roman"/>
          <w:i/>
          <w:noProof/>
          <w:sz w:val="24"/>
          <w:lang w:val="en-US"/>
        </w:rPr>
        <w:t>Altum</w:t>
      </w:r>
      <w:r w:rsidRPr="003F572A">
        <w:rPr>
          <w:rFonts w:ascii="Times New Roman" w:hAnsi="Times New Roman"/>
          <w:noProof/>
          <w:sz w:val="24"/>
          <w:lang w:val="en-US"/>
        </w:rPr>
        <w:t xml:space="preserve">. In order for the company </w:t>
      </w:r>
      <w:r w:rsidRPr="003F572A">
        <w:rPr>
          <w:rFonts w:ascii="Times New Roman" w:hAnsi="Times New Roman"/>
          <w:i/>
          <w:iCs/>
          <w:noProof/>
          <w:sz w:val="24"/>
          <w:lang w:val="en-US"/>
        </w:rPr>
        <w:t xml:space="preserve">Altum </w:t>
      </w:r>
      <w:r w:rsidRPr="003F572A">
        <w:rPr>
          <w:rFonts w:ascii="Times New Roman" w:hAnsi="Times New Roman"/>
          <w:noProof/>
          <w:sz w:val="24"/>
          <w:lang w:val="en-US"/>
        </w:rPr>
        <w:t xml:space="preserve">to commence the project evaluation, the merchant must participate and receive a positive decision in the project selection organised by the Agency by submitting the application referred to in Paragraph 29 of this Regulation. The application referred to in Paragraph 29 of this Regulation may be submitted by the merchant to the Agency and the application referred to in Sub-paragraph 31.1 of this Regulation may be submitted to the company </w:t>
      </w:r>
      <w:r w:rsidRPr="003F572A">
        <w:rPr>
          <w:rFonts w:ascii="Times New Roman" w:hAnsi="Times New Roman"/>
          <w:i/>
          <w:iCs/>
          <w:noProof/>
          <w:sz w:val="24"/>
          <w:lang w:val="en-US"/>
        </w:rPr>
        <w:t xml:space="preserve">Altum </w:t>
      </w:r>
      <w:r w:rsidRPr="003F572A">
        <w:rPr>
          <w:rFonts w:ascii="Times New Roman" w:hAnsi="Times New Roman"/>
          <w:noProof/>
          <w:sz w:val="24"/>
          <w:lang w:val="en-US"/>
        </w:rPr>
        <w:t>as long as the selection round is open.</w:t>
      </w:r>
    </w:p>
    <w:p w14:paraId="3B15B032"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December 2021</w:t>
      </w:r>
      <w:r w:rsidRPr="003F572A">
        <w:rPr>
          <w:rFonts w:ascii="Times New Roman" w:hAnsi="Times New Roman"/>
          <w:noProof/>
          <w:sz w:val="24"/>
          <w:lang w:val="en-US"/>
        </w:rPr>
        <w:t>]</w:t>
      </w:r>
    </w:p>
    <w:p w14:paraId="4A1538B8"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11"/>
      <w:bookmarkStart w:id="23" w:name="p-790791"/>
      <w:bookmarkEnd w:id="22"/>
      <w:bookmarkEnd w:id="23"/>
    </w:p>
    <w:p w14:paraId="2B2DBA6B"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 xml:space="preserve">11. The Ministry of Economics, the company </w:t>
      </w:r>
      <w:r w:rsidRPr="003F572A">
        <w:rPr>
          <w:rFonts w:ascii="Times New Roman" w:hAnsi="Times New Roman"/>
          <w:i/>
          <w:noProof/>
          <w:sz w:val="24"/>
          <w:lang w:val="en-US"/>
        </w:rPr>
        <w:t>Altum</w:t>
      </w:r>
      <w:r w:rsidRPr="003F572A">
        <w:rPr>
          <w:rFonts w:ascii="Times New Roman" w:hAnsi="Times New Roman"/>
          <w:noProof/>
          <w:sz w:val="24"/>
          <w:lang w:val="en-US"/>
        </w:rPr>
        <w:t>, and the Agency shall enter into a contract for the introduction and supervision of the loan programme.</w:t>
      </w:r>
    </w:p>
    <w:p w14:paraId="145570F7"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n2"/>
      <w:bookmarkStart w:id="25" w:name="n-790792"/>
      <w:bookmarkEnd w:id="24"/>
      <w:bookmarkEnd w:id="25"/>
    </w:p>
    <w:p w14:paraId="2CDB8242" w14:textId="77777777" w:rsidR="003F572A" w:rsidRPr="003F572A" w:rsidRDefault="003F572A" w:rsidP="003F572A">
      <w:pPr>
        <w:shd w:val="clear" w:color="auto" w:fill="FFFFFF"/>
        <w:spacing w:after="0" w:line="240" w:lineRule="auto"/>
        <w:jc w:val="center"/>
        <w:rPr>
          <w:rFonts w:ascii="Times New Roman" w:hAnsi="Times New Roman"/>
          <w:b/>
          <w:noProof/>
          <w:sz w:val="24"/>
          <w:lang w:val="en-US"/>
        </w:rPr>
      </w:pPr>
      <w:r w:rsidRPr="003F572A">
        <w:rPr>
          <w:rFonts w:ascii="Times New Roman" w:hAnsi="Times New Roman"/>
          <w:b/>
          <w:noProof/>
          <w:sz w:val="24"/>
          <w:lang w:val="en-US"/>
        </w:rPr>
        <w:t>II. Conditions of the Loan Programme</w:t>
      </w:r>
    </w:p>
    <w:p w14:paraId="7C20DF3C"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2"/>
      <w:bookmarkStart w:id="27" w:name="p-1104578"/>
      <w:bookmarkEnd w:id="26"/>
      <w:bookmarkEnd w:id="27"/>
    </w:p>
    <w:p w14:paraId="14210905"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12. The financing shall be issued as the regional aid in accordance with Article 14 of Commission Regulation No 651/2014.</w:t>
      </w:r>
    </w:p>
    <w:p w14:paraId="5263C0FC"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June 2022</w:t>
      </w:r>
      <w:r w:rsidRPr="003F572A">
        <w:rPr>
          <w:rFonts w:ascii="Times New Roman" w:hAnsi="Times New Roman"/>
          <w:noProof/>
          <w:sz w:val="24"/>
          <w:lang w:val="en-US"/>
        </w:rPr>
        <w:t>]</w:t>
      </w:r>
    </w:p>
    <w:p w14:paraId="57EF57EA"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13"/>
      <w:bookmarkStart w:id="29" w:name="p-1027923"/>
      <w:bookmarkEnd w:id="28"/>
      <w:bookmarkEnd w:id="29"/>
    </w:p>
    <w:p w14:paraId="140C9A15"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13. Within the scope of the financing attracted to the project of a merchant, the aid shall be provided for the initial investment in tangible assets (in accordance with Article 2(29) of Commission Regulation No 651/2014) and intangible assets (in accordance with Article 2(30) of Commission Regulation No 651/2014).</w:t>
      </w:r>
    </w:p>
    <w:p w14:paraId="427FC496"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December 2021</w:t>
      </w:r>
      <w:r w:rsidRPr="003F572A">
        <w:rPr>
          <w:rFonts w:ascii="Times New Roman" w:hAnsi="Times New Roman"/>
          <w:noProof/>
          <w:sz w:val="24"/>
          <w:lang w:val="en-US"/>
        </w:rPr>
        <w:t>]</w:t>
      </w:r>
    </w:p>
    <w:p w14:paraId="3AA587BC"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3_1"/>
      <w:bookmarkStart w:id="31" w:name="p-1104825"/>
      <w:bookmarkEnd w:id="30"/>
      <w:bookmarkEnd w:id="31"/>
    </w:p>
    <w:p w14:paraId="7B54F795"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13.</w:t>
      </w:r>
      <w:r w:rsidRPr="003F572A">
        <w:rPr>
          <w:rFonts w:ascii="Times New Roman" w:hAnsi="Times New Roman"/>
          <w:noProof/>
          <w:sz w:val="24"/>
          <w:vertAlign w:val="superscript"/>
          <w:lang w:val="en-US"/>
        </w:rPr>
        <w:t xml:space="preserve">1 </w:t>
      </w:r>
      <w:r w:rsidRPr="003F572A">
        <w:rPr>
          <w:rFonts w:ascii="Times New Roman" w:hAnsi="Times New Roman"/>
          <w:noProof/>
          <w:sz w:val="24"/>
          <w:lang w:val="en-US"/>
        </w:rPr>
        <w:t>The investment referred to in Paragraph 13 of this Regulation shall be subject to conformity with the following conditions:</w:t>
      </w:r>
    </w:p>
    <w:p w14:paraId="05AB097E"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13.</w:t>
      </w:r>
      <w:r w:rsidRPr="003F572A">
        <w:rPr>
          <w:rFonts w:ascii="Times New Roman" w:hAnsi="Times New Roman"/>
          <w:noProof/>
          <w:sz w:val="24"/>
          <w:vertAlign w:val="superscript"/>
          <w:lang w:val="en-US"/>
        </w:rPr>
        <w:t>1 </w:t>
      </w:r>
      <w:r w:rsidRPr="003F572A">
        <w:rPr>
          <w:rFonts w:ascii="Times New Roman" w:hAnsi="Times New Roman"/>
          <w:noProof/>
          <w:sz w:val="24"/>
          <w:lang w:val="en-US"/>
        </w:rPr>
        <w:t>1. the eligible project costs for medium-sized merchants shall be the initial investment in accordance with Article 2(49)(a) of Commission Regulation No 651/2014, while the eligible project costs for large merchants shall be the initial investment in accordance with Article 2(49)(a) and (b) of Commission Regulation No 651/2014;</w:t>
      </w:r>
    </w:p>
    <w:p w14:paraId="0D97CBB7"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13.</w:t>
      </w:r>
      <w:r w:rsidRPr="003F572A">
        <w:rPr>
          <w:rFonts w:ascii="Times New Roman" w:hAnsi="Times New Roman"/>
          <w:noProof/>
          <w:sz w:val="24"/>
          <w:vertAlign w:val="superscript"/>
          <w:lang w:val="en-US"/>
        </w:rPr>
        <w:t>1 </w:t>
      </w:r>
      <w:r w:rsidRPr="003F572A">
        <w:rPr>
          <w:rFonts w:ascii="Times New Roman" w:hAnsi="Times New Roman"/>
          <w:noProof/>
          <w:sz w:val="24"/>
          <w:lang w:val="en-US"/>
        </w:rPr>
        <w:t>2. the buildings and structures shall be new (except for the acquisition thereof by a medium-sized merchant and except for the acquisition of an establishment for large merchants);</w:t>
      </w:r>
    </w:p>
    <w:p w14:paraId="136EF404" w14:textId="77777777" w:rsidR="003F572A" w:rsidRPr="003F572A" w:rsidRDefault="003F572A" w:rsidP="003F57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13.</w:t>
      </w:r>
      <w:r w:rsidRPr="003F572A">
        <w:rPr>
          <w:rFonts w:ascii="Times New Roman" w:hAnsi="Times New Roman"/>
          <w:noProof/>
          <w:sz w:val="24"/>
          <w:vertAlign w:val="superscript"/>
          <w:lang w:val="en-US"/>
        </w:rPr>
        <w:t>1 </w:t>
      </w:r>
      <w:r w:rsidRPr="003F572A">
        <w:rPr>
          <w:rFonts w:ascii="Times New Roman" w:hAnsi="Times New Roman"/>
          <w:noProof/>
          <w:sz w:val="24"/>
          <w:lang w:val="en-US"/>
        </w:rPr>
        <w:t>2.</w:t>
      </w:r>
      <w:r w:rsidRPr="003F572A">
        <w:rPr>
          <w:rFonts w:ascii="Times New Roman" w:hAnsi="Times New Roman"/>
          <w:noProof/>
          <w:sz w:val="24"/>
          <w:vertAlign w:val="superscript"/>
          <w:lang w:val="en-US"/>
        </w:rPr>
        <w:t xml:space="preserve">1 </w:t>
      </w:r>
      <w:r w:rsidRPr="003F572A">
        <w:rPr>
          <w:rFonts w:ascii="Times New Roman" w:hAnsi="Times New Roman"/>
          <w:noProof/>
          <w:sz w:val="24"/>
          <w:lang w:val="en-US"/>
        </w:rPr>
        <w:t>other assets which are not referred to in Sub-paragraph 13.</w:t>
      </w:r>
      <w:r w:rsidRPr="003F572A">
        <w:rPr>
          <w:rFonts w:ascii="Times New Roman" w:hAnsi="Times New Roman"/>
          <w:noProof/>
          <w:sz w:val="24"/>
          <w:vertAlign w:val="superscript"/>
          <w:lang w:val="en-US"/>
        </w:rPr>
        <w:t>1 </w:t>
      </w:r>
      <w:r w:rsidRPr="003F572A">
        <w:rPr>
          <w:rFonts w:ascii="Times New Roman" w:hAnsi="Times New Roman"/>
          <w:noProof/>
          <w:sz w:val="24"/>
          <w:lang w:val="en-US"/>
        </w:rPr>
        <w:t>2 of this Regulation shall be new;</w:t>
      </w:r>
    </w:p>
    <w:p w14:paraId="2293EA56"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13.</w:t>
      </w:r>
      <w:r w:rsidRPr="003F572A">
        <w:rPr>
          <w:rFonts w:ascii="Times New Roman" w:hAnsi="Times New Roman"/>
          <w:noProof/>
          <w:sz w:val="24"/>
          <w:vertAlign w:val="superscript"/>
          <w:lang w:val="en-US"/>
        </w:rPr>
        <w:t>1 </w:t>
      </w:r>
      <w:r w:rsidRPr="003F572A">
        <w:rPr>
          <w:rFonts w:ascii="Times New Roman" w:hAnsi="Times New Roman"/>
          <w:noProof/>
          <w:sz w:val="24"/>
          <w:lang w:val="en-US"/>
        </w:rPr>
        <w:t>3. the costs related to lease of tangible assets shall conform to the conditions referred to in Article 14(6) of Commission Regulation No 651/2014 and, in the case of land, buildings and plant, the rights related to the lease and development have been corroborated in the Land Register (if applicable) or the lease and building rights must continue after the expected date of completion of the investment project for at least five years for large merchants or three years in the case of medium-sized merchants, and shall remain valid during the entire term of validity of the loan agreement;</w:t>
      </w:r>
    </w:p>
    <w:p w14:paraId="1F91B784"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13.</w:t>
      </w:r>
      <w:r w:rsidRPr="003F572A">
        <w:rPr>
          <w:rFonts w:ascii="Times New Roman" w:hAnsi="Times New Roman"/>
          <w:noProof/>
          <w:sz w:val="24"/>
          <w:vertAlign w:val="superscript"/>
          <w:lang w:val="en-US"/>
        </w:rPr>
        <w:t>1 </w:t>
      </w:r>
      <w:r w:rsidRPr="003F572A">
        <w:rPr>
          <w:rFonts w:ascii="Times New Roman" w:hAnsi="Times New Roman"/>
          <w:noProof/>
          <w:sz w:val="24"/>
          <w:lang w:val="en-US"/>
        </w:rPr>
        <w:t>4. the initial investment in construction or acquisition of immovable property shall be eligible only for a complex investment project which also involves the acquisition of equipment in conformity with the eligible investment ratio of up to 40 % for construction and acquisition of immovable property;</w:t>
      </w:r>
    </w:p>
    <w:p w14:paraId="343A075D"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13.</w:t>
      </w:r>
      <w:r w:rsidRPr="003F572A">
        <w:rPr>
          <w:rFonts w:ascii="Times New Roman" w:hAnsi="Times New Roman"/>
          <w:noProof/>
          <w:sz w:val="24"/>
          <w:vertAlign w:val="superscript"/>
          <w:lang w:val="en-US"/>
        </w:rPr>
        <w:t>1 </w:t>
      </w:r>
      <w:r w:rsidRPr="003F572A">
        <w:rPr>
          <w:rFonts w:ascii="Times New Roman" w:hAnsi="Times New Roman"/>
          <w:noProof/>
          <w:sz w:val="24"/>
          <w:lang w:val="en-US"/>
        </w:rPr>
        <w:t>5. intangible assets shall conform to the conditions referred to in Article 14(8) of Commission Regulation No 651/2014. For large merchants, intangible assets may be financed up to 50 % of the total eligible costs of investments;</w:t>
      </w:r>
    </w:p>
    <w:p w14:paraId="31394E68"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13.</w:t>
      </w:r>
      <w:r w:rsidRPr="003F572A">
        <w:rPr>
          <w:rFonts w:ascii="Times New Roman" w:hAnsi="Times New Roman"/>
          <w:noProof/>
          <w:sz w:val="24"/>
          <w:vertAlign w:val="superscript"/>
          <w:lang w:val="en-US"/>
        </w:rPr>
        <w:t>1 </w:t>
      </w:r>
      <w:r w:rsidRPr="003F572A">
        <w:rPr>
          <w:rFonts w:ascii="Times New Roman" w:hAnsi="Times New Roman"/>
          <w:noProof/>
          <w:sz w:val="24"/>
          <w:lang w:val="en-US"/>
        </w:rPr>
        <w:t>6. the aid intensity within the scope of the loan programme of the eligible project costs shall be as follows:</w:t>
      </w:r>
    </w:p>
    <w:p w14:paraId="7E81BA87" w14:textId="77777777" w:rsidR="003F572A" w:rsidRPr="003F572A" w:rsidRDefault="003F572A" w:rsidP="003F572A">
      <w:pPr>
        <w:shd w:val="clear" w:color="auto" w:fill="FFFFFF"/>
        <w:spacing w:after="0" w:line="240" w:lineRule="auto"/>
        <w:ind w:left="709" w:firstLine="709"/>
        <w:jc w:val="both"/>
        <w:rPr>
          <w:rFonts w:ascii="Times New Roman" w:hAnsi="Times New Roman"/>
          <w:noProof/>
          <w:sz w:val="24"/>
          <w:lang w:val="en-US"/>
        </w:rPr>
      </w:pPr>
      <w:r w:rsidRPr="003F572A">
        <w:rPr>
          <w:rFonts w:ascii="Times New Roman" w:hAnsi="Times New Roman"/>
          <w:noProof/>
          <w:sz w:val="24"/>
          <w:lang w:val="en-US"/>
        </w:rPr>
        <w:t>13.</w:t>
      </w:r>
      <w:r w:rsidRPr="003F572A">
        <w:rPr>
          <w:rFonts w:ascii="Times New Roman" w:hAnsi="Times New Roman"/>
          <w:noProof/>
          <w:sz w:val="24"/>
          <w:vertAlign w:val="superscript"/>
          <w:lang w:val="en-US"/>
        </w:rPr>
        <w:t>1 </w:t>
      </w:r>
      <w:r w:rsidRPr="003F572A">
        <w:rPr>
          <w:rFonts w:ascii="Times New Roman" w:hAnsi="Times New Roman"/>
          <w:noProof/>
          <w:sz w:val="24"/>
          <w:lang w:val="en-US"/>
        </w:rPr>
        <w:t>6.1. in level 3 region of the Nomenclature of Territorial Units for Statistics (hereinafter – NUTS-3) of Rīga and Pierīga – 30 % for large merchants or 40 % for medium-sized merchants;</w:t>
      </w:r>
    </w:p>
    <w:p w14:paraId="51DDC993" w14:textId="77777777" w:rsidR="003F572A" w:rsidRPr="003F572A" w:rsidRDefault="003F572A" w:rsidP="003F572A">
      <w:pPr>
        <w:shd w:val="clear" w:color="auto" w:fill="FFFFFF"/>
        <w:spacing w:after="0" w:line="240" w:lineRule="auto"/>
        <w:ind w:left="709" w:firstLine="709"/>
        <w:jc w:val="both"/>
        <w:rPr>
          <w:rFonts w:ascii="Times New Roman" w:hAnsi="Times New Roman"/>
          <w:noProof/>
          <w:sz w:val="24"/>
          <w:lang w:val="en-US"/>
        </w:rPr>
      </w:pPr>
      <w:r w:rsidRPr="003F572A">
        <w:rPr>
          <w:rFonts w:ascii="Times New Roman" w:hAnsi="Times New Roman"/>
          <w:noProof/>
          <w:sz w:val="24"/>
          <w:lang w:val="en-US"/>
        </w:rPr>
        <w:t>13.</w:t>
      </w:r>
      <w:r w:rsidRPr="003F572A">
        <w:rPr>
          <w:rFonts w:ascii="Times New Roman" w:hAnsi="Times New Roman"/>
          <w:noProof/>
          <w:sz w:val="24"/>
          <w:vertAlign w:val="superscript"/>
          <w:lang w:val="en-US"/>
        </w:rPr>
        <w:t>1 </w:t>
      </w:r>
      <w:r w:rsidRPr="003F572A">
        <w:rPr>
          <w:rFonts w:ascii="Times New Roman" w:hAnsi="Times New Roman"/>
          <w:noProof/>
          <w:sz w:val="24"/>
          <w:lang w:val="en-US"/>
        </w:rPr>
        <w:t>6.2. in NUTS-3 region of Kurzeme, Zemgale, Vidzeme, and Latgale – 40 % for large merchants or 50 % for medium-sized merchants;</w:t>
      </w:r>
    </w:p>
    <w:p w14:paraId="448AE20C"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13.</w:t>
      </w:r>
      <w:r w:rsidRPr="003F572A">
        <w:rPr>
          <w:rFonts w:ascii="Times New Roman" w:hAnsi="Times New Roman"/>
          <w:noProof/>
          <w:sz w:val="24"/>
          <w:vertAlign w:val="superscript"/>
          <w:lang w:val="en-US"/>
        </w:rPr>
        <w:t>1 </w:t>
      </w:r>
      <w:r w:rsidRPr="003F572A">
        <w:rPr>
          <w:rFonts w:ascii="Times New Roman" w:hAnsi="Times New Roman"/>
          <w:noProof/>
          <w:sz w:val="24"/>
          <w:lang w:val="en-US"/>
        </w:rPr>
        <w:t>7. if the initial investments planned in the project are made in Latvia within two or more different NUTS-3 aid intensity regions one of the following aid intensity will be applied:</w:t>
      </w:r>
    </w:p>
    <w:p w14:paraId="1F0EB171" w14:textId="77777777" w:rsidR="003F572A" w:rsidRPr="003F572A" w:rsidRDefault="003F572A" w:rsidP="003F572A">
      <w:pPr>
        <w:shd w:val="clear" w:color="auto" w:fill="FFFFFF"/>
        <w:spacing w:after="0" w:line="240" w:lineRule="auto"/>
        <w:ind w:left="709" w:firstLine="709"/>
        <w:jc w:val="both"/>
        <w:rPr>
          <w:rFonts w:ascii="Times New Roman" w:hAnsi="Times New Roman"/>
          <w:noProof/>
          <w:sz w:val="24"/>
          <w:lang w:val="en-US"/>
        </w:rPr>
      </w:pPr>
      <w:r w:rsidRPr="003F572A">
        <w:rPr>
          <w:rFonts w:ascii="Times New Roman" w:hAnsi="Times New Roman"/>
          <w:noProof/>
          <w:sz w:val="24"/>
          <w:lang w:val="en-US"/>
        </w:rPr>
        <w:t>13.</w:t>
      </w:r>
      <w:r w:rsidRPr="003F572A">
        <w:rPr>
          <w:rFonts w:ascii="Times New Roman" w:hAnsi="Times New Roman"/>
          <w:noProof/>
          <w:sz w:val="24"/>
          <w:vertAlign w:val="superscript"/>
          <w:lang w:val="en-US"/>
        </w:rPr>
        <w:t>1 </w:t>
      </w:r>
      <w:r w:rsidRPr="003F572A">
        <w:rPr>
          <w:rFonts w:ascii="Times New Roman" w:hAnsi="Times New Roman"/>
          <w:noProof/>
          <w:sz w:val="24"/>
          <w:lang w:val="en-US"/>
        </w:rPr>
        <w:t>7.1. the aid intensity of the respective NUTS-3 aid intensity region shall be applied to the initial investment costs of each NUTS-3 aid intensity region;</w:t>
      </w:r>
    </w:p>
    <w:p w14:paraId="11B9EFAE" w14:textId="77777777" w:rsidR="003F572A" w:rsidRPr="003F572A" w:rsidRDefault="003F572A" w:rsidP="003F572A">
      <w:pPr>
        <w:shd w:val="clear" w:color="auto" w:fill="FFFFFF"/>
        <w:spacing w:after="0" w:line="240" w:lineRule="auto"/>
        <w:ind w:left="709" w:firstLine="709"/>
        <w:jc w:val="both"/>
        <w:rPr>
          <w:rFonts w:ascii="Times New Roman" w:hAnsi="Times New Roman"/>
          <w:noProof/>
          <w:sz w:val="24"/>
          <w:lang w:val="en-US"/>
        </w:rPr>
      </w:pPr>
      <w:r w:rsidRPr="003F572A">
        <w:rPr>
          <w:rFonts w:ascii="Times New Roman" w:hAnsi="Times New Roman"/>
          <w:noProof/>
          <w:sz w:val="24"/>
          <w:lang w:val="en-US"/>
        </w:rPr>
        <w:t>13.</w:t>
      </w:r>
      <w:r w:rsidRPr="003F572A">
        <w:rPr>
          <w:rFonts w:ascii="Times New Roman" w:hAnsi="Times New Roman"/>
          <w:noProof/>
          <w:sz w:val="24"/>
          <w:vertAlign w:val="superscript"/>
          <w:lang w:val="en-US"/>
        </w:rPr>
        <w:t>1 </w:t>
      </w:r>
      <w:r w:rsidRPr="003F572A">
        <w:rPr>
          <w:rFonts w:ascii="Times New Roman" w:hAnsi="Times New Roman"/>
          <w:noProof/>
          <w:sz w:val="24"/>
          <w:lang w:val="en-US"/>
        </w:rPr>
        <w:t>7.2. if one or more different NUTS-3 aid intensity regions benefit from the initial investments irrespective of their locations, the lowest aid intensity from those applied to NUTS-3 aid intensity regions which benefit from the implementation of the project shall be applied to the whole project.</w:t>
      </w:r>
    </w:p>
    <w:p w14:paraId="252C9F75"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December 2021; 5 April 2022; 21 June 2022</w:t>
      </w:r>
      <w:r w:rsidRPr="003F572A">
        <w:rPr>
          <w:rFonts w:ascii="Times New Roman" w:hAnsi="Times New Roman"/>
          <w:noProof/>
          <w:sz w:val="24"/>
          <w:lang w:val="en-US"/>
        </w:rPr>
        <w:t>]</w:t>
      </w:r>
    </w:p>
    <w:p w14:paraId="3BEE1CA7"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14"/>
      <w:bookmarkStart w:id="33" w:name="p-1104826"/>
      <w:bookmarkEnd w:id="32"/>
      <w:bookmarkEnd w:id="33"/>
    </w:p>
    <w:p w14:paraId="38CE01A5"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14. In order to receive financing, a merchant must comply with the following conditions:</w:t>
      </w:r>
    </w:p>
    <w:p w14:paraId="5221DBA6"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14.1. the financing granted has an incentive effect and the application conforms to the requirements of Article 6(2) of Commission Regulation No 651/2014 concerning the information to be included in the application:</w:t>
      </w:r>
    </w:p>
    <w:p w14:paraId="77F45ECB" w14:textId="77777777" w:rsidR="003F572A" w:rsidRPr="003F572A" w:rsidRDefault="003F572A" w:rsidP="003F572A">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 xml:space="preserve">14.1.1. the application has been submitted to the company </w:t>
      </w:r>
      <w:r w:rsidRPr="003F572A">
        <w:rPr>
          <w:rFonts w:ascii="Times New Roman" w:hAnsi="Times New Roman"/>
          <w:i/>
          <w:iCs/>
          <w:noProof/>
          <w:sz w:val="24"/>
          <w:lang w:val="en-US"/>
        </w:rPr>
        <w:t xml:space="preserve">Altum </w:t>
      </w:r>
      <w:r w:rsidRPr="003F572A">
        <w:rPr>
          <w:rFonts w:ascii="Times New Roman" w:hAnsi="Times New Roman"/>
          <w:noProof/>
          <w:sz w:val="24"/>
          <w:lang w:val="en-US"/>
        </w:rPr>
        <w:t>prior to the commencement of the project in accordance with Article 6(2) of Commission Regulation No 651/2014;</w:t>
      </w:r>
    </w:p>
    <w:p w14:paraId="74E59CBC" w14:textId="77777777" w:rsidR="003F572A" w:rsidRPr="003F572A" w:rsidRDefault="003F572A" w:rsidP="003F572A">
      <w:pPr>
        <w:shd w:val="clear" w:color="auto" w:fill="FFFFFF"/>
        <w:spacing w:after="0" w:line="240" w:lineRule="auto"/>
        <w:ind w:left="709" w:firstLine="709"/>
        <w:jc w:val="both"/>
        <w:rPr>
          <w:rFonts w:ascii="Times New Roman" w:hAnsi="Times New Roman"/>
          <w:noProof/>
          <w:sz w:val="24"/>
          <w:lang w:val="en-US"/>
        </w:rPr>
      </w:pPr>
      <w:r w:rsidRPr="003F572A">
        <w:rPr>
          <w:rFonts w:ascii="Times New Roman" w:hAnsi="Times New Roman"/>
          <w:noProof/>
          <w:sz w:val="24"/>
          <w:lang w:val="en-US"/>
        </w:rPr>
        <w:t>14.1.2. if other public financing is attracted to the project, the project may be commenced when the application has been submitted in all the institutions where it has been applied for aid and the decision to grant the aid has been taken or an agreement (if aid is not granted by the decision) has been entered into. Within the meaning of Sub-paragraph 14.1.1 of this Regulation and this Sub-paragraph, the commenced project conforms to Article 2(23) of Commission Regulation No 651/2014, being a project for which implementation work has started, as evidenced by the start of construction works relating to the investment, or the first legally binding commitment to order equipment or any other commitment that makes the investment irreversible, whichever occurs first. Buying land and preparatory works such as receiving permits and conducting feasibility studies are not considered start of works. For take-overs, the start of works means the moment of acquiring the assets directly linked to the acquired establishment;</w:t>
      </w:r>
    </w:p>
    <w:p w14:paraId="27BAD667" w14:textId="77777777" w:rsidR="003F572A" w:rsidRPr="003F572A" w:rsidRDefault="003F572A" w:rsidP="003F57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 xml:space="preserve">14.2. a project which has been commenced before the application is submitted to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is not eligible;</w:t>
      </w:r>
    </w:p>
    <w:p w14:paraId="45BFFBDE" w14:textId="77777777" w:rsidR="003F572A" w:rsidRPr="003F572A" w:rsidRDefault="003F572A" w:rsidP="003F57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14.3. after completion of a project, the initial investments shall remain in Latvia within the relevant NUTS-3 intensity region where the supported project is implemented or, if the aid is granted by taking into account Sub-paragraph 13.</w:t>
      </w:r>
      <w:r w:rsidRPr="003F572A">
        <w:rPr>
          <w:rFonts w:ascii="Times New Roman" w:hAnsi="Times New Roman"/>
          <w:noProof/>
          <w:sz w:val="24"/>
          <w:vertAlign w:val="superscript"/>
          <w:lang w:val="en-US"/>
        </w:rPr>
        <w:t>1 </w:t>
      </w:r>
      <w:r w:rsidRPr="003F572A">
        <w:rPr>
          <w:rFonts w:ascii="Times New Roman" w:hAnsi="Times New Roman"/>
          <w:noProof/>
          <w:sz w:val="24"/>
          <w:lang w:val="en-US"/>
        </w:rPr>
        <w:t>7.2 of this Regulation, remain in Latvia for at least five years for large merchants or three years for medium-sized merchants;</w:t>
      </w:r>
    </w:p>
    <w:p w14:paraId="712E544E"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14.4. the merchant shall confirm that, during the last two years before applying for the aid, it has not moved its place of commercial activity from the European Economic Area to the place of commercial activity where the initial investment for which the aid is being requested will be made, and undertake not to do it for two years after the initial investment for which the aid is being requested is completed.</w:t>
      </w:r>
    </w:p>
    <w:p w14:paraId="19651A51"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December 2021; 5 April 2022; 21 June 2022</w:t>
      </w:r>
      <w:r w:rsidRPr="003F572A">
        <w:rPr>
          <w:rFonts w:ascii="Times New Roman" w:hAnsi="Times New Roman"/>
          <w:noProof/>
          <w:sz w:val="24"/>
          <w:lang w:val="en-US"/>
        </w:rPr>
        <w:t>]</w:t>
      </w:r>
    </w:p>
    <w:p w14:paraId="56AF5124"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5"/>
      <w:bookmarkStart w:id="35" w:name="p-790796"/>
      <w:bookmarkEnd w:id="34"/>
      <w:bookmarkEnd w:id="35"/>
    </w:p>
    <w:p w14:paraId="1EC8C95E"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15. The financing may be granted to large merchants for fundamental changes and diversification of an existing place of commercial activity if the conditions referred to in Article 14(7) of Commission Regulation No 651/2014 regarding the following are conformed to:</w:t>
      </w:r>
    </w:p>
    <w:p w14:paraId="17E1D538"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15.1. eligible costs for the fundamental changes in the production process;</w:t>
      </w:r>
    </w:p>
    <w:p w14:paraId="4DBD966A"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15.2. eligible costs for the diversification of an existing place of commercial activity.</w:t>
      </w:r>
    </w:p>
    <w:p w14:paraId="7D404EE0"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16"/>
      <w:bookmarkStart w:id="37" w:name="p-1104586"/>
      <w:bookmarkEnd w:id="36"/>
      <w:bookmarkEnd w:id="37"/>
    </w:p>
    <w:p w14:paraId="271ED692"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16. When co-financing a project with another funding provider, the provisions of Paragraph 19 of this Regulation, and also the following provisions shall be complied with:</w:t>
      </w:r>
    </w:p>
    <w:p w14:paraId="651A67CB" w14:textId="77777777" w:rsidR="003F572A" w:rsidRPr="003F572A" w:rsidRDefault="003F572A" w:rsidP="003F57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 xml:space="preserve">16.1. within the scope of this Paragraph, the loan granted by the company </w:t>
      </w:r>
      <w:r w:rsidRPr="003F572A">
        <w:rPr>
          <w:rFonts w:ascii="Times New Roman" w:hAnsi="Times New Roman"/>
          <w:i/>
          <w:iCs/>
          <w:noProof/>
          <w:sz w:val="24"/>
          <w:lang w:val="en-US"/>
        </w:rPr>
        <w:t xml:space="preserve">Altum </w:t>
      </w:r>
      <w:r w:rsidRPr="003F572A">
        <w:rPr>
          <w:rFonts w:ascii="Times New Roman" w:hAnsi="Times New Roman"/>
          <w:noProof/>
          <w:sz w:val="24"/>
          <w:lang w:val="en-US"/>
        </w:rPr>
        <w:t>shall be equal with the planned amount of the capital discount;</w:t>
      </w:r>
    </w:p>
    <w:p w14:paraId="410CBEE6" w14:textId="77777777" w:rsidR="003F572A" w:rsidRPr="003F572A" w:rsidRDefault="003F572A" w:rsidP="003F57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 xml:space="preserve">16.2. the financing of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is subordinated in the structure in respect of the loan provided by another funding provider and has been reinforced with a lower security layer than the loan provided by another funding provider;</w:t>
      </w:r>
    </w:p>
    <w:p w14:paraId="21044377" w14:textId="77777777" w:rsidR="003F572A" w:rsidRPr="003F572A" w:rsidRDefault="003F572A" w:rsidP="003F57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 xml:space="preserve">16.3. after receipt of the application for the financing,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shall contact another funding provider that according to the information specified by the merchant has agreed to provide financing within the scope of the project on the possibility to jointly finance the project;</w:t>
      </w:r>
    </w:p>
    <w:p w14:paraId="3B9CF1C4" w14:textId="77777777" w:rsidR="003F572A" w:rsidRPr="003F572A" w:rsidRDefault="003F572A" w:rsidP="003F57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 xml:space="preserve">16.4. the amount of loans granted by other funding providers is not less than the amount of the loan granted by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in accordance with this Regulation.</w:t>
      </w:r>
    </w:p>
    <w:p w14:paraId="0EF3B543"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June 2022</w:t>
      </w:r>
      <w:r w:rsidRPr="003F572A">
        <w:rPr>
          <w:rFonts w:ascii="Times New Roman" w:hAnsi="Times New Roman"/>
          <w:noProof/>
          <w:sz w:val="24"/>
          <w:lang w:val="en-US"/>
        </w:rPr>
        <w:t>]</w:t>
      </w:r>
    </w:p>
    <w:p w14:paraId="367D82A3"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7"/>
      <w:bookmarkStart w:id="39" w:name="p-1027951"/>
      <w:bookmarkEnd w:id="38"/>
      <w:bookmarkEnd w:id="39"/>
    </w:p>
    <w:p w14:paraId="08098301"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17. [21 December 2021]</w:t>
      </w:r>
    </w:p>
    <w:p w14:paraId="6FF38465"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8"/>
      <w:bookmarkStart w:id="41" w:name="p-790799"/>
      <w:bookmarkEnd w:id="40"/>
      <w:bookmarkEnd w:id="41"/>
    </w:p>
    <w:p w14:paraId="6C2AF805"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18. The term of the loan and of the loan extension shall be determined, taking into account the specific nature of the sector of the borrower, the economic cycle, the purpose of the use of the financing, and the lifetime and amortisation period of the assets to be acquired. The term of the loan and of the loan extension shall not exceed 20 years.</w:t>
      </w:r>
    </w:p>
    <w:p w14:paraId="4779D638"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19"/>
      <w:bookmarkStart w:id="43" w:name="p-1029740"/>
      <w:bookmarkEnd w:id="42"/>
      <w:bookmarkEnd w:id="43"/>
    </w:p>
    <w:p w14:paraId="281C0CAB"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19. Within the scope of the loan programme, the loans to the projects of merchants shall be issued in conformity with the following conditions:</w:t>
      </w:r>
    </w:p>
    <w:p w14:paraId="571ECC4B"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19.1. the amount of eligible costs intended in the project is at least EUR 10 000 000;</w:t>
      </w:r>
    </w:p>
    <w:p w14:paraId="539040B9"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19.2. within the meaning of this Regulation, the sectors to be supported (except for the sectors referred to in Paragraph 40 of this Regulation) are the types of economic activity which are implemented in the following priority areas of smart specialisation:</w:t>
      </w:r>
    </w:p>
    <w:p w14:paraId="600FCD20" w14:textId="77777777" w:rsidR="003F572A" w:rsidRPr="003F572A" w:rsidRDefault="003F572A" w:rsidP="003F572A">
      <w:pPr>
        <w:shd w:val="clear" w:color="auto" w:fill="FFFFFF"/>
        <w:spacing w:after="0" w:line="240" w:lineRule="auto"/>
        <w:ind w:left="709" w:firstLine="709"/>
        <w:jc w:val="both"/>
        <w:rPr>
          <w:rFonts w:ascii="Times New Roman" w:hAnsi="Times New Roman"/>
          <w:noProof/>
          <w:sz w:val="24"/>
          <w:lang w:val="en-US"/>
        </w:rPr>
      </w:pPr>
      <w:r w:rsidRPr="003F572A">
        <w:rPr>
          <w:rFonts w:ascii="Times New Roman" w:hAnsi="Times New Roman"/>
          <w:noProof/>
          <w:sz w:val="24"/>
          <w:lang w:val="en-US"/>
        </w:rPr>
        <w:t>19.2.1. knowledge-intensive bio-economy;</w:t>
      </w:r>
    </w:p>
    <w:p w14:paraId="593D2F3F" w14:textId="77777777" w:rsidR="003F572A" w:rsidRPr="003F572A" w:rsidRDefault="003F572A" w:rsidP="003F572A">
      <w:pPr>
        <w:shd w:val="clear" w:color="auto" w:fill="FFFFFF"/>
        <w:spacing w:after="0" w:line="240" w:lineRule="auto"/>
        <w:ind w:left="709" w:firstLine="709"/>
        <w:jc w:val="both"/>
        <w:rPr>
          <w:rFonts w:ascii="Times New Roman" w:hAnsi="Times New Roman"/>
          <w:noProof/>
          <w:sz w:val="24"/>
          <w:lang w:val="en-US"/>
        </w:rPr>
      </w:pPr>
      <w:r w:rsidRPr="003F572A">
        <w:rPr>
          <w:rFonts w:ascii="Times New Roman" w:hAnsi="Times New Roman"/>
          <w:noProof/>
          <w:sz w:val="24"/>
          <w:lang w:val="en-US"/>
        </w:rPr>
        <w:t>19.2.2. bio-medicine, medical technologies, pharmacy;</w:t>
      </w:r>
    </w:p>
    <w:p w14:paraId="1B4A6FF0" w14:textId="77777777" w:rsidR="003F572A" w:rsidRPr="003F572A" w:rsidRDefault="003F572A" w:rsidP="003F572A">
      <w:pPr>
        <w:shd w:val="clear" w:color="auto" w:fill="FFFFFF"/>
        <w:spacing w:after="0" w:line="240" w:lineRule="auto"/>
        <w:ind w:left="709" w:firstLine="709"/>
        <w:jc w:val="both"/>
        <w:rPr>
          <w:rFonts w:ascii="Times New Roman" w:hAnsi="Times New Roman"/>
          <w:noProof/>
          <w:sz w:val="24"/>
          <w:lang w:val="en-US"/>
        </w:rPr>
      </w:pPr>
      <w:r w:rsidRPr="003F572A">
        <w:rPr>
          <w:rFonts w:ascii="Times New Roman" w:hAnsi="Times New Roman"/>
          <w:noProof/>
          <w:sz w:val="24"/>
          <w:lang w:val="en-US"/>
        </w:rPr>
        <w:t>19.2.3. photonics and smart materials, technologies and engineering systems;</w:t>
      </w:r>
    </w:p>
    <w:p w14:paraId="11B4FAD2" w14:textId="77777777" w:rsidR="003F572A" w:rsidRPr="003F572A" w:rsidRDefault="003F572A" w:rsidP="003F572A">
      <w:pPr>
        <w:shd w:val="clear" w:color="auto" w:fill="FFFFFF"/>
        <w:spacing w:after="0" w:line="240" w:lineRule="auto"/>
        <w:ind w:left="709" w:firstLine="709"/>
        <w:jc w:val="both"/>
        <w:rPr>
          <w:rFonts w:ascii="Times New Roman" w:hAnsi="Times New Roman"/>
          <w:noProof/>
          <w:sz w:val="24"/>
          <w:lang w:val="en-US"/>
        </w:rPr>
      </w:pPr>
      <w:r w:rsidRPr="003F572A">
        <w:rPr>
          <w:rFonts w:ascii="Times New Roman" w:hAnsi="Times New Roman"/>
          <w:noProof/>
          <w:sz w:val="24"/>
          <w:lang w:val="en-US"/>
        </w:rPr>
        <w:t>19.2.4. smart power industry and mobility;</w:t>
      </w:r>
    </w:p>
    <w:p w14:paraId="6706F958" w14:textId="77777777" w:rsidR="003F572A" w:rsidRPr="003F572A" w:rsidRDefault="003F572A" w:rsidP="003F572A">
      <w:pPr>
        <w:shd w:val="clear" w:color="auto" w:fill="FFFFFF"/>
        <w:spacing w:after="0" w:line="240" w:lineRule="auto"/>
        <w:ind w:left="709" w:firstLine="709"/>
        <w:jc w:val="both"/>
        <w:rPr>
          <w:rFonts w:ascii="Times New Roman" w:hAnsi="Times New Roman"/>
          <w:noProof/>
          <w:sz w:val="24"/>
          <w:lang w:val="en-US"/>
        </w:rPr>
      </w:pPr>
      <w:r w:rsidRPr="003F572A">
        <w:rPr>
          <w:rFonts w:ascii="Times New Roman" w:hAnsi="Times New Roman"/>
          <w:noProof/>
          <w:sz w:val="24"/>
          <w:lang w:val="en-US"/>
        </w:rPr>
        <w:t>19.2.5. information and communication technologies;</w:t>
      </w:r>
    </w:p>
    <w:p w14:paraId="11988182"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19.3. the immovable property in which initial investment is made and used but which is not included in the eligible project costs is the property of the merchant or the merchant has the long-term lease and building rights to it for the time period for which the loan is issued; however, not less than five years after the follow-up period for large merchants or not less than three years after the follow-up period for medium-sized companies, and they have been corroborated in the Land Register. If the immovable property is being leased from the State or local government, the long-term lease and building rights must be at least for the time period for which the loan is issued; however, not less than five years after receipt of the capital discount for large merchants or not less than three years after receipt of the capital discount for medium-sized merchants;</w:t>
      </w:r>
    </w:p>
    <w:p w14:paraId="22AD1838"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19.4. the initial investment does not include the vehicles which, in accordance with the laws and regulations in the field of traffic, are intended for the registration with the Road Traffic Safety Directorate or the Register of Tractor-type Machinery of the State Technical Supervision Agency are not included in the initial long-term investments;</w:t>
      </w:r>
    </w:p>
    <w:p w14:paraId="6586D477"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19.5. the merchant must ensure accounting records in which investment project costs are clearly distinguished;</w:t>
      </w:r>
    </w:p>
    <w:p w14:paraId="0091B4F2"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19.6. the initial investment shall not include and aid shall not be granted for current assets;</w:t>
      </w:r>
    </w:p>
    <w:p w14:paraId="70D767FA"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19.7. the initial investment shall not include and aid shall not be granted to cover the value added tax.</w:t>
      </w:r>
    </w:p>
    <w:p w14:paraId="12BCC747"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[21 December 2021]</w:t>
      </w:r>
    </w:p>
    <w:p w14:paraId="6F35AB8F"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20"/>
      <w:bookmarkStart w:id="45" w:name="p-1104591"/>
      <w:bookmarkEnd w:id="44"/>
      <w:bookmarkEnd w:id="45"/>
    </w:p>
    <w:p w14:paraId="790372B3"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20. The maximum granted capital discount shall be up to 30 % of the eligible project costs; however, not more than EUR 10 000 000, without exceeding the permissible aid intensity referred to in Sub-paragraph 13.</w:t>
      </w:r>
      <w:r w:rsidRPr="003F572A">
        <w:rPr>
          <w:rFonts w:ascii="Times New Roman" w:hAnsi="Times New Roman"/>
          <w:noProof/>
          <w:sz w:val="24"/>
          <w:vertAlign w:val="superscript"/>
          <w:lang w:val="en-US"/>
        </w:rPr>
        <w:t>1 </w:t>
      </w:r>
      <w:r w:rsidRPr="003F572A">
        <w:rPr>
          <w:rFonts w:ascii="Times New Roman" w:hAnsi="Times New Roman"/>
          <w:noProof/>
          <w:sz w:val="24"/>
          <w:lang w:val="en-US"/>
        </w:rPr>
        <w:t>6 or Paragraph 33 of this Regulation.</w:t>
      </w:r>
    </w:p>
    <w:p w14:paraId="145430A5"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June 2022</w:t>
      </w:r>
      <w:r w:rsidRPr="003F572A">
        <w:rPr>
          <w:rFonts w:ascii="Times New Roman" w:hAnsi="Times New Roman"/>
          <w:noProof/>
          <w:sz w:val="24"/>
          <w:lang w:val="en-US"/>
        </w:rPr>
        <w:t>]</w:t>
      </w:r>
    </w:p>
    <w:p w14:paraId="7CDAE7E7"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21"/>
      <w:bookmarkStart w:id="47" w:name="p-1066350"/>
      <w:bookmarkEnd w:id="46"/>
      <w:bookmarkEnd w:id="47"/>
    </w:p>
    <w:p w14:paraId="74FF916F"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21. Investment projects that are expected to meet at least four of the following five criteria (hereinafter – the project indicators) at the end of each follow-up year after full completion of the investment project are eligible for the assessment of a request for financing within the scope of this programme:</w:t>
      </w:r>
    </w:p>
    <w:p w14:paraId="0B7B4DBB"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21.1. the monthly average gross remuneration for employees recruited as a result of the implementation of the investment project is not less than the amount of the monthly average gross remuneration in the previous year in the statistical region where the investment project will be implemented and to which the coefficient 1.3 is applied (except for Riga where the monthly average gross remuneration for employees is not less than the amount of the monthly average gross remuneration in national economy in the previous year to which the coefficient 1.3 is applied);</w:t>
      </w:r>
    </w:p>
    <w:p w14:paraId="1461C2E6"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21.2. as a result of the implementation of the investment project, the amount of export of goods or services is at least EUR 3 000 000 per annum;</w:t>
      </w:r>
    </w:p>
    <w:p w14:paraId="057E9B5E"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21.3. as a result of the implementation of the investment project, one new workplace of full-time work is created per each total available capital discount of EUR 250 000 and in total at least 12 new workplaces of full-time work are created and have been preserved throughout the respective follow-up period. During two years before the day of submitting the application for the financing, the persons who are intended to be employed in the newly created workplaces may not be employed in the group of the project applicant or related persons thereof according to the information provided by the State Revenue Service or the State Social Insurance Agency;</w:t>
      </w:r>
    </w:p>
    <w:p w14:paraId="651B2642"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21.4. the amount of investments of the merchant in research and development at corporate level is at least EUR 250 000 per annum;</w:t>
      </w:r>
    </w:p>
    <w:p w14:paraId="5D97AC42" w14:textId="77777777" w:rsidR="003F572A" w:rsidRPr="003F572A" w:rsidRDefault="003F572A" w:rsidP="003F572A">
      <w:pPr>
        <w:keepNext/>
        <w:keepLines/>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21.5. at least 20 % of the investments planned in the investment project are directed towards investments in the use of green technologies in the process of production of products and provision of services and in the production of other products directed towards reduction of the effect of climate changes (for example, accumulation and recovery of energy, creation of environmentally friendly and energy-efficient materials, smart mobility and clean transportation, management of water resources, reduction of air pollution, waste management – use of the surplus of productions processes, extension of the lifecycle of products).</w:t>
      </w:r>
    </w:p>
    <w:p w14:paraId="1EB84A9A"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December 2021; 5 April 2022</w:t>
      </w:r>
      <w:r w:rsidRPr="003F572A">
        <w:rPr>
          <w:rFonts w:ascii="Times New Roman" w:hAnsi="Times New Roman"/>
          <w:noProof/>
          <w:sz w:val="24"/>
          <w:lang w:val="en-US"/>
        </w:rPr>
        <w:t>]</w:t>
      </w:r>
    </w:p>
    <w:p w14:paraId="1F12BBA2"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21_1"/>
      <w:bookmarkStart w:id="49" w:name="p-1065705"/>
      <w:bookmarkEnd w:id="48"/>
      <w:bookmarkEnd w:id="49"/>
    </w:p>
    <w:p w14:paraId="2CB4E67B"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21.</w:t>
      </w:r>
      <w:r w:rsidRPr="003F572A">
        <w:rPr>
          <w:rFonts w:ascii="Times New Roman" w:hAnsi="Times New Roman"/>
          <w:noProof/>
          <w:sz w:val="24"/>
          <w:vertAlign w:val="superscript"/>
          <w:lang w:val="en-US"/>
        </w:rPr>
        <w:t xml:space="preserve">1 </w:t>
      </w:r>
      <w:r w:rsidRPr="003F572A">
        <w:rPr>
          <w:rFonts w:ascii="Times New Roman" w:hAnsi="Times New Roman"/>
          <w:noProof/>
          <w:sz w:val="24"/>
          <w:lang w:val="en-US"/>
        </w:rPr>
        <w:t>If several project applications have received the same score in the evaluation taking into account the criteria specified in Paragraph 21 of this Regulation, in taking the decision of the Agency to approve the application, preference shall be given to the project application to which a binding decision to grant a loan for the implementation of the project by a credit institution registered in the European Economic Area, its branch or its subsidiary which is entitled to provide financial services in Latvia, or a credit committee of an international financial institution has been appended.</w:t>
      </w:r>
    </w:p>
    <w:p w14:paraId="32FAD21A"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5 April 2022</w:t>
      </w:r>
      <w:r w:rsidRPr="003F572A">
        <w:rPr>
          <w:rFonts w:ascii="Times New Roman" w:hAnsi="Times New Roman"/>
          <w:noProof/>
          <w:sz w:val="24"/>
          <w:lang w:val="en-US"/>
        </w:rPr>
        <w:t>]</w:t>
      </w:r>
    </w:p>
    <w:p w14:paraId="5B5B0BFB"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21_2"/>
      <w:bookmarkStart w:id="51" w:name="p-1104592"/>
      <w:bookmarkEnd w:id="50"/>
      <w:bookmarkEnd w:id="51"/>
    </w:p>
    <w:p w14:paraId="4EE78289"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21.</w:t>
      </w:r>
      <w:r w:rsidRPr="003F572A">
        <w:rPr>
          <w:rFonts w:ascii="Times New Roman" w:hAnsi="Times New Roman"/>
          <w:noProof/>
          <w:sz w:val="24"/>
          <w:vertAlign w:val="superscript"/>
          <w:lang w:val="en-US"/>
        </w:rPr>
        <w:t xml:space="preserve">2 </w:t>
      </w:r>
      <w:r w:rsidRPr="003F572A">
        <w:rPr>
          <w:rFonts w:ascii="Times New Roman" w:hAnsi="Times New Roman"/>
          <w:noProof/>
          <w:sz w:val="24"/>
          <w:lang w:val="en-US"/>
        </w:rPr>
        <w:t xml:space="preserve">The agreement between the company </w:t>
      </w:r>
      <w:r w:rsidRPr="003F572A">
        <w:rPr>
          <w:rFonts w:ascii="Times New Roman" w:hAnsi="Times New Roman"/>
          <w:i/>
          <w:iCs/>
          <w:noProof/>
          <w:sz w:val="24"/>
          <w:lang w:val="en-US"/>
        </w:rPr>
        <w:t>Altum</w:t>
      </w:r>
      <w:r w:rsidRPr="003F572A">
        <w:rPr>
          <w:rFonts w:ascii="Times New Roman" w:hAnsi="Times New Roman"/>
          <w:noProof/>
          <w:sz w:val="24"/>
          <w:lang w:val="en-US"/>
        </w:rPr>
        <w:t xml:space="preserve">, the merchant, and another funding provider shall be signed within six months after taking the decision by the company </w:t>
      </w:r>
      <w:r w:rsidRPr="003F572A">
        <w:rPr>
          <w:rFonts w:ascii="Times New Roman" w:hAnsi="Times New Roman"/>
          <w:i/>
          <w:iCs/>
          <w:noProof/>
          <w:sz w:val="24"/>
          <w:lang w:val="en-US"/>
        </w:rPr>
        <w:t xml:space="preserve">Altum </w:t>
      </w:r>
      <w:r w:rsidRPr="003F572A">
        <w:rPr>
          <w:rFonts w:ascii="Times New Roman" w:hAnsi="Times New Roman"/>
          <w:noProof/>
          <w:sz w:val="24"/>
          <w:lang w:val="en-US"/>
        </w:rPr>
        <w:t xml:space="preserve">to finance the project of the merchant, but within twelve months if the total amount of project costs exceeds EUR 50 000 000. The company </w:t>
      </w:r>
      <w:r w:rsidRPr="003F572A">
        <w:rPr>
          <w:rFonts w:ascii="Times New Roman" w:hAnsi="Times New Roman"/>
          <w:i/>
          <w:iCs/>
          <w:noProof/>
          <w:sz w:val="24"/>
          <w:lang w:val="en-US"/>
        </w:rPr>
        <w:t xml:space="preserve">Altum </w:t>
      </w:r>
      <w:r w:rsidRPr="003F572A">
        <w:rPr>
          <w:rFonts w:ascii="Times New Roman" w:hAnsi="Times New Roman"/>
          <w:noProof/>
          <w:sz w:val="24"/>
          <w:lang w:val="en-US"/>
        </w:rPr>
        <w:t>has the right to extend the deadlines for signing the agreement specified in this Paragraph if deviations from these deadlines are caused by objective circumstances beyond the control of the merchant.</w:t>
      </w:r>
    </w:p>
    <w:p w14:paraId="2287A042"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June 2022</w:t>
      </w:r>
      <w:r w:rsidRPr="003F572A">
        <w:rPr>
          <w:rFonts w:ascii="Times New Roman" w:hAnsi="Times New Roman"/>
          <w:noProof/>
          <w:sz w:val="24"/>
          <w:lang w:val="en-US"/>
        </w:rPr>
        <w:t>]</w:t>
      </w:r>
    </w:p>
    <w:p w14:paraId="481BB953"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21_3"/>
      <w:bookmarkStart w:id="53" w:name="p-1104593"/>
      <w:bookmarkEnd w:id="52"/>
      <w:bookmarkEnd w:id="53"/>
    </w:p>
    <w:p w14:paraId="6AA18B94"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21.</w:t>
      </w:r>
      <w:r w:rsidRPr="003F572A">
        <w:rPr>
          <w:rFonts w:ascii="Times New Roman" w:hAnsi="Times New Roman"/>
          <w:noProof/>
          <w:sz w:val="24"/>
          <w:vertAlign w:val="superscript"/>
          <w:lang w:val="en-US"/>
        </w:rPr>
        <w:t xml:space="preserve">3 </w:t>
      </w:r>
      <w:r w:rsidRPr="003F572A">
        <w:rPr>
          <w:rFonts w:ascii="Times New Roman" w:hAnsi="Times New Roman"/>
          <w:noProof/>
          <w:sz w:val="24"/>
          <w:lang w:val="en-US"/>
        </w:rPr>
        <w:t xml:space="preserve">Within one year after signing the agreement between the company </w:t>
      </w:r>
      <w:r w:rsidRPr="003F572A">
        <w:rPr>
          <w:rFonts w:ascii="Times New Roman" w:hAnsi="Times New Roman"/>
          <w:i/>
          <w:iCs/>
          <w:noProof/>
          <w:sz w:val="24"/>
          <w:lang w:val="en-US"/>
        </w:rPr>
        <w:t>Altum</w:t>
      </w:r>
      <w:r w:rsidRPr="003F572A">
        <w:rPr>
          <w:rFonts w:ascii="Times New Roman" w:hAnsi="Times New Roman"/>
          <w:noProof/>
          <w:sz w:val="24"/>
          <w:lang w:val="en-US"/>
        </w:rPr>
        <w:t xml:space="preserve">, the merchant, and another funding provider, the merchant shall make payments in the amount of 10 % of the amount of the applicable capital discount within the scope of the investment project. If payments in the amount of 10 % are not made,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 xml:space="preserve">has the right to terminate the agreement. The company </w:t>
      </w:r>
      <w:r w:rsidRPr="003F572A">
        <w:rPr>
          <w:rFonts w:ascii="Times New Roman" w:hAnsi="Times New Roman"/>
          <w:i/>
          <w:iCs/>
          <w:noProof/>
          <w:sz w:val="24"/>
          <w:lang w:val="en-US"/>
        </w:rPr>
        <w:t xml:space="preserve">Altum </w:t>
      </w:r>
      <w:r w:rsidRPr="003F572A">
        <w:rPr>
          <w:rFonts w:ascii="Times New Roman" w:hAnsi="Times New Roman"/>
          <w:noProof/>
          <w:sz w:val="24"/>
          <w:lang w:val="en-US"/>
        </w:rPr>
        <w:t>has the right to extend the deadline specified in this Paragraph for the merchant if deviations from this deadline have occurred due to objective circumstances beyond the control of the merchant.</w:t>
      </w:r>
    </w:p>
    <w:p w14:paraId="52749238"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June 2022</w:t>
      </w:r>
      <w:r w:rsidRPr="003F572A">
        <w:rPr>
          <w:rFonts w:ascii="Times New Roman" w:hAnsi="Times New Roman"/>
          <w:noProof/>
          <w:sz w:val="24"/>
          <w:lang w:val="en-US"/>
        </w:rPr>
        <w:t>]</w:t>
      </w:r>
    </w:p>
    <w:p w14:paraId="5D1A45EF"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22"/>
      <w:bookmarkStart w:id="55" w:name="p-1065708"/>
      <w:bookmarkEnd w:id="54"/>
      <w:bookmarkEnd w:id="55"/>
    </w:p>
    <w:p w14:paraId="53F9C8A0"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 xml:space="preserve">22. After the investment project has been fully completed and the merchant has submitted the application for the commencement of the follow-up, but no later than two years after the investment project has been fully completed, the Agency shall commence and implement for three years the follow-up of the project indicators specified in the application submitted as part of the relevant selection round of the relevant investment project. The Agency shall assess the fulfilment of the criteria for the project indicators in each follow-up year after the end of the relevant follow-up year. If the merchant fails to provide information to the Agency, the capital discount is not applied. In order to ensure conformity of the project and the aid granted with this Regulation,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 xml:space="preserve">has the right to transfer data on the merchant and the project to the Agency, whereas the Agency has the right to transfer data on the merchant and the project to the company </w:t>
      </w:r>
      <w:r w:rsidRPr="003F572A">
        <w:rPr>
          <w:rFonts w:ascii="Times New Roman" w:hAnsi="Times New Roman"/>
          <w:i/>
          <w:noProof/>
          <w:sz w:val="24"/>
          <w:lang w:val="en-US"/>
        </w:rPr>
        <w:t>Altum</w:t>
      </w:r>
      <w:r w:rsidRPr="003F572A">
        <w:rPr>
          <w:rFonts w:ascii="Times New Roman" w:hAnsi="Times New Roman"/>
          <w:noProof/>
          <w:sz w:val="24"/>
          <w:lang w:val="en-US"/>
        </w:rPr>
        <w:t xml:space="preserve">.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and the Agency have the right to request and receive direct access to data in State information systems, databases, and registers free of charge to the extent necessary for the implementation of the investment and the provision of support to merchants within the scope of this Regulation.</w:t>
      </w:r>
    </w:p>
    <w:p w14:paraId="3092840F"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5 April 2022</w:t>
      </w:r>
      <w:r w:rsidRPr="003F572A">
        <w:rPr>
          <w:rFonts w:ascii="Times New Roman" w:hAnsi="Times New Roman"/>
          <w:noProof/>
          <w:sz w:val="24"/>
          <w:lang w:val="en-US"/>
        </w:rPr>
        <w:t>]</w:t>
      </w:r>
    </w:p>
    <w:p w14:paraId="7FE0F66E"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22_1"/>
      <w:bookmarkStart w:id="57" w:name="p-1027981"/>
      <w:bookmarkEnd w:id="56"/>
      <w:bookmarkEnd w:id="57"/>
    </w:p>
    <w:p w14:paraId="745AE8FF"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22.</w:t>
      </w:r>
      <w:r w:rsidRPr="003F572A">
        <w:rPr>
          <w:rFonts w:ascii="Times New Roman" w:hAnsi="Times New Roman"/>
          <w:noProof/>
          <w:sz w:val="24"/>
          <w:vertAlign w:val="superscript"/>
          <w:lang w:val="en-US"/>
        </w:rPr>
        <w:t xml:space="preserve">1 </w:t>
      </w:r>
      <w:r w:rsidRPr="003F572A">
        <w:rPr>
          <w:rFonts w:ascii="Times New Roman" w:hAnsi="Times New Roman"/>
          <w:noProof/>
          <w:sz w:val="24"/>
          <w:lang w:val="en-US"/>
        </w:rPr>
        <w:t xml:space="preserve">It shall be regarded that the investment project has been fully completed according to the end date of the project implementation specified in Sub-paragraph 29.2.3 of this Regulation or according to the information provided by the company </w:t>
      </w:r>
      <w:r w:rsidRPr="003F572A">
        <w:rPr>
          <w:rFonts w:ascii="Times New Roman" w:hAnsi="Times New Roman"/>
          <w:i/>
          <w:iCs/>
          <w:noProof/>
          <w:sz w:val="24"/>
          <w:lang w:val="en-US"/>
        </w:rPr>
        <w:t xml:space="preserve">Altum </w:t>
      </w:r>
      <w:r w:rsidRPr="003F572A">
        <w:rPr>
          <w:rFonts w:ascii="Times New Roman" w:hAnsi="Times New Roman"/>
          <w:noProof/>
          <w:sz w:val="24"/>
          <w:lang w:val="en-US"/>
        </w:rPr>
        <w:t>on changes in the investment project implementation deadlines.</w:t>
      </w:r>
    </w:p>
    <w:p w14:paraId="5EA97566"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December 2021</w:t>
      </w:r>
      <w:r w:rsidRPr="003F572A">
        <w:rPr>
          <w:rFonts w:ascii="Times New Roman" w:hAnsi="Times New Roman"/>
          <w:noProof/>
          <w:sz w:val="24"/>
          <w:lang w:val="en-US"/>
        </w:rPr>
        <w:t>]</w:t>
      </w:r>
    </w:p>
    <w:p w14:paraId="2609A026"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22_2"/>
      <w:bookmarkStart w:id="59" w:name="p-1027982"/>
      <w:bookmarkEnd w:id="58"/>
      <w:bookmarkEnd w:id="59"/>
    </w:p>
    <w:p w14:paraId="5A51A054"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22.</w:t>
      </w:r>
      <w:r w:rsidRPr="003F572A">
        <w:rPr>
          <w:rFonts w:ascii="Times New Roman" w:hAnsi="Times New Roman"/>
          <w:noProof/>
          <w:sz w:val="24"/>
          <w:vertAlign w:val="superscript"/>
          <w:lang w:val="en-US"/>
        </w:rPr>
        <w:t xml:space="preserve">2 </w:t>
      </w:r>
      <w:r w:rsidRPr="003F572A">
        <w:rPr>
          <w:rFonts w:ascii="Times New Roman" w:hAnsi="Times New Roman"/>
          <w:noProof/>
          <w:sz w:val="24"/>
          <w:lang w:val="en-US"/>
        </w:rPr>
        <w:t xml:space="preserve">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 xml:space="preserve">may apply the capital discount if the Agency has taken the decision on the achievement of the project indicators specified in the application for the relevant project selection round. The Agency shall take its decision within two months after the end of the follow-up year and shall inform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 xml:space="preserve">of its decision. The Agency shall carry out the evaluation of the project indicators after the end of each follow-up year. If the Agency concludes that the established project indicators have not been fulfilled and decides on the non-fulfilment of the project indicators specified in the application for the relevant project selection round, notifying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 xml:space="preserve">thereof, the capital discount applied to the loan granted by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is not applied in respect of the relevant follow-up year.</w:t>
      </w:r>
    </w:p>
    <w:p w14:paraId="08809E25"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December 2021</w:t>
      </w:r>
      <w:r w:rsidRPr="003F572A">
        <w:rPr>
          <w:rFonts w:ascii="Times New Roman" w:hAnsi="Times New Roman"/>
          <w:noProof/>
          <w:sz w:val="24"/>
          <w:lang w:val="en-US"/>
        </w:rPr>
        <w:t>]</w:t>
      </w:r>
    </w:p>
    <w:p w14:paraId="493FACEF"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22_3"/>
      <w:bookmarkStart w:id="61" w:name="p-1027983"/>
      <w:bookmarkEnd w:id="60"/>
      <w:bookmarkEnd w:id="61"/>
    </w:p>
    <w:p w14:paraId="2ADA2F35"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22.</w:t>
      </w:r>
      <w:r w:rsidRPr="003F572A">
        <w:rPr>
          <w:rFonts w:ascii="Times New Roman" w:hAnsi="Times New Roman"/>
          <w:noProof/>
          <w:sz w:val="24"/>
          <w:vertAlign w:val="superscript"/>
          <w:lang w:val="en-US"/>
        </w:rPr>
        <w:t xml:space="preserve">3 </w:t>
      </w:r>
      <w:r w:rsidRPr="003F572A">
        <w:rPr>
          <w:rFonts w:ascii="Times New Roman" w:hAnsi="Times New Roman"/>
          <w:noProof/>
          <w:sz w:val="24"/>
          <w:lang w:val="en-US"/>
        </w:rPr>
        <w:t xml:space="preserve">The capital discount is applied in three parts. After each follow-up year, the principal amount of the loan granted by the company </w:t>
      </w:r>
      <w:r w:rsidRPr="003F572A">
        <w:rPr>
          <w:rFonts w:ascii="Times New Roman" w:hAnsi="Times New Roman"/>
          <w:i/>
          <w:iCs/>
          <w:noProof/>
          <w:sz w:val="24"/>
          <w:lang w:val="en-US"/>
        </w:rPr>
        <w:t xml:space="preserve">Altum </w:t>
      </w:r>
      <w:r w:rsidRPr="003F572A">
        <w:rPr>
          <w:rFonts w:ascii="Times New Roman" w:hAnsi="Times New Roman"/>
          <w:noProof/>
          <w:sz w:val="24"/>
          <w:lang w:val="en-US"/>
        </w:rPr>
        <w:t>may be reduced by one third in conformity with the conditions referred to in Paragraphs 21 and 22.</w:t>
      </w:r>
      <w:r w:rsidRPr="003F572A">
        <w:rPr>
          <w:rFonts w:ascii="Times New Roman" w:hAnsi="Times New Roman"/>
          <w:noProof/>
          <w:sz w:val="24"/>
          <w:vertAlign w:val="superscript"/>
          <w:lang w:val="en-US"/>
        </w:rPr>
        <w:t xml:space="preserve">2 </w:t>
      </w:r>
      <w:r w:rsidRPr="003F572A">
        <w:rPr>
          <w:rFonts w:ascii="Times New Roman" w:hAnsi="Times New Roman"/>
          <w:noProof/>
          <w:sz w:val="24"/>
          <w:lang w:val="en-US"/>
        </w:rPr>
        <w:t>of this Regulation.</w:t>
      </w:r>
    </w:p>
    <w:p w14:paraId="0F51CAB1"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December 2021</w:t>
      </w:r>
      <w:r w:rsidRPr="003F572A">
        <w:rPr>
          <w:rFonts w:ascii="Times New Roman" w:hAnsi="Times New Roman"/>
          <w:noProof/>
          <w:sz w:val="24"/>
          <w:lang w:val="en-US"/>
        </w:rPr>
        <w:t>]</w:t>
      </w:r>
    </w:p>
    <w:p w14:paraId="4FD991E3"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22_4"/>
      <w:bookmarkStart w:id="63" w:name="p-1027984"/>
      <w:bookmarkEnd w:id="62"/>
      <w:bookmarkEnd w:id="63"/>
    </w:p>
    <w:p w14:paraId="68BE8409"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22.</w:t>
      </w:r>
      <w:r w:rsidRPr="003F572A">
        <w:rPr>
          <w:rFonts w:ascii="Times New Roman" w:hAnsi="Times New Roman"/>
          <w:noProof/>
          <w:sz w:val="24"/>
          <w:vertAlign w:val="superscript"/>
          <w:lang w:val="en-US"/>
        </w:rPr>
        <w:t xml:space="preserve">4 </w:t>
      </w:r>
      <w:r w:rsidRPr="003F572A">
        <w:rPr>
          <w:rFonts w:ascii="Times New Roman" w:hAnsi="Times New Roman"/>
          <w:noProof/>
          <w:sz w:val="24"/>
          <w:lang w:val="en-US"/>
        </w:rPr>
        <w:t>The merchant has the obligation to keep the documents referred to in Paragraphs 29 and 31 of this Regulation and the originals of documents related to the implementation of the project or copies thereof certified in accordance with the procedures laid down in laws and regulations regarding development and drawing up of documents until the end of the evaluation of applications for financing within the scope of the relevant selection round, but, if the application for financing is approved, for ten years after full completion of the project.</w:t>
      </w:r>
    </w:p>
    <w:p w14:paraId="6FDC2D8D"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December 2021</w:t>
      </w:r>
      <w:r w:rsidRPr="003F572A">
        <w:rPr>
          <w:rFonts w:ascii="Times New Roman" w:hAnsi="Times New Roman"/>
          <w:noProof/>
          <w:sz w:val="24"/>
          <w:lang w:val="en-US"/>
        </w:rPr>
        <w:t>]</w:t>
      </w:r>
    </w:p>
    <w:p w14:paraId="6CCC63B8"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22_5"/>
      <w:bookmarkStart w:id="65" w:name="p-1065709"/>
      <w:bookmarkEnd w:id="64"/>
      <w:bookmarkEnd w:id="65"/>
    </w:p>
    <w:p w14:paraId="781A8074"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22.</w:t>
      </w:r>
      <w:r w:rsidRPr="003F572A">
        <w:rPr>
          <w:rFonts w:ascii="Times New Roman" w:hAnsi="Times New Roman"/>
          <w:noProof/>
          <w:sz w:val="24"/>
          <w:vertAlign w:val="superscript"/>
          <w:lang w:val="en-US"/>
        </w:rPr>
        <w:t xml:space="preserve">5 </w:t>
      </w:r>
      <w:r w:rsidRPr="003F572A">
        <w:rPr>
          <w:rFonts w:ascii="Times New Roman" w:hAnsi="Times New Roman"/>
          <w:noProof/>
          <w:sz w:val="24"/>
          <w:lang w:val="en-US"/>
        </w:rPr>
        <w:t xml:space="preserve">Within the scope of the follow-up specified in Paragraph 22 of this Regulation, the merchant has the obligation to provide access for the representatives of the Agency and the company </w:t>
      </w:r>
      <w:r w:rsidRPr="003F572A">
        <w:rPr>
          <w:rFonts w:ascii="Times New Roman" w:hAnsi="Times New Roman"/>
          <w:i/>
          <w:iCs/>
          <w:noProof/>
          <w:sz w:val="24"/>
          <w:lang w:val="en-US"/>
        </w:rPr>
        <w:t xml:space="preserve">Altum </w:t>
      </w:r>
      <w:r w:rsidRPr="003F572A">
        <w:rPr>
          <w:rFonts w:ascii="Times New Roman" w:hAnsi="Times New Roman"/>
          <w:noProof/>
          <w:sz w:val="24"/>
          <w:lang w:val="en-US"/>
        </w:rPr>
        <w:t>to the documents referred to in Paragraph 22.</w:t>
      </w:r>
      <w:r w:rsidRPr="003F572A">
        <w:rPr>
          <w:rFonts w:ascii="Times New Roman" w:hAnsi="Times New Roman"/>
          <w:noProof/>
          <w:sz w:val="24"/>
          <w:vertAlign w:val="superscript"/>
          <w:lang w:val="en-US"/>
        </w:rPr>
        <w:t xml:space="preserve">4 </w:t>
      </w:r>
      <w:r w:rsidRPr="003F572A">
        <w:rPr>
          <w:rFonts w:ascii="Times New Roman" w:hAnsi="Times New Roman"/>
          <w:noProof/>
          <w:sz w:val="24"/>
          <w:lang w:val="en-US"/>
        </w:rPr>
        <w:t>of this Regulation or copies thereof and to the tangible and intangible assets referred to in Paragraph 13 of this Regulation.</w:t>
      </w:r>
    </w:p>
    <w:p w14:paraId="2BBED0A9"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5 April 2022</w:t>
      </w:r>
      <w:r w:rsidRPr="003F572A">
        <w:rPr>
          <w:rFonts w:ascii="Times New Roman" w:hAnsi="Times New Roman"/>
          <w:noProof/>
          <w:sz w:val="24"/>
          <w:lang w:val="en-US"/>
        </w:rPr>
        <w:t>]</w:t>
      </w:r>
    </w:p>
    <w:p w14:paraId="5257BA3C"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23"/>
      <w:bookmarkStart w:id="67" w:name="p-790804"/>
      <w:bookmarkEnd w:id="66"/>
      <w:bookmarkEnd w:id="67"/>
    </w:p>
    <w:p w14:paraId="0A907DA5"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23. The merchant shall, in accordance with Article 14(14) of Commission Regulation No 651/2014, ensure co-financing in the amount of at least 25 % of eligible costs of the project, using own resources or external financing, including a long-term credit or financial leasing issued by another funding provider, and no public aid, including de minimis aid, may be received for such co-financing.</w:t>
      </w:r>
    </w:p>
    <w:p w14:paraId="6430E15B"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24"/>
      <w:bookmarkStart w:id="69" w:name="p-1104594"/>
      <w:bookmarkEnd w:id="68"/>
      <w:bookmarkEnd w:id="69"/>
    </w:p>
    <w:p w14:paraId="424245A9"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 xml:space="preserve">24. The interest rate of the loan granted by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shall be equal to the interest rate of another funding provider. If EURIBOR is negative at the time of fixing, reviewing or amending the variable rate, EURIBOR shall be set at the value of 0 (zero).</w:t>
      </w:r>
    </w:p>
    <w:p w14:paraId="037749ED"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June 2022</w:t>
      </w:r>
      <w:r w:rsidRPr="003F572A">
        <w:rPr>
          <w:rFonts w:ascii="Times New Roman" w:hAnsi="Times New Roman"/>
          <w:noProof/>
          <w:sz w:val="24"/>
          <w:lang w:val="en-US"/>
        </w:rPr>
        <w:t>]</w:t>
      </w:r>
    </w:p>
    <w:p w14:paraId="125BC14C"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24_1"/>
      <w:bookmarkStart w:id="71" w:name="p-1104595"/>
      <w:bookmarkEnd w:id="70"/>
      <w:bookmarkEnd w:id="71"/>
    </w:p>
    <w:p w14:paraId="65133CED"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24.</w:t>
      </w:r>
      <w:r w:rsidRPr="003F572A">
        <w:rPr>
          <w:rFonts w:ascii="Times New Roman" w:hAnsi="Times New Roman"/>
          <w:noProof/>
          <w:sz w:val="24"/>
          <w:vertAlign w:val="superscript"/>
          <w:lang w:val="en-US"/>
        </w:rPr>
        <w:t xml:space="preserve">1 </w:t>
      </w:r>
      <w:r w:rsidRPr="003F572A">
        <w:rPr>
          <w:rFonts w:ascii="Times New Roman" w:hAnsi="Times New Roman"/>
          <w:noProof/>
          <w:sz w:val="24"/>
          <w:lang w:val="en-US"/>
        </w:rPr>
        <w:t>[21 June 2022]</w:t>
      </w:r>
    </w:p>
    <w:p w14:paraId="2E153268"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25"/>
      <w:bookmarkStart w:id="73" w:name="p-1027987"/>
      <w:bookmarkEnd w:id="72"/>
      <w:bookmarkEnd w:id="73"/>
    </w:p>
    <w:p w14:paraId="7E3B7F3E"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25. [21 December 2021]</w:t>
      </w:r>
    </w:p>
    <w:p w14:paraId="4B8D67F5"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26"/>
      <w:bookmarkStart w:id="75" w:name="p-1027989"/>
      <w:bookmarkEnd w:id="74"/>
      <w:bookmarkEnd w:id="75"/>
    </w:p>
    <w:p w14:paraId="0AD9F45B"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 xml:space="preserve">26. The repayment of the principal amount of the loan granted by the company </w:t>
      </w:r>
      <w:r w:rsidRPr="003F572A">
        <w:rPr>
          <w:rFonts w:ascii="Times New Roman" w:hAnsi="Times New Roman"/>
          <w:i/>
          <w:iCs/>
          <w:noProof/>
          <w:sz w:val="24"/>
          <w:lang w:val="en-US"/>
        </w:rPr>
        <w:t xml:space="preserve">Altum </w:t>
      </w:r>
      <w:r w:rsidRPr="003F572A">
        <w:rPr>
          <w:rFonts w:ascii="Times New Roman" w:hAnsi="Times New Roman"/>
          <w:noProof/>
          <w:sz w:val="24"/>
          <w:lang w:val="en-US"/>
        </w:rPr>
        <w:t>for the relevant third of the loan shall be started by the merchant in accordance with Paragraph 22.</w:t>
      </w:r>
      <w:r w:rsidRPr="003F572A">
        <w:rPr>
          <w:rFonts w:ascii="Times New Roman" w:hAnsi="Times New Roman"/>
          <w:noProof/>
          <w:sz w:val="24"/>
          <w:vertAlign w:val="superscript"/>
          <w:lang w:val="en-US"/>
        </w:rPr>
        <w:t xml:space="preserve">3 </w:t>
      </w:r>
      <w:r w:rsidRPr="003F572A">
        <w:rPr>
          <w:rFonts w:ascii="Times New Roman" w:hAnsi="Times New Roman"/>
          <w:noProof/>
          <w:sz w:val="24"/>
          <w:lang w:val="en-US"/>
        </w:rPr>
        <w:t>of this Regulation not later than six months after the end of the relevant follow-up year if no decision of the Agency has been received for the relevant follow-up year or if a decision of the Agency has been received in accordance with Paragraph 22.</w:t>
      </w:r>
      <w:r w:rsidRPr="003F572A">
        <w:rPr>
          <w:rFonts w:ascii="Times New Roman" w:hAnsi="Times New Roman"/>
          <w:noProof/>
          <w:sz w:val="24"/>
          <w:vertAlign w:val="superscript"/>
          <w:lang w:val="en-US"/>
        </w:rPr>
        <w:t xml:space="preserve">2 </w:t>
      </w:r>
      <w:r w:rsidRPr="003F572A">
        <w:rPr>
          <w:rFonts w:ascii="Times New Roman" w:hAnsi="Times New Roman"/>
          <w:noProof/>
          <w:sz w:val="24"/>
          <w:lang w:val="en-US"/>
        </w:rPr>
        <w:t xml:space="preserve">of this Regulation for the non-fulfilment of the project indicators specified in the application for the relevant project selection round for the relevant follow-up year. The principal amount of the loan paid by the merchant to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until the decision of the Agency on the achievement of the project indicators specified in the application for the relevant project selection round for the relevant follow-up year has been taken shall not be returned to the merchant and the capital discount available for the project for the relevant follow-up year shall be reduced by this amount.</w:t>
      </w:r>
    </w:p>
    <w:p w14:paraId="667FEC12"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December 2021</w:t>
      </w:r>
      <w:r w:rsidRPr="003F572A">
        <w:rPr>
          <w:rFonts w:ascii="Times New Roman" w:hAnsi="Times New Roman"/>
          <w:noProof/>
          <w:sz w:val="24"/>
          <w:lang w:val="en-US"/>
        </w:rPr>
        <w:t>]</w:t>
      </w:r>
    </w:p>
    <w:p w14:paraId="54906466"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27"/>
      <w:bookmarkStart w:id="77" w:name="p-1065715"/>
      <w:bookmarkEnd w:id="76"/>
      <w:bookmarkEnd w:id="77"/>
    </w:p>
    <w:p w14:paraId="4268928B"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 xml:space="preserve">27. If the provisions on control of aid for commercial activity laid down in this Regulation, including the provisions laid down in Commission Regulation No 651/2014, are violated, the loan beneficiary has the obligation to reimburse to the company </w:t>
      </w:r>
      <w:r w:rsidRPr="003F572A">
        <w:rPr>
          <w:rFonts w:ascii="Times New Roman" w:hAnsi="Times New Roman"/>
          <w:i/>
          <w:iCs/>
          <w:noProof/>
          <w:sz w:val="24"/>
          <w:lang w:val="en-US"/>
        </w:rPr>
        <w:t xml:space="preserve">Altum </w:t>
      </w:r>
      <w:r w:rsidRPr="003F572A">
        <w:rPr>
          <w:rFonts w:ascii="Times New Roman" w:hAnsi="Times New Roman"/>
          <w:noProof/>
          <w:sz w:val="24"/>
          <w:lang w:val="en-US"/>
        </w:rPr>
        <w:t>the unlawfully received aid for commercial activity within the scope of the project, together with interest using funds free of aid for commercial activity, in accordance with the conditions of Chapter IV or V of the Law on Control of Aid for Commercial Activity.</w:t>
      </w:r>
    </w:p>
    <w:p w14:paraId="40CAB124"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5 April 2022</w:t>
      </w:r>
      <w:r w:rsidRPr="003F572A">
        <w:rPr>
          <w:rFonts w:ascii="Times New Roman" w:hAnsi="Times New Roman"/>
          <w:noProof/>
          <w:sz w:val="24"/>
          <w:lang w:val="en-US"/>
        </w:rPr>
        <w:t>]</w:t>
      </w:r>
    </w:p>
    <w:p w14:paraId="3AFA9954"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n3"/>
      <w:bookmarkStart w:id="79" w:name="n-1027993"/>
      <w:bookmarkEnd w:id="78"/>
      <w:bookmarkEnd w:id="79"/>
    </w:p>
    <w:p w14:paraId="3AD910E5" w14:textId="77777777" w:rsidR="003F572A" w:rsidRPr="003F572A" w:rsidRDefault="003F572A" w:rsidP="003F572A">
      <w:pPr>
        <w:shd w:val="clear" w:color="auto" w:fill="FFFFFF"/>
        <w:spacing w:after="0" w:line="240" w:lineRule="auto"/>
        <w:jc w:val="center"/>
        <w:rPr>
          <w:rFonts w:ascii="Times New Roman" w:hAnsi="Times New Roman"/>
          <w:b/>
          <w:noProof/>
          <w:sz w:val="24"/>
          <w:lang w:val="en-US"/>
        </w:rPr>
      </w:pPr>
      <w:r w:rsidRPr="003F572A">
        <w:rPr>
          <w:rFonts w:ascii="Times New Roman" w:hAnsi="Times New Roman"/>
          <w:b/>
          <w:noProof/>
          <w:sz w:val="24"/>
          <w:lang w:val="en-US"/>
        </w:rPr>
        <w:t>III. Procedures for the Submission and Approval of an Application for Project Selection Rounds</w:t>
      </w:r>
    </w:p>
    <w:p w14:paraId="3469F1D1" w14:textId="77777777" w:rsidR="003F572A" w:rsidRPr="003F572A" w:rsidRDefault="003F572A" w:rsidP="003F572A">
      <w:pPr>
        <w:shd w:val="clear" w:color="auto" w:fill="FFFFFF"/>
        <w:spacing w:after="0" w:line="240" w:lineRule="auto"/>
        <w:jc w:val="center"/>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December 2021</w:t>
      </w:r>
      <w:r w:rsidRPr="003F572A">
        <w:rPr>
          <w:rFonts w:ascii="Times New Roman" w:hAnsi="Times New Roman"/>
          <w:noProof/>
          <w:sz w:val="24"/>
          <w:lang w:val="en-US"/>
        </w:rPr>
        <w:t>]</w:t>
      </w:r>
    </w:p>
    <w:p w14:paraId="5F6EA37C"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28"/>
      <w:bookmarkStart w:id="81" w:name="p-1065718"/>
      <w:bookmarkEnd w:id="80"/>
      <w:bookmarkEnd w:id="81"/>
    </w:p>
    <w:p w14:paraId="3282AD9B"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28. The Agency shall carry out the selection of projects in accordance with the requirements referred to in Sub-paragraph 5.8 and Paragraphs 21 and 29 of this Regulation and with the rules of procedure drawn up thereby which lay down the procedures for the submission of applications, the selection criteria additionally developed by the Agency, the internal procedures of the Agency to ensure that decisions on approval, conditional approval, or rejection of project applications are taken and the procedures for notification thereof, and also the follow-up procedures of the project. The Agency shall announce the notification of the submission of an application, the interruption or termination of submission after coordination with the Ministry of Economics on the website of the Agency (www.liaa.gov.lv).</w:t>
      </w:r>
    </w:p>
    <w:p w14:paraId="5A4AD9D1"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5 April 2022</w:t>
      </w:r>
      <w:r w:rsidRPr="003F572A">
        <w:rPr>
          <w:rFonts w:ascii="Times New Roman" w:hAnsi="Times New Roman"/>
          <w:noProof/>
          <w:sz w:val="24"/>
          <w:lang w:val="en-US"/>
        </w:rPr>
        <w:t>]</w:t>
      </w:r>
    </w:p>
    <w:p w14:paraId="0492FDD9"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29"/>
      <w:bookmarkStart w:id="83" w:name="p-1066351"/>
      <w:bookmarkEnd w:id="82"/>
      <w:bookmarkEnd w:id="83"/>
    </w:p>
    <w:p w14:paraId="162115EC"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29. In order to apply for the project selection round, the merchant shall submit the following documents to the Agency (hereinafter – the application for selection):</w:t>
      </w:r>
    </w:p>
    <w:p w14:paraId="0E52B908"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29.1. a filled-in application form where the name of the performer of economic activity, the title of the investment project, taxpayer registration number, legal address, e-mail address, and classification code of the taxpayer in conformity with the Revision 2 of the Statistical Classification of Economic Activities in the European Community (NACE Rev. 2) are indicated;</w:t>
      </w:r>
    </w:p>
    <w:p w14:paraId="16912786"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29.2. the description of the investment project. The abovementioned description shall contain the information on:</w:t>
      </w:r>
    </w:p>
    <w:p w14:paraId="59A5FB52" w14:textId="77777777" w:rsidR="003F572A" w:rsidRPr="003F572A" w:rsidRDefault="003F572A" w:rsidP="003F572A">
      <w:pPr>
        <w:shd w:val="clear" w:color="auto" w:fill="FFFFFF"/>
        <w:spacing w:after="0" w:line="240" w:lineRule="auto"/>
        <w:ind w:left="709" w:firstLine="709"/>
        <w:jc w:val="both"/>
        <w:rPr>
          <w:rFonts w:ascii="Times New Roman" w:hAnsi="Times New Roman"/>
          <w:noProof/>
          <w:sz w:val="24"/>
          <w:lang w:val="en-US"/>
        </w:rPr>
      </w:pPr>
      <w:r w:rsidRPr="003F572A">
        <w:rPr>
          <w:rFonts w:ascii="Times New Roman" w:hAnsi="Times New Roman"/>
          <w:noProof/>
          <w:sz w:val="24"/>
          <w:lang w:val="en-US"/>
        </w:rPr>
        <w:t>29.2.1. the priority investment project area in which the investment is being made and an explanation by the merchant of the conformity of the investment project with the priority investment project area;</w:t>
      </w:r>
    </w:p>
    <w:p w14:paraId="4FA7691B" w14:textId="77777777" w:rsidR="003F572A" w:rsidRPr="003F572A" w:rsidRDefault="003F572A" w:rsidP="003F572A">
      <w:pPr>
        <w:shd w:val="clear" w:color="auto" w:fill="FFFFFF"/>
        <w:spacing w:after="0" w:line="240" w:lineRule="auto"/>
        <w:ind w:left="709" w:firstLine="709"/>
        <w:jc w:val="both"/>
        <w:rPr>
          <w:rFonts w:ascii="Times New Roman" w:hAnsi="Times New Roman"/>
          <w:noProof/>
          <w:sz w:val="24"/>
          <w:lang w:val="en-US"/>
        </w:rPr>
      </w:pPr>
      <w:r w:rsidRPr="003F572A">
        <w:rPr>
          <w:rFonts w:ascii="Times New Roman" w:hAnsi="Times New Roman"/>
          <w:noProof/>
          <w:sz w:val="24"/>
          <w:lang w:val="en-US"/>
        </w:rPr>
        <w:t>29.2.2. the planned amount of investments, a list of eligible cost items, their total amount, and the place of the project implementation (including the cadastral division number). Within the meaning of this Regulation, a place of the project implementation is the place where a merchant produces its products or provides its services. The project may be implemented at several addresses if a unified production or service provision chain is located at these addresses;</w:t>
      </w:r>
    </w:p>
    <w:p w14:paraId="6478155C" w14:textId="77777777" w:rsidR="003F572A" w:rsidRPr="003F572A" w:rsidRDefault="003F572A" w:rsidP="003F572A">
      <w:pPr>
        <w:shd w:val="clear" w:color="auto" w:fill="FFFFFF"/>
        <w:spacing w:after="0" w:line="240" w:lineRule="auto"/>
        <w:ind w:left="709" w:firstLine="709"/>
        <w:jc w:val="both"/>
        <w:rPr>
          <w:rFonts w:ascii="Times New Roman" w:hAnsi="Times New Roman"/>
          <w:noProof/>
          <w:sz w:val="24"/>
          <w:lang w:val="en-US"/>
        </w:rPr>
      </w:pPr>
      <w:r w:rsidRPr="003F572A">
        <w:rPr>
          <w:rFonts w:ascii="Times New Roman" w:hAnsi="Times New Roman"/>
          <w:noProof/>
          <w:sz w:val="24"/>
          <w:lang w:val="en-US"/>
        </w:rPr>
        <w:t>29.2.3. the time framework of the project implementation, indicating the main activities to be carried out within the scope of the investment project and their start and end dates, and also the total implementation period of the investment project;</w:t>
      </w:r>
    </w:p>
    <w:p w14:paraId="6DD8617B" w14:textId="77777777" w:rsidR="003F572A" w:rsidRPr="003F572A" w:rsidRDefault="003F572A" w:rsidP="003F572A">
      <w:pPr>
        <w:shd w:val="clear" w:color="auto" w:fill="FFFFFF"/>
        <w:spacing w:after="0" w:line="240" w:lineRule="auto"/>
        <w:ind w:left="709" w:firstLine="709"/>
        <w:jc w:val="both"/>
        <w:rPr>
          <w:rFonts w:ascii="Times New Roman" w:hAnsi="Times New Roman"/>
          <w:noProof/>
          <w:sz w:val="24"/>
          <w:lang w:val="en-US"/>
        </w:rPr>
      </w:pPr>
      <w:r w:rsidRPr="003F572A">
        <w:rPr>
          <w:rFonts w:ascii="Times New Roman" w:hAnsi="Times New Roman"/>
          <w:noProof/>
          <w:sz w:val="24"/>
          <w:lang w:val="en-US"/>
        </w:rPr>
        <w:t>29.2.4. the planned workplaces which will be established as a result of the implementation of the investment project (number, list, and competences necessary therein for the implementation of the investment project), and on the planned gross amount of the average monthly remuneration;</w:t>
      </w:r>
    </w:p>
    <w:p w14:paraId="21209D94" w14:textId="77777777" w:rsidR="003F572A" w:rsidRPr="003F572A" w:rsidRDefault="003F572A" w:rsidP="003F572A">
      <w:pPr>
        <w:shd w:val="clear" w:color="auto" w:fill="FFFFFF"/>
        <w:spacing w:after="0" w:line="240" w:lineRule="auto"/>
        <w:ind w:left="709" w:firstLine="709"/>
        <w:jc w:val="both"/>
        <w:rPr>
          <w:rFonts w:ascii="Times New Roman" w:hAnsi="Times New Roman"/>
          <w:noProof/>
          <w:sz w:val="24"/>
          <w:lang w:val="en-US"/>
        </w:rPr>
      </w:pPr>
      <w:r w:rsidRPr="003F572A">
        <w:rPr>
          <w:rFonts w:ascii="Times New Roman" w:hAnsi="Times New Roman"/>
          <w:noProof/>
          <w:sz w:val="24"/>
          <w:lang w:val="en-US"/>
        </w:rPr>
        <w:t>29.2.5. the planned amount of the export of goods or services after the project implementation, providing information on the planned amount of the export of goods or services in each individual year during a period of five years after completion of the investment project and the planned export markets that will be ensured as a result of the project implementation;</w:t>
      </w:r>
    </w:p>
    <w:p w14:paraId="7B49EDD6" w14:textId="77777777" w:rsidR="003F572A" w:rsidRPr="003F572A" w:rsidRDefault="003F572A" w:rsidP="003F572A">
      <w:pPr>
        <w:shd w:val="clear" w:color="auto" w:fill="FFFFFF"/>
        <w:spacing w:after="0" w:line="240" w:lineRule="auto"/>
        <w:ind w:left="709" w:firstLine="709"/>
        <w:jc w:val="both"/>
        <w:rPr>
          <w:rFonts w:ascii="Times New Roman" w:hAnsi="Times New Roman"/>
          <w:noProof/>
          <w:sz w:val="24"/>
          <w:lang w:val="en-US"/>
        </w:rPr>
      </w:pPr>
      <w:r w:rsidRPr="003F572A">
        <w:rPr>
          <w:rFonts w:ascii="Times New Roman" w:hAnsi="Times New Roman"/>
          <w:noProof/>
          <w:sz w:val="24"/>
          <w:lang w:val="en-US"/>
        </w:rPr>
        <w:t>29.2.6. the planned amount of investments in research and development at corporate level in each individual year during a period of five years after completion of the investment project;</w:t>
      </w:r>
    </w:p>
    <w:p w14:paraId="5E3617FC"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29.3. a binding decision to grant a loan for the implementation of the project by a credit institution registered in the European Economic Area, its branch or its subsidiary which is entitled to provide financial services in Latvia, or a credit committee of an international financial institution, if such has been received.</w:t>
      </w:r>
    </w:p>
    <w:p w14:paraId="5C431874"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December 2021; 5 April 2022</w:t>
      </w:r>
      <w:r w:rsidRPr="003F572A">
        <w:rPr>
          <w:rFonts w:ascii="Times New Roman" w:hAnsi="Times New Roman"/>
          <w:noProof/>
          <w:sz w:val="24"/>
          <w:lang w:val="en-US"/>
        </w:rPr>
        <w:t>]</w:t>
      </w:r>
    </w:p>
    <w:p w14:paraId="150E084A"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30"/>
      <w:bookmarkStart w:id="85" w:name="p-1065722"/>
      <w:bookmarkEnd w:id="84"/>
      <w:bookmarkEnd w:id="85"/>
    </w:p>
    <w:p w14:paraId="5660B2CF"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30. On the basis of the by-laws drawn up by the Agency and the submitted documents referred to in Paragraph 29 of this Regulation, the Agency shall:</w:t>
      </w:r>
    </w:p>
    <w:p w14:paraId="56B88451" w14:textId="77777777" w:rsidR="003F572A" w:rsidRPr="003F572A" w:rsidRDefault="003F572A" w:rsidP="003F57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 xml:space="preserve">30.1. assess the conformity of investment projects applied for in the respective selection round with the regulations of the selection round and Sub-paragraph 5.8 and Paragraphs 21 and 21.1 of this Regulation and decide on investment projects which are further eligible for the assessment of the request for financing or which do not qualify for further assessment of the request for financing by the company </w:t>
      </w:r>
      <w:r w:rsidRPr="003F572A">
        <w:rPr>
          <w:rFonts w:ascii="Times New Roman" w:hAnsi="Times New Roman"/>
          <w:i/>
          <w:iCs/>
          <w:noProof/>
          <w:sz w:val="24"/>
          <w:lang w:val="en-US"/>
        </w:rPr>
        <w:t>Altum</w:t>
      </w:r>
      <w:r w:rsidRPr="003F572A">
        <w:rPr>
          <w:rFonts w:ascii="Times New Roman" w:hAnsi="Times New Roman"/>
          <w:noProof/>
          <w:sz w:val="24"/>
          <w:lang w:val="en-US"/>
        </w:rPr>
        <w:t>;</w:t>
      </w:r>
    </w:p>
    <w:p w14:paraId="7FB8FE73"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30.2. issue the decision taken in Sub-paragraph 30.1 of this Regulation to the merchant;</w:t>
      </w:r>
    </w:p>
    <w:p w14:paraId="7706789C" w14:textId="77777777" w:rsidR="003F572A" w:rsidRPr="003F572A" w:rsidRDefault="003F572A" w:rsidP="003F57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 xml:space="preserve">30.3. inform the company </w:t>
      </w:r>
      <w:r w:rsidRPr="003F572A">
        <w:rPr>
          <w:rFonts w:ascii="Times New Roman" w:hAnsi="Times New Roman"/>
          <w:i/>
          <w:iCs/>
          <w:noProof/>
          <w:sz w:val="24"/>
          <w:lang w:val="en-US"/>
        </w:rPr>
        <w:t xml:space="preserve">Altum </w:t>
      </w:r>
      <w:r w:rsidRPr="003F572A">
        <w:rPr>
          <w:rFonts w:ascii="Times New Roman" w:hAnsi="Times New Roman"/>
          <w:noProof/>
          <w:sz w:val="24"/>
          <w:lang w:val="en-US"/>
        </w:rPr>
        <w:t>of the decisions referred to in Sub-paragraph 30.1 of this Regulation.</w:t>
      </w:r>
    </w:p>
    <w:p w14:paraId="4E4DFC2C"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5 April 2022</w:t>
      </w:r>
      <w:r w:rsidRPr="003F572A">
        <w:rPr>
          <w:rFonts w:ascii="Times New Roman" w:hAnsi="Times New Roman"/>
          <w:noProof/>
          <w:sz w:val="24"/>
          <w:lang w:val="en-US"/>
        </w:rPr>
        <w:t>]</w:t>
      </w:r>
    </w:p>
    <w:p w14:paraId="20CFF56F"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86" w:name="p31"/>
      <w:bookmarkStart w:id="87" w:name="p-1066353"/>
      <w:bookmarkEnd w:id="86"/>
      <w:bookmarkEnd w:id="87"/>
    </w:p>
    <w:p w14:paraId="650767CF"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 xml:space="preserve">31. The decision on granting aid shall be taken by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on the basis of:</w:t>
      </w:r>
    </w:p>
    <w:p w14:paraId="68264AC9" w14:textId="77777777" w:rsidR="003F572A" w:rsidRPr="003F572A" w:rsidRDefault="003F572A" w:rsidP="003F57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 xml:space="preserve">31.1. the application submitted by the merchant to the company </w:t>
      </w:r>
      <w:r w:rsidRPr="003F572A">
        <w:rPr>
          <w:rFonts w:ascii="Times New Roman" w:hAnsi="Times New Roman"/>
          <w:i/>
          <w:noProof/>
          <w:sz w:val="24"/>
          <w:lang w:val="en-US"/>
        </w:rPr>
        <w:t>Altum</w:t>
      </w:r>
      <w:r w:rsidRPr="003F572A">
        <w:rPr>
          <w:rFonts w:ascii="Times New Roman" w:hAnsi="Times New Roman"/>
          <w:noProof/>
          <w:sz w:val="24"/>
          <w:lang w:val="en-US"/>
        </w:rPr>
        <w:t>, including the description of the business project;</w:t>
      </w:r>
    </w:p>
    <w:p w14:paraId="200FF203" w14:textId="77777777" w:rsidR="003F572A" w:rsidRPr="003F572A" w:rsidRDefault="003F572A" w:rsidP="003F57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31.2. information received from the Agency according to Sub-paragraph 30.3 and Paragraph 31.</w:t>
      </w:r>
      <w:r w:rsidRPr="003F572A">
        <w:rPr>
          <w:rFonts w:ascii="Times New Roman" w:hAnsi="Times New Roman"/>
          <w:noProof/>
          <w:sz w:val="24"/>
          <w:vertAlign w:val="superscript"/>
          <w:lang w:val="en-US"/>
        </w:rPr>
        <w:t xml:space="preserve">2 </w:t>
      </w:r>
      <w:r w:rsidRPr="003F572A">
        <w:rPr>
          <w:rFonts w:ascii="Times New Roman" w:hAnsi="Times New Roman"/>
          <w:noProof/>
          <w:sz w:val="24"/>
          <w:lang w:val="en-US"/>
        </w:rPr>
        <w:t xml:space="preserve">of this Regulation on investment projects subject to further evaluation for the request for financing to the company </w:t>
      </w:r>
      <w:r w:rsidRPr="003F572A">
        <w:rPr>
          <w:rFonts w:ascii="Times New Roman" w:hAnsi="Times New Roman"/>
          <w:i/>
          <w:iCs/>
          <w:noProof/>
          <w:sz w:val="24"/>
          <w:lang w:val="en-US"/>
        </w:rPr>
        <w:t>Altum</w:t>
      </w:r>
      <w:r w:rsidRPr="003F572A">
        <w:rPr>
          <w:rFonts w:ascii="Times New Roman" w:hAnsi="Times New Roman"/>
          <w:noProof/>
          <w:sz w:val="24"/>
          <w:lang w:val="en-US"/>
        </w:rPr>
        <w:t>;</w:t>
      </w:r>
    </w:p>
    <w:p w14:paraId="1EC433A2" w14:textId="77777777" w:rsidR="003F572A" w:rsidRPr="003F572A" w:rsidRDefault="003F572A" w:rsidP="003F57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31.2.</w:t>
      </w:r>
      <w:r w:rsidRPr="003F572A">
        <w:rPr>
          <w:rFonts w:ascii="Times New Roman" w:hAnsi="Times New Roman"/>
          <w:noProof/>
          <w:sz w:val="24"/>
          <w:vertAlign w:val="superscript"/>
          <w:lang w:val="en-US"/>
        </w:rPr>
        <w:t xml:space="preserve">1 </w:t>
      </w:r>
      <w:r w:rsidRPr="003F572A">
        <w:rPr>
          <w:rFonts w:ascii="Times New Roman" w:hAnsi="Times New Roman"/>
          <w:noProof/>
          <w:sz w:val="24"/>
          <w:lang w:val="en-US"/>
        </w:rPr>
        <w:t>decision of another funding provider (an international financial institution, a private investment fund, or a credit institution) on granting a loan for the implementation of the project;</w:t>
      </w:r>
    </w:p>
    <w:p w14:paraId="67FD9FD2" w14:textId="77777777" w:rsidR="003F572A" w:rsidRPr="003F572A" w:rsidRDefault="003F572A" w:rsidP="003F57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 xml:space="preserve">31.3. other information requested by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in relation to the evaluation of projects;</w:t>
      </w:r>
    </w:p>
    <w:p w14:paraId="07E9308E" w14:textId="77777777" w:rsidR="003F572A" w:rsidRPr="003F572A" w:rsidRDefault="003F572A" w:rsidP="003F57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 xml:space="preserve">31.4. the stage of project implementation, i.e.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shall not grant aid to projects that have been completed or fully financed by the merchant and another funding provider at the time of the decision on granting aid;</w:t>
      </w:r>
    </w:p>
    <w:p w14:paraId="17F87554"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31.5. the certification signed by the merchant that it has not performed and will not perform the activities indicated in Article 14(16) of Commission Regulation No 651/2014 which are defined in Article 2(61.a) of Commission Regulation No 651/2014, and the certification that the situation referred to in Article 2(18)(c) of Commission Regulation No 651/2014 is not applicable to the undertaking – a collective insolvency procedure is not applied thereto and it does not conform to the criteria laid down in the laws and regulations of the Republic of Latvian in order to apply a collective insolvency procedure thereto upon request of creditors.</w:t>
      </w:r>
    </w:p>
    <w:p w14:paraId="31B9E4C5"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December 2021; 5 April 2022</w:t>
      </w:r>
      <w:r w:rsidRPr="003F572A">
        <w:rPr>
          <w:rFonts w:ascii="Times New Roman" w:hAnsi="Times New Roman"/>
          <w:noProof/>
          <w:sz w:val="24"/>
          <w:lang w:val="en-US"/>
        </w:rPr>
        <w:t>]</w:t>
      </w:r>
    </w:p>
    <w:p w14:paraId="438A1775"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31_1"/>
      <w:bookmarkStart w:id="89" w:name="p-1065734"/>
      <w:bookmarkEnd w:id="88"/>
      <w:bookmarkEnd w:id="89"/>
    </w:p>
    <w:p w14:paraId="23B2BEB2"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31.</w:t>
      </w:r>
      <w:r w:rsidRPr="003F572A">
        <w:rPr>
          <w:rFonts w:ascii="Times New Roman" w:hAnsi="Times New Roman"/>
          <w:noProof/>
          <w:sz w:val="24"/>
          <w:vertAlign w:val="superscript"/>
          <w:lang w:val="en-US"/>
        </w:rPr>
        <w:t xml:space="preserve">1 </w:t>
      </w:r>
      <w:r w:rsidRPr="003F572A">
        <w:rPr>
          <w:rFonts w:ascii="Times New Roman" w:hAnsi="Times New Roman"/>
          <w:noProof/>
          <w:sz w:val="24"/>
          <w:lang w:val="en-US"/>
        </w:rPr>
        <w:t xml:space="preserve">If the merchant has not submitted to the company </w:t>
      </w:r>
      <w:r w:rsidRPr="003F572A">
        <w:rPr>
          <w:rFonts w:ascii="Times New Roman" w:hAnsi="Times New Roman"/>
          <w:i/>
          <w:iCs/>
          <w:noProof/>
          <w:sz w:val="24"/>
          <w:lang w:val="en-US"/>
        </w:rPr>
        <w:t xml:space="preserve">Altum </w:t>
      </w:r>
      <w:r w:rsidRPr="003F572A">
        <w:rPr>
          <w:rFonts w:ascii="Times New Roman" w:hAnsi="Times New Roman"/>
          <w:noProof/>
          <w:sz w:val="24"/>
          <w:lang w:val="en-US"/>
        </w:rPr>
        <w:t xml:space="preserve">all documents and information referred to in Paragraph 31 (except for Sub-paragraph 31.2) of this Regulation within six months after the decision of the Agency on the investment project which is subject to further evaluation for the request for financing to the company </w:t>
      </w:r>
      <w:r w:rsidRPr="003F572A">
        <w:rPr>
          <w:rFonts w:ascii="Times New Roman" w:hAnsi="Times New Roman"/>
          <w:i/>
          <w:iCs/>
          <w:noProof/>
          <w:sz w:val="24"/>
          <w:lang w:val="en-US"/>
        </w:rPr>
        <w:t>Altum</w:t>
      </w:r>
      <w:r w:rsidRPr="003F572A">
        <w:rPr>
          <w:rFonts w:ascii="Times New Roman" w:hAnsi="Times New Roman"/>
          <w:noProof/>
          <w:sz w:val="24"/>
          <w:lang w:val="en-US"/>
        </w:rPr>
        <w:t xml:space="preserve">, the company </w:t>
      </w:r>
      <w:r w:rsidRPr="003F572A">
        <w:rPr>
          <w:rFonts w:ascii="Times New Roman" w:hAnsi="Times New Roman"/>
          <w:i/>
          <w:iCs/>
          <w:noProof/>
          <w:sz w:val="24"/>
          <w:lang w:val="en-US"/>
        </w:rPr>
        <w:t xml:space="preserve">Altum </w:t>
      </w:r>
      <w:r w:rsidRPr="003F572A">
        <w:rPr>
          <w:rFonts w:ascii="Times New Roman" w:hAnsi="Times New Roman"/>
          <w:noProof/>
          <w:sz w:val="24"/>
          <w:lang w:val="en-US"/>
        </w:rPr>
        <w:t>shall take the decision on refusal to finance the investment project of the merchant, informing the Agency and the merchant thereof.</w:t>
      </w:r>
    </w:p>
    <w:p w14:paraId="1B4A6851"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5 April 2022</w:t>
      </w:r>
      <w:r w:rsidRPr="003F572A">
        <w:rPr>
          <w:rFonts w:ascii="Times New Roman" w:hAnsi="Times New Roman"/>
          <w:noProof/>
          <w:sz w:val="24"/>
          <w:lang w:val="en-US"/>
        </w:rPr>
        <w:t>]</w:t>
      </w:r>
    </w:p>
    <w:p w14:paraId="1090A101"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90" w:name="p31_2"/>
      <w:bookmarkStart w:id="91" w:name="p-1065736"/>
      <w:bookmarkEnd w:id="90"/>
      <w:bookmarkEnd w:id="91"/>
    </w:p>
    <w:p w14:paraId="177D51F9"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31.</w:t>
      </w:r>
      <w:r w:rsidRPr="003F572A">
        <w:rPr>
          <w:rFonts w:ascii="Times New Roman" w:hAnsi="Times New Roman"/>
          <w:noProof/>
          <w:sz w:val="24"/>
          <w:vertAlign w:val="superscript"/>
          <w:lang w:val="en-US"/>
        </w:rPr>
        <w:t xml:space="preserve">2 </w:t>
      </w:r>
      <w:r w:rsidRPr="003F572A">
        <w:rPr>
          <w:rFonts w:ascii="Times New Roman" w:hAnsi="Times New Roman"/>
          <w:noProof/>
          <w:sz w:val="24"/>
          <w:lang w:val="en-US"/>
        </w:rPr>
        <w:t xml:space="preserve">The Agency shall, taking into account the information provided by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 xml:space="preserve">on the projects that have received the decision of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 xml:space="preserve">on refusal to finance the investment project, inform the applicant or several applicants receiving the next highest score in the selection round of the possibility to continue the evaluation of the request for financing to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 xml:space="preserve">within the scope of financing available in the selection round of the loan programme. The Agency shall take the decision to approve this application within one month in accordance with the evaluation list established by the Agency and shall inform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of this decision.</w:t>
      </w:r>
    </w:p>
    <w:p w14:paraId="3DBE702F"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5 April 2022</w:t>
      </w:r>
      <w:r w:rsidRPr="003F572A">
        <w:rPr>
          <w:rFonts w:ascii="Times New Roman" w:hAnsi="Times New Roman"/>
          <w:noProof/>
          <w:sz w:val="24"/>
          <w:lang w:val="en-US"/>
        </w:rPr>
        <w:t>]</w:t>
      </w:r>
    </w:p>
    <w:p w14:paraId="4DE293CA"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31_3"/>
      <w:bookmarkStart w:id="93" w:name="p-1065738"/>
      <w:bookmarkEnd w:id="92"/>
      <w:bookmarkEnd w:id="93"/>
    </w:p>
    <w:p w14:paraId="084C88A0"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31.</w:t>
      </w:r>
      <w:r w:rsidRPr="003F572A">
        <w:rPr>
          <w:rFonts w:ascii="Times New Roman" w:hAnsi="Times New Roman"/>
          <w:noProof/>
          <w:sz w:val="24"/>
          <w:vertAlign w:val="superscript"/>
          <w:lang w:val="en-US"/>
        </w:rPr>
        <w:t xml:space="preserve">3 </w:t>
      </w:r>
      <w:r w:rsidRPr="003F572A">
        <w:rPr>
          <w:rFonts w:ascii="Times New Roman" w:hAnsi="Times New Roman"/>
          <w:noProof/>
          <w:sz w:val="24"/>
          <w:lang w:val="en-US"/>
        </w:rPr>
        <w:t xml:space="preserve">The merchant who has received the decision of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on refusal to finance the investment project of the merchant shall be excluded from the relevant selection round and may apply only for the next selection round, if organised, by submitting a new application.</w:t>
      </w:r>
    </w:p>
    <w:p w14:paraId="7B22063D"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5 April 2022</w:t>
      </w:r>
      <w:r w:rsidRPr="003F572A">
        <w:rPr>
          <w:rFonts w:ascii="Times New Roman" w:hAnsi="Times New Roman"/>
          <w:noProof/>
          <w:sz w:val="24"/>
          <w:lang w:val="en-US"/>
        </w:rPr>
        <w:t>]</w:t>
      </w:r>
    </w:p>
    <w:p w14:paraId="63564121"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94" w:name="p32"/>
      <w:bookmarkStart w:id="95" w:name="p-1028028"/>
      <w:bookmarkEnd w:id="94"/>
      <w:bookmarkEnd w:id="95"/>
    </w:p>
    <w:p w14:paraId="7F0D6946"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 xml:space="preserve">32. The company </w:t>
      </w:r>
      <w:r w:rsidRPr="003F572A">
        <w:rPr>
          <w:rFonts w:ascii="Times New Roman" w:hAnsi="Times New Roman"/>
          <w:i/>
          <w:iCs/>
          <w:noProof/>
          <w:sz w:val="24"/>
          <w:lang w:val="en-US"/>
        </w:rPr>
        <w:t xml:space="preserve">Altum </w:t>
      </w:r>
      <w:r w:rsidRPr="003F572A">
        <w:rPr>
          <w:rFonts w:ascii="Times New Roman" w:hAnsi="Times New Roman"/>
          <w:noProof/>
          <w:sz w:val="24"/>
          <w:lang w:val="en-US"/>
        </w:rPr>
        <w:t xml:space="preserve">shall start the evaluation of the project only after receipt of the information referred to in Sub-paragraphs 31.1 and 31.2 of this Regulation.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 xml:space="preserve">shall finance only those activities which it has determined to be economically viable, including by assessing the sustainability of the investment project of the merchant, the co-financing necessary for the implementation of the project, the sufficiency of collateral, the present and future financial standing of the merchant, the conformity of the knowledge and experience thereof, and also by analysing the identified entrepreneurial risks and other factors to determine the loan quality.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 xml:space="preserve">has the right not to enter into a loan agreement with the merchant and to refuse to disburse the financing, including in cases where the decision on granting aid has already been taken, if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 xml:space="preserve">becomes aware of circumstances that the merchant or the project no longer meets the conditions of this Regulation or the financing cannot be provided in accordance with the laws and regulations binding on the company </w:t>
      </w:r>
      <w:r w:rsidRPr="003F572A">
        <w:rPr>
          <w:rFonts w:ascii="Times New Roman" w:hAnsi="Times New Roman"/>
          <w:i/>
          <w:noProof/>
          <w:sz w:val="24"/>
          <w:lang w:val="en-US"/>
        </w:rPr>
        <w:t>Altum</w:t>
      </w:r>
      <w:r w:rsidRPr="003F572A">
        <w:rPr>
          <w:rFonts w:ascii="Times New Roman" w:hAnsi="Times New Roman"/>
          <w:noProof/>
          <w:sz w:val="24"/>
          <w:lang w:val="en-US"/>
        </w:rPr>
        <w:t>.</w:t>
      </w:r>
    </w:p>
    <w:p w14:paraId="408C9DE9"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December 2021</w:t>
      </w:r>
      <w:r w:rsidRPr="003F572A">
        <w:rPr>
          <w:rFonts w:ascii="Times New Roman" w:hAnsi="Times New Roman"/>
          <w:noProof/>
          <w:sz w:val="24"/>
          <w:lang w:val="en-US"/>
        </w:rPr>
        <w:t>]</w:t>
      </w:r>
    </w:p>
    <w:p w14:paraId="6D92DAAB"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96" w:name="p33"/>
      <w:bookmarkStart w:id="97" w:name="p-1104596"/>
      <w:bookmarkEnd w:id="96"/>
      <w:bookmarkEnd w:id="97"/>
    </w:p>
    <w:p w14:paraId="35DBC8F5"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33. Any initial investment started by the same beneficiary (at group level) within three years from the date when works on another supported investment in the same NUTS-3 region were started shall be considered to be the part of a single investment project. Within the scope of this Regulation, aid for such single investment project which is a large investment project in accordance with Article 2(52) of Commission Regulation No 651/2014 (regardless of whether investments are made by a medium-sized or large capital company), and a large investment project which is not a single investment project shall be granted in conformity with the following conditions:</w:t>
      </w:r>
    </w:p>
    <w:p w14:paraId="4BB93C24"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33.1. in the NUTS-3 region of Rīga and Pierīga:</w:t>
      </w:r>
    </w:p>
    <w:p w14:paraId="1C450274" w14:textId="77777777" w:rsidR="003F572A" w:rsidRPr="003F572A" w:rsidRDefault="003F572A" w:rsidP="003F572A">
      <w:pPr>
        <w:shd w:val="clear" w:color="auto" w:fill="FFFFFF"/>
        <w:spacing w:after="0" w:line="240" w:lineRule="auto"/>
        <w:ind w:left="709" w:firstLine="709"/>
        <w:jc w:val="both"/>
        <w:rPr>
          <w:rFonts w:ascii="Times New Roman" w:hAnsi="Times New Roman"/>
          <w:noProof/>
          <w:sz w:val="24"/>
          <w:lang w:val="en-US"/>
        </w:rPr>
      </w:pPr>
      <w:r w:rsidRPr="003F572A">
        <w:rPr>
          <w:rFonts w:ascii="Times New Roman" w:hAnsi="Times New Roman"/>
          <w:noProof/>
          <w:sz w:val="24"/>
          <w:lang w:val="en-US"/>
        </w:rPr>
        <w:t>33.1.1. for a project up to EUR 50 million – in the amount of 30 % of eligible costs;</w:t>
      </w:r>
    </w:p>
    <w:p w14:paraId="1E7BD9A9" w14:textId="77777777" w:rsidR="003F572A" w:rsidRPr="003F572A" w:rsidRDefault="003F572A" w:rsidP="003F572A">
      <w:pPr>
        <w:shd w:val="clear" w:color="auto" w:fill="FFFFFF"/>
        <w:spacing w:after="0" w:line="240" w:lineRule="auto"/>
        <w:ind w:left="709" w:firstLine="709"/>
        <w:jc w:val="both"/>
        <w:rPr>
          <w:rFonts w:ascii="Times New Roman" w:hAnsi="Times New Roman"/>
          <w:noProof/>
          <w:sz w:val="24"/>
          <w:lang w:val="en-US"/>
        </w:rPr>
      </w:pPr>
      <w:r w:rsidRPr="003F572A">
        <w:rPr>
          <w:rFonts w:ascii="Times New Roman" w:hAnsi="Times New Roman"/>
          <w:noProof/>
          <w:sz w:val="24"/>
          <w:lang w:val="en-US"/>
        </w:rPr>
        <w:t>33.1.2. for the part of a project from EUR 50 million up to EUR 100 million – in the amount of 15 % of eligible costs;</w:t>
      </w:r>
    </w:p>
    <w:p w14:paraId="1059E0BE" w14:textId="77777777" w:rsidR="003F572A" w:rsidRPr="003F572A" w:rsidRDefault="003F572A" w:rsidP="003F572A">
      <w:pPr>
        <w:shd w:val="clear" w:color="auto" w:fill="FFFFFF"/>
        <w:spacing w:after="0" w:line="240" w:lineRule="auto"/>
        <w:ind w:left="709" w:firstLine="709"/>
        <w:jc w:val="both"/>
        <w:rPr>
          <w:rFonts w:ascii="Times New Roman" w:hAnsi="Times New Roman"/>
          <w:noProof/>
          <w:sz w:val="24"/>
          <w:lang w:val="en-US"/>
        </w:rPr>
      </w:pPr>
      <w:r w:rsidRPr="003F572A">
        <w:rPr>
          <w:rFonts w:ascii="Times New Roman" w:hAnsi="Times New Roman"/>
          <w:noProof/>
          <w:sz w:val="24"/>
          <w:lang w:val="en-US"/>
        </w:rPr>
        <w:t>33.1.3. for the part of a project exceeding EUR 100 million – in the amount of 0 % of eligible costs;</w:t>
      </w:r>
    </w:p>
    <w:p w14:paraId="630FA347"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33.2. in the NUTS-3 region of Kurzeme, Zemgale, Vidzeme, and Latgale:</w:t>
      </w:r>
    </w:p>
    <w:p w14:paraId="69F7B4DB" w14:textId="77777777" w:rsidR="003F572A" w:rsidRPr="003F572A" w:rsidRDefault="003F572A" w:rsidP="003F572A">
      <w:pPr>
        <w:shd w:val="clear" w:color="auto" w:fill="FFFFFF"/>
        <w:spacing w:after="0" w:line="240" w:lineRule="auto"/>
        <w:ind w:left="709" w:firstLine="709"/>
        <w:jc w:val="both"/>
        <w:rPr>
          <w:rFonts w:ascii="Times New Roman" w:hAnsi="Times New Roman"/>
          <w:noProof/>
          <w:sz w:val="24"/>
          <w:lang w:val="en-US"/>
        </w:rPr>
      </w:pPr>
      <w:r w:rsidRPr="003F572A">
        <w:rPr>
          <w:rFonts w:ascii="Times New Roman" w:hAnsi="Times New Roman"/>
          <w:noProof/>
          <w:sz w:val="24"/>
          <w:lang w:val="en-US"/>
        </w:rPr>
        <w:t>33.2.1. for a project up to EUR 50 million – in the amount of 40 % of eligible costs;</w:t>
      </w:r>
    </w:p>
    <w:p w14:paraId="5EE21C22" w14:textId="77777777" w:rsidR="003F572A" w:rsidRPr="003F572A" w:rsidRDefault="003F572A" w:rsidP="003F572A">
      <w:pPr>
        <w:shd w:val="clear" w:color="auto" w:fill="FFFFFF"/>
        <w:spacing w:after="0" w:line="240" w:lineRule="auto"/>
        <w:ind w:left="709" w:firstLine="709"/>
        <w:jc w:val="both"/>
        <w:rPr>
          <w:rFonts w:ascii="Times New Roman" w:hAnsi="Times New Roman"/>
          <w:noProof/>
          <w:sz w:val="24"/>
          <w:lang w:val="en-US"/>
        </w:rPr>
      </w:pPr>
      <w:r w:rsidRPr="003F572A">
        <w:rPr>
          <w:rFonts w:ascii="Times New Roman" w:hAnsi="Times New Roman"/>
          <w:noProof/>
          <w:sz w:val="24"/>
          <w:lang w:val="en-US"/>
        </w:rPr>
        <w:t>33.2.2. for the part of a project from EUR 50 million up to EUR 100 million – in the amount of 20 % of eligible costs;</w:t>
      </w:r>
    </w:p>
    <w:p w14:paraId="235E37BE"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33.2.3. for the part of a project exceeding EUR 100 million – in the amount of 0 % of eligible costs.</w:t>
      </w:r>
    </w:p>
    <w:p w14:paraId="708D435F"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June 2022</w:t>
      </w:r>
      <w:r w:rsidRPr="003F572A">
        <w:rPr>
          <w:rFonts w:ascii="Times New Roman" w:hAnsi="Times New Roman"/>
          <w:noProof/>
          <w:sz w:val="24"/>
          <w:lang w:val="en-US"/>
        </w:rPr>
        <w:t>]</w:t>
      </w:r>
    </w:p>
    <w:p w14:paraId="765E7B0F"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98" w:name="p34"/>
      <w:bookmarkStart w:id="99" w:name="p-1028040"/>
      <w:bookmarkEnd w:id="98"/>
      <w:bookmarkEnd w:id="99"/>
    </w:p>
    <w:p w14:paraId="21A3EFDA"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34. (Deleted)</w:t>
      </w:r>
    </w:p>
    <w:p w14:paraId="29354C59"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n4"/>
      <w:bookmarkStart w:id="101" w:name="n-790817"/>
      <w:bookmarkEnd w:id="100"/>
      <w:bookmarkEnd w:id="101"/>
    </w:p>
    <w:p w14:paraId="7CBEB71D" w14:textId="77777777" w:rsidR="003F572A" w:rsidRPr="003F572A" w:rsidRDefault="003F572A" w:rsidP="003F572A">
      <w:pPr>
        <w:shd w:val="clear" w:color="auto" w:fill="FFFFFF"/>
        <w:spacing w:after="0" w:line="240" w:lineRule="auto"/>
        <w:jc w:val="center"/>
        <w:rPr>
          <w:rFonts w:ascii="Times New Roman" w:hAnsi="Times New Roman"/>
          <w:b/>
          <w:noProof/>
          <w:sz w:val="24"/>
          <w:lang w:val="en-US"/>
        </w:rPr>
      </w:pPr>
      <w:r w:rsidRPr="003F572A">
        <w:rPr>
          <w:rFonts w:ascii="Times New Roman" w:hAnsi="Times New Roman"/>
          <w:b/>
          <w:noProof/>
          <w:sz w:val="24"/>
          <w:lang w:val="en-US"/>
        </w:rPr>
        <w:t>IV. Calculation of Grant Equivalent and Aid Cumulation</w:t>
      </w:r>
    </w:p>
    <w:p w14:paraId="3B83C9FF"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102" w:name="p35"/>
      <w:bookmarkStart w:id="103" w:name="p-1104605"/>
      <w:bookmarkEnd w:id="102"/>
      <w:bookmarkEnd w:id="103"/>
    </w:p>
    <w:p w14:paraId="49E91C38"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35. The grant equivalent of the aid which is granted in accordance with Paragraph 12 of this Regulation shall be equal to the amount of loan granted to the merchant.</w:t>
      </w:r>
    </w:p>
    <w:p w14:paraId="0EEC6F5B"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June 2022</w:t>
      </w:r>
      <w:r w:rsidRPr="003F572A">
        <w:rPr>
          <w:rFonts w:ascii="Times New Roman" w:hAnsi="Times New Roman"/>
          <w:noProof/>
          <w:sz w:val="24"/>
          <w:lang w:val="en-US"/>
        </w:rPr>
        <w:t>]</w:t>
      </w:r>
    </w:p>
    <w:p w14:paraId="1F78B5D3"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104" w:name="p36"/>
      <w:bookmarkStart w:id="105" w:name="p-1029814"/>
      <w:bookmarkEnd w:id="104"/>
      <w:bookmarkEnd w:id="105"/>
    </w:p>
    <w:p w14:paraId="74E4293B"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36. The aid which has been granted in accordance with this Regulation:</w:t>
      </w:r>
    </w:p>
    <w:p w14:paraId="700EA482"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36.1. with other State aid the eligible costs of which cannot be determined may be cumulated, without exceeding the financing intensity and amount provided for in this Regulation and without exceeding the amount of the maximum public financing or maximum threshold thereof which has been laid down in another State aid programme, individual aid project, or decision of the European Commission;</w:t>
      </w:r>
    </w:p>
    <w:p w14:paraId="7CC9F49A"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36.2. for the same eligible costs may not be cumulated with the aid which is provided according to the decisions of the European Commission taken in conformity with the Communication from the Commission of 19 March 2020, Temporary Framework for State aid measures to support the economy in the current COVID-19 outbreak (C(2020)1863);</w:t>
      </w:r>
    </w:p>
    <w:p w14:paraId="6AB9AF01" w14:textId="77777777" w:rsidR="003F572A" w:rsidRPr="003F572A" w:rsidRDefault="003F572A" w:rsidP="003F57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 xml:space="preserve">36.3. may be cumulated with the financing granted within the scope of another aid programme or individual aid project, including for the same eligible costs, and with </w:t>
      </w:r>
      <w:r w:rsidRPr="003F572A">
        <w:rPr>
          <w:rFonts w:ascii="Times New Roman" w:hAnsi="Times New Roman"/>
          <w:i/>
          <w:iCs/>
          <w:noProof/>
          <w:sz w:val="24"/>
          <w:lang w:val="en-US"/>
        </w:rPr>
        <w:t xml:space="preserve">de minimis </w:t>
      </w:r>
      <w:r w:rsidRPr="003F572A">
        <w:rPr>
          <w:rFonts w:ascii="Times New Roman" w:hAnsi="Times New Roman"/>
          <w:noProof/>
          <w:sz w:val="24"/>
          <w:lang w:val="en-US"/>
        </w:rPr>
        <w:t>aid, provided that the financing granted within the scope of this Regulation together with the financing granted within the scope of another aid programme or individual aid project does not exceed the maximum permissible intensity of regional financing as specified in Sub-paragraph 13.</w:t>
      </w:r>
      <w:r w:rsidRPr="003F572A">
        <w:rPr>
          <w:rFonts w:ascii="Times New Roman" w:hAnsi="Times New Roman"/>
          <w:noProof/>
          <w:sz w:val="24"/>
          <w:vertAlign w:val="superscript"/>
          <w:lang w:val="en-US"/>
        </w:rPr>
        <w:t>1</w:t>
      </w:r>
      <w:r w:rsidRPr="003F572A">
        <w:rPr>
          <w:rFonts w:ascii="Times New Roman" w:hAnsi="Times New Roman"/>
          <w:noProof/>
          <w:sz w:val="24"/>
          <w:lang w:val="en-US"/>
        </w:rPr>
        <w:t>5 and Paragraph 33 of this Regulation;</w:t>
      </w:r>
    </w:p>
    <w:p w14:paraId="707BAB54"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36.4. may not be cumulated with the regional aid within the scope of other regional aid projects or programmes in respect of aid for wage costs.</w:t>
      </w:r>
    </w:p>
    <w:p w14:paraId="536899EB"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December 2021</w:t>
      </w:r>
      <w:r w:rsidRPr="003F572A">
        <w:rPr>
          <w:rFonts w:ascii="Times New Roman" w:hAnsi="Times New Roman"/>
          <w:noProof/>
          <w:sz w:val="24"/>
          <w:lang w:val="en-US"/>
        </w:rPr>
        <w:t>]</w:t>
      </w:r>
    </w:p>
    <w:p w14:paraId="6EE5B57E"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 w:name="n5"/>
      <w:bookmarkStart w:id="107" w:name="n-790820"/>
      <w:bookmarkEnd w:id="106"/>
      <w:bookmarkEnd w:id="107"/>
    </w:p>
    <w:p w14:paraId="7D709CE7" w14:textId="77777777" w:rsidR="003F572A" w:rsidRPr="003F572A" w:rsidRDefault="003F572A" w:rsidP="003F572A">
      <w:pPr>
        <w:shd w:val="clear" w:color="auto" w:fill="FFFFFF"/>
        <w:spacing w:after="0" w:line="240" w:lineRule="auto"/>
        <w:jc w:val="center"/>
        <w:rPr>
          <w:rFonts w:ascii="Times New Roman" w:hAnsi="Times New Roman"/>
          <w:b/>
          <w:noProof/>
          <w:sz w:val="24"/>
          <w:lang w:val="en-US"/>
        </w:rPr>
      </w:pPr>
      <w:r w:rsidRPr="003F572A">
        <w:rPr>
          <w:rFonts w:ascii="Times New Roman" w:hAnsi="Times New Roman"/>
          <w:b/>
          <w:noProof/>
          <w:sz w:val="24"/>
          <w:lang w:val="en-US"/>
        </w:rPr>
        <w:t>V. Aid Accounting, Sectors and Activities not to be Supported</w:t>
      </w:r>
    </w:p>
    <w:p w14:paraId="64404D1E"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37"/>
      <w:bookmarkStart w:id="109" w:name="p-1029815"/>
      <w:bookmarkEnd w:id="108"/>
      <w:bookmarkEnd w:id="109"/>
    </w:p>
    <w:p w14:paraId="11DB53D7"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 xml:space="preserve">37. The company </w:t>
      </w:r>
      <w:r w:rsidRPr="003F572A">
        <w:rPr>
          <w:rFonts w:ascii="Times New Roman" w:hAnsi="Times New Roman"/>
          <w:i/>
          <w:noProof/>
          <w:sz w:val="24"/>
          <w:lang w:val="en-US"/>
        </w:rPr>
        <w:t xml:space="preserve">Altum </w:t>
      </w:r>
      <w:r w:rsidRPr="003F572A">
        <w:rPr>
          <w:rFonts w:ascii="Times New Roman" w:hAnsi="Times New Roman"/>
          <w:noProof/>
          <w:sz w:val="24"/>
          <w:lang w:val="en-US"/>
        </w:rPr>
        <w:t>shall:</w:t>
      </w:r>
    </w:p>
    <w:p w14:paraId="262C0DB6"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37.1. ensure accounting of the information on the issued financing and keep it for 10 years from the day when, within the scope of this Regulation, the last aid has been granted in accordance with Article 14 of Commission Regulation No 651/2014, and the information shall be submitted to the European Commission upon request;</w:t>
      </w:r>
    </w:p>
    <w:p w14:paraId="0316D836"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37.2. ensure the supervision of the aid conditions for commercial activity;</w:t>
      </w:r>
    </w:p>
    <w:p w14:paraId="1E7141F9"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37.3. publish the information on the aid issued within the scope of this Regulation in accordance with the requirements for the publicity measures laid down in Article 9(1) and (4) of Commission Regulation No 651/2014 and in accordance with the law or regulation regarding the procedures for the publication of the information on the aid provided for commercial activity and for granting and cancelling the right to use the electronic system;</w:t>
      </w:r>
    </w:p>
    <w:p w14:paraId="79FCA354"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37.4. publish on its website the list of all those performers of economic activity who have received a loan within the scope of this Regulation. The amount of the loan and capital discount granted to the performer of economic activity shall be indicated in the abovementioned list.</w:t>
      </w:r>
    </w:p>
    <w:p w14:paraId="6C12D55C"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December 2021]</w:t>
      </w:r>
    </w:p>
    <w:p w14:paraId="29901067"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110" w:name="p38"/>
      <w:bookmarkStart w:id="111" w:name="p-1028043"/>
      <w:bookmarkEnd w:id="110"/>
      <w:bookmarkEnd w:id="111"/>
    </w:p>
    <w:p w14:paraId="16D1FB23"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38. A merchant shall ensure the accounting of the information on the issued financing and keep it for 10 years from the day when, within the scope of this Regulation, the aid has been granted in accordance with Article 14 of Commission Regulation No 651/2014, and the information shall be submitted to the European Commission upon request.</w:t>
      </w:r>
    </w:p>
    <w:p w14:paraId="109C3EA4"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December 2021</w:t>
      </w:r>
      <w:r w:rsidRPr="003F572A">
        <w:rPr>
          <w:rFonts w:ascii="Times New Roman" w:hAnsi="Times New Roman"/>
          <w:noProof/>
          <w:sz w:val="24"/>
          <w:lang w:val="en-US"/>
        </w:rPr>
        <w:t>]</w:t>
      </w:r>
    </w:p>
    <w:p w14:paraId="551BD3A6"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112" w:name="p39"/>
      <w:bookmarkStart w:id="113" w:name="p-790823"/>
      <w:bookmarkEnd w:id="112"/>
      <w:bookmarkEnd w:id="113"/>
    </w:p>
    <w:p w14:paraId="27935861"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39. A merchant shall justify in the application for the financing and ensure during the project implementation distinguishing of activity or costs in accordance with Article 1(3) of Commission Regulation No 651/2014 if it is concurrently operating in sector and activities to be supported and not to be supported.</w:t>
      </w:r>
    </w:p>
    <w:p w14:paraId="5AB2493E"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114" w:name="p40"/>
      <w:bookmarkStart w:id="115" w:name="p-1028044"/>
      <w:bookmarkEnd w:id="114"/>
      <w:bookmarkEnd w:id="115"/>
    </w:p>
    <w:p w14:paraId="04B0BEB9"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40. Financing shall not be granted to the following activities, sectors, and performers of economic activity:</w:t>
      </w:r>
    </w:p>
    <w:p w14:paraId="0B91619A"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40.1. the activities specified in Article 1(2)(c) and (d) of Commission Regulation No 651/2014;</w:t>
      </w:r>
    </w:p>
    <w:p w14:paraId="635A12BB"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40.2. the sectors specified in Article 1(3) of Commission Regulation No 651/2014 in accordance with the definitions laid down in Article 2(8), (9), (10), and (11) of Commission Regulation No 651/2014;</w:t>
      </w:r>
    </w:p>
    <w:p w14:paraId="118D7C35"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40.3. the sectors specified in Article 13(a) and (b) of Commission Regulation No 651/2014:</w:t>
      </w:r>
    </w:p>
    <w:p w14:paraId="7BE2C2C9" w14:textId="77777777" w:rsidR="003F572A" w:rsidRPr="003F572A" w:rsidRDefault="003F572A" w:rsidP="003F572A">
      <w:pPr>
        <w:shd w:val="clear" w:color="auto" w:fill="FFFFFF"/>
        <w:spacing w:after="0" w:line="240" w:lineRule="auto"/>
        <w:ind w:left="709" w:firstLine="709"/>
        <w:jc w:val="both"/>
        <w:rPr>
          <w:rFonts w:ascii="Times New Roman" w:hAnsi="Times New Roman"/>
          <w:noProof/>
          <w:sz w:val="24"/>
          <w:lang w:val="en-US"/>
        </w:rPr>
      </w:pPr>
      <w:r w:rsidRPr="003F572A">
        <w:rPr>
          <w:rFonts w:ascii="Times New Roman" w:hAnsi="Times New Roman"/>
          <w:noProof/>
          <w:sz w:val="24"/>
          <w:lang w:val="en-US"/>
        </w:rPr>
        <w:t>40.3.1. the sectors specified in Article 13(a) of Commission Regulation No 651/2014 in accordance with the definitions laid down in Article 2(13), (43), and (44) of Commission Regulation No 651/2014 and shipbuilding which is defined as the shipbuilding of self-propelled commercial vessels. Self-propelled commercial vessels are such vessels which, by using their own driving force and control, have all the properties in order to be suitable for independent navigation in open sea or domestic waterways, and which belong to one of the following categories:</w:t>
      </w:r>
    </w:p>
    <w:p w14:paraId="45578870" w14:textId="77777777" w:rsidR="003F572A" w:rsidRPr="003F572A" w:rsidRDefault="003F572A" w:rsidP="003F572A">
      <w:pPr>
        <w:shd w:val="clear" w:color="auto" w:fill="FFFFFF"/>
        <w:spacing w:after="0" w:line="240" w:lineRule="auto"/>
        <w:ind w:left="1418" w:firstLine="709"/>
        <w:jc w:val="both"/>
        <w:rPr>
          <w:rFonts w:ascii="Times New Roman" w:hAnsi="Times New Roman"/>
          <w:noProof/>
          <w:sz w:val="24"/>
          <w:lang w:val="en-US"/>
        </w:rPr>
      </w:pPr>
      <w:r w:rsidRPr="003F572A">
        <w:rPr>
          <w:rFonts w:ascii="Times New Roman" w:hAnsi="Times New Roman"/>
          <w:noProof/>
          <w:sz w:val="24"/>
          <w:lang w:val="en-US"/>
        </w:rPr>
        <w:t>40.3.1.1. seagoing vessels which are not smaller than 100 gross tonnes and inland vessels of equal size which are used for carriage of passengers and (or) goods;</w:t>
      </w:r>
    </w:p>
    <w:p w14:paraId="4A1A0E6C" w14:textId="77777777" w:rsidR="003F572A" w:rsidRPr="003F572A" w:rsidRDefault="003F572A" w:rsidP="003F572A">
      <w:pPr>
        <w:shd w:val="clear" w:color="auto" w:fill="FFFFFF"/>
        <w:spacing w:after="0" w:line="240" w:lineRule="auto"/>
        <w:ind w:left="1418" w:firstLine="709"/>
        <w:jc w:val="both"/>
        <w:rPr>
          <w:rFonts w:ascii="Times New Roman" w:hAnsi="Times New Roman"/>
          <w:noProof/>
          <w:sz w:val="24"/>
          <w:lang w:val="en-US"/>
        </w:rPr>
      </w:pPr>
      <w:r w:rsidRPr="003F572A">
        <w:rPr>
          <w:rFonts w:ascii="Times New Roman" w:hAnsi="Times New Roman"/>
          <w:noProof/>
          <w:sz w:val="24"/>
          <w:lang w:val="en-US"/>
        </w:rPr>
        <w:t>40.3.1.2. seagoing vessels which are not smaller than 100 gross tonnes and inland vessels of equal size which are used for the provision of special services (for example, dredgers and icebreakers);</w:t>
      </w:r>
    </w:p>
    <w:p w14:paraId="64A827FD" w14:textId="77777777" w:rsidR="003F572A" w:rsidRPr="003F572A" w:rsidRDefault="003F572A" w:rsidP="003F572A">
      <w:pPr>
        <w:shd w:val="clear" w:color="auto" w:fill="FFFFFF"/>
        <w:spacing w:after="0" w:line="240" w:lineRule="auto"/>
        <w:ind w:left="1418" w:firstLine="709"/>
        <w:jc w:val="both"/>
        <w:rPr>
          <w:rFonts w:ascii="Times New Roman" w:hAnsi="Times New Roman"/>
          <w:noProof/>
          <w:sz w:val="24"/>
          <w:lang w:val="en-US"/>
        </w:rPr>
      </w:pPr>
      <w:r w:rsidRPr="003F572A">
        <w:rPr>
          <w:rFonts w:ascii="Times New Roman" w:hAnsi="Times New Roman"/>
          <w:noProof/>
          <w:sz w:val="24"/>
          <w:lang w:val="en-US"/>
        </w:rPr>
        <w:t>40.3.1.3. tug vessels the capacity of which is not less than 365 kW;</w:t>
      </w:r>
    </w:p>
    <w:p w14:paraId="2212FE30" w14:textId="77777777" w:rsidR="003F572A" w:rsidRPr="003F572A" w:rsidRDefault="003F572A" w:rsidP="003F572A">
      <w:pPr>
        <w:shd w:val="clear" w:color="auto" w:fill="FFFFFF"/>
        <w:spacing w:after="0" w:line="240" w:lineRule="auto"/>
        <w:ind w:left="1418" w:firstLine="709"/>
        <w:jc w:val="both"/>
        <w:rPr>
          <w:rFonts w:ascii="Times New Roman" w:hAnsi="Times New Roman"/>
          <w:noProof/>
          <w:sz w:val="24"/>
          <w:lang w:val="en-US"/>
        </w:rPr>
      </w:pPr>
      <w:r w:rsidRPr="003F572A">
        <w:rPr>
          <w:rFonts w:ascii="Times New Roman" w:hAnsi="Times New Roman"/>
          <w:noProof/>
          <w:sz w:val="24"/>
          <w:lang w:val="en-US"/>
        </w:rPr>
        <w:t>40.3.1.4. the hulls in construction of the vessels referred to in Sub-paragraphs 40.3.1.1, 40.3.1.2, and 40.3.1.3 of this Regulation which are floating and mobile;</w:t>
      </w:r>
    </w:p>
    <w:p w14:paraId="4DAE32C8"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40.4. the sectors specified in Article 13(b) of Commission Regulation No 651/2014 in accordance with the definitions laid down in Article 2(45) and (130) of Commission Regulation No 651/2014;</w:t>
      </w:r>
    </w:p>
    <w:p w14:paraId="2EDEF71A" w14:textId="77777777" w:rsidR="003F572A" w:rsidRPr="003F572A" w:rsidRDefault="003F572A" w:rsidP="003F57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40.5. [</w:t>
      </w:r>
      <w:r w:rsidRPr="003F572A">
        <w:rPr>
          <w:rFonts w:ascii="Times New Roman" w:hAnsi="Times New Roman"/>
          <w:i/>
          <w:iCs/>
          <w:noProof/>
          <w:sz w:val="24"/>
          <w:lang w:val="en-US"/>
        </w:rPr>
        <w:t>5 April 2022</w:t>
      </w:r>
      <w:r w:rsidRPr="003F572A">
        <w:rPr>
          <w:rFonts w:ascii="Times New Roman" w:hAnsi="Times New Roman"/>
          <w:noProof/>
          <w:sz w:val="24"/>
          <w:lang w:val="en-US"/>
        </w:rPr>
        <w:t>];</w:t>
      </w:r>
    </w:p>
    <w:p w14:paraId="3ABA6F1F"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40.6. trade in weapons and ammunition (Class 47.78 “Other retail sale of new goods in specialised stores” of NACE Rev. 2);</w:t>
      </w:r>
    </w:p>
    <w:p w14:paraId="1D45C777"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40.7. manufacture and sale of tobacco products (Division 12 “Manufacture of tobacco products”, Class 46.35 “Wholesale of tobacco products” and Class 47.26 “Retail sale of tobacco products in specialised stores” of NACE Rev. 2);</w:t>
      </w:r>
    </w:p>
    <w:p w14:paraId="1901D37C"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40.8. sale of alcohol (Class 46.34 “Wholesale of beverages” and Class 47.25 “Retail sale of beverages in specialised stores” of NACE Rev. 2);</w:t>
      </w:r>
    </w:p>
    <w:p w14:paraId="761AF8D0"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40.9. gambling and betting activities (Division 92 “Gambling and betting activities” of NACE Rev. 2);</w:t>
      </w:r>
    </w:p>
    <w:p w14:paraId="03C82952"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40.10. financial and insurance activities (Section K “Financial and insurance activities” of NACE Rev. 2);</w:t>
      </w:r>
    </w:p>
    <w:p w14:paraId="30E5D5AE"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40.11. activities with real estate (Section L “Real estate activities”, Class 68.1 “Buying and selling of own real estate” and Class 68.31 “Real estate agencies” of NACE Rev. 2);</w:t>
      </w:r>
    </w:p>
    <w:p w14:paraId="7C433219"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40.12. for the refinancing and restructuring of loans;</w:t>
      </w:r>
    </w:p>
    <w:p w14:paraId="38E5EAA2" w14:textId="77777777" w:rsidR="003F572A" w:rsidRPr="003F572A" w:rsidRDefault="003F572A" w:rsidP="003F572A">
      <w:pPr>
        <w:shd w:val="clear" w:color="auto" w:fill="FFFFFF"/>
        <w:spacing w:after="0" w:line="240" w:lineRule="auto"/>
        <w:ind w:firstLine="709"/>
        <w:jc w:val="both"/>
        <w:rPr>
          <w:rFonts w:ascii="Times New Roman" w:hAnsi="Times New Roman"/>
          <w:noProof/>
          <w:sz w:val="24"/>
          <w:lang w:val="en-US"/>
        </w:rPr>
      </w:pPr>
      <w:r w:rsidRPr="003F572A">
        <w:rPr>
          <w:rFonts w:ascii="Times New Roman" w:hAnsi="Times New Roman"/>
          <w:noProof/>
          <w:sz w:val="24"/>
          <w:lang w:val="en-US"/>
        </w:rPr>
        <w:t>40.13. for the implementation of commenced projects.</w:t>
      </w:r>
    </w:p>
    <w:p w14:paraId="676724F0"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December 2021</w:t>
      </w:r>
      <w:r w:rsidRPr="003F572A">
        <w:rPr>
          <w:rFonts w:ascii="Times New Roman" w:hAnsi="Times New Roman"/>
          <w:noProof/>
          <w:sz w:val="24"/>
          <w:lang w:val="en-US"/>
        </w:rPr>
        <w:t>]</w:t>
      </w:r>
    </w:p>
    <w:p w14:paraId="7B00EE17"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 w:name="n6"/>
      <w:bookmarkStart w:id="117" w:name="n-790825"/>
      <w:bookmarkEnd w:id="116"/>
      <w:bookmarkEnd w:id="117"/>
    </w:p>
    <w:p w14:paraId="6DBADF90" w14:textId="77777777" w:rsidR="003F572A" w:rsidRPr="003F572A" w:rsidRDefault="003F572A" w:rsidP="003F572A">
      <w:pPr>
        <w:shd w:val="clear" w:color="auto" w:fill="FFFFFF"/>
        <w:spacing w:after="0" w:line="240" w:lineRule="auto"/>
        <w:jc w:val="both"/>
        <w:rPr>
          <w:rFonts w:ascii="Times New Roman" w:hAnsi="Times New Roman"/>
          <w:b/>
          <w:noProof/>
          <w:sz w:val="24"/>
          <w:lang w:val="en-US"/>
        </w:rPr>
      </w:pPr>
      <w:r w:rsidRPr="003F572A">
        <w:rPr>
          <w:rFonts w:ascii="Times New Roman" w:hAnsi="Times New Roman"/>
          <w:b/>
          <w:noProof/>
          <w:sz w:val="24"/>
          <w:lang w:val="en-US"/>
        </w:rPr>
        <w:t>VI. Closing Provision</w:t>
      </w:r>
    </w:p>
    <w:p w14:paraId="351F9737"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bookmarkStart w:id="118" w:name="p41"/>
      <w:bookmarkStart w:id="119" w:name="p-1028063"/>
      <w:bookmarkEnd w:id="118"/>
      <w:bookmarkEnd w:id="119"/>
    </w:p>
    <w:p w14:paraId="17F8F538" w14:textId="77777777" w:rsidR="003F572A" w:rsidRPr="003F572A" w:rsidRDefault="003F572A" w:rsidP="003F572A">
      <w:pPr>
        <w:shd w:val="clear" w:color="auto" w:fill="FFFFFF"/>
        <w:spacing w:after="0" w:line="240" w:lineRule="auto"/>
        <w:jc w:val="both"/>
        <w:rPr>
          <w:rFonts w:ascii="Times New Roman" w:hAnsi="Times New Roman"/>
          <w:noProof/>
          <w:sz w:val="24"/>
          <w:lang w:val="en-US"/>
        </w:rPr>
      </w:pPr>
      <w:r w:rsidRPr="003F572A">
        <w:rPr>
          <w:rFonts w:ascii="Times New Roman" w:hAnsi="Times New Roman"/>
          <w:noProof/>
          <w:sz w:val="24"/>
          <w:lang w:val="en-US"/>
        </w:rPr>
        <w:t>41. The decision to grant aid in accordance with Commission Regulation No 651/2014 may be taken until the end of operation of this Regulation.</w:t>
      </w:r>
    </w:p>
    <w:p w14:paraId="44E42FD3"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rPr>
      </w:pPr>
      <w:r w:rsidRPr="003F572A">
        <w:rPr>
          <w:rFonts w:ascii="Times New Roman" w:hAnsi="Times New Roman"/>
          <w:noProof/>
          <w:sz w:val="24"/>
          <w:lang w:val="en-US"/>
        </w:rPr>
        <w:t>[</w:t>
      </w:r>
      <w:r w:rsidRPr="003F572A">
        <w:rPr>
          <w:rFonts w:ascii="Times New Roman" w:hAnsi="Times New Roman"/>
          <w:i/>
          <w:iCs/>
          <w:noProof/>
          <w:sz w:val="24"/>
          <w:lang w:val="en-US"/>
        </w:rPr>
        <w:t>21 December 2021</w:t>
      </w:r>
      <w:r w:rsidRPr="003F572A">
        <w:rPr>
          <w:rFonts w:ascii="Times New Roman" w:hAnsi="Times New Roman"/>
          <w:noProof/>
          <w:sz w:val="24"/>
          <w:lang w:val="en-US"/>
        </w:rPr>
        <w:t>]</w:t>
      </w:r>
    </w:p>
    <w:p w14:paraId="010B7A43"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5E1031"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9FF5F4" w14:textId="77777777" w:rsidR="003F572A" w:rsidRPr="003F572A" w:rsidRDefault="003F572A" w:rsidP="003F572A">
      <w:pPr>
        <w:shd w:val="clear" w:color="auto" w:fill="FFFFFF"/>
        <w:tabs>
          <w:tab w:val="left" w:pos="7797"/>
        </w:tabs>
        <w:spacing w:after="0" w:line="240" w:lineRule="auto"/>
        <w:jc w:val="both"/>
        <w:rPr>
          <w:rFonts w:ascii="Times New Roman" w:hAnsi="Times New Roman"/>
          <w:noProof/>
          <w:sz w:val="24"/>
          <w:lang w:val="en-US"/>
        </w:rPr>
      </w:pPr>
      <w:r w:rsidRPr="003F572A">
        <w:rPr>
          <w:rFonts w:ascii="Times New Roman" w:hAnsi="Times New Roman"/>
          <w:noProof/>
          <w:sz w:val="24"/>
          <w:lang w:val="en-US"/>
        </w:rPr>
        <w:t>Prime Minister</w:t>
      </w:r>
      <w:r w:rsidRPr="003F572A">
        <w:rPr>
          <w:rFonts w:ascii="Times New Roman" w:hAnsi="Times New Roman"/>
          <w:noProof/>
          <w:sz w:val="24"/>
          <w:lang w:val="en-US"/>
        </w:rPr>
        <w:tab/>
        <w:t>A. K. Kariņš</w:t>
      </w:r>
    </w:p>
    <w:p w14:paraId="4AAB61ED"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D89FD9" w14:textId="77777777" w:rsidR="003F572A" w:rsidRPr="003F572A" w:rsidRDefault="003F572A" w:rsidP="003F572A">
      <w:pPr>
        <w:shd w:val="clear" w:color="auto" w:fill="FFFFFF"/>
        <w:tabs>
          <w:tab w:val="left" w:pos="7797"/>
        </w:tabs>
        <w:spacing w:after="0" w:line="240" w:lineRule="auto"/>
        <w:jc w:val="both"/>
        <w:rPr>
          <w:rFonts w:ascii="Times New Roman" w:hAnsi="Times New Roman"/>
          <w:noProof/>
          <w:sz w:val="24"/>
          <w:lang w:val="en-US"/>
        </w:rPr>
      </w:pPr>
      <w:r w:rsidRPr="003F572A">
        <w:rPr>
          <w:rFonts w:ascii="Times New Roman" w:hAnsi="Times New Roman"/>
          <w:noProof/>
          <w:sz w:val="24"/>
          <w:lang w:val="en-US"/>
        </w:rPr>
        <w:t>Minister for Economics</w:t>
      </w:r>
      <w:r w:rsidRPr="003F572A">
        <w:rPr>
          <w:rFonts w:ascii="Times New Roman" w:hAnsi="Times New Roman"/>
          <w:noProof/>
          <w:sz w:val="24"/>
          <w:lang w:val="en-US"/>
        </w:rPr>
        <w:tab/>
        <w:t>J. Vitenbergs</w:t>
      </w:r>
    </w:p>
    <w:p w14:paraId="3079026D" w14:textId="77777777" w:rsidR="003F572A" w:rsidRPr="003F572A" w:rsidRDefault="003F572A" w:rsidP="003F572A">
      <w:pPr>
        <w:shd w:val="clear" w:color="auto" w:fill="FFFFFF"/>
        <w:tabs>
          <w:tab w:val="left" w:pos="7797"/>
        </w:tabs>
        <w:spacing w:after="0" w:line="240" w:lineRule="auto"/>
        <w:jc w:val="both"/>
        <w:rPr>
          <w:rFonts w:ascii="Times New Roman" w:hAnsi="Times New Roman"/>
          <w:noProof/>
          <w:sz w:val="24"/>
          <w:lang w:val="en-US"/>
        </w:rPr>
      </w:pPr>
      <w:r w:rsidRPr="003F572A">
        <w:rPr>
          <w:rFonts w:ascii="Times New Roman" w:hAnsi="Times New Roman"/>
          <w:noProof/>
          <w:sz w:val="24"/>
          <w:lang w:val="en-US"/>
        </w:rPr>
        <w:br w:type="page"/>
      </w:r>
    </w:p>
    <w:p w14:paraId="2D5EEB16"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6D7C84" w14:textId="77777777" w:rsidR="003F572A" w:rsidRPr="003F572A" w:rsidRDefault="003F572A" w:rsidP="003F572A">
      <w:pPr>
        <w:shd w:val="clear" w:color="auto" w:fill="FFFFFF"/>
        <w:spacing w:after="0" w:line="240" w:lineRule="auto"/>
        <w:jc w:val="right"/>
        <w:rPr>
          <w:rFonts w:ascii="Times New Roman" w:hAnsi="Times New Roman"/>
          <w:b/>
          <w:noProof/>
          <w:sz w:val="24"/>
          <w:lang w:val="en-US"/>
        </w:rPr>
      </w:pPr>
      <w:r w:rsidRPr="003F572A">
        <w:rPr>
          <w:rFonts w:ascii="Times New Roman" w:hAnsi="Times New Roman"/>
          <w:b/>
          <w:noProof/>
          <w:sz w:val="24"/>
          <w:lang w:val="en-US"/>
        </w:rPr>
        <w:t>Annex</w:t>
      </w:r>
    </w:p>
    <w:p w14:paraId="5C4E9F68" w14:textId="77777777" w:rsidR="003F572A" w:rsidRPr="003F572A" w:rsidRDefault="003F572A" w:rsidP="003F572A">
      <w:pPr>
        <w:shd w:val="clear" w:color="auto" w:fill="FFFFFF"/>
        <w:spacing w:after="0" w:line="240" w:lineRule="auto"/>
        <w:jc w:val="right"/>
        <w:rPr>
          <w:rFonts w:ascii="Times New Roman" w:hAnsi="Times New Roman"/>
          <w:noProof/>
          <w:sz w:val="24"/>
          <w:lang w:val="en-US"/>
        </w:rPr>
      </w:pPr>
      <w:r w:rsidRPr="003F572A">
        <w:rPr>
          <w:rFonts w:ascii="Times New Roman" w:hAnsi="Times New Roman"/>
          <w:noProof/>
          <w:sz w:val="24"/>
          <w:lang w:val="en-US"/>
        </w:rPr>
        <w:t>Cabinet Regulation No. 503</w:t>
      </w:r>
    </w:p>
    <w:p w14:paraId="4F462F3F" w14:textId="77777777" w:rsidR="003F572A" w:rsidRPr="003F572A" w:rsidRDefault="003F572A" w:rsidP="003F572A">
      <w:pPr>
        <w:shd w:val="clear" w:color="auto" w:fill="FFFFFF"/>
        <w:spacing w:after="0" w:line="240" w:lineRule="auto"/>
        <w:jc w:val="right"/>
        <w:rPr>
          <w:rFonts w:ascii="Times New Roman" w:hAnsi="Times New Roman"/>
          <w:noProof/>
          <w:sz w:val="24"/>
          <w:lang w:val="en-US"/>
        </w:rPr>
      </w:pPr>
      <w:r w:rsidRPr="003F572A">
        <w:rPr>
          <w:rFonts w:ascii="Times New Roman" w:hAnsi="Times New Roman"/>
          <w:noProof/>
          <w:sz w:val="24"/>
          <w:lang w:val="en-US"/>
        </w:rPr>
        <w:t>6 July 2021</w:t>
      </w:r>
      <w:bookmarkStart w:id="120" w:name="piel-1104606"/>
      <w:bookmarkStart w:id="121" w:name="piel0"/>
      <w:bookmarkEnd w:id="120"/>
      <w:bookmarkEnd w:id="121"/>
    </w:p>
    <w:p w14:paraId="528F7541"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2" w:name="1104607"/>
      <w:bookmarkStart w:id="123" w:name="n-1104607"/>
      <w:bookmarkEnd w:id="122"/>
      <w:bookmarkEnd w:id="123"/>
    </w:p>
    <w:p w14:paraId="649211A2" w14:textId="77777777" w:rsidR="003F572A" w:rsidRPr="003F572A" w:rsidRDefault="003F572A" w:rsidP="003F572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2BB5795" w14:textId="77777777" w:rsidR="003F572A" w:rsidRPr="003F572A" w:rsidRDefault="003F572A" w:rsidP="003F572A">
      <w:pPr>
        <w:shd w:val="clear" w:color="auto" w:fill="FFFFFF"/>
        <w:spacing w:after="0" w:line="240" w:lineRule="auto"/>
        <w:jc w:val="center"/>
        <w:rPr>
          <w:rFonts w:ascii="Times New Roman" w:hAnsi="Times New Roman"/>
          <w:b/>
          <w:noProof/>
          <w:sz w:val="28"/>
          <w:lang w:val="en-US"/>
        </w:rPr>
      </w:pPr>
      <w:r w:rsidRPr="003F572A">
        <w:rPr>
          <w:rFonts w:ascii="Times New Roman" w:hAnsi="Times New Roman"/>
          <w:b/>
          <w:noProof/>
          <w:sz w:val="28"/>
          <w:lang w:val="en-US"/>
        </w:rPr>
        <w:t>Risk Rates</w:t>
      </w:r>
    </w:p>
    <w:p w14:paraId="781BBFE6" w14:textId="77777777" w:rsidR="003F572A" w:rsidRPr="003F572A" w:rsidRDefault="003F572A" w:rsidP="003F572A">
      <w:pPr>
        <w:shd w:val="clear" w:color="auto" w:fill="FFFFFF"/>
        <w:spacing w:after="0" w:line="240" w:lineRule="auto"/>
        <w:jc w:val="center"/>
        <w:rPr>
          <w:rFonts w:ascii="Times New Roman" w:hAnsi="Times New Roman"/>
          <w:noProof/>
          <w:sz w:val="24"/>
          <w:lang w:val="en-US"/>
        </w:rPr>
      </w:pPr>
      <w:r w:rsidRPr="003F572A">
        <w:rPr>
          <w:rFonts w:ascii="Times New Roman" w:hAnsi="Times New Roman"/>
          <w:noProof/>
          <w:sz w:val="24"/>
          <w:lang w:val="en-US"/>
        </w:rPr>
        <w:t>[21 June 2022]</w:t>
      </w:r>
    </w:p>
    <w:p w14:paraId="5B9DD36A" w14:textId="77777777" w:rsidR="003F572A" w:rsidRPr="003F572A" w:rsidRDefault="003F572A" w:rsidP="003F572A">
      <w:pPr>
        <w:spacing w:after="0" w:line="240" w:lineRule="auto"/>
        <w:jc w:val="both"/>
        <w:rPr>
          <w:rFonts w:ascii="Times New Roman" w:hAnsi="Times New Roman" w:cs="Times New Roman"/>
          <w:noProof/>
          <w:sz w:val="24"/>
          <w:szCs w:val="24"/>
          <w:lang w:val="en-US"/>
        </w:rPr>
      </w:pPr>
    </w:p>
    <w:p w14:paraId="50C462E6" w14:textId="77777777" w:rsidR="003F572A" w:rsidRPr="003F572A" w:rsidRDefault="003F572A" w:rsidP="003F572A">
      <w:pPr>
        <w:spacing w:after="0" w:line="240" w:lineRule="auto"/>
        <w:jc w:val="both"/>
        <w:rPr>
          <w:rFonts w:ascii="Times New Roman" w:hAnsi="Times New Roman" w:cs="Times New Roman"/>
          <w:noProof/>
          <w:sz w:val="24"/>
          <w:szCs w:val="24"/>
          <w:lang w:val="en-US"/>
        </w:rPr>
      </w:pPr>
    </w:p>
    <w:sectPr w:rsidR="003F572A" w:rsidRPr="003F572A" w:rsidSect="00D13264">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B4141" w14:textId="77777777" w:rsidR="00CB6281" w:rsidRPr="003F572A" w:rsidRDefault="00CB6281" w:rsidP="00CB6281">
      <w:pPr>
        <w:spacing w:after="0" w:line="240" w:lineRule="auto"/>
        <w:rPr>
          <w:noProof/>
          <w:lang w:val="en-US"/>
        </w:rPr>
      </w:pPr>
      <w:r w:rsidRPr="003F572A">
        <w:rPr>
          <w:noProof/>
          <w:lang w:val="en-US"/>
        </w:rPr>
        <w:separator/>
      </w:r>
    </w:p>
  </w:endnote>
  <w:endnote w:type="continuationSeparator" w:id="0">
    <w:p w14:paraId="5D250679" w14:textId="77777777" w:rsidR="00CB6281" w:rsidRPr="003F572A" w:rsidRDefault="00CB6281" w:rsidP="00CB6281">
      <w:pPr>
        <w:spacing w:after="0" w:line="240" w:lineRule="auto"/>
        <w:rPr>
          <w:noProof/>
          <w:lang w:val="en-US"/>
        </w:rPr>
      </w:pPr>
      <w:r w:rsidRPr="003F572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BB362" w14:textId="77777777" w:rsidR="003F572A" w:rsidRDefault="003F57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3C7F1" w14:textId="77777777" w:rsidR="00470CB8" w:rsidRPr="003F572A" w:rsidRDefault="00470CB8" w:rsidP="00470CB8">
    <w:pPr>
      <w:pStyle w:val="Footer"/>
      <w:tabs>
        <w:tab w:val="right" w:pos="9072"/>
      </w:tabs>
      <w:rPr>
        <w:rFonts w:ascii="Times New Roman" w:hAnsi="Times New Roman"/>
        <w:noProof/>
        <w:sz w:val="20"/>
        <w:lang w:val="en-US"/>
      </w:rPr>
    </w:pPr>
  </w:p>
  <w:p w14:paraId="769108CA" w14:textId="47125B23" w:rsidR="003567D6" w:rsidRPr="003F572A" w:rsidRDefault="00470CB8" w:rsidP="00470CB8">
    <w:pPr>
      <w:pStyle w:val="Footer"/>
      <w:tabs>
        <w:tab w:val="right" w:pos="9072"/>
      </w:tabs>
      <w:rPr>
        <w:rFonts w:ascii="Times New Roman" w:hAnsi="Times New Roman"/>
        <w:noProof/>
        <w:sz w:val="20"/>
        <w:lang w:val="en-US"/>
      </w:rPr>
    </w:pPr>
    <w:r w:rsidRPr="003F572A">
      <w:rPr>
        <w:rFonts w:ascii="Times New Roman" w:hAnsi="Times New Roman"/>
        <w:noProof/>
        <w:sz w:val="20"/>
        <w:lang w:val="en-US"/>
      </w:rPr>
      <w:t xml:space="preserve">Translation </w:t>
    </w:r>
    <w:r w:rsidRPr="003F572A">
      <w:rPr>
        <w:rFonts w:ascii="Times New Roman" w:hAnsi="Times New Roman"/>
        <w:noProof/>
        <w:sz w:val="20"/>
        <w:lang w:val="en-US"/>
      </w:rPr>
      <w:fldChar w:fldCharType="begin"/>
    </w:r>
    <w:r w:rsidRPr="003F572A">
      <w:rPr>
        <w:rFonts w:ascii="Times New Roman" w:hAnsi="Times New Roman"/>
        <w:noProof/>
        <w:sz w:val="20"/>
        <w:lang w:val="en-US"/>
      </w:rPr>
      <w:instrText>symbol 169 \f "UnivrstyRoman TL" \s 8</w:instrText>
    </w:r>
    <w:r w:rsidRPr="003F572A">
      <w:rPr>
        <w:rFonts w:ascii="Times New Roman" w:hAnsi="Times New Roman"/>
        <w:noProof/>
        <w:sz w:val="20"/>
        <w:lang w:val="en-US"/>
      </w:rPr>
      <w:fldChar w:fldCharType="separate"/>
    </w:r>
    <w:r w:rsidRPr="003F572A">
      <w:rPr>
        <w:rFonts w:ascii="Times New Roman" w:hAnsi="Times New Roman"/>
        <w:noProof/>
        <w:sz w:val="20"/>
        <w:lang w:val="en-US"/>
      </w:rPr>
      <w:t>©</w:t>
    </w:r>
    <w:r w:rsidRPr="003F572A">
      <w:rPr>
        <w:rFonts w:ascii="Times New Roman" w:hAnsi="Times New Roman"/>
        <w:noProof/>
        <w:sz w:val="20"/>
        <w:lang w:val="en-US"/>
      </w:rPr>
      <w:fldChar w:fldCharType="end"/>
    </w:r>
    <w:r w:rsidRPr="003F572A">
      <w:rPr>
        <w:rFonts w:ascii="Times New Roman" w:hAnsi="Times New Roman"/>
        <w:noProof/>
        <w:sz w:val="20"/>
        <w:lang w:val="en-US"/>
      </w:rPr>
      <w:t xml:space="preserve"> 2022 Valsts valodas centrs (State Language Centre)</w:t>
    </w:r>
    <w:r w:rsidRPr="003F572A">
      <w:rPr>
        <w:rFonts w:ascii="Times New Roman" w:hAnsi="Times New Roman"/>
        <w:noProof/>
        <w:sz w:val="20"/>
        <w:lang w:val="en-US"/>
      </w:rPr>
      <w:tab/>
    </w:r>
    <w:r w:rsidRPr="003F572A">
      <w:rPr>
        <w:rStyle w:val="PageNumber"/>
        <w:rFonts w:ascii="Times New Roman" w:hAnsi="Times New Roman"/>
        <w:noProof/>
        <w:sz w:val="20"/>
        <w:lang w:val="en-US"/>
      </w:rPr>
      <w:fldChar w:fldCharType="begin"/>
    </w:r>
    <w:r w:rsidRPr="003F572A">
      <w:rPr>
        <w:rStyle w:val="PageNumber"/>
        <w:rFonts w:ascii="Times New Roman" w:hAnsi="Times New Roman"/>
        <w:noProof/>
        <w:sz w:val="20"/>
        <w:lang w:val="en-US"/>
      </w:rPr>
      <w:instrText xml:space="preserve"> PAGE </w:instrText>
    </w:r>
    <w:r w:rsidRPr="003F572A">
      <w:rPr>
        <w:rStyle w:val="PageNumber"/>
        <w:rFonts w:ascii="Times New Roman" w:hAnsi="Times New Roman"/>
        <w:noProof/>
        <w:sz w:val="20"/>
        <w:lang w:val="en-US"/>
      </w:rPr>
      <w:fldChar w:fldCharType="separate"/>
    </w:r>
    <w:r w:rsidRPr="003F572A">
      <w:rPr>
        <w:rStyle w:val="PageNumber"/>
        <w:rFonts w:ascii="Times New Roman" w:hAnsi="Times New Roman"/>
        <w:noProof/>
        <w:sz w:val="20"/>
        <w:lang w:val="en-US"/>
      </w:rPr>
      <w:t>2</w:t>
    </w:r>
    <w:r w:rsidRPr="003F572A">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89E0C" w14:textId="77777777" w:rsidR="00DD02B9" w:rsidRPr="003F572A" w:rsidRDefault="00DD02B9" w:rsidP="00DD02B9">
    <w:pPr>
      <w:pStyle w:val="Footer"/>
      <w:rPr>
        <w:rFonts w:ascii="Times New Roman" w:hAnsi="Times New Roman"/>
        <w:noProof/>
        <w:sz w:val="20"/>
        <w:lang w:val="en-US"/>
      </w:rPr>
    </w:pPr>
    <w:bookmarkStart w:id="124" w:name="_Hlk60653308"/>
    <w:bookmarkStart w:id="125" w:name="_Hlk60653309"/>
  </w:p>
  <w:p w14:paraId="653C1B8C" w14:textId="189C91DF" w:rsidR="003567D6" w:rsidRPr="003F572A" w:rsidRDefault="00DD02B9">
    <w:pPr>
      <w:pStyle w:val="Footer"/>
      <w:rPr>
        <w:rFonts w:ascii="Times New Roman" w:hAnsi="Times New Roman"/>
        <w:noProof/>
        <w:sz w:val="20"/>
        <w:lang w:val="en-US"/>
      </w:rPr>
    </w:pPr>
    <w:bookmarkStart w:id="126" w:name="_Hlk31896922"/>
    <w:bookmarkStart w:id="127" w:name="_Hlk31896923"/>
    <w:r w:rsidRPr="003F572A">
      <w:rPr>
        <w:rFonts w:ascii="Times New Roman" w:hAnsi="Times New Roman"/>
        <w:noProof/>
        <w:sz w:val="20"/>
        <w:lang w:val="en-US"/>
      </w:rPr>
      <w:t xml:space="preserve">Translation </w:t>
    </w:r>
    <w:r w:rsidRPr="003F572A">
      <w:rPr>
        <w:rFonts w:ascii="Times New Roman" w:hAnsi="Times New Roman"/>
        <w:noProof/>
        <w:sz w:val="20"/>
        <w:lang w:val="en-US"/>
      </w:rPr>
      <w:fldChar w:fldCharType="begin"/>
    </w:r>
    <w:r w:rsidRPr="003F572A">
      <w:rPr>
        <w:rFonts w:ascii="Times New Roman" w:hAnsi="Times New Roman"/>
        <w:noProof/>
        <w:sz w:val="20"/>
        <w:lang w:val="en-US"/>
      </w:rPr>
      <w:instrText>symbol 169 \f "UnivrstyRoman TL" \s 8</w:instrText>
    </w:r>
    <w:r w:rsidRPr="003F572A">
      <w:rPr>
        <w:rFonts w:ascii="Times New Roman" w:hAnsi="Times New Roman"/>
        <w:noProof/>
        <w:sz w:val="20"/>
        <w:lang w:val="en-US"/>
      </w:rPr>
      <w:fldChar w:fldCharType="separate"/>
    </w:r>
    <w:r w:rsidRPr="003F572A">
      <w:rPr>
        <w:rFonts w:ascii="Times New Roman" w:hAnsi="Times New Roman"/>
        <w:noProof/>
        <w:sz w:val="20"/>
        <w:lang w:val="en-US"/>
      </w:rPr>
      <w:t>©</w:t>
    </w:r>
    <w:r w:rsidRPr="003F572A">
      <w:rPr>
        <w:rFonts w:ascii="Times New Roman" w:hAnsi="Times New Roman"/>
        <w:noProof/>
        <w:sz w:val="20"/>
        <w:lang w:val="en-US"/>
      </w:rPr>
      <w:fldChar w:fldCharType="end"/>
    </w:r>
    <w:r w:rsidRPr="003F572A">
      <w:rPr>
        <w:rFonts w:ascii="Times New Roman" w:hAnsi="Times New Roman"/>
        <w:noProof/>
        <w:sz w:val="20"/>
        <w:lang w:val="en-US"/>
      </w:rPr>
      <w:t xml:space="preserve"> 2022 Valsts valodas centrs (State Language Centre)</w:t>
    </w:r>
    <w:bookmarkEnd w:id="124"/>
    <w:bookmarkEnd w:id="125"/>
    <w:bookmarkEnd w:id="126"/>
    <w:bookmarkEnd w:id="12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FFA6A" w14:textId="77777777" w:rsidR="00CB6281" w:rsidRPr="003F572A" w:rsidRDefault="00CB6281" w:rsidP="00CB6281">
      <w:pPr>
        <w:spacing w:after="0" w:line="240" w:lineRule="auto"/>
        <w:rPr>
          <w:noProof/>
          <w:lang w:val="en-US"/>
        </w:rPr>
      </w:pPr>
      <w:r w:rsidRPr="003F572A">
        <w:rPr>
          <w:noProof/>
          <w:lang w:val="en-US"/>
        </w:rPr>
        <w:separator/>
      </w:r>
    </w:p>
  </w:footnote>
  <w:footnote w:type="continuationSeparator" w:id="0">
    <w:p w14:paraId="30D2DEDC" w14:textId="77777777" w:rsidR="00CB6281" w:rsidRPr="003F572A" w:rsidRDefault="00CB6281" w:rsidP="00CB6281">
      <w:pPr>
        <w:spacing w:after="0" w:line="240" w:lineRule="auto"/>
        <w:rPr>
          <w:noProof/>
          <w:lang w:val="en-US"/>
        </w:rPr>
      </w:pPr>
      <w:r w:rsidRPr="003F572A">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96305" w14:textId="77777777" w:rsidR="003F572A" w:rsidRDefault="003F57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7B76D" w14:textId="77777777" w:rsidR="003F572A" w:rsidRDefault="003F57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C4BB3" w14:textId="77777777" w:rsidR="003F572A" w:rsidRDefault="003F57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revisionView w:markup="0"/>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24D"/>
    <w:rsid w:val="00052489"/>
    <w:rsid w:val="001629DD"/>
    <w:rsid w:val="001D0898"/>
    <w:rsid w:val="001F2F76"/>
    <w:rsid w:val="003567D6"/>
    <w:rsid w:val="003E6A15"/>
    <w:rsid w:val="003F572A"/>
    <w:rsid w:val="004454AB"/>
    <w:rsid w:val="00470CB8"/>
    <w:rsid w:val="00475714"/>
    <w:rsid w:val="00490358"/>
    <w:rsid w:val="004E1638"/>
    <w:rsid w:val="004F61AE"/>
    <w:rsid w:val="004F68B8"/>
    <w:rsid w:val="00544CE7"/>
    <w:rsid w:val="00564499"/>
    <w:rsid w:val="005B024D"/>
    <w:rsid w:val="00641CE0"/>
    <w:rsid w:val="006912CA"/>
    <w:rsid w:val="007C397E"/>
    <w:rsid w:val="007C4F5A"/>
    <w:rsid w:val="00811DEC"/>
    <w:rsid w:val="008411C8"/>
    <w:rsid w:val="0084139D"/>
    <w:rsid w:val="008824E4"/>
    <w:rsid w:val="0089716F"/>
    <w:rsid w:val="00A65E5B"/>
    <w:rsid w:val="00BE69CA"/>
    <w:rsid w:val="00C278B1"/>
    <w:rsid w:val="00CA469E"/>
    <w:rsid w:val="00CB6281"/>
    <w:rsid w:val="00D13264"/>
    <w:rsid w:val="00DD02B9"/>
    <w:rsid w:val="00E12FC3"/>
    <w:rsid w:val="00E41EAC"/>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8815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F68B8"/>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F68B8"/>
    <w:rPr>
      <w:rFonts w:ascii="Times New Roman" w:eastAsia="Times New Roman" w:hAnsi="Times New Roman" w:cs="Times New Roman"/>
      <w:b/>
      <w:bCs/>
      <w:sz w:val="27"/>
      <w:szCs w:val="27"/>
      <w:lang w:eastAsia="lv-LV"/>
    </w:rPr>
  </w:style>
  <w:style w:type="paragraph" w:customStyle="1" w:styleId="liknoteik">
    <w:name w:val="lik_noteik"/>
    <w:basedOn w:val="Normal"/>
    <w:rsid w:val="004F68B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4F68B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4F68B8"/>
    <w:rPr>
      <w:color w:val="0000FF"/>
      <w:u w:val="single"/>
    </w:rPr>
  </w:style>
  <w:style w:type="paragraph" w:customStyle="1" w:styleId="likizd">
    <w:name w:val="lik_izd"/>
    <w:basedOn w:val="Normal"/>
    <w:rsid w:val="004F68B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4F68B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4F68B8"/>
    <w:rPr>
      <w:i/>
      <w:iCs/>
    </w:rPr>
  </w:style>
  <w:style w:type="paragraph" w:customStyle="1" w:styleId="likparaksts">
    <w:name w:val="lik_paraksts"/>
    <w:basedOn w:val="Normal"/>
    <w:rsid w:val="004F68B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CB628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CB6281"/>
    <w:rPr>
      <w:color w:val="800080"/>
      <w:u w:val="single"/>
    </w:rPr>
  </w:style>
  <w:style w:type="paragraph" w:customStyle="1" w:styleId="tv213">
    <w:name w:val="tv213"/>
    <w:basedOn w:val="Normal"/>
    <w:rsid w:val="00CB628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CB628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CB6281"/>
  </w:style>
  <w:style w:type="character" w:styleId="Strong">
    <w:name w:val="Strong"/>
    <w:basedOn w:val="DefaultParagraphFont"/>
    <w:uiPriority w:val="22"/>
    <w:qFormat/>
    <w:rsid w:val="00CB6281"/>
    <w:rPr>
      <w:b/>
      <w:bCs/>
    </w:rPr>
  </w:style>
  <w:style w:type="paragraph" w:styleId="Header">
    <w:name w:val="header"/>
    <w:basedOn w:val="Normal"/>
    <w:link w:val="HeaderChar"/>
    <w:uiPriority w:val="99"/>
    <w:unhideWhenUsed/>
    <w:rsid w:val="00CB62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6281"/>
  </w:style>
  <w:style w:type="paragraph" w:styleId="Footer">
    <w:name w:val="footer"/>
    <w:basedOn w:val="Normal"/>
    <w:link w:val="FooterChar"/>
    <w:unhideWhenUsed/>
    <w:rsid w:val="00CB62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6281"/>
  </w:style>
  <w:style w:type="paragraph" w:styleId="BlockText">
    <w:name w:val="Block Text"/>
    <w:basedOn w:val="Normal"/>
    <w:rsid w:val="001F2F76"/>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470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170471">
      <w:bodyDiv w:val="1"/>
      <w:marLeft w:val="0"/>
      <w:marRight w:val="0"/>
      <w:marTop w:val="0"/>
      <w:marBottom w:val="0"/>
      <w:divBdr>
        <w:top w:val="none" w:sz="0" w:space="0" w:color="auto"/>
        <w:left w:val="none" w:sz="0" w:space="0" w:color="auto"/>
        <w:bottom w:val="none" w:sz="0" w:space="0" w:color="auto"/>
        <w:right w:val="none" w:sz="0" w:space="0" w:color="auto"/>
      </w:divBdr>
    </w:div>
    <w:div w:id="1969504130">
      <w:bodyDiv w:val="1"/>
      <w:marLeft w:val="0"/>
      <w:marRight w:val="0"/>
      <w:marTop w:val="0"/>
      <w:marBottom w:val="0"/>
      <w:divBdr>
        <w:top w:val="none" w:sz="0" w:space="0" w:color="auto"/>
        <w:left w:val="none" w:sz="0" w:space="0" w:color="auto"/>
        <w:bottom w:val="none" w:sz="0" w:space="0" w:color="auto"/>
        <w:right w:val="none" w:sz="0" w:space="0" w:color="auto"/>
      </w:divBdr>
      <w:divsChild>
        <w:div w:id="187136001">
          <w:marLeft w:val="0"/>
          <w:marRight w:val="0"/>
          <w:marTop w:val="480"/>
          <w:marBottom w:val="240"/>
          <w:divBdr>
            <w:top w:val="none" w:sz="0" w:space="0" w:color="auto"/>
            <w:left w:val="none" w:sz="0" w:space="0" w:color="auto"/>
            <w:bottom w:val="none" w:sz="0" w:space="0" w:color="auto"/>
            <w:right w:val="none" w:sz="0" w:space="0" w:color="auto"/>
          </w:divBdr>
        </w:div>
        <w:div w:id="1577780968">
          <w:marLeft w:val="0"/>
          <w:marRight w:val="0"/>
          <w:marTop w:val="0"/>
          <w:marBottom w:val="567"/>
          <w:divBdr>
            <w:top w:val="none" w:sz="0" w:space="0" w:color="auto"/>
            <w:left w:val="none" w:sz="0" w:space="0" w:color="auto"/>
            <w:bottom w:val="none" w:sz="0" w:space="0" w:color="auto"/>
            <w:right w:val="none" w:sz="0" w:space="0" w:color="auto"/>
          </w:divBdr>
        </w:div>
        <w:div w:id="2130004379">
          <w:marLeft w:val="0"/>
          <w:marRight w:val="0"/>
          <w:marTop w:val="0"/>
          <w:marBottom w:val="567"/>
          <w:divBdr>
            <w:top w:val="none" w:sz="0" w:space="0" w:color="auto"/>
            <w:left w:val="none" w:sz="0" w:space="0" w:color="auto"/>
            <w:bottom w:val="none" w:sz="0" w:space="0" w:color="auto"/>
            <w:right w:val="none" w:sz="0" w:space="0" w:color="auto"/>
          </w:divBdr>
        </w:div>
        <w:div w:id="1465275078">
          <w:marLeft w:val="0"/>
          <w:marRight w:val="0"/>
          <w:marTop w:val="0"/>
          <w:marBottom w:val="0"/>
          <w:divBdr>
            <w:top w:val="none" w:sz="0" w:space="0" w:color="auto"/>
            <w:left w:val="none" w:sz="0" w:space="0" w:color="auto"/>
            <w:bottom w:val="none" w:sz="0" w:space="0" w:color="auto"/>
            <w:right w:val="none" w:sz="0" w:space="0" w:color="auto"/>
          </w:divBdr>
        </w:div>
        <w:div w:id="572590925">
          <w:marLeft w:val="0"/>
          <w:marRight w:val="0"/>
          <w:marTop w:val="0"/>
          <w:marBottom w:val="0"/>
          <w:divBdr>
            <w:top w:val="none" w:sz="0" w:space="0" w:color="auto"/>
            <w:left w:val="none" w:sz="0" w:space="0" w:color="auto"/>
            <w:bottom w:val="none" w:sz="0" w:space="0" w:color="auto"/>
            <w:right w:val="none" w:sz="0" w:space="0" w:color="auto"/>
          </w:divBdr>
        </w:div>
        <w:div w:id="32926888">
          <w:marLeft w:val="0"/>
          <w:marRight w:val="0"/>
          <w:marTop w:val="0"/>
          <w:marBottom w:val="0"/>
          <w:divBdr>
            <w:top w:val="none" w:sz="0" w:space="0" w:color="auto"/>
            <w:left w:val="none" w:sz="0" w:space="0" w:color="auto"/>
            <w:bottom w:val="none" w:sz="0" w:space="0" w:color="auto"/>
            <w:right w:val="none" w:sz="0" w:space="0" w:color="auto"/>
          </w:divBdr>
        </w:div>
        <w:div w:id="227114254">
          <w:marLeft w:val="0"/>
          <w:marRight w:val="0"/>
          <w:marTop w:val="0"/>
          <w:marBottom w:val="0"/>
          <w:divBdr>
            <w:top w:val="none" w:sz="0" w:space="0" w:color="auto"/>
            <w:left w:val="none" w:sz="0" w:space="0" w:color="auto"/>
            <w:bottom w:val="none" w:sz="0" w:space="0" w:color="auto"/>
            <w:right w:val="none" w:sz="0" w:space="0" w:color="auto"/>
          </w:divBdr>
        </w:div>
        <w:div w:id="520243187">
          <w:marLeft w:val="0"/>
          <w:marRight w:val="0"/>
          <w:marTop w:val="0"/>
          <w:marBottom w:val="0"/>
          <w:divBdr>
            <w:top w:val="none" w:sz="0" w:space="0" w:color="auto"/>
            <w:left w:val="none" w:sz="0" w:space="0" w:color="auto"/>
            <w:bottom w:val="none" w:sz="0" w:space="0" w:color="auto"/>
            <w:right w:val="none" w:sz="0" w:space="0" w:color="auto"/>
          </w:divBdr>
        </w:div>
        <w:div w:id="1459760174">
          <w:marLeft w:val="0"/>
          <w:marRight w:val="0"/>
          <w:marTop w:val="0"/>
          <w:marBottom w:val="0"/>
          <w:divBdr>
            <w:top w:val="none" w:sz="0" w:space="0" w:color="auto"/>
            <w:left w:val="none" w:sz="0" w:space="0" w:color="auto"/>
            <w:bottom w:val="none" w:sz="0" w:space="0" w:color="auto"/>
            <w:right w:val="none" w:sz="0" w:space="0" w:color="auto"/>
          </w:divBdr>
        </w:div>
        <w:div w:id="1705130642">
          <w:marLeft w:val="0"/>
          <w:marRight w:val="0"/>
          <w:marTop w:val="0"/>
          <w:marBottom w:val="0"/>
          <w:divBdr>
            <w:top w:val="none" w:sz="0" w:space="0" w:color="auto"/>
            <w:left w:val="none" w:sz="0" w:space="0" w:color="auto"/>
            <w:bottom w:val="none" w:sz="0" w:space="0" w:color="auto"/>
            <w:right w:val="none" w:sz="0" w:space="0" w:color="auto"/>
          </w:divBdr>
        </w:div>
        <w:div w:id="2040617178">
          <w:marLeft w:val="0"/>
          <w:marRight w:val="0"/>
          <w:marTop w:val="0"/>
          <w:marBottom w:val="0"/>
          <w:divBdr>
            <w:top w:val="none" w:sz="0" w:space="0" w:color="auto"/>
            <w:left w:val="none" w:sz="0" w:space="0" w:color="auto"/>
            <w:bottom w:val="none" w:sz="0" w:space="0" w:color="auto"/>
            <w:right w:val="none" w:sz="0" w:space="0" w:color="auto"/>
          </w:divBdr>
        </w:div>
        <w:div w:id="1165047949">
          <w:marLeft w:val="0"/>
          <w:marRight w:val="0"/>
          <w:marTop w:val="0"/>
          <w:marBottom w:val="0"/>
          <w:divBdr>
            <w:top w:val="none" w:sz="0" w:space="0" w:color="auto"/>
            <w:left w:val="none" w:sz="0" w:space="0" w:color="auto"/>
            <w:bottom w:val="none" w:sz="0" w:space="0" w:color="auto"/>
            <w:right w:val="none" w:sz="0" w:space="0" w:color="auto"/>
          </w:divBdr>
        </w:div>
        <w:div w:id="503936987">
          <w:marLeft w:val="0"/>
          <w:marRight w:val="0"/>
          <w:marTop w:val="0"/>
          <w:marBottom w:val="0"/>
          <w:divBdr>
            <w:top w:val="none" w:sz="0" w:space="0" w:color="auto"/>
            <w:left w:val="none" w:sz="0" w:space="0" w:color="auto"/>
            <w:bottom w:val="none" w:sz="0" w:space="0" w:color="auto"/>
            <w:right w:val="none" w:sz="0" w:space="0" w:color="auto"/>
          </w:divBdr>
        </w:div>
        <w:div w:id="678508169">
          <w:marLeft w:val="0"/>
          <w:marRight w:val="0"/>
          <w:marTop w:val="0"/>
          <w:marBottom w:val="0"/>
          <w:divBdr>
            <w:top w:val="none" w:sz="0" w:space="0" w:color="auto"/>
            <w:left w:val="none" w:sz="0" w:space="0" w:color="auto"/>
            <w:bottom w:val="none" w:sz="0" w:space="0" w:color="auto"/>
            <w:right w:val="none" w:sz="0" w:space="0" w:color="auto"/>
          </w:divBdr>
        </w:div>
        <w:div w:id="1143429934">
          <w:marLeft w:val="0"/>
          <w:marRight w:val="0"/>
          <w:marTop w:val="0"/>
          <w:marBottom w:val="0"/>
          <w:divBdr>
            <w:top w:val="none" w:sz="0" w:space="0" w:color="auto"/>
            <w:left w:val="none" w:sz="0" w:space="0" w:color="auto"/>
            <w:bottom w:val="none" w:sz="0" w:space="0" w:color="auto"/>
            <w:right w:val="none" w:sz="0" w:space="0" w:color="auto"/>
          </w:divBdr>
        </w:div>
        <w:div w:id="167911991">
          <w:marLeft w:val="0"/>
          <w:marRight w:val="0"/>
          <w:marTop w:val="0"/>
          <w:marBottom w:val="0"/>
          <w:divBdr>
            <w:top w:val="none" w:sz="0" w:space="0" w:color="auto"/>
            <w:left w:val="none" w:sz="0" w:space="0" w:color="auto"/>
            <w:bottom w:val="none" w:sz="0" w:space="0" w:color="auto"/>
            <w:right w:val="none" w:sz="0" w:space="0" w:color="auto"/>
          </w:divBdr>
        </w:div>
        <w:div w:id="646788193">
          <w:marLeft w:val="0"/>
          <w:marRight w:val="0"/>
          <w:marTop w:val="0"/>
          <w:marBottom w:val="0"/>
          <w:divBdr>
            <w:top w:val="none" w:sz="0" w:space="0" w:color="auto"/>
            <w:left w:val="none" w:sz="0" w:space="0" w:color="auto"/>
            <w:bottom w:val="none" w:sz="0" w:space="0" w:color="auto"/>
            <w:right w:val="none" w:sz="0" w:space="0" w:color="auto"/>
          </w:divBdr>
        </w:div>
        <w:div w:id="2060352135">
          <w:marLeft w:val="0"/>
          <w:marRight w:val="0"/>
          <w:marTop w:val="0"/>
          <w:marBottom w:val="0"/>
          <w:divBdr>
            <w:top w:val="none" w:sz="0" w:space="0" w:color="auto"/>
            <w:left w:val="none" w:sz="0" w:space="0" w:color="auto"/>
            <w:bottom w:val="none" w:sz="0" w:space="0" w:color="auto"/>
            <w:right w:val="none" w:sz="0" w:space="0" w:color="auto"/>
          </w:divBdr>
        </w:div>
        <w:div w:id="1171528920">
          <w:marLeft w:val="0"/>
          <w:marRight w:val="0"/>
          <w:marTop w:val="0"/>
          <w:marBottom w:val="0"/>
          <w:divBdr>
            <w:top w:val="none" w:sz="0" w:space="0" w:color="auto"/>
            <w:left w:val="none" w:sz="0" w:space="0" w:color="auto"/>
            <w:bottom w:val="none" w:sz="0" w:space="0" w:color="auto"/>
            <w:right w:val="none" w:sz="0" w:space="0" w:color="auto"/>
          </w:divBdr>
        </w:div>
        <w:div w:id="704907019">
          <w:marLeft w:val="0"/>
          <w:marRight w:val="0"/>
          <w:marTop w:val="0"/>
          <w:marBottom w:val="0"/>
          <w:divBdr>
            <w:top w:val="none" w:sz="0" w:space="0" w:color="auto"/>
            <w:left w:val="none" w:sz="0" w:space="0" w:color="auto"/>
            <w:bottom w:val="none" w:sz="0" w:space="0" w:color="auto"/>
            <w:right w:val="none" w:sz="0" w:space="0" w:color="auto"/>
          </w:divBdr>
        </w:div>
        <w:div w:id="711543195">
          <w:marLeft w:val="0"/>
          <w:marRight w:val="0"/>
          <w:marTop w:val="0"/>
          <w:marBottom w:val="0"/>
          <w:divBdr>
            <w:top w:val="none" w:sz="0" w:space="0" w:color="auto"/>
            <w:left w:val="none" w:sz="0" w:space="0" w:color="auto"/>
            <w:bottom w:val="none" w:sz="0" w:space="0" w:color="auto"/>
            <w:right w:val="none" w:sz="0" w:space="0" w:color="auto"/>
          </w:divBdr>
        </w:div>
        <w:div w:id="1262102831">
          <w:marLeft w:val="0"/>
          <w:marRight w:val="0"/>
          <w:marTop w:val="0"/>
          <w:marBottom w:val="0"/>
          <w:divBdr>
            <w:top w:val="none" w:sz="0" w:space="0" w:color="auto"/>
            <w:left w:val="none" w:sz="0" w:space="0" w:color="auto"/>
            <w:bottom w:val="none" w:sz="0" w:space="0" w:color="auto"/>
            <w:right w:val="none" w:sz="0" w:space="0" w:color="auto"/>
          </w:divBdr>
        </w:div>
        <w:div w:id="277491855">
          <w:marLeft w:val="0"/>
          <w:marRight w:val="0"/>
          <w:marTop w:val="0"/>
          <w:marBottom w:val="0"/>
          <w:divBdr>
            <w:top w:val="none" w:sz="0" w:space="0" w:color="auto"/>
            <w:left w:val="none" w:sz="0" w:space="0" w:color="auto"/>
            <w:bottom w:val="none" w:sz="0" w:space="0" w:color="auto"/>
            <w:right w:val="none" w:sz="0" w:space="0" w:color="auto"/>
          </w:divBdr>
        </w:div>
        <w:div w:id="1680352511">
          <w:marLeft w:val="0"/>
          <w:marRight w:val="0"/>
          <w:marTop w:val="0"/>
          <w:marBottom w:val="0"/>
          <w:divBdr>
            <w:top w:val="none" w:sz="0" w:space="0" w:color="auto"/>
            <w:left w:val="none" w:sz="0" w:space="0" w:color="auto"/>
            <w:bottom w:val="none" w:sz="0" w:space="0" w:color="auto"/>
            <w:right w:val="none" w:sz="0" w:space="0" w:color="auto"/>
          </w:divBdr>
        </w:div>
        <w:div w:id="1645348483">
          <w:marLeft w:val="0"/>
          <w:marRight w:val="0"/>
          <w:marTop w:val="0"/>
          <w:marBottom w:val="0"/>
          <w:divBdr>
            <w:top w:val="none" w:sz="0" w:space="0" w:color="auto"/>
            <w:left w:val="none" w:sz="0" w:space="0" w:color="auto"/>
            <w:bottom w:val="none" w:sz="0" w:space="0" w:color="auto"/>
            <w:right w:val="none" w:sz="0" w:space="0" w:color="auto"/>
          </w:divBdr>
        </w:div>
        <w:div w:id="1221746195">
          <w:marLeft w:val="0"/>
          <w:marRight w:val="0"/>
          <w:marTop w:val="0"/>
          <w:marBottom w:val="0"/>
          <w:divBdr>
            <w:top w:val="none" w:sz="0" w:space="0" w:color="auto"/>
            <w:left w:val="none" w:sz="0" w:space="0" w:color="auto"/>
            <w:bottom w:val="none" w:sz="0" w:space="0" w:color="auto"/>
            <w:right w:val="none" w:sz="0" w:space="0" w:color="auto"/>
          </w:divBdr>
        </w:div>
        <w:div w:id="494995550">
          <w:marLeft w:val="0"/>
          <w:marRight w:val="0"/>
          <w:marTop w:val="0"/>
          <w:marBottom w:val="0"/>
          <w:divBdr>
            <w:top w:val="none" w:sz="0" w:space="0" w:color="auto"/>
            <w:left w:val="none" w:sz="0" w:space="0" w:color="auto"/>
            <w:bottom w:val="none" w:sz="0" w:space="0" w:color="auto"/>
            <w:right w:val="none" w:sz="0" w:space="0" w:color="auto"/>
          </w:divBdr>
        </w:div>
        <w:div w:id="1999338420">
          <w:marLeft w:val="0"/>
          <w:marRight w:val="0"/>
          <w:marTop w:val="0"/>
          <w:marBottom w:val="0"/>
          <w:divBdr>
            <w:top w:val="none" w:sz="0" w:space="0" w:color="auto"/>
            <w:left w:val="none" w:sz="0" w:space="0" w:color="auto"/>
            <w:bottom w:val="none" w:sz="0" w:space="0" w:color="auto"/>
            <w:right w:val="none" w:sz="0" w:space="0" w:color="auto"/>
          </w:divBdr>
        </w:div>
        <w:div w:id="1143085621">
          <w:marLeft w:val="0"/>
          <w:marRight w:val="0"/>
          <w:marTop w:val="0"/>
          <w:marBottom w:val="0"/>
          <w:divBdr>
            <w:top w:val="none" w:sz="0" w:space="0" w:color="auto"/>
            <w:left w:val="none" w:sz="0" w:space="0" w:color="auto"/>
            <w:bottom w:val="none" w:sz="0" w:space="0" w:color="auto"/>
            <w:right w:val="none" w:sz="0" w:space="0" w:color="auto"/>
          </w:divBdr>
        </w:div>
        <w:div w:id="1685401690">
          <w:marLeft w:val="0"/>
          <w:marRight w:val="0"/>
          <w:marTop w:val="0"/>
          <w:marBottom w:val="0"/>
          <w:divBdr>
            <w:top w:val="none" w:sz="0" w:space="0" w:color="auto"/>
            <w:left w:val="none" w:sz="0" w:space="0" w:color="auto"/>
            <w:bottom w:val="none" w:sz="0" w:space="0" w:color="auto"/>
            <w:right w:val="none" w:sz="0" w:space="0" w:color="auto"/>
          </w:divBdr>
        </w:div>
        <w:div w:id="2015835424">
          <w:marLeft w:val="0"/>
          <w:marRight w:val="0"/>
          <w:marTop w:val="0"/>
          <w:marBottom w:val="0"/>
          <w:divBdr>
            <w:top w:val="none" w:sz="0" w:space="0" w:color="auto"/>
            <w:left w:val="none" w:sz="0" w:space="0" w:color="auto"/>
            <w:bottom w:val="none" w:sz="0" w:space="0" w:color="auto"/>
            <w:right w:val="none" w:sz="0" w:space="0" w:color="auto"/>
          </w:divBdr>
        </w:div>
        <w:div w:id="843057353">
          <w:marLeft w:val="0"/>
          <w:marRight w:val="0"/>
          <w:marTop w:val="0"/>
          <w:marBottom w:val="0"/>
          <w:divBdr>
            <w:top w:val="none" w:sz="0" w:space="0" w:color="auto"/>
            <w:left w:val="none" w:sz="0" w:space="0" w:color="auto"/>
            <w:bottom w:val="none" w:sz="0" w:space="0" w:color="auto"/>
            <w:right w:val="none" w:sz="0" w:space="0" w:color="auto"/>
          </w:divBdr>
        </w:div>
        <w:div w:id="148255007">
          <w:marLeft w:val="0"/>
          <w:marRight w:val="0"/>
          <w:marTop w:val="0"/>
          <w:marBottom w:val="0"/>
          <w:divBdr>
            <w:top w:val="none" w:sz="0" w:space="0" w:color="auto"/>
            <w:left w:val="none" w:sz="0" w:space="0" w:color="auto"/>
            <w:bottom w:val="none" w:sz="0" w:space="0" w:color="auto"/>
            <w:right w:val="none" w:sz="0" w:space="0" w:color="auto"/>
          </w:divBdr>
        </w:div>
        <w:div w:id="234979137">
          <w:marLeft w:val="0"/>
          <w:marRight w:val="0"/>
          <w:marTop w:val="0"/>
          <w:marBottom w:val="0"/>
          <w:divBdr>
            <w:top w:val="none" w:sz="0" w:space="0" w:color="auto"/>
            <w:left w:val="none" w:sz="0" w:space="0" w:color="auto"/>
            <w:bottom w:val="none" w:sz="0" w:space="0" w:color="auto"/>
            <w:right w:val="none" w:sz="0" w:space="0" w:color="auto"/>
          </w:divBdr>
        </w:div>
        <w:div w:id="454449276">
          <w:marLeft w:val="0"/>
          <w:marRight w:val="0"/>
          <w:marTop w:val="0"/>
          <w:marBottom w:val="0"/>
          <w:divBdr>
            <w:top w:val="none" w:sz="0" w:space="0" w:color="auto"/>
            <w:left w:val="none" w:sz="0" w:space="0" w:color="auto"/>
            <w:bottom w:val="none" w:sz="0" w:space="0" w:color="auto"/>
            <w:right w:val="none" w:sz="0" w:space="0" w:color="auto"/>
          </w:divBdr>
        </w:div>
        <w:div w:id="934821466">
          <w:marLeft w:val="0"/>
          <w:marRight w:val="0"/>
          <w:marTop w:val="0"/>
          <w:marBottom w:val="0"/>
          <w:divBdr>
            <w:top w:val="none" w:sz="0" w:space="0" w:color="auto"/>
            <w:left w:val="none" w:sz="0" w:space="0" w:color="auto"/>
            <w:bottom w:val="none" w:sz="0" w:space="0" w:color="auto"/>
            <w:right w:val="none" w:sz="0" w:space="0" w:color="auto"/>
          </w:divBdr>
        </w:div>
        <w:div w:id="349259993">
          <w:marLeft w:val="0"/>
          <w:marRight w:val="0"/>
          <w:marTop w:val="0"/>
          <w:marBottom w:val="0"/>
          <w:divBdr>
            <w:top w:val="none" w:sz="0" w:space="0" w:color="auto"/>
            <w:left w:val="none" w:sz="0" w:space="0" w:color="auto"/>
            <w:bottom w:val="none" w:sz="0" w:space="0" w:color="auto"/>
            <w:right w:val="none" w:sz="0" w:space="0" w:color="auto"/>
          </w:divBdr>
        </w:div>
        <w:div w:id="1392071794">
          <w:marLeft w:val="0"/>
          <w:marRight w:val="0"/>
          <w:marTop w:val="0"/>
          <w:marBottom w:val="0"/>
          <w:divBdr>
            <w:top w:val="none" w:sz="0" w:space="0" w:color="auto"/>
            <w:left w:val="none" w:sz="0" w:space="0" w:color="auto"/>
            <w:bottom w:val="none" w:sz="0" w:space="0" w:color="auto"/>
            <w:right w:val="none" w:sz="0" w:space="0" w:color="auto"/>
          </w:divBdr>
        </w:div>
        <w:div w:id="877159814">
          <w:marLeft w:val="0"/>
          <w:marRight w:val="0"/>
          <w:marTop w:val="0"/>
          <w:marBottom w:val="0"/>
          <w:divBdr>
            <w:top w:val="none" w:sz="0" w:space="0" w:color="auto"/>
            <w:left w:val="none" w:sz="0" w:space="0" w:color="auto"/>
            <w:bottom w:val="none" w:sz="0" w:space="0" w:color="auto"/>
            <w:right w:val="none" w:sz="0" w:space="0" w:color="auto"/>
          </w:divBdr>
        </w:div>
        <w:div w:id="1677925050">
          <w:marLeft w:val="0"/>
          <w:marRight w:val="0"/>
          <w:marTop w:val="0"/>
          <w:marBottom w:val="0"/>
          <w:divBdr>
            <w:top w:val="none" w:sz="0" w:space="0" w:color="auto"/>
            <w:left w:val="none" w:sz="0" w:space="0" w:color="auto"/>
            <w:bottom w:val="none" w:sz="0" w:space="0" w:color="auto"/>
            <w:right w:val="none" w:sz="0" w:space="0" w:color="auto"/>
          </w:divBdr>
        </w:div>
        <w:div w:id="1568759865">
          <w:marLeft w:val="0"/>
          <w:marRight w:val="0"/>
          <w:marTop w:val="0"/>
          <w:marBottom w:val="0"/>
          <w:divBdr>
            <w:top w:val="none" w:sz="0" w:space="0" w:color="auto"/>
            <w:left w:val="none" w:sz="0" w:space="0" w:color="auto"/>
            <w:bottom w:val="none" w:sz="0" w:space="0" w:color="auto"/>
            <w:right w:val="none" w:sz="0" w:space="0" w:color="auto"/>
          </w:divBdr>
        </w:div>
        <w:div w:id="464130385">
          <w:marLeft w:val="0"/>
          <w:marRight w:val="0"/>
          <w:marTop w:val="0"/>
          <w:marBottom w:val="0"/>
          <w:divBdr>
            <w:top w:val="none" w:sz="0" w:space="0" w:color="auto"/>
            <w:left w:val="none" w:sz="0" w:space="0" w:color="auto"/>
            <w:bottom w:val="none" w:sz="0" w:space="0" w:color="auto"/>
            <w:right w:val="none" w:sz="0" w:space="0" w:color="auto"/>
          </w:divBdr>
        </w:div>
        <w:div w:id="1840852269">
          <w:marLeft w:val="0"/>
          <w:marRight w:val="0"/>
          <w:marTop w:val="0"/>
          <w:marBottom w:val="0"/>
          <w:divBdr>
            <w:top w:val="none" w:sz="0" w:space="0" w:color="auto"/>
            <w:left w:val="none" w:sz="0" w:space="0" w:color="auto"/>
            <w:bottom w:val="none" w:sz="0" w:space="0" w:color="auto"/>
            <w:right w:val="none" w:sz="0" w:space="0" w:color="auto"/>
          </w:divBdr>
        </w:div>
        <w:div w:id="790710342">
          <w:marLeft w:val="0"/>
          <w:marRight w:val="0"/>
          <w:marTop w:val="0"/>
          <w:marBottom w:val="0"/>
          <w:divBdr>
            <w:top w:val="none" w:sz="0" w:space="0" w:color="auto"/>
            <w:left w:val="none" w:sz="0" w:space="0" w:color="auto"/>
            <w:bottom w:val="none" w:sz="0" w:space="0" w:color="auto"/>
            <w:right w:val="none" w:sz="0" w:space="0" w:color="auto"/>
          </w:divBdr>
        </w:div>
        <w:div w:id="895630090">
          <w:marLeft w:val="0"/>
          <w:marRight w:val="0"/>
          <w:marTop w:val="0"/>
          <w:marBottom w:val="0"/>
          <w:divBdr>
            <w:top w:val="none" w:sz="0" w:space="0" w:color="auto"/>
            <w:left w:val="none" w:sz="0" w:space="0" w:color="auto"/>
            <w:bottom w:val="none" w:sz="0" w:space="0" w:color="auto"/>
            <w:right w:val="none" w:sz="0" w:space="0" w:color="auto"/>
          </w:divBdr>
        </w:div>
        <w:div w:id="184095366">
          <w:marLeft w:val="0"/>
          <w:marRight w:val="0"/>
          <w:marTop w:val="0"/>
          <w:marBottom w:val="0"/>
          <w:divBdr>
            <w:top w:val="none" w:sz="0" w:space="0" w:color="auto"/>
            <w:left w:val="none" w:sz="0" w:space="0" w:color="auto"/>
            <w:bottom w:val="none" w:sz="0" w:space="0" w:color="auto"/>
            <w:right w:val="none" w:sz="0" w:space="0" w:color="auto"/>
          </w:divBdr>
        </w:div>
        <w:div w:id="684595150">
          <w:marLeft w:val="0"/>
          <w:marRight w:val="0"/>
          <w:marTop w:val="0"/>
          <w:marBottom w:val="0"/>
          <w:divBdr>
            <w:top w:val="none" w:sz="0" w:space="0" w:color="auto"/>
            <w:left w:val="none" w:sz="0" w:space="0" w:color="auto"/>
            <w:bottom w:val="none" w:sz="0" w:space="0" w:color="auto"/>
            <w:right w:val="none" w:sz="0" w:space="0" w:color="auto"/>
          </w:divBdr>
        </w:div>
        <w:div w:id="1336884683">
          <w:marLeft w:val="0"/>
          <w:marRight w:val="0"/>
          <w:marTop w:val="0"/>
          <w:marBottom w:val="0"/>
          <w:divBdr>
            <w:top w:val="none" w:sz="0" w:space="0" w:color="auto"/>
            <w:left w:val="none" w:sz="0" w:space="0" w:color="auto"/>
            <w:bottom w:val="none" w:sz="0" w:space="0" w:color="auto"/>
            <w:right w:val="none" w:sz="0" w:space="0" w:color="auto"/>
          </w:divBdr>
        </w:div>
        <w:div w:id="1092436907">
          <w:marLeft w:val="0"/>
          <w:marRight w:val="0"/>
          <w:marTop w:val="0"/>
          <w:marBottom w:val="0"/>
          <w:divBdr>
            <w:top w:val="none" w:sz="0" w:space="0" w:color="auto"/>
            <w:left w:val="none" w:sz="0" w:space="0" w:color="auto"/>
            <w:bottom w:val="none" w:sz="0" w:space="0" w:color="auto"/>
            <w:right w:val="none" w:sz="0" w:space="0" w:color="auto"/>
          </w:divBdr>
        </w:div>
        <w:div w:id="290326814">
          <w:marLeft w:val="0"/>
          <w:marRight w:val="0"/>
          <w:marTop w:val="0"/>
          <w:marBottom w:val="0"/>
          <w:divBdr>
            <w:top w:val="none" w:sz="0" w:space="0" w:color="auto"/>
            <w:left w:val="none" w:sz="0" w:space="0" w:color="auto"/>
            <w:bottom w:val="none" w:sz="0" w:space="0" w:color="auto"/>
            <w:right w:val="none" w:sz="0" w:space="0" w:color="auto"/>
          </w:divBdr>
        </w:div>
        <w:div w:id="1452088797">
          <w:marLeft w:val="0"/>
          <w:marRight w:val="0"/>
          <w:marTop w:val="0"/>
          <w:marBottom w:val="0"/>
          <w:divBdr>
            <w:top w:val="none" w:sz="0" w:space="0" w:color="auto"/>
            <w:left w:val="none" w:sz="0" w:space="0" w:color="auto"/>
            <w:bottom w:val="none" w:sz="0" w:space="0" w:color="auto"/>
            <w:right w:val="none" w:sz="0" w:space="0" w:color="auto"/>
          </w:divBdr>
        </w:div>
        <w:div w:id="727806558">
          <w:marLeft w:val="0"/>
          <w:marRight w:val="0"/>
          <w:marTop w:val="0"/>
          <w:marBottom w:val="0"/>
          <w:divBdr>
            <w:top w:val="none" w:sz="0" w:space="0" w:color="auto"/>
            <w:left w:val="none" w:sz="0" w:space="0" w:color="auto"/>
            <w:bottom w:val="none" w:sz="0" w:space="0" w:color="auto"/>
            <w:right w:val="none" w:sz="0" w:space="0" w:color="auto"/>
          </w:divBdr>
        </w:div>
        <w:div w:id="726075097">
          <w:marLeft w:val="0"/>
          <w:marRight w:val="0"/>
          <w:marTop w:val="0"/>
          <w:marBottom w:val="0"/>
          <w:divBdr>
            <w:top w:val="none" w:sz="0" w:space="0" w:color="auto"/>
            <w:left w:val="none" w:sz="0" w:space="0" w:color="auto"/>
            <w:bottom w:val="none" w:sz="0" w:space="0" w:color="auto"/>
            <w:right w:val="none" w:sz="0" w:space="0" w:color="auto"/>
          </w:divBdr>
        </w:div>
        <w:div w:id="1030957371">
          <w:marLeft w:val="0"/>
          <w:marRight w:val="0"/>
          <w:marTop w:val="0"/>
          <w:marBottom w:val="0"/>
          <w:divBdr>
            <w:top w:val="none" w:sz="0" w:space="0" w:color="auto"/>
            <w:left w:val="none" w:sz="0" w:space="0" w:color="auto"/>
            <w:bottom w:val="none" w:sz="0" w:space="0" w:color="auto"/>
            <w:right w:val="none" w:sz="0" w:space="0" w:color="auto"/>
          </w:divBdr>
        </w:div>
        <w:div w:id="1556156904">
          <w:marLeft w:val="0"/>
          <w:marRight w:val="0"/>
          <w:marTop w:val="0"/>
          <w:marBottom w:val="0"/>
          <w:divBdr>
            <w:top w:val="none" w:sz="0" w:space="0" w:color="auto"/>
            <w:left w:val="none" w:sz="0" w:space="0" w:color="auto"/>
            <w:bottom w:val="none" w:sz="0" w:space="0" w:color="auto"/>
            <w:right w:val="none" w:sz="0" w:space="0" w:color="auto"/>
          </w:divBdr>
        </w:div>
        <w:div w:id="37705852">
          <w:marLeft w:val="0"/>
          <w:marRight w:val="0"/>
          <w:marTop w:val="0"/>
          <w:marBottom w:val="0"/>
          <w:divBdr>
            <w:top w:val="none" w:sz="0" w:space="0" w:color="auto"/>
            <w:left w:val="none" w:sz="0" w:space="0" w:color="auto"/>
            <w:bottom w:val="none" w:sz="0" w:space="0" w:color="auto"/>
            <w:right w:val="none" w:sz="0" w:space="0" w:color="auto"/>
          </w:divBdr>
        </w:div>
        <w:div w:id="623385751">
          <w:marLeft w:val="0"/>
          <w:marRight w:val="0"/>
          <w:marTop w:val="0"/>
          <w:marBottom w:val="0"/>
          <w:divBdr>
            <w:top w:val="none" w:sz="0" w:space="0" w:color="auto"/>
            <w:left w:val="none" w:sz="0" w:space="0" w:color="auto"/>
            <w:bottom w:val="none" w:sz="0" w:space="0" w:color="auto"/>
            <w:right w:val="none" w:sz="0" w:space="0" w:color="auto"/>
          </w:divBdr>
        </w:div>
        <w:div w:id="1705903515">
          <w:marLeft w:val="0"/>
          <w:marRight w:val="0"/>
          <w:marTop w:val="240"/>
          <w:marBottom w:val="0"/>
          <w:divBdr>
            <w:top w:val="none" w:sz="0" w:space="0" w:color="auto"/>
            <w:left w:val="none" w:sz="0" w:space="0" w:color="auto"/>
            <w:bottom w:val="none" w:sz="0" w:space="0" w:color="auto"/>
            <w:right w:val="none" w:sz="0" w:space="0" w:color="auto"/>
          </w:divBdr>
        </w:div>
        <w:div w:id="614605763">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DB4209B-510A-48C2-A552-44BFDDB9084B}">
  <ds:schemaRefs>
    <ds:schemaRef ds:uri="http://schemas.microsoft.com/sharepoint/v3/contenttype/forms"/>
  </ds:schemaRefs>
</ds:datastoreItem>
</file>

<file path=customXml/itemProps2.xml><?xml version="1.0" encoding="utf-8"?>
<ds:datastoreItem xmlns:ds="http://schemas.openxmlformats.org/officeDocument/2006/customXml" ds:itemID="{0F5618BA-3C7D-4C23-873C-BF059FCA819A}"/>
</file>

<file path=customXml/itemProps3.xml><?xml version="1.0" encoding="utf-8"?>
<ds:datastoreItem xmlns:ds="http://schemas.openxmlformats.org/officeDocument/2006/customXml" ds:itemID="{A4FD7F00-5325-46CD-AA58-8B5BAB941B4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29228</Words>
  <Characters>16660</Characters>
  <Application>Microsoft Office Word</Application>
  <DocSecurity>0</DocSecurity>
  <Lines>138</Lines>
  <Paragraphs>91</Paragraphs>
  <ScaleCrop>false</ScaleCrop>
  <Company/>
  <LinksUpToDate>false</LinksUpToDate>
  <CharactersWithSpaces>45797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2022-08-02T07:59:00Z</dcterms:created>
  <dcterms:modified xsi:type="dcterms:W3CDTF">2022-09-12T10:00:00Z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