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DCE7" w14:textId="77777777" w:rsidR="00424616" w:rsidRPr="00424616" w:rsidRDefault="00424616" w:rsidP="00424616">
      <w:pPr>
        <w:widowControl w:val="0"/>
        <w:spacing w:after="0" w:line="240" w:lineRule="auto"/>
        <w:rPr>
          <w:rFonts w:ascii="Times New Roman" w:hAnsi="Times New Roman"/>
          <w:noProof/>
          <w:sz w:val="20"/>
          <w:szCs w:val="20"/>
          <w:lang w:val="en-US"/>
        </w:rPr>
      </w:pPr>
    </w:p>
    <w:p w14:paraId="0E40639C" w14:textId="77777777" w:rsidR="00424616" w:rsidRPr="00424616" w:rsidRDefault="00424616" w:rsidP="00424616">
      <w:pPr>
        <w:widowControl w:val="0"/>
        <w:spacing w:after="0" w:line="240" w:lineRule="auto"/>
        <w:rPr>
          <w:rFonts w:ascii="Times New Roman" w:hAnsi="Times New Roman"/>
          <w:noProof/>
          <w:sz w:val="20"/>
          <w:szCs w:val="20"/>
          <w:lang w:val="en-US"/>
        </w:rPr>
      </w:pPr>
      <w:r w:rsidRPr="00424616">
        <w:rPr>
          <w:rFonts w:ascii="Times New Roman" w:hAnsi="Times New Roman"/>
          <w:noProof/>
          <w:sz w:val="20"/>
          <w:szCs w:val="20"/>
          <w:lang w:val="en-US"/>
        </w:rPr>
        <w:t>Text consolidated by Valsts valodas centrs (State Language Centre) with amending decisions of:</w:t>
      </w:r>
    </w:p>
    <w:p w14:paraId="573A1B68" w14:textId="77777777" w:rsidR="00424616" w:rsidRPr="00424616" w:rsidRDefault="00424616" w:rsidP="00424616">
      <w:pPr>
        <w:pStyle w:val="BlockText"/>
        <w:ind w:left="0" w:right="0"/>
        <w:jc w:val="center"/>
        <w:rPr>
          <w:noProof/>
          <w:lang w:val="en-US"/>
        </w:rPr>
      </w:pPr>
      <w:r w:rsidRPr="00424616">
        <w:rPr>
          <w:noProof/>
          <w:lang w:val="en-US"/>
        </w:rPr>
        <w:t>24 February 2022 [shall come into force on 1 March 2022].</w:t>
      </w:r>
    </w:p>
    <w:p w14:paraId="6B3A4669" w14:textId="77777777" w:rsidR="00424616" w:rsidRPr="00424616" w:rsidRDefault="00424616" w:rsidP="00424616">
      <w:pPr>
        <w:pStyle w:val="NormalWeb"/>
        <w:spacing w:before="0" w:beforeAutospacing="0" w:after="0" w:afterAutospacing="0"/>
        <w:jc w:val="both"/>
        <w:rPr>
          <w:noProof/>
          <w:sz w:val="20"/>
          <w:szCs w:val="20"/>
          <w:lang w:val="en-US"/>
        </w:rPr>
      </w:pPr>
      <w:r w:rsidRPr="00424616">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5AC1DFC" w14:textId="77777777" w:rsidR="00424616" w:rsidRPr="00424616" w:rsidRDefault="00424616" w:rsidP="00424616">
      <w:pPr>
        <w:spacing w:after="0" w:line="240" w:lineRule="auto"/>
        <w:rPr>
          <w:rFonts w:ascii="Times New Roman" w:hAnsi="Times New Roman"/>
          <w:noProof/>
          <w:sz w:val="24"/>
          <w:lang w:val="en-US"/>
        </w:rPr>
      </w:pPr>
    </w:p>
    <w:p w14:paraId="27071F7F" w14:textId="77777777" w:rsidR="00424616" w:rsidRPr="00424616" w:rsidRDefault="00424616" w:rsidP="00424616">
      <w:pPr>
        <w:spacing w:after="0" w:line="240" w:lineRule="auto"/>
        <w:rPr>
          <w:rFonts w:ascii="Times New Roman" w:hAnsi="Times New Roman"/>
          <w:b/>
          <w:noProof/>
          <w:sz w:val="24"/>
          <w:lang w:val="en-US"/>
        </w:rPr>
      </w:pPr>
    </w:p>
    <w:p w14:paraId="57500189"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Decision No. 1/9 of the Board of the Public Utilities Commission</w:t>
      </w:r>
    </w:p>
    <w:p w14:paraId="3357B9AA"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A80E1" w14:textId="77777777" w:rsidR="00424616" w:rsidRPr="00424616" w:rsidRDefault="00424616" w:rsidP="00424616">
      <w:pPr>
        <w:shd w:val="clear" w:color="auto" w:fill="FFFFFF"/>
        <w:spacing w:after="0" w:line="240" w:lineRule="auto"/>
        <w:jc w:val="center"/>
        <w:rPr>
          <w:rFonts w:ascii="Times New Roman" w:hAnsi="Times New Roman"/>
          <w:noProof/>
          <w:sz w:val="24"/>
          <w:lang w:val="en-US"/>
        </w:rPr>
      </w:pPr>
      <w:r w:rsidRPr="00424616">
        <w:rPr>
          <w:rFonts w:ascii="Times New Roman" w:hAnsi="Times New Roman"/>
          <w:noProof/>
          <w:sz w:val="24"/>
          <w:lang w:val="en-US"/>
        </w:rPr>
        <w:t>Adopted 2 July 2020</w:t>
      </w:r>
    </w:p>
    <w:p w14:paraId="41AF1493"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B52743"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B029B4" w14:textId="77777777" w:rsidR="00424616" w:rsidRPr="00424616" w:rsidRDefault="00424616" w:rsidP="00424616">
      <w:pPr>
        <w:shd w:val="clear" w:color="auto" w:fill="FFFFFF"/>
        <w:spacing w:after="0" w:line="240" w:lineRule="auto"/>
        <w:jc w:val="center"/>
        <w:rPr>
          <w:rFonts w:ascii="Times New Roman" w:hAnsi="Times New Roman"/>
          <w:b/>
          <w:noProof/>
          <w:sz w:val="28"/>
          <w:lang w:val="en-US"/>
        </w:rPr>
      </w:pPr>
      <w:r w:rsidRPr="00424616">
        <w:rPr>
          <w:rFonts w:ascii="Times New Roman" w:hAnsi="Times New Roman"/>
          <w:b/>
          <w:noProof/>
          <w:sz w:val="28"/>
          <w:lang w:val="en-US"/>
        </w:rPr>
        <w:t>Regulations Regarding the General Authorisation, Registration, and Submission of Information in the Deposit Packaging Management Sector</w:t>
      </w:r>
    </w:p>
    <w:p w14:paraId="553CBBAD"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F8BB29"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30C92C" w14:textId="77777777" w:rsidR="00424616" w:rsidRPr="00424616" w:rsidRDefault="00424616" w:rsidP="00424616">
      <w:pPr>
        <w:shd w:val="clear" w:color="auto" w:fill="FFFFFF"/>
        <w:spacing w:after="0" w:line="240" w:lineRule="auto"/>
        <w:jc w:val="right"/>
        <w:rPr>
          <w:rFonts w:ascii="Times New Roman" w:hAnsi="Times New Roman"/>
          <w:i/>
          <w:noProof/>
          <w:sz w:val="24"/>
          <w:lang w:val="en-US"/>
        </w:rPr>
      </w:pPr>
      <w:r w:rsidRPr="00424616">
        <w:rPr>
          <w:rFonts w:ascii="Times New Roman" w:hAnsi="Times New Roman"/>
          <w:i/>
          <w:noProof/>
          <w:sz w:val="24"/>
          <w:lang w:val="en-US"/>
        </w:rPr>
        <w:t>Issued pursuant to</w:t>
      </w:r>
    </w:p>
    <w:p w14:paraId="24A25615" w14:textId="77777777" w:rsidR="00424616" w:rsidRPr="00424616" w:rsidRDefault="00424616" w:rsidP="00424616">
      <w:pPr>
        <w:shd w:val="clear" w:color="auto" w:fill="FFFFFF"/>
        <w:spacing w:after="0" w:line="240" w:lineRule="auto"/>
        <w:jc w:val="right"/>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Section 18.</w:t>
      </w:r>
      <w:r w:rsidRPr="00424616">
        <w:rPr>
          <w:rFonts w:ascii="Times New Roman" w:hAnsi="Times New Roman"/>
          <w:i/>
          <w:noProof/>
          <w:sz w:val="24"/>
          <w:vertAlign w:val="superscript"/>
          <w:lang w:val="en-US"/>
        </w:rPr>
        <w:t>1</w:t>
      </w:r>
      <w:r w:rsidRPr="00424616">
        <w:rPr>
          <w:rFonts w:ascii="Times New Roman" w:hAnsi="Times New Roman"/>
          <w:i/>
          <w:noProof/>
          <w:sz w:val="24"/>
          <w:lang w:val="en-US"/>
        </w:rPr>
        <w:t>, Paragraphs two and four, and Section 25, Paragraph one of the law on Regulators of Public Utilities</w:t>
      </w:r>
    </w:p>
    <w:p w14:paraId="02CD26D9"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i/>
          <w:iCs/>
          <w:noProof/>
          <w:sz w:val="24"/>
          <w:szCs w:val="24"/>
          <w:lang w:val="en-US"/>
        </w:rPr>
      </w:pPr>
      <w:bookmarkStart w:id="0" w:name="n1"/>
      <w:bookmarkStart w:id="1" w:name="n-740904"/>
      <w:bookmarkEnd w:id="0"/>
      <w:bookmarkEnd w:id="1"/>
    </w:p>
    <w:p w14:paraId="1357F454"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i/>
          <w:iCs/>
          <w:noProof/>
          <w:sz w:val="24"/>
          <w:szCs w:val="24"/>
          <w:lang w:val="en-US"/>
        </w:rPr>
      </w:pPr>
    </w:p>
    <w:p w14:paraId="3044F56A"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 General Provision</w:t>
      </w:r>
    </w:p>
    <w:p w14:paraId="6087A525"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740905"/>
      <w:bookmarkEnd w:id="2"/>
      <w:bookmarkEnd w:id="3"/>
    </w:p>
    <w:p w14:paraId="4ED75AC7"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 The regulations regarding the general authorisation, registration, and submission of information in the deposit packaging management sector (hereinafter – the Regulation) prescribe:</w:t>
      </w:r>
    </w:p>
    <w:p w14:paraId="36C25212"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1.1. the requirements for the registration of the provider of the service of ensuring the deposit system of the deposit system operator (hereinafter – the service of ensuring the deposit system) (hereinafter – the merchant);</w:t>
      </w:r>
    </w:p>
    <w:p w14:paraId="57D344D8"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1.2. the procedures by which the merchant shall send a registration notification to the Public Utilities Commission (hereinafter – the Regulator);</w:t>
      </w:r>
    </w:p>
    <w:p w14:paraId="5F04F72C"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1.3. the information to be included in the registration notification;</w:t>
      </w:r>
    </w:p>
    <w:p w14:paraId="5C8B319E"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1.4. the information to be included in the register;</w:t>
      </w:r>
    </w:p>
    <w:p w14:paraId="62FB640C"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1.5. the procedures by which the merchant shall be excluded from the register;</w:t>
      </w:r>
    </w:p>
    <w:p w14:paraId="6139FE8B"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1.6. the procedures by which the Regulator shall inform the submitter of a registration notification of the time period within which it will be registered, of the right to commence the provision of a public utility service, if the decision of the Regulator to refuse to register the submitter of the registration notification has not been received within the specified period of time, and of the possibilities to appeal the respective decision of the Regulator;</w:t>
      </w:r>
    </w:p>
    <w:p w14:paraId="08E700B4"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1.7. the provisions of the general authorisation to be complied with by the merchant upon providing the service of ensuring the deposit system (hereinafter – the provisions of general authorisation);</w:t>
      </w:r>
    </w:p>
    <w:p w14:paraId="2112A394"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1.8. the procedures by which the merchant shall submit information to the Regulator, and also the content, amount of, and time period for submission of the information to be submitted.</w:t>
      </w:r>
    </w:p>
    <w:p w14:paraId="631A225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n2"/>
      <w:bookmarkStart w:id="5" w:name="n-740906"/>
      <w:bookmarkEnd w:id="4"/>
      <w:bookmarkEnd w:id="5"/>
    </w:p>
    <w:p w14:paraId="7CA4E2BC"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II. Registration Notification</w:t>
      </w:r>
    </w:p>
    <w:p w14:paraId="5C9B32C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2"/>
      <w:bookmarkStart w:id="7" w:name="p-740907"/>
      <w:bookmarkEnd w:id="6"/>
      <w:bookmarkEnd w:id="7"/>
    </w:p>
    <w:p w14:paraId="48F8702F"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 The merchant shall send to the Regulator a registration notification drawn up in accordance with Annex 1 and append to the notification a copy of the agreement with the State Environmental Service on ensuring the operation of the deposit system.</w:t>
      </w:r>
    </w:p>
    <w:p w14:paraId="7DF49E20"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
      <w:bookmarkStart w:id="9" w:name="p-740908"/>
      <w:bookmarkEnd w:id="8"/>
      <w:bookmarkEnd w:id="9"/>
    </w:p>
    <w:p w14:paraId="2C6336C6"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3. The merchant shall submit to the Regulator information on changes in the information included in the register within 30 days after making the respective changes.</w:t>
      </w:r>
    </w:p>
    <w:p w14:paraId="75391B39"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740909"/>
      <w:bookmarkEnd w:id="10"/>
      <w:bookmarkEnd w:id="11"/>
    </w:p>
    <w:p w14:paraId="2AD65CFC"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4. The merchant shall be liable for the veracity of the information provided.</w:t>
      </w:r>
    </w:p>
    <w:p w14:paraId="7CB9EC03"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740910"/>
      <w:bookmarkEnd w:id="12"/>
      <w:bookmarkEnd w:id="13"/>
    </w:p>
    <w:p w14:paraId="03A01F56"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5. The Regulator has the right to request the merchant to clarify the information included in the registration notification. The registration notification is regarded as having been submitted on the day when the Regulator has received all the necessary information.</w:t>
      </w:r>
    </w:p>
    <w:p w14:paraId="30DEDD9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740911"/>
      <w:bookmarkEnd w:id="14"/>
      <w:bookmarkEnd w:id="15"/>
    </w:p>
    <w:p w14:paraId="70E8B2CA"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6. If the notification is submitted electronically, electronic copies of the documents supporting the notification which have been attested with a secure electronic signature and time stamp in accordance with the laws and regulations regarding drawing up of electronic documents shall be appended thereto.</w:t>
      </w:r>
    </w:p>
    <w:p w14:paraId="2A1FD8A9"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740912"/>
      <w:bookmarkEnd w:id="16"/>
      <w:bookmarkEnd w:id="17"/>
    </w:p>
    <w:p w14:paraId="22C786D1"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7. After receipt of the registration notification, the Regulator shall, within five working days, send the following information electronically to the e-mail address indicated by the merchant in the registration notification:</w:t>
      </w:r>
    </w:p>
    <w:p w14:paraId="5B8BB4F9"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7.1. the time period within which the merchant will be registered in the register or the fact of registration of the merchant;</w:t>
      </w:r>
    </w:p>
    <w:p w14:paraId="19AAA560"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7.2. the right to commence the provision of the public utility service, if no decision of the Regulator to refuse to register the merchant with an indication of the possibility of appealing the decision has been received within the specified period.</w:t>
      </w:r>
    </w:p>
    <w:p w14:paraId="42972373"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3"/>
      <w:bookmarkStart w:id="19" w:name="n-740913"/>
      <w:bookmarkEnd w:id="18"/>
      <w:bookmarkEnd w:id="19"/>
    </w:p>
    <w:p w14:paraId="3B37C8DF"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III. The Register</w:t>
      </w:r>
    </w:p>
    <w:p w14:paraId="6621E189"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8"/>
      <w:bookmarkStart w:id="21" w:name="p-740914"/>
      <w:bookmarkEnd w:id="20"/>
      <w:bookmarkEnd w:id="21"/>
    </w:p>
    <w:p w14:paraId="3CD62C65"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8. The Regulator shall maintain and update the register on its website www.sprk.gov.lv, indicating the last date of updating the register.</w:t>
      </w:r>
    </w:p>
    <w:p w14:paraId="7F72008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740915"/>
      <w:bookmarkEnd w:id="22"/>
      <w:bookmarkEnd w:id="23"/>
    </w:p>
    <w:p w14:paraId="538BDD3D"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9. The following information shall be included in the register:</w:t>
      </w:r>
    </w:p>
    <w:p w14:paraId="37B35A08"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9.1. the name of the merchant;</w:t>
      </w:r>
    </w:p>
    <w:p w14:paraId="7691BBD2"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9.2. the unified registration number;</w:t>
      </w:r>
    </w:p>
    <w:p w14:paraId="4FDF5C1A"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9.3. the registration date;</w:t>
      </w:r>
    </w:p>
    <w:p w14:paraId="46DD322D"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9.4. if the merchant has been excluded from the register, the date when the merchant was excluded from the register;</w:t>
      </w:r>
    </w:p>
    <w:p w14:paraId="2EDAD54B"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9.5. informational notes in accordance with the provisions of Chapter IV.</w:t>
      </w:r>
    </w:p>
    <w:p w14:paraId="1C357C22"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4"/>
      <w:bookmarkStart w:id="25" w:name="n-740916"/>
      <w:bookmarkEnd w:id="24"/>
      <w:bookmarkEnd w:id="25"/>
    </w:p>
    <w:p w14:paraId="4AE7EEAE"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IV. Exclusion of the Merchant from the Register</w:t>
      </w:r>
    </w:p>
    <w:p w14:paraId="3EBC6A3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
      <w:bookmarkStart w:id="27" w:name="p-740917"/>
      <w:bookmarkEnd w:id="26"/>
      <w:bookmarkEnd w:id="27"/>
    </w:p>
    <w:p w14:paraId="5D44AEFA"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10. The Regulator shall exclude the merchant from the register if:</w:t>
      </w:r>
    </w:p>
    <w:p w14:paraId="2EF9A096"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10.1. information has been received from the State Environmental Service on termination of the agreement with the merchant;</w:t>
      </w:r>
    </w:p>
    <w:p w14:paraId="39926652"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10.2. the merchant has been excluded from the Commercial Register;</w:t>
      </w:r>
    </w:p>
    <w:p w14:paraId="406C2ABC"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10.3. circumstances demonstrating that the operation of the merchant no longer needs to be regulated in accordance with the law On Regulators of Public Utilities or the laws and regulations of the respective field have been detected.</w:t>
      </w:r>
    </w:p>
    <w:p w14:paraId="10B04B10"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
      <w:bookmarkStart w:id="29" w:name="p-740918"/>
      <w:bookmarkEnd w:id="28"/>
      <w:bookmarkEnd w:id="29"/>
    </w:p>
    <w:p w14:paraId="563C5358"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 xml:space="preserve">11. If, before exclusion from the register in accordance with Sub-paragraphs 10.1 and 10.3, the merchant has not paid the State fee for the regulation of public utility services in accordance with the procedures laid down in laws and regulations, the Regulator shall take the decision imposing an obligation to pay the debt of the State fee on the merchant. If the merchant does not comply with the decision of the Regulator on payment of the debt of the State fee, the </w:t>
      </w:r>
      <w:r w:rsidRPr="00424616">
        <w:rPr>
          <w:rFonts w:ascii="Times New Roman" w:hAnsi="Times New Roman"/>
          <w:noProof/>
          <w:sz w:val="24"/>
          <w:lang w:val="en-US"/>
        </w:rPr>
        <w:lastRenderedPageBreak/>
        <w:t>Regulator shall ensure the enforcement of the decision of the Regulator in accordance with laws and regulations.</w:t>
      </w:r>
    </w:p>
    <w:p w14:paraId="63562917"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740919"/>
      <w:bookmarkEnd w:id="30"/>
      <w:bookmarkEnd w:id="31"/>
    </w:p>
    <w:p w14:paraId="7B733430"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12. The Regulator shall make a note in the register on the suspension of economic activity of the merchant on the basis of a mandatory requirement of the State Revenue Service which has been sent to the Regulator in accordance with the law On Taxes and Fees.</w:t>
      </w:r>
    </w:p>
    <w:p w14:paraId="0DA617A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740920"/>
      <w:bookmarkEnd w:id="32"/>
      <w:bookmarkEnd w:id="33"/>
    </w:p>
    <w:p w14:paraId="37E6A2E9"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13. The Regulator shall make a note in the register on suspension of the operation of the merchant on the basis of an entry in the Commercial Register on suspension of the operation of the merchant.</w:t>
      </w:r>
    </w:p>
    <w:p w14:paraId="2604896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5"/>
      <w:bookmarkStart w:id="35" w:name="n-740921"/>
      <w:bookmarkEnd w:id="34"/>
      <w:bookmarkEnd w:id="35"/>
    </w:p>
    <w:p w14:paraId="17191110"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V. Provisions of the General Authorisation</w:t>
      </w:r>
    </w:p>
    <w:p w14:paraId="37B04CF5"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4"/>
      <w:bookmarkStart w:id="37" w:name="p-740922"/>
      <w:bookmarkEnd w:id="36"/>
      <w:bookmarkEnd w:id="37"/>
    </w:p>
    <w:p w14:paraId="01852B0C"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14. The merchant has the right and obligation to perform commercial activity, providing the service of ensuring the deposit system in accordance with the law On Regulators of Public Utilities, special laws and regulations of the regulated field, and the decisions of the Regulator.</w:t>
      </w:r>
    </w:p>
    <w:p w14:paraId="6CD12F3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5"/>
      <w:bookmarkStart w:id="39" w:name="p-740923"/>
      <w:bookmarkEnd w:id="38"/>
      <w:bookmarkEnd w:id="39"/>
    </w:p>
    <w:p w14:paraId="300E4D18"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15. The merchant shall ensure the provision of the public utility service in accordance with the procedures laid down in laws and regulations.</w:t>
      </w:r>
    </w:p>
    <w:p w14:paraId="2FB06291"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6"/>
      <w:bookmarkStart w:id="41" w:name="p-740924"/>
      <w:bookmarkEnd w:id="40"/>
      <w:bookmarkEnd w:id="41"/>
    </w:p>
    <w:p w14:paraId="1CC22E25"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16. After the merchant has been registered in the register, the merchant (except for the merchant which is the first deposit system operator in introducing the deposit system) shall, within six months from the day of registration, submit to the Regulator a draft deposit system participation fee (hereinafter – the participation fee) calculated according to the methodology for the calculation of the deposit system participation fee determined by the Regulator (hereinafter – the methodology) together with the justification of the costs forming the participation fee referred to in the draft. If, due to objective reasons, the merchant cannot submit a calculated draft participation fee together with the justification of the costs forming the participation fee referred to in the calculation of the draft participation fee within six months, the merchant shall, not later than 30 days before expiry of the six-month period, request the Regulator to determine another time period for the submission of the draft participation fee and justification of the costs forming the participation fee referred to in the draft participation fee by indicating the objective reasons.</w:t>
      </w:r>
    </w:p>
    <w:p w14:paraId="6070F045"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7"/>
      <w:bookmarkStart w:id="43" w:name="p-740925"/>
      <w:bookmarkEnd w:id="42"/>
      <w:bookmarkEnd w:id="43"/>
    </w:p>
    <w:p w14:paraId="67BE750F"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17. The merchant shall provide the Regulator with an opportunity to monitor the conformity with the provisions of the general authorisation for the provision of the public utility service. The merchant shall provide the Regulator with access for the performance of inspections and provide the Regulator with information on the indicators of economic and financial activity of the merchant.</w:t>
      </w:r>
    </w:p>
    <w:p w14:paraId="109DB32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8"/>
      <w:bookmarkStart w:id="45" w:name="p-740926"/>
      <w:bookmarkEnd w:id="44"/>
      <w:bookmarkEnd w:id="45"/>
    </w:p>
    <w:p w14:paraId="0CEF2F9F"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r w:rsidRPr="00424616">
        <w:rPr>
          <w:rFonts w:ascii="Times New Roman" w:hAnsi="Times New Roman"/>
          <w:noProof/>
          <w:sz w:val="24"/>
          <w:lang w:val="en-US"/>
        </w:rPr>
        <w:t xml:space="preserve">18. In case of </w:t>
      </w:r>
      <w:r w:rsidRPr="00424616">
        <w:rPr>
          <w:rFonts w:ascii="Times New Roman" w:hAnsi="Times New Roman"/>
          <w:i/>
          <w:noProof/>
          <w:sz w:val="24"/>
          <w:lang w:val="en-US"/>
        </w:rPr>
        <w:t>force majeure</w:t>
      </w:r>
      <w:r w:rsidRPr="00424616">
        <w:rPr>
          <w:rFonts w:ascii="Times New Roman" w:hAnsi="Times New Roman"/>
          <w:noProof/>
          <w:sz w:val="24"/>
          <w:lang w:val="en-US"/>
        </w:rPr>
        <w:t>, the merchant has an obligation to take all the measures necessary to continue to conform to and fulfil the provisions of the general authorisation.</w:t>
      </w:r>
    </w:p>
    <w:p w14:paraId="4F02A6AD"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9"/>
      <w:bookmarkStart w:id="47" w:name="p-740927"/>
      <w:bookmarkEnd w:id="46"/>
      <w:bookmarkEnd w:id="47"/>
    </w:p>
    <w:p w14:paraId="33C1125D"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19. The merchant shall pay the State fee for the regulation of public utility services in accordance with the procedures and in the amount laid down in laws and regulations.</w:t>
      </w:r>
    </w:p>
    <w:p w14:paraId="10EA599F"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0"/>
      <w:bookmarkStart w:id="49" w:name="p-740928"/>
      <w:bookmarkEnd w:id="48"/>
      <w:bookmarkEnd w:id="49"/>
    </w:p>
    <w:p w14:paraId="097CE874"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20. If the Regulator detects elements of an administrative offence in the operation of the merchant, the Regulator shall initiate proceedings in an administrative offence case in accordance with the laws and regulations in the field of administrative liability.</w:t>
      </w:r>
    </w:p>
    <w:p w14:paraId="17EE6CC1"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6"/>
      <w:bookmarkStart w:id="51" w:name="n-740929"/>
      <w:bookmarkEnd w:id="50"/>
      <w:bookmarkEnd w:id="51"/>
    </w:p>
    <w:p w14:paraId="30CEEDF3" w14:textId="77777777" w:rsidR="00424616" w:rsidRPr="00424616" w:rsidRDefault="00424616" w:rsidP="00424616">
      <w:pPr>
        <w:keepNext/>
        <w:keepLines/>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lastRenderedPageBreak/>
        <w:t>VI. Regulations Regarding the Submission of Information</w:t>
      </w:r>
    </w:p>
    <w:p w14:paraId="0D8B41D9" w14:textId="77777777" w:rsidR="00424616" w:rsidRPr="00424616" w:rsidRDefault="00424616" w:rsidP="00424616">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52" w:name="p21"/>
      <w:bookmarkStart w:id="53" w:name="p-740930"/>
      <w:bookmarkEnd w:id="52"/>
      <w:bookmarkEnd w:id="53"/>
    </w:p>
    <w:p w14:paraId="3269C8A5" w14:textId="77777777" w:rsidR="00424616" w:rsidRPr="00424616" w:rsidRDefault="00424616" w:rsidP="00424616">
      <w:pPr>
        <w:keepNext/>
        <w:keepLines/>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21. The merchant shall provide information to the Regulator in accordance with the law On Regulators of Public Utilities, special laws and regulations in the regulated field, and the decisions and requests of the Regulator.</w:t>
      </w:r>
    </w:p>
    <w:p w14:paraId="1F433F3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2"/>
      <w:bookmarkStart w:id="55" w:name="p-740931"/>
      <w:bookmarkEnd w:id="54"/>
      <w:bookmarkEnd w:id="55"/>
    </w:p>
    <w:p w14:paraId="71DD7360"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22. The merchant shall, within five working days, inform the Regulator of the decision taken on the deposit management fee.</w:t>
      </w:r>
    </w:p>
    <w:p w14:paraId="57A02BE0"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3"/>
      <w:bookmarkStart w:id="57" w:name="p-740932"/>
      <w:bookmarkEnd w:id="56"/>
      <w:bookmarkEnd w:id="57"/>
    </w:p>
    <w:p w14:paraId="36C00FE9"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23. Once per calendar year, within two weeks after the deadline specified in the Law on the Annual Financial Statements and Consolidated Financial Statements for the submission of annual financial statements to the State Revenue Service, the merchant shall submit to the Regulator the report specified in Annex 2 to the Regulation on the operation of the merchant in general, information on the amount, costs, and revenues of the public utility service actually provided in the reporting year, and the financial outcome of economic activity. Upon providing the report, the merchant shall inform of significant actual and planned changes in the reporting year in the managed amount of deposit packaging or technological changes in the operation of the merchant, and also of other economic activities terminated or commenced in the reporting year which are not related to the provision of the service of ensuring the deposit system.</w:t>
      </w:r>
    </w:p>
    <w:p w14:paraId="012F27D4"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4"/>
      <w:bookmarkStart w:id="59" w:name="p-1051219"/>
      <w:bookmarkEnd w:id="58"/>
      <w:bookmarkEnd w:id="59"/>
    </w:p>
    <w:p w14:paraId="09179CC0"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24. Upon calculating the financial outcome of actual economic activity of the reporting year in accordance with Annex 2 to the Regulation, the merchant shall check whether the conditions of Paragraphs 18 and 19 of the methodology have not been fulfilled (does not apply to the report for the period of 2021 when the deposit system had not been introduced yet), and also shall calculate and justify by separate items:</w:t>
      </w:r>
    </w:p>
    <w:p w14:paraId="69E53615" w14:textId="77777777" w:rsidR="00424616" w:rsidRPr="00424616" w:rsidRDefault="00424616" w:rsidP="0042461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24616">
        <w:rPr>
          <w:rFonts w:ascii="Times New Roman" w:hAnsi="Times New Roman"/>
          <w:noProof/>
          <w:sz w:val="24"/>
          <w:lang w:val="en-US"/>
        </w:rPr>
        <w:t>24.1. the financial outcome of actual economic activity of the service of ensuring the deposit system (Rez</w:t>
      </w:r>
      <w:r w:rsidRPr="00424616">
        <w:rPr>
          <w:rFonts w:ascii="Times New Roman" w:hAnsi="Times New Roman"/>
          <w:noProof/>
          <w:sz w:val="24"/>
          <w:vertAlign w:val="subscript"/>
          <w:lang w:val="en-US"/>
        </w:rPr>
        <w:t>fakt</w:t>
      </w:r>
      <w:r w:rsidRPr="00424616">
        <w:rPr>
          <w:rFonts w:ascii="Times New Roman" w:hAnsi="Times New Roman"/>
          <w:noProof/>
          <w:sz w:val="24"/>
          <w:lang w:val="en-US"/>
        </w:rPr>
        <w:t>), calculated in accordance with Part B, Table 1 of Annex 2 to the Regulation;</w:t>
      </w:r>
    </w:p>
    <w:p w14:paraId="1958C226" w14:textId="77777777" w:rsidR="00424616" w:rsidRPr="00424616" w:rsidRDefault="00424616" w:rsidP="0042461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24616">
        <w:rPr>
          <w:rFonts w:ascii="Times New Roman" w:hAnsi="Times New Roman"/>
          <w:noProof/>
          <w:sz w:val="24"/>
          <w:lang w:val="en-US"/>
        </w:rPr>
        <w:t>24.2. the difference between the financial outcome of actual economic activity of the service of ensuring the deposit system and the financial outcome of economic activity of the current year planned in the calculation of the effective participation fee (Rez</w:t>
      </w:r>
      <w:r w:rsidRPr="00424616">
        <w:rPr>
          <w:rFonts w:ascii="Times New Roman" w:hAnsi="Times New Roman"/>
          <w:noProof/>
          <w:sz w:val="24"/>
          <w:vertAlign w:val="subscript"/>
          <w:lang w:val="en-US"/>
        </w:rPr>
        <w:t>fakt</w:t>
      </w:r>
      <w:r w:rsidRPr="00424616">
        <w:rPr>
          <w:rFonts w:ascii="Times New Roman" w:hAnsi="Times New Roman"/>
          <w:noProof/>
          <w:sz w:val="24"/>
          <w:lang w:val="en-US"/>
        </w:rPr>
        <w:t>-Rez</w:t>
      </w:r>
      <w:r w:rsidRPr="00424616">
        <w:rPr>
          <w:rFonts w:ascii="Times New Roman" w:hAnsi="Times New Roman"/>
          <w:noProof/>
          <w:sz w:val="24"/>
          <w:vertAlign w:val="subscript"/>
          <w:lang w:val="en-US"/>
        </w:rPr>
        <w:t>pl</w:t>
      </w:r>
      <w:r w:rsidRPr="00424616">
        <w:rPr>
          <w:rFonts w:ascii="Times New Roman" w:hAnsi="Times New Roman"/>
          <w:noProof/>
          <w:sz w:val="24"/>
          <w:lang w:val="en-US"/>
        </w:rPr>
        <w:t>), calculated in accordance with Part B, Table 3 of Annex 2 to the Regulation;</w:t>
      </w:r>
    </w:p>
    <w:p w14:paraId="7D1CE6FF"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24.3. substantial deviations calculated in accordance with Part B, Table 3 of Annex 2 to the Regulation which occur when comparing the actual revenues of the reporting year according to Paragraph 9 of the methodology with the revenues included in the effective participation fee by revenue items;</w:t>
      </w:r>
    </w:p>
    <w:p w14:paraId="58D6B182"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24.4. substantial deviations calculated in accordance with Part B, Table 3 of Annex 2 to the Regulation which occur when comparing the actual costs of the reporting year with the costs included in the effective participation fee by cost items;</w:t>
      </w:r>
    </w:p>
    <w:p w14:paraId="3F649F38" w14:textId="77777777" w:rsidR="00424616" w:rsidRPr="00424616" w:rsidRDefault="00424616" w:rsidP="00424616">
      <w:pPr>
        <w:shd w:val="clear" w:color="auto" w:fill="FFFFFF"/>
        <w:spacing w:after="0" w:line="240" w:lineRule="auto"/>
        <w:ind w:firstLine="709"/>
        <w:jc w:val="both"/>
        <w:rPr>
          <w:rFonts w:ascii="Times New Roman" w:hAnsi="Times New Roman"/>
          <w:noProof/>
          <w:sz w:val="24"/>
          <w:lang w:val="en-US"/>
        </w:rPr>
      </w:pPr>
      <w:r w:rsidRPr="00424616">
        <w:rPr>
          <w:rFonts w:ascii="Times New Roman" w:hAnsi="Times New Roman"/>
          <w:noProof/>
          <w:sz w:val="24"/>
          <w:lang w:val="en-US"/>
        </w:rPr>
        <w:t xml:space="preserve">24.5. adjustment for the financial outcome of actual economic activity of the service of ensuring the deposit system in the previous period </w:t>
      </w:r>
      <w:r w:rsidRPr="00424616">
        <w:rPr>
          <w:rFonts w:ascii="Times New Roman" w:hAnsi="Times New Roman"/>
          <w:noProof/>
          <w:sz w:val="24"/>
          <w:lang w:val="en-US"/>
        </w:rPr>
        <w:drawing>
          <wp:inline distT="0" distB="0" distL="0" distR="0" wp14:anchorId="6D64D349" wp14:editId="500A92DA">
            <wp:extent cx="19050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52400"/>
                    </a:xfrm>
                    <a:prstGeom prst="rect">
                      <a:avLst/>
                    </a:prstGeom>
                    <a:noFill/>
                    <a:ln>
                      <a:noFill/>
                    </a:ln>
                  </pic:spPr>
                </pic:pic>
              </a:graphicData>
            </a:graphic>
          </wp:inline>
        </w:drawing>
      </w:r>
      <w:r w:rsidRPr="00424616">
        <w:rPr>
          <w:rFonts w:ascii="Times New Roman" w:hAnsi="Times New Roman"/>
          <w:noProof/>
          <w:sz w:val="24"/>
          <w:lang w:val="en-US"/>
        </w:rPr>
        <w:t>, calculated in accordance with Part B, Table 3 of Annex 2 to the Regulation.</w:t>
      </w:r>
    </w:p>
    <w:p w14:paraId="123CFCC4"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r w:rsidRPr="00424616">
        <w:rPr>
          <w:rFonts w:ascii="Times New Roman" w:hAnsi="Times New Roman"/>
          <w:noProof/>
          <w:sz w:val="24"/>
          <w:lang w:val="en-US"/>
        </w:rPr>
        <w:t>[</w:t>
      </w:r>
      <w:r w:rsidRPr="00424616">
        <w:rPr>
          <w:rFonts w:ascii="Times New Roman" w:hAnsi="Times New Roman"/>
          <w:i/>
          <w:iCs/>
          <w:noProof/>
          <w:sz w:val="24"/>
          <w:lang w:val="en-US"/>
        </w:rPr>
        <w:t>24 February 2022</w:t>
      </w:r>
      <w:r w:rsidRPr="00424616">
        <w:rPr>
          <w:rFonts w:ascii="Times New Roman" w:hAnsi="Times New Roman"/>
          <w:noProof/>
          <w:sz w:val="24"/>
          <w:lang w:val="en-US"/>
        </w:rPr>
        <w:t>]</w:t>
      </w:r>
    </w:p>
    <w:p w14:paraId="48B9A160"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5"/>
      <w:bookmarkStart w:id="61" w:name="p-740935"/>
      <w:bookmarkEnd w:id="60"/>
      <w:bookmarkEnd w:id="61"/>
    </w:p>
    <w:p w14:paraId="1470C63B"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25. Together with the report on the actual economic activity in the reporting year, the merchant shall submit a profit and loss statement of the reporting year, and also turnover statements of accounts that form this statement (in Excel format) and the current information on cost and revenue accounts, sub-accounts and other indications according to that specified in Annex 2 to the methodology.</w:t>
      </w:r>
    </w:p>
    <w:p w14:paraId="45717D8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n7"/>
      <w:bookmarkStart w:id="63" w:name="n-740936"/>
      <w:bookmarkEnd w:id="62"/>
      <w:bookmarkEnd w:id="63"/>
    </w:p>
    <w:p w14:paraId="2DEA8C4D" w14:textId="77777777" w:rsidR="00424616" w:rsidRPr="00424616" w:rsidRDefault="00424616" w:rsidP="00424616">
      <w:pPr>
        <w:keepNext/>
        <w:keepLines/>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lastRenderedPageBreak/>
        <w:t>VII. Closing Provisions</w:t>
      </w:r>
    </w:p>
    <w:p w14:paraId="1A15260A" w14:textId="77777777" w:rsidR="00424616" w:rsidRPr="00424616" w:rsidRDefault="00424616" w:rsidP="00424616">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64" w:name="p26"/>
      <w:bookmarkStart w:id="65" w:name="p-740937"/>
      <w:bookmarkEnd w:id="64"/>
      <w:bookmarkEnd w:id="65"/>
    </w:p>
    <w:p w14:paraId="38610CB9" w14:textId="77777777" w:rsidR="00424616" w:rsidRPr="00424616" w:rsidRDefault="00424616" w:rsidP="00424616">
      <w:pPr>
        <w:keepNext/>
        <w:keepLines/>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26. After the merchant has been registered in the register, the merchant which is the first deposit system operator in introducing the deposit system shall, within twelve months from 1 February 2022, submit to the Regulator a draft participation fee calculated according to the methodology together with the justification of the costs forming the participation fee referred to in the draft. If due to objective reasons the abovementioned merchant cannot submit a calculated draft participation fee together with the justification of the costs forming the participation fee referred to in the calculation of the draft participation fee within twelve months, the merchant shall, not later than 90 days before expiry of the twelve-month period, request the Regulator to determine another time period for the submission of the draft participation fee and justification of the costs forming the participation fee referred to in the draft participation fee by indicating the objective reasons.</w:t>
      </w:r>
    </w:p>
    <w:p w14:paraId="7E31ECC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7"/>
      <w:bookmarkStart w:id="67" w:name="p-740938"/>
      <w:bookmarkEnd w:id="66"/>
      <w:bookmarkEnd w:id="67"/>
    </w:p>
    <w:p w14:paraId="5C5634E9"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r w:rsidRPr="00424616">
        <w:rPr>
          <w:rFonts w:ascii="Times New Roman" w:hAnsi="Times New Roman"/>
          <w:noProof/>
          <w:sz w:val="24"/>
          <w:lang w:val="en-US"/>
        </w:rPr>
        <w:t xml:space="preserve">27. These regulations shall come into force on the day following their publication in the official gazette </w:t>
      </w:r>
      <w:r w:rsidRPr="00424616">
        <w:rPr>
          <w:rFonts w:ascii="Times New Roman" w:hAnsi="Times New Roman"/>
          <w:i/>
          <w:noProof/>
          <w:sz w:val="24"/>
          <w:lang w:val="en-US"/>
        </w:rPr>
        <w:t>Latvijas Vēstnesis</w:t>
      </w:r>
      <w:r w:rsidRPr="00424616">
        <w:rPr>
          <w:rFonts w:ascii="Times New Roman" w:hAnsi="Times New Roman"/>
          <w:noProof/>
          <w:sz w:val="24"/>
          <w:lang w:val="en-US"/>
        </w:rPr>
        <w:t>.</w:t>
      </w:r>
    </w:p>
    <w:p w14:paraId="7238B093"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DAE0C1"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ED0E92" w14:textId="77777777" w:rsidR="00424616" w:rsidRPr="00424616" w:rsidRDefault="00424616" w:rsidP="00424616">
      <w:pPr>
        <w:shd w:val="clear" w:color="auto" w:fill="FFFFFF"/>
        <w:tabs>
          <w:tab w:val="left" w:pos="8080"/>
        </w:tabs>
        <w:spacing w:after="0" w:line="240" w:lineRule="auto"/>
        <w:jc w:val="both"/>
        <w:rPr>
          <w:rFonts w:ascii="Times New Roman" w:hAnsi="Times New Roman"/>
          <w:noProof/>
          <w:sz w:val="24"/>
          <w:lang w:val="en-US"/>
        </w:rPr>
      </w:pPr>
      <w:r w:rsidRPr="00424616">
        <w:rPr>
          <w:rFonts w:ascii="Times New Roman" w:hAnsi="Times New Roman"/>
          <w:noProof/>
          <w:sz w:val="24"/>
          <w:lang w:val="en-US"/>
        </w:rPr>
        <w:t>Acting Chair, Board Member of the Public Utilities Commission</w:t>
      </w:r>
      <w:r w:rsidRPr="00424616">
        <w:rPr>
          <w:rFonts w:ascii="Times New Roman" w:hAnsi="Times New Roman"/>
          <w:noProof/>
          <w:sz w:val="24"/>
          <w:lang w:val="en-US"/>
        </w:rPr>
        <w:tab/>
        <w:t>I. Mantiņš</w:t>
      </w:r>
    </w:p>
    <w:p w14:paraId="6754FBA9" w14:textId="77777777" w:rsidR="00424616" w:rsidRPr="00424616" w:rsidRDefault="00424616" w:rsidP="00424616">
      <w:pPr>
        <w:shd w:val="clear" w:color="auto" w:fill="FFFFFF"/>
        <w:spacing w:after="0" w:line="240" w:lineRule="auto"/>
        <w:jc w:val="both"/>
        <w:rPr>
          <w:noProof/>
          <w:lang w:val="en-US"/>
        </w:rPr>
      </w:pPr>
      <w:r w:rsidRPr="00424616">
        <w:rPr>
          <w:noProof/>
          <w:lang w:val="en-US"/>
        </w:rPr>
        <w:br w:type="page"/>
      </w:r>
    </w:p>
    <w:p w14:paraId="42476FB7"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9599D8" w14:textId="77777777" w:rsidR="00424616" w:rsidRPr="00424616" w:rsidRDefault="00424616" w:rsidP="00424616">
      <w:pPr>
        <w:shd w:val="clear" w:color="auto" w:fill="FFFFFF"/>
        <w:spacing w:after="0" w:line="240" w:lineRule="auto"/>
        <w:jc w:val="right"/>
        <w:rPr>
          <w:rFonts w:ascii="Times New Roman" w:hAnsi="Times New Roman"/>
          <w:b/>
          <w:noProof/>
          <w:sz w:val="24"/>
          <w:lang w:val="en-US"/>
        </w:rPr>
      </w:pPr>
      <w:r w:rsidRPr="00424616">
        <w:rPr>
          <w:rFonts w:ascii="Times New Roman" w:hAnsi="Times New Roman"/>
          <w:b/>
          <w:noProof/>
          <w:sz w:val="24"/>
          <w:lang w:val="en-US"/>
        </w:rPr>
        <w:t>Annex 1</w:t>
      </w:r>
    </w:p>
    <w:p w14:paraId="0B3BCF8F" w14:textId="77777777" w:rsidR="00424616" w:rsidRPr="00424616" w:rsidRDefault="00424616" w:rsidP="00424616">
      <w:pPr>
        <w:shd w:val="clear" w:color="auto" w:fill="FFFFFF"/>
        <w:spacing w:after="0" w:line="240" w:lineRule="auto"/>
        <w:jc w:val="right"/>
        <w:rPr>
          <w:rFonts w:ascii="Times New Roman" w:hAnsi="Times New Roman"/>
          <w:noProof/>
          <w:sz w:val="24"/>
          <w:lang w:val="en-US"/>
        </w:rPr>
      </w:pPr>
      <w:r w:rsidRPr="00424616">
        <w:rPr>
          <w:rFonts w:ascii="Times New Roman" w:hAnsi="Times New Roman"/>
          <w:noProof/>
          <w:sz w:val="24"/>
          <w:lang w:val="en-US"/>
        </w:rPr>
        <w:t>Decision No. 1/9 of the Public Utilities Commission</w:t>
      </w:r>
    </w:p>
    <w:p w14:paraId="10965D7F" w14:textId="77777777" w:rsidR="00424616" w:rsidRPr="00424616" w:rsidRDefault="00424616" w:rsidP="00424616">
      <w:pPr>
        <w:shd w:val="clear" w:color="auto" w:fill="FFFFFF"/>
        <w:spacing w:after="0" w:line="240" w:lineRule="auto"/>
        <w:jc w:val="right"/>
        <w:rPr>
          <w:rFonts w:ascii="Times New Roman" w:hAnsi="Times New Roman"/>
          <w:noProof/>
          <w:sz w:val="24"/>
          <w:lang w:val="en-US"/>
        </w:rPr>
      </w:pPr>
      <w:r w:rsidRPr="00424616">
        <w:rPr>
          <w:rFonts w:ascii="Times New Roman" w:hAnsi="Times New Roman"/>
          <w:noProof/>
          <w:sz w:val="24"/>
          <w:lang w:val="en-US"/>
        </w:rPr>
        <w:t>2 July 2020</w:t>
      </w:r>
      <w:bookmarkStart w:id="68" w:name="piel-740940"/>
      <w:bookmarkStart w:id="69" w:name="piel1"/>
      <w:bookmarkEnd w:id="68"/>
      <w:bookmarkEnd w:id="69"/>
    </w:p>
    <w:p w14:paraId="738D7B9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740941"/>
      <w:bookmarkStart w:id="71" w:name="n-740941"/>
      <w:bookmarkEnd w:id="70"/>
      <w:bookmarkEnd w:id="71"/>
    </w:p>
    <w:p w14:paraId="15CC5C3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BFAF26A" w14:textId="77777777" w:rsidR="00424616" w:rsidRPr="00424616" w:rsidRDefault="00424616" w:rsidP="00424616">
      <w:pPr>
        <w:shd w:val="clear" w:color="auto" w:fill="FFFFFF"/>
        <w:spacing w:after="0" w:line="240" w:lineRule="auto"/>
        <w:jc w:val="center"/>
        <w:rPr>
          <w:rFonts w:ascii="Times New Roman" w:hAnsi="Times New Roman"/>
          <w:b/>
          <w:noProof/>
          <w:sz w:val="28"/>
          <w:lang w:val="en-US"/>
        </w:rPr>
      </w:pPr>
      <w:r w:rsidRPr="00424616">
        <w:rPr>
          <w:rFonts w:ascii="Times New Roman" w:hAnsi="Times New Roman"/>
          <w:b/>
          <w:noProof/>
          <w:sz w:val="28"/>
          <w:lang w:val="en-US"/>
        </w:rPr>
        <w:t>Notification Regarding the Registration of the Provider of the Service of Ensuring the Deposit System of the Deposit System Operator</w:t>
      </w:r>
    </w:p>
    <w:p w14:paraId="4532A213"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809D60"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General information on the merchant</w:t>
      </w:r>
    </w:p>
    <w:p w14:paraId="5B2249FC" w14:textId="77777777" w:rsidR="00424616" w:rsidRPr="00424616" w:rsidRDefault="00424616" w:rsidP="00424616">
      <w:pPr>
        <w:spacing w:after="0" w:line="240" w:lineRule="auto"/>
        <w:jc w:val="both"/>
        <w:rPr>
          <w:rFonts w:ascii="Times New Roman" w:hAnsi="Times New Roman"/>
          <w:b/>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530"/>
        <w:gridCol w:w="285"/>
        <w:gridCol w:w="4246"/>
      </w:tblGrid>
      <w:tr w:rsidR="00424616" w:rsidRPr="00424616" w14:paraId="058BCE23" w14:textId="77777777" w:rsidTr="00467B6A">
        <w:tc>
          <w:tcPr>
            <w:tcW w:w="2657" w:type="pct"/>
            <w:gridSpan w:val="2"/>
            <w:tcBorders>
              <w:top w:val="single" w:sz="4" w:space="0" w:color="auto"/>
              <w:left w:val="single" w:sz="4" w:space="0" w:color="auto"/>
              <w:bottom w:val="single" w:sz="4" w:space="0" w:color="auto"/>
              <w:right w:val="single" w:sz="4" w:space="0" w:color="auto"/>
            </w:tcBorders>
            <w:hideMark/>
          </w:tcPr>
          <w:p w14:paraId="4D7D27C8"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Name of the merchant:</w:t>
            </w:r>
          </w:p>
          <w:p w14:paraId="556BF853" w14:textId="77777777" w:rsidR="00424616" w:rsidRPr="00424616" w:rsidRDefault="00424616" w:rsidP="00467B6A">
            <w:pPr>
              <w:spacing w:after="0" w:line="240" w:lineRule="auto"/>
              <w:jc w:val="both"/>
              <w:rPr>
                <w:rFonts w:ascii="Times New Roman" w:hAnsi="Times New Roman"/>
                <w:noProof/>
                <w:sz w:val="24"/>
                <w:szCs w:val="19"/>
                <w:lang w:val="en-US" w:eastAsia="zh-CN"/>
              </w:rPr>
            </w:pPr>
          </w:p>
        </w:tc>
        <w:tc>
          <w:tcPr>
            <w:tcW w:w="2343" w:type="pct"/>
            <w:tcBorders>
              <w:top w:val="single" w:sz="4" w:space="0" w:color="auto"/>
              <w:left w:val="single" w:sz="4" w:space="0" w:color="auto"/>
              <w:bottom w:val="single" w:sz="4" w:space="0" w:color="auto"/>
              <w:right w:val="single" w:sz="4" w:space="0" w:color="auto"/>
            </w:tcBorders>
            <w:hideMark/>
          </w:tcPr>
          <w:p w14:paraId="2A226BB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Unified registration number:</w:t>
            </w:r>
          </w:p>
        </w:tc>
      </w:tr>
      <w:tr w:rsidR="00424616" w:rsidRPr="00424616" w14:paraId="4840DF09" w14:textId="77777777" w:rsidTr="00467B6A">
        <w:tc>
          <w:tcPr>
            <w:tcW w:w="5000" w:type="pct"/>
            <w:gridSpan w:val="3"/>
            <w:tcBorders>
              <w:top w:val="single" w:sz="4" w:space="0" w:color="auto"/>
              <w:left w:val="single" w:sz="4" w:space="0" w:color="auto"/>
              <w:bottom w:val="single" w:sz="4" w:space="0" w:color="auto"/>
              <w:right w:val="single" w:sz="4" w:space="0" w:color="auto"/>
            </w:tcBorders>
            <w:hideMark/>
          </w:tcPr>
          <w:p w14:paraId="5F6FC91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Given name, surname of the person entitled to represent the merchant:</w:t>
            </w:r>
          </w:p>
          <w:p w14:paraId="5E824FEB" w14:textId="77777777" w:rsidR="00424616" w:rsidRPr="00424616" w:rsidRDefault="00424616" w:rsidP="00467B6A">
            <w:pPr>
              <w:spacing w:after="0" w:line="240" w:lineRule="auto"/>
              <w:jc w:val="both"/>
              <w:rPr>
                <w:rFonts w:ascii="Times New Roman" w:hAnsi="Times New Roman"/>
                <w:noProof/>
                <w:sz w:val="24"/>
                <w:szCs w:val="19"/>
                <w:lang w:val="en-US" w:eastAsia="zh-CN"/>
              </w:rPr>
            </w:pPr>
          </w:p>
        </w:tc>
      </w:tr>
      <w:tr w:rsidR="00424616" w:rsidRPr="00424616" w14:paraId="22D646C2" w14:textId="77777777" w:rsidTr="00467B6A">
        <w:tc>
          <w:tcPr>
            <w:tcW w:w="2500" w:type="pct"/>
            <w:tcBorders>
              <w:top w:val="single" w:sz="4" w:space="0" w:color="auto"/>
              <w:left w:val="single" w:sz="4" w:space="0" w:color="auto"/>
              <w:bottom w:val="single" w:sz="4" w:space="0" w:color="auto"/>
              <w:right w:val="single" w:sz="4" w:space="0" w:color="auto"/>
            </w:tcBorders>
          </w:tcPr>
          <w:p w14:paraId="7BB92EFD" w14:textId="77777777" w:rsidR="00424616" w:rsidRPr="00424616" w:rsidRDefault="00424616" w:rsidP="00467B6A">
            <w:pPr>
              <w:autoSpaceDE w:val="0"/>
              <w:autoSpaceDN w:val="0"/>
              <w:adjustRightInd w:val="0"/>
              <w:spacing w:after="0" w:line="240" w:lineRule="auto"/>
              <w:jc w:val="both"/>
              <w:rPr>
                <w:rFonts w:ascii="Times New Roman" w:hAnsi="Times New Roman"/>
                <w:noProof/>
                <w:sz w:val="24"/>
                <w:lang w:val="en-US"/>
              </w:rPr>
            </w:pPr>
            <w:r w:rsidRPr="00424616">
              <w:rPr>
                <w:rFonts w:ascii="Times New Roman" w:hAnsi="Times New Roman"/>
                <w:noProof/>
                <w:sz w:val="24"/>
                <w:lang w:val="en-US"/>
              </w:rPr>
              <w:t>[X] Electronic mail address:</w:t>
            </w:r>
          </w:p>
          <w:p w14:paraId="0A4C8E22" w14:textId="77777777" w:rsidR="00424616" w:rsidRPr="00424616" w:rsidRDefault="00424616" w:rsidP="00467B6A">
            <w:pPr>
              <w:spacing w:after="0" w:line="240" w:lineRule="auto"/>
              <w:jc w:val="both"/>
              <w:rPr>
                <w:rFonts w:ascii="Times New Roman" w:hAnsi="Times New Roman"/>
                <w:noProof/>
                <w:sz w:val="24"/>
                <w:szCs w:val="19"/>
                <w:lang w:val="en-US" w:eastAsia="zh-CN"/>
              </w:rPr>
            </w:pPr>
          </w:p>
        </w:tc>
        <w:tc>
          <w:tcPr>
            <w:tcW w:w="2500" w:type="pct"/>
            <w:gridSpan w:val="2"/>
            <w:tcBorders>
              <w:top w:val="single" w:sz="4" w:space="0" w:color="auto"/>
              <w:left w:val="single" w:sz="4" w:space="0" w:color="auto"/>
              <w:bottom w:val="single" w:sz="4" w:space="0" w:color="auto"/>
              <w:right w:val="single" w:sz="4" w:space="0" w:color="auto"/>
            </w:tcBorders>
          </w:tcPr>
          <w:p w14:paraId="35F5695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Telephone, fax:</w:t>
            </w:r>
          </w:p>
        </w:tc>
      </w:tr>
    </w:tbl>
    <w:p w14:paraId="11653D65" w14:textId="77777777" w:rsidR="00424616" w:rsidRPr="00424616" w:rsidRDefault="00424616" w:rsidP="00424616">
      <w:pPr>
        <w:autoSpaceDE w:val="0"/>
        <w:autoSpaceDN w:val="0"/>
        <w:adjustRightInd w:val="0"/>
        <w:spacing w:after="0" w:line="240" w:lineRule="auto"/>
        <w:jc w:val="both"/>
        <w:rPr>
          <w:rFonts w:ascii="Times New Roman" w:hAnsi="Times New Roman"/>
          <w:noProof/>
          <w:sz w:val="24"/>
          <w:szCs w:val="17"/>
          <w:lang w:val="en-US"/>
        </w:rPr>
      </w:pPr>
    </w:p>
    <w:p w14:paraId="73F11904"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424616" w:rsidRPr="00424616" w14:paraId="2787C544" w14:textId="77777777" w:rsidTr="00467B6A">
        <w:tc>
          <w:tcPr>
            <w:tcW w:w="5000" w:type="pct"/>
            <w:tcBorders>
              <w:top w:val="nil"/>
              <w:left w:val="nil"/>
              <w:bottom w:val="single" w:sz="4" w:space="0" w:color="auto"/>
              <w:right w:val="nil"/>
            </w:tcBorders>
          </w:tcPr>
          <w:p w14:paraId="035999AE" w14:textId="77777777" w:rsidR="00424616" w:rsidRPr="00424616" w:rsidRDefault="00424616" w:rsidP="00467B6A">
            <w:pPr>
              <w:spacing w:after="0" w:line="240" w:lineRule="auto"/>
              <w:jc w:val="both"/>
              <w:rPr>
                <w:rFonts w:ascii="Times New Roman" w:hAnsi="Times New Roman"/>
                <w:noProof/>
                <w:sz w:val="24"/>
                <w:szCs w:val="19"/>
                <w:lang w:val="en-US"/>
              </w:rPr>
            </w:pPr>
          </w:p>
          <w:p w14:paraId="1F6958FE"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 xml:space="preserve">Please register </w:t>
            </w:r>
          </w:p>
        </w:tc>
      </w:tr>
      <w:tr w:rsidR="00424616" w:rsidRPr="00424616" w14:paraId="1E323EBE" w14:textId="77777777" w:rsidTr="00467B6A">
        <w:tc>
          <w:tcPr>
            <w:tcW w:w="5000" w:type="pct"/>
            <w:tcBorders>
              <w:top w:val="single" w:sz="4" w:space="0" w:color="auto"/>
              <w:left w:val="nil"/>
              <w:bottom w:val="nil"/>
              <w:right w:val="nil"/>
            </w:tcBorders>
            <w:hideMark/>
          </w:tcPr>
          <w:p w14:paraId="1EA79600"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(name of the merchant)</w:t>
            </w:r>
          </w:p>
        </w:tc>
      </w:tr>
    </w:tbl>
    <w:p w14:paraId="089DB01B" w14:textId="77777777" w:rsidR="00424616" w:rsidRPr="00424616" w:rsidRDefault="00424616" w:rsidP="00424616">
      <w:pPr>
        <w:tabs>
          <w:tab w:val="left" w:pos="7513"/>
        </w:tabs>
        <w:spacing w:after="0" w:line="240" w:lineRule="auto"/>
        <w:jc w:val="both"/>
        <w:rPr>
          <w:rFonts w:ascii="Times New Roman" w:hAnsi="Times New Roman"/>
          <w:noProof/>
          <w:sz w:val="24"/>
          <w:szCs w:val="19"/>
          <w:lang w:val="en-US"/>
        </w:rPr>
      </w:pPr>
    </w:p>
    <w:p w14:paraId="2479AE50"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for the provision of the public utility service – the service of ensuring the deposit system of the deposit system operator.</w:t>
      </w:r>
    </w:p>
    <w:p w14:paraId="6B20F6DF"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AABB19C" w14:textId="77777777" w:rsidR="00424616" w:rsidRPr="00424616" w:rsidRDefault="00424616" w:rsidP="00424616">
      <w:pPr>
        <w:shd w:val="clear" w:color="auto" w:fill="FFFFFF"/>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Information on the provision of the service of ensuring the deposit system of the deposit system operator</w:t>
      </w:r>
    </w:p>
    <w:p w14:paraId="57C99D64"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8"/>
        <w:gridCol w:w="4866"/>
        <w:gridCol w:w="3961"/>
      </w:tblGrid>
      <w:tr w:rsidR="00424616" w:rsidRPr="00424616" w14:paraId="6ABA2D56" w14:textId="77777777" w:rsidTr="00467B6A">
        <w:tc>
          <w:tcPr>
            <w:tcW w:w="126" w:type="pct"/>
            <w:tcBorders>
              <w:top w:val="outset" w:sz="6" w:space="0" w:color="414142"/>
              <w:left w:val="outset" w:sz="6" w:space="0" w:color="414142"/>
              <w:bottom w:val="outset" w:sz="6" w:space="0" w:color="414142"/>
              <w:right w:val="outset" w:sz="6" w:space="0" w:color="414142"/>
            </w:tcBorders>
            <w:shd w:val="clear" w:color="auto" w:fill="FFFFFF"/>
            <w:hideMark/>
          </w:tcPr>
          <w:p w14:paraId="6CA7D87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w:t>
            </w:r>
          </w:p>
        </w:tc>
        <w:tc>
          <w:tcPr>
            <w:tcW w:w="2687" w:type="pct"/>
            <w:tcBorders>
              <w:top w:val="outset" w:sz="6" w:space="0" w:color="414142"/>
              <w:left w:val="outset" w:sz="6" w:space="0" w:color="414142"/>
              <w:bottom w:val="outset" w:sz="6" w:space="0" w:color="414142"/>
              <w:right w:val="outset" w:sz="6" w:space="0" w:color="414142"/>
            </w:tcBorders>
            <w:shd w:val="clear" w:color="auto" w:fill="FFFFFF"/>
            <w:hideMark/>
          </w:tcPr>
          <w:p w14:paraId="7E2971C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A list of infrastructure objects (name, address, or cadastre designation) used in providing the service of ensuring the deposit system of the deposit system operator, indicating the addresses or cadastre designations of the immovable properties in which they are located.</w:t>
            </w:r>
          </w:p>
        </w:tc>
        <w:tc>
          <w:tcPr>
            <w:tcW w:w="2187" w:type="pct"/>
            <w:tcBorders>
              <w:top w:val="outset" w:sz="6" w:space="0" w:color="414142"/>
              <w:left w:val="outset" w:sz="6" w:space="0" w:color="414142"/>
              <w:bottom w:val="outset" w:sz="6" w:space="0" w:color="414142"/>
              <w:right w:val="outset" w:sz="6" w:space="0" w:color="414142"/>
            </w:tcBorders>
            <w:shd w:val="clear" w:color="auto" w:fill="FFFFFF"/>
          </w:tcPr>
          <w:p w14:paraId="16FFB472"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40A7BD0D" w14:textId="77777777" w:rsidTr="00467B6A">
        <w:tc>
          <w:tcPr>
            <w:tcW w:w="126" w:type="pct"/>
            <w:tcBorders>
              <w:top w:val="outset" w:sz="6" w:space="0" w:color="414142"/>
              <w:left w:val="outset" w:sz="6" w:space="0" w:color="414142"/>
              <w:bottom w:val="outset" w:sz="6" w:space="0" w:color="414142"/>
              <w:right w:val="outset" w:sz="6" w:space="0" w:color="414142"/>
            </w:tcBorders>
            <w:shd w:val="clear" w:color="auto" w:fill="FFFFFF"/>
            <w:hideMark/>
          </w:tcPr>
          <w:p w14:paraId="036A37B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w:t>
            </w:r>
          </w:p>
        </w:tc>
        <w:tc>
          <w:tcPr>
            <w:tcW w:w="2687" w:type="pct"/>
            <w:tcBorders>
              <w:top w:val="outset" w:sz="6" w:space="0" w:color="414142"/>
              <w:left w:val="outset" w:sz="6" w:space="0" w:color="414142"/>
              <w:bottom w:val="outset" w:sz="6" w:space="0" w:color="414142"/>
              <w:right w:val="outset" w:sz="6" w:space="0" w:color="414142"/>
            </w:tcBorders>
            <w:shd w:val="clear" w:color="auto" w:fill="FFFFFF"/>
            <w:hideMark/>
          </w:tcPr>
          <w:p w14:paraId="1CE89B3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The number of deposit packagers that have entered into an agreement with the merchant on participation in the deposit system.</w:t>
            </w:r>
          </w:p>
        </w:tc>
        <w:tc>
          <w:tcPr>
            <w:tcW w:w="2187" w:type="pct"/>
            <w:tcBorders>
              <w:top w:val="outset" w:sz="6" w:space="0" w:color="414142"/>
              <w:left w:val="outset" w:sz="6" w:space="0" w:color="414142"/>
              <w:bottom w:val="outset" w:sz="6" w:space="0" w:color="414142"/>
              <w:right w:val="outset" w:sz="6" w:space="0" w:color="414142"/>
            </w:tcBorders>
            <w:shd w:val="clear" w:color="auto" w:fill="FFFFFF"/>
          </w:tcPr>
          <w:p w14:paraId="22981D46"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bl>
    <w:p w14:paraId="7E0C8585"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6B2B70"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Appended: Copy of the agreement with the State Environmental Service on ensuring the operation of the deposit system.</w:t>
      </w:r>
    </w:p>
    <w:p w14:paraId="476E45B9"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75A278"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I hereby confirm that the information provided is true.</w:t>
      </w:r>
    </w:p>
    <w:p w14:paraId="77E6D4B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7C86AA" w14:textId="77777777" w:rsidR="00424616" w:rsidRPr="00424616" w:rsidRDefault="00424616" w:rsidP="00424616">
      <w:pPr>
        <w:autoSpaceDE w:val="0"/>
        <w:autoSpaceDN w:val="0"/>
        <w:adjustRightInd w:val="0"/>
        <w:spacing w:after="0" w:line="240" w:lineRule="auto"/>
        <w:jc w:val="both"/>
        <w:rPr>
          <w:rFonts w:ascii="Times New Roman" w:hAnsi="Times New Roman"/>
          <w:noProof/>
          <w:sz w:val="24"/>
          <w:lang w:val="en-US"/>
        </w:rPr>
      </w:pPr>
      <w:r w:rsidRPr="00424616">
        <w:rPr>
          <w:rFonts w:ascii="Times New Roman" w:hAnsi="Times New Roman"/>
          <w:noProof/>
          <w:sz w:val="24"/>
          <w:lang w:val="en-US"/>
        </w:rPr>
        <w:t>Date ____.____.____________________.</w:t>
      </w:r>
    </w:p>
    <w:p w14:paraId="5D471B85" w14:textId="77777777" w:rsidR="00424616" w:rsidRPr="00424616" w:rsidRDefault="00424616" w:rsidP="00424616">
      <w:pPr>
        <w:autoSpaceDE w:val="0"/>
        <w:autoSpaceDN w:val="0"/>
        <w:adjustRightInd w:val="0"/>
        <w:spacing w:after="0" w:line="240" w:lineRule="auto"/>
        <w:jc w:val="both"/>
        <w:rPr>
          <w:rFonts w:ascii="Times New Roman" w:hAnsi="Times New Roman" w:cs="Times New Roman"/>
          <w:noProof/>
          <w:sz w:val="24"/>
          <w:szCs w:val="24"/>
          <w:lang w:val="en-US"/>
        </w:rPr>
      </w:pPr>
    </w:p>
    <w:tbl>
      <w:tblPr>
        <w:tblW w:w="4961" w:type="pct"/>
        <w:tblInd w:w="-5" w:type="dxa"/>
        <w:tblCellMar>
          <w:top w:w="28" w:type="dxa"/>
          <w:left w:w="28" w:type="dxa"/>
          <w:bottom w:w="28" w:type="dxa"/>
          <w:right w:w="28" w:type="dxa"/>
        </w:tblCellMar>
        <w:tblLook w:val="04A0" w:firstRow="1" w:lastRow="0" w:firstColumn="1" w:lastColumn="0" w:noHBand="0" w:noVBand="1"/>
      </w:tblPr>
      <w:tblGrid>
        <w:gridCol w:w="4827"/>
        <w:gridCol w:w="4173"/>
      </w:tblGrid>
      <w:tr w:rsidR="00424616" w:rsidRPr="00424616" w14:paraId="02559BA4" w14:textId="77777777" w:rsidTr="00467B6A">
        <w:tc>
          <w:tcPr>
            <w:tcW w:w="5105" w:type="dxa"/>
            <w:hideMark/>
          </w:tcPr>
          <w:p w14:paraId="0BF7AF96" w14:textId="77777777" w:rsidR="00424616" w:rsidRPr="00424616" w:rsidRDefault="00424616" w:rsidP="00467B6A">
            <w:pPr>
              <w:autoSpaceDE w:val="0"/>
              <w:autoSpaceDN w:val="0"/>
              <w:adjustRightInd w:val="0"/>
              <w:spacing w:after="0" w:line="240" w:lineRule="auto"/>
              <w:jc w:val="both"/>
              <w:rPr>
                <w:rFonts w:ascii="Times New Roman" w:hAnsi="Times New Roman"/>
                <w:noProof/>
                <w:sz w:val="24"/>
                <w:lang w:val="en-US"/>
              </w:rPr>
            </w:pPr>
            <w:bookmarkStart w:id="72" w:name="_Hlk40188223"/>
            <w:r w:rsidRPr="00424616">
              <w:rPr>
                <w:rFonts w:ascii="Times New Roman" w:hAnsi="Times New Roman"/>
                <w:noProof/>
                <w:sz w:val="24"/>
                <w:lang w:val="en-US"/>
              </w:rPr>
              <w:t>Person entitled to represent the merchant</w:t>
            </w:r>
          </w:p>
        </w:tc>
        <w:tc>
          <w:tcPr>
            <w:tcW w:w="4401" w:type="dxa"/>
            <w:tcBorders>
              <w:bottom w:val="single" w:sz="4" w:space="0" w:color="414142"/>
            </w:tcBorders>
          </w:tcPr>
          <w:p w14:paraId="3817C10B" w14:textId="77777777" w:rsidR="00424616" w:rsidRPr="00424616" w:rsidRDefault="00424616" w:rsidP="00467B6A">
            <w:pPr>
              <w:autoSpaceDE w:val="0"/>
              <w:autoSpaceDN w:val="0"/>
              <w:adjustRightInd w:val="0"/>
              <w:spacing w:after="0" w:line="240" w:lineRule="auto"/>
              <w:jc w:val="both"/>
              <w:rPr>
                <w:rFonts w:ascii="Times New Roman" w:hAnsi="Times New Roman" w:cs="Times New Roman"/>
                <w:noProof/>
                <w:sz w:val="24"/>
                <w:szCs w:val="24"/>
                <w:lang w:val="en-US"/>
              </w:rPr>
            </w:pPr>
          </w:p>
        </w:tc>
      </w:tr>
      <w:tr w:rsidR="00424616" w:rsidRPr="00424616" w14:paraId="5BFD8F8A" w14:textId="77777777" w:rsidTr="00467B6A">
        <w:tc>
          <w:tcPr>
            <w:tcW w:w="5105" w:type="dxa"/>
          </w:tcPr>
          <w:p w14:paraId="2940917C" w14:textId="77777777" w:rsidR="00424616" w:rsidRPr="00424616" w:rsidRDefault="00424616" w:rsidP="00467B6A">
            <w:pPr>
              <w:autoSpaceDE w:val="0"/>
              <w:autoSpaceDN w:val="0"/>
              <w:adjustRightInd w:val="0"/>
              <w:spacing w:after="0" w:line="240" w:lineRule="auto"/>
              <w:jc w:val="both"/>
              <w:rPr>
                <w:rFonts w:ascii="Times New Roman" w:hAnsi="Times New Roman" w:cs="Times New Roman"/>
                <w:noProof/>
                <w:sz w:val="24"/>
                <w:szCs w:val="24"/>
                <w:lang w:val="en-US"/>
              </w:rPr>
            </w:pPr>
          </w:p>
        </w:tc>
        <w:tc>
          <w:tcPr>
            <w:tcW w:w="4401" w:type="dxa"/>
            <w:tcBorders>
              <w:top w:val="single" w:sz="4" w:space="0" w:color="414142"/>
            </w:tcBorders>
            <w:hideMark/>
          </w:tcPr>
          <w:p w14:paraId="2D1A10A7" w14:textId="77777777" w:rsidR="00424616" w:rsidRPr="00424616" w:rsidRDefault="00424616" w:rsidP="00467B6A">
            <w:pPr>
              <w:autoSpaceDE w:val="0"/>
              <w:autoSpaceDN w:val="0"/>
              <w:adjustRightInd w:val="0"/>
              <w:spacing w:after="0" w:line="240" w:lineRule="auto"/>
              <w:jc w:val="center"/>
              <w:rPr>
                <w:rFonts w:ascii="Times New Roman" w:hAnsi="Times New Roman"/>
                <w:noProof/>
                <w:sz w:val="24"/>
                <w:lang w:val="en-US"/>
              </w:rPr>
            </w:pPr>
            <w:r w:rsidRPr="00424616">
              <w:rPr>
                <w:rFonts w:ascii="Times New Roman" w:hAnsi="Times New Roman"/>
                <w:noProof/>
                <w:sz w:val="24"/>
                <w:lang w:val="en-US"/>
              </w:rPr>
              <w:t>/signature and full name*/</w:t>
            </w:r>
          </w:p>
        </w:tc>
      </w:tr>
      <w:bookmarkEnd w:id="72"/>
    </w:tbl>
    <w:p w14:paraId="297875C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24616" w:rsidRPr="00424616" w14:paraId="3C0364EC" w14:textId="77777777" w:rsidTr="00467B6A">
        <w:tc>
          <w:tcPr>
            <w:tcW w:w="5000" w:type="pct"/>
            <w:tcBorders>
              <w:top w:val="outset" w:sz="6" w:space="0" w:color="414142"/>
              <w:left w:val="outset" w:sz="6" w:space="0" w:color="414142"/>
              <w:bottom w:val="outset" w:sz="6" w:space="0" w:color="414142"/>
              <w:right w:val="outset" w:sz="6" w:space="0" w:color="414142"/>
            </w:tcBorders>
            <w:hideMark/>
          </w:tcPr>
          <w:p w14:paraId="0D4C1D0E"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 Note. The details of the document “date” and “signature” need not be completed, if the electronic document has been prepared in accordance with the laws and regulations regarding drawing up of electronic documents.</w:t>
            </w:r>
          </w:p>
        </w:tc>
      </w:tr>
    </w:tbl>
    <w:p w14:paraId="69438C78"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70D685" w14:textId="77777777" w:rsidR="00424616" w:rsidRPr="00424616" w:rsidRDefault="00424616" w:rsidP="00424616">
      <w:pPr>
        <w:shd w:val="clear" w:color="auto" w:fill="FFFFFF"/>
        <w:tabs>
          <w:tab w:val="left" w:pos="8080"/>
        </w:tabs>
        <w:spacing w:after="0" w:line="240" w:lineRule="auto"/>
        <w:jc w:val="both"/>
        <w:rPr>
          <w:rFonts w:ascii="Times New Roman" w:hAnsi="Times New Roman"/>
          <w:noProof/>
          <w:sz w:val="24"/>
          <w:lang w:val="en-US"/>
        </w:rPr>
      </w:pPr>
      <w:r w:rsidRPr="00424616">
        <w:rPr>
          <w:rFonts w:ascii="Times New Roman" w:hAnsi="Times New Roman"/>
          <w:noProof/>
          <w:sz w:val="24"/>
          <w:lang w:val="en-US"/>
        </w:rPr>
        <w:t>Acting Chair, Board Member of the Public Utilities Commission</w:t>
      </w:r>
      <w:r w:rsidRPr="00424616">
        <w:rPr>
          <w:rFonts w:ascii="Times New Roman" w:hAnsi="Times New Roman"/>
          <w:noProof/>
          <w:sz w:val="24"/>
          <w:lang w:val="en-US"/>
        </w:rPr>
        <w:tab/>
        <w:t>I. Mantiņš</w:t>
      </w:r>
    </w:p>
    <w:p w14:paraId="06E2A0FC" w14:textId="77777777" w:rsidR="00424616" w:rsidRPr="00424616" w:rsidRDefault="00424616" w:rsidP="00424616">
      <w:pPr>
        <w:shd w:val="clear" w:color="auto" w:fill="FFFFFF"/>
        <w:spacing w:after="0" w:line="240" w:lineRule="auto"/>
        <w:jc w:val="both"/>
        <w:rPr>
          <w:noProof/>
          <w:lang w:val="en-US"/>
        </w:rPr>
      </w:pPr>
      <w:r w:rsidRPr="00424616">
        <w:rPr>
          <w:noProof/>
          <w:lang w:val="en-US"/>
        </w:rPr>
        <w:br w:type="page"/>
      </w:r>
    </w:p>
    <w:p w14:paraId="3F468FE8"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0B7F24" w14:textId="77777777" w:rsidR="00424616" w:rsidRPr="00424616" w:rsidRDefault="00424616" w:rsidP="00424616">
      <w:pPr>
        <w:shd w:val="clear" w:color="auto" w:fill="FFFFFF"/>
        <w:spacing w:after="0" w:line="240" w:lineRule="auto"/>
        <w:jc w:val="right"/>
        <w:rPr>
          <w:rFonts w:ascii="Times New Roman" w:hAnsi="Times New Roman"/>
          <w:b/>
          <w:noProof/>
          <w:sz w:val="24"/>
          <w:lang w:val="en-US"/>
        </w:rPr>
      </w:pPr>
      <w:r w:rsidRPr="00424616">
        <w:rPr>
          <w:rFonts w:ascii="Times New Roman" w:hAnsi="Times New Roman"/>
          <w:b/>
          <w:noProof/>
          <w:sz w:val="24"/>
          <w:lang w:val="en-US"/>
        </w:rPr>
        <w:t>Annex 2</w:t>
      </w:r>
    </w:p>
    <w:p w14:paraId="011942FA" w14:textId="77777777" w:rsidR="00424616" w:rsidRPr="00424616" w:rsidRDefault="00424616" w:rsidP="00424616">
      <w:pPr>
        <w:shd w:val="clear" w:color="auto" w:fill="FFFFFF"/>
        <w:spacing w:after="0" w:line="240" w:lineRule="auto"/>
        <w:jc w:val="right"/>
        <w:rPr>
          <w:rFonts w:ascii="Times New Roman" w:hAnsi="Times New Roman"/>
          <w:noProof/>
          <w:sz w:val="24"/>
          <w:lang w:val="en-US"/>
        </w:rPr>
      </w:pPr>
      <w:r w:rsidRPr="00424616">
        <w:rPr>
          <w:rFonts w:ascii="Times New Roman" w:hAnsi="Times New Roman"/>
          <w:noProof/>
          <w:sz w:val="24"/>
          <w:lang w:val="en-US"/>
        </w:rPr>
        <w:t>Decision No. 1/9 of the Public Utilities Commission</w:t>
      </w:r>
    </w:p>
    <w:p w14:paraId="412B1B74" w14:textId="77777777" w:rsidR="00424616" w:rsidRPr="00424616" w:rsidRDefault="00424616" w:rsidP="00424616">
      <w:pPr>
        <w:shd w:val="clear" w:color="auto" w:fill="FFFFFF"/>
        <w:spacing w:after="0" w:line="240" w:lineRule="auto"/>
        <w:jc w:val="right"/>
        <w:rPr>
          <w:rFonts w:ascii="Times New Roman" w:hAnsi="Times New Roman"/>
          <w:noProof/>
          <w:sz w:val="24"/>
          <w:lang w:val="en-US"/>
        </w:rPr>
      </w:pPr>
      <w:r w:rsidRPr="00424616">
        <w:rPr>
          <w:rFonts w:ascii="Times New Roman" w:hAnsi="Times New Roman"/>
          <w:noProof/>
          <w:sz w:val="24"/>
          <w:lang w:val="en-US"/>
        </w:rPr>
        <w:t>2 July 2020</w:t>
      </w:r>
      <w:bookmarkStart w:id="73" w:name="piel-1051220"/>
      <w:bookmarkStart w:id="74" w:name="piel2"/>
      <w:bookmarkEnd w:id="73"/>
      <w:bookmarkEnd w:id="74"/>
    </w:p>
    <w:p w14:paraId="2DC9188B" w14:textId="77777777" w:rsidR="00424616" w:rsidRPr="00424616" w:rsidRDefault="00424616" w:rsidP="00424616">
      <w:pPr>
        <w:shd w:val="clear" w:color="auto" w:fill="FFFFFF"/>
        <w:spacing w:after="0" w:line="240" w:lineRule="auto"/>
        <w:jc w:val="right"/>
        <w:rPr>
          <w:rFonts w:ascii="Times New Roman" w:eastAsia="Times New Roman" w:hAnsi="Times New Roman" w:cs="Times New Roman"/>
          <w:noProof/>
          <w:sz w:val="24"/>
          <w:szCs w:val="24"/>
          <w:lang w:val="en-US"/>
        </w:rPr>
      </w:pPr>
      <w:r w:rsidRPr="00424616">
        <w:rPr>
          <w:rFonts w:ascii="Times New Roman" w:hAnsi="Times New Roman"/>
          <w:noProof/>
          <w:sz w:val="24"/>
          <w:lang w:val="en-US"/>
        </w:rPr>
        <w:t>[</w:t>
      </w:r>
      <w:r w:rsidRPr="00424616">
        <w:rPr>
          <w:rFonts w:ascii="Times New Roman" w:hAnsi="Times New Roman"/>
          <w:i/>
          <w:iCs/>
          <w:noProof/>
          <w:sz w:val="24"/>
          <w:lang w:val="en-US"/>
        </w:rPr>
        <w:t>24 February 2022</w:t>
      </w:r>
      <w:r w:rsidRPr="00424616">
        <w:rPr>
          <w:rFonts w:ascii="Times New Roman" w:hAnsi="Times New Roman"/>
          <w:noProof/>
          <w:sz w:val="24"/>
          <w:lang w:val="en-US"/>
        </w:rPr>
        <w:t>]</w:t>
      </w:r>
    </w:p>
    <w:p w14:paraId="16BF64EA"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8F255F" w14:textId="77777777" w:rsidR="00424616" w:rsidRPr="00424616" w:rsidRDefault="00424616" w:rsidP="00424616">
      <w:pPr>
        <w:spacing w:after="0" w:line="240" w:lineRule="auto"/>
        <w:jc w:val="both"/>
        <w:rPr>
          <w:rFonts w:ascii="Times New Roman" w:hAnsi="Times New Roman"/>
          <w:noProof/>
          <w:sz w:val="24"/>
          <w:lang w:val="en-US"/>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077"/>
        <w:gridCol w:w="4984"/>
      </w:tblGrid>
      <w:tr w:rsidR="00424616" w:rsidRPr="00424616" w14:paraId="3C9378E6" w14:textId="77777777" w:rsidTr="00467B6A">
        <w:tc>
          <w:tcPr>
            <w:tcW w:w="2250" w:type="pct"/>
            <w:shd w:val="clear" w:color="auto" w:fill="FFFFFF"/>
            <w:vAlign w:val="center"/>
            <w:hideMark/>
          </w:tcPr>
          <w:p w14:paraId="59998879"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Name of the merchant</w:t>
            </w:r>
          </w:p>
        </w:tc>
        <w:tc>
          <w:tcPr>
            <w:tcW w:w="2750" w:type="pct"/>
            <w:shd w:val="clear" w:color="auto" w:fill="FFFFFF"/>
            <w:vAlign w:val="center"/>
          </w:tcPr>
          <w:p w14:paraId="7215776D" w14:textId="77777777" w:rsidR="00424616" w:rsidRPr="00424616" w:rsidRDefault="00424616" w:rsidP="00467B6A">
            <w:pPr>
              <w:spacing w:after="0" w:line="240" w:lineRule="auto"/>
              <w:jc w:val="both"/>
              <w:rPr>
                <w:rFonts w:ascii="Times New Roman" w:eastAsia="Times New Roman" w:hAnsi="Times New Roman"/>
                <w:noProof/>
                <w:sz w:val="24"/>
                <w:lang w:val="en-US" w:eastAsia="lv-LV"/>
              </w:rPr>
            </w:pPr>
          </w:p>
        </w:tc>
      </w:tr>
      <w:tr w:rsidR="00424616" w:rsidRPr="00424616" w14:paraId="270E46ED" w14:textId="77777777" w:rsidTr="00467B6A">
        <w:tc>
          <w:tcPr>
            <w:tcW w:w="2250" w:type="pct"/>
            <w:shd w:val="clear" w:color="auto" w:fill="FFFFFF"/>
            <w:vAlign w:val="center"/>
            <w:hideMark/>
          </w:tcPr>
          <w:p w14:paraId="0091E367"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Unified registration number</w:t>
            </w:r>
          </w:p>
        </w:tc>
        <w:tc>
          <w:tcPr>
            <w:tcW w:w="2750" w:type="pct"/>
            <w:shd w:val="clear" w:color="auto" w:fill="FFFFFF"/>
            <w:vAlign w:val="center"/>
          </w:tcPr>
          <w:p w14:paraId="77CDA3B5" w14:textId="77777777" w:rsidR="00424616" w:rsidRPr="00424616" w:rsidRDefault="00424616" w:rsidP="00467B6A">
            <w:pPr>
              <w:spacing w:after="0" w:line="240" w:lineRule="auto"/>
              <w:jc w:val="both"/>
              <w:rPr>
                <w:rFonts w:ascii="Times New Roman" w:eastAsia="Times New Roman" w:hAnsi="Times New Roman"/>
                <w:noProof/>
                <w:sz w:val="24"/>
                <w:lang w:val="en-US" w:eastAsia="lv-LV"/>
              </w:rPr>
            </w:pPr>
          </w:p>
        </w:tc>
      </w:tr>
      <w:tr w:rsidR="00424616" w:rsidRPr="00424616" w14:paraId="782A680B" w14:textId="77777777" w:rsidTr="00467B6A">
        <w:tc>
          <w:tcPr>
            <w:tcW w:w="2250" w:type="pct"/>
            <w:shd w:val="clear" w:color="auto" w:fill="FFFFFF"/>
            <w:vAlign w:val="center"/>
            <w:hideMark/>
          </w:tcPr>
          <w:p w14:paraId="69C3ADF7"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Reporting period</w:t>
            </w:r>
          </w:p>
        </w:tc>
        <w:tc>
          <w:tcPr>
            <w:tcW w:w="2750" w:type="pct"/>
            <w:shd w:val="clear" w:color="auto" w:fill="FFFFFF"/>
            <w:vAlign w:val="center"/>
          </w:tcPr>
          <w:p w14:paraId="12F5BB98" w14:textId="77777777" w:rsidR="00424616" w:rsidRPr="00424616" w:rsidRDefault="00424616" w:rsidP="00467B6A">
            <w:pPr>
              <w:spacing w:after="0" w:line="240" w:lineRule="auto"/>
              <w:jc w:val="both"/>
              <w:rPr>
                <w:rFonts w:ascii="Times New Roman" w:eastAsia="Times New Roman" w:hAnsi="Times New Roman"/>
                <w:noProof/>
                <w:sz w:val="24"/>
                <w:lang w:val="en-US" w:eastAsia="lv-LV"/>
              </w:rPr>
            </w:pPr>
          </w:p>
        </w:tc>
      </w:tr>
    </w:tbl>
    <w:p w14:paraId="0DE6662F" w14:textId="77777777" w:rsidR="00424616" w:rsidRPr="00424616" w:rsidRDefault="00424616" w:rsidP="00424616">
      <w:pPr>
        <w:shd w:val="clear" w:color="auto" w:fill="FFFFFF"/>
        <w:spacing w:after="0" w:line="240" w:lineRule="auto"/>
        <w:jc w:val="both"/>
        <w:rPr>
          <w:rFonts w:ascii="Times New Roman" w:eastAsia="Times New Roman" w:hAnsi="Times New Roman"/>
          <w:b/>
          <w:bCs/>
          <w:noProof/>
          <w:sz w:val="24"/>
          <w:lang w:val="en-US"/>
        </w:rPr>
      </w:pPr>
    </w:p>
    <w:p w14:paraId="5AEADA09" w14:textId="77777777" w:rsidR="00424616" w:rsidRPr="00424616" w:rsidRDefault="00424616" w:rsidP="00424616">
      <w:pPr>
        <w:shd w:val="clear" w:color="auto" w:fill="FFFFFF"/>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Regulated service: the service of ensuring the deposit system of the deposit system operator</w:t>
      </w:r>
    </w:p>
    <w:p w14:paraId="7EBB779D"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8E8B4E6"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vertAlign w:val="superscript"/>
          <w:lang w:val="en-US"/>
        </w:rPr>
      </w:pPr>
      <w:r w:rsidRPr="00424616">
        <w:rPr>
          <w:rFonts w:ascii="Times New Roman" w:hAnsi="Times New Roman"/>
          <w:b/>
          <w:noProof/>
          <w:sz w:val="24"/>
          <w:lang w:val="en-US"/>
        </w:rPr>
        <w:t>Report on the amount, costs, and revenues of the service provided in __________________ (year) and financial outcome of economic activity</w:t>
      </w:r>
      <w:r w:rsidRPr="00424616">
        <w:rPr>
          <w:rFonts w:ascii="Times New Roman" w:hAnsi="Times New Roman"/>
          <w:b/>
          <w:noProof/>
          <w:sz w:val="24"/>
          <w:vertAlign w:val="superscript"/>
          <w:lang w:val="en-US"/>
        </w:rPr>
        <w:t>[1]</w:t>
      </w:r>
    </w:p>
    <w:p w14:paraId="1270C6EE" w14:textId="77777777" w:rsidR="00424616" w:rsidRPr="00424616" w:rsidRDefault="00424616" w:rsidP="00424616">
      <w:pPr>
        <w:pStyle w:val="ListParagraph"/>
        <w:shd w:val="clear" w:color="auto" w:fill="FFFFFF"/>
        <w:spacing w:after="0" w:line="240" w:lineRule="auto"/>
        <w:ind w:left="0"/>
        <w:contextualSpacing w:val="0"/>
        <w:rPr>
          <w:rFonts w:ascii="Times New Roman" w:eastAsia="Times New Roman" w:hAnsi="Times New Roman" w:cs="Times New Roman"/>
          <w:b/>
          <w:bCs/>
          <w:noProof/>
          <w:sz w:val="24"/>
          <w:szCs w:val="24"/>
          <w:lang w:val="en-US"/>
        </w:rPr>
      </w:pPr>
    </w:p>
    <w:p w14:paraId="0B8C572E" w14:textId="77777777" w:rsidR="00424616" w:rsidRPr="00424616" w:rsidRDefault="00424616" w:rsidP="00424616">
      <w:pPr>
        <w:shd w:val="clear" w:color="auto" w:fill="FFFFFF"/>
        <w:spacing w:after="0" w:line="240" w:lineRule="auto"/>
        <w:jc w:val="both"/>
        <w:rPr>
          <w:rFonts w:ascii="Times New Roman" w:hAnsi="Times New Roman"/>
          <w:b/>
          <w:noProof/>
          <w:sz w:val="24"/>
          <w:u w:val="single"/>
          <w:lang w:val="en-US"/>
        </w:rPr>
      </w:pPr>
      <w:r w:rsidRPr="00424616">
        <w:rPr>
          <w:rFonts w:ascii="Times New Roman" w:hAnsi="Times New Roman"/>
          <w:b/>
          <w:noProof/>
          <w:sz w:val="24"/>
          <w:lang w:val="en-US"/>
        </w:rPr>
        <w:t xml:space="preserve">A. </w:t>
      </w:r>
      <w:r w:rsidRPr="00424616">
        <w:rPr>
          <w:rFonts w:ascii="Times New Roman" w:hAnsi="Times New Roman"/>
          <w:b/>
          <w:noProof/>
          <w:sz w:val="24"/>
          <w:u w:val="single"/>
          <w:lang w:val="en-US"/>
        </w:rPr>
        <w:t>Information according to the annual financial statement of the merchant</w:t>
      </w:r>
    </w:p>
    <w:p w14:paraId="21F93476" w14:textId="77777777" w:rsidR="00424616" w:rsidRPr="00424616" w:rsidRDefault="00424616" w:rsidP="00424616">
      <w:pPr>
        <w:shd w:val="clear" w:color="auto" w:fill="FFFFFF"/>
        <w:spacing w:after="0" w:line="240" w:lineRule="auto"/>
        <w:jc w:val="both"/>
        <w:rPr>
          <w:rFonts w:ascii="Times New Roman" w:hAnsi="Times New Roman"/>
          <w:b/>
          <w:noProof/>
          <w:sz w:val="24"/>
          <w:u w:val="single"/>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1"/>
        <w:gridCol w:w="1241"/>
        <w:gridCol w:w="1412"/>
        <w:gridCol w:w="665"/>
        <w:gridCol w:w="1032"/>
        <w:gridCol w:w="599"/>
        <w:gridCol w:w="599"/>
        <w:gridCol w:w="573"/>
        <w:gridCol w:w="967"/>
        <w:gridCol w:w="1019"/>
        <w:gridCol w:w="547"/>
      </w:tblGrid>
      <w:tr w:rsidR="00424616" w:rsidRPr="00424616" w14:paraId="78A1BD80" w14:textId="77777777" w:rsidTr="00467B6A">
        <w:tc>
          <w:tcPr>
            <w:tcW w:w="428" w:type="pct"/>
            <w:vMerge w:val="restart"/>
            <w:tcBorders>
              <w:top w:val="outset" w:sz="6" w:space="0" w:color="414142"/>
              <w:left w:val="outset" w:sz="6" w:space="0" w:color="414142"/>
              <w:bottom w:val="outset" w:sz="6" w:space="0" w:color="414142"/>
              <w:right w:val="outset" w:sz="6" w:space="0" w:color="414142"/>
            </w:tcBorders>
            <w:vAlign w:val="center"/>
            <w:hideMark/>
          </w:tcPr>
          <w:p w14:paraId="705E67E8"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No.</w:t>
            </w:r>
          </w:p>
        </w:tc>
        <w:tc>
          <w:tcPr>
            <w:tcW w:w="879" w:type="pct"/>
            <w:vMerge w:val="restart"/>
            <w:tcBorders>
              <w:top w:val="outset" w:sz="6" w:space="0" w:color="414142"/>
              <w:left w:val="outset" w:sz="6" w:space="0" w:color="414142"/>
              <w:bottom w:val="outset" w:sz="6" w:space="0" w:color="414142"/>
              <w:right w:val="outset" w:sz="6" w:space="0" w:color="414142"/>
            </w:tcBorders>
            <w:vAlign w:val="center"/>
            <w:hideMark/>
          </w:tcPr>
          <w:p w14:paraId="70C535B3"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Item</w:t>
            </w:r>
          </w:p>
        </w:tc>
        <w:tc>
          <w:tcPr>
            <w:tcW w:w="369" w:type="pct"/>
            <w:vMerge w:val="restart"/>
            <w:tcBorders>
              <w:top w:val="outset" w:sz="6" w:space="0" w:color="414142"/>
              <w:left w:val="outset" w:sz="6" w:space="0" w:color="414142"/>
              <w:bottom w:val="outset" w:sz="6" w:space="0" w:color="414142"/>
              <w:right w:val="outset" w:sz="6" w:space="0" w:color="414142"/>
            </w:tcBorders>
            <w:vAlign w:val="center"/>
            <w:hideMark/>
          </w:tcPr>
          <w:p w14:paraId="58AA0F22"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Unit of measurement</w:t>
            </w:r>
          </w:p>
        </w:tc>
        <w:tc>
          <w:tcPr>
            <w:tcW w:w="3324" w:type="pct"/>
            <w:gridSpan w:val="8"/>
            <w:tcBorders>
              <w:top w:val="outset" w:sz="6" w:space="0" w:color="414142"/>
              <w:left w:val="outset" w:sz="6" w:space="0" w:color="414142"/>
              <w:bottom w:val="outset" w:sz="6" w:space="0" w:color="414142"/>
              <w:right w:val="outset" w:sz="6" w:space="0" w:color="414142"/>
            </w:tcBorders>
            <w:vAlign w:val="center"/>
            <w:hideMark/>
          </w:tcPr>
          <w:p w14:paraId="0F1375FA"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Quantity, costs, and revenues of services in the reporting year</w:t>
            </w:r>
          </w:p>
        </w:tc>
      </w:tr>
      <w:tr w:rsidR="00424616" w:rsidRPr="00424616" w14:paraId="03F7ED3C" w14:textId="77777777" w:rsidTr="00467B6A">
        <w:tc>
          <w:tcPr>
            <w:tcW w:w="428" w:type="pct"/>
            <w:vMerge/>
            <w:tcBorders>
              <w:top w:val="outset" w:sz="6" w:space="0" w:color="414142"/>
              <w:left w:val="outset" w:sz="6" w:space="0" w:color="414142"/>
              <w:bottom w:val="outset" w:sz="6" w:space="0" w:color="414142"/>
              <w:right w:val="outset" w:sz="6" w:space="0" w:color="414142"/>
            </w:tcBorders>
            <w:vAlign w:val="center"/>
            <w:hideMark/>
          </w:tcPr>
          <w:p w14:paraId="6FEFD4DA"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879" w:type="pct"/>
            <w:vMerge/>
            <w:tcBorders>
              <w:top w:val="outset" w:sz="6" w:space="0" w:color="414142"/>
              <w:left w:val="outset" w:sz="6" w:space="0" w:color="414142"/>
              <w:bottom w:val="outset" w:sz="6" w:space="0" w:color="414142"/>
              <w:right w:val="outset" w:sz="6" w:space="0" w:color="414142"/>
            </w:tcBorders>
            <w:vAlign w:val="center"/>
            <w:hideMark/>
          </w:tcPr>
          <w:p w14:paraId="5EC5AB0D"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369" w:type="pct"/>
            <w:vMerge/>
            <w:tcBorders>
              <w:top w:val="outset" w:sz="6" w:space="0" w:color="414142"/>
              <w:left w:val="outset" w:sz="6" w:space="0" w:color="414142"/>
              <w:bottom w:val="outset" w:sz="6" w:space="0" w:color="414142"/>
              <w:right w:val="outset" w:sz="6" w:space="0" w:color="414142"/>
            </w:tcBorders>
            <w:vAlign w:val="center"/>
            <w:hideMark/>
          </w:tcPr>
          <w:p w14:paraId="603FF54D"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1967" w:type="pct"/>
            <w:gridSpan w:val="5"/>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0B2742D"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Single-use deposit packaging</w:t>
            </w:r>
          </w:p>
        </w:tc>
        <w:tc>
          <w:tcPr>
            <w:tcW w:w="1044" w:type="pct"/>
            <w:gridSpan w:val="2"/>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91F96B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Reusable glass</w:t>
            </w:r>
          </w:p>
        </w:tc>
        <w:tc>
          <w:tcPr>
            <w:tcW w:w="314" w:type="pct"/>
            <w:vMerge w:val="restar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BE60FC6"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Total</w:t>
            </w:r>
          </w:p>
        </w:tc>
      </w:tr>
      <w:tr w:rsidR="00424616" w:rsidRPr="00424616" w14:paraId="449DA140" w14:textId="77777777" w:rsidTr="00467B6A">
        <w:tc>
          <w:tcPr>
            <w:tcW w:w="428" w:type="pct"/>
            <w:vMerge/>
            <w:tcBorders>
              <w:top w:val="outset" w:sz="6" w:space="0" w:color="414142"/>
              <w:left w:val="outset" w:sz="6" w:space="0" w:color="414142"/>
              <w:bottom w:val="outset" w:sz="6" w:space="0" w:color="414142"/>
              <w:right w:val="outset" w:sz="6" w:space="0" w:color="414142"/>
            </w:tcBorders>
            <w:vAlign w:val="center"/>
            <w:hideMark/>
          </w:tcPr>
          <w:p w14:paraId="5954C327"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879" w:type="pct"/>
            <w:vMerge/>
            <w:tcBorders>
              <w:top w:val="outset" w:sz="6" w:space="0" w:color="414142"/>
              <w:left w:val="outset" w:sz="6" w:space="0" w:color="414142"/>
              <w:bottom w:val="outset" w:sz="6" w:space="0" w:color="414142"/>
              <w:right w:val="outset" w:sz="6" w:space="0" w:color="414142"/>
            </w:tcBorders>
            <w:vAlign w:val="center"/>
            <w:hideMark/>
          </w:tcPr>
          <w:p w14:paraId="23CF9D64"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369" w:type="pct"/>
            <w:vMerge/>
            <w:tcBorders>
              <w:top w:val="outset" w:sz="6" w:space="0" w:color="414142"/>
              <w:left w:val="outset" w:sz="6" w:space="0" w:color="414142"/>
              <w:bottom w:val="outset" w:sz="6" w:space="0" w:color="414142"/>
              <w:right w:val="outset" w:sz="6" w:space="0" w:color="414142"/>
            </w:tcBorders>
            <w:vAlign w:val="center"/>
            <w:hideMark/>
          </w:tcPr>
          <w:p w14:paraId="6ED5C038"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494"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93C1BB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PET (clear)</w:t>
            </w:r>
          </w:p>
        </w:tc>
        <w:tc>
          <w:tcPr>
            <w:tcW w:w="36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1FFAFD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PET (coloured)</w:t>
            </w:r>
          </w:p>
        </w:tc>
        <w:tc>
          <w:tcPr>
            <w:tcW w:w="38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90AAB9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Metal (AL)</w:t>
            </w:r>
          </w:p>
        </w:tc>
        <w:tc>
          <w:tcPr>
            <w:tcW w:w="38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964C44C"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Metal (Fe)</w:t>
            </w:r>
          </w:p>
        </w:tc>
        <w:tc>
          <w:tcPr>
            <w:tcW w:w="32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9CB83A8"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Glass</w:t>
            </w:r>
          </w:p>
        </w:tc>
        <w:tc>
          <w:tcPr>
            <w:tcW w:w="601"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F869B0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Universal design</w:t>
            </w:r>
          </w:p>
        </w:tc>
        <w:tc>
          <w:tcPr>
            <w:tcW w:w="4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9F60A9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Individual design</w:t>
            </w:r>
          </w:p>
        </w:tc>
        <w:tc>
          <w:tcPr>
            <w:tcW w:w="314" w:type="pct"/>
            <w:vMerge/>
            <w:tcBorders>
              <w:top w:val="outset" w:sz="6" w:space="0" w:color="414142"/>
              <w:left w:val="outset" w:sz="6" w:space="0" w:color="414142"/>
              <w:bottom w:val="outset" w:sz="6" w:space="0" w:color="414142"/>
              <w:right w:val="outset" w:sz="6" w:space="0" w:color="414142"/>
            </w:tcBorders>
            <w:vAlign w:val="center"/>
            <w:hideMark/>
          </w:tcPr>
          <w:p w14:paraId="0F016C1F"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6229B358" w14:textId="77777777" w:rsidTr="00467B6A">
        <w:tc>
          <w:tcPr>
            <w:tcW w:w="42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E3FF2B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87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64FF203"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Revenues (net turnover), including:</w:t>
            </w:r>
          </w:p>
        </w:tc>
        <w:tc>
          <w:tcPr>
            <w:tcW w:w="36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4041D27"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9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CDF46A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CA5195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4CA788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67D8212"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7F3AF8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AA1905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32BC36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0F355A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5CB213F8"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74D2225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3C7C489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Revenues from the deposit system participation fee</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06FA5CD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94" w:type="pct"/>
            <w:tcBorders>
              <w:top w:val="outset" w:sz="6" w:space="0" w:color="414142"/>
              <w:left w:val="outset" w:sz="6" w:space="0" w:color="414142"/>
              <w:bottom w:val="outset" w:sz="6" w:space="0" w:color="414142"/>
              <w:right w:val="outset" w:sz="6" w:space="0" w:color="414142"/>
            </w:tcBorders>
            <w:vAlign w:val="center"/>
          </w:tcPr>
          <w:p w14:paraId="4DC7971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7CFC2D09"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7158B0BF"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7281809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6D2F7F7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5239EB3F"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1302A2D6"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672DA22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439C6C94"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36B5099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5A3D4F9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Revenues from the deposit fee*, including:</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7D23A2C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94" w:type="pct"/>
            <w:tcBorders>
              <w:top w:val="outset" w:sz="6" w:space="0" w:color="414142"/>
              <w:left w:val="outset" w:sz="6" w:space="0" w:color="414142"/>
              <w:bottom w:val="outset" w:sz="6" w:space="0" w:color="414142"/>
              <w:right w:val="outset" w:sz="6" w:space="0" w:color="414142"/>
            </w:tcBorders>
            <w:vAlign w:val="center"/>
          </w:tcPr>
          <w:p w14:paraId="5B29AD3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68E65AD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6836BCDF"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16F892A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591EC9C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0D2F276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6507E4B9"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7ADE778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5B7593A2"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62FE5164"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2.1.</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51854B2F"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revenues from unredeemed deposit fee</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01A22C76"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94" w:type="pct"/>
            <w:tcBorders>
              <w:top w:val="outset" w:sz="6" w:space="0" w:color="414142"/>
              <w:left w:val="outset" w:sz="6" w:space="0" w:color="414142"/>
              <w:bottom w:val="outset" w:sz="6" w:space="0" w:color="414142"/>
              <w:right w:val="outset" w:sz="6" w:space="0" w:color="414142"/>
            </w:tcBorders>
            <w:vAlign w:val="center"/>
          </w:tcPr>
          <w:p w14:paraId="45904AF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4B97A92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144081C1"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09BE7B05"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6B82213E"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7A422AB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576E0E4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34271C4D"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56B9452E"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48AD89A3"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2.2.</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44861F9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6877850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94" w:type="pct"/>
            <w:tcBorders>
              <w:top w:val="outset" w:sz="6" w:space="0" w:color="414142"/>
              <w:left w:val="outset" w:sz="6" w:space="0" w:color="414142"/>
              <w:bottom w:val="outset" w:sz="6" w:space="0" w:color="414142"/>
              <w:right w:val="outset" w:sz="6" w:space="0" w:color="414142"/>
            </w:tcBorders>
            <w:vAlign w:val="center"/>
          </w:tcPr>
          <w:p w14:paraId="4C364F54"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5A8E2CC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1B595B7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4E159C8C"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2E237DED"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22A2C97D"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5A187276"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76EBFF9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448A5590"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1C9FE355"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3.</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3CE103C1"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Revenues from sale of deposit packaging prepared for recycling and recovery</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1F59CEB8"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EUR</w:t>
            </w:r>
          </w:p>
        </w:tc>
        <w:tc>
          <w:tcPr>
            <w:tcW w:w="494" w:type="pct"/>
            <w:tcBorders>
              <w:top w:val="outset" w:sz="6" w:space="0" w:color="414142"/>
              <w:left w:val="outset" w:sz="6" w:space="0" w:color="414142"/>
              <w:bottom w:val="outset" w:sz="6" w:space="0" w:color="414142"/>
              <w:right w:val="outset" w:sz="6" w:space="0" w:color="414142"/>
            </w:tcBorders>
            <w:vAlign w:val="center"/>
          </w:tcPr>
          <w:p w14:paraId="535C26E2"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114C953B"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4205A5D7"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6DB805CA"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47C30AAC"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207D3EBB"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7FDC4207"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3FDE0C4A" w14:textId="77777777" w:rsidR="00424616" w:rsidRPr="00424616" w:rsidRDefault="00424616" w:rsidP="00467B6A">
            <w:pPr>
              <w:keepNext/>
              <w:keepLines/>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373DA96F"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0A01579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4.</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708B2E39"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 revenues related to the service of ensuring the deposit system</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26793B2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EUR</w:t>
            </w:r>
          </w:p>
        </w:tc>
        <w:tc>
          <w:tcPr>
            <w:tcW w:w="494" w:type="pct"/>
            <w:tcBorders>
              <w:top w:val="outset" w:sz="6" w:space="0" w:color="414142"/>
              <w:left w:val="outset" w:sz="6" w:space="0" w:color="414142"/>
              <w:bottom w:val="outset" w:sz="6" w:space="0" w:color="414142"/>
              <w:right w:val="outset" w:sz="6" w:space="0" w:color="414142"/>
            </w:tcBorders>
            <w:vAlign w:val="center"/>
          </w:tcPr>
          <w:p w14:paraId="13DEA66D"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5FA36EF9"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1BE53C52"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4447E4E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1525B7A8"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630368E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14DCE4C1"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79406A5F"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55D94F4E"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5399E8F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5.</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528ACC7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 revenues from the main activity*</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31D35D7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EUR</w:t>
            </w:r>
          </w:p>
        </w:tc>
        <w:tc>
          <w:tcPr>
            <w:tcW w:w="494" w:type="pct"/>
            <w:tcBorders>
              <w:top w:val="outset" w:sz="6" w:space="0" w:color="414142"/>
              <w:left w:val="outset" w:sz="6" w:space="0" w:color="414142"/>
              <w:bottom w:val="outset" w:sz="6" w:space="0" w:color="414142"/>
              <w:right w:val="outset" w:sz="6" w:space="0" w:color="414142"/>
            </w:tcBorders>
            <w:vAlign w:val="center"/>
          </w:tcPr>
          <w:p w14:paraId="14B6068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2624865D"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62436F28"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500C3569"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7F69DBD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1B242AD1"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558B47B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5B4A8B92"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6B65E133"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0CC4596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6.</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63A76843"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w:t>
            </w:r>
          </w:p>
        </w:tc>
        <w:tc>
          <w:tcPr>
            <w:tcW w:w="369" w:type="pct"/>
            <w:tcBorders>
              <w:top w:val="outset" w:sz="6" w:space="0" w:color="414142"/>
              <w:left w:val="outset" w:sz="6" w:space="0" w:color="414142"/>
              <w:bottom w:val="outset" w:sz="6" w:space="0" w:color="414142"/>
              <w:right w:val="outset" w:sz="6" w:space="0" w:color="414142"/>
            </w:tcBorders>
            <w:vAlign w:val="center"/>
          </w:tcPr>
          <w:p w14:paraId="2857BEFD"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94" w:type="pct"/>
            <w:tcBorders>
              <w:top w:val="outset" w:sz="6" w:space="0" w:color="414142"/>
              <w:left w:val="outset" w:sz="6" w:space="0" w:color="414142"/>
              <w:bottom w:val="outset" w:sz="6" w:space="0" w:color="414142"/>
              <w:right w:val="outset" w:sz="6" w:space="0" w:color="414142"/>
            </w:tcBorders>
            <w:vAlign w:val="center"/>
          </w:tcPr>
          <w:p w14:paraId="4946B1EC"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3824858C"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6C242B64"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42A18BDF"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4A7FBD42"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218C5F4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212EDEA9"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1E20CD04"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48D2B2C4" w14:textId="77777777" w:rsidTr="00467B6A">
        <w:tc>
          <w:tcPr>
            <w:tcW w:w="428" w:type="pct"/>
            <w:tcBorders>
              <w:top w:val="outset" w:sz="6" w:space="0" w:color="414142"/>
              <w:left w:val="outset" w:sz="6" w:space="0" w:color="414142"/>
              <w:bottom w:val="outset" w:sz="6" w:space="0" w:color="414142"/>
              <w:right w:val="outset" w:sz="6" w:space="0" w:color="414142"/>
            </w:tcBorders>
            <w:vAlign w:val="center"/>
            <w:hideMark/>
          </w:tcPr>
          <w:p w14:paraId="3E7D5E0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w:t>
            </w:r>
          </w:p>
        </w:tc>
        <w:tc>
          <w:tcPr>
            <w:tcW w:w="879" w:type="pct"/>
            <w:tcBorders>
              <w:top w:val="outset" w:sz="6" w:space="0" w:color="414142"/>
              <w:left w:val="outset" w:sz="6" w:space="0" w:color="414142"/>
              <w:bottom w:val="outset" w:sz="6" w:space="0" w:color="414142"/>
              <w:right w:val="outset" w:sz="6" w:space="0" w:color="414142"/>
            </w:tcBorders>
            <w:vAlign w:val="center"/>
            <w:hideMark/>
          </w:tcPr>
          <w:p w14:paraId="6A8E3B1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w:t>
            </w:r>
          </w:p>
        </w:tc>
        <w:tc>
          <w:tcPr>
            <w:tcW w:w="369" w:type="pct"/>
            <w:tcBorders>
              <w:top w:val="outset" w:sz="6" w:space="0" w:color="414142"/>
              <w:left w:val="outset" w:sz="6" w:space="0" w:color="414142"/>
              <w:bottom w:val="outset" w:sz="6" w:space="0" w:color="414142"/>
              <w:right w:val="outset" w:sz="6" w:space="0" w:color="414142"/>
            </w:tcBorders>
            <w:vAlign w:val="center"/>
          </w:tcPr>
          <w:p w14:paraId="6D7DD2C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94" w:type="pct"/>
            <w:tcBorders>
              <w:top w:val="outset" w:sz="6" w:space="0" w:color="414142"/>
              <w:left w:val="outset" w:sz="6" w:space="0" w:color="414142"/>
              <w:bottom w:val="outset" w:sz="6" w:space="0" w:color="414142"/>
              <w:right w:val="outset" w:sz="6" w:space="0" w:color="414142"/>
            </w:tcBorders>
            <w:vAlign w:val="center"/>
          </w:tcPr>
          <w:p w14:paraId="0F0CB61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69" w:type="pct"/>
            <w:tcBorders>
              <w:top w:val="outset" w:sz="6" w:space="0" w:color="414142"/>
              <w:left w:val="outset" w:sz="6" w:space="0" w:color="414142"/>
              <w:bottom w:val="outset" w:sz="6" w:space="0" w:color="414142"/>
              <w:right w:val="outset" w:sz="6" w:space="0" w:color="414142"/>
            </w:tcBorders>
            <w:vAlign w:val="center"/>
          </w:tcPr>
          <w:p w14:paraId="75B2BCC3"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65008351"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88" w:type="pct"/>
            <w:tcBorders>
              <w:top w:val="outset" w:sz="6" w:space="0" w:color="414142"/>
              <w:left w:val="outset" w:sz="6" w:space="0" w:color="414142"/>
              <w:bottom w:val="outset" w:sz="6" w:space="0" w:color="414142"/>
              <w:right w:val="outset" w:sz="6" w:space="0" w:color="414142"/>
            </w:tcBorders>
            <w:vAlign w:val="center"/>
          </w:tcPr>
          <w:p w14:paraId="5FBAABA4"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17579E0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17563827"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outset" w:sz="6" w:space="0" w:color="414142"/>
              <w:left w:val="outset" w:sz="6" w:space="0" w:color="414142"/>
              <w:bottom w:val="outset" w:sz="6" w:space="0" w:color="414142"/>
              <w:right w:val="outset" w:sz="6" w:space="0" w:color="414142"/>
            </w:tcBorders>
            <w:vAlign w:val="center"/>
          </w:tcPr>
          <w:p w14:paraId="61B50031"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77D53156"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bl>
    <w:p w14:paraId="5620F33A"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1FD2BC"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 sub-divided by the merchant where necessary</w:t>
      </w:r>
    </w:p>
    <w:p w14:paraId="64E447E4"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A6EE9D" w14:textId="77777777" w:rsidR="00424616" w:rsidRPr="00424616" w:rsidRDefault="00424616" w:rsidP="00424616">
      <w:pPr>
        <w:shd w:val="clear" w:color="auto" w:fill="FFFFFF"/>
        <w:spacing w:after="0" w:line="240" w:lineRule="auto"/>
        <w:jc w:val="both"/>
        <w:rPr>
          <w:rFonts w:ascii="Times New Roman" w:hAnsi="Times New Roman"/>
          <w:b/>
          <w:noProof/>
          <w:sz w:val="24"/>
          <w:u w:val="single"/>
          <w:lang w:val="en-US"/>
        </w:rPr>
      </w:pPr>
      <w:r w:rsidRPr="00424616">
        <w:rPr>
          <w:rFonts w:ascii="Times New Roman" w:hAnsi="Times New Roman"/>
          <w:b/>
          <w:noProof/>
          <w:sz w:val="24"/>
          <w:lang w:val="en-US"/>
        </w:rPr>
        <w:t xml:space="preserve">B. </w:t>
      </w:r>
      <w:r w:rsidRPr="00424616">
        <w:rPr>
          <w:rFonts w:ascii="Times New Roman" w:hAnsi="Times New Roman"/>
          <w:b/>
          <w:noProof/>
          <w:sz w:val="24"/>
          <w:u w:val="single"/>
          <w:lang w:val="en-US"/>
        </w:rPr>
        <w:t>Information according to the methodology for the calculation of the deposit system participation fee issued by the Public Utilities Commission</w:t>
      </w:r>
    </w:p>
    <w:p w14:paraId="331CCF62" w14:textId="77777777" w:rsidR="00424616" w:rsidRPr="00424616" w:rsidRDefault="00424616" w:rsidP="00424616">
      <w:pPr>
        <w:shd w:val="clear" w:color="auto" w:fill="FFFFFF"/>
        <w:spacing w:after="0" w:line="240" w:lineRule="auto"/>
        <w:jc w:val="both"/>
        <w:rPr>
          <w:rFonts w:ascii="Times New Roman" w:hAnsi="Times New Roman"/>
          <w:b/>
          <w:noProof/>
          <w:sz w:val="24"/>
          <w:u w:val="single"/>
          <w:lang w:val="en-US"/>
        </w:rPr>
      </w:pPr>
    </w:p>
    <w:p w14:paraId="734CADFA" w14:textId="77777777" w:rsidR="00424616" w:rsidRPr="00424616" w:rsidRDefault="00424616" w:rsidP="00424616">
      <w:pPr>
        <w:shd w:val="clear" w:color="auto" w:fill="FFFFFF"/>
        <w:spacing w:after="0" w:line="240" w:lineRule="auto"/>
        <w:jc w:val="right"/>
        <w:rPr>
          <w:rFonts w:ascii="Times New Roman" w:hAnsi="Times New Roman"/>
          <w:b/>
          <w:noProof/>
          <w:sz w:val="24"/>
          <w:u w:val="single"/>
          <w:lang w:val="en-US"/>
        </w:rPr>
      </w:pPr>
      <w:r w:rsidRPr="00424616">
        <w:rPr>
          <w:rFonts w:ascii="Times New Roman" w:hAnsi="Times New Roman"/>
          <w:b/>
          <w:noProof/>
          <w:sz w:val="24"/>
          <w:u w:val="single"/>
          <w:lang w:val="en-US"/>
        </w:rPr>
        <w:t>Table 1</w:t>
      </w:r>
    </w:p>
    <w:p w14:paraId="5FBB45AE"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6D19C6"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u w:val="single"/>
          <w:vertAlign w:val="superscript"/>
          <w:lang w:val="en-US"/>
        </w:rPr>
      </w:pPr>
      <w:r w:rsidRPr="00424616">
        <w:rPr>
          <w:rFonts w:ascii="Times New Roman" w:hAnsi="Times New Roman"/>
          <w:b/>
          <w:noProof/>
          <w:sz w:val="24"/>
          <w:u w:val="single"/>
          <w:lang w:val="en-US"/>
        </w:rPr>
        <w:t>DATA OF THE REPORTING YEAR</w:t>
      </w:r>
      <w:r w:rsidRPr="00424616">
        <w:rPr>
          <w:rFonts w:ascii="Times New Roman" w:hAnsi="Times New Roman"/>
          <w:b/>
          <w:noProof/>
          <w:sz w:val="24"/>
          <w:u w:val="single"/>
          <w:vertAlign w:val="superscript"/>
          <w:lang w:val="en-US"/>
        </w:rPr>
        <w:t>[2]</w:t>
      </w:r>
    </w:p>
    <w:p w14:paraId="2A829A8C"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0"/>
        <w:gridCol w:w="1210"/>
        <w:gridCol w:w="1032"/>
        <w:gridCol w:w="1172"/>
        <w:gridCol w:w="556"/>
        <w:gridCol w:w="858"/>
        <w:gridCol w:w="502"/>
        <w:gridCol w:w="502"/>
        <w:gridCol w:w="481"/>
        <w:gridCol w:w="805"/>
        <w:gridCol w:w="848"/>
        <w:gridCol w:w="459"/>
      </w:tblGrid>
      <w:tr w:rsidR="00424616" w:rsidRPr="00424616" w14:paraId="6A0D552B" w14:textId="77777777" w:rsidTr="00467B6A">
        <w:tc>
          <w:tcPr>
            <w:tcW w:w="365" w:type="pct"/>
            <w:vMerge w:val="restart"/>
            <w:tcBorders>
              <w:top w:val="outset" w:sz="6" w:space="0" w:color="414142"/>
              <w:left w:val="outset" w:sz="6" w:space="0" w:color="414142"/>
              <w:bottom w:val="outset" w:sz="6" w:space="0" w:color="414142"/>
              <w:right w:val="outset" w:sz="6" w:space="0" w:color="414142"/>
            </w:tcBorders>
            <w:vAlign w:val="center"/>
            <w:hideMark/>
          </w:tcPr>
          <w:p w14:paraId="6F6FA9A0"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No.</w:t>
            </w:r>
          </w:p>
        </w:tc>
        <w:tc>
          <w:tcPr>
            <w:tcW w:w="843" w:type="pct"/>
            <w:vMerge w:val="restart"/>
            <w:tcBorders>
              <w:top w:val="outset" w:sz="6" w:space="0" w:color="414142"/>
              <w:left w:val="outset" w:sz="6" w:space="0" w:color="414142"/>
              <w:bottom w:val="outset" w:sz="6" w:space="0" w:color="414142"/>
              <w:right w:val="outset" w:sz="6" w:space="0" w:color="414142"/>
            </w:tcBorders>
            <w:vAlign w:val="center"/>
            <w:hideMark/>
          </w:tcPr>
          <w:p w14:paraId="29CB44E1"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Item</w:t>
            </w:r>
          </w:p>
        </w:tc>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761E38FD"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Designation</w:t>
            </w:r>
          </w:p>
        </w:tc>
        <w:tc>
          <w:tcPr>
            <w:tcW w:w="526" w:type="pct"/>
            <w:vMerge w:val="restart"/>
            <w:tcBorders>
              <w:top w:val="outset" w:sz="6" w:space="0" w:color="414142"/>
              <w:left w:val="outset" w:sz="6" w:space="0" w:color="414142"/>
              <w:bottom w:val="outset" w:sz="6" w:space="0" w:color="414142"/>
              <w:right w:val="outset" w:sz="6" w:space="0" w:color="414142"/>
            </w:tcBorders>
            <w:vAlign w:val="center"/>
            <w:hideMark/>
          </w:tcPr>
          <w:p w14:paraId="007D262B"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Unit of measurement</w:t>
            </w:r>
          </w:p>
        </w:tc>
        <w:tc>
          <w:tcPr>
            <w:tcW w:w="2867" w:type="pct"/>
            <w:gridSpan w:val="8"/>
            <w:tcBorders>
              <w:top w:val="outset" w:sz="6" w:space="0" w:color="414142"/>
              <w:left w:val="outset" w:sz="6" w:space="0" w:color="414142"/>
              <w:bottom w:val="outset" w:sz="6" w:space="0" w:color="414142"/>
              <w:right w:val="outset" w:sz="6" w:space="0" w:color="414142"/>
            </w:tcBorders>
            <w:vAlign w:val="center"/>
            <w:hideMark/>
          </w:tcPr>
          <w:p w14:paraId="5C2DF498"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Quantity, costs, and revenues of services in the reporting year</w:t>
            </w:r>
          </w:p>
        </w:tc>
      </w:tr>
      <w:tr w:rsidR="00424616" w:rsidRPr="00424616" w14:paraId="7842329F" w14:textId="77777777" w:rsidTr="00467B6A">
        <w:tc>
          <w:tcPr>
            <w:tcW w:w="365" w:type="pct"/>
            <w:vMerge/>
            <w:tcBorders>
              <w:top w:val="outset" w:sz="6" w:space="0" w:color="414142"/>
              <w:left w:val="outset" w:sz="6" w:space="0" w:color="414142"/>
              <w:bottom w:val="outset" w:sz="6" w:space="0" w:color="414142"/>
              <w:right w:val="outset" w:sz="6" w:space="0" w:color="414142"/>
            </w:tcBorders>
            <w:vAlign w:val="center"/>
            <w:hideMark/>
          </w:tcPr>
          <w:p w14:paraId="1C8931C8"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843" w:type="pct"/>
            <w:vMerge/>
            <w:tcBorders>
              <w:top w:val="outset" w:sz="6" w:space="0" w:color="414142"/>
              <w:left w:val="outset" w:sz="6" w:space="0" w:color="414142"/>
              <w:bottom w:val="outset" w:sz="6" w:space="0" w:color="414142"/>
              <w:right w:val="outset" w:sz="6" w:space="0" w:color="414142"/>
            </w:tcBorders>
            <w:vAlign w:val="center"/>
            <w:hideMark/>
          </w:tcPr>
          <w:p w14:paraId="5647935B"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12ECF1C3"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526" w:type="pct"/>
            <w:vMerge/>
            <w:tcBorders>
              <w:top w:val="outset" w:sz="6" w:space="0" w:color="414142"/>
              <w:left w:val="outset" w:sz="6" w:space="0" w:color="414142"/>
              <w:bottom w:val="outset" w:sz="6" w:space="0" w:color="414142"/>
              <w:right w:val="outset" w:sz="6" w:space="0" w:color="414142"/>
            </w:tcBorders>
            <w:vAlign w:val="center"/>
            <w:hideMark/>
          </w:tcPr>
          <w:p w14:paraId="2703884E"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1697" w:type="pct"/>
            <w:gridSpan w:val="5"/>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D90D03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Single-use deposit packaging</w:t>
            </w:r>
          </w:p>
        </w:tc>
        <w:tc>
          <w:tcPr>
            <w:tcW w:w="898" w:type="pct"/>
            <w:gridSpan w:val="2"/>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791549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Reusable glass</w:t>
            </w:r>
          </w:p>
        </w:tc>
        <w:tc>
          <w:tcPr>
            <w:tcW w:w="272" w:type="pct"/>
            <w:vMerge w:val="restar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D678ABD"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Total</w:t>
            </w:r>
          </w:p>
        </w:tc>
      </w:tr>
      <w:tr w:rsidR="00424616" w:rsidRPr="00424616" w14:paraId="511941D5" w14:textId="77777777" w:rsidTr="00467B6A">
        <w:tc>
          <w:tcPr>
            <w:tcW w:w="365" w:type="pct"/>
            <w:vMerge/>
            <w:tcBorders>
              <w:top w:val="outset" w:sz="6" w:space="0" w:color="414142"/>
              <w:left w:val="outset" w:sz="6" w:space="0" w:color="414142"/>
              <w:bottom w:val="outset" w:sz="6" w:space="0" w:color="414142"/>
              <w:right w:val="outset" w:sz="6" w:space="0" w:color="414142"/>
            </w:tcBorders>
            <w:vAlign w:val="center"/>
            <w:hideMark/>
          </w:tcPr>
          <w:p w14:paraId="1E9D0649"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843" w:type="pct"/>
            <w:vMerge/>
            <w:tcBorders>
              <w:top w:val="outset" w:sz="6" w:space="0" w:color="414142"/>
              <w:left w:val="outset" w:sz="6" w:space="0" w:color="414142"/>
              <w:bottom w:val="outset" w:sz="6" w:space="0" w:color="414142"/>
              <w:right w:val="outset" w:sz="6" w:space="0" w:color="414142"/>
            </w:tcBorders>
            <w:vAlign w:val="center"/>
            <w:hideMark/>
          </w:tcPr>
          <w:p w14:paraId="0906D033"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56DF869"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526" w:type="pct"/>
            <w:vMerge/>
            <w:tcBorders>
              <w:top w:val="outset" w:sz="6" w:space="0" w:color="414142"/>
              <w:left w:val="outset" w:sz="6" w:space="0" w:color="414142"/>
              <w:bottom w:val="outset" w:sz="6" w:space="0" w:color="414142"/>
              <w:right w:val="outset" w:sz="6" w:space="0" w:color="414142"/>
            </w:tcBorders>
            <w:vAlign w:val="center"/>
            <w:hideMark/>
          </w:tcPr>
          <w:p w14:paraId="46DFC3B6"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16408B8"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PET (clear)</w:t>
            </w: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5AF2807"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PET (coloured)</w:t>
            </w: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B9F5C5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Metal (AL)</w:t>
            </w: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BA5B671"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Metal (Fe)</w:t>
            </w: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F54E23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Glass</w:t>
            </w: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6785284"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Universal design</w:t>
            </w: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10284AC"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Individual design</w:t>
            </w:r>
          </w:p>
        </w:tc>
        <w:tc>
          <w:tcPr>
            <w:tcW w:w="272" w:type="pct"/>
            <w:vMerge/>
            <w:tcBorders>
              <w:top w:val="outset" w:sz="6" w:space="0" w:color="414142"/>
              <w:left w:val="outset" w:sz="6" w:space="0" w:color="414142"/>
              <w:bottom w:val="outset" w:sz="6" w:space="0" w:color="414142"/>
              <w:right w:val="outset" w:sz="6" w:space="0" w:color="414142"/>
            </w:tcBorders>
            <w:vAlign w:val="center"/>
            <w:hideMark/>
          </w:tcPr>
          <w:p w14:paraId="58A8718E"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61235ABD"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0FF673D"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1.</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1286759"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Managed quantity of deposit packaging in the reporting year</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611B98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Q</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106E44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070642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2BE859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2176A0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74CC5D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74EEE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A13EDB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994711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EC405E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4C075A4"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245CED1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C012CF5"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Number of units placed on the market</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42668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Q</w:t>
            </w:r>
            <w:r w:rsidRPr="00424616">
              <w:rPr>
                <w:rFonts w:ascii="Times New Roman" w:hAnsi="Times New Roman"/>
                <w:noProof/>
                <w:sz w:val="24"/>
                <w:vertAlign w:val="subscript"/>
                <w:lang w:val="en-US"/>
              </w:rPr>
              <w:t>ap</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072ABA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unit</w:t>
            </w:r>
          </w:p>
        </w:tc>
        <w:tc>
          <w:tcPr>
            <w:tcW w:w="425" w:type="pct"/>
            <w:tcBorders>
              <w:top w:val="outset" w:sz="6" w:space="0" w:color="414142"/>
              <w:left w:val="outset" w:sz="6" w:space="0" w:color="414142"/>
              <w:bottom w:val="outset" w:sz="6" w:space="0" w:color="414142"/>
              <w:right w:val="outset" w:sz="6" w:space="0" w:color="414142"/>
            </w:tcBorders>
            <w:vAlign w:val="center"/>
          </w:tcPr>
          <w:p w14:paraId="4A2F823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BA3C82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541963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02CC25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027DE3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484CBC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5899AE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B089EC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C3969DB"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066DC848"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CA9325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Number of units collected</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1FE338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Q</w:t>
            </w:r>
            <w:r w:rsidRPr="00424616">
              <w:rPr>
                <w:rFonts w:ascii="Times New Roman" w:hAnsi="Times New Roman"/>
                <w:noProof/>
                <w:sz w:val="24"/>
                <w:vertAlign w:val="subscript"/>
                <w:lang w:val="en-US"/>
              </w:rPr>
              <w:t>sav</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00C047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unit</w:t>
            </w:r>
          </w:p>
        </w:tc>
        <w:tc>
          <w:tcPr>
            <w:tcW w:w="425" w:type="pct"/>
            <w:tcBorders>
              <w:top w:val="outset" w:sz="6" w:space="0" w:color="414142"/>
              <w:left w:val="outset" w:sz="6" w:space="0" w:color="414142"/>
              <w:bottom w:val="outset" w:sz="6" w:space="0" w:color="414142"/>
              <w:right w:val="outset" w:sz="6" w:space="0" w:color="414142"/>
            </w:tcBorders>
            <w:vAlign w:val="center"/>
          </w:tcPr>
          <w:p w14:paraId="7814CA3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09F3A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79B322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7DFCF3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01C808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07B092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B1A84F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36BDE3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13BA18F"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619ECA0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3B955B9"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Return rate of deposit packaging (1.2./1.1.)</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81A524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4D25C5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425" w:type="pct"/>
            <w:tcBorders>
              <w:top w:val="outset" w:sz="6" w:space="0" w:color="414142"/>
              <w:left w:val="outset" w:sz="6" w:space="0" w:color="414142"/>
              <w:bottom w:val="outset" w:sz="6" w:space="0" w:color="414142"/>
              <w:right w:val="outset" w:sz="6" w:space="0" w:color="414142"/>
            </w:tcBorders>
            <w:vAlign w:val="center"/>
          </w:tcPr>
          <w:p w14:paraId="552DF99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FCD946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CC2751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B12554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95F97D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350A2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76452E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ECD9E3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ABF88E3"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7B1D545"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2.</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C4FAE9A"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accepting and collecting of deposit packaging (variable costs)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7EA3193"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main</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E7C8FF9"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BAC067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18005B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76880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F25A03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181363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5092DE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C32B58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06C031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C333DFD"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10F325C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AFD682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the deposit packaging management fee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690D19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apsaimn</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CC49320"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C4CF83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FDBE5D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20C82D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503DB2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FFC373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9DF697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ADCBE8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186673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DFE9D77"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04DE00E9"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2.1.1.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3D590A2"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Automated acceptance point</w:t>
            </w:r>
          </w:p>
        </w:tc>
        <w:tc>
          <w:tcPr>
            <w:tcW w:w="399" w:type="pct"/>
            <w:tcBorders>
              <w:top w:val="outset" w:sz="6" w:space="0" w:color="414142"/>
              <w:left w:val="outset" w:sz="6" w:space="0" w:color="414142"/>
              <w:bottom w:val="outset" w:sz="6" w:space="0" w:color="414142"/>
              <w:right w:val="outset" w:sz="6" w:space="0" w:color="414142"/>
            </w:tcBorders>
            <w:vAlign w:val="center"/>
          </w:tcPr>
          <w:p w14:paraId="431A743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tcPr>
          <w:p w14:paraId="68E921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52C625B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6A1709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A69108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BAC8D7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5BC20C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D42CA4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6582C3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FA5FD9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2476DCF"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BEBB1C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2.1.1.1.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C0FE713"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compressed packaging</w:t>
            </w:r>
          </w:p>
        </w:tc>
        <w:tc>
          <w:tcPr>
            <w:tcW w:w="399" w:type="pct"/>
            <w:tcBorders>
              <w:top w:val="outset" w:sz="6" w:space="0" w:color="414142"/>
              <w:left w:val="outset" w:sz="6" w:space="0" w:color="414142"/>
              <w:bottom w:val="outset" w:sz="6" w:space="0" w:color="414142"/>
              <w:right w:val="outset" w:sz="6" w:space="0" w:color="414142"/>
            </w:tcBorders>
            <w:vAlign w:val="center"/>
          </w:tcPr>
          <w:p w14:paraId="79209E3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tcPr>
          <w:p w14:paraId="736192E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014E286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E70A19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1F474E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A358CB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364DD1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F82231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E8A05C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00C488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4092B63"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194C875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2.1.1.2.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7F04EE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uncompressed packaging</w:t>
            </w:r>
          </w:p>
        </w:tc>
        <w:tc>
          <w:tcPr>
            <w:tcW w:w="399" w:type="pct"/>
            <w:tcBorders>
              <w:top w:val="outset" w:sz="6" w:space="0" w:color="414142"/>
              <w:left w:val="outset" w:sz="6" w:space="0" w:color="414142"/>
              <w:bottom w:val="outset" w:sz="6" w:space="0" w:color="414142"/>
              <w:right w:val="outset" w:sz="6" w:space="0" w:color="414142"/>
            </w:tcBorders>
            <w:vAlign w:val="center"/>
          </w:tcPr>
          <w:p w14:paraId="4910906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tcPr>
          <w:p w14:paraId="1B814D2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4A79F42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4397BF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F8E00B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5BEE88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7EBD17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CCFD29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BCFD20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EBA818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3FA0BB2F"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6ED21FBF"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2.1.2.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E18D7BA"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Manual acceptance point</w:t>
            </w:r>
          </w:p>
        </w:tc>
        <w:tc>
          <w:tcPr>
            <w:tcW w:w="399" w:type="pct"/>
            <w:tcBorders>
              <w:top w:val="outset" w:sz="6" w:space="0" w:color="414142"/>
              <w:left w:val="outset" w:sz="6" w:space="0" w:color="414142"/>
              <w:bottom w:val="outset" w:sz="6" w:space="0" w:color="414142"/>
              <w:right w:val="outset" w:sz="6" w:space="0" w:color="414142"/>
            </w:tcBorders>
            <w:vAlign w:val="center"/>
          </w:tcPr>
          <w:p w14:paraId="6A18BF6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tcPr>
          <w:p w14:paraId="5274B60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627806E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1AEB0E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5C4681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ADA886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CAFEB4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3E0DE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4C69B1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237BED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C163BC0"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1439D0B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907EF3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renting reverse vending machines for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071E84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noma</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CE9B673"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2D0949D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863BFA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5BC937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E71B9E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BF5E1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2D065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FD260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4CEC98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30A91281"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5BFF0A51"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23BAFE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collection and logistics of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6D7E8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sav</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405A0F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26FE04F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A10752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46A5C3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F5F78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C922EE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F1E954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1352CA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A2F38F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7ED0DF2"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6137B03C"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2.4.</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070D1AD"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packaging materials and equipment for storage and collection of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328B88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iepak</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C3D1033" w14:textId="77777777" w:rsidR="00424616" w:rsidRPr="00424616" w:rsidRDefault="00424616" w:rsidP="00467B6A">
            <w:pPr>
              <w:keepNext/>
              <w:keepLines/>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DA37507"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2CD7B2B"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FFACA21"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32945F5"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16D861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1BF1CF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5BC822E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7F0B218"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C7FF75E"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C3CE4D7"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3.</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723E37A"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economic activity of ensuring the deposit system (fixed costs)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6DA6ADC"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fiks</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4421B7E"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72572A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2ABA41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DC2EE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A3C179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E62217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5A9FCB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551AEE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9AFE8B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FBA25E4"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5441BC25"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8DBBFF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reverse vending machines for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1604F7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6D5F921"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9C3197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CB5BA9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2C3CEB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CDEA54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477DB0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51B736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9268BD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6D04A2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3D134E9"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034C869B"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9D49591"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Costs of depreciation of fixed assets and 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5B7AAA6D"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nol.aut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BE904C6"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568C5F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F80859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092471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6BE885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68127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3D7440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459D1D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04D3939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56ADD16"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BE7A590"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3.1.1.1.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0C753C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Depreciation of fixed assets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9E540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AE82E1C"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383DF08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B41CE7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699F65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B8BEB9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1D9584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A1D12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18628A7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76694E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1A3628F"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7FB0668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3.1.1.2.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D5B1161"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9B68E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B7D240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ADC833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8A2272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FC3CA2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52FC1C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429567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0E7F4F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5DAD95B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755CCE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B536FAD"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5408E635"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4746C6C"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Repair and maintenance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1705E07"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rem.aut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ED3F082"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3BE8D6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042C0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BDF7E1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7F4E37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8C62A8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55AA45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16028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0ED514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A9DF932"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5AF00EBF"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3.1.3.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672997E"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Rent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5774407"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noma.aut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B797E6F"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3EF4438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BCED49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8BEF3E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09EFA1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DEC5DA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FD0C23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6B7212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A7EB97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06FF2D7"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96DF3D1"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3.2.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A2F6E0C"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depreciation of fixed assets of the centre for sorting, accounting, and preparation for recycling and recovery of deposit packaging and costs of 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89D8306"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nol</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DB84DA7" w14:textId="77777777" w:rsidR="00424616" w:rsidRPr="00424616" w:rsidRDefault="00424616" w:rsidP="00467B6A">
            <w:pPr>
              <w:keepNext/>
              <w:keepLines/>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287DCA7"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128DC78"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79EAD5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D6D33A8"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1638553"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1FEC46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5C26C6D"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EC681D7"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67E20E4"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1C404DC"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3.2.1.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7FB5533"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Depreciation of fixed assets, including: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00040DF"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nol.pam</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4C57F7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7B77A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4D705E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80A954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90CE81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F31398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E7A166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CBAB6D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204A01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18E171A"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3FC0ADC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3.2.1.1.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DD8B60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buildings, structures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5DCB8CC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4E543AD"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A622E5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397DDE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4289FC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586DD0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1DB1F4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E4CB62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FF590B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ABDE1D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EC0E11D"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03190F0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3.2.1.2.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363079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equipment, machinery</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927099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29A7DF9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283A6A3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640AAF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8EA807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74ED03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5967AF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8F7226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BF0964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7C0E93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FB7E090"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7888FD75"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3.2.1.3.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A706F4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66B02A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251185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C203F8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4C325AD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2D49FE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20870E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8DF7ED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112F2B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EF6888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2DFD33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72DFDDB"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C2EFBDB"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3.2.2.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180F107"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AAB65AC"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nol.nem</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C683FF0"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669CCD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3E3B78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205BAF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0E39E8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7449AD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DF5447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5501D3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D7E73D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2DFEC97"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5A7087B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A14149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Credit interest payments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5F66777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kr</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900DF5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3184529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C62146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9B54BD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B2B7F8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EC9152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33D0CD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823BE7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E4E09E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3171972"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138443B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3.4.</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42745E8"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Staff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1B1C17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pers</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1B584A40"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2525466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20BB7E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69A55B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9D6DD3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2F1665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1F0E06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0DD37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1AD5EB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7A026B2"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08382680"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3.4.1.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D29A82E"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Work remuneration</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225E8F0"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36645AF"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58C263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CA2C51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B6F53A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8E8064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845B3E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512694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E5E690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06F09C1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6AF5570"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35F9516F"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3.4.2.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8B5CFD7"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Social insurance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1F32DA5"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92AD1CE"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ABFB4E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78B354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287528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C75392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81DF3D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020872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AEE9DC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F28436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6028E07"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0F6D5CF1"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3.5.</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1934651"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ensuring the technological processes for sorting, accounting, and preparation for recycling and recovery of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9FD772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tehn</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BD1ECF6" w14:textId="77777777" w:rsidR="00424616" w:rsidRPr="00424616" w:rsidRDefault="00424616" w:rsidP="00467B6A">
            <w:pPr>
              <w:keepNext/>
              <w:keepLines/>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F7C7D9F"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5EC17F2"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D5FA149"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8BB6FD2"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9BDA056"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ABCBCEF"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5A917C8"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3023045"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3769BA7"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B0F568B"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3.5.1.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677EE96"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Repair and maintenance of vehicles and equipment</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6208AD08"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1E3031F"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CFB6F5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4EC17F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060D6D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E1DF99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EFC5A9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22C211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1FDEE6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5AEF19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8111DDB"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783E03D2"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3.5.2.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E258B4B"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Maintenance of buildings and structures, rent, utility services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15DADC4"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1DFF2E0"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775377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6DDCF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66DFE9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4CDDF1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8F3902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2ED0CB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B0CBFC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3275C6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3562D0B"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3B3421C"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3.5.3.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EFC0736"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Transporting of deposit packaging to the recycling and recovery site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5AD70B2"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9C91A7B"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1309B4E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66DE20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085E8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C2D112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7F8273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60624B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4BBDE0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6422A1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E32A1C8"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3C0AD3A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3.6.</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667045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administration which are not included in other cost items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91E407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adm</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89B09C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ED362F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E87D29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BA64A7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584654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32DC2F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D9D285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1225F2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EAA816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3E17E67"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7775684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3.7.</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E2F022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public outreach</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C72643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izgl</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B7B67EC"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84EAF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DB6BC9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66DDBF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F9CC7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CA5517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D3290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7E061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5F6B09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A535A6D"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3CBAFE53"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3.8.</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CBB85E0"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10BC66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c</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BC74A23"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774102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A9BC61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50B1CB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65AB4A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0D1991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3EB4EE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53E4F8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27CD71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ACB17FB"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AC0EAB9"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4.</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5F9C752"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Fees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A608867"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nd</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45DBBAD"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AF590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9BBF27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A52CE1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5B883E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2A7DB1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C8D4D2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3D5FA2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2E9B4D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96EF691"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C63F8C2"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5.</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24B1EFF"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Taxes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6F0BB0F"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nod</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C44FE8D"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DE6385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40D637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0AE774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022692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32819B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4704B8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30ECBD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9AEFEB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98B6860"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0F60027"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lastRenderedPageBreak/>
              <w:t>6.</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870AC17"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Actual costs of ensuring the deposit system in the reporting year (2+3+4+5)</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586B29D" w14:textId="77777777" w:rsidR="00424616" w:rsidRPr="00424616" w:rsidRDefault="00424616" w:rsidP="00467B6A">
            <w:pPr>
              <w:keepNext/>
              <w:keepLines/>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B7F1D15" w14:textId="77777777" w:rsidR="00424616" w:rsidRPr="00424616" w:rsidRDefault="00424616" w:rsidP="00467B6A">
            <w:pPr>
              <w:keepNext/>
              <w:keepLines/>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68B859F"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191FA2D"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8379340"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718BE50"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B49E883"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D69E78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2E4A660"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8CF736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C660BC9"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42FED90"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7.</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DB97A1E"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Revenues in Accordance with Paragraph 9 of the Methodology (7.1.-7.2.+7.3.+7.4.)</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F8E8B58"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Ien</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A847C85"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7A9D41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939F45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F5F3E6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3E950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8B5C3F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02C7B2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57C800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4473FC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D98C583"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41DEDFB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E39EE3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Revenues from unredeemed deposit fee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F7563D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dep</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583119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047487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9B4D3C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92E4B0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FFFE53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7093AE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824CA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666D41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1E371F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03C4AD6"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08DDFAD3"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6EC280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Adjustment of market obligations value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6CC850E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dep.kor</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BD5CA1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33B702D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EF5B3B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2FBA49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AE5B7B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9C54A7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0C75C9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B36F5F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687BBC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CDCC5D8"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540FE9C1"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1876E41"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Revenues from sale of deposit packaging prepared for recycling and recovery</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39D5E9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pard</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743DDA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19AC6C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9C79C5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9C5F2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9E3AF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EDFAF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65C63B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16B4A3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C0BD44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4E5EB5D"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6C9EE61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7.4.</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6ED7BC9"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 revenues related to the service of ensuring the deposit system</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FB2A4D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c</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36B79C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D2B392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E3B9A8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FA40A5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32D17D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3F7D54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5BE576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22C6E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D86BBF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5E29D5D"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3833990"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lastRenderedPageBreak/>
              <w:t>8.</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C43F692"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deposit system participation fee in the reporting year (6-7)</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6570DCA" w14:textId="77777777" w:rsidR="00424616" w:rsidRPr="00424616" w:rsidRDefault="00424616" w:rsidP="00467B6A">
            <w:pPr>
              <w:keepNext/>
              <w:keepLines/>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dal</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4B8D48E" w14:textId="77777777" w:rsidR="00424616" w:rsidRPr="00424616" w:rsidRDefault="00424616" w:rsidP="00467B6A">
            <w:pPr>
              <w:keepNext/>
              <w:keepLines/>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1BEFAB8"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6A521F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815A2C7"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1128B28"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F712F5B"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432AE3F"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75367D9"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5C3DC2D"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3BA1ADA"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71BBCBA7"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9.</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C80C1D3"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Profitability of turnover</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29894B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28F15B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3641CFE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5D18C0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2F61B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67D420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E5AAE4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7DBD7C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7F25AF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79895D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6220626"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65A4CF5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9.1.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EB26A7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Profitability rate (0 %)</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DABED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r</w:t>
            </w:r>
            <w:r w:rsidRPr="00424616">
              <w:rPr>
                <w:rFonts w:ascii="Times New Roman" w:hAnsi="Times New Roman"/>
                <w:noProof/>
                <w:sz w:val="24"/>
                <w:vertAlign w:val="subscript"/>
                <w:lang w:val="en-US"/>
              </w:rPr>
              <w:t>kred</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7D20B6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425" w:type="pct"/>
            <w:tcBorders>
              <w:top w:val="outset" w:sz="6" w:space="0" w:color="414142"/>
              <w:left w:val="outset" w:sz="6" w:space="0" w:color="414142"/>
              <w:bottom w:val="outset" w:sz="6" w:space="0" w:color="414142"/>
              <w:right w:val="outset" w:sz="6" w:space="0" w:color="414142"/>
            </w:tcBorders>
            <w:vAlign w:val="center"/>
          </w:tcPr>
          <w:p w14:paraId="000B9A5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82D29D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7A9F67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E611BE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E78639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B92005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B24951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0578CB7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D6350E4"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62528D9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9.2.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40E8CA9"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Profit (8×9.1)</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D36E8B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P</w:t>
            </w:r>
            <w:r w:rsidRPr="00424616">
              <w:rPr>
                <w:rFonts w:ascii="Times New Roman" w:hAnsi="Times New Roman"/>
                <w:noProof/>
                <w:sz w:val="24"/>
                <w:vertAlign w:val="subscript"/>
                <w:lang w:val="en-US"/>
              </w:rPr>
              <w:t>rent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E8A8C9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440946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6C8B51C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7CCDEB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987E3F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D419FB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99954F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A5E9DE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ADD0DB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72B38F9"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622EB89"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10.</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4B29CCC"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Actual revenues from the deposit system participation fee in a reporting year*</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335F029"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rent</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74B3B9F"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C3B1DB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2F02FA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361E83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E16AD8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70BBDD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87F3BD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426C93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F0252B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40AC012"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30359F25"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4271D7E"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Adjustment for the financial outcome of actual economic activity in the previous period**</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BA3367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Kor</w:t>
            </w:r>
            <w:r w:rsidRPr="00424616">
              <w:rPr>
                <w:rFonts w:ascii="Times New Roman" w:hAnsi="Times New Roman"/>
                <w:noProof/>
                <w:sz w:val="24"/>
                <w:vertAlign w:val="subscript"/>
                <w:lang w:val="en-US"/>
              </w:rPr>
              <w:t>rez</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F6CC52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0AD427D0"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319" w:type="pct"/>
            <w:tcBorders>
              <w:top w:val="outset" w:sz="6" w:space="0" w:color="414142"/>
              <w:left w:val="outset" w:sz="6" w:space="0" w:color="414142"/>
              <w:bottom w:val="outset" w:sz="6" w:space="0" w:color="414142"/>
              <w:right w:val="outset" w:sz="6" w:space="0" w:color="414142"/>
            </w:tcBorders>
            <w:vAlign w:val="center"/>
            <w:hideMark/>
          </w:tcPr>
          <w:p w14:paraId="0808045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369B7D2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061C610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284" w:type="pct"/>
            <w:tcBorders>
              <w:top w:val="outset" w:sz="6" w:space="0" w:color="414142"/>
              <w:left w:val="outset" w:sz="6" w:space="0" w:color="414142"/>
              <w:bottom w:val="outset" w:sz="6" w:space="0" w:color="414142"/>
              <w:right w:val="outset" w:sz="6" w:space="0" w:color="414142"/>
            </w:tcBorders>
            <w:vAlign w:val="center"/>
            <w:hideMark/>
          </w:tcPr>
          <w:p w14:paraId="09C36E64"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296E96D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382" w:type="pct"/>
            <w:tcBorders>
              <w:top w:val="outset" w:sz="6" w:space="0" w:color="414142"/>
              <w:left w:val="outset" w:sz="6" w:space="0" w:color="414142"/>
              <w:bottom w:val="outset" w:sz="6" w:space="0" w:color="414142"/>
              <w:right w:val="outset" w:sz="6" w:space="0" w:color="414142"/>
            </w:tcBorders>
            <w:vAlign w:val="center"/>
            <w:hideMark/>
          </w:tcPr>
          <w:p w14:paraId="129CBB60"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272" w:type="pct"/>
            <w:tcBorders>
              <w:top w:val="outset" w:sz="6" w:space="0" w:color="414142"/>
              <w:left w:val="outset" w:sz="6" w:space="0" w:color="414142"/>
              <w:bottom w:val="outset" w:sz="6" w:space="0" w:color="414142"/>
              <w:right w:val="outset" w:sz="6" w:space="0" w:color="414142"/>
            </w:tcBorders>
            <w:vAlign w:val="center"/>
            <w:hideMark/>
          </w:tcPr>
          <w:p w14:paraId="21CD177C"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r>
      <w:tr w:rsidR="00424616" w:rsidRPr="00424616" w14:paraId="32B2C45D" w14:textId="77777777" w:rsidTr="00467B6A">
        <w:tc>
          <w:tcPr>
            <w:tcW w:w="365" w:type="pct"/>
            <w:tcBorders>
              <w:top w:val="outset" w:sz="6" w:space="0" w:color="414142"/>
              <w:left w:val="outset" w:sz="6" w:space="0" w:color="414142"/>
              <w:bottom w:val="outset" w:sz="6" w:space="0" w:color="414142"/>
              <w:right w:val="outset" w:sz="6" w:space="0" w:color="414142"/>
            </w:tcBorders>
            <w:vAlign w:val="center"/>
            <w:hideMark/>
          </w:tcPr>
          <w:p w14:paraId="3B774C1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AAE776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Financial outcome of economic activity in the reporting year (10-8)</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2287A7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Rez</w:t>
            </w:r>
            <w:r w:rsidRPr="00424616">
              <w:rPr>
                <w:rFonts w:ascii="Times New Roman" w:hAnsi="Times New Roman"/>
                <w:noProof/>
                <w:sz w:val="24"/>
                <w:vertAlign w:val="subscript"/>
                <w:lang w:val="en-US"/>
              </w:rPr>
              <w:t>fakt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25EF40AF"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691536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039DB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69A4D1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88CACC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7CBEE2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57D4FE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36F07B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586E2A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D0BAAD0"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F24027F"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lastRenderedPageBreak/>
              <w:t>13.</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3808C63"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deposit system participation fee according to the economic activity in the reporting year (=8)</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596B265" w14:textId="77777777" w:rsidR="00424616" w:rsidRPr="00424616" w:rsidRDefault="00424616" w:rsidP="00467B6A">
            <w:pPr>
              <w:keepNext/>
              <w:keepLines/>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dalkor</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1468D0F" w14:textId="77777777" w:rsidR="00424616" w:rsidRPr="00424616" w:rsidRDefault="00424616" w:rsidP="00467B6A">
            <w:pPr>
              <w:keepNext/>
              <w:keepLines/>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A9E2D0D"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13312D5"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F663750"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F64F245"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EAF24C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02376E2"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B948E99"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D2F5CE5"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AF55B93" w14:textId="77777777" w:rsidTr="00467B6A">
        <w:tc>
          <w:tcPr>
            <w:tcW w:w="36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3A4BD82"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14.</w:t>
            </w:r>
          </w:p>
        </w:tc>
        <w:tc>
          <w:tcPr>
            <w:tcW w:w="84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2071D29"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Deposit system participation fee according to the economic activity in the reporting year (13/1.1)</w:t>
            </w:r>
          </w:p>
        </w:tc>
        <w:tc>
          <w:tcPr>
            <w:tcW w:w="39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5F68E2E"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M</w:t>
            </w:r>
            <w:r w:rsidRPr="00424616">
              <w:rPr>
                <w:rFonts w:ascii="Times New Roman" w:hAnsi="Times New Roman"/>
                <w:b/>
                <w:noProof/>
                <w:sz w:val="24"/>
                <w:vertAlign w:val="subscript"/>
                <w:lang w:val="en-US"/>
              </w:rPr>
              <w:t>dal</w:t>
            </w:r>
          </w:p>
        </w:tc>
        <w:tc>
          <w:tcPr>
            <w:tcW w:w="52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EB93DD8"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EUR/unit</w:t>
            </w:r>
          </w:p>
        </w:tc>
        <w:tc>
          <w:tcPr>
            <w:tcW w:w="425"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23867E1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799FB3C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7EC0FCC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4CAE920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6025A6E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1F80F63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3173417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2DA3AB7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bl>
    <w:p w14:paraId="31C71FD2"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1C9A39"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 must match Item 1 of Part A, Revenues from the deposit system participation fee</w:t>
      </w:r>
    </w:p>
    <w:p w14:paraId="47555BDE"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 shall not be calculated (included only in the relevant item of Table 2)</w:t>
      </w:r>
    </w:p>
    <w:p w14:paraId="30B2215A"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B63B09" w14:textId="77777777" w:rsidR="00424616" w:rsidRPr="00424616" w:rsidRDefault="00424616" w:rsidP="00424616">
      <w:pPr>
        <w:shd w:val="clear" w:color="auto" w:fill="FFFFFF"/>
        <w:spacing w:after="0" w:line="240" w:lineRule="auto"/>
        <w:jc w:val="right"/>
        <w:rPr>
          <w:rFonts w:ascii="Times New Roman" w:hAnsi="Times New Roman"/>
          <w:b/>
          <w:noProof/>
          <w:sz w:val="24"/>
          <w:u w:val="single"/>
          <w:lang w:val="en-US"/>
        </w:rPr>
      </w:pPr>
      <w:r w:rsidRPr="00424616">
        <w:rPr>
          <w:rFonts w:ascii="Times New Roman" w:hAnsi="Times New Roman"/>
          <w:b/>
          <w:noProof/>
          <w:sz w:val="24"/>
          <w:u w:val="single"/>
          <w:lang w:val="en-US"/>
        </w:rPr>
        <w:t>Table 2</w:t>
      </w:r>
    </w:p>
    <w:p w14:paraId="36038ABB"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EE0632"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u w:val="single"/>
          <w:vertAlign w:val="superscript"/>
          <w:lang w:val="en-US"/>
        </w:rPr>
      </w:pPr>
      <w:r w:rsidRPr="00424616">
        <w:rPr>
          <w:rFonts w:ascii="Times New Roman" w:hAnsi="Times New Roman"/>
          <w:b/>
          <w:noProof/>
          <w:sz w:val="24"/>
          <w:u w:val="single"/>
          <w:lang w:val="en-US"/>
        </w:rPr>
        <w:t>DATA INCLUDED IN THE CALCULATION OF THE EFFECTIVE PARTICIPATION FEE</w:t>
      </w:r>
      <w:r w:rsidRPr="00424616">
        <w:rPr>
          <w:rFonts w:ascii="Times New Roman" w:hAnsi="Times New Roman"/>
          <w:b/>
          <w:noProof/>
          <w:sz w:val="24"/>
          <w:u w:val="single"/>
          <w:vertAlign w:val="superscript"/>
          <w:lang w:val="en-US"/>
        </w:rPr>
        <w:t>[2]</w:t>
      </w:r>
    </w:p>
    <w:p w14:paraId="067072FA"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0"/>
        <w:gridCol w:w="1210"/>
        <w:gridCol w:w="1032"/>
        <w:gridCol w:w="1172"/>
        <w:gridCol w:w="556"/>
        <w:gridCol w:w="858"/>
        <w:gridCol w:w="502"/>
        <w:gridCol w:w="502"/>
        <w:gridCol w:w="481"/>
        <w:gridCol w:w="805"/>
        <w:gridCol w:w="848"/>
        <w:gridCol w:w="459"/>
      </w:tblGrid>
      <w:tr w:rsidR="00424616" w:rsidRPr="00424616" w14:paraId="059F471D" w14:textId="77777777" w:rsidTr="00467B6A">
        <w:trPr>
          <w:jc w:val="center"/>
        </w:trPr>
        <w:tc>
          <w:tcPr>
            <w:tcW w:w="365" w:type="pct"/>
            <w:vMerge w:val="restart"/>
            <w:tcBorders>
              <w:top w:val="outset" w:sz="6" w:space="0" w:color="414142"/>
              <w:left w:val="outset" w:sz="6" w:space="0" w:color="414142"/>
              <w:bottom w:val="outset" w:sz="6" w:space="0" w:color="414142"/>
              <w:right w:val="outset" w:sz="6" w:space="0" w:color="414142"/>
            </w:tcBorders>
            <w:vAlign w:val="center"/>
            <w:hideMark/>
          </w:tcPr>
          <w:p w14:paraId="22F786E3"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No.</w:t>
            </w:r>
          </w:p>
        </w:tc>
        <w:tc>
          <w:tcPr>
            <w:tcW w:w="843" w:type="pct"/>
            <w:vMerge w:val="restart"/>
            <w:tcBorders>
              <w:top w:val="outset" w:sz="6" w:space="0" w:color="414142"/>
              <w:left w:val="outset" w:sz="6" w:space="0" w:color="414142"/>
              <w:bottom w:val="outset" w:sz="6" w:space="0" w:color="414142"/>
              <w:right w:val="outset" w:sz="6" w:space="0" w:color="414142"/>
            </w:tcBorders>
            <w:vAlign w:val="center"/>
            <w:hideMark/>
          </w:tcPr>
          <w:p w14:paraId="0CFE706F"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Item</w:t>
            </w:r>
          </w:p>
        </w:tc>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182C0E1F"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Designation</w:t>
            </w:r>
          </w:p>
        </w:tc>
        <w:tc>
          <w:tcPr>
            <w:tcW w:w="526" w:type="pct"/>
            <w:vMerge w:val="restart"/>
            <w:tcBorders>
              <w:top w:val="outset" w:sz="6" w:space="0" w:color="414142"/>
              <w:left w:val="outset" w:sz="6" w:space="0" w:color="414142"/>
              <w:bottom w:val="outset" w:sz="6" w:space="0" w:color="414142"/>
              <w:right w:val="outset" w:sz="6" w:space="0" w:color="414142"/>
            </w:tcBorders>
            <w:vAlign w:val="center"/>
            <w:hideMark/>
          </w:tcPr>
          <w:p w14:paraId="6D266CC9"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Unit of measurement</w:t>
            </w:r>
          </w:p>
        </w:tc>
        <w:tc>
          <w:tcPr>
            <w:tcW w:w="2867" w:type="pct"/>
            <w:gridSpan w:val="8"/>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6285DB1"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Calculation of draft fee</w:t>
            </w:r>
          </w:p>
        </w:tc>
      </w:tr>
      <w:tr w:rsidR="00424616" w:rsidRPr="00424616" w14:paraId="5181E7B1" w14:textId="77777777" w:rsidTr="00467B6A">
        <w:trPr>
          <w:jc w:val="center"/>
        </w:trPr>
        <w:tc>
          <w:tcPr>
            <w:tcW w:w="365" w:type="pct"/>
            <w:vMerge/>
            <w:tcBorders>
              <w:top w:val="outset" w:sz="6" w:space="0" w:color="414142"/>
              <w:left w:val="outset" w:sz="6" w:space="0" w:color="414142"/>
              <w:bottom w:val="outset" w:sz="6" w:space="0" w:color="414142"/>
              <w:right w:val="outset" w:sz="6" w:space="0" w:color="414142"/>
            </w:tcBorders>
            <w:vAlign w:val="center"/>
            <w:hideMark/>
          </w:tcPr>
          <w:p w14:paraId="4A77E818"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843" w:type="pct"/>
            <w:vMerge/>
            <w:tcBorders>
              <w:top w:val="outset" w:sz="6" w:space="0" w:color="414142"/>
              <w:left w:val="outset" w:sz="6" w:space="0" w:color="414142"/>
              <w:bottom w:val="outset" w:sz="6" w:space="0" w:color="414142"/>
              <w:right w:val="outset" w:sz="6" w:space="0" w:color="414142"/>
            </w:tcBorders>
            <w:vAlign w:val="center"/>
            <w:hideMark/>
          </w:tcPr>
          <w:p w14:paraId="750FC246"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89CE44C"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526" w:type="pct"/>
            <w:vMerge/>
            <w:tcBorders>
              <w:top w:val="outset" w:sz="6" w:space="0" w:color="414142"/>
              <w:left w:val="outset" w:sz="6" w:space="0" w:color="414142"/>
              <w:bottom w:val="outset" w:sz="6" w:space="0" w:color="414142"/>
              <w:right w:val="outset" w:sz="6" w:space="0" w:color="414142"/>
            </w:tcBorders>
            <w:vAlign w:val="center"/>
            <w:hideMark/>
          </w:tcPr>
          <w:p w14:paraId="35EF34F7"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1697" w:type="pct"/>
            <w:gridSpan w:val="5"/>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4CFBD3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Single-use deposit packaging</w:t>
            </w:r>
          </w:p>
        </w:tc>
        <w:tc>
          <w:tcPr>
            <w:tcW w:w="898" w:type="pct"/>
            <w:gridSpan w:val="2"/>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09B1737"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Reusable glass</w:t>
            </w:r>
          </w:p>
        </w:tc>
        <w:tc>
          <w:tcPr>
            <w:tcW w:w="272" w:type="pct"/>
            <w:vMerge w:val="restar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8D654D8"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Total</w:t>
            </w:r>
          </w:p>
        </w:tc>
      </w:tr>
      <w:tr w:rsidR="00424616" w:rsidRPr="00424616" w14:paraId="0F3C54D2" w14:textId="77777777" w:rsidTr="00467B6A">
        <w:trPr>
          <w:jc w:val="center"/>
        </w:trPr>
        <w:tc>
          <w:tcPr>
            <w:tcW w:w="365" w:type="pct"/>
            <w:vMerge/>
            <w:tcBorders>
              <w:top w:val="outset" w:sz="6" w:space="0" w:color="414142"/>
              <w:left w:val="outset" w:sz="6" w:space="0" w:color="414142"/>
              <w:bottom w:val="outset" w:sz="6" w:space="0" w:color="414142"/>
              <w:right w:val="outset" w:sz="6" w:space="0" w:color="414142"/>
            </w:tcBorders>
            <w:vAlign w:val="center"/>
            <w:hideMark/>
          </w:tcPr>
          <w:p w14:paraId="7FA249A3"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843" w:type="pct"/>
            <w:vMerge/>
            <w:tcBorders>
              <w:top w:val="outset" w:sz="6" w:space="0" w:color="414142"/>
              <w:left w:val="outset" w:sz="6" w:space="0" w:color="414142"/>
              <w:bottom w:val="outset" w:sz="6" w:space="0" w:color="414142"/>
              <w:right w:val="outset" w:sz="6" w:space="0" w:color="414142"/>
            </w:tcBorders>
            <w:vAlign w:val="center"/>
            <w:hideMark/>
          </w:tcPr>
          <w:p w14:paraId="0FEFF857"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416DA7B"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526" w:type="pct"/>
            <w:vMerge/>
            <w:tcBorders>
              <w:top w:val="outset" w:sz="6" w:space="0" w:color="414142"/>
              <w:left w:val="outset" w:sz="6" w:space="0" w:color="414142"/>
              <w:bottom w:val="outset" w:sz="6" w:space="0" w:color="414142"/>
              <w:right w:val="outset" w:sz="6" w:space="0" w:color="414142"/>
            </w:tcBorders>
            <w:vAlign w:val="center"/>
            <w:hideMark/>
          </w:tcPr>
          <w:p w14:paraId="7BC84EFC"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E8B237D"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PET (clear)</w:t>
            </w: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ADD5BAF"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PET (coloured)</w:t>
            </w: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9132A48"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Metal (AL)</w:t>
            </w: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F49E09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Metal (Fe)</w:t>
            </w: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03A429F"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Glass</w:t>
            </w: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61A9CF6"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Universal design</w:t>
            </w: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60462FC"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Individual design</w:t>
            </w:r>
          </w:p>
        </w:tc>
        <w:tc>
          <w:tcPr>
            <w:tcW w:w="272" w:type="pct"/>
            <w:vMerge/>
            <w:tcBorders>
              <w:top w:val="outset" w:sz="6" w:space="0" w:color="414142"/>
              <w:left w:val="outset" w:sz="6" w:space="0" w:color="414142"/>
              <w:bottom w:val="outset" w:sz="6" w:space="0" w:color="414142"/>
              <w:right w:val="outset" w:sz="6" w:space="0" w:color="414142"/>
            </w:tcBorders>
            <w:vAlign w:val="center"/>
            <w:hideMark/>
          </w:tcPr>
          <w:p w14:paraId="71561A50"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380BBCB3"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88EA32E"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1.</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316D99A"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Managed quantity of deposit packaging in the current year</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EA6C423"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Q</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EBF285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67C53B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AA4B52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BC7589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99E592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ACEB46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6ECF7E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BEFB3E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5D6AF3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9D7CD7B"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552E6F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8732D3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Number of units placed on the market</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59AFD5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Q</w:t>
            </w:r>
            <w:r w:rsidRPr="00424616">
              <w:rPr>
                <w:rFonts w:ascii="Times New Roman" w:hAnsi="Times New Roman"/>
                <w:noProof/>
                <w:sz w:val="24"/>
                <w:vertAlign w:val="subscript"/>
                <w:lang w:val="en-US"/>
              </w:rPr>
              <w:t>ap</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25F4A77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unit</w:t>
            </w:r>
          </w:p>
        </w:tc>
        <w:tc>
          <w:tcPr>
            <w:tcW w:w="425" w:type="pct"/>
            <w:tcBorders>
              <w:top w:val="outset" w:sz="6" w:space="0" w:color="414142"/>
              <w:left w:val="outset" w:sz="6" w:space="0" w:color="414142"/>
              <w:bottom w:val="outset" w:sz="6" w:space="0" w:color="414142"/>
              <w:right w:val="outset" w:sz="6" w:space="0" w:color="414142"/>
            </w:tcBorders>
            <w:vAlign w:val="center"/>
          </w:tcPr>
          <w:p w14:paraId="35C9BCC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75AEB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618510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DE8A8F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1A80E5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73BC37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5AC5FF6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8E4BA9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CB8EB34"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66F2ED9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0913763"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Number of units collected</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E0684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Q</w:t>
            </w:r>
            <w:r w:rsidRPr="00424616">
              <w:rPr>
                <w:rFonts w:ascii="Times New Roman" w:hAnsi="Times New Roman"/>
                <w:noProof/>
                <w:sz w:val="24"/>
                <w:vertAlign w:val="subscript"/>
                <w:lang w:val="en-US"/>
              </w:rPr>
              <w:t>sav</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B1C5456"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unit</w:t>
            </w:r>
          </w:p>
        </w:tc>
        <w:tc>
          <w:tcPr>
            <w:tcW w:w="425" w:type="pct"/>
            <w:tcBorders>
              <w:top w:val="outset" w:sz="6" w:space="0" w:color="414142"/>
              <w:left w:val="outset" w:sz="6" w:space="0" w:color="414142"/>
              <w:bottom w:val="outset" w:sz="6" w:space="0" w:color="414142"/>
              <w:right w:val="outset" w:sz="6" w:space="0" w:color="414142"/>
            </w:tcBorders>
            <w:vAlign w:val="center"/>
          </w:tcPr>
          <w:p w14:paraId="18DC344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2CE0A6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5726C0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1A8565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20507B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606F07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34318E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01E7D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F541CC5"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6D23FEA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8EC776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Return rate of deposit packaging (1.2./1.1.)</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2AD69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11ACD83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425" w:type="pct"/>
            <w:tcBorders>
              <w:top w:val="outset" w:sz="6" w:space="0" w:color="414142"/>
              <w:left w:val="outset" w:sz="6" w:space="0" w:color="414142"/>
              <w:bottom w:val="outset" w:sz="6" w:space="0" w:color="414142"/>
              <w:right w:val="outset" w:sz="6" w:space="0" w:color="414142"/>
            </w:tcBorders>
            <w:vAlign w:val="center"/>
          </w:tcPr>
          <w:p w14:paraId="2EEF360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9F997E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744F9B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C2DC7C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3565B1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2F1388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B117AB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89D8DC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F9F64DD"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8E0B4D7"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2.</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F867EF0"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accepting and collecting of deposit packaging (variable costs)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5C08712"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main</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60A74C2"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A2E31A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933EB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7E03AD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03D3F6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8B6971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FCFB94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F04BEB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415B3C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9C211D3"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0ED3E4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87A7138"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the deposit packaging management fee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C566C3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apsaimn</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A82C2B6"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3574B18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8CC94F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B7A9AC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991554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78093F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AB8BC5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C1E91D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BCD30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6EDA223"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4532930F"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2.1.1.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0408442"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Automated acceptance point</w:t>
            </w:r>
          </w:p>
        </w:tc>
        <w:tc>
          <w:tcPr>
            <w:tcW w:w="399" w:type="pct"/>
            <w:tcBorders>
              <w:top w:val="outset" w:sz="6" w:space="0" w:color="414142"/>
              <w:left w:val="outset" w:sz="6" w:space="0" w:color="414142"/>
              <w:bottom w:val="outset" w:sz="6" w:space="0" w:color="414142"/>
              <w:right w:val="outset" w:sz="6" w:space="0" w:color="414142"/>
            </w:tcBorders>
            <w:vAlign w:val="center"/>
          </w:tcPr>
          <w:p w14:paraId="061EC1B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4F9D52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F7427C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62767A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0C0EB8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41977A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010566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DCF765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AFB1DD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0EB5FE6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376963F"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5720810"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2.1.1.1.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2ABFE4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compressed packaging</w:t>
            </w:r>
          </w:p>
        </w:tc>
        <w:tc>
          <w:tcPr>
            <w:tcW w:w="399" w:type="pct"/>
            <w:tcBorders>
              <w:top w:val="outset" w:sz="6" w:space="0" w:color="414142"/>
              <w:left w:val="outset" w:sz="6" w:space="0" w:color="414142"/>
              <w:bottom w:val="outset" w:sz="6" w:space="0" w:color="414142"/>
              <w:right w:val="outset" w:sz="6" w:space="0" w:color="414142"/>
            </w:tcBorders>
            <w:vAlign w:val="center"/>
          </w:tcPr>
          <w:p w14:paraId="2B474AB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90AA65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89C89E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8647B5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1DD0A4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7DF424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AFF198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7841C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1234F2D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45607D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E3EC669"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76EC701"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2.1.1.2.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FD53C38"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uncompressed packaging</w:t>
            </w:r>
          </w:p>
        </w:tc>
        <w:tc>
          <w:tcPr>
            <w:tcW w:w="399" w:type="pct"/>
            <w:tcBorders>
              <w:top w:val="outset" w:sz="6" w:space="0" w:color="414142"/>
              <w:left w:val="outset" w:sz="6" w:space="0" w:color="414142"/>
              <w:bottom w:val="outset" w:sz="6" w:space="0" w:color="414142"/>
              <w:right w:val="outset" w:sz="6" w:space="0" w:color="414142"/>
            </w:tcBorders>
            <w:vAlign w:val="center"/>
          </w:tcPr>
          <w:p w14:paraId="2273F56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59B4291"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055AB1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1905E5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A807ED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E8F816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2654C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323688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06F2DF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443F5F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36E8B09E"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294E9C43"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2.1.2.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7CD8251"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Manual acceptance point</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20D3E4F"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11C3138"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19906F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6ADE2F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7E9DE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1F85FE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084103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56DD12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0FDF5E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9D04B6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D9AE9C9"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7CC5D5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6260D7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renting reverse vending machines for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CDFDB9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noma</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2F8C4C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CA2606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C596C9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DA8C66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ECF876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A8A402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4CCDC6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22F73F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17FC44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F36B1CE"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2B078AC1"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2.3.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B62D39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collection and logistics of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95B707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sav</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3F74D31"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1592C4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504E46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7BB353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3F620B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45268E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88FE80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3C5E4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9E2DC9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354EEA57"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404FF0FF"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2.4.</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5DD3336"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packaging materials and equipment for storage and collection of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20290E3"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iepak</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77D0804" w14:textId="77777777" w:rsidR="00424616" w:rsidRPr="00424616" w:rsidRDefault="00424616" w:rsidP="00467B6A">
            <w:pPr>
              <w:keepNext/>
              <w:keepLines/>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2A95A17"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65F21FF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4C1FBA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0E0588F"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9B261C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B5EFF6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6796EB6"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B98F07D"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71A7563"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F80DA0F"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3.</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D3A2BBD"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economic activity of ensuring the deposit system (fixed costs)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BACFE00"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fiks</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6992814"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CA37E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73AC7A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50A492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6A638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1D97CA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F8FB58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73327D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08B9D3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3624B1D"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D1611D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2B8016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reverse vending machines for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81B5BE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CA23A2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269D1C8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45CD37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82872D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2C96A9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40B9C5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C7A96B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5F5D3B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2C7BB1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D873D5D"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6CE84983"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659065A"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Costs of depreciation of fixed assets and 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0556391"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nol.aut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26D98659"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203C1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6525010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7A6773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8375C0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ED17DF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5DA19E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B20EDD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952189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2BC1416"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7849FC10"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3.1.1.1.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957E59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Depreciation of fixed assets</w:t>
            </w:r>
          </w:p>
        </w:tc>
        <w:tc>
          <w:tcPr>
            <w:tcW w:w="399" w:type="pct"/>
            <w:tcBorders>
              <w:top w:val="outset" w:sz="6" w:space="0" w:color="414142"/>
              <w:left w:val="outset" w:sz="6" w:space="0" w:color="414142"/>
              <w:bottom w:val="outset" w:sz="6" w:space="0" w:color="414142"/>
              <w:right w:val="outset" w:sz="6" w:space="0" w:color="414142"/>
            </w:tcBorders>
            <w:vAlign w:val="center"/>
          </w:tcPr>
          <w:p w14:paraId="4C0F2A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CE4BC08"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E0E7DE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D0128F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08E47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D5BDD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8539CE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AB6EAB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6581D9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D73136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46AFA3D"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445B565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3.1.1.2.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F0C83A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tcPr>
          <w:p w14:paraId="1E245A8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3B2401D"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18528C8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1E5D16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89F961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D4DCE3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CEDEAD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E578E3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FF8298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E5DED7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B9E2DA7"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770EEF77"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305AB5C"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Repair and maintenance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5B8B971A"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rem.aut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1530A082"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58A497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530EA1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09247D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6DB76E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C6E17D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694B63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21E6D0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448E5A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80A3D01"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E4A232E"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3.1.3.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D346871"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Rent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E976A86"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noma.aut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11DE8EB8"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2215DC0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BA687F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EBB6BB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71F586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88ECE2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988195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5420B8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1C0445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16DD824"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BD33E2F"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3.2.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2055D6D"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depreciation of fixed assets of the centre for sorting, accounting, and preparation for recycling and recovery of deposit packaging and costs of 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2DDFBF6"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nol</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917CC47" w14:textId="77777777" w:rsidR="00424616" w:rsidRPr="00424616" w:rsidRDefault="00424616" w:rsidP="00467B6A">
            <w:pPr>
              <w:keepNext/>
              <w:keepLines/>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104BDA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DED4F51"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408BC7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E337D4B"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85A9271"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5B0DDF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D40B35B"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62DADB5"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E5BEE38"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E099952"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3.2.1.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14BBA21"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Depreciation of fixed assets, including: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1304793"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nol.pam</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436A61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F8EE2C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79FA48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277583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77EE30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9D9841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8ACC4A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700851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9FEC86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30AAD496"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47CE8E0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3.2.1.1.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A2C229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buildings, structures</w:t>
            </w:r>
          </w:p>
        </w:tc>
        <w:tc>
          <w:tcPr>
            <w:tcW w:w="399" w:type="pct"/>
            <w:tcBorders>
              <w:top w:val="outset" w:sz="6" w:space="0" w:color="414142"/>
              <w:left w:val="outset" w:sz="6" w:space="0" w:color="414142"/>
              <w:bottom w:val="outset" w:sz="6" w:space="0" w:color="414142"/>
              <w:right w:val="outset" w:sz="6" w:space="0" w:color="414142"/>
            </w:tcBorders>
            <w:vAlign w:val="center"/>
          </w:tcPr>
          <w:p w14:paraId="6A372E6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1FD014F"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2281B4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7AA412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991C23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7D4A46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3B3D6F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54A898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178A40E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DE7CCD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4BAED4C7"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24AA4EF8"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3.2.1.2.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4A436B8"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equipment, machinery</w:t>
            </w:r>
          </w:p>
        </w:tc>
        <w:tc>
          <w:tcPr>
            <w:tcW w:w="399" w:type="pct"/>
            <w:tcBorders>
              <w:top w:val="outset" w:sz="6" w:space="0" w:color="414142"/>
              <w:left w:val="outset" w:sz="6" w:space="0" w:color="414142"/>
              <w:bottom w:val="outset" w:sz="6" w:space="0" w:color="414142"/>
              <w:right w:val="outset" w:sz="6" w:space="0" w:color="414142"/>
            </w:tcBorders>
            <w:vAlign w:val="center"/>
          </w:tcPr>
          <w:p w14:paraId="1AD3F44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04F33E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98775F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CC57C6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F41E53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E0437F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2E4D52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FD216C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9BFBEE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C0CA1F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CDFA7F6"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0D25B1C9"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3.2.1.3.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A22172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w:t>
            </w:r>
          </w:p>
        </w:tc>
        <w:tc>
          <w:tcPr>
            <w:tcW w:w="399" w:type="pct"/>
            <w:tcBorders>
              <w:top w:val="outset" w:sz="6" w:space="0" w:color="414142"/>
              <w:left w:val="outset" w:sz="6" w:space="0" w:color="414142"/>
              <w:bottom w:val="outset" w:sz="6" w:space="0" w:color="414142"/>
              <w:right w:val="outset" w:sz="6" w:space="0" w:color="414142"/>
            </w:tcBorders>
            <w:vAlign w:val="center"/>
          </w:tcPr>
          <w:p w14:paraId="08E00B2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161920C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5D0C2A7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6C5265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45BAF2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C5BD1E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98F3C4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707D7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12F221D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E09110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BF267E5"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5B3B87F8"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3.2.2.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5DC1BD3"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Write-off of the value of intangible investments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8242241"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rPr>
            </w:pPr>
            <w:r w:rsidRPr="00424616">
              <w:rPr>
                <w:rFonts w:ascii="Times New Roman" w:hAnsi="Times New Roman"/>
                <w:i/>
                <w:noProof/>
                <w:sz w:val="24"/>
                <w:lang w:val="en-US"/>
              </w:rPr>
              <w:t>I</w:t>
            </w:r>
            <w:r w:rsidRPr="00424616">
              <w:rPr>
                <w:rFonts w:ascii="Times New Roman" w:hAnsi="Times New Roman"/>
                <w:i/>
                <w:noProof/>
                <w:sz w:val="24"/>
                <w:vertAlign w:val="subscript"/>
                <w:lang w:val="en-US"/>
              </w:rPr>
              <w:t>nol.nem</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D42DEB8"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967212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46F5C4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F3440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28EC82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AA156C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A8B35F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9A2002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6EC8D3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CA7DD6F"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D88B22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026723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Credit interest payments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DF91D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kr</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58FCB993"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2681F1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F7D4AF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4B098A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5DD12B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D24AED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354EB5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1BD6268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0190D7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7986A99"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EE6AAF1"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3.4.</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238A6B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Staff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25FD33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pers</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71374CB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1879B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A52D6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70265D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208DAF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8C51FF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D68A96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733726A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5D215B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587974A"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7D3E23E1"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3.4.1.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3F366B3"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Work remuneration</w:t>
            </w:r>
          </w:p>
        </w:tc>
        <w:tc>
          <w:tcPr>
            <w:tcW w:w="399" w:type="pct"/>
            <w:tcBorders>
              <w:top w:val="outset" w:sz="6" w:space="0" w:color="414142"/>
              <w:left w:val="outset" w:sz="6" w:space="0" w:color="414142"/>
              <w:bottom w:val="outset" w:sz="6" w:space="0" w:color="414142"/>
              <w:right w:val="outset" w:sz="6" w:space="0" w:color="414142"/>
            </w:tcBorders>
            <w:vAlign w:val="center"/>
          </w:tcPr>
          <w:p w14:paraId="3BB7B386"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116EF4FF"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8B9A1E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4849E1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EB0BDC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D6D5FB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7FD18C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3ACD12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7E0A1D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4FAE1C7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5D2975C"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DC3CE59"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3.4.2.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BCFE559"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Social insurance costs</w:t>
            </w:r>
          </w:p>
        </w:tc>
        <w:tc>
          <w:tcPr>
            <w:tcW w:w="399" w:type="pct"/>
            <w:tcBorders>
              <w:top w:val="outset" w:sz="6" w:space="0" w:color="414142"/>
              <w:left w:val="outset" w:sz="6" w:space="0" w:color="414142"/>
              <w:bottom w:val="outset" w:sz="6" w:space="0" w:color="414142"/>
              <w:right w:val="outset" w:sz="6" w:space="0" w:color="414142"/>
            </w:tcBorders>
            <w:vAlign w:val="center"/>
          </w:tcPr>
          <w:p w14:paraId="719E904C"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B12B54F"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7C281B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BF770F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EB4CC7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91558F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3038E4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A75B4E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0AAA31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D3E9B2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8FD723C"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4B0571D3"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3.5.</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AEC777B" w14:textId="77777777" w:rsidR="00424616" w:rsidRPr="00424616" w:rsidRDefault="00424616" w:rsidP="00467B6A">
            <w:pPr>
              <w:keepNext/>
              <w:keepLines/>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ensuring the technological processes for sorting, accounting, and preparation for recycling and recovery of deposit packaging</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CB07CA1"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tehn</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29AA0940" w14:textId="77777777" w:rsidR="00424616" w:rsidRPr="00424616" w:rsidRDefault="00424616" w:rsidP="00467B6A">
            <w:pPr>
              <w:keepNext/>
              <w:keepLines/>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B31B124"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C65AA90"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34D3327"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3B014A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515B21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C5F2C79"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A39F64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CAAA15F"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ECF6558"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E142E88"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3.5.1.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749DCDE"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Repair and maintenance of vehicles and equipment</w:t>
            </w:r>
          </w:p>
        </w:tc>
        <w:tc>
          <w:tcPr>
            <w:tcW w:w="399" w:type="pct"/>
            <w:tcBorders>
              <w:top w:val="outset" w:sz="6" w:space="0" w:color="414142"/>
              <w:left w:val="outset" w:sz="6" w:space="0" w:color="414142"/>
              <w:bottom w:val="outset" w:sz="6" w:space="0" w:color="414142"/>
              <w:right w:val="outset" w:sz="6" w:space="0" w:color="414142"/>
            </w:tcBorders>
            <w:vAlign w:val="center"/>
          </w:tcPr>
          <w:p w14:paraId="37AAF2BC"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42EF814"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8EFF2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783DC7C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52579C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9BD9D8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A516D4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0DB2FB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53C1516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A5D77F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EF7F187"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656FA00E"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3.5.2.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65C370B"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Maintenance of buildings and structures, rent, utility services</w:t>
            </w:r>
          </w:p>
        </w:tc>
        <w:tc>
          <w:tcPr>
            <w:tcW w:w="399" w:type="pct"/>
            <w:tcBorders>
              <w:top w:val="outset" w:sz="6" w:space="0" w:color="414142"/>
              <w:left w:val="outset" w:sz="6" w:space="0" w:color="414142"/>
              <w:bottom w:val="outset" w:sz="6" w:space="0" w:color="414142"/>
              <w:right w:val="outset" w:sz="6" w:space="0" w:color="414142"/>
            </w:tcBorders>
            <w:vAlign w:val="center"/>
          </w:tcPr>
          <w:p w14:paraId="1AB86170"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2E7EC142"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FC8C3F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64129D0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91F7F5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8643BD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85872C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44384E0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F16478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54C39A0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5FC7174"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8F9A7BA"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3.5.3.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CA462C2" w14:textId="77777777" w:rsidR="00424616" w:rsidRPr="00424616" w:rsidRDefault="00424616" w:rsidP="00467B6A">
            <w:pPr>
              <w:spacing w:after="0" w:line="240" w:lineRule="auto"/>
              <w:jc w:val="both"/>
              <w:rPr>
                <w:rFonts w:ascii="Times New Roman" w:hAnsi="Times New Roman"/>
                <w:i/>
                <w:noProof/>
                <w:sz w:val="24"/>
                <w:lang w:val="en-US"/>
              </w:rPr>
            </w:pPr>
            <w:r w:rsidRPr="00424616">
              <w:rPr>
                <w:rFonts w:ascii="Times New Roman" w:hAnsi="Times New Roman"/>
                <w:i/>
                <w:noProof/>
                <w:sz w:val="24"/>
                <w:lang w:val="en-US"/>
              </w:rPr>
              <w:t>Transporting of deposit packaging to the recycling and recovery site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96DA4AA" w14:textId="77777777" w:rsidR="00424616" w:rsidRPr="00424616" w:rsidRDefault="00424616" w:rsidP="00467B6A">
            <w:pPr>
              <w:spacing w:after="0" w:line="240" w:lineRule="auto"/>
              <w:jc w:val="center"/>
              <w:rPr>
                <w:rFonts w:ascii="Times New Roman" w:eastAsia="Times New Roman" w:hAnsi="Times New Roman" w:cs="Times New Roman"/>
                <w:i/>
                <w:iCs/>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E52CEB8" w14:textId="77777777" w:rsidR="00424616" w:rsidRPr="00424616" w:rsidRDefault="00424616" w:rsidP="00467B6A">
            <w:pPr>
              <w:spacing w:after="0" w:line="240" w:lineRule="auto"/>
              <w:jc w:val="center"/>
              <w:rPr>
                <w:rFonts w:ascii="Times New Roman" w:hAnsi="Times New Roman"/>
                <w:i/>
                <w:noProof/>
                <w:sz w:val="24"/>
                <w:lang w:val="en-US"/>
              </w:rPr>
            </w:pPr>
            <w:r w:rsidRPr="00424616">
              <w:rPr>
                <w:rFonts w:ascii="Times New Roman" w:hAnsi="Times New Roman"/>
                <w:i/>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9D1553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6EBE057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AE4061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8CA56D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571DEE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C802BB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C1ACEE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B7F195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2907153"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50994E60"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3.6.</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4608D8C"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administration which are not included in other cost items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722F11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adm</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2874F1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1BF2733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F39AAA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2543AE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463B9C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0DA102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58AAAFB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723C98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22F66BC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50FF6E6"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5A586F6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3.7.</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DB735C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Costs of public outreach</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89738A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izgl</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C6580A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0D05C85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1E439B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B87794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744511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2E6BC7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8D8D9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20BADE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051C2DA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7E55E6A"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707F94DE"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3.8.</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97EF524"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 costs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68F66E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w:t>
            </w:r>
            <w:r w:rsidRPr="00424616">
              <w:rPr>
                <w:rFonts w:ascii="Times New Roman" w:hAnsi="Times New Roman"/>
                <w:noProof/>
                <w:sz w:val="24"/>
                <w:vertAlign w:val="subscript"/>
                <w:lang w:val="en-US"/>
              </w:rPr>
              <w:t>c</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66AA8CC"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4DA528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069CFCA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F94826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F5C9CE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EFC868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8C130B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5676061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08D469A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713BAE9"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563FE4C"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4.</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81F71C4"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Fees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95C42F9"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nd</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3820AF8"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EEBB4F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38B598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3F56C8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9522A2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028C8B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7A9733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AB6EC0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689FF4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94A192C"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AF64E64"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5.</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62A32B0"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Taxes</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BE7540A"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nod</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48FF620"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1E1F21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410DBE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5D129A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43895E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9DAD63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B59EBE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3BAEB0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4D7790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F7F58E6"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AB45F7C"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lastRenderedPageBreak/>
              <w:t>6.</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4C00239" w14:textId="77777777" w:rsidR="00424616" w:rsidRPr="00424616" w:rsidRDefault="00424616" w:rsidP="00467B6A">
            <w:pPr>
              <w:keepNext/>
              <w:keepLines/>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necessary for ensuring the deposit system (2+3+4+5)</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52206F1" w14:textId="77777777" w:rsidR="00424616" w:rsidRPr="00424616" w:rsidRDefault="00424616" w:rsidP="00467B6A">
            <w:pPr>
              <w:keepNext/>
              <w:keepLines/>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5713B46" w14:textId="77777777" w:rsidR="00424616" w:rsidRPr="00424616" w:rsidRDefault="00424616" w:rsidP="00467B6A">
            <w:pPr>
              <w:keepNext/>
              <w:keepLines/>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3FB993D"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6328476"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B1091C2"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5B4B915"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12D5357"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2E2FC0F"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8ECA1EB"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90C7F60"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7C4DD6C"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3822CEC"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7.</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4022A81"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Revenues in Accordance with Paragraph 9 of the Methodology (7.1.-7.2.+7.3.+7.4.)</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2258FBA"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Ien</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6078599"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99D0CC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9012CF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D26589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322864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E864CA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1385E7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A8DD2D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DDECF5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CDA89AA"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566F6780"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AE28FAA"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Revenues from unredeemed deposit fee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30AE316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dep</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25A9B1DB"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A18E0F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77A7B3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0D56B4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68095F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E073B5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767D55E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156116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DE59D9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F470512"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6DFE4E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65D107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Adjustment of market obligations value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B4E697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dep.kor</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A3012AF"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149762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2A4680F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DCDA88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5C7B42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95776D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B75F55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4750B92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7EDCFF9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A8C5BE3"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629A780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AFC75F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Revenues from sale of deposit packaging prepared for recycling and recovery</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2459BF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pard</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637DC891"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6B84617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09B85D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96B70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9CEDE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027FD6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931D40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279FE87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CA4D50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232ED53C"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15ADC2B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7.4.</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614E47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Other revenues related to the service of ensuring the deposit system</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A8D833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Ien</w:t>
            </w:r>
            <w:r w:rsidRPr="00424616">
              <w:rPr>
                <w:rFonts w:ascii="Times New Roman" w:hAnsi="Times New Roman"/>
                <w:noProof/>
                <w:sz w:val="24"/>
                <w:vertAlign w:val="subscript"/>
                <w:lang w:val="en-US"/>
              </w:rPr>
              <w:t>c</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11EFDAF5"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39AF93C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FC57B5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61A3D2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67A80A7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4A6F55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041DD5B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079D2E5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4079D6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28A439A"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6B71D96"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8.</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9F6E593"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deposit system participation fee (6-7)</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FD20954"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dal</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7BC9595"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8C36C9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C28BEA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228087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4DA267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00327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41626B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0D8E30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B8B1AA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00444E12"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0D5010A3"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9.</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39AFEB4"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Profitability of turnover</w:t>
            </w:r>
          </w:p>
        </w:tc>
        <w:tc>
          <w:tcPr>
            <w:tcW w:w="399" w:type="pct"/>
            <w:tcBorders>
              <w:top w:val="outset" w:sz="6" w:space="0" w:color="414142"/>
              <w:left w:val="outset" w:sz="6" w:space="0" w:color="414142"/>
              <w:bottom w:val="outset" w:sz="6" w:space="0" w:color="414142"/>
              <w:right w:val="outset" w:sz="6" w:space="0" w:color="414142"/>
            </w:tcBorders>
            <w:vAlign w:val="center"/>
          </w:tcPr>
          <w:p w14:paraId="7C2A26C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26" w:type="pct"/>
            <w:tcBorders>
              <w:top w:val="outset" w:sz="6" w:space="0" w:color="414142"/>
              <w:left w:val="outset" w:sz="6" w:space="0" w:color="414142"/>
              <w:bottom w:val="outset" w:sz="6" w:space="0" w:color="414142"/>
              <w:right w:val="outset" w:sz="6" w:space="0" w:color="414142"/>
            </w:tcBorders>
            <w:vAlign w:val="center"/>
          </w:tcPr>
          <w:p w14:paraId="781EAAA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4B86E84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18A74A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7AA7B6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24D93A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526816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14013E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249696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55E5DE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6C904AB"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5773A709"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lastRenderedPageBreak/>
              <w:t>9.1.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ADBDB5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Profitability rate</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2F7A5D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r</w:t>
            </w:r>
            <w:r w:rsidRPr="00424616">
              <w:rPr>
                <w:rFonts w:ascii="Times New Roman" w:hAnsi="Times New Roman"/>
                <w:noProof/>
                <w:sz w:val="24"/>
                <w:vertAlign w:val="subscript"/>
                <w:lang w:val="en-US"/>
              </w:rPr>
              <w:t>kred</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044F3614"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w:t>
            </w:r>
          </w:p>
        </w:tc>
        <w:tc>
          <w:tcPr>
            <w:tcW w:w="425" w:type="pct"/>
            <w:tcBorders>
              <w:top w:val="outset" w:sz="6" w:space="0" w:color="414142"/>
              <w:left w:val="outset" w:sz="6" w:space="0" w:color="414142"/>
              <w:bottom w:val="outset" w:sz="6" w:space="0" w:color="414142"/>
              <w:right w:val="outset" w:sz="6" w:space="0" w:color="414142"/>
            </w:tcBorders>
            <w:vAlign w:val="center"/>
          </w:tcPr>
          <w:p w14:paraId="6DDA45A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69AEEDD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76E7006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706A10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45CFD2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2E67EEE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444B69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B1E5C5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50092F41"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38C4DB27"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9.2.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318487F"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Profit (8×9.1)</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05A22E7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P</w:t>
            </w:r>
            <w:r w:rsidRPr="00424616">
              <w:rPr>
                <w:rFonts w:ascii="Times New Roman" w:hAnsi="Times New Roman"/>
                <w:noProof/>
                <w:sz w:val="24"/>
                <w:vertAlign w:val="subscript"/>
                <w:lang w:val="en-US"/>
              </w:rPr>
              <w:t>rent</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9DD6EA9"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7EEB24A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1DEA24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3A745EF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D6C9F7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B2F9C9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1C96EAF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64C1538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67AF6D8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7D971009"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B66A356"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10.</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B94E218"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deposit system participation fee with profitability (8+9.2)</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9B2BA57"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rent</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8A36CC0"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08FF71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E06F23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B86FF0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4F34BB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4ADB6C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74ABD3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949287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6A330E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6D9384F4"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274F237B"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11.</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210E30D"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Adjustment for the financial outcome of actual economic activity in the previous period**</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7CE33A7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Kor</w:t>
            </w:r>
            <w:r w:rsidRPr="00424616">
              <w:rPr>
                <w:rFonts w:ascii="Times New Roman" w:hAnsi="Times New Roman"/>
                <w:noProof/>
                <w:sz w:val="24"/>
                <w:vertAlign w:val="subscript"/>
                <w:lang w:val="en-US"/>
              </w:rPr>
              <w:t>rez</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447ECA2"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64DDC3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340704C0"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C4E058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2835F1D8"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88BA5F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606BAF6D"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1E35E49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148FD96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3578BBDF"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vAlign w:val="center"/>
            <w:hideMark/>
          </w:tcPr>
          <w:p w14:paraId="4F606440"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12.</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FF2BC66"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Financial outcome of planned economic activities in the current year (9.2-11)</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5E32640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rPr>
            </w:pPr>
            <w:r w:rsidRPr="00424616">
              <w:rPr>
                <w:rFonts w:ascii="Times New Roman" w:hAnsi="Times New Roman"/>
                <w:noProof/>
                <w:sz w:val="24"/>
                <w:lang w:val="en-US"/>
              </w:rPr>
              <w:t>Rez</w:t>
            </w:r>
            <w:r w:rsidRPr="00424616">
              <w:rPr>
                <w:rFonts w:ascii="Times New Roman" w:hAnsi="Times New Roman"/>
                <w:noProof/>
                <w:sz w:val="24"/>
                <w:vertAlign w:val="subscript"/>
                <w:lang w:val="en-US"/>
              </w:rPr>
              <w:t>pl</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4E344B9D"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vAlign w:val="center"/>
          </w:tcPr>
          <w:p w14:paraId="4745B58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vAlign w:val="center"/>
          </w:tcPr>
          <w:p w14:paraId="5851E0A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5824FE26"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1E36E59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B12163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vAlign w:val="center"/>
          </w:tcPr>
          <w:p w14:paraId="3FEAFF5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vAlign w:val="center"/>
          </w:tcPr>
          <w:p w14:paraId="355291C2"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vAlign w:val="center"/>
          </w:tcPr>
          <w:p w14:paraId="3BAEA18F"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1B47B07C"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3CC3A71"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13.</w:t>
            </w:r>
          </w:p>
        </w:tc>
        <w:tc>
          <w:tcPr>
            <w:tcW w:w="843"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CEAF87C"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Costs of deposit system participation fee after adjustment (10-11)</w:t>
            </w:r>
          </w:p>
        </w:tc>
        <w:tc>
          <w:tcPr>
            <w:tcW w:w="399"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D4B9B91"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I</w:t>
            </w:r>
            <w:r w:rsidRPr="00424616">
              <w:rPr>
                <w:rFonts w:ascii="Times New Roman" w:hAnsi="Times New Roman"/>
                <w:b/>
                <w:noProof/>
                <w:sz w:val="24"/>
                <w:vertAlign w:val="subscript"/>
                <w:lang w:val="en-US"/>
              </w:rPr>
              <w:t>dalkor</w:t>
            </w:r>
          </w:p>
        </w:tc>
        <w:tc>
          <w:tcPr>
            <w:tcW w:w="52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89BE085"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w:t>
            </w:r>
          </w:p>
        </w:tc>
        <w:tc>
          <w:tcPr>
            <w:tcW w:w="42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F0115CC"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77AE17E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CD74511"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98182B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880120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44059D5"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33C2F83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59B8A2BA"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r w:rsidR="00424616" w:rsidRPr="00424616" w14:paraId="395DCBBE" w14:textId="77777777" w:rsidTr="00467B6A">
        <w:trPr>
          <w:jc w:val="center"/>
        </w:trPr>
        <w:tc>
          <w:tcPr>
            <w:tcW w:w="36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84A42A4"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14.</w:t>
            </w:r>
          </w:p>
        </w:tc>
        <w:tc>
          <w:tcPr>
            <w:tcW w:w="84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EB4CE5" w14:textId="77777777" w:rsidR="00424616" w:rsidRPr="00424616" w:rsidRDefault="00424616" w:rsidP="00467B6A">
            <w:pPr>
              <w:spacing w:after="0" w:line="240" w:lineRule="auto"/>
              <w:jc w:val="both"/>
              <w:rPr>
                <w:rFonts w:ascii="Times New Roman" w:hAnsi="Times New Roman"/>
                <w:b/>
                <w:noProof/>
                <w:sz w:val="24"/>
                <w:lang w:val="en-US"/>
              </w:rPr>
            </w:pPr>
            <w:r w:rsidRPr="00424616">
              <w:rPr>
                <w:rFonts w:ascii="Times New Roman" w:hAnsi="Times New Roman"/>
                <w:b/>
                <w:noProof/>
                <w:sz w:val="24"/>
                <w:lang w:val="en-US"/>
              </w:rPr>
              <w:t>Deposit system participation fee (13/1.1)</w:t>
            </w:r>
          </w:p>
        </w:tc>
        <w:tc>
          <w:tcPr>
            <w:tcW w:w="39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4F1B353" w14:textId="77777777" w:rsidR="00424616" w:rsidRPr="00424616" w:rsidRDefault="00424616" w:rsidP="00467B6A">
            <w:pPr>
              <w:spacing w:after="0" w:line="240" w:lineRule="auto"/>
              <w:jc w:val="center"/>
              <w:rPr>
                <w:rFonts w:ascii="Times New Roman" w:eastAsia="Times New Roman" w:hAnsi="Times New Roman" w:cs="Times New Roman"/>
                <w:b/>
                <w:bCs/>
                <w:noProof/>
                <w:sz w:val="24"/>
                <w:szCs w:val="24"/>
                <w:lang w:val="en-US"/>
              </w:rPr>
            </w:pPr>
            <w:r w:rsidRPr="00424616">
              <w:rPr>
                <w:rFonts w:ascii="Times New Roman" w:hAnsi="Times New Roman"/>
                <w:b/>
                <w:noProof/>
                <w:sz w:val="24"/>
                <w:lang w:val="en-US"/>
              </w:rPr>
              <w:t>M</w:t>
            </w:r>
            <w:r w:rsidRPr="00424616">
              <w:rPr>
                <w:rFonts w:ascii="Times New Roman" w:hAnsi="Times New Roman"/>
                <w:b/>
                <w:noProof/>
                <w:sz w:val="24"/>
                <w:vertAlign w:val="subscript"/>
                <w:lang w:val="en-US"/>
              </w:rPr>
              <w:t>dal</w:t>
            </w:r>
          </w:p>
        </w:tc>
        <w:tc>
          <w:tcPr>
            <w:tcW w:w="52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7795197" w14:textId="77777777" w:rsidR="00424616" w:rsidRPr="00424616" w:rsidRDefault="00424616" w:rsidP="00467B6A">
            <w:pPr>
              <w:spacing w:after="0" w:line="240" w:lineRule="auto"/>
              <w:jc w:val="center"/>
              <w:rPr>
                <w:rFonts w:ascii="Times New Roman" w:hAnsi="Times New Roman"/>
                <w:b/>
                <w:noProof/>
                <w:sz w:val="24"/>
                <w:lang w:val="en-US"/>
              </w:rPr>
            </w:pPr>
            <w:r w:rsidRPr="00424616">
              <w:rPr>
                <w:rFonts w:ascii="Times New Roman" w:hAnsi="Times New Roman"/>
                <w:b/>
                <w:noProof/>
                <w:sz w:val="24"/>
                <w:lang w:val="en-US"/>
              </w:rPr>
              <w:t>EUR/unit</w:t>
            </w:r>
          </w:p>
        </w:tc>
        <w:tc>
          <w:tcPr>
            <w:tcW w:w="425"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443BF0E9"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4A95F96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768EC22E"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35"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5DBC5B0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1DFC8F7B"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516"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7D193227"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4AA60584"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c>
          <w:tcPr>
            <w:tcW w:w="272"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5E2E82D3" w14:textId="77777777" w:rsidR="00424616" w:rsidRPr="00424616" w:rsidRDefault="00424616" w:rsidP="00467B6A">
            <w:pPr>
              <w:spacing w:after="0" w:line="240" w:lineRule="auto"/>
              <w:jc w:val="center"/>
              <w:rPr>
                <w:rFonts w:ascii="Times New Roman" w:eastAsia="Times New Roman" w:hAnsi="Times New Roman" w:cs="Times New Roman"/>
                <w:noProof/>
                <w:sz w:val="24"/>
                <w:szCs w:val="24"/>
                <w:lang w:val="en-US" w:eastAsia="lv-LV"/>
              </w:rPr>
            </w:pPr>
          </w:p>
        </w:tc>
      </w:tr>
    </w:tbl>
    <w:p w14:paraId="5E5E11DC"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9E01CF5" w14:textId="77777777" w:rsidR="00424616" w:rsidRPr="00424616" w:rsidRDefault="00424616" w:rsidP="00424616">
      <w:pPr>
        <w:keepNext/>
        <w:keepLines/>
        <w:shd w:val="clear" w:color="auto" w:fill="FFFFFF"/>
        <w:spacing w:after="0" w:line="240" w:lineRule="auto"/>
        <w:jc w:val="right"/>
        <w:rPr>
          <w:rFonts w:ascii="Times New Roman" w:hAnsi="Times New Roman"/>
          <w:b/>
          <w:noProof/>
          <w:sz w:val="24"/>
          <w:u w:val="single"/>
          <w:lang w:val="en-US"/>
        </w:rPr>
      </w:pPr>
      <w:r w:rsidRPr="00424616">
        <w:rPr>
          <w:rFonts w:ascii="Times New Roman" w:hAnsi="Times New Roman"/>
          <w:b/>
          <w:noProof/>
          <w:sz w:val="24"/>
          <w:u w:val="single"/>
          <w:lang w:val="en-US"/>
        </w:rPr>
        <w:lastRenderedPageBreak/>
        <w:t>Table 3 = Table 1 – Table 2</w:t>
      </w:r>
    </w:p>
    <w:p w14:paraId="05C3BC66" w14:textId="77777777" w:rsidR="00424616" w:rsidRPr="00424616" w:rsidRDefault="00424616" w:rsidP="00424616">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1F3CEB" w14:textId="77777777" w:rsidR="00424616" w:rsidRPr="00424616" w:rsidRDefault="00424616" w:rsidP="00424616">
      <w:pPr>
        <w:keepNext/>
        <w:keepLines/>
        <w:shd w:val="clear" w:color="auto" w:fill="FFFFFF"/>
        <w:spacing w:after="0" w:line="240" w:lineRule="auto"/>
        <w:jc w:val="both"/>
        <w:rPr>
          <w:rFonts w:ascii="Times New Roman" w:eastAsia="Times New Roman" w:hAnsi="Times New Roman" w:cs="Times New Roman"/>
          <w:b/>
          <w:bCs/>
          <w:noProof/>
          <w:sz w:val="24"/>
          <w:szCs w:val="24"/>
          <w:u w:val="single"/>
          <w:vertAlign w:val="superscript"/>
          <w:lang w:val="en-US"/>
        </w:rPr>
      </w:pPr>
      <w:r w:rsidRPr="00424616">
        <w:rPr>
          <w:rFonts w:ascii="Times New Roman" w:hAnsi="Times New Roman"/>
          <w:b/>
          <w:noProof/>
          <w:sz w:val="24"/>
          <w:u w:val="single"/>
          <w:lang w:val="en-US"/>
        </w:rPr>
        <w:t>COMPARISON BETWEEN THE ACTUAL DATA OF THE REPORTING YEAR AND THE COSTS, REVENUES, AND AMOUNTS INCLUDED IN THE CALCULATION OF THE EFFECTIVE PARTICIPATION FEE</w:t>
      </w:r>
      <w:r w:rsidRPr="00424616">
        <w:rPr>
          <w:rFonts w:ascii="Times New Roman" w:hAnsi="Times New Roman"/>
          <w:b/>
          <w:noProof/>
          <w:sz w:val="24"/>
          <w:u w:val="single"/>
          <w:vertAlign w:val="superscript"/>
          <w:lang w:val="en-US"/>
        </w:rPr>
        <w:t>[2]</w:t>
      </w:r>
    </w:p>
    <w:p w14:paraId="6670CF1F" w14:textId="77777777" w:rsidR="00424616" w:rsidRPr="00424616" w:rsidRDefault="00424616" w:rsidP="00424616">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842"/>
        <w:gridCol w:w="1277"/>
        <w:gridCol w:w="1244"/>
        <w:gridCol w:w="1011"/>
        <w:gridCol w:w="520"/>
        <w:gridCol w:w="800"/>
        <w:gridCol w:w="471"/>
        <w:gridCol w:w="471"/>
        <w:gridCol w:w="449"/>
        <w:gridCol w:w="752"/>
        <w:gridCol w:w="791"/>
        <w:gridCol w:w="427"/>
      </w:tblGrid>
      <w:tr w:rsidR="00424616" w:rsidRPr="00424616" w14:paraId="72684559" w14:textId="77777777" w:rsidTr="00467B6A">
        <w:tc>
          <w:tcPr>
            <w:tcW w:w="465" w:type="pct"/>
            <w:vMerge w:val="restart"/>
            <w:tcBorders>
              <w:top w:val="outset" w:sz="6" w:space="0" w:color="414142"/>
              <w:left w:val="outset" w:sz="6" w:space="0" w:color="414142"/>
              <w:bottom w:val="outset" w:sz="6" w:space="0" w:color="414142"/>
              <w:right w:val="outset" w:sz="6" w:space="0" w:color="414142"/>
            </w:tcBorders>
            <w:vAlign w:val="center"/>
            <w:hideMark/>
          </w:tcPr>
          <w:p w14:paraId="10C6CA9B" w14:textId="77777777" w:rsidR="00424616" w:rsidRPr="00424616" w:rsidRDefault="00424616" w:rsidP="00467B6A">
            <w:pPr>
              <w:keepNext/>
              <w:keepLines/>
              <w:spacing w:after="0" w:line="240" w:lineRule="auto"/>
              <w:jc w:val="center"/>
              <w:rPr>
                <w:rFonts w:ascii="Times New Roman" w:hAnsi="Times New Roman"/>
                <w:b/>
                <w:noProof/>
                <w:lang w:val="en-US"/>
              </w:rPr>
            </w:pPr>
            <w:r w:rsidRPr="00424616">
              <w:rPr>
                <w:rFonts w:ascii="Times New Roman" w:hAnsi="Times New Roman"/>
                <w:b/>
                <w:noProof/>
                <w:lang w:val="en-US"/>
              </w:rPr>
              <w:t>No.</w:t>
            </w:r>
          </w:p>
        </w:tc>
        <w:tc>
          <w:tcPr>
            <w:tcW w:w="705" w:type="pct"/>
            <w:vMerge w:val="restart"/>
            <w:tcBorders>
              <w:top w:val="outset" w:sz="6" w:space="0" w:color="414142"/>
              <w:left w:val="outset" w:sz="6" w:space="0" w:color="414142"/>
              <w:bottom w:val="outset" w:sz="6" w:space="0" w:color="414142"/>
              <w:right w:val="outset" w:sz="6" w:space="0" w:color="414142"/>
            </w:tcBorders>
            <w:vAlign w:val="center"/>
            <w:hideMark/>
          </w:tcPr>
          <w:p w14:paraId="355756D4" w14:textId="77777777" w:rsidR="00424616" w:rsidRPr="00424616" w:rsidRDefault="00424616" w:rsidP="00467B6A">
            <w:pPr>
              <w:keepNext/>
              <w:keepLines/>
              <w:spacing w:after="0" w:line="240" w:lineRule="auto"/>
              <w:jc w:val="center"/>
              <w:rPr>
                <w:rFonts w:ascii="Times New Roman" w:hAnsi="Times New Roman"/>
                <w:b/>
                <w:noProof/>
                <w:lang w:val="en-US"/>
              </w:rPr>
            </w:pPr>
            <w:r w:rsidRPr="00424616">
              <w:rPr>
                <w:rFonts w:ascii="Times New Roman" w:hAnsi="Times New Roman"/>
                <w:b/>
                <w:noProof/>
                <w:lang w:val="en-US"/>
              </w:rPr>
              <w:t>Item</w:t>
            </w:r>
          </w:p>
        </w:tc>
        <w:tc>
          <w:tcPr>
            <w:tcW w:w="687" w:type="pct"/>
            <w:vMerge w:val="restart"/>
            <w:tcBorders>
              <w:top w:val="outset" w:sz="6" w:space="0" w:color="414142"/>
              <w:left w:val="outset" w:sz="6" w:space="0" w:color="414142"/>
              <w:bottom w:val="outset" w:sz="6" w:space="0" w:color="414142"/>
              <w:right w:val="outset" w:sz="6" w:space="0" w:color="414142"/>
            </w:tcBorders>
            <w:vAlign w:val="center"/>
            <w:hideMark/>
          </w:tcPr>
          <w:p w14:paraId="72AAD788" w14:textId="77777777" w:rsidR="00424616" w:rsidRPr="00424616" w:rsidRDefault="00424616" w:rsidP="00467B6A">
            <w:pPr>
              <w:keepNext/>
              <w:keepLines/>
              <w:spacing w:after="0" w:line="240" w:lineRule="auto"/>
              <w:jc w:val="center"/>
              <w:rPr>
                <w:rFonts w:ascii="Times New Roman" w:hAnsi="Times New Roman"/>
                <w:b/>
                <w:noProof/>
                <w:lang w:val="en-US"/>
              </w:rPr>
            </w:pPr>
            <w:r w:rsidRPr="00424616">
              <w:rPr>
                <w:rFonts w:ascii="Times New Roman" w:hAnsi="Times New Roman"/>
                <w:b/>
                <w:noProof/>
                <w:lang w:val="en-US"/>
              </w:rPr>
              <w:t>Designation</w:t>
            </w:r>
          </w:p>
        </w:tc>
        <w:tc>
          <w:tcPr>
            <w:tcW w:w="558" w:type="pct"/>
            <w:vMerge w:val="restart"/>
            <w:tcBorders>
              <w:top w:val="outset" w:sz="6" w:space="0" w:color="414142"/>
              <w:left w:val="outset" w:sz="6" w:space="0" w:color="414142"/>
              <w:bottom w:val="outset" w:sz="6" w:space="0" w:color="414142"/>
              <w:right w:val="outset" w:sz="6" w:space="0" w:color="414142"/>
            </w:tcBorders>
            <w:vAlign w:val="center"/>
            <w:hideMark/>
          </w:tcPr>
          <w:p w14:paraId="1F1B786A"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Unit of measurement</w:t>
            </w:r>
          </w:p>
        </w:tc>
        <w:tc>
          <w:tcPr>
            <w:tcW w:w="2585" w:type="pct"/>
            <w:gridSpan w:val="8"/>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BE745A8" w14:textId="77777777" w:rsidR="00424616" w:rsidRPr="00424616" w:rsidRDefault="00424616" w:rsidP="00467B6A">
            <w:pPr>
              <w:keepNext/>
              <w:keepLines/>
              <w:spacing w:after="0" w:line="240" w:lineRule="auto"/>
              <w:jc w:val="center"/>
              <w:rPr>
                <w:rFonts w:ascii="Times New Roman" w:hAnsi="Times New Roman"/>
                <w:b/>
                <w:noProof/>
                <w:lang w:val="en-US"/>
              </w:rPr>
            </w:pPr>
            <w:r w:rsidRPr="00424616">
              <w:rPr>
                <w:rFonts w:ascii="Times New Roman" w:hAnsi="Times New Roman"/>
                <w:b/>
                <w:noProof/>
                <w:lang w:val="en-US"/>
              </w:rPr>
              <w:t>Difference between the participation fee of the reporting year and the effective participation fee</w:t>
            </w:r>
          </w:p>
        </w:tc>
      </w:tr>
      <w:tr w:rsidR="00424616" w:rsidRPr="00424616" w14:paraId="58A5E91A" w14:textId="77777777" w:rsidTr="00467B6A">
        <w:tc>
          <w:tcPr>
            <w:tcW w:w="465" w:type="pct"/>
            <w:vMerge/>
            <w:tcBorders>
              <w:top w:val="outset" w:sz="6" w:space="0" w:color="414142"/>
              <w:left w:val="outset" w:sz="6" w:space="0" w:color="414142"/>
              <w:bottom w:val="outset" w:sz="6" w:space="0" w:color="414142"/>
              <w:right w:val="outset" w:sz="6" w:space="0" w:color="414142"/>
            </w:tcBorders>
            <w:vAlign w:val="center"/>
            <w:hideMark/>
          </w:tcPr>
          <w:p w14:paraId="25396956"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eastAsia="lv-LV"/>
              </w:rPr>
            </w:pPr>
          </w:p>
        </w:tc>
        <w:tc>
          <w:tcPr>
            <w:tcW w:w="705" w:type="pct"/>
            <w:vMerge/>
            <w:tcBorders>
              <w:top w:val="outset" w:sz="6" w:space="0" w:color="414142"/>
              <w:left w:val="outset" w:sz="6" w:space="0" w:color="414142"/>
              <w:bottom w:val="outset" w:sz="6" w:space="0" w:color="414142"/>
              <w:right w:val="outset" w:sz="6" w:space="0" w:color="414142"/>
            </w:tcBorders>
            <w:vAlign w:val="center"/>
            <w:hideMark/>
          </w:tcPr>
          <w:p w14:paraId="268AC16A"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eastAsia="lv-LV"/>
              </w:rPr>
            </w:pPr>
          </w:p>
        </w:tc>
        <w:tc>
          <w:tcPr>
            <w:tcW w:w="687" w:type="pct"/>
            <w:vMerge/>
            <w:tcBorders>
              <w:top w:val="outset" w:sz="6" w:space="0" w:color="414142"/>
              <w:left w:val="outset" w:sz="6" w:space="0" w:color="414142"/>
              <w:bottom w:val="outset" w:sz="6" w:space="0" w:color="414142"/>
              <w:right w:val="outset" w:sz="6" w:space="0" w:color="414142"/>
            </w:tcBorders>
            <w:vAlign w:val="center"/>
            <w:hideMark/>
          </w:tcPr>
          <w:p w14:paraId="342AC9B0"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eastAsia="lv-LV"/>
              </w:rPr>
            </w:pPr>
          </w:p>
        </w:tc>
        <w:tc>
          <w:tcPr>
            <w:tcW w:w="558" w:type="pct"/>
            <w:vMerge/>
            <w:tcBorders>
              <w:top w:val="outset" w:sz="6" w:space="0" w:color="414142"/>
              <w:left w:val="outset" w:sz="6" w:space="0" w:color="414142"/>
              <w:bottom w:val="outset" w:sz="6" w:space="0" w:color="414142"/>
              <w:right w:val="outset" w:sz="6" w:space="0" w:color="414142"/>
            </w:tcBorders>
            <w:vAlign w:val="center"/>
            <w:hideMark/>
          </w:tcPr>
          <w:p w14:paraId="6888380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1497" w:type="pct"/>
            <w:gridSpan w:val="5"/>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CDA759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Single-use deposit packaging</w:t>
            </w:r>
          </w:p>
        </w:tc>
        <w:tc>
          <w:tcPr>
            <w:tcW w:w="852" w:type="pct"/>
            <w:gridSpan w:val="2"/>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3DE87F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Reusable glass</w:t>
            </w:r>
          </w:p>
        </w:tc>
        <w:tc>
          <w:tcPr>
            <w:tcW w:w="236" w:type="pct"/>
            <w:vMerge w:val="restar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B12BB3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Total</w:t>
            </w:r>
          </w:p>
        </w:tc>
      </w:tr>
      <w:tr w:rsidR="00424616" w:rsidRPr="00424616" w14:paraId="5B94084A" w14:textId="77777777" w:rsidTr="00467B6A">
        <w:tc>
          <w:tcPr>
            <w:tcW w:w="465" w:type="pct"/>
            <w:vMerge/>
            <w:tcBorders>
              <w:top w:val="outset" w:sz="6" w:space="0" w:color="414142"/>
              <w:left w:val="outset" w:sz="6" w:space="0" w:color="414142"/>
              <w:bottom w:val="outset" w:sz="6" w:space="0" w:color="414142"/>
              <w:right w:val="outset" w:sz="6" w:space="0" w:color="414142"/>
            </w:tcBorders>
            <w:vAlign w:val="center"/>
            <w:hideMark/>
          </w:tcPr>
          <w:p w14:paraId="6FEC7165" w14:textId="77777777" w:rsidR="00424616" w:rsidRPr="00424616" w:rsidRDefault="00424616" w:rsidP="00467B6A">
            <w:pPr>
              <w:spacing w:after="0" w:line="240" w:lineRule="auto"/>
              <w:jc w:val="both"/>
              <w:rPr>
                <w:rFonts w:ascii="Times New Roman" w:eastAsia="Times New Roman" w:hAnsi="Times New Roman" w:cs="Times New Roman"/>
                <w:b/>
                <w:bCs/>
                <w:noProof/>
                <w:lang w:val="en-US" w:eastAsia="lv-LV"/>
              </w:rPr>
            </w:pPr>
          </w:p>
        </w:tc>
        <w:tc>
          <w:tcPr>
            <w:tcW w:w="705" w:type="pct"/>
            <w:vMerge/>
            <w:tcBorders>
              <w:top w:val="outset" w:sz="6" w:space="0" w:color="414142"/>
              <w:left w:val="outset" w:sz="6" w:space="0" w:color="414142"/>
              <w:bottom w:val="outset" w:sz="6" w:space="0" w:color="414142"/>
              <w:right w:val="outset" w:sz="6" w:space="0" w:color="414142"/>
            </w:tcBorders>
            <w:vAlign w:val="center"/>
            <w:hideMark/>
          </w:tcPr>
          <w:p w14:paraId="5CC71F8F" w14:textId="77777777" w:rsidR="00424616" w:rsidRPr="00424616" w:rsidRDefault="00424616" w:rsidP="00467B6A">
            <w:pPr>
              <w:spacing w:after="0" w:line="240" w:lineRule="auto"/>
              <w:jc w:val="both"/>
              <w:rPr>
                <w:rFonts w:ascii="Times New Roman" w:eastAsia="Times New Roman" w:hAnsi="Times New Roman" w:cs="Times New Roman"/>
                <w:b/>
                <w:bCs/>
                <w:noProof/>
                <w:lang w:val="en-US" w:eastAsia="lv-LV"/>
              </w:rPr>
            </w:pPr>
          </w:p>
        </w:tc>
        <w:tc>
          <w:tcPr>
            <w:tcW w:w="687" w:type="pct"/>
            <w:vMerge/>
            <w:tcBorders>
              <w:top w:val="outset" w:sz="6" w:space="0" w:color="414142"/>
              <w:left w:val="outset" w:sz="6" w:space="0" w:color="414142"/>
              <w:bottom w:val="outset" w:sz="6" w:space="0" w:color="414142"/>
              <w:right w:val="outset" w:sz="6" w:space="0" w:color="414142"/>
            </w:tcBorders>
            <w:vAlign w:val="center"/>
            <w:hideMark/>
          </w:tcPr>
          <w:p w14:paraId="5E129221" w14:textId="77777777" w:rsidR="00424616" w:rsidRPr="00424616" w:rsidRDefault="00424616" w:rsidP="00467B6A">
            <w:pPr>
              <w:spacing w:after="0" w:line="240" w:lineRule="auto"/>
              <w:jc w:val="both"/>
              <w:rPr>
                <w:rFonts w:ascii="Times New Roman" w:eastAsia="Times New Roman" w:hAnsi="Times New Roman" w:cs="Times New Roman"/>
                <w:b/>
                <w:bCs/>
                <w:noProof/>
                <w:lang w:val="en-US" w:eastAsia="lv-LV"/>
              </w:rPr>
            </w:pPr>
          </w:p>
        </w:tc>
        <w:tc>
          <w:tcPr>
            <w:tcW w:w="558" w:type="pct"/>
            <w:vMerge/>
            <w:tcBorders>
              <w:top w:val="outset" w:sz="6" w:space="0" w:color="414142"/>
              <w:left w:val="outset" w:sz="6" w:space="0" w:color="414142"/>
              <w:bottom w:val="outset" w:sz="6" w:space="0" w:color="414142"/>
              <w:right w:val="outset" w:sz="6" w:space="0" w:color="414142"/>
            </w:tcBorders>
            <w:vAlign w:val="center"/>
            <w:hideMark/>
          </w:tcPr>
          <w:p w14:paraId="097CEC62" w14:textId="77777777" w:rsidR="00424616" w:rsidRPr="00424616" w:rsidRDefault="00424616" w:rsidP="00467B6A">
            <w:pPr>
              <w:spacing w:after="0" w:line="240" w:lineRule="auto"/>
              <w:jc w:val="both"/>
              <w:rPr>
                <w:rFonts w:ascii="Times New Roman" w:eastAsia="Times New Roman" w:hAnsi="Times New Roman" w:cs="Times New Roman"/>
                <w:noProof/>
                <w:lang w:val="en-US" w:eastAsia="lv-LV"/>
              </w:rPr>
            </w:pP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88530C3"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PET (clear)</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8AC756B"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PET (coloured)</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B2155C7"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Metal (AL)</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8E466D7"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Metal (Fe)</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D4A451D"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Glass</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54A1871"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Universal design</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69875A7"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Individual design</w:t>
            </w:r>
          </w:p>
        </w:tc>
        <w:tc>
          <w:tcPr>
            <w:tcW w:w="236" w:type="pct"/>
            <w:vMerge/>
            <w:tcBorders>
              <w:top w:val="outset" w:sz="6" w:space="0" w:color="414142"/>
              <w:left w:val="outset" w:sz="6" w:space="0" w:color="414142"/>
              <w:bottom w:val="outset" w:sz="6" w:space="0" w:color="414142"/>
              <w:right w:val="outset" w:sz="6" w:space="0" w:color="414142"/>
            </w:tcBorders>
            <w:vAlign w:val="center"/>
            <w:hideMark/>
          </w:tcPr>
          <w:p w14:paraId="61E64FE6" w14:textId="77777777" w:rsidR="00424616" w:rsidRPr="00424616" w:rsidRDefault="00424616" w:rsidP="00467B6A">
            <w:pPr>
              <w:spacing w:after="0" w:line="240" w:lineRule="auto"/>
              <w:jc w:val="both"/>
              <w:rPr>
                <w:rFonts w:ascii="Times New Roman" w:eastAsia="Times New Roman" w:hAnsi="Times New Roman" w:cs="Times New Roman"/>
                <w:noProof/>
                <w:lang w:val="en-US" w:eastAsia="lv-LV"/>
              </w:rPr>
            </w:pPr>
          </w:p>
        </w:tc>
      </w:tr>
      <w:tr w:rsidR="00424616" w:rsidRPr="00424616" w14:paraId="478FF226"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90EE1A3"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1.</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AF3137E"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Managed quantity of deposit packaging in the current year</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A3F841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Q</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01BC475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F09C9A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5898E2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91EEBB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244E5B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482DF72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266F39D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140A6FB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tcPr>
          <w:p w14:paraId="6F6D1A1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7E0AD8B8"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8498261"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1.1.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71BB6A1"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Number of units placed on the market</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3D3A0DD6"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Q</w:t>
            </w:r>
            <w:r w:rsidRPr="00424616">
              <w:rPr>
                <w:rFonts w:ascii="Times New Roman" w:hAnsi="Times New Roman"/>
                <w:noProof/>
                <w:vertAlign w:val="subscript"/>
                <w:lang w:val="en-US"/>
              </w:rPr>
              <w:t>ap</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731B24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unit</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891C22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1AD178E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71190F7C"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6973FDC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vAlign w:val="center"/>
            <w:hideMark/>
          </w:tcPr>
          <w:p w14:paraId="21DAE31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65473E4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792DF25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72B7537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0F70CD39"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012903DB"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1.2.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D85A986"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Number of units collected</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2BC53FAA"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Q</w:t>
            </w:r>
            <w:r w:rsidRPr="00424616">
              <w:rPr>
                <w:rFonts w:ascii="Times New Roman" w:hAnsi="Times New Roman"/>
                <w:noProof/>
                <w:vertAlign w:val="subscript"/>
                <w:lang w:val="en-US"/>
              </w:rPr>
              <w:t>sav</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92834C3"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unit</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67CF06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22203DA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49E9B7A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26389F20"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vAlign w:val="center"/>
            <w:hideMark/>
          </w:tcPr>
          <w:p w14:paraId="653D4D5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7BCCDDB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7D62B0E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E28D49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5DEA6D45"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57DBCCD"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1.3.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3C0EE0B"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Return rate of deposit packaging (1.2./1.1.)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B7919A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FD9E6A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87" w:type="pct"/>
            <w:tcBorders>
              <w:top w:val="outset" w:sz="6" w:space="0" w:color="414142"/>
              <w:left w:val="outset" w:sz="6" w:space="0" w:color="414142"/>
              <w:bottom w:val="outset" w:sz="6" w:space="0" w:color="414142"/>
              <w:right w:val="outset" w:sz="6" w:space="0" w:color="414142"/>
            </w:tcBorders>
            <w:vAlign w:val="center"/>
          </w:tcPr>
          <w:p w14:paraId="6573278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0DBF639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25C8EF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3E678C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BB3F6E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32131A5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1E7289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3C0D1BA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527D8F5D"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56ED23A"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2.</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783AC9A"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Costs of accepting and collecting of deposit packaging (variable costs)</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18145E4"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rPr>
            </w:pPr>
            <w:r w:rsidRPr="00424616">
              <w:rPr>
                <w:rFonts w:ascii="Times New Roman" w:hAnsi="Times New Roman"/>
                <w:b/>
                <w:noProof/>
                <w:lang w:val="en-US"/>
              </w:rPr>
              <w:t>I</w:t>
            </w:r>
            <w:r w:rsidRPr="00424616">
              <w:rPr>
                <w:rFonts w:ascii="Times New Roman" w:hAnsi="Times New Roman"/>
                <w:b/>
                <w:noProof/>
                <w:vertAlign w:val="subscript"/>
                <w:lang w:val="en-US"/>
              </w:rPr>
              <w:t>main</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76333A4" w14:textId="77777777" w:rsidR="00424616" w:rsidRPr="00424616" w:rsidRDefault="00424616" w:rsidP="00467B6A">
            <w:pPr>
              <w:spacing w:after="0" w:line="240" w:lineRule="auto"/>
              <w:jc w:val="center"/>
              <w:rPr>
                <w:rFonts w:ascii="Times New Roman" w:hAnsi="Times New Roman"/>
                <w:b/>
                <w:noProof/>
                <w:lang w:val="en-US"/>
              </w:rPr>
            </w:pPr>
            <w:r w:rsidRPr="00424616">
              <w:rPr>
                <w:rFonts w:ascii="Times New Roman" w:hAnsi="Times New Roman"/>
                <w:b/>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3C0DF0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93A436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B38911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4242FC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B498CC8"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FAAA3E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05FC20C"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4A3FF14"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5768B00D"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35F1B6A1"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2.1.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4F82225"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the deposit packaging management fee</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0E42AF40"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apsaimn</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F49DA81"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3F505FC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09782C9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254678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B13FCA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8D1953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0B5688C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11C9B7F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02A38D1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06A4F515"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636D6DD"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2.1.1.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60DDBB98"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Automated acceptance point</w:t>
            </w:r>
          </w:p>
        </w:tc>
        <w:tc>
          <w:tcPr>
            <w:tcW w:w="687" w:type="pct"/>
            <w:tcBorders>
              <w:top w:val="outset" w:sz="6" w:space="0" w:color="414142"/>
              <w:left w:val="outset" w:sz="6" w:space="0" w:color="414142"/>
              <w:bottom w:val="outset" w:sz="6" w:space="0" w:color="414142"/>
              <w:right w:val="outset" w:sz="6" w:space="0" w:color="414142"/>
            </w:tcBorders>
            <w:vAlign w:val="center"/>
          </w:tcPr>
          <w:p w14:paraId="357291D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07525E0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7DEDA90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217A48C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B4624C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CFE9CA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4ECC4D9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0EC8959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402044A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30F6C9B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6E37E27B"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015ACF52"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2.1.1.1.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3D0221B"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compressed packaging</w:t>
            </w:r>
          </w:p>
        </w:tc>
        <w:tc>
          <w:tcPr>
            <w:tcW w:w="687" w:type="pct"/>
            <w:tcBorders>
              <w:top w:val="outset" w:sz="6" w:space="0" w:color="414142"/>
              <w:left w:val="outset" w:sz="6" w:space="0" w:color="414142"/>
              <w:bottom w:val="outset" w:sz="6" w:space="0" w:color="414142"/>
              <w:right w:val="outset" w:sz="6" w:space="0" w:color="414142"/>
            </w:tcBorders>
            <w:vAlign w:val="center"/>
          </w:tcPr>
          <w:p w14:paraId="32B92AD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04AC846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696152C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55B08FB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18545B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0D0D4E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06845DC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1F0EC6E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14F07DE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91BE54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2AC8A997"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0F87507"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2.1.1.2.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6AE809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uncompressed packaging</w:t>
            </w:r>
          </w:p>
        </w:tc>
        <w:tc>
          <w:tcPr>
            <w:tcW w:w="687" w:type="pct"/>
            <w:tcBorders>
              <w:top w:val="outset" w:sz="6" w:space="0" w:color="414142"/>
              <w:left w:val="outset" w:sz="6" w:space="0" w:color="414142"/>
              <w:bottom w:val="outset" w:sz="6" w:space="0" w:color="414142"/>
              <w:right w:val="outset" w:sz="6" w:space="0" w:color="414142"/>
            </w:tcBorders>
            <w:vAlign w:val="center"/>
          </w:tcPr>
          <w:p w14:paraId="6F86C0E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FA2EDF4"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488F7EA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43FBDFA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0BF1E7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EFFD80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80F4B8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DD047D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6A61C55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43DDB07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429112BC"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F1EDB32"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2.1.2.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DCC0919"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Manual acceptance point</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6785C85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2639DA8"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12A3E6A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34D4B6D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F76261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2A0736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707947C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77C4ABE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4F03F01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51DC81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00491306"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528898FA"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lastRenderedPageBreak/>
              <w:t>2.2.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D61912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renting reverse vending machines for deposit packaging</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03095E75"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noma</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9795C3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5FD355D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4990075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577963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7C97EA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180C0CD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2155042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558CE53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19417C4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68FDC7A0"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0E6B8A4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2.3.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EA36E26"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collection and logistics of deposit packaging</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6EC59926"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sav</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D91480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398627A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6AAC71C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495FB5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8D92CB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7E94AA1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284D1C4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3141A79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3EC6BAE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4BAC2B14"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AE0216F"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2.4.</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36F9723"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packaging materials and equipment for storage and collection of deposit packaging</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5B05DE46"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iepak</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0B2D04F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5925246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00F2F3C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37F5AD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7CC7E0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0B0C10B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8EB321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1ECCFB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14E90D3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21167226"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6FD7808"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3.</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4F2959C"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Costs of economic activity of ensuring the deposit system (fixed costs)</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9625F2F"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rPr>
            </w:pPr>
            <w:r w:rsidRPr="00424616">
              <w:rPr>
                <w:rFonts w:ascii="Times New Roman" w:hAnsi="Times New Roman"/>
                <w:b/>
                <w:noProof/>
                <w:lang w:val="en-US"/>
              </w:rPr>
              <w:t>I</w:t>
            </w:r>
            <w:r w:rsidRPr="00424616">
              <w:rPr>
                <w:rFonts w:ascii="Times New Roman" w:hAnsi="Times New Roman"/>
                <w:b/>
                <w:noProof/>
                <w:vertAlign w:val="subscript"/>
                <w:lang w:val="en-US"/>
              </w:rPr>
              <w:t>fiks</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DEA5BEC"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2D56260"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F2BB718"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B1BF2B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A3BC6B3"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242A7E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23031D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DF4042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550353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2E48A789"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525D652"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79C02AC"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reverse vending machines for deposit packaging</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71F5621"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aut</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837FB1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36A7952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56124BD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16F554C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CC2E51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3BDB41B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5745F8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3C8155F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48CAFC9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6C277E1E"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34501095" w14:textId="77777777" w:rsidR="00424616" w:rsidRPr="00424616" w:rsidRDefault="00424616" w:rsidP="00467B6A">
            <w:pPr>
              <w:keepNext/>
              <w:keepLines/>
              <w:spacing w:after="0" w:line="240" w:lineRule="auto"/>
              <w:jc w:val="both"/>
              <w:rPr>
                <w:rFonts w:ascii="Times New Roman" w:hAnsi="Times New Roman"/>
                <w:i/>
                <w:noProof/>
                <w:lang w:val="en-US"/>
              </w:rPr>
            </w:pPr>
            <w:r w:rsidRPr="00424616">
              <w:rPr>
                <w:rFonts w:ascii="Times New Roman" w:hAnsi="Times New Roman"/>
                <w:i/>
                <w:noProof/>
                <w:lang w:val="en-US"/>
              </w:rPr>
              <w:t>3.1.1.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E98E77C" w14:textId="77777777" w:rsidR="00424616" w:rsidRPr="00424616" w:rsidRDefault="00424616" w:rsidP="00467B6A">
            <w:pPr>
              <w:keepNext/>
              <w:keepLines/>
              <w:spacing w:after="0" w:line="240" w:lineRule="auto"/>
              <w:jc w:val="both"/>
              <w:rPr>
                <w:rFonts w:ascii="Times New Roman" w:hAnsi="Times New Roman"/>
                <w:i/>
                <w:noProof/>
                <w:lang w:val="en-US"/>
              </w:rPr>
            </w:pPr>
            <w:r w:rsidRPr="00424616">
              <w:rPr>
                <w:rFonts w:ascii="Times New Roman" w:hAnsi="Times New Roman"/>
                <w:i/>
                <w:noProof/>
                <w:lang w:val="en-US"/>
              </w:rPr>
              <w:t>Costs of depreciation of fixed assets and write-off of the value of intangible investments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AF58B90" w14:textId="77777777" w:rsidR="00424616" w:rsidRPr="00424616" w:rsidRDefault="00424616" w:rsidP="00467B6A">
            <w:pPr>
              <w:keepNext/>
              <w:keepLines/>
              <w:spacing w:after="0" w:line="240" w:lineRule="auto"/>
              <w:jc w:val="center"/>
              <w:rPr>
                <w:rFonts w:ascii="Times New Roman" w:eastAsia="Times New Roman" w:hAnsi="Times New Roman" w:cs="Times New Roman"/>
                <w:i/>
                <w:iCs/>
                <w:noProof/>
                <w:lang w:val="en-US"/>
              </w:rPr>
            </w:pPr>
            <w:r w:rsidRPr="00424616">
              <w:rPr>
                <w:rFonts w:ascii="Times New Roman" w:hAnsi="Times New Roman"/>
                <w:i/>
                <w:noProof/>
                <w:lang w:val="en-US"/>
              </w:rPr>
              <w:t>I</w:t>
            </w:r>
            <w:r w:rsidRPr="00424616">
              <w:rPr>
                <w:rFonts w:ascii="Times New Roman" w:hAnsi="Times New Roman"/>
                <w:i/>
                <w:noProof/>
                <w:vertAlign w:val="subscript"/>
                <w:lang w:val="en-US"/>
              </w:rPr>
              <w:t>nol.aut</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8F7F58B" w14:textId="77777777" w:rsidR="00424616" w:rsidRPr="00424616" w:rsidRDefault="00424616" w:rsidP="00467B6A">
            <w:pPr>
              <w:keepNext/>
              <w:keepLines/>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6B93B45A"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1C7ADF40"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0D36C26"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9E8B5BD"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F90D586"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25C428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0872295E"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1EA99E38"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eastAsia="lv-LV"/>
              </w:rPr>
            </w:pPr>
          </w:p>
        </w:tc>
      </w:tr>
      <w:tr w:rsidR="00424616" w:rsidRPr="00424616" w14:paraId="69132112"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421E3272"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3.1.1.1.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B820879"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Depreciation of fixed assets</w:t>
            </w:r>
          </w:p>
        </w:tc>
        <w:tc>
          <w:tcPr>
            <w:tcW w:w="687" w:type="pct"/>
            <w:tcBorders>
              <w:top w:val="outset" w:sz="6" w:space="0" w:color="414142"/>
              <w:left w:val="outset" w:sz="6" w:space="0" w:color="414142"/>
              <w:bottom w:val="outset" w:sz="6" w:space="0" w:color="414142"/>
              <w:right w:val="outset" w:sz="6" w:space="0" w:color="414142"/>
            </w:tcBorders>
            <w:vAlign w:val="center"/>
          </w:tcPr>
          <w:p w14:paraId="668BC14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A81B66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7D3F547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0197A11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10C873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8AC0CD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0B76755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5A80F7F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0B61C7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056E071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21D413F2"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1DE8AB53"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3.1.1.2.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2014554"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Write-off of the value of intangible investments</w:t>
            </w:r>
          </w:p>
        </w:tc>
        <w:tc>
          <w:tcPr>
            <w:tcW w:w="687" w:type="pct"/>
            <w:tcBorders>
              <w:top w:val="outset" w:sz="6" w:space="0" w:color="414142"/>
              <w:left w:val="outset" w:sz="6" w:space="0" w:color="414142"/>
              <w:bottom w:val="outset" w:sz="6" w:space="0" w:color="414142"/>
              <w:right w:val="outset" w:sz="6" w:space="0" w:color="414142"/>
            </w:tcBorders>
            <w:vAlign w:val="center"/>
          </w:tcPr>
          <w:p w14:paraId="05CD678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34089E5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49AFAF0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73DAE0B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EECD3E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E8A40E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8E98F2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23268B5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18BC41D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0937195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3A8A2BB6"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00DEF9F"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3.1.2.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1AE9642"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Repair and maintenance costs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71C7203D"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rPr>
            </w:pPr>
            <w:r w:rsidRPr="00424616">
              <w:rPr>
                <w:rFonts w:ascii="Times New Roman" w:hAnsi="Times New Roman"/>
                <w:i/>
                <w:noProof/>
                <w:lang w:val="en-US"/>
              </w:rPr>
              <w:t>I</w:t>
            </w:r>
            <w:r w:rsidRPr="00424616">
              <w:rPr>
                <w:rFonts w:ascii="Times New Roman" w:hAnsi="Times New Roman"/>
                <w:i/>
                <w:noProof/>
                <w:vertAlign w:val="subscript"/>
                <w:lang w:val="en-US"/>
              </w:rPr>
              <w:t>rem.aut</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F2CC230" w14:textId="77777777" w:rsidR="00424616" w:rsidRPr="00424616" w:rsidRDefault="00424616" w:rsidP="00467B6A">
            <w:pPr>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7322995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116223E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D07574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1DAB8E1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5976DFC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40746DF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4DABD3A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53E2B01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4529F1E5"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1BBB849"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3.1.3.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999BA2F"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Rent costs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9888BF9"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rPr>
            </w:pPr>
            <w:r w:rsidRPr="00424616">
              <w:rPr>
                <w:rFonts w:ascii="Times New Roman" w:hAnsi="Times New Roman"/>
                <w:i/>
                <w:noProof/>
                <w:lang w:val="en-US"/>
              </w:rPr>
              <w:t>I</w:t>
            </w:r>
            <w:r w:rsidRPr="00424616">
              <w:rPr>
                <w:rFonts w:ascii="Times New Roman" w:hAnsi="Times New Roman"/>
                <w:i/>
                <w:noProof/>
                <w:vertAlign w:val="subscript"/>
                <w:lang w:val="en-US"/>
              </w:rPr>
              <w:t>noma.aut</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66E7C57" w14:textId="77777777" w:rsidR="00424616" w:rsidRPr="00424616" w:rsidRDefault="00424616" w:rsidP="00467B6A">
            <w:pPr>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77A4E7E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0C60672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961F07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D54343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52641A6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555444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1328F20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24D9735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7BC92C0F"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531C79D"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1C3C1AE"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 xml:space="preserve">Costs of depreciation of fixed </w:t>
            </w:r>
            <w:r w:rsidRPr="00424616">
              <w:rPr>
                <w:rFonts w:ascii="Times New Roman" w:hAnsi="Times New Roman"/>
                <w:noProof/>
                <w:lang w:val="en-US"/>
              </w:rPr>
              <w:lastRenderedPageBreak/>
              <w:t>assets of the centre for sorting, accounting, and preparation for recycling and recovery of deposit packaging and costs of write-off of the value of intangible investments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DE9FC91"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lastRenderedPageBreak/>
              <w:t>I</w:t>
            </w:r>
            <w:r w:rsidRPr="00424616">
              <w:rPr>
                <w:rFonts w:ascii="Times New Roman" w:hAnsi="Times New Roman"/>
                <w:noProof/>
                <w:vertAlign w:val="subscript"/>
                <w:lang w:val="en-US"/>
              </w:rPr>
              <w:t>nol</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348AFDA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533295C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56A8315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D7A4FE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857C3E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4A0277B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5BB76D5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6E97AF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6202F7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3D9F58E4"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FAC411E"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3.2.1.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E4B1DE6"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Depreciation of fixed assets, including:</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62C6E016"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rPr>
            </w:pPr>
            <w:r w:rsidRPr="00424616">
              <w:rPr>
                <w:rFonts w:ascii="Times New Roman" w:hAnsi="Times New Roman"/>
                <w:i/>
                <w:noProof/>
                <w:lang w:val="en-US"/>
              </w:rPr>
              <w:t>I</w:t>
            </w:r>
            <w:r w:rsidRPr="00424616">
              <w:rPr>
                <w:rFonts w:ascii="Times New Roman" w:hAnsi="Times New Roman"/>
                <w:i/>
                <w:noProof/>
                <w:vertAlign w:val="subscript"/>
                <w:lang w:val="en-US"/>
              </w:rPr>
              <w:t>nol.pam</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028F9C8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5A7506D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569536F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56B453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F4AA5B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1DC3744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E50C71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BF2D4D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1DDCE08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045D9081"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2521EA3D"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3.2.1.1.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123DD9C"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buildings, structures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77F96D0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36D8B10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320D6EA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485BE81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8E2D2B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0BB21C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60AD07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07EB450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67C4424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F2F4B0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479E7015"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147D533F"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3.2.1.2.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6EF5C13"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equipment, machinery</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7AC039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D139F83"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64DB39A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493EDBE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B874E3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0D156C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59FAB0E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0160CED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79EB771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5945035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65833FD9"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243EAE0C"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3.2.1.3.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3A7C2BA"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other</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25E60E2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05BA7518"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5D2ADBA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50398FE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B51680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D10C4B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575750B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4BC1153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49588FF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596CEA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75B856AA"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7355DD7"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3.2.2.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55E0487"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Write-off of the value of intangible investments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2E09FF7"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rPr>
            </w:pPr>
            <w:r w:rsidRPr="00424616">
              <w:rPr>
                <w:rFonts w:ascii="Times New Roman" w:hAnsi="Times New Roman"/>
                <w:i/>
                <w:noProof/>
                <w:lang w:val="en-US"/>
              </w:rPr>
              <w:t>I</w:t>
            </w:r>
            <w:r w:rsidRPr="00424616">
              <w:rPr>
                <w:rFonts w:ascii="Times New Roman" w:hAnsi="Times New Roman"/>
                <w:i/>
                <w:noProof/>
                <w:vertAlign w:val="subscript"/>
                <w:lang w:val="en-US"/>
              </w:rPr>
              <w:t>nol.nem</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E656FF1"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248446A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0196F67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177A1AD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265256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3D59416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242E6E7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44FF27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2A14A98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11E2085E"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3BE1A18F"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9FFB0B5"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Credit interest payments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12AEDB7"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kr</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6EE56C8"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2083ED3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002FC6B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3E7711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0EA369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543CAEF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37114CD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DBCB6E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3BC1B8F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305080FF"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2767C4CF"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3.4.</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2F5F7B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Staff costs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12C0782"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pers</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5128E7A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294B10C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3FCFCE2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225886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14EF0BD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31A6464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52E3898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7E1F070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075DB0B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35FA30BC"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1B71726F"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3.4.1.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6A3FBDD9"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Work remuneration</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2A633082"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3A48BCAD" w14:textId="77777777" w:rsidR="00424616" w:rsidRPr="00424616" w:rsidRDefault="00424616" w:rsidP="00467B6A">
            <w:pPr>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137AFD5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7055807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1B2E463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948CF3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59439C3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11CD059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015CEF6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55982C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1DF9F490"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5A2C5C96"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3.4.2.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2E8BA7C"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Social insurance costs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654718A3"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3890D23" w14:textId="77777777" w:rsidR="00424616" w:rsidRPr="00424616" w:rsidRDefault="00424616" w:rsidP="00467B6A">
            <w:pPr>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6BC9F57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3DD9E87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BB7CCC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539082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77FA89D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1862C5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735F9A3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35ABE19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43E0F5F8"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1927ED37"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3.5.</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BC41399"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ensuring the technological processes for sorting, accounting, and preparation for recycling and recovery of deposit packaging</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C30AC67"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tehn</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2529A6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05FA10A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655C8E3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AC971E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D23B08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D378CA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471A935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619359C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CE90E9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20517E08"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2848F98C"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3.5.1.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29A2A28"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Repair and maintenance of vehicles and equipment</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3F500025"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B226D72" w14:textId="77777777" w:rsidR="00424616" w:rsidRPr="00424616" w:rsidRDefault="00424616" w:rsidP="00467B6A">
            <w:pPr>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72CD9EB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554F509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ED27C0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BEDF37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02A1CF8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14A464B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01B76F3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753228B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365B2A64"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15CB944"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lastRenderedPageBreak/>
              <w:t>3.5.2.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D3C6708"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Maintenance of buildings and structures, rent, utility services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61496529"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57BACC21" w14:textId="77777777" w:rsidR="00424616" w:rsidRPr="00424616" w:rsidRDefault="00424616" w:rsidP="00467B6A">
            <w:pPr>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3435FFF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16A9180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00C471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211440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0B6BC3B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40412BE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1F3D717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1336BF7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01FCA402"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2761E16"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3.5.3.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686D1113" w14:textId="77777777" w:rsidR="00424616" w:rsidRPr="00424616" w:rsidRDefault="00424616" w:rsidP="00467B6A">
            <w:pPr>
              <w:spacing w:after="0" w:line="240" w:lineRule="auto"/>
              <w:jc w:val="both"/>
              <w:rPr>
                <w:rFonts w:ascii="Times New Roman" w:hAnsi="Times New Roman"/>
                <w:i/>
                <w:noProof/>
                <w:lang w:val="en-US"/>
              </w:rPr>
            </w:pPr>
            <w:r w:rsidRPr="00424616">
              <w:rPr>
                <w:rFonts w:ascii="Times New Roman" w:hAnsi="Times New Roman"/>
                <w:i/>
                <w:noProof/>
                <w:lang w:val="en-US"/>
              </w:rPr>
              <w:t>Transporting of deposit packaging to the recycling and recovery site</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3B34F300" w14:textId="77777777" w:rsidR="00424616" w:rsidRPr="00424616" w:rsidRDefault="00424616" w:rsidP="00467B6A">
            <w:pPr>
              <w:spacing w:after="0" w:line="240" w:lineRule="auto"/>
              <w:jc w:val="center"/>
              <w:rPr>
                <w:rFonts w:ascii="Times New Roman" w:eastAsia="Times New Roman" w:hAnsi="Times New Roman" w:cs="Times New Roman"/>
                <w:i/>
                <w:iCs/>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95B0C75" w14:textId="77777777" w:rsidR="00424616" w:rsidRPr="00424616" w:rsidRDefault="00424616" w:rsidP="00467B6A">
            <w:pPr>
              <w:spacing w:after="0" w:line="240" w:lineRule="auto"/>
              <w:jc w:val="center"/>
              <w:rPr>
                <w:rFonts w:ascii="Times New Roman" w:hAnsi="Times New Roman"/>
                <w:i/>
                <w:noProof/>
                <w:lang w:val="en-US"/>
              </w:rPr>
            </w:pPr>
            <w:r w:rsidRPr="00424616">
              <w:rPr>
                <w:rFonts w:ascii="Times New Roman" w:hAnsi="Times New Roman"/>
                <w:i/>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34F9CCF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6E388E9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AC2606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DF89EC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5F089A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17DD45C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1EC9A32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3885D9A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7601D4D6"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542C9241"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3.6.</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CF3A3ED"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administration which are not included in other cost items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39E4A38C"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adm</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36313A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5AF555F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10F0BBD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E62839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45F0DF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6DA6F1E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389A0CF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08F063D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09329EC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7A7ABE77"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3F4F1DD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3.7.</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9378901"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Costs of public outreach</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28FE067"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izgl</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4A09E9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40F1ED0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1C1E6F3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69D9D1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7A0952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6688026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0AD099C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7FA782B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584F6FA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1B3AEB63"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51E9DDE8"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3.8.</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3F2DEBB"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Other costs</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6757706A"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w:t>
            </w:r>
            <w:r w:rsidRPr="00424616">
              <w:rPr>
                <w:rFonts w:ascii="Times New Roman" w:hAnsi="Times New Roman"/>
                <w:noProof/>
                <w:vertAlign w:val="subscript"/>
                <w:lang w:val="en-US"/>
              </w:rPr>
              <w:t>c</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080937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7FA5E07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19A23EA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04B6B4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685E98D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101A767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23F1C2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A27E01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56CD40C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2D1E4121"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E64E751"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4.</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00AEAAA"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Fees</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DD9463C"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rPr>
            </w:pPr>
            <w:r w:rsidRPr="00424616">
              <w:rPr>
                <w:rFonts w:ascii="Times New Roman" w:hAnsi="Times New Roman"/>
                <w:b/>
                <w:noProof/>
                <w:lang w:val="en-US"/>
              </w:rPr>
              <w:t>I</w:t>
            </w:r>
            <w:r w:rsidRPr="00424616">
              <w:rPr>
                <w:rFonts w:ascii="Times New Roman" w:hAnsi="Times New Roman"/>
                <w:b/>
                <w:noProof/>
                <w:vertAlign w:val="subscript"/>
                <w:lang w:val="en-US"/>
              </w:rPr>
              <w:t>nd</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3685AC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56EEB7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B4D15E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74DB2D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AD34C0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718ABE4"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88733A1"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5D46D3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16FE7D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10597808"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CB56BE5"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5.</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6F93962"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Taxes</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21B54EC"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rPr>
            </w:pPr>
            <w:r w:rsidRPr="00424616">
              <w:rPr>
                <w:rFonts w:ascii="Times New Roman" w:hAnsi="Times New Roman"/>
                <w:b/>
                <w:noProof/>
                <w:lang w:val="en-US"/>
              </w:rPr>
              <w:t>I</w:t>
            </w:r>
            <w:r w:rsidRPr="00424616">
              <w:rPr>
                <w:rFonts w:ascii="Times New Roman" w:hAnsi="Times New Roman"/>
                <w:b/>
                <w:noProof/>
                <w:vertAlign w:val="subscript"/>
                <w:lang w:val="en-US"/>
              </w:rPr>
              <w:t>nod</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D959FEC"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02517C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A0EB8A3"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1CE22A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C14278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C3E1F9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64FD09C"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F02ACD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4AD887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385C0C70"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35E77DD"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6.</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A293286"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Costs necessary for ensuring the deposit system (2+3+4+5)</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9842555" w14:textId="77777777" w:rsidR="00424616" w:rsidRPr="00424616" w:rsidRDefault="00424616" w:rsidP="00467B6A">
            <w:pPr>
              <w:spacing w:after="0" w:line="240" w:lineRule="auto"/>
              <w:jc w:val="center"/>
              <w:rPr>
                <w:rFonts w:ascii="Times New Roman" w:hAnsi="Times New Roman"/>
                <w:b/>
                <w:noProof/>
                <w:lang w:val="en-US"/>
              </w:rPr>
            </w:pPr>
            <w:r w:rsidRPr="00424616">
              <w:rPr>
                <w:rFonts w:ascii="Times New Roman" w:hAnsi="Times New Roman"/>
                <w:b/>
                <w:noProof/>
                <w:lang w:val="en-US"/>
              </w:rPr>
              <w:t>I</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D9901D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1E9B99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E8230E0"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399B26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A5D0523"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1D9AD7A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84FBD2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618E780"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475DAE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7668A04F"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E55FED4"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7.</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41DD234"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Revenues in Accordance with Paragraph 9 of the Methodology (7.1.-7.2.+7.3.+7.4.)</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715B770" w14:textId="77777777" w:rsidR="00424616" w:rsidRPr="00424616" w:rsidRDefault="00424616" w:rsidP="00467B6A">
            <w:pPr>
              <w:spacing w:after="0" w:line="240" w:lineRule="auto"/>
              <w:jc w:val="center"/>
              <w:rPr>
                <w:rFonts w:ascii="Times New Roman" w:hAnsi="Times New Roman"/>
                <w:b/>
                <w:noProof/>
                <w:lang w:val="en-US"/>
              </w:rPr>
            </w:pPr>
            <w:r w:rsidRPr="00424616">
              <w:rPr>
                <w:rFonts w:ascii="Times New Roman" w:hAnsi="Times New Roman"/>
                <w:b/>
                <w:noProof/>
                <w:lang w:val="en-US"/>
              </w:rPr>
              <w:t>Ien</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72AED0C" w14:textId="77777777" w:rsidR="00424616" w:rsidRPr="00424616" w:rsidRDefault="00424616" w:rsidP="00467B6A">
            <w:pPr>
              <w:spacing w:after="0" w:line="240" w:lineRule="auto"/>
              <w:jc w:val="center"/>
              <w:rPr>
                <w:rFonts w:ascii="Times New Roman" w:hAnsi="Times New Roman"/>
                <w:b/>
                <w:noProof/>
                <w:lang w:val="en-US"/>
              </w:rPr>
            </w:pPr>
            <w:r w:rsidRPr="00424616">
              <w:rPr>
                <w:rFonts w:ascii="Times New Roman" w:hAnsi="Times New Roman"/>
                <w:b/>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4D4C963"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23EC79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D7C943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F4E2AE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4D12A4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75096E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9B9E7F8"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C04FCF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0175E949"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26DAF315"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7.1.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8AC343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Revenues from unredeemed deposit fee</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15ADAD2"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Ien</w:t>
            </w:r>
            <w:r w:rsidRPr="00424616">
              <w:rPr>
                <w:rFonts w:ascii="Times New Roman" w:hAnsi="Times New Roman"/>
                <w:noProof/>
                <w:vertAlign w:val="subscript"/>
                <w:lang w:val="en-US"/>
              </w:rPr>
              <w:t>dep</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55898BC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18C3EA7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2F06D8A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4B18CE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1A78444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12E02C0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3D054F3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0FBD194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47F448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59482739"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2383460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7.2.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E21357B"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Adjustment of market obligations value</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5B0D9FF6"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Ien</w:t>
            </w:r>
            <w:r w:rsidRPr="00424616">
              <w:rPr>
                <w:rFonts w:ascii="Times New Roman" w:hAnsi="Times New Roman"/>
                <w:noProof/>
                <w:vertAlign w:val="subscript"/>
                <w:lang w:val="en-US"/>
              </w:rPr>
              <w:t>dep.kor</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34BE94BB"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0E5CA72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13850EC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294EE6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68B379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35E0890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01F59DF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46BA176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C216C6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638E3B07"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401588F4"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7.3.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533CAEA"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Revenues from sale of deposit packaging prepared for recycling and recovery</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7EFC376A"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Ien</w:t>
            </w:r>
            <w:r w:rsidRPr="00424616">
              <w:rPr>
                <w:rFonts w:ascii="Times New Roman" w:hAnsi="Times New Roman"/>
                <w:noProof/>
                <w:vertAlign w:val="subscript"/>
                <w:lang w:val="en-US"/>
              </w:rPr>
              <w:t>pard</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CE6D77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2EE5CB8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40BDA9D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4729BF5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79DB6A9"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68752D4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7256423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723676B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2E7542B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53194716"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27B6ABC"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lastRenderedPageBreak/>
              <w:t>7.4.</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3BA9D6B"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Other revenues related to the service of ensuring the deposit system</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935D3A9"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Ien</w:t>
            </w:r>
            <w:r w:rsidRPr="00424616">
              <w:rPr>
                <w:rFonts w:ascii="Times New Roman" w:hAnsi="Times New Roman"/>
                <w:noProof/>
                <w:vertAlign w:val="subscript"/>
                <w:lang w:val="en-US"/>
              </w:rPr>
              <w:t>c</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105C04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14AF35DF"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20B27512"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941EAD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70DAEF8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1A23FB8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7174B8F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5E8B68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BAFD20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0FFB7E4F"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BC8EA3E"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8.</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5CEF86F"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Costs of deposit system participation fee (6-7)</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01D7EBB"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rPr>
            </w:pPr>
            <w:r w:rsidRPr="00424616">
              <w:rPr>
                <w:rFonts w:ascii="Times New Roman" w:hAnsi="Times New Roman"/>
                <w:b/>
                <w:noProof/>
                <w:lang w:val="en-US"/>
              </w:rPr>
              <w:t>I</w:t>
            </w:r>
            <w:r w:rsidRPr="00424616">
              <w:rPr>
                <w:rFonts w:ascii="Times New Roman" w:hAnsi="Times New Roman"/>
                <w:b/>
                <w:noProof/>
                <w:vertAlign w:val="subscript"/>
                <w:lang w:val="en-US"/>
              </w:rPr>
              <w:t>dal</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693C5E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E1C971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9DE566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1A68F7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DDA38A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7BBF42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0931AD8"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679A8A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4482D3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4F57F017"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3E2962C2"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9.</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4BE7FF2"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Profitability of turnover</w:t>
            </w:r>
          </w:p>
        </w:tc>
        <w:tc>
          <w:tcPr>
            <w:tcW w:w="687" w:type="pct"/>
            <w:tcBorders>
              <w:top w:val="outset" w:sz="6" w:space="0" w:color="414142"/>
              <w:left w:val="outset" w:sz="6" w:space="0" w:color="414142"/>
              <w:bottom w:val="outset" w:sz="6" w:space="0" w:color="414142"/>
              <w:right w:val="outset" w:sz="6" w:space="0" w:color="414142"/>
            </w:tcBorders>
            <w:vAlign w:val="center"/>
          </w:tcPr>
          <w:p w14:paraId="2B3F4E1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558" w:type="pct"/>
            <w:tcBorders>
              <w:top w:val="outset" w:sz="6" w:space="0" w:color="414142"/>
              <w:left w:val="outset" w:sz="6" w:space="0" w:color="414142"/>
              <w:bottom w:val="outset" w:sz="6" w:space="0" w:color="414142"/>
              <w:right w:val="outset" w:sz="6" w:space="0" w:color="414142"/>
            </w:tcBorders>
            <w:vAlign w:val="center"/>
          </w:tcPr>
          <w:p w14:paraId="36A3A6C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87" w:type="pct"/>
            <w:tcBorders>
              <w:top w:val="outset" w:sz="6" w:space="0" w:color="414142"/>
              <w:left w:val="outset" w:sz="6" w:space="0" w:color="414142"/>
              <w:bottom w:val="outset" w:sz="6" w:space="0" w:color="414142"/>
              <w:right w:val="outset" w:sz="6" w:space="0" w:color="414142"/>
            </w:tcBorders>
            <w:vAlign w:val="center"/>
          </w:tcPr>
          <w:p w14:paraId="3F4181F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4F230B7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E7B92F3"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35C12907"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4E4FC69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6582488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52261DD1"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1B52B78A"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21253B66"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BA27CB7"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9.1.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3977AEF"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Profitability rate</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0553DF72"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r</w:t>
            </w:r>
            <w:r w:rsidRPr="00424616">
              <w:rPr>
                <w:rFonts w:ascii="Times New Roman" w:hAnsi="Times New Roman"/>
                <w:noProof/>
                <w:vertAlign w:val="subscript"/>
                <w:lang w:val="en-US"/>
              </w:rPr>
              <w:t>kred</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DAFC9DD"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87" w:type="pct"/>
            <w:tcBorders>
              <w:top w:val="outset" w:sz="6" w:space="0" w:color="414142"/>
              <w:left w:val="outset" w:sz="6" w:space="0" w:color="414142"/>
              <w:bottom w:val="outset" w:sz="6" w:space="0" w:color="414142"/>
              <w:right w:val="outset" w:sz="6" w:space="0" w:color="414142"/>
            </w:tcBorders>
            <w:vAlign w:val="center"/>
          </w:tcPr>
          <w:p w14:paraId="5BE01EF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4011CBE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5C8C17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01B232C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2C5268D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708BC4B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3D06601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38A15ACD"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428F46B5"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2C647220"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9.2.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47B06B3"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Profit (8×9.1)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EBCC909"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P</w:t>
            </w:r>
            <w:r w:rsidRPr="00424616">
              <w:rPr>
                <w:rFonts w:ascii="Times New Roman" w:hAnsi="Times New Roman"/>
                <w:noProof/>
                <w:vertAlign w:val="subscript"/>
                <w:lang w:val="en-US"/>
              </w:rPr>
              <w:t>rent</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B79271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tcPr>
          <w:p w14:paraId="01DDD934"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42" w:type="pct"/>
            <w:tcBorders>
              <w:top w:val="outset" w:sz="6" w:space="0" w:color="414142"/>
              <w:left w:val="outset" w:sz="6" w:space="0" w:color="414142"/>
              <w:bottom w:val="outset" w:sz="6" w:space="0" w:color="414142"/>
              <w:right w:val="outset" w:sz="6" w:space="0" w:color="414142"/>
            </w:tcBorders>
            <w:vAlign w:val="center"/>
          </w:tcPr>
          <w:p w14:paraId="36E261AE"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25CA1620"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60" w:type="pct"/>
            <w:tcBorders>
              <w:top w:val="outset" w:sz="6" w:space="0" w:color="414142"/>
              <w:left w:val="outset" w:sz="6" w:space="0" w:color="414142"/>
              <w:bottom w:val="outset" w:sz="6" w:space="0" w:color="414142"/>
              <w:right w:val="outset" w:sz="6" w:space="0" w:color="414142"/>
            </w:tcBorders>
            <w:vAlign w:val="center"/>
          </w:tcPr>
          <w:p w14:paraId="54BF7FCC"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48" w:type="pct"/>
            <w:tcBorders>
              <w:top w:val="outset" w:sz="6" w:space="0" w:color="414142"/>
              <w:left w:val="outset" w:sz="6" w:space="0" w:color="414142"/>
              <w:bottom w:val="outset" w:sz="6" w:space="0" w:color="414142"/>
              <w:right w:val="outset" w:sz="6" w:space="0" w:color="414142"/>
            </w:tcBorders>
            <w:vAlign w:val="center"/>
          </w:tcPr>
          <w:p w14:paraId="51969B76"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15" w:type="pct"/>
            <w:tcBorders>
              <w:top w:val="outset" w:sz="6" w:space="0" w:color="414142"/>
              <w:left w:val="outset" w:sz="6" w:space="0" w:color="414142"/>
              <w:bottom w:val="outset" w:sz="6" w:space="0" w:color="414142"/>
              <w:right w:val="outset" w:sz="6" w:space="0" w:color="414142"/>
            </w:tcBorders>
            <w:vAlign w:val="center"/>
          </w:tcPr>
          <w:p w14:paraId="19D6DC5B"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62D04468"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center"/>
          </w:tcPr>
          <w:p w14:paraId="6ADD3035" w14:textId="77777777" w:rsidR="00424616" w:rsidRPr="00424616" w:rsidRDefault="00424616" w:rsidP="00467B6A">
            <w:pPr>
              <w:spacing w:after="0" w:line="240" w:lineRule="auto"/>
              <w:jc w:val="center"/>
              <w:rPr>
                <w:rFonts w:ascii="Times New Roman" w:eastAsia="Times New Roman" w:hAnsi="Times New Roman" w:cs="Times New Roman"/>
                <w:noProof/>
                <w:lang w:val="en-US" w:eastAsia="lv-LV"/>
              </w:rPr>
            </w:pPr>
          </w:p>
        </w:tc>
      </w:tr>
      <w:tr w:rsidR="00424616" w:rsidRPr="00424616" w14:paraId="28B968ED"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0D986580"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10.</w:t>
            </w:r>
          </w:p>
        </w:tc>
        <w:tc>
          <w:tcPr>
            <w:tcW w:w="70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2A7A8783"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Costs of deposit system participation fee with profitability (8+9.2)</w:t>
            </w:r>
          </w:p>
        </w:tc>
        <w:tc>
          <w:tcPr>
            <w:tcW w:w="6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9AD8648" w14:textId="77777777" w:rsidR="00424616" w:rsidRPr="00424616" w:rsidRDefault="00424616" w:rsidP="00467B6A">
            <w:pPr>
              <w:spacing w:after="0" w:line="240" w:lineRule="auto"/>
              <w:jc w:val="center"/>
              <w:rPr>
                <w:rFonts w:ascii="Times New Roman" w:eastAsia="Times New Roman" w:hAnsi="Times New Roman" w:cs="Times New Roman"/>
                <w:b/>
                <w:bCs/>
                <w:noProof/>
                <w:lang w:val="en-US"/>
              </w:rPr>
            </w:pPr>
            <w:r w:rsidRPr="00424616">
              <w:rPr>
                <w:rFonts w:ascii="Times New Roman" w:hAnsi="Times New Roman"/>
                <w:b/>
                <w:noProof/>
                <w:lang w:val="en-US"/>
              </w:rPr>
              <w:t>I</w:t>
            </w:r>
            <w:r w:rsidRPr="00424616">
              <w:rPr>
                <w:rFonts w:ascii="Times New Roman" w:hAnsi="Times New Roman"/>
                <w:b/>
                <w:noProof/>
                <w:vertAlign w:val="subscript"/>
                <w:lang w:val="en-US"/>
              </w:rPr>
              <w:t>rent</w:t>
            </w:r>
          </w:p>
        </w:tc>
        <w:tc>
          <w:tcPr>
            <w:tcW w:w="55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1053BE4"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0D77B7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5A82B57"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F93A1C4"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6DB1AB1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53FDE88C"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4ECF367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7E69A43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shd w:val="clear" w:color="auto" w:fill="DBE5F1"/>
            <w:vAlign w:val="center"/>
            <w:hideMark/>
          </w:tcPr>
          <w:p w14:paraId="35CD86CE"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0F2DF90C"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6BFB08A3"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11.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8874C6E"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Adjustment for the financial result of the actual economic activity of the previous period*</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98BCB24"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Kor</w:t>
            </w:r>
            <w:r w:rsidRPr="00424616">
              <w:rPr>
                <w:rFonts w:ascii="Times New Roman" w:hAnsi="Times New Roman"/>
                <w:noProof/>
                <w:vertAlign w:val="subscript"/>
                <w:lang w:val="en-US"/>
              </w:rPr>
              <w:t>rez</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2FCD9E1"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593F503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6CF673F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45CC17A9"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41B48024"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48" w:type="pct"/>
            <w:tcBorders>
              <w:top w:val="outset" w:sz="6" w:space="0" w:color="414142"/>
              <w:left w:val="outset" w:sz="6" w:space="0" w:color="414142"/>
              <w:bottom w:val="outset" w:sz="6" w:space="0" w:color="414142"/>
              <w:right w:val="outset" w:sz="6" w:space="0" w:color="414142"/>
            </w:tcBorders>
            <w:vAlign w:val="center"/>
            <w:hideMark/>
          </w:tcPr>
          <w:p w14:paraId="44A4C570"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003723CC"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5E64EED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12CCFD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w:t>
            </w:r>
          </w:p>
        </w:tc>
      </w:tr>
      <w:tr w:rsidR="00424616" w:rsidRPr="00424616" w14:paraId="50CA411C" w14:textId="77777777" w:rsidTr="00467B6A">
        <w:tc>
          <w:tcPr>
            <w:tcW w:w="465" w:type="pct"/>
            <w:tcBorders>
              <w:top w:val="outset" w:sz="6" w:space="0" w:color="414142"/>
              <w:left w:val="outset" w:sz="6" w:space="0" w:color="414142"/>
              <w:bottom w:val="outset" w:sz="6" w:space="0" w:color="414142"/>
              <w:right w:val="outset" w:sz="6" w:space="0" w:color="414142"/>
            </w:tcBorders>
            <w:vAlign w:val="center"/>
            <w:hideMark/>
          </w:tcPr>
          <w:p w14:paraId="71B7EC97" w14:textId="77777777" w:rsidR="00424616" w:rsidRPr="00424616" w:rsidRDefault="00424616" w:rsidP="00467B6A">
            <w:pPr>
              <w:keepNext/>
              <w:keepLines/>
              <w:spacing w:after="0" w:line="240" w:lineRule="auto"/>
              <w:jc w:val="both"/>
              <w:rPr>
                <w:rFonts w:ascii="Times New Roman" w:hAnsi="Times New Roman"/>
                <w:noProof/>
                <w:lang w:val="en-US"/>
              </w:rPr>
            </w:pPr>
            <w:r w:rsidRPr="00424616">
              <w:rPr>
                <w:rFonts w:ascii="Times New Roman" w:hAnsi="Times New Roman"/>
                <w:noProof/>
                <w:lang w:val="en-US"/>
              </w:rPr>
              <w:t>12.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7FC55A4" w14:textId="77777777" w:rsidR="00424616" w:rsidRPr="00424616" w:rsidRDefault="00424616" w:rsidP="00467B6A">
            <w:pPr>
              <w:keepNext/>
              <w:keepLines/>
              <w:spacing w:after="0" w:line="240" w:lineRule="auto"/>
              <w:jc w:val="both"/>
              <w:rPr>
                <w:rFonts w:ascii="Times New Roman" w:hAnsi="Times New Roman"/>
                <w:noProof/>
                <w:lang w:val="en-US"/>
              </w:rPr>
            </w:pPr>
            <w:r w:rsidRPr="00424616">
              <w:rPr>
                <w:rFonts w:ascii="Times New Roman" w:hAnsi="Times New Roman"/>
                <w:noProof/>
                <w:lang w:val="en-US"/>
              </w:rPr>
              <w:t>Financial outcome of planned economic activities in the current year</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666E46EC" w14:textId="77777777" w:rsidR="00424616" w:rsidRPr="00424616" w:rsidRDefault="00424616" w:rsidP="00467B6A">
            <w:pPr>
              <w:keepNext/>
              <w:keepLines/>
              <w:spacing w:after="0" w:line="240" w:lineRule="auto"/>
              <w:jc w:val="center"/>
              <w:rPr>
                <w:rFonts w:ascii="Times New Roman" w:eastAsia="Times New Roman" w:hAnsi="Times New Roman" w:cs="Times New Roman"/>
                <w:noProof/>
                <w:lang w:val="en-US"/>
              </w:rPr>
            </w:pPr>
            <w:r w:rsidRPr="00424616">
              <w:rPr>
                <w:rFonts w:ascii="Times New Roman" w:hAnsi="Times New Roman"/>
                <w:noProof/>
                <w:lang w:val="en-US"/>
              </w:rPr>
              <w:t>Rez</w:t>
            </w:r>
            <w:r w:rsidRPr="00424616">
              <w:rPr>
                <w:rFonts w:ascii="Times New Roman" w:hAnsi="Times New Roman"/>
                <w:noProof/>
                <w:vertAlign w:val="subscript"/>
                <w:lang w:val="en-US"/>
              </w:rPr>
              <w:t>fakt</w:t>
            </w:r>
            <w:r w:rsidRPr="00424616">
              <w:rPr>
                <w:rFonts w:ascii="Times New Roman" w:hAnsi="Times New Roman"/>
                <w:noProof/>
                <w:lang w:val="en-US"/>
              </w:rPr>
              <w:t xml:space="preserve"> - Rez</w:t>
            </w:r>
            <w:r w:rsidRPr="00424616">
              <w:rPr>
                <w:rFonts w:ascii="Times New Roman" w:hAnsi="Times New Roman"/>
                <w:noProof/>
                <w:vertAlign w:val="subscript"/>
                <w:lang w:val="en-US"/>
              </w:rPr>
              <w:t>pl</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FA3BD7A"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37A8C0D2"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5FFA0769"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15FB4028"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60" w:type="pct"/>
            <w:tcBorders>
              <w:top w:val="outset" w:sz="6" w:space="0" w:color="414142"/>
              <w:left w:val="outset" w:sz="6" w:space="0" w:color="414142"/>
              <w:bottom w:val="outset" w:sz="6" w:space="0" w:color="414142"/>
              <w:right w:val="outset" w:sz="6" w:space="0" w:color="414142"/>
            </w:tcBorders>
            <w:vAlign w:val="center"/>
            <w:hideMark/>
          </w:tcPr>
          <w:p w14:paraId="62D8FF6B"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48" w:type="pct"/>
            <w:tcBorders>
              <w:top w:val="outset" w:sz="6" w:space="0" w:color="414142"/>
              <w:left w:val="outset" w:sz="6" w:space="0" w:color="414142"/>
              <w:bottom w:val="outset" w:sz="6" w:space="0" w:color="414142"/>
              <w:right w:val="outset" w:sz="6" w:space="0" w:color="414142"/>
            </w:tcBorders>
            <w:vAlign w:val="center"/>
            <w:hideMark/>
          </w:tcPr>
          <w:p w14:paraId="39CB9140"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519014DF"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1F7D99F0"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30874762" w14:textId="77777777" w:rsidR="00424616" w:rsidRPr="00424616" w:rsidRDefault="00424616" w:rsidP="00467B6A">
            <w:pPr>
              <w:keepNext/>
              <w:keepLines/>
              <w:spacing w:after="0" w:line="240" w:lineRule="auto"/>
              <w:jc w:val="center"/>
              <w:rPr>
                <w:rFonts w:ascii="Times New Roman" w:hAnsi="Times New Roman"/>
                <w:noProof/>
                <w:lang w:val="en-US"/>
              </w:rPr>
            </w:pPr>
            <w:r w:rsidRPr="00424616">
              <w:rPr>
                <w:rFonts w:ascii="Times New Roman" w:hAnsi="Times New Roman"/>
                <w:noProof/>
                <w:lang w:val="en-US"/>
              </w:rPr>
              <w:t>EUR</w:t>
            </w:r>
          </w:p>
        </w:tc>
      </w:tr>
      <w:tr w:rsidR="00424616" w:rsidRPr="00424616" w14:paraId="48A8C35C" w14:textId="77777777" w:rsidTr="00467B6A">
        <w:tc>
          <w:tcPr>
            <w:tcW w:w="46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A30A616" w14:textId="77777777" w:rsidR="00424616" w:rsidRPr="00424616" w:rsidRDefault="00424616" w:rsidP="00467B6A">
            <w:pPr>
              <w:spacing w:after="0" w:line="240" w:lineRule="auto"/>
              <w:jc w:val="both"/>
              <w:rPr>
                <w:rFonts w:ascii="Times New Roman" w:hAnsi="Times New Roman"/>
                <w:b/>
                <w:noProof/>
                <w:lang w:val="en-US"/>
              </w:rPr>
            </w:pPr>
            <w:r w:rsidRPr="00424616">
              <w:rPr>
                <w:rFonts w:ascii="Times New Roman" w:hAnsi="Times New Roman"/>
                <w:b/>
                <w:noProof/>
                <w:lang w:val="en-US"/>
              </w:rPr>
              <w:t>13.</w:t>
            </w:r>
          </w:p>
        </w:tc>
        <w:tc>
          <w:tcPr>
            <w:tcW w:w="70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7608ECE" w14:textId="77777777" w:rsidR="00424616" w:rsidRPr="00424616" w:rsidRDefault="00424616" w:rsidP="00467B6A">
            <w:pPr>
              <w:spacing w:after="0" w:line="240" w:lineRule="auto"/>
              <w:jc w:val="both"/>
              <w:rPr>
                <w:rFonts w:ascii="Times New Roman" w:hAnsi="Times New Roman"/>
                <w:noProof/>
                <w:lang w:val="en-US"/>
              </w:rPr>
            </w:pPr>
            <w:r w:rsidRPr="00424616">
              <w:rPr>
                <w:rFonts w:ascii="Times New Roman" w:hAnsi="Times New Roman"/>
                <w:noProof/>
                <w:lang w:val="en-US"/>
              </w:rPr>
              <w:t>Adjustment for the financial outcome of the actual economic activity of the previous period**</w:t>
            </w:r>
          </w:p>
        </w:tc>
        <w:tc>
          <w:tcPr>
            <w:tcW w:w="687"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E535592" w14:textId="77777777" w:rsidR="00424616" w:rsidRPr="00424616" w:rsidRDefault="00424616" w:rsidP="00467B6A">
            <w:pPr>
              <w:spacing w:after="0" w:line="240" w:lineRule="auto"/>
              <w:jc w:val="center"/>
              <w:rPr>
                <w:rFonts w:ascii="Times New Roman" w:eastAsia="Times New Roman" w:hAnsi="Times New Roman" w:cs="Times New Roman"/>
                <w:noProof/>
                <w:lang w:val="en-US"/>
              </w:rPr>
            </w:pPr>
            <w:r w:rsidRPr="00424616">
              <w:rPr>
                <w:rFonts w:ascii="Times New Roman" w:eastAsia="Times New Roman" w:hAnsi="Times New Roman" w:cs="Times New Roman"/>
                <w:noProof/>
                <w:lang w:val="en-US"/>
              </w:rPr>
              <w:drawing>
                <wp:inline distT="0" distB="0" distL="0" distR="0" wp14:anchorId="40B08E6F" wp14:editId="50551EFA">
                  <wp:extent cx="1234440" cy="3200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4440" cy="320040"/>
                          </a:xfrm>
                          <a:prstGeom prst="rect">
                            <a:avLst/>
                          </a:prstGeom>
                          <a:noFill/>
                          <a:ln>
                            <a:noFill/>
                          </a:ln>
                        </pic:spPr>
                      </pic:pic>
                    </a:graphicData>
                  </a:graphic>
                </wp:inline>
              </w:drawing>
            </w:r>
          </w:p>
        </w:tc>
        <w:tc>
          <w:tcPr>
            <w:tcW w:w="55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E06889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87"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BB419A5"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44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748BFA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6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CEC8AE3"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6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998E28F"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4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938555A"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41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12F2986"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437"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958CCA0"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c>
          <w:tcPr>
            <w:tcW w:w="23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EAEF2E2" w14:textId="77777777" w:rsidR="00424616" w:rsidRPr="00424616" w:rsidRDefault="00424616" w:rsidP="00467B6A">
            <w:pPr>
              <w:spacing w:after="0" w:line="240" w:lineRule="auto"/>
              <w:jc w:val="center"/>
              <w:rPr>
                <w:rFonts w:ascii="Times New Roman" w:hAnsi="Times New Roman"/>
                <w:noProof/>
                <w:lang w:val="en-US"/>
              </w:rPr>
            </w:pPr>
            <w:r w:rsidRPr="00424616">
              <w:rPr>
                <w:rFonts w:ascii="Times New Roman" w:hAnsi="Times New Roman"/>
                <w:noProof/>
                <w:lang w:val="en-US"/>
              </w:rPr>
              <w:t>EUR</w:t>
            </w:r>
          </w:p>
        </w:tc>
      </w:tr>
    </w:tbl>
    <w:p w14:paraId="0D5B729F"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48FB35"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 shall not be calculated (included only in the calculation of the participation fee)</w:t>
      </w:r>
    </w:p>
    <w:p w14:paraId="72D9D1A1"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rPr>
      </w:pPr>
      <w:r w:rsidRPr="00424616">
        <w:rPr>
          <w:rFonts w:ascii="Times New Roman" w:hAnsi="Times New Roman"/>
          <w:noProof/>
          <w:sz w:val="24"/>
          <w:lang w:val="en-US"/>
        </w:rPr>
        <w:t>** difference of Row 12 (Rez</w:t>
      </w:r>
      <w:r w:rsidRPr="00424616">
        <w:rPr>
          <w:rFonts w:ascii="Times New Roman" w:hAnsi="Times New Roman"/>
          <w:noProof/>
          <w:sz w:val="24"/>
          <w:vertAlign w:val="subscript"/>
          <w:lang w:val="en-US"/>
        </w:rPr>
        <w:t>fakt</w:t>
      </w:r>
      <w:r w:rsidRPr="00424616">
        <w:rPr>
          <w:rFonts w:ascii="Times New Roman" w:hAnsi="Times New Roman"/>
          <w:noProof/>
          <w:sz w:val="24"/>
          <w:lang w:val="en-US"/>
        </w:rPr>
        <w:t> – Rez</w:t>
      </w:r>
      <w:r w:rsidRPr="00424616">
        <w:rPr>
          <w:rFonts w:ascii="Times New Roman" w:hAnsi="Times New Roman"/>
          <w:noProof/>
          <w:sz w:val="24"/>
          <w:vertAlign w:val="subscript"/>
          <w:lang w:val="en-US"/>
        </w:rPr>
        <w:t>pl</w:t>
      </w:r>
      <w:r w:rsidRPr="00424616">
        <w:rPr>
          <w:rFonts w:ascii="Times New Roman" w:hAnsi="Times New Roman"/>
          <w:noProof/>
          <w:sz w:val="24"/>
          <w:lang w:val="en-US"/>
        </w:rPr>
        <w:t>) of reporting year is summed up, and also the differences calculated in the reports of the previous years if they have not yet been adjusted according to the effective participation fee</w:t>
      </w:r>
    </w:p>
    <w:p w14:paraId="294C023A"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E44E8"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The merchant shall submit to the Regulator an explanation of the changes that have occurred in the reporting year, comparing the information included in the applicable participation fee and the report for the previous year, information on significant actual or planned changes in the quantity of managed deposit packaging or technological changes in the activities of the merchant, and also regarding economic activities started or terminated in the reporting year.</w:t>
      </w:r>
    </w:p>
    <w:p w14:paraId="2CA67051"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061"/>
      </w:tblGrid>
      <w:tr w:rsidR="00424616" w:rsidRPr="00424616" w14:paraId="28059C27" w14:textId="77777777" w:rsidTr="00467B6A">
        <w:tc>
          <w:tcPr>
            <w:tcW w:w="5000" w:type="pct"/>
            <w:shd w:val="clear" w:color="auto" w:fill="FFFFFF"/>
            <w:hideMark/>
          </w:tcPr>
          <w:p w14:paraId="082FACD2"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Explanations:</w:t>
            </w:r>
          </w:p>
        </w:tc>
      </w:tr>
      <w:tr w:rsidR="00424616" w:rsidRPr="00424616" w14:paraId="29BADCB7" w14:textId="77777777" w:rsidTr="00467B6A">
        <w:tc>
          <w:tcPr>
            <w:tcW w:w="5000" w:type="pct"/>
            <w:shd w:val="clear" w:color="auto" w:fill="FFFFFF"/>
            <w:vAlign w:val="center"/>
            <w:hideMark/>
          </w:tcPr>
          <w:p w14:paraId="7A444FE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bl>
    <w:p w14:paraId="00B21327"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957B43"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[1] Information shall be prepared according to the provisions of the methodology issued by the Public Utilities Commission on calculation of the deposit system participation fee.</w:t>
      </w:r>
    </w:p>
    <w:p w14:paraId="63A686BD"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[2] Numbering and designations conform to the provisions of the methodology issued by the Public Utilities Commission regarding calculation of the deposit system participation fee.</w:t>
      </w:r>
    </w:p>
    <w:p w14:paraId="068BFE52"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A8345B"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Date ____.____.__________________</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354"/>
        <w:gridCol w:w="3443"/>
        <w:gridCol w:w="1274"/>
      </w:tblGrid>
      <w:tr w:rsidR="00424616" w:rsidRPr="00424616" w14:paraId="46450872" w14:textId="77777777" w:rsidTr="00467B6A">
        <w:tc>
          <w:tcPr>
            <w:tcW w:w="2400" w:type="pct"/>
            <w:tcBorders>
              <w:top w:val="nil"/>
              <w:left w:val="nil"/>
              <w:bottom w:val="nil"/>
              <w:right w:val="nil"/>
            </w:tcBorders>
            <w:shd w:val="clear" w:color="auto" w:fill="FFFFFF"/>
            <w:hideMark/>
          </w:tcPr>
          <w:p w14:paraId="26ED531D"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p w14:paraId="799A4105" w14:textId="77777777" w:rsidR="00424616" w:rsidRPr="00424616" w:rsidRDefault="00424616" w:rsidP="00467B6A">
            <w:pPr>
              <w:spacing w:after="0" w:line="240" w:lineRule="auto"/>
              <w:jc w:val="both"/>
              <w:rPr>
                <w:rFonts w:ascii="Times New Roman" w:hAnsi="Times New Roman"/>
                <w:noProof/>
                <w:sz w:val="24"/>
                <w:lang w:val="en-US"/>
              </w:rPr>
            </w:pPr>
            <w:r w:rsidRPr="00424616">
              <w:rPr>
                <w:rFonts w:ascii="Times New Roman" w:hAnsi="Times New Roman"/>
                <w:noProof/>
                <w:sz w:val="24"/>
                <w:lang w:val="en-US"/>
              </w:rPr>
              <w:t>Person entitled to represent the merchant</w:t>
            </w:r>
          </w:p>
        </w:tc>
        <w:tc>
          <w:tcPr>
            <w:tcW w:w="1898" w:type="pct"/>
            <w:tcBorders>
              <w:top w:val="nil"/>
              <w:left w:val="nil"/>
              <w:bottom w:val="single" w:sz="6" w:space="0" w:color="414142"/>
              <w:right w:val="nil"/>
            </w:tcBorders>
            <w:shd w:val="clear" w:color="auto" w:fill="FFFFFF"/>
            <w:hideMark/>
          </w:tcPr>
          <w:p w14:paraId="2DBD5394"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nil"/>
              <w:left w:val="nil"/>
              <w:bottom w:val="nil"/>
              <w:right w:val="nil"/>
            </w:tcBorders>
            <w:shd w:val="clear" w:color="auto" w:fill="FFFFFF"/>
          </w:tcPr>
          <w:p w14:paraId="533C2AD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02ADDD2F" w14:textId="77777777" w:rsidTr="00467B6A">
        <w:tc>
          <w:tcPr>
            <w:tcW w:w="2400" w:type="pct"/>
            <w:tcBorders>
              <w:top w:val="nil"/>
              <w:left w:val="nil"/>
              <w:bottom w:val="nil"/>
              <w:right w:val="nil"/>
            </w:tcBorders>
            <w:shd w:val="clear" w:color="auto" w:fill="FFFFFF"/>
            <w:hideMark/>
          </w:tcPr>
          <w:p w14:paraId="6161E50A"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1898" w:type="pct"/>
            <w:tcBorders>
              <w:top w:val="outset" w:sz="6" w:space="0" w:color="414142"/>
              <w:left w:val="nil"/>
              <w:bottom w:val="nil"/>
              <w:right w:val="nil"/>
            </w:tcBorders>
            <w:shd w:val="clear" w:color="auto" w:fill="FFFFFF"/>
            <w:hideMark/>
          </w:tcPr>
          <w:p w14:paraId="039C927E"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/signature and full name*/</w:t>
            </w:r>
          </w:p>
        </w:tc>
        <w:tc>
          <w:tcPr>
            <w:tcW w:w="702" w:type="pct"/>
            <w:tcBorders>
              <w:top w:val="nil"/>
              <w:left w:val="nil"/>
              <w:bottom w:val="nil"/>
              <w:right w:val="nil"/>
            </w:tcBorders>
            <w:shd w:val="clear" w:color="auto" w:fill="FFFFFF"/>
          </w:tcPr>
          <w:p w14:paraId="28ACA7CB"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bl>
    <w:p w14:paraId="630AFDA8" w14:textId="77777777" w:rsidR="00424616" w:rsidRPr="00424616" w:rsidRDefault="00424616" w:rsidP="0042461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543"/>
        <w:gridCol w:w="5528"/>
      </w:tblGrid>
      <w:tr w:rsidR="00424616" w:rsidRPr="00424616" w14:paraId="089AA6E4" w14:textId="77777777" w:rsidTr="00467B6A">
        <w:tc>
          <w:tcPr>
            <w:tcW w:w="1953" w:type="pct"/>
            <w:tcBorders>
              <w:top w:val="nil"/>
              <w:left w:val="nil"/>
              <w:bottom w:val="single" w:sz="6" w:space="0" w:color="414142"/>
              <w:right w:val="nil"/>
            </w:tcBorders>
            <w:shd w:val="clear" w:color="auto" w:fill="FFFFFF"/>
            <w:hideMark/>
          </w:tcPr>
          <w:p w14:paraId="37B20EF8"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c>
          <w:tcPr>
            <w:tcW w:w="3047" w:type="pct"/>
            <w:tcBorders>
              <w:top w:val="nil"/>
              <w:left w:val="nil"/>
              <w:bottom w:val="nil"/>
              <w:right w:val="nil"/>
            </w:tcBorders>
            <w:shd w:val="clear" w:color="auto" w:fill="FFFFFF"/>
            <w:hideMark/>
          </w:tcPr>
          <w:p w14:paraId="44F51104"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r w:rsidR="00424616" w:rsidRPr="00424616" w14:paraId="127986E9" w14:textId="77777777" w:rsidTr="00467B6A">
        <w:tc>
          <w:tcPr>
            <w:tcW w:w="1953" w:type="pct"/>
            <w:tcBorders>
              <w:top w:val="outset" w:sz="6" w:space="0" w:color="414142"/>
              <w:left w:val="nil"/>
              <w:bottom w:val="nil"/>
              <w:right w:val="nil"/>
            </w:tcBorders>
            <w:shd w:val="clear" w:color="auto" w:fill="FFFFFF"/>
            <w:hideMark/>
          </w:tcPr>
          <w:p w14:paraId="3001238A" w14:textId="77777777" w:rsidR="00424616" w:rsidRPr="00424616" w:rsidRDefault="00424616" w:rsidP="00467B6A">
            <w:pPr>
              <w:spacing w:after="0" w:line="240" w:lineRule="auto"/>
              <w:jc w:val="center"/>
              <w:rPr>
                <w:rFonts w:ascii="Times New Roman" w:hAnsi="Times New Roman"/>
                <w:noProof/>
                <w:sz w:val="24"/>
                <w:lang w:val="en-US"/>
              </w:rPr>
            </w:pPr>
            <w:r w:rsidRPr="00424616">
              <w:rPr>
                <w:rFonts w:ascii="Times New Roman" w:hAnsi="Times New Roman"/>
                <w:noProof/>
                <w:sz w:val="24"/>
                <w:lang w:val="en-US"/>
              </w:rPr>
              <w:t>/given name, surname of the person who prepared the document/</w:t>
            </w:r>
          </w:p>
        </w:tc>
        <w:tc>
          <w:tcPr>
            <w:tcW w:w="3047" w:type="pct"/>
            <w:tcBorders>
              <w:top w:val="nil"/>
              <w:left w:val="nil"/>
              <w:bottom w:val="nil"/>
              <w:right w:val="nil"/>
            </w:tcBorders>
            <w:shd w:val="clear" w:color="auto" w:fill="FFFFFF"/>
            <w:hideMark/>
          </w:tcPr>
          <w:p w14:paraId="36BD2D24" w14:textId="77777777" w:rsidR="00424616" w:rsidRPr="00424616" w:rsidRDefault="00424616" w:rsidP="00467B6A">
            <w:pPr>
              <w:spacing w:after="0" w:line="240" w:lineRule="auto"/>
              <w:jc w:val="both"/>
              <w:rPr>
                <w:rFonts w:ascii="Times New Roman" w:eastAsia="Times New Roman" w:hAnsi="Times New Roman" w:cs="Times New Roman"/>
                <w:noProof/>
                <w:sz w:val="24"/>
                <w:szCs w:val="24"/>
                <w:lang w:val="en-US" w:eastAsia="lv-LV"/>
              </w:rPr>
            </w:pPr>
          </w:p>
        </w:tc>
      </w:tr>
    </w:tbl>
    <w:p w14:paraId="5B396166" w14:textId="77777777" w:rsidR="00424616" w:rsidRPr="00424616" w:rsidRDefault="00424616" w:rsidP="004246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5A6E35"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Telephone __________________</w:t>
      </w:r>
    </w:p>
    <w:p w14:paraId="7F42AD29"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E-mail __________________</w:t>
      </w:r>
    </w:p>
    <w:p w14:paraId="3BF9E9CB" w14:textId="77777777" w:rsidR="00424616" w:rsidRPr="00424616" w:rsidRDefault="00424616" w:rsidP="00424616">
      <w:pPr>
        <w:pStyle w:val="naisf"/>
        <w:spacing w:before="0" w:beforeAutospacing="0" w:after="0" w:afterAutospacing="0"/>
        <w:rPr>
          <w:noProof/>
          <w:lang w:val="en-US"/>
        </w:rPr>
      </w:pPr>
    </w:p>
    <w:p w14:paraId="7D8AD9CC" w14:textId="77777777" w:rsidR="00424616" w:rsidRPr="00424616" w:rsidRDefault="00424616" w:rsidP="00424616">
      <w:pPr>
        <w:shd w:val="clear" w:color="auto" w:fill="FFFFFF"/>
        <w:spacing w:after="0" w:line="240" w:lineRule="auto"/>
        <w:jc w:val="both"/>
        <w:rPr>
          <w:rFonts w:ascii="Times New Roman" w:hAnsi="Times New Roman"/>
          <w:noProof/>
          <w:sz w:val="24"/>
          <w:lang w:val="en-US"/>
        </w:rPr>
      </w:pPr>
      <w:r w:rsidRPr="00424616">
        <w:rPr>
          <w:rFonts w:ascii="Times New Roman" w:hAnsi="Times New Roman"/>
          <w:noProof/>
          <w:sz w:val="24"/>
          <w:lang w:val="en-US"/>
        </w:rPr>
        <w:t>* Note. The details of the document “date” and “signature” need not be completed, if the electronic document has been prepared in accordance with the laws and regulations regarding drawing up of electronic documents.</w:t>
      </w:r>
    </w:p>
    <w:p w14:paraId="52D26B22" w14:textId="77777777" w:rsidR="00424616" w:rsidRPr="00424616" w:rsidRDefault="00424616" w:rsidP="00424616">
      <w:pPr>
        <w:spacing w:after="0" w:line="240" w:lineRule="auto"/>
        <w:jc w:val="both"/>
        <w:rPr>
          <w:rFonts w:ascii="Times New Roman" w:hAnsi="Times New Roman" w:cs="Times New Roman"/>
          <w:noProof/>
          <w:sz w:val="24"/>
          <w:szCs w:val="24"/>
          <w:lang w:val="en-US"/>
        </w:rPr>
      </w:pPr>
    </w:p>
    <w:sectPr w:rsidR="00424616" w:rsidRPr="00424616" w:rsidSect="0058109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8973" w14:textId="77777777" w:rsidR="00220D96" w:rsidRPr="00424616" w:rsidRDefault="00220D96" w:rsidP="004D2BA6">
      <w:pPr>
        <w:spacing w:after="0" w:line="240" w:lineRule="auto"/>
        <w:rPr>
          <w:noProof/>
          <w:lang w:val="en-US"/>
        </w:rPr>
      </w:pPr>
      <w:r w:rsidRPr="00424616">
        <w:rPr>
          <w:noProof/>
          <w:lang w:val="en-US"/>
        </w:rPr>
        <w:separator/>
      </w:r>
    </w:p>
  </w:endnote>
  <w:endnote w:type="continuationSeparator" w:id="0">
    <w:p w14:paraId="627F8296" w14:textId="77777777" w:rsidR="00220D96" w:rsidRPr="00424616" w:rsidRDefault="00220D96" w:rsidP="004D2BA6">
      <w:pPr>
        <w:spacing w:after="0" w:line="240" w:lineRule="auto"/>
        <w:rPr>
          <w:noProof/>
          <w:lang w:val="en-US"/>
        </w:rPr>
      </w:pPr>
      <w:r w:rsidRPr="0042461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09A3" w14:textId="77777777" w:rsidR="00424616" w:rsidRDefault="00424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9524" w14:textId="77777777" w:rsidR="00C66038" w:rsidRPr="00424616" w:rsidRDefault="00C66038" w:rsidP="00C66038">
    <w:pPr>
      <w:pStyle w:val="Footer"/>
      <w:tabs>
        <w:tab w:val="right" w:pos="9072"/>
      </w:tabs>
      <w:rPr>
        <w:rFonts w:ascii="Times New Roman" w:hAnsi="Times New Roman" w:cs="Times New Roman"/>
        <w:noProof/>
        <w:sz w:val="20"/>
        <w:lang w:val="en-US"/>
      </w:rPr>
    </w:pPr>
  </w:p>
  <w:p w14:paraId="7E535C41" w14:textId="23C33AC3" w:rsidR="00C05D4C" w:rsidRPr="00424616" w:rsidRDefault="00C66038" w:rsidP="00C66038">
    <w:pPr>
      <w:pStyle w:val="Footer"/>
      <w:tabs>
        <w:tab w:val="right" w:pos="9072"/>
      </w:tabs>
      <w:rPr>
        <w:rFonts w:ascii="Times New Roman" w:hAnsi="Times New Roman" w:cs="Times New Roman"/>
        <w:noProof/>
        <w:sz w:val="20"/>
        <w:lang w:val="en-US"/>
      </w:rPr>
    </w:pPr>
    <w:r w:rsidRPr="00424616">
      <w:rPr>
        <w:rFonts w:ascii="Times New Roman" w:hAnsi="Times New Roman" w:cs="Times New Roman"/>
        <w:noProof/>
        <w:sz w:val="20"/>
        <w:lang w:val="en-US"/>
      </w:rPr>
      <w:t xml:space="preserve">Translation </w:t>
    </w:r>
    <w:r w:rsidRPr="00424616">
      <w:rPr>
        <w:rFonts w:ascii="Times New Roman" w:hAnsi="Times New Roman" w:cs="Times New Roman"/>
        <w:noProof/>
        <w:sz w:val="20"/>
        <w:lang w:val="en-US"/>
      </w:rPr>
      <w:fldChar w:fldCharType="begin"/>
    </w:r>
    <w:r w:rsidRPr="00424616">
      <w:rPr>
        <w:rFonts w:ascii="Times New Roman" w:hAnsi="Times New Roman" w:cs="Times New Roman"/>
        <w:noProof/>
        <w:sz w:val="20"/>
        <w:lang w:val="en-US"/>
      </w:rPr>
      <w:instrText>symbol 169 \f "UnivrstyRoman TL" \s 8</w:instrText>
    </w:r>
    <w:r w:rsidRPr="00424616">
      <w:rPr>
        <w:rFonts w:ascii="Times New Roman" w:hAnsi="Times New Roman" w:cs="Times New Roman"/>
        <w:noProof/>
        <w:sz w:val="20"/>
        <w:lang w:val="en-US"/>
      </w:rPr>
      <w:fldChar w:fldCharType="separate"/>
    </w:r>
    <w:r w:rsidRPr="00424616">
      <w:rPr>
        <w:rFonts w:ascii="Times New Roman" w:hAnsi="Times New Roman" w:cs="Times New Roman"/>
        <w:noProof/>
        <w:sz w:val="20"/>
        <w:lang w:val="en-US"/>
      </w:rPr>
      <w:t>©</w:t>
    </w:r>
    <w:r w:rsidRPr="00424616">
      <w:rPr>
        <w:rFonts w:ascii="Times New Roman" w:hAnsi="Times New Roman" w:cs="Times New Roman"/>
        <w:noProof/>
        <w:sz w:val="20"/>
        <w:lang w:val="en-US"/>
      </w:rPr>
      <w:fldChar w:fldCharType="end"/>
    </w:r>
    <w:r w:rsidRPr="00424616">
      <w:rPr>
        <w:rFonts w:ascii="Times New Roman" w:hAnsi="Times New Roman" w:cs="Times New Roman"/>
        <w:noProof/>
        <w:sz w:val="20"/>
        <w:lang w:val="en-US"/>
      </w:rPr>
      <w:t xml:space="preserve"> 2022 Valsts valodas centrs (State Language Centre)</w:t>
    </w:r>
    <w:r w:rsidRPr="00424616">
      <w:rPr>
        <w:rFonts w:ascii="Times New Roman" w:hAnsi="Times New Roman" w:cs="Times New Roman"/>
        <w:noProof/>
        <w:sz w:val="20"/>
        <w:lang w:val="en-US"/>
      </w:rPr>
      <w:tab/>
    </w:r>
    <w:r w:rsidRPr="00424616">
      <w:rPr>
        <w:rStyle w:val="PageNumber"/>
        <w:rFonts w:ascii="Times New Roman" w:hAnsi="Times New Roman" w:cs="Times New Roman"/>
        <w:noProof/>
        <w:sz w:val="20"/>
        <w:lang w:val="en-US"/>
      </w:rPr>
      <w:fldChar w:fldCharType="begin"/>
    </w:r>
    <w:r w:rsidRPr="00424616">
      <w:rPr>
        <w:rStyle w:val="PageNumber"/>
        <w:rFonts w:ascii="Times New Roman" w:hAnsi="Times New Roman" w:cs="Times New Roman"/>
        <w:noProof/>
        <w:sz w:val="20"/>
        <w:lang w:val="en-US"/>
      </w:rPr>
      <w:instrText xml:space="preserve"> PAGE </w:instrText>
    </w:r>
    <w:r w:rsidRPr="00424616">
      <w:rPr>
        <w:rStyle w:val="PageNumber"/>
        <w:rFonts w:ascii="Times New Roman" w:hAnsi="Times New Roman" w:cs="Times New Roman"/>
        <w:noProof/>
        <w:sz w:val="20"/>
        <w:lang w:val="en-US"/>
      </w:rPr>
      <w:fldChar w:fldCharType="separate"/>
    </w:r>
    <w:r w:rsidRPr="00424616">
      <w:rPr>
        <w:rStyle w:val="PageNumber"/>
        <w:rFonts w:ascii="Times New Roman" w:hAnsi="Times New Roman" w:cs="Times New Roman"/>
        <w:noProof/>
        <w:sz w:val="20"/>
        <w:lang w:val="en-US"/>
      </w:rPr>
      <w:t>2</w:t>
    </w:r>
    <w:r w:rsidRPr="00424616">
      <w:rPr>
        <w:rStyle w:val="PageNumber"/>
        <w:rFonts w:ascii="Times New Roman" w:hAnsi="Times New Roman"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79CF" w14:textId="77777777" w:rsidR="00A608C8" w:rsidRPr="00424616" w:rsidRDefault="00A608C8" w:rsidP="00A608C8">
    <w:pPr>
      <w:pStyle w:val="Footer"/>
      <w:rPr>
        <w:rFonts w:ascii="Times New Roman" w:hAnsi="Times New Roman" w:cs="Times New Roman"/>
        <w:noProof/>
        <w:sz w:val="20"/>
        <w:lang w:val="en-US"/>
      </w:rPr>
    </w:pPr>
  </w:p>
  <w:p w14:paraId="40281AEC" w14:textId="0C1FBAB1" w:rsidR="00C05D4C" w:rsidRPr="00424616" w:rsidRDefault="00A608C8">
    <w:pPr>
      <w:pStyle w:val="Footer"/>
      <w:rPr>
        <w:rFonts w:ascii="Times New Roman" w:hAnsi="Times New Roman" w:cs="Times New Roman"/>
        <w:noProof/>
        <w:sz w:val="20"/>
        <w:lang w:val="en-US"/>
      </w:rPr>
    </w:pPr>
    <w:r w:rsidRPr="00424616">
      <w:rPr>
        <w:rFonts w:ascii="Times New Roman" w:hAnsi="Times New Roman" w:cs="Times New Roman"/>
        <w:noProof/>
        <w:sz w:val="20"/>
        <w:lang w:val="en-US"/>
      </w:rPr>
      <w:t xml:space="preserve">Translation </w:t>
    </w:r>
    <w:r w:rsidRPr="00424616">
      <w:rPr>
        <w:rFonts w:ascii="Times New Roman" w:hAnsi="Times New Roman" w:cs="Times New Roman"/>
        <w:noProof/>
        <w:sz w:val="20"/>
        <w:lang w:val="en-US"/>
      </w:rPr>
      <w:fldChar w:fldCharType="begin"/>
    </w:r>
    <w:r w:rsidRPr="00424616">
      <w:rPr>
        <w:rFonts w:ascii="Times New Roman" w:hAnsi="Times New Roman" w:cs="Times New Roman"/>
        <w:noProof/>
        <w:sz w:val="20"/>
        <w:lang w:val="en-US"/>
      </w:rPr>
      <w:instrText>symbol 169 \f "UnivrstyRoman TL" \s 8</w:instrText>
    </w:r>
    <w:r w:rsidRPr="00424616">
      <w:rPr>
        <w:rFonts w:ascii="Times New Roman" w:hAnsi="Times New Roman" w:cs="Times New Roman"/>
        <w:noProof/>
        <w:sz w:val="20"/>
        <w:lang w:val="en-US"/>
      </w:rPr>
      <w:fldChar w:fldCharType="separate"/>
    </w:r>
    <w:r w:rsidRPr="00424616">
      <w:rPr>
        <w:rFonts w:ascii="Times New Roman" w:hAnsi="Times New Roman" w:cs="Times New Roman"/>
        <w:noProof/>
        <w:sz w:val="20"/>
        <w:lang w:val="en-US"/>
      </w:rPr>
      <w:t>©</w:t>
    </w:r>
    <w:r w:rsidRPr="00424616">
      <w:rPr>
        <w:rFonts w:ascii="Times New Roman" w:hAnsi="Times New Roman" w:cs="Times New Roman"/>
        <w:noProof/>
        <w:sz w:val="20"/>
        <w:lang w:val="en-US"/>
      </w:rPr>
      <w:fldChar w:fldCharType="end"/>
    </w:r>
    <w:r w:rsidRPr="00424616">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E86E" w14:textId="77777777" w:rsidR="00220D96" w:rsidRPr="00424616" w:rsidRDefault="00220D96" w:rsidP="004D2BA6">
      <w:pPr>
        <w:spacing w:after="0" w:line="240" w:lineRule="auto"/>
        <w:rPr>
          <w:noProof/>
          <w:lang w:val="en-US"/>
        </w:rPr>
      </w:pPr>
      <w:r w:rsidRPr="00424616">
        <w:rPr>
          <w:noProof/>
          <w:lang w:val="en-US"/>
        </w:rPr>
        <w:separator/>
      </w:r>
    </w:p>
  </w:footnote>
  <w:footnote w:type="continuationSeparator" w:id="0">
    <w:p w14:paraId="22825F6B" w14:textId="77777777" w:rsidR="00220D96" w:rsidRPr="00424616" w:rsidRDefault="00220D96" w:rsidP="004D2BA6">
      <w:pPr>
        <w:spacing w:after="0" w:line="240" w:lineRule="auto"/>
        <w:rPr>
          <w:noProof/>
          <w:lang w:val="en-US"/>
        </w:rPr>
      </w:pPr>
      <w:r w:rsidRPr="0042461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8B5A" w14:textId="77777777" w:rsidR="00424616" w:rsidRDefault="00424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235F" w14:textId="77777777" w:rsidR="00424616" w:rsidRDefault="00424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88A0" w14:textId="77777777" w:rsidR="00424616" w:rsidRDefault="00424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F1"/>
    <w:rsid w:val="00005691"/>
    <w:rsid w:val="00042237"/>
    <w:rsid w:val="00045029"/>
    <w:rsid w:val="00052489"/>
    <w:rsid w:val="000673F7"/>
    <w:rsid w:val="000C0EE4"/>
    <w:rsid w:val="000E544D"/>
    <w:rsid w:val="001629DD"/>
    <w:rsid w:val="001726B4"/>
    <w:rsid w:val="001C6E8F"/>
    <w:rsid w:val="00220D96"/>
    <w:rsid w:val="00271D40"/>
    <w:rsid w:val="00284472"/>
    <w:rsid w:val="002A613B"/>
    <w:rsid w:val="00372213"/>
    <w:rsid w:val="00385D83"/>
    <w:rsid w:val="003B3F7E"/>
    <w:rsid w:val="003E6A15"/>
    <w:rsid w:val="00400068"/>
    <w:rsid w:val="00424616"/>
    <w:rsid w:val="004454AB"/>
    <w:rsid w:val="004603FD"/>
    <w:rsid w:val="004832C7"/>
    <w:rsid w:val="004D2BA6"/>
    <w:rsid w:val="004F61AE"/>
    <w:rsid w:val="0052147E"/>
    <w:rsid w:val="00564499"/>
    <w:rsid w:val="00565D9B"/>
    <w:rsid w:val="0058109B"/>
    <w:rsid w:val="00581328"/>
    <w:rsid w:val="005C4697"/>
    <w:rsid w:val="005F40DC"/>
    <w:rsid w:val="00641CE0"/>
    <w:rsid w:val="00655887"/>
    <w:rsid w:val="006C00BD"/>
    <w:rsid w:val="00763225"/>
    <w:rsid w:val="00763E81"/>
    <w:rsid w:val="00772D7B"/>
    <w:rsid w:val="007A797C"/>
    <w:rsid w:val="007C397E"/>
    <w:rsid w:val="007C4F5A"/>
    <w:rsid w:val="007F204E"/>
    <w:rsid w:val="008411C8"/>
    <w:rsid w:val="008824E4"/>
    <w:rsid w:val="0089716F"/>
    <w:rsid w:val="0090270C"/>
    <w:rsid w:val="00913D7A"/>
    <w:rsid w:val="00945E02"/>
    <w:rsid w:val="009535BA"/>
    <w:rsid w:val="00964D47"/>
    <w:rsid w:val="00993798"/>
    <w:rsid w:val="00994854"/>
    <w:rsid w:val="00A360E8"/>
    <w:rsid w:val="00A604AE"/>
    <w:rsid w:val="00A608C8"/>
    <w:rsid w:val="00A65E5B"/>
    <w:rsid w:val="00B84152"/>
    <w:rsid w:val="00BB7665"/>
    <w:rsid w:val="00BC3D7A"/>
    <w:rsid w:val="00BE69CA"/>
    <w:rsid w:val="00C05D4C"/>
    <w:rsid w:val="00C505B6"/>
    <w:rsid w:val="00C66038"/>
    <w:rsid w:val="00C95E46"/>
    <w:rsid w:val="00CA469E"/>
    <w:rsid w:val="00CA7A36"/>
    <w:rsid w:val="00CE1C35"/>
    <w:rsid w:val="00D07F48"/>
    <w:rsid w:val="00D30B15"/>
    <w:rsid w:val="00D4538A"/>
    <w:rsid w:val="00D61025"/>
    <w:rsid w:val="00DE21F1"/>
    <w:rsid w:val="00E12FC3"/>
    <w:rsid w:val="00E30A42"/>
    <w:rsid w:val="00E324AD"/>
    <w:rsid w:val="00E41EAC"/>
    <w:rsid w:val="00EB38FD"/>
    <w:rsid w:val="00EB5888"/>
    <w:rsid w:val="00F22D59"/>
    <w:rsid w:val="00F3535C"/>
    <w:rsid w:val="00F52A30"/>
    <w:rsid w:val="00F938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BB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3E8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3E81"/>
    <w:rPr>
      <w:rFonts w:ascii="Times New Roman" w:eastAsia="Times New Roman" w:hAnsi="Times New Roman" w:cs="Times New Roman"/>
      <w:b/>
      <w:bCs/>
      <w:sz w:val="27"/>
      <w:szCs w:val="27"/>
      <w:lang w:eastAsia="lv-LV"/>
    </w:rPr>
  </w:style>
  <w:style w:type="paragraph" w:customStyle="1" w:styleId="msonormal0">
    <w:name w:val="msonormal"/>
    <w:basedOn w:val="Normal"/>
    <w:rsid w:val="00763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763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763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763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nhideWhenUsed/>
    <w:rsid w:val="00763E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763E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360E8"/>
    <w:rPr>
      <w:color w:val="0000FF"/>
      <w:u w:val="single"/>
    </w:rPr>
  </w:style>
  <w:style w:type="character" w:styleId="FollowedHyperlink">
    <w:name w:val="FollowedHyperlink"/>
    <w:basedOn w:val="DefaultParagraphFont"/>
    <w:uiPriority w:val="99"/>
    <w:semiHidden/>
    <w:unhideWhenUsed/>
    <w:rsid w:val="00A360E8"/>
    <w:rPr>
      <w:color w:val="800080"/>
      <w:u w:val="single"/>
    </w:rPr>
  </w:style>
  <w:style w:type="paragraph" w:customStyle="1" w:styleId="tv213">
    <w:name w:val="tv213"/>
    <w:basedOn w:val="Normal"/>
    <w:rsid w:val="00A360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A360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D2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BA6"/>
  </w:style>
  <w:style w:type="paragraph" w:styleId="Footer">
    <w:name w:val="footer"/>
    <w:basedOn w:val="Normal"/>
    <w:link w:val="FooterChar"/>
    <w:unhideWhenUsed/>
    <w:rsid w:val="004D2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BA6"/>
  </w:style>
  <w:style w:type="paragraph" w:styleId="ListParagraph">
    <w:name w:val="List Paragraph"/>
    <w:basedOn w:val="Normal"/>
    <w:uiPriority w:val="34"/>
    <w:qFormat/>
    <w:rsid w:val="00372213"/>
    <w:pPr>
      <w:ind w:left="720"/>
      <w:contextualSpacing/>
    </w:pPr>
  </w:style>
  <w:style w:type="paragraph" w:customStyle="1" w:styleId="naisf">
    <w:name w:val="naisf"/>
    <w:basedOn w:val="Normal"/>
    <w:rsid w:val="00D4538A"/>
    <w:pPr>
      <w:spacing w:before="100" w:beforeAutospacing="1" w:after="100" w:afterAutospacing="1" w:line="240" w:lineRule="auto"/>
      <w:jc w:val="both"/>
    </w:pPr>
    <w:rPr>
      <w:rFonts w:ascii="Times New Roman" w:eastAsia="Times New Roman" w:hAnsi="Times New Roman" w:cs="Times New Roman"/>
      <w:sz w:val="24"/>
      <w:szCs w:val="24"/>
      <w:lang w:eastAsia="lv-LV"/>
    </w:rPr>
  </w:style>
  <w:style w:type="paragraph" w:styleId="BlockText">
    <w:name w:val="Block Text"/>
    <w:basedOn w:val="Normal"/>
    <w:rsid w:val="00BC3D7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basedOn w:val="DefaultParagraphFont"/>
    <w:rsid w:val="00C6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15474">
      <w:bodyDiv w:val="1"/>
      <w:marLeft w:val="0"/>
      <w:marRight w:val="0"/>
      <w:marTop w:val="0"/>
      <w:marBottom w:val="0"/>
      <w:divBdr>
        <w:top w:val="none" w:sz="0" w:space="0" w:color="auto"/>
        <w:left w:val="none" w:sz="0" w:space="0" w:color="auto"/>
        <w:bottom w:val="none" w:sz="0" w:space="0" w:color="auto"/>
        <w:right w:val="none" w:sz="0" w:space="0" w:color="auto"/>
      </w:divBdr>
      <w:divsChild>
        <w:div w:id="910771240">
          <w:marLeft w:val="0"/>
          <w:marRight w:val="0"/>
          <w:marTop w:val="480"/>
          <w:marBottom w:val="240"/>
          <w:divBdr>
            <w:top w:val="none" w:sz="0" w:space="0" w:color="auto"/>
            <w:left w:val="none" w:sz="0" w:space="0" w:color="auto"/>
            <w:bottom w:val="none" w:sz="0" w:space="0" w:color="auto"/>
            <w:right w:val="none" w:sz="0" w:space="0" w:color="auto"/>
          </w:divBdr>
        </w:div>
        <w:div w:id="1127432202">
          <w:marLeft w:val="0"/>
          <w:marRight w:val="0"/>
          <w:marTop w:val="0"/>
          <w:marBottom w:val="567"/>
          <w:divBdr>
            <w:top w:val="none" w:sz="0" w:space="0" w:color="auto"/>
            <w:left w:val="none" w:sz="0" w:space="0" w:color="auto"/>
            <w:bottom w:val="none" w:sz="0" w:space="0" w:color="auto"/>
            <w:right w:val="none" w:sz="0" w:space="0" w:color="auto"/>
          </w:divBdr>
        </w:div>
        <w:div w:id="1323853652">
          <w:marLeft w:val="0"/>
          <w:marRight w:val="0"/>
          <w:marTop w:val="0"/>
          <w:marBottom w:val="567"/>
          <w:divBdr>
            <w:top w:val="none" w:sz="0" w:space="0" w:color="auto"/>
            <w:left w:val="none" w:sz="0" w:space="0" w:color="auto"/>
            <w:bottom w:val="none" w:sz="0" w:space="0" w:color="auto"/>
            <w:right w:val="none" w:sz="0" w:space="0" w:color="auto"/>
          </w:divBdr>
        </w:div>
        <w:div w:id="633293450">
          <w:marLeft w:val="0"/>
          <w:marRight w:val="0"/>
          <w:marTop w:val="0"/>
          <w:marBottom w:val="0"/>
          <w:divBdr>
            <w:top w:val="none" w:sz="0" w:space="0" w:color="auto"/>
            <w:left w:val="none" w:sz="0" w:space="0" w:color="auto"/>
            <w:bottom w:val="none" w:sz="0" w:space="0" w:color="auto"/>
            <w:right w:val="none" w:sz="0" w:space="0" w:color="auto"/>
          </w:divBdr>
        </w:div>
        <w:div w:id="643777891">
          <w:marLeft w:val="0"/>
          <w:marRight w:val="0"/>
          <w:marTop w:val="0"/>
          <w:marBottom w:val="0"/>
          <w:divBdr>
            <w:top w:val="none" w:sz="0" w:space="0" w:color="auto"/>
            <w:left w:val="none" w:sz="0" w:space="0" w:color="auto"/>
            <w:bottom w:val="none" w:sz="0" w:space="0" w:color="auto"/>
            <w:right w:val="none" w:sz="0" w:space="0" w:color="auto"/>
          </w:divBdr>
        </w:div>
        <w:div w:id="102849631">
          <w:marLeft w:val="0"/>
          <w:marRight w:val="0"/>
          <w:marTop w:val="0"/>
          <w:marBottom w:val="0"/>
          <w:divBdr>
            <w:top w:val="none" w:sz="0" w:space="0" w:color="auto"/>
            <w:left w:val="none" w:sz="0" w:space="0" w:color="auto"/>
            <w:bottom w:val="none" w:sz="0" w:space="0" w:color="auto"/>
            <w:right w:val="none" w:sz="0" w:space="0" w:color="auto"/>
          </w:divBdr>
        </w:div>
        <w:div w:id="1062826371">
          <w:marLeft w:val="0"/>
          <w:marRight w:val="0"/>
          <w:marTop w:val="0"/>
          <w:marBottom w:val="0"/>
          <w:divBdr>
            <w:top w:val="none" w:sz="0" w:space="0" w:color="auto"/>
            <w:left w:val="none" w:sz="0" w:space="0" w:color="auto"/>
            <w:bottom w:val="none" w:sz="0" w:space="0" w:color="auto"/>
            <w:right w:val="none" w:sz="0" w:space="0" w:color="auto"/>
          </w:divBdr>
        </w:div>
        <w:div w:id="1654527715">
          <w:marLeft w:val="0"/>
          <w:marRight w:val="0"/>
          <w:marTop w:val="0"/>
          <w:marBottom w:val="0"/>
          <w:divBdr>
            <w:top w:val="none" w:sz="0" w:space="0" w:color="auto"/>
            <w:left w:val="none" w:sz="0" w:space="0" w:color="auto"/>
            <w:bottom w:val="none" w:sz="0" w:space="0" w:color="auto"/>
            <w:right w:val="none" w:sz="0" w:space="0" w:color="auto"/>
          </w:divBdr>
        </w:div>
        <w:div w:id="488643228">
          <w:marLeft w:val="0"/>
          <w:marRight w:val="0"/>
          <w:marTop w:val="0"/>
          <w:marBottom w:val="0"/>
          <w:divBdr>
            <w:top w:val="none" w:sz="0" w:space="0" w:color="auto"/>
            <w:left w:val="none" w:sz="0" w:space="0" w:color="auto"/>
            <w:bottom w:val="none" w:sz="0" w:space="0" w:color="auto"/>
            <w:right w:val="none" w:sz="0" w:space="0" w:color="auto"/>
          </w:divBdr>
        </w:div>
        <w:div w:id="1941058144">
          <w:marLeft w:val="0"/>
          <w:marRight w:val="0"/>
          <w:marTop w:val="0"/>
          <w:marBottom w:val="0"/>
          <w:divBdr>
            <w:top w:val="none" w:sz="0" w:space="0" w:color="auto"/>
            <w:left w:val="none" w:sz="0" w:space="0" w:color="auto"/>
            <w:bottom w:val="none" w:sz="0" w:space="0" w:color="auto"/>
            <w:right w:val="none" w:sz="0" w:space="0" w:color="auto"/>
          </w:divBdr>
        </w:div>
        <w:div w:id="403838832">
          <w:marLeft w:val="0"/>
          <w:marRight w:val="0"/>
          <w:marTop w:val="0"/>
          <w:marBottom w:val="0"/>
          <w:divBdr>
            <w:top w:val="none" w:sz="0" w:space="0" w:color="auto"/>
            <w:left w:val="none" w:sz="0" w:space="0" w:color="auto"/>
            <w:bottom w:val="none" w:sz="0" w:space="0" w:color="auto"/>
            <w:right w:val="none" w:sz="0" w:space="0" w:color="auto"/>
          </w:divBdr>
        </w:div>
        <w:div w:id="972054388">
          <w:marLeft w:val="0"/>
          <w:marRight w:val="0"/>
          <w:marTop w:val="0"/>
          <w:marBottom w:val="0"/>
          <w:divBdr>
            <w:top w:val="none" w:sz="0" w:space="0" w:color="auto"/>
            <w:left w:val="none" w:sz="0" w:space="0" w:color="auto"/>
            <w:bottom w:val="none" w:sz="0" w:space="0" w:color="auto"/>
            <w:right w:val="none" w:sz="0" w:space="0" w:color="auto"/>
          </w:divBdr>
        </w:div>
        <w:div w:id="2003730315">
          <w:marLeft w:val="0"/>
          <w:marRight w:val="0"/>
          <w:marTop w:val="0"/>
          <w:marBottom w:val="0"/>
          <w:divBdr>
            <w:top w:val="none" w:sz="0" w:space="0" w:color="auto"/>
            <w:left w:val="none" w:sz="0" w:space="0" w:color="auto"/>
            <w:bottom w:val="none" w:sz="0" w:space="0" w:color="auto"/>
            <w:right w:val="none" w:sz="0" w:space="0" w:color="auto"/>
          </w:divBdr>
        </w:div>
        <w:div w:id="775709591">
          <w:marLeft w:val="0"/>
          <w:marRight w:val="0"/>
          <w:marTop w:val="0"/>
          <w:marBottom w:val="0"/>
          <w:divBdr>
            <w:top w:val="none" w:sz="0" w:space="0" w:color="auto"/>
            <w:left w:val="none" w:sz="0" w:space="0" w:color="auto"/>
            <w:bottom w:val="none" w:sz="0" w:space="0" w:color="auto"/>
            <w:right w:val="none" w:sz="0" w:space="0" w:color="auto"/>
          </w:divBdr>
        </w:div>
        <w:div w:id="1063258094">
          <w:marLeft w:val="0"/>
          <w:marRight w:val="0"/>
          <w:marTop w:val="0"/>
          <w:marBottom w:val="0"/>
          <w:divBdr>
            <w:top w:val="none" w:sz="0" w:space="0" w:color="auto"/>
            <w:left w:val="none" w:sz="0" w:space="0" w:color="auto"/>
            <w:bottom w:val="none" w:sz="0" w:space="0" w:color="auto"/>
            <w:right w:val="none" w:sz="0" w:space="0" w:color="auto"/>
          </w:divBdr>
        </w:div>
        <w:div w:id="775443894">
          <w:marLeft w:val="0"/>
          <w:marRight w:val="0"/>
          <w:marTop w:val="0"/>
          <w:marBottom w:val="0"/>
          <w:divBdr>
            <w:top w:val="none" w:sz="0" w:space="0" w:color="auto"/>
            <w:left w:val="none" w:sz="0" w:space="0" w:color="auto"/>
            <w:bottom w:val="none" w:sz="0" w:space="0" w:color="auto"/>
            <w:right w:val="none" w:sz="0" w:space="0" w:color="auto"/>
          </w:divBdr>
        </w:div>
        <w:div w:id="1140224231">
          <w:marLeft w:val="0"/>
          <w:marRight w:val="0"/>
          <w:marTop w:val="0"/>
          <w:marBottom w:val="0"/>
          <w:divBdr>
            <w:top w:val="none" w:sz="0" w:space="0" w:color="auto"/>
            <w:left w:val="none" w:sz="0" w:space="0" w:color="auto"/>
            <w:bottom w:val="none" w:sz="0" w:space="0" w:color="auto"/>
            <w:right w:val="none" w:sz="0" w:space="0" w:color="auto"/>
          </w:divBdr>
        </w:div>
        <w:div w:id="1760716177">
          <w:marLeft w:val="0"/>
          <w:marRight w:val="0"/>
          <w:marTop w:val="0"/>
          <w:marBottom w:val="0"/>
          <w:divBdr>
            <w:top w:val="none" w:sz="0" w:space="0" w:color="auto"/>
            <w:left w:val="none" w:sz="0" w:space="0" w:color="auto"/>
            <w:bottom w:val="none" w:sz="0" w:space="0" w:color="auto"/>
            <w:right w:val="none" w:sz="0" w:space="0" w:color="auto"/>
          </w:divBdr>
        </w:div>
        <w:div w:id="130445137">
          <w:marLeft w:val="0"/>
          <w:marRight w:val="0"/>
          <w:marTop w:val="0"/>
          <w:marBottom w:val="0"/>
          <w:divBdr>
            <w:top w:val="none" w:sz="0" w:space="0" w:color="auto"/>
            <w:left w:val="none" w:sz="0" w:space="0" w:color="auto"/>
            <w:bottom w:val="none" w:sz="0" w:space="0" w:color="auto"/>
            <w:right w:val="none" w:sz="0" w:space="0" w:color="auto"/>
          </w:divBdr>
        </w:div>
        <w:div w:id="519274427">
          <w:marLeft w:val="0"/>
          <w:marRight w:val="0"/>
          <w:marTop w:val="0"/>
          <w:marBottom w:val="0"/>
          <w:divBdr>
            <w:top w:val="none" w:sz="0" w:space="0" w:color="auto"/>
            <w:left w:val="none" w:sz="0" w:space="0" w:color="auto"/>
            <w:bottom w:val="none" w:sz="0" w:space="0" w:color="auto"/>
            <w:right w:val="none" w:sz="0" w:space="0" w:color="auto"/>
          </w:divBdr>
        </w:div>
        <w:div w:id="1212691796">
          <w:marLeft w:val="0"/>
          <w:marRight w:val="0"/>
          <w:marTop w:val="0"/>
          <w:marBottom w:val="0"/>
          <w:divBdr>
            <w:top w:val="none" w:sz="0" w:space="0" w:color="auto"/>
            <w:left w:val="none" w:sz="0" w:space="0" w:color="auto"/>
            <w:bottom w:val="none" w:sz="0" w:space="0" w:color="auto"/>
            <w:right w:val="none" w:sz="0" w:space="0" w:color="auto"/>
          </w:divBdr>
        </w:div>
        <w:div w:id="2139909110">
          <w:marLeft w:val="0"/>
          <w:marRight w:val="0"/>
          <w:marTop w:val="0"/>
          <w:marBottom w:val="0"/>
          <w:divBdr>
            <w:top w:val="none" w:sz="0" w:space="0" w:color="auto"/>
            <w:left w:val="none" w:sz="0" w:space="0" w:color="auto"/>
            <w:bottom w:val="none" w:sz="0" w:space="0" w:color="auto"/>
            <w:right w:val="none" w:sz="0" w:space="0" w:color="auto"/>
          </w:divBdr>
        </w:div>
        <w:div w:id="1761681780">
          <w:marLeft w:val="0"/>
          <w:marRight w:val="0"/>
          <w:marTop w:val="0"/>
          <w:marBottom w:val="0"/>
          <w:divBdr>
            <w:top w:val="none" w:sz="0" w:space="0" w:color="auto"/>
            <w:left w:val="none" w:sz="0" w:space="0" w:color="auto"/>
            <w:bottom w:val="none" w:sz="0" w:space="0" w:color="auto"/>
            <w:right w:val="none" w:sz="0" w:space="0" w:color="auto"/>
          </w:divBdr>
        </w:div>
        <w:div w:id="1905868326">
          <w:marLeft w:val="0"/>
          <w:marRight w:val="0"/>
          <w:marTop w:val="0"/>
          <w:marBottom w:val="0"/>
          <w:divBdr>
            <w:top w:val="none" w:sz="0" w:space="0" w:color="auto"/>
            <w:left w:val="none" w:sz="0" w:space="0" w:color="auto"/>
            <w:bottom w:val="none" w:sz="0" w:space="0" w:color="auto"/>
            <w:right w:val="none" w:sz="0" w:space="0" w:color="auto"/>
          </w:divBdr>
        </w:div>
        <w:div w:id="1618295869">
          <w:marLeft w:val="0"/>
          <w:marRight w:val="0"/>
          <w:marTop w:val="0"/>
          <w:marBottom w:val="0"/>
          <w:divBdr>
            <w:top w:val="none" w:sz="0" w:space="0" w:color="auto"/>
            <w:left w:val="none" w:sz="0" w:space="0" w:color="auto"/>
            <w:bottom w:val="none" w:sz="0" w:space="0" w:color="auto"/>
            <w:right w:val="none" w:sz="0" w:space="0" w:color="auto"/>
          </w:divBdr>
        </w:div>
        <w:div w:id="282620524">
          <w:marLeft w:val="0"/>
          <w:marRight w:val="0"/>
          <w:marTop w:val="0"/>
          <w:marBottom w:val="0"/>
          <w:divBdr>
            <w:top w:val="none" w:sz="0" w:space="0" w:color="auto"/>
            <w:left w:val="none" w:sz="0" w:space="0" w:color="auto"/>
            <w:bottom w:val="none" w:sz="0" w:space="0" w:color="auto"/>
            <w:right w:val="none" w:sz="0" w:space="0" w:color="auto"/>
          </w:divBdr>
        </w:div>
        <w:div w:id="1287348992">
          <w:marLeft w:val="0"/>
          <w:marRight w:val="0"/>
          <w:marTop w:val="0"/>
          <w:marBottom w:val="0"/>
          <w:divBdr>
            <w:top w:val="none" w:sz="0" w:space="0" w:color="auto"/>
            <w:left w:val="none" w:sz="0" w:space="0" w:color="auto"/>
            <w:bottom w:val="none" w:sz="0" w:space="0" w:color="auto"/>
            <w:right w:val="none" w:sz="0" w:space="0" w:color="auto"/>
          </w:divBdr>
        </w:div>
        <w:div w:id="382682389">
          <w:marLeft w:val="0"/>
          <w:marRight w:val="0"/>
          <w:marTop w:val="0"/>
          <w:marBottom w:val="0"/>
          <w:divBdr>
            <w:top w:val="none" w:sz="0" w:space="0" w:color="auto"/>
            <w:left w:val="none" w:sz="0" w:space="0" w:color="auto"/>
            <w:bottom w:val="none" w:sz="0" w:space="0" w:color="auto"/>
            <w:right w:val="none" w:sz="0" w:space="0" w:color="auto"/>
          </w:divBdr>
        </w:div>
        <w:div w:id="1517378733">
          <w:marLeft w:val="0"/>
          <w:marRight w:val="0"/>
          <w:marTop w:val="0"/>
          <w:marBottom w:val="0"/>
          <w:divBdr>
            <w:top w:val="none" w:sz="0" w:space="0" w:color="auto"/>
            <w:left w:val="none" w:sz="0" w:space="0" w:color="auto"/>
            <w:bottom w:val="none" w:sz="0" w:space="0" w:color="auto"/>
            <w:right w:val="none" w:sz="0" w:space="0" w:color="auto"/>
          </w:divBdr>
        </w:div>
        <w:div w:id="2018270525">
          <w:marLeft w:val="0"/>
          <w:marRight w:val="0"/>
          <w:marTop w:val="0"/>
          <w:marBottom w:val="0"/>
          <w:divBdr>
            <w:top w:val="none" w:sz="0" w:space="0" w:color="auto"/>
            <w:left w:val="none" w:sz="0" w:space="0" w:color="auto"/>
            <w:bottom w:val="none" w:sz="0" w:space="0" w:color="auto"/>
            <w:right w:val="none" w:sz="0" w:space="0" w:color="auto"/>
          </w:divBdr>
        </w:div>
        <w:div w:id="196816935">
          <w:marLeft w:val="0"/>
          <w:marRight w:val="0"/>
          <w:marTop w:val="240"/>
          <w:marBottom w:val="0"/>
          <w:divBdr>
            <w:top w:val="none" w:sz="0" w:space="0" w:color="auto"/>
            <w:left w:val="none" w:sz="0" w:space="0" w:color="auto"/>
            <w:bottom w:val="none" w:sz="0" w:space="0" w:color="auto"/>
            <w:right w:val="none" w:sz="0" w:space="0" w:color="auto"/>
          </w:divBdr>
        </w:div>
        <w:div w:id="1351639843">
          <w:marLeft w:val="150"/>
          <w:marRight w:val="150"/>
          <w:marTop w:val="480"/>
          <w:marBottom w:val="0"/>
          <w:divBdr>
            <w:top w:val="none" w:sz="0" w:space="0" w:color="auto"/>
            <w:left w:val="none" w:sz="0" w:space="0" w:color="auto"/>
            <w:bottom w:val="none" w:sz="0" w:space="0" w:color="auto"/>
            <w:right w:val="none" w:sz="0" w:space="0" w:color="auto"/>
          </w:divBdr>
        </w:div>
        <w:div w:id="976371280">
          <w:marLeft w:val="0"/>
          <w:marRight w:val="0"/>
          <w:marTop w:val="240"/>
          <w:marBottom w:val="0"/>
          <w:divBdr>
            <w:top w:val="none" w:sz="0" w:space="0" w:color="auto"/>
            <w:left w:val="none" w:sz="0" w:space="0" w:color="auto"/>
            <w:bottom w:val="none" w:sz="0" w:space="0" w:color="auto"/>
            <w:right w:val="none" w:sz="0" w:space="0" w:color="auto"/>
          </w:divBdr>
        </w:div>
        <w:div w:id="347605662">
          <w:marLeft w:val="0"/>
          <w:marRight w:val="0"/>
          <w:marTop w:val="240"/>
          <w:marBottom w:val="0"/>
          <w:divBdr>
            <w:top w:val="none" w:sz="0" w:space="0" w:color="auto"/>
            <w:left w:val="none" w:sz="0" w:space="0" w:color="auto"/>
            <w:bottom w:val="none" w:sz="0" w:space="0" w:color="auto"/>
            <w:right w:val="none" w:sz="0" w:space="0" w:color="auto"/>
          </w:divBdr>
        </w:div>
        <w:div w:id="1235239199">
          <w:marLeft w:val="150"/>
          <w:marRight w:val="150"/>
          <w:marTop w:val="480"/>
          <w:marBottom w:val="0"/>
          <w:divBdr>
            <w:top w:val="none" w:sz="0" w:space="0" w:color="auto"/>
            <w:left w:val="none" w:sz="0" w:space="0" w:color="auto"/>
            <w:bottom w:val="none" w:sz="0" w:space="0" w:color="auto"/>
            <w:right w:val="none" w:sz="0" w:space="0" w:color="auto"/>
          </w:divBdr>
        </w:div>
        <w:div w:id="598955203">
          <w:marLeft w:val="0"/>
          <w:marRight w:val="0"/>
          <w:marTop w:val="240"/>
          <w:marBottom w:val="0"/>
          <w:divBdr>
            <w:top w:val="none" w:sz="0" w:space="0" w:color="auto"/>
            <w:left w:val="none" w:sz="0" w:space="0" w:color="auto"/>
            <w:bottom w:val="none" w:sz="0" w:space="0" w:color="auto"/>
            <w:right w:val="none" w:sz="0" w:space="0" w:color="auto"/>
          </w:divBdr>
          <w:divsChild>
            <w:div w:id="1355185274">
              <w:marLeft w:val="0"/>
              <w:marRight w:val="0"/>
              <w:marTop w:val="195"/>
              <w:marBottom w:val="195"/>
              <w:divBdr>
                <w:top w:val="none" w:sz="0" w:space="0" w:color="auto"/>
                <w:left w:val="none" w:sz="0" w:space="0" w:color="auto"/>
                <w:bottom w:val="none" w:sz="0" w:space="0" w:color="auto"/>
                <w:right w:val="none" w:sz="0" w:space="0" w:color="auto"/>
              </w:divBdr>
            </w:div>
            <w:div w:id="1553229053">
              <w:marLeft w:val="0"/>
              <w:marRight w:val="0"/>
              <w:marTop w:val="195"/>
              <w:marBottom w:val="195"/>
              <w:divBdr>
                <w:top w:val="none" w:sz="0" w:space="0" w:color="auto"/>
                <w:left w:val="none" w:sz="0" w:space="0" w:color="auto"/>
                <w:bottom w:val="none" w:sz="0" w:space="0" w:color="auto"/>
                <w:right w:val="none" w:sz="0" w:space="0" w:color="auto"/>
              </w:divBdr>
            </w:div>
            <w:div w:id="1966349549">
              <w:marLeft w:val="0"/>
              <w:marRight w:val="0"/>
              <w:marTop w:val="195"/>
              <w:marBottom w:val="195"/>
              <w:divBdr>
                <w:top w:val="none" w:sz="0" w:space="0" w:color="auto"/>
                <w:left w:val="none" w:sz="0" w:space="0" w:color="auto"/>
                <w:bottom w:val="none" w:sz="0" w:space="0" w:color="auto"/>
                <w:right w:val="none" w:sz="0" w:space="0" w:color="auto"/>
              </w:divBdr>
            </w:div>
            <w:div w:id="163525769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806778124">
      <w:bodyDiv w:val="1"/>
      <w:marLeft w:val="0"/>
      <w:marRight w:val="0"/>
      <w:marTop w:val="0"/>
      <w:marBottom w:val="0"/>
      <w:divBdr>
        <w:top w:val="none" w:sz="0" w:space="0" w:color="auto"/>
        <w:left w:val="none" w:sz="0" w:space="0" w:color="auto"/>
        <w:bottom w:val="none" w:sz="0" w:space="0" w:color="auto"/>
        <w:right w:val="none" w:sz="0" w:space="0" w:color="auto"/>
      </w:divBdr>
      <w:divsChild>
        <w:div w:id="436296352">
          <w:marLeft w:val="0"/>
          <w:marRight w:val="0"/>
          <w:marTop w:val="195"/>
          <w:marBottom w:val="195"/>
          <w:divBdr>
            <w:top w:val="none" w:sz="0" w:space="0" w:color="auto"/>
            <w:left w:val="none" w:sz="0" w:space="0" w:color="auto"/>
            <w:bottom w:val="none" w:sz="0" w:space="0" w:color="auto"/>
            <w:right w:val="none" w:sz="0" w:space="0" w:color="auto"/>
          </w:divBdr>
        </w:div>
        <w:div w:id="1784611076">
          <w:marLeft w:val="0"/>
          <w:marRight w:val="0"/>
          <w:marTop w:val="195"/>
          <w:marBottom w:val="195"/>
          <w:divBdr>
            <w:top w:val="none" w:sz="0" w:space="0" w:color="auto"/>
            <w:left w:val="none" w:sz="0" w:space="0" w:color="auto"/>
            <w:bottom w:val="none" w:sz="0" w:space="0" w:color="auto"/>
            <w:right w:val="none" w:sz="0" w:space="0" w:color="auto"/>
          </w:divBdr>
        </w:div>
        <w:div w:id="1664816157">
          <w:marLeft w:val="0"/>
          <w:marRight w:val="0"/>
          <w:marTop w:val="195"/>
          <w:marBottom w:val="195"/>
          <w:divBdr>
            <w:top w:val="none" w:sz="0" w:space="0" w:color="auto"/>
            <w:left w:val="none" w:sz="0" w:space="0" w:color="auto"/>
            <w:bottom w:val="none" w:sz="0" w:space="0" w:color="auto"/>
            <w:right w:val="none" w:sz="0" w:space="0" w:color="auto"/>
          </w:divBdr>
        </w:div>
        <w:div w:id="842478458">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E357A4C-D66B-4359-8191-15778BAC07BB}"/>
</file>

<file path=customXml/itemProps2.xml><?xml version="1.0" encoding="utf-8"?>
<ds:datastoreItem xmlns:ds="http://schemas.openxmlformats.org/officeDocument/2006/customXml" ds:itemID="{D04E53A9-DD1F-4EB1-958D-E0FBEB55D20B}">
  <ds:schemaRefs>
    <ds:schemaRef ds:uri="http://schemas.microsoft.com/sharepoint/v3/contenttype/forms"/>
  </ds:schemaRefs>
</ds:datastoreItem>
</file>

<file path=customXml/itemProps3.xml><?xml version="1.0" encoding="utf-8"?>
<ds:datastoreItem xmlns:ds="http://schemas.openxmlformats.org/officeDocument/2006/customXml" ds:itemID="{963D5EEF-2464-45ED-8D69-2F6C5D24233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4994</Words>
  <Characters>26823</Characters>
  <Application>Microsoft Office Word</Application>
  <DocSecurity>0</DocSecurity>
  <Lines>3831</Lines>
  <Paragraphs>1136</Paragraphs>
  <ScaleCrop>false</ScaleCrop>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2022-12-05T13:37:00Z</dcterms:created>
  <dcterms:modified xsi:type="dcterms:W3CDTF">2022-12-14T11:48:00Z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