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F504" w14:textId="77777777" w:rsidR="00605273" w:rsidRPr="00605273" w:rsidRDefault="00605273" w:rsidP="00605273">
      <w:pPr>
        <w:jc w:val="both"/>
        <w:rPr>
          <w:rFonts w:ascii="Times New Roman" w:eastAsia="Times New Roman" w:hAnsi="Times New Roman" w:cs="Times New Roman"/>
          <w:noProof/>
          <w:sz w:val="24"/>
          <w:szCs w:val="24"/>
        </w:rPr>
      </w:pPr>
    </w:p>
    <w:p w14:paraId="7A8B6095" w14:textId="77777777" w:rsidR="00605273" w:rsidRPr="00605273" w:rsidRDefault="00605273" w:rsidP="00605273">
      <w:pPr>
        <w:jc w:val="center"/>
        <w:rPr>
          <w:rFonts w:ascii="Times New Roman" w:hAnsi="Times New Roman" w:cs="Times New Roman"/>
          <w:i/>
          <w:noProof/>
          <w:sz w:val="24"/>
          <w:szCs w:val="24"/>
        </w:rPr>
      </w:pPr>
      <w:proofErr w:type="spellStart"/>
      <w:r>
        <w:rPr>
          <w:rFonts w:ascii="Times New Roman" w:hAnsi="Times New Roman"/>
          <w:i/>
          <w:sz w:val="24"/>
        </w:rPr>
        <w:t>EA</w:t>
      </w:r>
      <w:proofErr w:type="spellEnd"/>
      <w:r>
        <w:rPr>
          <w:rFonts w:ascii="Times New Roman" w:hAnsi="Times New Roman"/>
          <w:i/>
          <w:sz w:val="24"/>
        </w:rPr>
        <w:t>-4/18 • Norādījumi par dalības līmeni un biežumu prasmes pārbaudēs</w:t>
      </w:r>
    </w:p>
    <w:p w14:paraId="500534EE" w14:textId="77777777" w:rsidR="00605273" w:rsidRPr="00605273" w:rsidRDefault="00605273" w:rsidP="00605273">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05273" w:rsidRPr="00605273" w14:paraId="282E939C" w14:textId="77777777" w:rsidTr="009C4FC9">
        <w:tc>
          <w:tcPr>
            <w:tcW w:w="5000" w:type="pct"/>
          </w:tcPr>
          <w:p w14:paraId="72CC7197" w14:textId="77777777" w:rsidR="00605273" w:rsidRPr="00605273" w:rsidRDefault="00605273" w:rsidP="009C4FC9">
            <w:pPr>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90A85F7" wp14:editId="23C25C21">
                  <wp:extent cx="5762625" cy="802640"/>
                  <wp:effectExtent l="0" t="0" r="952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605273" w:rsidRPr="00605273" w14:paraId="721B05FC" w14:textId="77777777" w:rsidTr="009C4FC9">
        <w:tc>
          <w:tcPr>
            <w:tcW w:w="5000" w:type="pct"/>
          </w:tcPr>
          <w:p w14:paraId="1DE194ED" w14:textId="5CBF67F5" w:rsidR="00605273" w:rsidRPr="00605273" w:rsidRDefault="00605273" w:rsidP="009C4FC9">
            <w:pPr>
              <w:jc w:val="both"/>
              <w:rPr>
                <w:rFonts w:ascii="Times New Roman" w:eastAsia="Times New Roman" w:hAnsi="Times New Roman" w:cs="Times New Roman"/>
                <w:b/>
                <w:bCs/>
                <w:noProof/>
                <w:sz w:val="24"/>
                <w:szCs w:val="24"/>
              </w:rPr>
            </w:pPr>
            <w:r>
              <w:rPr>
                <w:rFonts w:ascii="Times New Roman" w:hAnsi="Times New Roman"/>
                <w:b/>
                <w:sz w:val="24"/>
              </w:rPr>
              <w:t xml:space="preserve">EIROPAS AKREDITĀCIJAS </w:t>
            </w:r>
            <w:r w:rsidR="00412563">
              <w:rPr>
                <w:rFonts w:ascii="Times New Roman" w:hAnsi="Times New Roman"/>
                <w:b/>
                <w:sz w:val="24"/>
              </w:rPr>
              <w:t>KORPORĀCIJA</w:t>
            </w:r>
          </w:p>
        </w:tc>
      </w:tr>
    </w:tbl>
    <w:p w14:paraId="11C1961A" w14:textId="77777777" w:rsidR="00605273" w:rsidRPr="00605273" w:rsidRDefault="00605273" w:rsidP="00605273">
      <w:pPr>
        <w:jc w:val="both"/>
        <w:rPr>
          <w:rFonts w:ascii="Times New Roman" w:eastAsia="Times New Roman" w:hAnsi="Times New Roman" w:cs="Times New Roman"/>
          <w:noProof/>
          <w:sz w:val="24"/>
          <w:szCs w:val="24"/>
        </w:rPr>
      </w:pPr>
    </w:p>
    <w:p w14:paraId="4AA8192B" w14:textId="77777777" w:rsidR="00605273" w:rsidRPr="00605273" w:rsidRDefault="00605273" w:rsidP="00605273">
      <w:pPr>
        <w:jc w:val="both"/>
        <w:rPr>
          <w:rFonts w:ascii="Times New Roman" w:eastAsia="Times New Roman" w:hAnsi="Times New Roman" w:cs="Times New Roman"/>
          <w:noProof/>
          <w:sz w:val="24"/>
          <w:szCs w:val="24"/>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605273" w:rsidRPr="00605273" w14:paraId="74D3744A" w14:textId="77777777" w:rsidTr="009C4FC9">
        <w:tc>
          <w:tcPr>
            <w:tcW w:w="2505" w:type="pct"/>
          </w:tcPr>
          <w:p w14:paraId="2DDA6987" w14:textId="77777777" w:rsidR="00605273" w:rsidRPr="00605273" w:rsidRDefault="00605273" w:rsidP="009C4FC9">
            <w:pPr>
              <w:jc w:val="both"/>
              <w:rPr>
                <w:rFonts w:ascii="Times New Roman" w:hAnsi="Times New Roman" w:cs="Times New Roman"/>
                <w:b/>
                <w:i/>
                <w:noProof/>
                <w:sz w:val="32"/>
                <w:szCs w:val="32"/>
              </w:rPr>
            </w:pPr>
            <w:r>
              <w:rPr>
                <w:rFonts w:ascii="Times New Roman" w:hAnsi="Times New Roman"/>
                <w:b/>
                <w:i/>
                <w:sz w:val="32"/>
              </w:rPr>
              <w:t>Atsauce uz publikāciju</w:t>
            </w:r>
          </w:p>
        </w:tc>
        <w:tc>
          <w:tcPr>
            <w:tcW w:w="2495" w:type="pct"/>
          </w:tcPr>
          <w:p w14:paraId="2F0F30E4" w14:textId="77777777" w:rsidR="00605273" w:rsidRPr="00605273" w:rsidRDefault="00605273" w:rsidP="009C4FC9">
            <w:pPr>
              <w:jc w:val="right"/>
              <w:rPr>
                <w:rFonts w:ascii="Times New Roman" w:eastAsia="Times New Roman" w:hAnsi="Times New Roman" w:cs="Times New Roman"/>
                <w:noProof/>
                <w:sz w:val="32"/>
                <w:szCs w:val="32"/>
              </w:rPr>
            </w:pPr>
            <w:proofErr w:type="spellStart"/>
            <w:r>
              <w:rPr>
                <w:rFonts w:ascii="Times New Roman" w:hAnsi="Times New Roman"/>
                <w:b/>
                <w:sz w:val="48"/>
              </w:rPr>
              <w:t>EA</w:t>
            </w:r>
            <w:proofErr w:type="spellEnd"/>
            <w:r>
              <w:rPr>
                <w:rFonts w:ascii="Times New Roman" w:hAnsi="Times New Roman"/>
                <w:b/>
                <w:sz w:val="48"/>
              </w:rPr>
              <w:t>-4/</w:t>
            </w:r>
            <w:r>
              <w:rPr>
                <w:rFonts w:ascii="Times New Roman" w:hAnsi="Times New Roman"/>
                <w:sz w:val="48"/>
              </w:rPr>
              <w:t>18</w:t>
            </w:r>
            <w:r>
              <w:rPr>
                <w:rFonts w:ascii="Times New Roman" w:hAnsi="Times New Roman"/>
                <w:b/>
                <w:sz w:val="48"/>
              </w:rPr>
              <w:t xml:space="preserve"> G: </w:t>
            </w:r>
            <w:r>
              <w:rPr>
                <w:rFonts w:ascii="Times New Roman" w:hAnsi="Times New Roman"/>
                <w:sz w:val="48"/>
              </w:rPr>
              <w:t>2021</w:t>
            </w:r>
          </w:p>
        </w:tc>
      </w:tr>
    </w:tbl>
    <w:p w14:paraId="6F213670" w14:textId="77777777" w:rsidR="00605273" w:rsidRPr="00605273" w:rsidRDefault="00605273" w:rsidP="00605273">
      <w:pPr>
        <w:jc w:val="both"/>
        <w:rPr>
          <w:rFonts w:ascii="Times New Roman" w:eastAsia="Times New Roman" w:hAnsi="Times New Roman" w:cs="Times New Roman"/>
          <w:noProof/>
          <w:sz w:val="24"/>
          <w:szCs w:val="24"/>
        </w:rPr>
      </w:pPr>
    </w:p>
    <w:p w14:paraId="683254C1" w14:textId="77777777" w:rsidR="00605273" w:rsidRPr="00605273" w:rsidRDefault="00605273" w:rsidP="00605273">
      <w:pPr>
        <w:jc w:val="both"/>
        <w:rPr>
          <w:rFonts w:ascii="Times New Roman" w:eastAsia="Arial" w:hAnsi="Times New Roman" w:cs="Times New Roman"/>
          <w:noProof/>
          <w:sz w:val="24"/>
          <w:szCs w:val="24"/>
        </w:rPr>
      </w:pPr>
    </w:p>
    <w:p w14:paraId="6DEA69DF" w14:textId="77777777" w:rsidR="00605273" w:rsidRPr="00605273" w:rsidRDefault="00605273" w:rsidP="00605273">
      <w:pPr>
        <w:jc w:val="both"/>
        <w:rPr>
          <w:rFonts w:ascii="Times New Roman" w:eastAsia="Arial" w:hAnsi="Times New Roman" w:cs="Times New Roman"/>
          <w:noProof/>
          <w:sz w:val="24"/>
          <w:szCs w:val="24"/>
        </w:rPr>
      </w:pPr>
    </w:p>
    <w:p w14:paraId="54EC7038" w14:textId="77777777" w:rsidR="00605273" w:rsidRPr="00605273" w:rsidRDefault="00605273" w:rsidP="00605273">
      <w:pPr>
        <w:jc w:val="both"/>
        <w:rPr>
          <w:rFonts w:ascii="Times New Roman" w:eastAsia="Arial" w:hAnsi="Times New Roman" w:cs="Times New Roman"/>
          <w:noProof/>
          <w:sz w:val="24"/>
          <w:szCs w:val="24"/>
        </w:rPr>
      </w:pPr>
    </w:p>
    <w:p w14:paraId="0D99F6E1" w14:textId="77777777" w:rsidR="00605273" w:rsidRPr="00605273" w:rsidRDefault="00605273" w:rsidP="00605273">
      <w:pPr>
        <w:jc w:val="both"/>
        <w:rPr>
          <w:rFonts w:ascii="Times New Roman" w:eastAsia="Arial" w:hAnsi="Times New Roman" w:cs="Times New Roman"/>
          <w:noProof/>
          <w:sz w:val="24"/>
          <w:szCs w:val="24"/>
        </w:rPr>
      </w:pPr>
    </w:p>
    <w:p w14:paraId="66A0C3BE" w14:textId="77777777" w:rsidR="00605273" w:rsidRPr="00605273" w:rsidRDefault="00605273" w:rsidP="00605273">
      <w:pPr>
        <w:jc w:val="both"/>
        <w:rPr>
          <w:rFonts w:ascii="Times New Roman" w:eastAsia="Arial" w:hAnsi="Times New Roman" w:cs="Times New Roman"/>
          <w:noProof/>
          <w:sz w:val="24"/>
          <w:szCs w:val="24"/>
        </w:rPr>
      </w:pPr>
    </w:p>
    <w:p w14:paraId="40823E18" w14:textId="77777777" w:rsidR="00605273" w:rsidRPr="00605273" w:rsidRDefault="00605273" w:rsidP="00605273">
      <w:pPr>
        <w:jc w:val="both"/>
        <w:rPr>
          <w:rFonts w:ascii="Times New Roman" w:eastAsia="Arial" w:hAnsi="Times New Roman" w:cs="Times New Roman"/>
          <w:noProof/>
          <w:sz w:val="24"/>
          <w:szCs w:val="24"/>
        </w:rPr>
      </w:pPr>
    </w:p>
    <w:p w14:paraId="5F94F20A" w14:textId="77777777" w:rsidR="00605273" w:rsidRPr="00605273" w:rsidRDefault="00605273" w:rsidP="00605273">
      <w:pPr>
        <w:jc w:val="both"/>
        <w:rPr>
          <w:rFonts w:ascii="Times New Roman" w:eastAsia="Arial" w:hAnsi="Times New Roman" w:cs="Times New Roman"/>
          <w:noProof/>
          <w:sz w:val="24"/>
          <w:szCs w:val="24"/>
        </w:rPr>
      </w:pPr>
    </w:p>
    <w:p w14:paraId="701642DF" w14:textId="77777777" w:rsidR="00605273" w:rsidRPr="00605273" w:rsidRDefault="00605273" w:rsidP="00605273">
      <w:pPr>
        <w:jc w:val="both"/>
        <w:rPr>
          <w:rFonts w:ascii="Times New Roman" w:eastAsia="Arial" w:hAnsi="Times New Roman" w:cs="Times New Roman"/>
          <w:noProof/>
          <w:sz w:val="24"/>
          <w:szCs w:val="24"/>
        </w:rPr>
      </w:pPr>
    </w:p>
    <w:p w14:paraId="21104BAA" w14:textId="77777777" w:rsidR="00605273" w:rsidRPr="00605273" w:rsidRDefault="00605273" w:rsidP="00605273">
      <w:pPr>
        <w:jc w:val="both"/>
        <w:rPr>
          <w:rFonts w:ascii="Times New Roman" w:eastAsia="Arial" w:hAnsi="Times New Roman" w:cs="Times New Roman"/>
          <w:noProof/>
          <w:sz w:val="24"/>
          <w:szCs w:val="24"/>
        </w:rPr>
      </w:pPr>
    </w:p>
    <w:p w14:paraId="09338CE8" w14:textId="77777777" w:rsidR="00605273" w:rsidRPr="00605273" w:rsidRDefault="00605273" w:rsidP="00605273">
      <w:pPr>
        <w:jc w:val="both"/>
        <w:rPr>
          <w:rFonts w:ascii="Times New Roman" w:eastAsia="Arial" w:hAnsi="Times New Roman" w:cs="Times New Roman"/>
          <w:noProof/>
          <w:sz w:val="24"/>
          <w:szCs w:val="24"/>
        </w:rPr>
      </w:pPr>
    </w:p>
    <w:p w14:paraId="19B15316" w14:textId="77777777" w:rsidR="00605273" w:rsidRPr="00605273" w:rsidRDefault="00605273" w:rsidP="00605273">
      <w:pPr>
        <w:jc w:val="both"/>
        <w:rPr>
          <w:rFonts w:ascii="Times New Roman" w:eastAsia="Arial" w:hAnsi="Times New Roman" w:cs="Times New Roman"/>
          <w:noProof/>
          <w:sz w:val="24"/>
          <w:szCs w:val="24"/>
        </w:rPr>
      </w:pPr>
    </w:p>
    <w:p w14:paraId="42CD2C50" w14:textId="77777777" w:rsidR="00605273" w:rsidRPr="00605273" w:rsidRDefault="00605273" w:rsidP="00605273">
      <w:pPr>
        <w:jc w:val="center"/>
        <w:rPr>
          <w:rFonts w:ascii="Times New Roman" w:eastAsia="Arial" w:hAnsi="Times New Roman" w:cs="Times New Roman"/>
          <w:b/>
          <w:bCs/>
          <w:iCs/>
          <w:noProof/>
          <w:sz w:val="60"/>
          <w:szCs w:val="60"/>
        </w:rPr>
      </w:pPr>
      <w:r>
        <w:rPr>
          <w:rFonts w:ascii="Times New Roman" w:hAnsi="Times New Roman"/>
          <w:b/>
          <w:sz w:val="60"/>
        </w:rPr>
        <w:t>Norādījumi par dalības līmeni un biežumu prasmes pārbaudēs</w:t>
      </w:r>
    </w:p>
    <w:p w14:paraId="5429D12D" w14:textId="77777777" w:rsidR="00605273" w:rsidRPr="00605273" w:rsidRDefault="00605273" w:rsidP="00605273">
      <w:pPr>
        <w:jc w:val="both"/>
        <w:rPr>
          <w:rFonts w:ascii="Times New Roman" w:eastAsia="Arial" w:hAnsi="Times New Roman" w:cs="Times New Roman"/>
          <w:noProof/>
          <w:sz w:val="24"/>
          <w:szCs w:val="24"/>
        </w:rPr>
      </w:pPr>
    </w:p>
    <w:p w14:paraId="634A9C90" w14:textId="77777777" w:rsidR="00605273" w:rsidRPr="00605273" w:rsidRDefault="00605273" w:rsidP="00605273">
      <w:pPr>
        <w:jc w:val="both"/>
        <w:rPr>
          <w:rFonts w:ascii="Times New Roman" w:eastAsia="Arial" w:hAnsi="Times New Roman" w:cs="Times New Roman"/>
          <w:noProof/>
          <w:sz w:val="24"/>
          <w:szCs w:val="24"/>
        </w:rPr>
      </w:pPr>
    </w:p>
    <w:p w14:paraId="40652BC3" w14:textId="77777777" w:rsidR="00605273" w:rsidRPr="00605273" w:rsidRDefault="00605273" w:rsidP="00605273">
      <w:pPr>
        <w:jc w:val="both"/>
        <w:rPr>
          <w:rFonts w:ascii="Times New Roman" w:eastAsia="Arial" w:hAnsi="Times New Roman" w:cs="Times New Roman"/>
          <w:noProof/>
          <w:sz w:val="24"/>
          <w:szCs w:val="24"/>
        </w:rPr>
      </w:pPr>
    </w:p>
    <w:p w14:paraId="044C9D74" w14:textId="77777777" w:rsidR="00605273" w:rsidRPr="00605273" w:rsidRDefault="00605273" w:rsidP="00605273">
      <w:pPr>
        <w:jc w:val="both"/>
        <w:rPr>
          <w:rFonts w:ascii="Times New Roman" w:eastAsia="Arial" w:hAnsi="Times New Roman" w:cs="Times New Roman"/>
          <w:noProof/>
          <w:sz w:val="24"/>
          <w:szCs w:val="24"/>
        </w:rPr>
      </w:pPr>
    </w:p>
    <w:p w14:paraId="0A4114CE" w14:textId="77777777" w:rsidR="00605273" w:rsidRPr="00605273" w:rsidRDefault="00605273" w:rsidP="00605273">
      <w:pPr>
        <w:jc w:val="both"/>
        <w:rPr>
          <w:rFonts w:ascii="Times New Roman" w:eastAsia="Arial" w:hAnsi="Times New Roman" w:cs="Times New Roman"/>
          <w:noProof/>
          <w:sz w:val="24"/>
          <w:szCs w:val="24"/>
        </w:rPr>
      </w:pPr>
    </w:p>
    <w:p w14:paraId="7DC7D602" w14:textId="77777777" w:rsidR="00605273" w:rsidRPr="00605273" w:rsidRDefault="00605273" w:rsidP="00605273">
      <w:pPr>
        <w:jc w:val="both"/>
        <w:rPr>
          <w:rFonts w:ascii="Times New Roman" w:eastAsia="Arial" w:hAnsi="Times New Roman" w:cs="Times New Roman"/>
          <w:noProof/>
          <w:sz w:val="24"/>
          <w:szCs w:val="24"/>
        </w:rPr>
      </w:pPr>
    </w:p>
    <w:p w14:paraId="766A0D40" w14:textId="77777777" w:rsidR="00605273" w:rsidRPr="00605273" w:rsidRDefault="00605273" w:rsidP="00605273">
      <w:pPr>
        <w:jc w:val="both"/>
        <w:rPr>
          <w:rFonts w:ascii="Times New Roman" w:eastAsia="Arial" w:hAnsi="Times New Roman" w:cs="Times New Roman"/>
          <w:noProof/>
          <w:sz w:val="24"/>
          <w:szCs w:val="24"/>
        </w:rPr>
      </w:pPr>
    </w:p>
    <w:p w14:paraId="5D8B3A46" w14:textId="77777777" w:rsidR="00605273" w:rsidRPr="00605273" w:rsidRDefault="00605273" w:rsidP="00605273">
      <w:pPr>
        <w:jc w:val="both"/>
        <w:rPr>
          <w:rFonts w:ascii="Times New Roman" w:eastAsia="Arial" w:hAnsi="Times New Roman" w:cs="Times New Roman"/>
          <w:noProof/>
          <w:sz w:val="24"/>
          <w:szCs w:val="24"/>
        </w:rPr>
      </w:pPr>
    </w:p>
    <w:p w14:paraId="41476A2B" w14:textId="77777777" w:rsidR="00605273" w:rsidRPr="00605273" w:rsidRDefault="00605273" w:rsidP="00605273">
      <w:pPr>
        <w:jc w:val="both"/>
        <w:rPr>
          <w:rFonts w:ascii="Times New Roman" w:eastAsia="Arial" w:hAnsi="Times New Roman" w:cs="Times New Roman"/>
          <w:noProof/>
          <w:sz w:val="24"/>
          <w:szCs w:val="24"/>
        </w:rPr>
      </w:pPr>
    </w:p>
    <w:p w14:paraId="6BC0CC2F" w14:textId="77777777" w:rsidR="00605273" w:rsidRPr="00605273" w:rsidRDefault="00605273" w:rsidP="00605273">
      <w:pPr>
        <w:jc w:val="both"/>
        <w:rPr>
          <w:rFonts w:ascii="Times New Roman" w:eastAsia="Arial" w:hAnsi="Times New Roman" w:cs="Times New Roman"/>
          <w:noProof/>
          <w:sz w:val="24"/>
          <w:szCs w:val="24"/>
        </w:rPr>
      </w:pPr>
    </w:p>
    <w:p w14:paraId="5E661BBC" w14:textId="77777777" w:rsidR="00605273" w:rsidRPr="00605273" w:rsidRDefault="00605273" w:rsidP="00605273">
      <w:pPr>
        <w:jc w:val="both"/>
        <w:rPr>
          <w:rFonts w:ascii="Times New Roman" w:eastAsia="Arial" w:hAnsi="Times New Roman" w:cs="Times New Roman"/>
          <w:noProof/>
          <w:sz w:val="24"/>
          <w:szCs w:val="24"/>
        </w:rPr>
      </w:pPr>
    </w:p>
    <w:p w14:paraId="0E42F476" w14:textId="77777777" w:rsidR="00605273" w:rsidRPr="00605273" w:rsidRDefault="00605273" w:rsidP="00605273">
      <w:pPr>
        <w:jc w:val="both"/>
        <w:rPr>
          <w:rFonts w:ascii="Times New Roman" w:eastAsia="Arial" w:hAnsi="Times New Roman" w:cs="Times New Roman"/>
          <w:i/>
          <w:noProof/>
          <w:sz w:val="24"/>
          <w:szCs w:val="24"/>
        </w:rPr>
      </w:pPr>
    </w:p>
    <w:p w14:paraId="39A8FB54" w14:textId="77777777" w:rsidR="00605273" w:rsidRPr="00605273" w:rsidRDefault="00605273" w:rsidP="00605273">
      <w:pPr>
        <w:jc w:val="both"/>
        <w:rPr>
          <w:rFonts w:ascii="Times New Roman" w:hAnsi="Times New Roman" w:cs="Times New Roman"/>
          <w:b/>
          <w:i/>
          <w:noProof/>
          <w:sz w:val="24"/>
          <w:szCs w:val="24"/>
        </w:rPr>
      </w:pPr>
      <w:r>
        <w:rPr>
          <w:rFonts w:ascii="Times New Roman" w:hAnsi="Times New Roman"/>
          <w:b/>
          <w:i/>
          <w:sz w:val="24"/>
        </w:rPr>
        <w:t>MĒRĶIS</w:t>
      </w:r>
    </w:p>
    <w:p w14:paraId="22BEA2A7" w14:textId="77777777" w:rsidR="00605273" w:rsidRPr="00605273" w:rsidRDefault="00605273" w:rsidP="00605273">
      <w:pPr>
        <w:jc w:val="both"/>
        <w:rPr>
          <w:rFonts w:ascii="Times New Roman" w:eastAsia="Arial" w:hAnsi="Times New Roman" w:cs="Times New Roman"/>
          <w:b/>
          <w:bCs/>
          <w:i/>
          <w:noProof/>
          <w:sz w:val="24"/>
          <w:szCs w:val="24"/>
        </w:rPr>
      </w:pPr>
    </w:p>
    <w:p w14:paraId="0672B20B" w14:textId="77777777" w:rsidR="00605273" w:rsidRPr="00605273" w:rsidRDefault="00605273" w:rsidP="00605273">
      <w:pPr>
        <w:pStyle w:val="BodyText"/>
      </w:pPr>
      <w:r>
        <w:t>Šis dokuments ir izstrādāts ar mērķi veicināt akreditācijas iestāžu saskaņotību attiecībā uz to, kā tiek novērtēts dalības prasmes pārbaudēs (PP) līmenis un biežums, un palīdzēt laboratorijām noteikt savu dalības līmeni un biežumu.</w:t>
      </w:r>
    </w:p>
    <w:p w14:paraId="79250D82" w14:textId="77777777" w:rsidR="00605273" w:rsidRPr="00605273" w:rsidRDefault="00605273" w:rsidP="00605273">
      <w:pPr>
        <w:rPr>
          <w:rFonts w:ascii="Times New Roman" w:eastAsia="Arial" w:hAnsi="Times New Roman" w:cs="Times New Roman"/>
          <w:noProof/>
          <w:sz w:val="24"/>
          <w:szCs w:val="24"/>
        </w:rPr>
      </w:pPr>
      <w:r>
        <w:br w:type="page"/>
      </w:r>
    </w:p>
    <w:p w14:paraId="1D84394D" w14:textId="77777777" w:rsidR="00605273" w:rsidRPr="00605273" w:rsidRDefault="00605273" w:rsidP="00605273">
      <w:pPr>
        <w:jc w:val="both"/>
        <w:rPr>
          <w:rFonts w:ascii="Times New Roman" w:eastAsia="Arial" w:hAnsi="Times New Roman" w:cs="Times New Roman"/>
          <w:noProof/>
          <w:sz w:val="24"/>
          <w:szCs w:val="24"/>
        </w:rPr>
      </w:pPr>
    </w:p>
    <w:p w14:paraId="74970939" w14:textId="77777777" w:rsidR="00605273" w:rsidRPr="00605273" w:rsidRDefault="00605273" w:rsidP="00605273">
      <w:pPr>
        <w:jc w:val="both"/>
        <w:rPr>
          <w:rFonts w:ascii="Times New Roman" w:hAnsi="Times New Roman" w:cs="Times New Roman"/>
          <w:i/>
          <w:noProof/>
          <w:sz w:val="24"/>
          <w:szCs w:val="24"/>
        </w:rPr>
      </w:pPr>
      <w:r>
        <w:rPr>
          <w:rFonts w:ascii="Times New Roman" w:hAnsi="Times New Roman"/>
          <w:i/>
          <w:sz w:val="24"/>
        </w:rPr>
        <w:t>Autorība</w:t>
      </w:r>
    </w:p>
    <w:p w14:paraId="6149D022" w14:textId="77777777" w:rsidR="00605273" w:rsidRPr="00605273" w:rsidRDefault="00605273" w:rsidP="00605273">
      <w:pPr>
        <w:pStyle w:val="BodyText"/>
      </w:pPr>
      <w:r>
        <w:t xml:space="preserve">Šo dokumentu ir izstrādājusi </w:t>
      </w:r>
      <w:r>
        <w:rPr>
          <w:i/>
          <w:iCs/>
        </w:rPr>
        <w:t>EEE-</w:t>
      </w:r>
      <w:r>
        <w:t>PP darba grupa “Prasmes pārbaude akreditācijā”.</w:t>
      </w:r>
    </w:p>
    <w:p w14:paraId="67C28F13" w14:textId="77777777" w:rsidR="00605273" w:rsidRPr="00605273" w:rsidRDefault="00605273" w:rsidP="00605273">
      <w:pPr>
        <w:jc w:val="both"/>
        <w:rPr>
          <w:rFonts w:ascii="Times New Roman" w:eastAsia="Arial" w:hAnsi="Times New Roman" w:cs="Times New Roman"/>
          <w:noProof/>
          <w:sz w:val="24"/>
          <w:szCs w:val="24"/>
        </w:rPr>
      </w:pPr>
    </w:p>
    <w:p w14:paraId="2DF7CD3B" w14:textId="77777777" w:rsidR="00605273" w:rsidRPr="00605273" w:rsidRDefault="00605273" w:rsidP="00605273">
      <w:pPr>
        <w:jc w:val="both"/>
        <w:rPr>
          <w:rFonts w:ascii="Times New Roman" w:hAnsi="Times New Roman" w:cs="Times New Roman"/>
          <w:i/>
          <w:noProof/>
          <w:sz w:val="24"/>
          <w:szCs w:val="24"/>
        </w:rPr>
      </w:pPr>
      <w:r>
        <w:rPr>
          <w:rFonts w:ascii="Times New Roman" w:hAnsi="Times New Roman"/>
          <w:i/>
          <w:sz w:val="24"/>
        </w:rPr>
        <w:t>Oficiālā valoda</w:t>
      </w:r>
    </w:p>
    <w:p w14:paraId="1689178B" w14:textId="77777777" w:rsidR="00605273" w:rsidRPr="00605273" w:rsidRDefault="00605273" w:rsidP="00605273">
      <w:pPr>
        <w:pStyle w:val="BodyText"/>
      </w:pPr>
      <w:r>
        <w:t>Šo dokumentu, ja nepieciešams, drīkst tulkot citās valodās. Angļu valodas redakcija joprojām paliek galīgā redakcija.</w:t>
      </w:r>
    </w:p>
    <w:p w14:paraId="2458F16F" w14:textId="77777777" w:rsidR="00605273" w:rsidRPr="00605273" w:rsidRDefault="00605273" w:rsidP="00605273">
      <w:pPr>
        <w:jc w:val="both"/>
        <w:rPr>
          <w:rFonts w:ascii="Times New Roman" w:eastAsia="Arial" w:hAnsi="Times New Roman" w:cs="Times New Roman"/>
          <w:noProof/>
          <w:sz w:val="24"/>
          <w:szCs w:val="24"/>
        </w:rPr>
      </w:pPr>
    </w:p>
    <w:p w14:paraId="0333032C" w14:textId="77777777" w:rsidR="00605273" w:rsidRPr="00605273" w:rsidRDefault="00605273" w:rsidP="00605273">
      <w:pPr>
        <w:jc w:val="both"/>
        <w:rPr>
          <w:rFonts w:ascii="Times New Roman" w:hAnsi="Times New Roman" w:cs="Times New Roman"/>
          <w:i/>
          <w:noProof/>
          <w:sz w:val="24"/>
          <w:szCs w:val="24"/>
        </w:rPr>
      </w:pPr>
      <w:r>
        <w:rPr>
          <w:rFonts w:ascii="Times New Roman" w:hAnsi="Times New Roman"/>
          <w:i/>
          <w:sz w:val="24"/>
        </w:rPr>
        <w:t>Autortiesības</w:t>
      </w:r>
    </w:p>
    <w:p w14:paraId="570D6C46" w14:textId="77777777" w:rsidR="00605273" w:rsidRPr="00605273" w:rsidRDefault="00605273" w:rsidP="00605273">
      <w:pPr>
        <w:pStyle w:val="BodyText"/>
      </w:pPr>
      <w:r>
        <w:t>Šā dokumenta autortiesības pieder EA. Šo dokumentu nedrīkst kopēt tālākpārdošanai.</w:t>
      </w:r>
    </w:p>
    <w:p w14:paraId="38FFA99A" w14:textId="77777777" w:rsidR="00605273" w:rsidRPr="00605273" w:rsidRDefault="00605273" w:rsidP="00605273">
      <w:pPr>
        <w:jc w:val="both"/>
        <w:rPr>
          <w:rFonts w:ascii="Times New Roman" w:eastAsia="Arial" w:hAnsi="Times New Roman" w:cs="Times New Roman"/>
          <w:noProof/>
          <w:sz w:val="24"/>
          <w:szCs w:val="24"/>
        </w:rPr>
      </w:pPr>
    </w:p>
    <w:p w14:paraId="431A4034" w14:textId="77777777" w:rsidR="00605273" w:rsidRPr="00605273" w:rsidRDefault="00605273" w:rsidP="00605273">
      <w:pPr>
        <w:jc w:val="both"/>
        <w:rPr>
          <w:rFonts w:ascii="Times New Roman" w:hAnsi="Times New Roman" w:cs="Times New Roman"/>
          <w:i/>
          <w:noProof/>
          <w:sz w:val="24"/>
          <w:szCs w:val="24"/>
        </w:rPr>
      </w:pPr>
      <w:r>
        <w:rPr>
          <w:rFonts w:ascii="Times New Roman" w:hAnsi="Times New Roman"/>
          <w:i/>
          <w:sz w:val="24"/>
        </w:rPr>
        <w:t>Papildu informācija</w:t>
      </w:r>
    </w:p>
    <w:p w14:paraId="611DDAC3" w14:textId="77777777" w:rsidR="00605273" w:rsidRPr="00605273" w:rsidRDefault="00605273" w:rsidP="00605273">
      <w:pPr>
        <w:jc w:val="both"/>
        <w:rPr>
          <w:rFonts w:ascii="Times New Roman" w:eastAsia="Arial" w:hAnsi="Times New Roman" w:cs="Times New Roman"/>
          <w:i/>
          <w:noProof/>
          <w:sz w:val="24"/>
          <w:szCs w:val="24"/>
        </w:rPr>
      </w:pPr>
    </w:p>
    <w:p w14:paraId="515E5CCE" w14:textId="77777777" w:rsidR="00605273" w:rsidRPr="00605273" w:rsidRDefault="00605273" w:rsidP="00605273">
      <w:pPr>
        <w:pStyle w:val="BodyText"/>
      </w:pPr>
      <w:r>
        <w:t>Sīkāku informāciju par šo publikāciju var iegūt, sazinoties ar sekretariātu.</w:t>
      </w:r>
    </w:p>
    <w:p w14:paraId="2C1B2F3E" w14:textId="77777777" w:rsidR="00605273" w:rsidRPr="00605273" w:rsidRDefault="00605273" w:rsidP="00605273">
      <w:pPr>
        <w:jc w:val="both"/>
        <w:rPr>
          <w:rFonts w:ascii="Times New Roman" w:eastAsia="Arial" w:hAnsi="Times New Roman" w:cs="Times New Roman"/>
          <w:noProof/>
          <w:sz w:val="24"/>
          <w:szCs w:val="24"/>
        </w:rPr>
      </w:pPr>
    </w:p>
    <w:p w14:paraId="29F02049" w14:textId="77777777" w:rsidR="00605273" w:rsidRPr="00605273" w:rsidRDefault="00605273" w:rsidP="00605273">
      <w:pPr>
        <w:pStyle w:val="BodyText"/>
      </w:pPr>
      <w:r>
        <w:t xml:space="preserve">Jaunākā informācija ir pieejama mūsu tīmekļa vietnē </w:t>
      </w:r>
      <w:hyperlink r:id="rId12">
        <w:r>
          <w:t>http://www.european-accreditation.org</w:t>
        </w:r>
      </w:hyperlink>
      <w:r>
        <w:t>.</w:t>
      </w:r>
    </w:p>
    <w:p w14:paraId="7C136449" w14:textId="77777777" w:rsidR="00605273" w:rsidRPr="00605273" w:rsidRDefault="00605273" w:rsidP="00605273">
      <w:pPr>
        <w:jc w:val="both"/>
        <w:rPr>
          <w:rFonts w:ascii="Times New Roman" w:eastAsia="Arial"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64"/>
        <w:gridCol w:w="785"/>
        <w:gridCol w:w="5482"/>
      </w:tblGrid>
      <w:tr w:rsidR="00605273" w:rsidRPr="00605273" w14:paraId="2ADB6CD0" w14:textId="77777777" w:rsidTr="009C4FC9">
        <w:tc>
          <w:tcPr>
            <w:tcW w:w="1568" w:type="pct"/>
          </w:tcPr>
          <w:p w14:paraId="0EFB4793" w14:textId="77777777" w:rsidR="00605273" w:rsidRPr="00605273" w:rsidRDefault="00605273" w:rsidP="009C4FC9">
            <w:pPr>
              <w:jc w:val="both"/>
              <w:rPr>
                <w:rFonts w:ascii="Times New Roman" w:hAnsi="Times New Roman" w:cs="Times New Roman"/>
                <w:b/>
                <w:noProof/>
                <w:sz w:val="24"/>
                <w:szCs w:val="24"/>
              </w:rPr>
            </w:pPr>
            <w:r>
              <w:rPr>
                <w:rFonts w:ascii="Times New Roman" w:hAnsi="Times New Roman"/>
                <w:b/>
                <w:sz w:val="24"/>
              </w:rPr>
              <w:t>Kategorija:</w:t>
            </w:r>
          </w:p>
        </w:tc>
        <w:tc>
          <w:tcPr>
            <w:tcW w:w="430" w:type="pct"/>
          </w:tcPr>
          <w:p w14:paraId="58F57A0A" w14:textId="77777777" w:rsidR="00605273" w:rsidRPr="00605273" w:rsidRDefault="00605273" w:rsidP="009C4FC9">
            <w:pPr>
              <w:jc w:val="both"/>
              <w:rPr>
                <w:rFonts w:ascii="Times New Roman" w:eastAsia="Arial" w:hAnsi="Times New Roman" w:cs="Times New Roman"/>
                <w:noProof/>
                <w:sz w:val="24"/>
                <w:szCs w:val="24"/>
              </w:rPr>
            </w:pPr>
          </w:p>
        </w:tc>
        <w:tc>
          <w:tcPr>
            <w:tcW w:w="3002" w:type="pct"/>
          </w:tcPr>
          <w:p w14:paraId="5C57AED8" w14:textId="77777777" w:rsidR="00605273" w:rsidRPr="00605273" w:rsidRDefault="00605273" w:rsidP="009C4FC9">
            <w:pPr>
              <w:jc w:val="both"/>
              <w:rPr>
                <w:rFonts w:ascii="Times New Roman" w:hAnsi="Times New Roman" w:cs="Times New Roman"/>
                <w:noProof/>
                <w:sz w:val="24"/>
                <w:szCs w:val="24"/>
              </w:rPr>
            </w:pPr>
            <w:r>
              <w:rPr>
                <w:rFonts w:ascii="Times New Roman" w:hAnsi="Times New Roman"/>
                <w:sz w:val="24"/>
              </w:rPr>
              <w:t>Piemērošanas dokuments, kam ir norādījumu statuss</w:t>
            </w:r>
          </w:p>
        </w:tc>
      </w:tr>
      <w:tr w:rsidR="00605273" w:rsidRPr="00605273" w14:paraId="3BAA52D1" w14:textId="77777777" w:rsidTr="009C4FC9">
        <w:tc>
          <w:tcPr>
            <w:tcW w:w="1568" w:type="pct"/>
          </w:tcPr>
          <w:p w14:paraId="3EEA20F5" w14:textId="77777777" w:rsidR="00605273" w:rsidRPr="00605273" w:rsidRDefault="00605273" w:rsidP="009C4FC9">
            <w:pPr>
              <w:jc w:val="both"/>
              <w:rPr>
                <w:rFonts w:ascii="Times New Roman" w:hAnsi="Times New Roman" w:cs="Times New Roman"/>
                <w:b/>
                <w:noProof/>
                <w:sz w:val="24"/>
                <w:szCs w:val="24"/>
              </w:rPr>
            </w:pPr>
            <w:r>
              <w:rPr>
                <w:rFonts w:ascii="Times New Roman" w:hAnsi="Times New Roman"/>
                <w:b/>
                <w:sz w:val="24"/>
              </w:rPr>
              <w:t>Apstiprināts:</w:t>
            </w:r>
          </w:p>
        </w:tc>
        <w:tc>
          <w:tcPr>
            <w:tcW w:w="430" w:type="pct"/>
          </w:tcPr>
          <w:p w14:paraId="36FF3617" w14:textId="77777777" w:rsidR="00605273" w:rsidRPr="00605273" w:rsidRDefault="00605273" w:rsidP="009C4FC9">
            <w:pPr>
              <w:jc w:val="both"/>
              <w:rPr>
                <w:rFonts w:ascii="Times New Roman" w:eastAsia="Arial" w:hAnsi="Times New Roman" w:cs="Times New Roman"/>
                <w:noProof/>
                <w:sz w:val="24"/>
                <w:szCs w:val="24"/>
              </w:rPr>
            </w:pPr>
          </w:p>
        </w:tc>
        <w:tc>
          <w:tcPr>
            <w:tcW w:w="3002" w:type="pct"/>
          </w:tcPr>
          <w:p w14:paraId="77CAD716" w14:textId="77777777" w:rsidR="00605273" w:rsidRPr="00605273" w:rsidRDefault="00605273" w:rsidP="009C4FC9">
            <w:pPr>
              <w:jc w:val="both"/>
              <w:rPr>
                <w:rFonts w:ascii="Times New Roman" w:eastAsia="Arial" w:hAnsi="Times New Roman" w:cs="Times New Roman"/>
                <w:noProof/>
                <w:sz w:val="24"/>
                <w:szCs w:val="24"/>
              </w:rPr>
            </w:pPr>
            <w:r>
              <w:rPr>
                <w:rFonts w:ascii="Times New Roman" w:hAnsi="Times New Roman"/>
                <w:sz w:val="24"/>
              </w:rPr>
              <w:t>2021. gada 5. novembrī</w:t>
            </w:r>
          </w:p>
        </w:tc>
      </w:tr>
      <w:tr w:rsidR="00605273" w:rsidRPr="00605273" w14:paraId="0D9F285C" w14:textId="77777777" w:rsidTr="009C4FC9">
        <w:tc>
          <w:tcPr>
            <w:tcW w:w="1568" w:type="pct"/>
          </w:tcPr>
          <w:p w14:paraId="1037DE17" w14:textId="77777777" w:rsidR="00605273" w:rsidRPr="00605273" w:rsidRDefault="00605273" w:rsidP="009C4FC9">
            <w:pPr>
              <w:jc w:val="both"/>
              <w:rPr>
                <w:rFonts w:ascii="Times New Roman" w:hAnsi="Times New Roman" w:cs="Times New Roman"/>
                <w:b/>
                <w:noProof/>
                <w:sz w:val="24"/>
                <w:szCs w:val="24"/>
              </w:rPr>
            </w:pPr>
            <w:r>
              <w:rPr>
                <w:rFonts w:ascii="Times New Roman" w:hAnsi="Times New Roman"/>
                <w:b/>
                <w:sz w:val="24"/>
              </w:rPr>
              <w:t>Ieviests:</w:t>
            </w:r>
          </w:p>
        </w:tc>
        <w:tc>
          <w:tcPr>
            <w:tcW w:w="430" w:type="pct"/>
          </w:tcPr>
          <w:p w14:paraId="4A4FDABE" w14:textId="77777777" w:rsidR="00605273" w:rsidRPr="00605273" w:rsidRDefault="00605273" w:rsidP="009C4FC9">
            <w:pPr>
              <w:jc w:val="both"/>
              <w:rPr>
                <w:rFonts w:ascii="Times New Roman" w:eastAsia="Arial" w:hAnsi="Times New Roman" w:cs="Times New Roman"/>
                <w:noProof/>
                <w:sz w:val="24"/>
                <w:szCs w:val="24"/>
              </w:rPr>
            </w:pPr>
          </w:p>
        </w:tc>
        <w:tc>
          <w:tcPr>
            <w:tcW w:w="3002" w:type="pct"/>
          </w:tcPr>
          <w:p w14:paraId="74878250" w14:textId="77777777" w:rsidR="00605273" w:rsidRPr="00605273" w:rsidRDefault="00605273" w:rsidP="009C4FC9">
            <w:pPr>
              <w:jc w:val="both"/>
              <w:rPr>
                <w:rFonts w:ascii="Times New Roman" w:hAnsi="Times New Roman" w:cs="Times New Roman"/>
                <w:noProof/>
                <w:sz w:val="24"/>
                <w:szCs w:val="24"/>
              </w:rPr>
            </w:pPr>
            <w:r>
              <w:rPr>
                <w:rFonts w:ascii="Times New Roman" w:hAnsi="Times New Roman"/>
                <w:sz w:val="24"/>
              </w:rPr>
              <w:t>tūlītēji</w:t>
            </w:r>
          </w:p>
        </w:tc>
      </w:tr>
      <w:tr w:rsidR="00605273" w:rsidRPr="00605273" w14:paraId="12055EC9" w14:textId="77777777" w:rsidTr="009C4FC9">
        <w:tc>
          <w:tcPr>
            <w:tcW w:w="1568" w:type="pct"/>
          </w:tcPr>
          <w:p w14:paraId="2DDBF71D" w14:textId="77777777" w:rsidR="00605273" w:rsidRPr="00605273" w:rsidRDefault="00605273" w:rsidP="009C4FC9">
            <w:pPr>
              <w:jc w:val="both"/>
              <w:rPr>
                <w:rFonts w:ascii="Times New Roman" w:hAnsi="Times New Roman" w:cs="Times New Roman"/>
                <w:b/>
                <w:noProof/>
                <w:sz w:val="24"/>
                <w:szCs w:val="24"/>
              </w:rPr>
            </w:pPr>
            <w:r>
              <w:rPr>
                <w:rFonts w:ascii="Times New Roman" w:hAnsi="Times New Roman"/>
                <w:b/>
                <w:sz w:val="24"/>
              </w:rPr>
              <w:t>Pārejas periods:</w:t>
            </w:r>
          </w:p>
        </w:tc>
        <w:tc>
          <w:tcPr>
            <w:tcW w:w="430" w:type="pct"/>
          </w:tcPr>
          <w:p w14:paraId="6AA3D505" w14:textId="77777777" w:rsidR="00605273" w:rsidRPr="00605273" w:rsidRDefault="00605273" w:rsidP="009C4FC9">
            <w:pPr>
              <w:jc w:val="both"/>
              <w:rPr>
                <w:rFonts w:ascii="Times New Roman" w:eastAsia="Arial" w:hAnsi="Times New Roman" w:cs="Times New Roman"/>
                <w:noProof/>
                <w:sz w:val="24"/>
                <w:szCs w:val="24"/>
              </w:rPr>
            </w:pPr>
          </w:p>
        </w:tc>
        <w:tc>
          <w:tcPr>
            <w:tcW w:w="3002" w:type="pct"/>
          </w:tcPr>
          <w:p w14:paraId="2A301794" w14:textId="77777777" w:rsidR="00605273" w:rsidRPr="00605273" w:rsidRDefault="00605273" w:rsidP="009C4FC9">
            <w:pPr>
              <w:jc w:val="both"/>
              <w:rPr>
                <w:rFonts w:ascii="Times New Roman" w:hAnsi="Times New Roman" w:cs="Times New Roman"/>
                <w:noProof/>
                <w:sz w:val="24"/>
                <w:szCs w:val="24"/>
              </w:rPr>
            </w:pPr>
            <w:r>
              <w:rPr>
                <w:rFonts w:ascii="Times New Roman" w:hAnsi="Times New Roman"/>
                <w:sz w:val="24"/>
              </w:rPr>
              <w:t>Nav</w:t>
            </w:r>
          </w:p>
        </w:tc>
      </w:tr>
    </w:tbl>
    <w:p w14:paraId="73120C93" w14:textId="77777777" w:rsidR="00605273" w:rsidRPr="00605273" w:rsidRDefault="00605273" w:rsidP="00605273">
      <w:pPr>
        <w:jc w:val="both"/>
        <w:rPr>
          <w:rFonts w:ascii="Times New Roman" w:eastAsia="Arial" w:hAnsi="Times New Roman" w:cs="Times New Roman"/>
          <w:noProof/>
          <w:sz w:val="24"/>
          <w:szCs w:val="24"/>
        </w:rPr>
      </w:pPr>
    </w:p>
    <w:p w14:paraId="16794F27" w14:textId="77777777" w:rsidR="00605273" w:rsidRPr="00605273" w:rsidRDefault="00605273" w:rsidP="00605273">
      <w:pPr>
        <w:rPr>
          <w:rFonts w:ascii="Times New Roman" w:eastAsia="Arial" w:hAnsi="Times New Roman" w:cs="Times New Roman"/>
          <w:noProof/>
          <w:sz w:val="24"/>
          <w:szCs w:val="24"/>
        </w:rPr>
      </w:pPr>
      <w:r>
        <w:br w:type="page"/>
      </w:r>
    </w:p>
    <w:p w14:paraId="46DE4670" w14:textId="77777777" w:rsidR="00605273" w:rsidRPr="00605273" w:rsidRDefault="00605273" w:rsidP="00605273">
      <w:pPr>
        <w:jc w:val="both"/>
        <w:rPr>
          <w:rFonts w:ascii="Times New Roman" w:eastAsia="Arial" w:hAnsi="Times New Roman" w:cs="Times New Roman"/>
          <w:noProof/>
          <w:sz w:val="24"/>
          <w:szCs w:val="24"/>
        </w:rPr>
      </w:pPr>
    </w:p>
    <w:p w14:paraId="5841042A" w14:textId="77777777" w:rsidR="00605273" w:rsidRPr="00605273" w:rsidRDefault="00605273" w:rsidP="00605273">
      <w:pPr>
        <w:jc w:val="both"/>
        <w:rPr>
          <w:rFonts w:ascii="Times New Roman" w:hAnsi="Times New Roman" w:cs="Times New Roman"/>
          <w:b/>
          <w:i/>
          <w:noProof/>
          <w:sz w:val="24"/>
          <w:szCs w:val="24"/>
        </w:rPr>
      </w:pPr>
      <w:r>
        <w:rPr>
          <w:rFonts w:ascii="Times New Roman" w:hAnsi="Times New Roman"/>
          <w:b/>
          <w:i/>
          <w:sz w:val="24"/>
        </w:rPr>
        <w:t>SATURS</w:t>
      </w:r>
    </w:p>
    <w:p w14:paraId="5149920E" w14:textId="77777777" w:rsidR="00605273" w:rsidRDefault="00605273" w:rsidP="00605273">
      <w:pPr>
        <w:jc w:val="both"/>
        <w:rPr>
          <w:rFonts w:ascii="Times New Roman" w:eastAsia="Arial" w:hAnsi="Times New Roman" w:cs="Times New Roman"/>
          <w:b/>
          <w:bCs/>
          <w:i/>
          <w:noProof/>
          <w:sz w:val="24"/>
          <w:szCs w:val="24"/>
        </w:rPr>
      </w:pPr>
    </w:p>
    <w:sdt>
      <w:sdtPr>
        <w:rPr>
          <w:rFonts w:asciiTheme="minorHAnsi" w:eastAsiaTheme="minorHAnsi" w:hAnsiTheme="minorHAnsi" w:cstheme="minorBidi"/>
          <w:color w:val="auto"/>
          <w:sz w:val="22"/>
          <w:szCs w:val="22"/>
          <w:lang w:val="lv-LV"/>
        </w:rPr>
        <w:id w:val="2092035685"/>
        <w:docPartObj>
          <w:docPartGallery w:val="Table of Contents"/>
          <w:docPartUnique/>
        </w:docPartObj>
      </w:sdtPr>
      <w:sdtEndPr>
        <w:rPr>
          <w:b/>
          <w:bCs/>
          <w:noProof/>
        </w:rPr>
      </w:sdtEndPr>
      <w:sdtContent>
        <w:p w14:paraId="3FD8C7F5" w14:textId="3E2C4A56" w:rsidR="00A66008" w:rsidRPr="003B1015" w:rsidRDefault="00A66008" w:rsidP="001C50FB">
          <w:pPr>
            <w:pStyle w:val="TOCHeading"/>
            <w:spacing w:before="0" w:line="360" w:lineRule="auto"/>
            <w:rPr>
              <w:rFonts w:ascii="Times New Roman" w:hAnsi="Times New Roman" w:cs="Times New Roman"/>
              <w:b/>
              <w:bCs/>
              <w:color w:val="auto"/>
              <w:sz w:val="24"/>
              <w:szCs w:val="24"/>
            </w:rPr>
          </w:pPr>
        </w:p>
        <w:p w14:paraId="1E2AC337" w14:textId="187DB3E3" w:rsidR="001C50FB" w:rsidRPr="00433204" w:rsidRDefault="00A66008"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r w:rsidRPr="00433204">
            <w:rPr>
              <w:rFonts w:ascii="Times New Roman" w:hAnsi="Times New Roman" w:cs="Times New Roman"/>
              <w:sz w:val="24"/>
              <w:szCs w:val="24"/>
            </w:rPr>
            <w:fldChar w:fldCharType="begin"/>
          </w:r>
          <w:r w:rsidRPr="00433204">
            <w:rPr>
              <w:rFonts w:ascii="Times New Roman" w:hAnsi="Times New Roman" w:cs="Times New Roman"/>
              <w:sz w:val="24"/>
              <w:szCs w:val="24"/>
            </w:rPr>
            <w:instrText xml:space="preserve"> TOC \o "1-3" \h \z \u </w:instrText>
          </w:r>
          <w:r w:rsidRPr="00433204">
            <w:rPr>
              <w:rFonts w:ascii="Times New Roman" w:hAnsi="Times New Roman" w:cs="Times New Roman"/>
              <w:sz w:val="24"/>
              <w:szCs w:val="24"/>
            </w:rPr>
            <w:fldChar w:fldCharType="separate"/>
          </w:r>
          <w:hyperlink w:anchor="_Toc120022452" w:history="1">
            <w:r w:rsidR="001C50FB" w:rsidRPr="00433204">
              <w:rPr>
                <w:rStyle w:val="Hyperlink"/>
                <w:rFonts w:ascii="Times New Roman" w:hAnsi="Times New Roman" w:cs="Times New Roman"/>
                <w:noProof/>
                <w:sz w:val="24"/>
                <w:szCs w:val="24"/>
              </w:rPr>
              <w:t>1. IEVADS</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_Toc120022452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4</w:t>
            </w:r>
            <w:r w:rsidR="001C50FB" w:rsidRPr="00433204">
              <w:rPr>
                <w:rFonts w:ascii="Times New Roman" w:hAnsi="Times New Roman" w:cs="Times New Roman"/>
                <w:noProof/>
                <w:webHidden/>
                <w:sz w:val="24"/>
                <w:szCs w:val="24"/>
              </w:rPr>
              <w:fldChar w:fldCharType="end"/>
            </w:r>
          </w:hyperlink>
        </w:p>
        <w:p w14:paraId="698FDA36" w14:textId="6FC68CA1" w:rsidR="001C50FB" w:rsidRPr="00433204" w:rsidRDefault="00940DEE"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0022453" w:history="1">
            <w:r w:rsidR="001C50FB" w:rsidRPr="00433204">
              <w:rPr>
                <w:rStyle w:val="Hyperlink"/>
                <w:rFonts w:ascii="Times New Roman" w:hAnsi="Times New Roman" w:cs="Times New Roman"/>
                <w:noProof/>
                <w:sz w:val="24"/>
                <w:szCs w:val="24"/>
              </w:rPr>
              <w:t>2. TERMINI UN DEFINĪCIJAS</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_Toc120022453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4</w:t>
            </w:r>
            <w:r w:rsidR="001C50FB" w:rsidRPr="00433204">
              <w:rPr>
                <w:rFonts w:ascii="Times New Roman" w:hAnsi="Times New Roman" w:cs="Times New Roman"/>
                <w:noProof/>
                <w:webHidden/>
                <w:sz w:val="24"/>
                <w:szCs w:val="24"/>
              </w:rPr>
              <w:fldChar w:fldCharType="end"/>
            </w:r>
          </w:hyperlink>
        </w:p>
        <w:p w14:paraId="4EB34386" w14:textId="517A2D89" w:rsidR="001C50FB" w:rsidRPr="00433204" w:rsidRDefault="00940DEE"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0022454" w:history="1">
            <w:r w:rsidR="001C50FB" w:rsidRPr="00433204">
              <w:rPr>
                <w:rStyle w:val="Hyperlink"/>
                <w:rFonts w:ascii="Times New Roman" w:hAnsi="Times New Roman" w:cs="Times New Roman"/>
                <w:noProof/>
                <w:sz w:val="24"/>
                <w:szCs w:val="24"/>
              </w:rPr>
              <w:t>3. VISPĀRĪGIE ASPEKTI</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_Toc120022454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5</w:t>
            </w:r>
            <w:r w:rsidR="001C50FB" w:rsidRPr="00433204">
              <w:rPr>
                <w:rFonts w:ascii="Times New Roman" w:hAnsi="Times New Roman" w:cs="Times New Roman"/>
                <w:noProof/>
                <w:webHidden/>
                <w:sz w:val="24"/>
                <w:szCs w:val="24"/>
              </w:rPr>
              <w:fldChar w:fldCharType="end"/>
            </w:r>
          </w:hyperlink>
        </w:p>
        <w:p w14:paraId="4E3259D3" w14:textId="723115C4" w:rsidR="001C50FB" w:rsidRPr="00433204" w:rsidRDefault="00940DEE"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0022455" w:history="1">
            <w:r w:rsidR="001C50FB" w:rsidRPr="00433204">
              <w:rPr>
                <w:rStyle w:val="Hyperlink"/>
                <w:rFonts w:ascii="Times New Roman" w:hAnsi="Times New Roman" w:cs="Times New Roman"/>
                <w:noProof/>
                <w:sz w:val="24"/>
                <w:szCs w:val="24"/>
              </w:rPr>
              <w:t>4. DALĪBAS LĪMENIS UN BIEŽUMS</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_Toc120022455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6</w:t>
            </w:r>
            <w:r w:rsidR="001C50FB" w:rsidRPr="00433204">
              <w:rPr>
                <w:rFonts w:ascii="Times New Roman" w:hAnsi="Times New Roman" w:cs="Times New Roman"/>
                <w:noProof/>
                <w:webHidden/>
                <w:sz w:val="24"/>
                <w:szCs w:val="24"/>
              </w:rPr>
              <w:fldChar w:fldCharType="end"/>
            </w:r>
          </w:hyperlink>
        </w:p>
        <w:p w14:paraId="7CACCDF0" w14:textId="07D5BB41" w:rsidR="001C50FB" w:rsidRPr="00433204" w:rsidRDefault="00940DEE"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0022456" w:history="1">
            <w:r w:rsidR="001C50FB" w:rsidRPr="00433204">
              <w:rPr>
                <w:rStyle w:val="Hyperlink"/>
                <w:rFonts w:ascii="Times New Roman" w:hAnsi="Times New Roman" w:cs="Times New Roman"/>
                <w:noProof/>
                <w:sz w:val="24"/>
                <w:szCs w:val="24"/>
              </w:rPr>
              <w:t>5. ATSAUCES</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_Toc120022456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7</w:t>
            </w:r>
            <w:r w:rsidR="001C50FB" w:rsidRPr="00433204">
              <w:rPr>
                <w:rFonts w:ascii="Times New Roman" w:hAnsi="Times New Roman" w:cs="Times New Roman"/>
                <w:noProof/>
                <w:webHidden/>
                <w:sz w:val="24"/>
                <w:szCs w:val="24"/>
              </w:rPr>
              <w:fldChar w:fldCharType="end"/>
            </w:r>
          </w:hyperlink>
        </w:p>
        <w:p w14:paraId="0C656BAC" w14:textId="21B995D8" w:rsidR="001C50FB" w:rsidRPr="00433204" w:rsidRDefault="00940DEE" w:rsidP="001C50FB">
          <w:pPr>
            <w:pStyle w:val="TOC1"/>
            <w:tabs>
              <w:tab w:val="right" w:leader="dot" w:pos="9065"/>
            </w:tabs>
            <w:spacing w:before="0" w:line="360" w:lineRule="auto"/>
            <w:ind w:left="0" w:firstLine="0"/>
            <w:rPr>
              <w:rFonts w:ascii="Times New Roman" w:eastAsiaTheme="minorEastAsia" w:hAnsi="Times New Roman" w:cs="Times New Roman"/>
              <w:i w:val="0"/>
              <w:noProof/>
              <w:sz w:val="24"/>
              <w:szCs w:val="24"/>
              <w:lang w:eastAsia="lv-LV"/>
            </w:rPr>
          </w:pPr>
          <w:hyperlink w:anchor="_Toc120022457" w:history="1">
            <w:r w:rsidR="001C50FB" w:rsidRPr="00433204">
              <w:rPr>
                <w:rStyle w:val="Hyperlink"/>
                <w:rFonts w:ascii="Times New Roman" w:hAnsi="Times New Roman" w:cs="Times New Roman"/>
                <w:noProof/>
                <w:sz w:val="24"/>
                <w:szCs w:val="24"/>
              </w:rPr>
              <w:t>6. SITUĀCIJU ANALĪZE</w:t>
            </w:r>
            <w:r w:rsidR="001C50FB" w:rsidRPr="00433204">
              <w:rPr>
                <w:rFonts w:ascii="Times New Roman" w:hAnsi="Times New Roman" w:cs="Times New Roman"/>
                <w:noProof/>
                <w:webHidden/>
                <w:sz w:val="24"/>
                <w:szCs w:val="24"/>
              </w:rPr>
              <w:tab/>
            </w:r>
            <w:r w:rsidR="001C50FB" w:rsidRPr="00433204">
              <w:rPr>
                <w:rFonts w:ascii="Times New Roman" w:hAnsi="Times New Roman" w:cs="Times New Roman"/>
                <w:noProof/>
                <w:webHidden/>
                <w:sz w:val="24"/>
                <w:szCs w:val="24"/>
              </w:rPr>
              <w:fldChar w:fldCharType="begin"/>
            </w:r>
            <w:r w:rsidR="001C50FB" w:rsidRPr="00433204">
              <w:rPr>
                <w:rFonts w:ascii="Times New Roman" w:hAnsi="Times New Roman" w:cs="Times New Roman"/>
                <w:noProof/>
                <w:webHidden/>
                <w:sz w:val="24"/>
                <w:szCs w:val="24"/>
              </w:rPr>
              <w:instrText xml:space="preserve"> PAGEREF _Toc120022457 \h </w:instrText>
            </w:r>
            <w:r w:rsidR="001C50FB" w:rsidRPr="00433204">
              <w:rPr>
                <w:rFonts w:ascii="Times New Roman" w:hAnsi="Times New Roman" w:cs="Times New Roman"/>
                <w:noProof/>
                <w:webHidden/>
                <w:sz w:val="24"/>
                <w:szCs w:val="24"/>
              </w:rPr>
            </w:r>
            <w:r w:rsidR="001C50FB" w:rsidRPr="00433204">
              <w:rPr>
                <w:rFonts w:ascii="Times New Roman" w:hAnsi="Times New Roman" w:cs="Times New Roman"/>
                <w:noProof/>
                <w:webHidden/>
                <w:sz w:val="24"/>
                <w:szCs w:val="24"/>
              </w:rPr>
              <w:fldChar w:fldCharType="separate"/>
            </w:r>
            <w:r w:rsidR="001C50FB" w:rsidRPr="00433204">
              <w:rPr>
                <w:rFonts w:ascii="Times New Roman" w:hAnsi="Times New Roman" w:cs="Times New Roman"/>
                <w:noProof/>
                <w:webHidden/>
                <w:sz w:val="24"/>
                <w:szCs w:val="24"/>
              </w:rPr>
              <w:t>8</w:t>
            </w:r>
            <w:r w:rsidR="001C50FB" w:rsidRPr="00433204">
              <w:rPr>
                <w:rFonts w:ascii="Times New Roman" w:hAnsi="Times New Roman" w:cs="Times New Roman"/>
                <w:noProof/>
                <w:webHidden/>
                <w:sz w:val="24"/>
                <w:szCs w:val="24"/>
              </w:rPr>
              <w:fldChar w:fldCharType="end"/>
            </w:r>
          </w:hyperlink>
        </w:p>
        <w:p w14:paraId="29E06626" w14:textId="21302560"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58" w:history="1">
            <w:r w:rsidR="001C50FB" w:rsidRPr="00433204">
              <w:rPr>
                <w:rStyle w:val="Hyperlink"/>
                <w:rFonts w:ascii="Times New Roman" w:hAnsi="Times New Roman" w:cs="Times New Roman"/>
                <w:b/>
                <w:bCs/>
                <w:noProof/>
                <w:sz w:val="24"/>
                <w:szCs w:val="24"/>
              </w:rPr>
              <w:t>1. situācijas analīze. Vides ķīmijas testēšanas laboratorija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_Toc120022458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9</w:t>
            </w:r>
            <w:r w:rsidR="001C50FB" w:rsidRPr="00433204">
              <w:rPr>
                <w:rFonts w:ascii="Times New Roman" w:hAnsi="Times New Roman" w:cs="Times New Roman"/>
                <w:b/>
                <w:bCs/>
                <w:noProof/>
                <w:webHidden/>
                <w:sz w:val="24"/>
                <w:szCs w:val="24"/>
              </w:rPr>
              <w:fldChar w:fldCharType="end"/>
            </w:r>
          </w:hyperlink>
        </w:p>
        <w:p w14:paraId="20BB9048" w14:textId="0ED107EF"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59" w:history="1">
            <w:r w:rsidR="001C50FB" w:rsidRPr="00433204">
              <w:rPr>
                <w:rStyle w:val="Hyperlink"/>
                <w:rFonts w:ascii="Times New Roman" w:hAnsi="Times New Roman" w:cs="Times New Roman"/>
                <w:b/>
                <w:bCs/>
                <w:noProof/>
                <w:sz w:val="24"/>
                <w:szCs w:val="24"/>
              </w:rPr>
              <w:t>2. situācijas analīze. Mikrobioloģijas testēšanas laboratorija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_Toc120022459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11</w:t>
            </w:r>
            <w:r w:rsidR="001C50FB" w:rsidRPr="00433204">
              <w:rPr>
                <w:rFonts w:ascii="Times New Roman" w:hAnsi="Times New Roman" w:cs="Times New Roman"/>
                <w:b/>
                <w:bCs/>
                <w:noProof/>
                <w:webHidden/>
                <w:sz w:val="24"/>
                <w:szCs w:val="24"/>
              </w:rPr>
              <w:fldChar w:fldCharType="end"/>
            </w:r>
          </w:hyperlink>
        </w:p>
        <w:p w14:paraId="569AD0C7" w14:textId="5CC3FD27"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60" w:history="1">
            <w:r w:rsidR="001C50FB" w:rsidRPr="00433204">
              <w:rPr>
                <w:rStyle w:val="Hyperlink"/>
                <w:rFonts w:ascii="Times New Roman" w:hAnsi="Times New Roman" w:cs="Times New Roman"/>
                <w:b/>
                <w:bCs/>
                <w:noProof/>
                <w:sz w:val="24"/>
                <w:szCs w:val="24"/>
              </w:rPr>
              <w:t>3. situācijas analīze. Medicīnas laboratorija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_Toc120022460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13</w:t>
            </w:r>
            <w:r w:rsidR="001C50FB" w:rsidRPr="00433204">
              <w:rPr>
                <w:rFonts w:ascii="Times New Roman" w:hAnsi="Times New Roman" w:cs="Times New Roman"/>
                <w:b/>
                <w:bCs/>
                <w:noProof/>
                <w:webHidden/>
                <w:sz w:val="24"/>
                <w:szCs w:val="24"/>
              </w:rPr>
              <w:fldChar w:fldCharType="end"/>
            </w:r>
          </w:hyperlink>
        </w:p>
        <w:p w14:paraId="0C484C18" w14:textId="75C21189"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61" w:history="1">
            <w:r w:rsidR="001C50FB" w:rsidRPr="00433204">
              <w:rPr>
                <w:rStyle w:val="Hyperlink"/>
                <w:rFonts w:ascii="Times New Roman" w:hAnsi="Times New Roman" w:cs="Times New Roman"/>
                <w:b/>
                <w:bCs/>
                <w:noProof/>
                <w:sz w:val="24"/>
                <w:szCs w:val="24"/>
              </w:rPr>
              <w:t>4. situācijas analīze. Mehāniskā testēšanas laboratorija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_Toc120022461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15</w:t>
            </w:r>
            <w:r w:rsidR="001C50FB" w:rsidRPr="00433204">
              <w:rPr>
                <w:rFonts w:ascii="Times New Roman" w:hAnsi="Times New Roman" w:cs="Times New Roman"/>
                <w:b/>
                <w:bCs/>
                <w:noProof/>
                <w:webHidden/>
                <w:sz w:val="24"/>
                <w:szCs w:val="24"/>
              </w:rPr>
              <w:fldChar w:fldCharType="end"/>
            </w:r>
          </w:hyperlink>
        </w:p>
        <w:p w14:paraId="4C9BFA7A" w14:textId="2E7B62F9"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62" w:history="1">
            <w:r w:rsidR="001C50FB" w:rsidRPr="00433204">
              <w:rPr>
                <w:rStyle w:val="Hyperlink"/>
                <w:rFonts w:ascii="Times New Roman" w:hAnsi="Times New Roman" w:cs="Times New Roman"/>
                <w:b/>
                <w:bCs/>
                <w:noProof/>
                <w:sz w:val="24"/>
                <w:szCs w:val="24"/>
              </w:rPr>
              <w:t>5. situācijas analīze. Medicīnas laboratorija (matricas pieeja)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_Toc120022462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18</w:t>
            </w:r>
            <w:r w:rsidR="001C50FB" w:rsidRPr="00433204">
              <w:rPr>
                <w:rFonts w:ascii="Times New Roman" w:hAnsi="Times New Roman" w:cs="Times New Roman"/>
                <w:b/>
                <w:bCs/>
                <w:noProof/>
                <w:webHidden/>
                <w:sz w:val="24"/>
                <w:szCs w:val="24"/>
              </w:rPr>
              <w:fldChar w:fldCharType="end"/>
            </w:r>
          </w:hyperlink>
        </w:p>
        <w:p w14:paraId="16E4F849" w14:textId="41B6876A" w:rsidR="001C50FB" w:rsidRPr="00433204" w:rsidRDefault="00940DEE" w:rsidP="001C50FB">
          <w:pPr>
            <w:pStyle w:val="TOC2"/>
            <w:tabs>
              <w:tab w:val="right" w:leader="dot" w:pos="9065"/>
            </w:tabs>
            <w:spacing w:after="0" w:line="360" w:lineRule="auto"/>
            <w:ind w:left="0"/>
            <w:rPr>
              <w:rFonts w:ascii="Times New Roman" w:eastAsiaTheme="minorEastAsia" w:hAnsi="Times New Roman" w:cs="Times New Roman"/>
              <w:b/>
              <w:bCs/>
              <w:noProof/>
              <w:sz w:val="24"/>
              <w:szCs w:val="24"/>
              <w:lang w:eastAsia="lv-LV"/>
            </w:rPr>
          </w:pPr>
          <w:hyperlink w:anchor="_Toc120022463" w:history="1">
            <w:r w:rsidR="001C50FB" w:rsidRPr="00433204">
              <w:rPr>
                <w:rStyle w:val="Hyperlink"/>
                <w:rFonts w:ascii="Times New Roman" w:hAnsi="Times New Roman" w:cs="Times New Roman"/>
                <w:b/>
                <w:bCs/>
                <w:noProof/>
                <w:sz w:val="24"/>
                <w:szCs w:val="24"/>
              </w:rPr>
              <w:t>6. situācijas analīze. Kalibrēšanas laboratorija</w:t>
            </w:r>
            <w:r w:rsidR="001C50FB" w:rsidRPr="00433204">
              <w:rPr>
                <w:rFonts w:ascii="Times New Roman" w:hAnsi="Times New Roman" w:cs="Times New Roman"/>
                <w:b/>
                <w:bCs/>
                <w:noProof/>
                <w:webHidden/>
                <w:sz w:val="24"/>
                <w:szCs w:val="24"/>
              </w:rPr>
              <w:tab/>
            </w:r>
            <w:r w:rsidR="001C50FB" w:rsidRPr="00433204">
              <w:rPr>
                <w:rFonts w:ascii="Times New Roman" w:hAnsi="Times New Roman" w:cs="Times New Roman"/>
                <w:b/>
                <w:bCs/>
                <w:noProof/>
                <w:webHidden/>
                <w:sz w:val="24"/>
                <w:szCs w:val="24"/>
              </w:rPr>
              <w:fldChar w:fldCharType="begin"/>
            </w:r>
            <w:r w:rsidR="001C50FB" w:rsidRPr="00433204">
              <w:rPr>
                <w:rFonts w:ascii="Times New Roman" w:hAnsi="Times New Roman" w:cs="Times New Roman"/>
                <w:b/>
                <w:bCs/>
                <w:noProof/>
                <w:webHidden/>
                <w:sz w:val="24"/>
                <w:szCs w:val="24"/>
              </w:rPr>
              <w:instrText xml:space="preserve"> PAGEREF _Toc120022463 \h </w:instrText>
            </w:r>
            <w:r w:rsidR="001C50FB" w:rsidRPr="00433204">
              <w:rPr>
                <w:rFonts w:ascii="Times New Roman" w:hAnsi="Times New Roman" w:cs="Times New Roman"/>
                <w:b/>
                <w:bCs/>
                <w:noProof/>
                <w:webHidden/>
                <w:sz w:val="24"/>
                <w:szCs w:val="24"/>
              </w:rPr>
            </w:r>
            <w:r w:rsidR="001C50FB" w:rsidRPr="00433204">
              <w:rPr>
                <w:rFonts w:ascii="Times New Roman" w:hAnsi="Times New Roman" w:cs="Times New Roman"/>
                <w:b/>
                <w:bCs/>
                <w:noProof/>
                <w:webHidden/>
                <w:sz w:val="24"/>
                <w:szCs w:val="24"/>
              </w:rPr>
              <w:fldChar w:fldCharType="separate"/>
            </w:r>
            <w:r w:rsidR="001C50FB" w:rsidRPr="00433204">
              <w:rPr>
                <w:rFonts w:ascii="Times New Roman" w:hAnsi="Times New Roman" w:cs="Times New Roman"/>
                <w:b/>
                <w:bCs/>
                <w:noProof/>
                <w:webHidden/>
                <w:sz w:val="24"/>
                <w:szCs w:val="24"/>
              </w:rPr>
              <w:t>20</w:t>
            </w:r>
            <w:r w:rsidR="001C50FB" w:rsidRPr="00433204">
              <w:rPr>
                <w:rFonts w:ascii="Times New Roman" w:hAnsi="Times New Roman" w:cs="Times New Roman"/>
                <w:b/>
                <w:bCs/>
                <w:noProof/>
                <w:webHidden/>
                <w:sz w:val="24"/>
                <w:szCs w:val="24"/>
              </w:rPr>
              <w:fldChar w:fldCharType="end"/>
            </w:r>
          </w:hyperlink>
        </w:p>
        <w:p w14:paraId="7A7BE80E" w14:textId="6915B374" w:rsidR="00A66008" w:rsidRDefault="00A66008" w:rsidP="001C50FB">
          <w:pPr>
            <w:spacing w:line="360" w:lineRule="auto"/>
          </w:pPr>
          <w:r w:rsidRPr="00433204">
            <w:rPr>
              <w:rFonts w:ascii="Times New Roman" w:hAnsi="Times New Roman" w:cs="Times New Roman"/>
              <w:b/>
              <w:bCs/>
              <w:noProof/>
              <w:sz w:val="24"/>
              <w:szCs w:val="24"/>
            </w:rPr>
            <w:fldChar w:fldCharType="end"/>
          </w:r>
        </w:p>
      </w:sdtContent>
    </w:sdt>
    <w:p w14:paraId="11B89F87" w14:textId="77777777" w:rsidR="00A66008" w:rsidRPr="00605273" w:rsidRDefault="00A66008" w:rsidP="00605273">
      <w:pPr>
        <w:jc w:val="both"/>
        <w:rPr>
          <w:rFonts w:ascii="Times New Roman" w:eastAsia="Arial" w:hAnsi="Times New Roman" w:cs="Times New Roman"/>
          <w:b/>
          <w:bCs/>
          <w:i/>
          <w:noProof/>
          <w:sz w:val="24"/>
          <w:szCs w:val="24"/>
        </w:rPr>
      </w:pPr>
    </w:p>
    <w:p w14:paraId="0E74F1EA" w14:textId="77777777" w:rsidR="00605273" w:rsidRPr="00605273" w:rsidRDefault="00605273" w:rsidP="00605273">
      <w:pPr>
        <w:rPr>
          <w:rFonts w:ascii="Times New Roman" w:eastAsia="Arial" w:hAnsi="Times New Roman" w:cs="Times New Roman"/>
          <w:noProof/>
          <w:sz w:val="24"/>
          <w:szCs w:val="24"/>
        </w:rPr>
      </w:pPr>
      <w:r>
        <w:br w:type="page"/>
      </w:r>
    </w:p>
    <w:p w14:paraId="377154C8" w14:textId="77777777" w:rsidR="00605273" w:rsidRPr="00605273" w:rsidRDefault="00605273" w:rsidP="00605273">
      <w:pPr>
        <w:jc w:val="both"/>
        <w:rPr>
          <w:rFonts w:ascii="Times New Roman" w:eastAsia="Arial" w:hAnsi="Times New Roman" w:cs="Times New Roman"/>
          <w:b/>
          <w:bCs/>
          <w:i/>
          <w:noProof/>
          <w:sz w:val="24"/>
          <w:szCs w:val="24"/>
        </w:rPr>
      </w:pPr>
    </w:p>
    <w:p w14:paraId="11CE4E08" w14:textId="77777777" w:rsidR="00605273" w:rsidRPr="00605273" w:rsidRDefault="00605273" w:rsidP="00605273">
      <w:pPr>
        <w:pStyle w:val="Heading1"/>
      </w:pPr>
      <w:bookmarkStart w:id="0" w:name="_Toc120022452"/>
      <w:r>
        <w:t>1. IEVADS</w:t>
      </w:r>
      <w:bookmarkStart w:id="1" w:name="_bookmark0"/>
      <w:bookmarkEnd w:id="1"/>
      <w:bookmarkEnd w:id="0"/>
    </w:p>
    <w:p w14:paraId="3294466C" w14:textId="77777777" w:rsidR="00605273" w:rsidRPr="00605273" w:rsidRDefault="00605273" w:rsidP="00605273">
      <w:pPr>
        <w:jc w:val="both"/>
        <w:rPr>
          <w:rFonts w:ascii="Times New Roman" w:eastAsia="Arial" w:hAnsi="Times New Roman" w:cs="Times New Roman"/>
          <w:b/>
          <w:bCs/>
          <w:i/>
          <w:noProof/>
          <w:sz w:val="24"/>
          <w:szCs w:val="24"/>
        </w:rPr>
      </w:pPr>
    </w:p>
    <w:p w14:paraId="7D5E7BF1" w14:textId="77777777" w:rsidR="00605273" w:rsidRPr="00605273" w:rsidRDefault="00605273" w:rsidP="00605273">
      <w:pPr>
        <w:pStyle w:val="BodyText"/>
      </w:pPr>
      <w:r>
        <w:t>Standartā ISO/IEC 17025:2017 [1] “Testēšanas un kalibrēšanas laboratoriju kompetences prasības” (7.7.1. punkts) ir noteikts, ka laboratorijai ir jābūt procedūrai rezultātu ticamības uzraudzībai un ka šī uzraudzība ir jāplāno un jāpārskata.</w:t>
      </w:r>
    </w:p>
    <w:p w14:paraId="2CC5BD2B" w14:textId="77777777" w:rsidR="00605273" w:rsidRPr="00605273" w:rsidRDefault="00605273" w:rsidP="00605273">
      <w:pPr>
        <w:pStyle w:val="BodyText"/>
      </w:pPr>
      <w:r>
        <w:t>Standarta 7.7.2. punktā ir noteikts, ka laboratorijai ir jāuzrauga tās veiktspēja salīdzinājumā ar citu laboratoriju rezultātiem, ja tas ir iespējams un ir piemēroti. Šai uzraudzībai ir jābūt plānotai un pārskatītai, un tai jāietver tostarp, bet ne tikai, viens vai abi uzskaitītie:</w:t>
      </w:r>
    </w:p>
    <w:p w14:paraId="38F6F4C3" w14:textId="77777777" w:rsidR="00605273" w:rsidRPr="00605273" w:rsidRDefault="00605273" w:rsidP="00605273">
      <w:pPr>
        <w:jc w:val="both"/>
        <w:rPr>
          <w:rFonts w:ascii="Times New Roman" w:eastAsia="Arial" w:hAnsi="Times New Roman" w:cs="Times New Roman"/>
          <w:noProof/>
          <w:sz w:val="24"/>
          <w:szCs w:val="24"/>
        </w:rPr>
      </w:pPr>
    </w:p>
    <w:p w14:paraId="7518A405" w14:textId="77777777" w:rsidR="00605273" w:rsidRPr="00605273" w:rsidRDefault="00605273" w:rsidP="00605273">
      <w:pPr>
        <w:pStyle w:val="BodyText"/>
      </w:pPr>
      <w:r>
        <w:t>a) dalība prasmes pārbaudē;</w:t>
      </w:r>
    </w:p>
    <w:p w14:paraId="4D594316" w14:textId="77777777" w:rsidR="00605273" w:rsidRPr="00605273" w:rsidRDefault="00605273" w:rsidP="00605273">
      <w:pPr>
        <w:jc w:val="both"/>
        <w:rPr>
          <w:rFonts w:ascii="Times New Roman" w:eastAsia="Arial" w:hAnsi="Times New Roman" w:cs="Times New Roman"/>
          <w:noProof/>
          <w:sz w:val="24"/>
          <w:szCs w:val="24"/>
        </w:rPr>
      </w:pPr>
    </w:p>
    <w:p w14:paraId="746F72CA" w14:textId="77777777" w:rsidR="00605273" w:rsidRPr="00605273" w:rsidRDefault="00605273" w:rsidP="00605273">
      <w:pPr>
        <w:pStyle w:val="BodyText"/>
      </w:pPr>
      <w:r>
        <w:t>Piezīme. ISO/IEC 17043 [2] satur papildu informāciju par prasmes pārbaudēm un prasmes pārbaužu organizētājiem. Prasmes pārbaužu organizētāji, kas atbilst ISO/IEC 17043 [2] prasībām, ir uzskatāmi par kompetentiem.</w:t>
      </w:r>
    </w:p>
    <w:p w14:paraId="72939A61" w14:textId="77777777" w:rsidR="00605273" w:rsidRPr="00605273" w:rsidRDefault="00605273" w:rsidP="00605273">
      <w:pPr>
        <w:jc w:val="both"/>
        <w:rPr>
          <w:rFonts w:ascii="Times New Roman" w:eastAsia="Arial" w:hAnsi="Times New Roman" w:cs="Times New Roman"/>
          <w:noProof/>
          <w:sz w:val="24"/>
          <w:szCs w:val="24"/>
        </w:rPr>
      </w:pPr>
    </w:p>
    <w:p w14:paraId="239663C4" w14:textId="77777777" w:rsidR="00605273" w:rsidRPr="00605273" w:rsidRDefault="00605273" w:rsidP="00605273">
      <w:pPr>
        <w:pStyle w:val="BodyText"/>
      </w:pPr>
      <w:r>
        <w:t>b) dalība starplaboratoriju salīdzināšanā, kas nav prasmes pārbaude.</w:t>
      </w:r>
    </w:p>
    <w:p w14:paraId="5B7E18AA" w14:textId="77777777" w:rsidR="00605273" w:rsidRPr="00605273" w:rsidRDefault="00605273" w:rsidP="00605273">
      <w:pPr>
        <w:jc w:val="both"/>
        <w:rPr>
          <w:rFonts w:ascii="Times New Roman" w:eastAsia="Arial" w:hAnsi="Times New Roman" w:cs="Times New Roman"/>
          <w:noProof/>
          <w:sz w:val="24"/>
          <w:szCs w:val="24"/>
        </w:rPr>
      </w:pPr>
    </w:p>
    <w:p w14:paraId="0F851005" w14:textId="77777777" w:rsidR="00605273" w:rsidRPr="00605273" w:rsidRDefault="00605273" w:rsidP="00605273">
      <w:pPr>
        <w:pStyle w:val="BodyText"/>
      </w:pPr>
      <w:r>
        <w:t xml:space="preserve">Turklāt </w:t>
      </w:r>
      <w:r>
        <w:rPr>
          <w:i/>
          <w:iCs/>
        </w:rPr>
        <w:t>ILAC</w:t>
      </w:r>
      <w:r>
        <w:t xml:space="preserve"> [3] ir noteikusi īpašu politiku attiecībā uz laboratoriju dalību PP darbībās. Šis dokuments, ko ir sagatavojusi ieinteresēto personu apvienotā darba grupa </w:t>
      </w:r>
      <w:r>
        <w:rPr>
          <w:i/>
          <w:iCs/>
        </w:rPr>
        <w:t>EEE-</w:t>
      </w:r>
      <w:r>
        <w:t>PP “Prasmes pārbaude akreditācijā”, ir plašu diskusiju rezultāts un palīdz akreditācijas iestādēm īstenot šo politiku. Šajā dokumentā ir sniegti norādījumi akreditācijas iestādēm ar mērķi veicināt akreditācijas iestāžu saskaņotību attiecībā uz to, kā tiek novērtēts dalības prasmes pārbaudēs (PP) līmenis un biežums, un palīdzēt laboratorijām noteikt savu dalības līmeni un biežumu.</w:t>
      </w:r>
    </w:p>
    <w:p w14:paraId="7EC4569F" w14:textId="77777777" w:rsidR="00605273" w:rsidRPr="00605273" w:rsidRDefault="00605273" w:rsidP="00605273">
      <w:pPr>
        <w:jc w:val="both"/>
        <w:rPr>
          <w:rFonts w:ascii="Times New Roman" w:eastAsia="Arial" w:hAnsi="Times New Roman" w:cs="Times New Roman"/>
          <w:noProof/>
          <w:sz w:val="24"/>
          <w:szCs w:val="24"/>
        </w:rPr>
      </w:pPr>
    </w:p>
    <w:p w14:paraId="4D3C048D" w14:textId="77777777" w:rsidR="00605273" w:rsidRPr="00605273" w:rsidRDefault="00605273" w:rsidP="00605273">
      <w:pPr>
        <w:pStyle w:val="BodyText"/>
      </w:pPr>
      <w:r>
        <w:t>Šajā dokumentā termins “mērījums” ietver arī testēšanas, kalibrēšanas, analīzes, izmeklēšanas, pārbaudes, kvantitatīvas noteikšanas, noteikšanas un citus jēdzienus, kas parasti tiek izmantoti, lai raksturotu laboratorijas pamatdarbu.</w:t>
      </w:r>
    </w:p>
    <w:p w14:paraId="1287798E" w14:textId="77777777" w:rsidR="00605273" w:rsidRPr="00605273" w:rsidRDefault="00605273" w:rsidP="00605273">
      <w:pPr>
        <w:pStyle w:val="BodyText"/>
      </w:pPr>
      <w:r>
        <w:t>Turklāt šajā dokumentā lietotais termins “laboratorija” ietver visas organizācijas, kas sniedz informāciju par objektiem, pamatojoties uz eksperimentāliem novērojumiem, tostarp testēšanu, kalibrēšanu, pārbaudi un izlasi. Tādējādi šajā dokumentā aprakstītie principi ir piemērojami visām akreditētajām organizācijām, kad tās veic laboratorijas darbības.</w:t>
      </w:r>
    </w:p>
    <w:p w14:paraId="724EF860" w14:textId="77777777" w:rsidR="00605273" w:rsidRPr="00605273" w:rsidRDefault="00605273" w:rsidP="00605273">
      <w:pPr>
        <w:jc w:val="both"/>
        <w:rPr>
          <w:rFonts w:ascii="Times New Roman" w:eastAsia="Arial" w:hAnsi="Times New Roman" w:cs="Times New Roman"/>
          <w:noProof/>
          <w:sz w:val="24"/>
          <w:szCs w:val="24"/>
        </w:rPr>
      </w:pPr>
    </w:p>
    <w:p w14:paraId="5A9B7921" w14:textId="77777777" w:rsidR="00605273" w:rsidRPr="00605273" w:rsidRDefault="00605273" w:rsidP="00605273">
      <w:pPr>
        <w:jc w:val="both"/>
        <w:rPr>
          <w:rFonts w:ascii="Times New Roman" w:hAnsi="Times New Roman" w:cs="Times New Roman"/>
          <w:i/>
          <w:noProof/>
          <w:sz w:val="24"/>
          <w:szCs w:val="24"/>
        </w:rPr>
      </w:pPr>
      <w:r>
        <w:rPr>
          <w:rFonts w:ascii="Times New Roman" w:hAnsi="Times New Roman"/>
          <w:i/>
          <w:sz w:val="24"/>
        </w:rPr>
        <w:t>Piezīme. Šis dokuments ir piemērojams arī medicīnas laboratorijām, un šādos gadījumos atsauce uz ISO/</w:t>
      </w:r>
      <w:proofErr w:type="spellStart"/>
      <w:r>
        <w:rPr>
          <w:rFonts w:ascii="Times New Roman" w:hAnsi="Times New Roman"/>
          <w:i/>
          <w:sz w:val="24"/>
        </w:rPr>
        <w:t>IEC</w:t>
      </w:r>
      <w:proofErr w:type="spellEnd"/>
      <w:r>
        <w:rPr>
          <w:rFonts w:ascii="Times New Roman" w:hAnsi="Times New Roman"/>
          <w:i/>
          <w:sz w:val="24"/>
        </w:rPr>
        <w:t> 17025 [1] ir jālasa kā atsauce uz ISO 15189 [4].</w:t>
      </w:r>
    </w:p>
    <w:p w14:paraId="1982C361" w14:textId="77777777" w:rsidR="00605273" w:rsidRPr="00605273" w:rsidRDefault="00605273" w:rsidP="00605273">
      <w:pPr>
        <w:jc w:val="both"/>
        <w:rPr>
          <w:rFonts w:ascii="Times New Roman" w:eastAsia="Arial" w:hAnsi="Times New Roman" w:cs="Times New Roman"/>
          <w:i/>
          <w:noProof/>
          <w:sz w:val="24"/>
          <w:szCs w:val="24"/>
        </w:rPr>
      </w:pPr>
    </w:p>
    <w:p w14:paraId="488E124A" w14:textId="77777777" w:rsidR="00605273" w:rsidRPr="00605273" w:rsidRDefault="00605273" w:rsidP="00605273">
      <w:pPr>
        <w:pStyle w:val="Heading1"/>
      </w:pPr>
      <w:bookmarkStart w:id="2" w:name="_Toc120022453"/>
      <w:r>
        <w:t>2. TERMINI UN DEFINĪCIJAS</w:t>
      </w:r>
      <w:bookmarkStart w:id="3" w:name="_bookmark1"/>
      <w:bookmarkEnd w:id="3"/>
      <w:bookmarkEnd w:id="2"/>
    </w:p>
    <w:p w14:paraId="0D60879D" w14:textId="77777777" w:rsidR="00605273" w:rsidRPr="00605273" w:rsidRDefault="00605273" w:rsidP="00605273">
      <w:pPr>
        <w:jc w:val="both"/>
        <w:rPr>
          <w:rFonts w:ascii="Times New Roman" w:eastAsia="Arial" w:hAnsi="Times New Roman" w:cs="Times New Roman"/>
          <w:b/>
          <w:bCs/>
          <w:i/>
          <w:noProof/>
          <w:sz w:val="24"/>
          <w:szCs w:val="24"/>
        </w:rPr>
      </w:pPr>
    </w:p>
    <w:p w14:paraId="4B3F46A2" w14:textId="77777777" w:rsidR="00605273" w:rsidRPr="00605273" w:rsidRDefault="00605273" w:rsidP="00605273">
      <w:pPr>
        <w:pStyle w:val="BodyText"/>
      </w:pPr>
      <w:r>
        <w:t>Šajā dokumentā sniegtās definīcijas bez konkrētām atsaucēm ir norādītas, lai precizētu to īstenošanu.</w:t>
      </w:r>
    </w:p>
    <w:p w14:paraId="5585A252" w14:textId="77777777" w:rsidR="00605273" w:rsidRPr="00605273" w:rsidRDefault="00605273" w:rsidP="00605273">
      <w:pPr>
        <w:jc w:val="both"/>
        <w:rPr>
          <w:rFonts w:ascii="Times New Roman" w:eastAsia="Arial" w:hAnsi="Times New Roman" w:cs="Times New Roman"/>
          <w:noProof/>
          <w:sz w:val="24"/>
          <w:szCs w:val="24"/>
        </w:rPr>
      </w:pPr>
    </w:p>
    <w:p w14:paraId="02B10C18" w14:textId="77777777" w:rsidR="00605273" w:rsidRPr="00605273" w:rsidRDefault="00605273" w:rsidP="00605273">
      <w:pPr>
        <w:pStyle w:val="BodyText"/>
      </w:pPr>
      <w:r>
        <w:rPr>
          <w:b/>
          <w:bCs/>
        </w:rPr>
        <w:t>Prasmes pārbaude (PP)</w:t>
      </w:r>
      <w:r>
        <w:t xml:space="preserve"> – dalībnieka veiktspējas novērtēšana saskaņā ar iepriekšnoteiktiem kritērijiem, izmantojot starplaboratoriju salīdzināšanu (ISO/IEC 17043:2010, definīcija, 3.7. punkts) [2].</w:t>
      </w:r>
    </w:p>
    <w:p w14:paraId="5D29A233" w14:textId="77777777" w:rsidR="00605273" w:rsidRPr="00605273" w:rsidRDefault="00605273" w:rsidP="00605273">
      <w:pPr>
        <w:jc w:val="both"/>
        <w:rPr>
          <w:rFonts w:ascii="Times New Roman" w:eastAsia="Arial" w:hAnsi="Times New Roman" w:cs="Times New Roman"/>
          <w:noProof/>
          <w:sz w:val="24"/>
          <w:szCs w:val="24"/>
        </w:rPr>
      </w:pPr>
    </w:p>
    <w:p w14:paraId="21406230" w14:textId="6E14CB23" w:rsidR="00605273" w:rsidRPr="00605273" w:rsidRDefault="00605273" w:rsidP="00605273">
      <w:pPr>
        <w:pStyle w:val="BodyText"/>
      </w:pPr>
      <w:r>
        <w:rPr>
          <w:b/>
          <w:bCs/>
        </w:rPr>
        <w:t>Prasmes pārbaudes (PP) programma</w:t>
      </w:r>
      <w:r>
        <w:t xml:space="preserve"> – prasmes pārbaude, kas sagatavota un izpildīta vienā vai vairākos ciklos konkrētā testēšanas, mērīšanas, kalibrēšanas vai </w:t>
      </w:r>
      <w:r w:rsidR="006C099E">
        <w:t>inspekciju</w:t>
      </w:r>
      <w:r>
        <w:t xml:space="preserve"> jomā (ISO/IEC 17043:2010, definīcija, 3.11. punkts) [2].</w:t>
      </w:r>
    </w:p>
    <w:p w14:paraId="3E0385E2" w14:textId="77777777" w:rsidR="00605273" w:rsidRPr="00605273" w:rsidRDefault="00605273" w:rsidP="00605273">
      <w:pPr>
        <w:jc w:val="both"/>
        <w:rPr>
          <w:rFonts w:ascii="Times New Roman" w:hAnsi="Times New Roman" w:cs="Times New Roman"/>
          <w:noProof/>
          <w:sz w:val="24"/>
          <w:szCs w:val="24"/>
        </w:rPr>
      </w:pPr>
    </w:p>
    <w:p w14:paraId="2833FCA7" w14:textId="77777777" w:rsidR="00605273" w:rsidRPr="00605273" w:rsidRDefault="00605273" w:rsidP="00527153">
      <w:pPr>
        <w:pStyle w:val="BodyText"/>
        <w:keepNext/>
        <w:keepLines/>
      </w:pPr>
      <w:r>
        <w:rPr>
          <w:b/>
          <w:bCs/>
        </w:rPr>
        <w:lastRenderedPageBreak/>
        <w:t>Starplaboratoriju salīdzināšana (</w:t>
      </w:r>
      <w:r>
        <w:rPr>
          <w:b/>
          <w:bCs/>
          <w:i/>
          <w:iCs/>
        </w:rPr>
        <w:t>ILC</w:t>
      </w:r>
      <w:r>
        <w:rPr>
          <w:b/>
          <w:bCs/>
        </w:rPr>
        <w:t>)</w:t>
      </w:r>
      <w:r>
        <w:t xml:space="preserve"> – viena un tā paša vai līdzīgu objektu mērījumu vai testu organizēšana, izpilde un novērtēšana divās vai vairākās laboratorijās saskaņā ar iepriekšnoteiktiem nosacījumiem (ISO/IEC 17043:2010, definīcija, 3.4. punkts) [2].</w:t>
      </w:r>
    </w:p>
    <w:p w14:paraId="6D706C6E" w14:textId="77777777" w:rsidR="00605273" w:rsidRPr="00605273" w:rsidRDefault="00605273" w:rsidP="00605273">
      <w:pPr>
        <w:jc w:val="both"/>
        <w:rPr>
          <w:rFonts w:ascii="Times New Roman" w:eastAsia="Arial" w:hAnsi="Times New Roman" w:cs="Times New Roman"/>
          <w:noProof/>
          <w:sz w:val="24"/>
          <w:szCs w:val="24"/>
        </w:rPr>
      </w:pPr>
    </w:p>
    <w:p w14:paraId="0CFCA908" w14:textId="77777777" w:rsidR="00605273" w:rsidRPr="00605273" w:rsidRDefault="00605273" w:rsidP="00605273">
      <w:pPr>
        <w:pStyle w:val="BodyText"/>
      </w:pPr>
      <w:r>
        <w:rPr>
          <w:b/>
        </w:rPr>
        <w:t xml:space="preserve">Mērījumu process </w:t>
      </w:r>
      <w:r>
        <w:t>–</w:t>
      </w:r>
      <w:r>
        <w:rPr>
          <w:b/>
        </w:rPr>
        <w:t xml:space="preserve"> </w:t>
      </w:r>
      <w:r>
        <w:t>raksturlieluma mērīšanas process, tostarp pirmapstrāde, kas nepieciešama, lai laboratorijā saņemto paraugu varētu izmantot mērierīcē.</w:t>
      </w:r>
    </w:p>
    <w:p w14:paraId="53ED4F21" w14:textId="77777777" w:rsidR="00605273" w:rsidRPr="00605273" w:rsidRDefault="00605273" w:rsidP="00605273">
      <w:pPr>
        <w:jc w:val="both"/>
        <w:rPr>
          <w:rFonts w:ascii="Times New Roman" w:eastAsia="Arial" w:hAnsi="Times New Roman" w:cs="Times New Roman"/>
          <w:noProof/>
          <w:sz w:val="24"/>
          <w:szCs w:val="24"/>
        </w:rPr>
      </w:pPr>
    </w:p>
    <w:p w14:paraId="520179CE" w14:textId="77777777" w:rsidR="00605273" w:rsidRPr="00605273" w:rsidRDefault="00605273" w:rsidP="00605273">
      <w:pPr>
        <w:jc w:val="both"/>
        <w:rPr>
          <w:rFonts w:ascii="Times New Roman" w:eastAsia="Arial" w:hAnsi="Times New Roman" w:cs="Times New Roman"/>
          <w:noProof/>
          <w:sz w:val="24"/>
          <w:szCs w:val="24"/>
        </w:rPr>
      </w:pPr>
      <w:r>
        <w:rPr>
          <w:rFonts w:ascii="Times New Roman" w:hAnsi="Times New Roman"/>
          <w:b/>
          <w:sz w:val="24"/>
        </w:rPr>
        <w:t xml:space="preserve">Raksturlielums </w:t>
      </w:r>
      <w:r>
        <w:rPr>
          <w:rFonts w:ascii="Times New Roman" w:hAnsi="Times New Roman"/>
          <w:sz w:val="24"/>
        </w:rPr>
        <w:t>–</w:t>
      </w:r>
      <w:r>
        <w:rPr>
          <w:rFonts w:ascii="Times New Roman" w:hAnsi="Times New Roman"/>
          <w:b/>
          <w:sz w:val="24"/>
        </w:rPr>
        <w:t xml:space="preserve"> </w:t>
      </w:r>
      <w:r>
        <w:rPr>
          <w:rFonts w:ascii="Times New Roman" w:hAnsi="Times New Roman"/>
          <w:sz w:val="24"/>
        </w:rPr>
        <w:t>mērāmais parametrs.</w:t>
      </w:r>
    </w:p>
    <w:p w14:paraId="1DAAC55B" w14:textId="77777777" w:rsidR="00605273" w:rsidRPr="00605273" w:rsidRDefault="00605273" w:rsidP="00605273">
      <w:pPr>
        <w:jc w:val="both"/>
        <w:rPr>
          <w:rFonts w:ascii="Times New Roman" w:eastAsia="Arial" w:hAnsi="Times New Roman" w:cs="Times New Roman"/>
          <w:noProof/>
          <w:sz w:val="24"/>
          <w:szCs w:val="24"/>
        </w:rPr>
      </w:pPr>
    </w:p>
    <w:p w14:paraId="3B61EEA7" w14:textId="77777777" w:rsidR="00605273" w:rsidRPr="00605273" w:rsidRDefault="00605273" w:rsidP="00605273">
      <w:pPr>
        <w:pStyle w:val="BodyText"/>
      </w:pPr>
      <w:r>
        <w:rPr>
          <w:b/>
        </w:rPr>
        <w:t xml:space="preserve">Produkts </w:t>
      </w:r>
      <w:r>
        <w:t>–</w:t>
      </w:r>
      <w:r>
        <w:rPr>
          <w:b/>
        </w:rPr>
        <w:t xml:space="preserve"> </w:t>
      </w:r>
      <w:r>
        <w:t>objekts, attiecībā uz kuru tiek īstenots mērījumu process.</w:t>
      </w:r>
    </w:p>
    <w:p w14:paraId="370D5828" w14:textId="77777777" w:rsidR="00605273" w:rsidRPr="00605273" w:rsidRDefault="00605273" w:rsidP="00605273">
      <w:pPr>
        <w:jc w:val="both"/>
        <w:rPr>
          <w:rFonts w:ascii="Times New Roman" w:eastAsia="Arial" w:hAnsi="Times New Roman" w:cs="Times New Roman"/>
          <w:noProof/>
          <w:sz w:val="24"/>
          <w:szCs w:val="24"/>
        </w:rPr>
      </w:pPr>
    </w:p>
    <w:p w14:paraId="15FBC80E" w14:textId="77777777" w:rsidR="00605273" w:rsidRPr="00605273" w:rsidRDefault="00605273" w:rsidP="00605273">
      <w:pPr>
        <w:jc w:val="both"/>
        <w:rPr>
          <w:rFonts w:ascii="Times New Roman" w:eastAsia="Arial" w:hAnsi="Times New Roman" w:cs="Times New Roman"/>
          <w:noProof/>
          <w:sz w:val="24"/>
          <w:szCs w:val="24"/>
        </w:rPr>
      </w:pPr>
      <w:r>
        <w:rPr>
          <w:rFonts w:ascii="Times New Roman" w:hAnsi="Times New Roman"/>
          <w:b/>
          <w:sz w:val="24"/>
        </w:rPr>
        <w:t xml:space="preserve">Tehniskās kompetences joma </w:t>
      </w:r>
      <w:r>
        <w:rPr>
          <w:rFonts w:ascii="Times New Roman" w:hAnsi="Times New Roman"/>
          <w:sz w:val="24"/>
        </w:rPr>
        <w:t>–</w:t>
      </w:r>
      <w:r>
        <w:rPr>
          <w:rFonts w:ascii="Times New Roman" w:hAnsi="Times New Roman"/>
          <w:b/>
          <w:sz w:val="24"/>
        </w:rPr>
        <w:t xml:space="preserve"> </w:t>
      </w:r>
      <w:r>
        <w:rPr>
          <w:rFonts w:ascii="Times New Roman" w:hAnsi="Times New Roman"/>
          <w:sz w:val="24"/>
        </w:rPr>
        <w:t>kompetences joma, ko definē vismaz viens ar to saistītais mērījumu process, raksturlielums vai produkts.</w:t>
      </w:r>
    </w:p>
    <w:p w14:paraId="77368C89" w14:textId="77777777" w:rsidR="00605273" w:rsidRPr="00605273" w:rsidRDefault="00605273" w:rsidP="00605273">
      <w:pPr>
        <w:pStyle w:val="BodyText"/>
      </w:pPr>
      <w:r>
        <w:t xml:space="preserve">Piemēram, arsēna daudzums gruntī ar </w:t>
      </w:r>
      <w:r>
        <w:rPr>
          <w:i/>
          <w:iCs/>
        </w:rPr>
        <w:t>ICP-MS</w:t>
      </w:r>
      <w:r>
        <w:t>.</w:t>
      </w:r>
    </w:p>
    <w:p w14:paraId="02BA609B" w14:textId="77777777" w:rsidR="00605273" w:rsidRPr="00605273" w:rsidRDefault="00605273" w:rsidP="00605273">
      <w:pPr>
        <w:jc w:val="both"/>
        <w:rPr>
          <w:rFonts w:ascii="Times New Roman" w:eastAsia="Arial" w:hAnsi="Times New Roman" w:cs="Times New Roman"/>
          <w:noProof/>
          <w:sz w:val="24"/>
          <w:szCs w:val="24"/>
        </w:rPr>
      </w:pPr>
    </w:p>
    <w:p w14:paraId="4318BF19" w14:textId="77777777" w:rsidR="00605273" w:rsidRPr="00605273" w:rsidRDefault="00605273" w:rsidP="00605273">
      <w:pPr>
        <w:pStyle w:val="BodyText"/>
      </w:pPr>
      <w:r>
        <w:rPr>
          <w:b/>
        </w:rPr>
        <w:t xml:space="preserve">Dalības līmenis </w:t>
      </w:r>
      <w:r>
        <w:t>–</w:t>
      </w:r>
      <w:r>
        <w:rPr>
          <w:b/>
        </w:rPr>
        <w:t xml:space="preserve"> </w:t>
      </w:r>
      <w:r>
        <w:t>konkrētu darbību skaits, kuras organizācija norāda savā akreditācijas sfērā, un tādējādi tas ir konkrētu prasmes pārbaužu skaits, kas ir jāizvērtē, lai piedalītos.</w:t>
      </w:r>
    </w:p>
    <w:p w14:paraId="2768030B" w14:textId="77777777" w:rsidR="00605273" w:rsidRPr="00605273" w:rsidRDefault="00605273" w:rsidP="00605273">
      <w:pPr>
        <w:jc w:val="both"/>
        <w:rPr>
          <w:rFonts w:ascii="Times New Roman" w:eastAsia="Arial" w:hAnsi="Times New Roman" w:cs="Times New Roman"/>
          <w:noProof/>
          <w:sz w:val="24"/>
          <w:szCs w:val="24"/>
        </w:rPr>
      </w:pPr>
    </w:p>
    <w:p w14:paraId="5C49891F" w14:textId="77777777" w:rsidR="00605273" w:rsidRPr="00605273" w:rsidRDefault="00605273" w:rsidP="00605273">
      <w:pPr>
        <w:pStyle w:val="BodyText"/>
      </w:pPr>
      <w:r>
        <w:rPr>
          <w:b/>
        </w:rPr>
        <w:t xml:space="preserve">Dalības biežums </w:t>
      </w:r>
      <w:r>
        <w:t>–</w:t>
      </w:r>
      <w:r>
        <w:rPr>
          <w:b/>
        </w:rPr>
        <w:t xml:space="preserve"> </w:t>
      </w:r>
      <w:r>
        <w:t>prasmes pārbaužu skaits laika vienībā, kurā laboratorija piedalās, veicot darbību, kā noteikts tās akreditācijas sfērā.</w:t>
      </w:r>
    </w:p>
    <w:p w14:paraId="0C1E5916" w14:textId="77777777" w:rsidR="00605273" w:rsidRPr="00605273" w:rsidRDefault="00605273" w:rsidP="00605273">
      <w:pPr>
        <w:jc w:val="both"/>
        <w:rPr>
          <w:rFonts w:ascii="Times New Roman" w:eastAsia="Arial" w:hAnsi="Times New Roman" w:cs="Times New Roman"/>
          <w:noProof/>
          <w:sz w:val="24"/>
          <w:szCs w:val="24"/>
        </w:rPr>
      </w:pPr>
    </w:p>
    <w:p w14:paraId="034C46E9" w14:textId="77777777" w:rsidR="00605273" w:rsidRPr="00605273" w:rsidRDefault="00605273" w:rsidP="00605273">
      <w:pPr>
        <w:pStyle w:val="BodyText"/>
      </w:pPr>
      <w:r>
        <w:rPr>
          <w:b/>
          <w:bCs/>
        </w:rPr>
        <w:t>Akreditācijas sfēra</w:t>
      </w:r>
      <w:r>
        <w:t xml:space="preserve"> – specifiskas atbilstības novērtēšanas darbības, kurām tiek prasīta vai piešķirta akreditācija (ISO/IEC 17011 [5], 3.6. punkts).</w:t>
      </w:r>
    </w:p>
    <w:p w14:paraId="204908AD" w14:textId="77777777" w:rsidR="00605273" w:rsidRPr="00605273" w:rsidRDefault="00605273" w:rsidP="00605273">
      <w:pPr>
        <w:jc w:val="both"/>
        <w:rPr>
          <w:rFonts w:ascii="Times New Roman" w:eastAsia="Arial" w:hAnsi="Times New Roman" w:cs="Times New Roman"/>
          <w:noProof/>
          <w:sz w:val="24"/>
          <w:szCs w:val="24"/>
        </w:rPr>
      </w:pPr>
    </w:p>
    <w:p w14:paraId="2CDE98E3" w14:textId="77777777" w:rsidR="00605273" w:rsidRPr="00605273" w:rsidRDefault="00605273" w:rsidP="00605273">
      <w:pPr>
        <w:jc w:val="both"/>
        <w:rPr>
          <w:rFonts w:ascii="Times New Roman" w:eastAsia="Arial" w:hAnsi="Times New Roman" w:cs="Times New Roman"/>
          <w:noProof/>
          <w:sz w:val="24"/>
          <w:szCs w:val="24"/>
        </w:rPr>
      </w:pPr>
      <w:r>
        <w:rPr>
          <w:rFonts w:ascii="Times New Roman" w:hAnsi="Times New Roman"/>
          <w:b/>
          <w:sz w:val="24"/>
        </w:rPr>
        <w:t xml:space="preserve">Maza </w:t>
      </w:r>
      <w:proofErr w:type="spellStart"/>
      <w:r>
        <w:rPr>
          <w:rFonts w:ascii="Times New Roman" w:hAnsi="Times New Roman"/>
          <w:b/>
          <w:sz w:val="24"/>
        </w:rPr>
        <w:t>starplaboratoriju</w:t>
      </w:r>
      <w:proofErr w:type="spellEnd"/>
      <w:r>
        <w:rPr>
          <w:rFonts w:ascii="Times New Roman" w:hAnsi="Times New Roman"/>
          <w:b/>
          <w:sz w:val="24"/>
        </w:rPr>
        <w:t xml:space="preserve"> salīdzināšana (maza </w:t>
      </w:r>
      <w:proofErr w:type="spellStart"/>
      <w:r>
        <w:rPr>
          <w:rFonts w:ascii="Times New Roman" w:hAnsi="Times New Roman"/>
          <w:b/>
          <w:i/>
          <w:iCs/>
          <w:sz w:val="24"/>
        </w:rPr>
        <w:t>ILC</w:t>
      </w:r>
      <w:proofErr w:type="spellEnd"/>
      <w:r>
        <w:rPr>
          <w:rFonts w:ascii="Times New Roman" w:hAnsi="Times New Roman"/>
          <w:b/>
          <w:sz w:val="24"/>
        </w:rPr>
        <w:t xml:space="preserve">) </w:t>
      </w:r>
      <w:r>
        <w:rPr>
          <w:rFonts w:ascii="Times New Roman" w:hAnsi="Times New Roman"/>
          <w:sz w:val="24"/>
        </w:rPr>
        <w:t>–</w:t>
      </w:r>
      <w:r>
        <w:rPr>
          <w:rFonts w:ascii="Times New Roman" w:hAnsi="Times New Roman"/>
          <w:b/>
          <w:sz w:val="24"/>
        </w:rPr>
        <w:t xml:space="preserve"> </w:t>
      </w:r>
      <w:proofErr w:type="spellStart"/>
      <w:r>
        <w:rPr>
          <w:rFonts w:ascii="Times New Roman" w:hAnsi="Times New Roman"/>
          <w:sz w:val="24"/>
        </w:rPr>
        <w:t>starplaboratoriju</w:t>
      </w:r>
      <w:proofErr w:type="spellEnd"/>
      <w:r>
        <w:rPr>
          <w:rFonts w:ascii="Times New Roman" w:hAnsi="Times New Roman"/>
          <w:sz w:val="24"/>
        </w:rPr>
        <w:t xml:space="preserve"> salīdzināšana, ko organizē un īsteno ne vairāk par septiņām laboratorijām (</w:t>
      </w:r>
      <w:proofErr w:type="spellStart"/>
      <w:r>
        <w:rPr>
          <w:rFonts w:ascii="Times New Roman" w:hAnsi="Times New Roman"/>
          <w:sz w:val="24"/>
        </w:rPr>
        <w:t>EA</w:t>
      </w:r>
      <w:proofErr w:type="spellEnd"/>
      <w:r>
        <w:rPr>
          <w:rFonts w:ascii="Times New Roman" w:hAnsi="Times New Roman"/>
          <w:sz w:val="24"/>
        </w:rPr>
        <w:t xml:space="preserve">-4/21 </w:t>
      </w:r>
      <w:proofErr w:type="spellStart"/>
      <w:r>
        <w:rPr>
          <w:rFonts w:ascii="Times New Roman" w:hAnsi="Times New Roman"/>
          <w:sz w:val="24"/>
        </w:rPr>
        <w:t>INF:2018</w:t>
      </w:r>
      <w:proofErr w:type="spellEnd"/>
      <w:r>
        <w:rPr>
          <w:rFonts w:ascii="Times New Roman" w:hAnsi="Times New Roman"/>
          <w:sz w:val="24"/>
        </w:rPr>
        <w:t xml:space="preserve"> [6]).</w:t>
      </w:r>
    </w:p>
    <w:p w14:paraId="729C043E" w14:textId="77777777" w:rsidR="00605273" w:rsidRPr="00605273" w:rsidRDefault="00605273" w:rsidP="00605273">
      <w:pPr>
        <w:jc w:val="both"/>
        <w:rPr>
          <w:rFonts w:ascii="Times New Roman" w:eastAsia="Arial" w:hAnsi="Times New Roman" w:cs="Times New Roman"/>
          <w:noProof/>
          <w:sz w:val="24"/>
          <w:szCs w:val="24"/>
        </w:rPr>
      </w:pPr>
    </w:p>
    <w:p w14:paraId="665BBF2C" w14:textId="77777777" w:rsidR="00605273" w:rsidRPr="00605273" w:rsidRDefault="00605273" w:rsidP="00605273">
      <w:pPr>
        <w:pStyle w:val="Heading1"/>
      </w:pPr>
      <w:bookmarkStart w:id="4" w:name="_Toc120022454"/>
      <w:r>
        <w:t>3. VISPĀRĪGIE ASPEKTI</w:t>
      </w:r>
      <w:bookmarkStart w:id="5" w:name="_bookmark2"/>
      <w:bookmarkEnd w:id="5"/>
      <w:bookmarkEnd w:id="4"/>
    </w:p>
    <w:p w14:paraId="68C1F68A" w14:textId="77777777" w:rsidR="00605273" w:rsidRPr="00605273" w:rsidRDefault="00605273" w:rsidP="00605273">
      <w:pPr>
        <w:jc w:val="both"/>
        <w:rPr>
          <w:rFonts w:ascii="Times New Roman" w:eastAsia="Arial" w:hAnsi="Times New Roman" w:cs="Times New Roman"/>
          <w:b/>
          <w:bCs/>
          <w:i/>
          <w:noProof/>
          <w:sz w:val="24"/>
          <w:szCs w:val="24"/>
        </w:rPr>
      </w:pPr>
    </w:p>
    <w:p w14:paraId="741BFA20" w14:textId="77777777" w:rsidR="00605273" w:rsidRPr="00605273" w:rsidRDefault="00605273" w:rsidP="00605273">
      <w:pPr>
        <w:pStyle w:val="BodyText"/>
      </w:pPr>
      <w:r>
        <w:t>Akreditācijas iestādēm ir jāizvērtē šādi aspekti, kad tās nosaka, vai “līmenis” un “biežums”, kādā laboratorija piedalās prasmes pārbaudē, ir atbilstošs.</w:t>
      </w:r>
    </w:p>
    <w:p w14:paraId="70579056" w14:textId="77777777" w:rsidR="00605273" w:rsidRPr="00605273" w:rsidRDefault="00605273" w:rsidP="00605273">
      <w:pPr>
        <w:jc w:val="both"/>
        <w:rPr>
          <w:rFonts w:ascii="Times New Roman" w:eastAsia="Arial" w:hAnsi="Times New Roman" w:cs="Times New Roman"/>
          <w:noProof/>
          <w:sz w:val="24"/>
          <w:szCs w:val="24"/>
        </w:rPr>
      </w:pPr>
    </w:p>
    <w:p w14:paraId="6A49370A" w14:textId="77777777" w:rsidR="00605273" w:rsidRPr="00605273" w:rsidRDefault="00605273" w:rsidP="00605273">
      <w:pPr>
        <w:pStyle w:val="BodyText"/>
      </w:pPr>
      <w:r>
        <w:t>1) Laboratorijai ir jādefinē dalības līmenis un biežums pēc citu savu kvalitātes nodrošināšanas pasākumu rūpīgas analīzes, lai nodrošinātu, ka tās rezultāti ir derīgi (īpaši tie, kas spēj atklāt vai kvantitatīvi noteikt noteikta apjoma noviržu attīstību vai sekot līdzi šai attīstībai). Dalības līmenim un biežumam ir jābūt atkarīgam no tā, kādā apmērā ir ņemti vērā citi pasākumi. Kvalitātes nodrošināšanas pasākumi var būt tostarp šādi:</w:t>
      </w:r>
    </w:p>
    <w:p w14:paraId="15D167F5" w14:textId="77777777" w:rsidR="00605273" w:rsidRPr="00605273" w:rsidRDefault="00605273" w:rsidP="00605273">
      <w:pPr>
        <w:jc w:val="both"/>
        <w:rPr>
          <w:rFonts w:ascii="Times New Roman" w:eastAsia="Arial" w:hAnsi="Times New Roman" w:cs="Times New Roman"/>
          <w:noProof/>
          <w:sz w:val="24"/>
          <w:szCs w:val="24"/>
        </w:rPr>
      </w:pPr>
    </w:p>
    <w:p w14:paraId="1D8DD602" w14:textId="77777777" w:rsidR="00605273" w:rsidRPr="00605273" w:rsidRDefault="00605273" w:rsidP="00605273">
      <w:pPr>
        <w:pStyle w:val="BodyText"/>
        <w:numPr>
          <w:ilvl w:val="1"/>
          <w:numId w:val="4"/>
        </w:numPr>
        <w:tabs>
          <w:tab w:val="left" w:pos="851"/>
        </w:tabs>
        <w:ind w:left="284" w:firstLine="0"/>
      </w:pPr>
      <w:r>
        <w:t>sertificētu references materiālu un/vai references materiālu regulāra izmantošana;</w:t>
      </w:r>
    </w:p>
    <w:p w14:paraId="6557C073" w14:textId="77777777" w:rsidR="00605273" w:rsidRPr="00605273" w:rsidRDefault="00605273" w:rsidP="00605273">
      <w:pPr>
        <w:pStyle w:val="BodyText"/>
        <w:numPr>
          <w:ilvl w:val="1"/>
          <w:numId w:val="4"/>
        </w:numPr>
        <w:tabs>
          <w:tab w:val="left" w:pos="851"/>
        </w:tabs>
        <w:ind w:left="284" w:firstLine="0"/>
      </w:pPr>
      <w:r>
        <w:t>analīzes salīdzināšana, izmantojot neatkarīgus paņēmienus;</w:t>
      </w:r>
    </w:p>
    <w:p w14:paraId="727EDEAE" w14:textId="77777777" w:rsidR="00605273" w:rsidRPr="00605273" w:rsidRDefault="00605273" w:rsidP="00605273">
      <w:pPr>
        <w:pStyle w:val="BodyText"/>
        <w:numPr>
          <w:ilvl w:val="1"/>
          <w:numId w:val="4"/>
        </w:numPr>
        <w:tabs>
          <w:tab w:val="left" w:pos="851"/>
        </w:tabs>
        <w:ind w:left="284" w:firstLine="0"/>
      </w:pPr>
      <w:r>
        <w:t xml:space="preserve">piedalīšanās </w:t>
      </w:r>
      <w:r>
        <w:rPr>
          <w:i/>
          <w:iCs/>
        </w:rPr>
        <w:t>ILC</w:t>
      </w:r>
      <w:r>
        <w:t xml:space="preserve"> saistībā ar metodes izstrādes/validācijas un/vai references materiāla raksturojuma pētījumiem;</w:t>
      </w:r>
    </w:p>
    <w:p w14:paraId="0831B06D" w14:textId="77777777" w:rsidR="00605273" w:rsidRPr="00605273" w:rsidRDefault="00605273" w:rsidP="00605273">
      <w:pPr>
        <w:pStyle w:val="BodyText"/>
        <w:numPr>
          <w:ilvl w:val="1"/>
          <w:numId w:val="4"/>
        </w:numPr>
        <w:tabs>
          <w:tab w:val="left" w:pos="851"/>
        </w:tabs>
        <w:ind w:left="284" w:firstLine="0"/>
      </w:pPr>
      <w:r>
        <w:t>iekšējās kvalitātes vadības pasākumu izmantošana;</w:t>
      </w:r>
    </w:p>
    <w:p w14:paraId="7549F8C5" w14:textId="77777777" w:rsidR="00605273" w:rsidRPr="00605273" w:rsidRDefault="00605273" w:rsidP="00605273">
      <w:pPr>
        <w:pStyle w:val="BodyText"/>
        <w:numPr>
          <w:ilvl w:val="1"/>
          <w:numId w:val="4"/>
        </w:numPr>
        <w:tabs>
          <w:tab w:val="left" w:pos="851"/>
        </w:tabs>
        <w:ind w:left="284" w:firstLine="0"/>
      </w:pPr>
      <w:r>
        <w:t>citi laboratorijas iekšējie / starplaboratoriju salīdzinājumi, piemēram, “aklo” paraugu analīze laboratorijā;</w:t>
      </w:r>
    </w:p>
    <w:p w14:paraId="31D9A018" w14:textId="77777777" w:rsidR="00605273" w:rsidRPr="00605273" w:rsidRDefault="00605273" w:rsidP="00605273">
      <w:pPr>
        <w:pStyle w:val="BodyText"/>
        <w:numPr>
          <w:ilvl w:val="1"/>
          <w:numId w:val="4"/>
        </w:numPr>
        <w:tabs>
          <w:tab w:val="left" w:pos="851"/>
        </w:tabs>
        <w:ind w:left="284" w:firstLine="0"/>
      </w:pPr>
      <w:r>
        <w:t>metroloģiskās izsekojamības ķēdes noturīgums. (Vai instrumenti ir kalibrēti saskaņā ar tādiem pašiem nosacījumiem, kādus parasti izmanto, salīdzinot ar pieņēmumiem par, piemēram, ietekmes faktoriem vai sekundārajiem parametriem.)</w:t>
      </w:r>
    </w:p>
    <w:p w14:paraId="04DF7C62" w14:textId="77777777" w:rsidR="00605273" w:rsidRPr="00605273" w:rsidRDefault="00605273" w:rsidP="00605273">
      <w:pPr>
        <w:jc w:val="both"/>
        <w:rPr>
          <w:rFonts w:ascii="Times New Roman" w:eastAsia="Arial" w:hAnsi="Times New Roman" w:cs="Times New Roman"/>
          <w:noProof/>
          <w:sz w:val="24"/>
          <w:szCs w:val="24"/>
        </w:rPr>
      </w:pPr>
    </w:p>
    <w:p w14:paraId="0CB36FE8" w14:textId="77777777" w:rsidR="00605273" w:rsidRPr="00605273" w:rsidRDefault="00605273" w:rsidP="00527153">
      <w:pPr>
        <w:pStyle w:val="BodyText"/>
        <w:keepNext/>
        <w:keepLines/>
      </w:pPr>
      <w:r>
        <w:lastRenderedPageBreak/>
        <w:t>Piezīme. Citas pieejas, kā nodrošināt rezultātu derīgumu, ir sniegtas ISO/IEC 17025:2017 (7.7.1. punkts) [1] un ISO 15189:2012 (5.6. punkts) [4].</w:t>
      </w:r>
    </w:p>
    <w:p w14:paraId="5AD8C283" w14:textId="77777777" w:rsidR="00605273" w:rsidRPr="00605273" w:rsidRDefault="00605273" w:rsidP="00605273">
      <w:pPr>
        <w:jc w:val="both"/>
        <w:rPr>
          <w:rFonts w:ascii="Times New Roman" w:eastAsia="Arial" w:hAnsi="Times New Roman" w:cs="Times New Roman"/>
          <w:noProof/>
          <w:sz w:val="24"/>
          <w:szCs w:val="24"/>
        </w:rPr>
      </w:pPr>
    </w:p>
    <w:p w14:paraId="48AB1460" w14:textId="77777777" w:rsidR="00605273" w:rsidRPr="00605273" w:rsidRDefault="00605273" w:rsidP="00605273">
      <w:pPr>
        <w:pStyle w:val="BodyText"/>
      </w:pPr>
      <w:r>
        <w:t>2) Kāds ir riska līmenis laboratorijai, nozarei, kurā tā darbojas, vai metodoloģijai, ko tā izmanto. To var noteikt, piemēram, izvērtējot:</w:t>
      </w:r>
    </w:p>
    <w:p w14:paraId="66397938" w14:textId="77777777" w:rsidR="00605273" w:rsidRPr="00605273" w:rsidRDefault="00605273" w:rsidP="00605273">
      <w:pPr>
        <w:jc w:val="both"/>
        <w:rPr>
          <w:rFonts w:ascii="Times New Roman" w:eastAsia="Arial" w:hAnsi="Times New Roman" w:cs="Times New Roman"/>
          <w:noProof/>
          <w:sz w:val="24"/>
          <w:szCs w:val="24"/>
        </w:rPr>
      </w:pPr>
    </w:p>
    <w:p w14:paraId="45EC4B16" w14:textId="77777777" w:rsidR="00605273" w:rsidRPr="00605273" w:rsidRDefault="00605273" w:rsidP="00605273">
      <w:pPr>
        <w:pStyle w:val="BodyText"/>
        <w:numPr>
          <w:ilvl w:val="1"/>
          <w:numId w:val="4"/>
        </w:numPr>
        <w:tabs>
          <w:tab w:val="left" w:pos="851"/>
        </w:tabs>
        <w:ind w:left="284" w:firstLine="0"/>
      </w:pPr>
      <w:r>
        <w:t>veikto mērījumu skaitu;</w:t>
      </w:r>
    </w:p>
    <w:p w14:paraId="15095A7E" w14:textId="77777777" w:rsidR="00605273" w:rsidRPr="00605273" w:rsidRDefault="00605273" w:rsidP="00605273">
      <w:pPr>
        <w:pStyle w:val="BodyText"/>
        <w:numPr>
          <w:ilvl w:val="1"/>
          <w:numId w:val="4"/>
        </w:numPr>
        <w:tabs>
          <w:tab w:val="left" w:pos="851"/>
        </w:tabs>
        <w:ind w:left="284" w:firstLine="0"/>
      </w:pPr>
      <w:r>
        <w:t>testu biežumu dažādās koncentrācijas pakāpēs;</w:t>
      </w:r>
    </w:p>
    <w:p w14:paraId="22E162E6" w14:textId="77777777" w:rsidR="00605273" w:rsidRPr="00605273" w:rsidRDefault="00605273" w:rsidP="00605273">
      <w:pPr>
        <w:pStyle w:val="BodyText"/>
        <w:numPr>
          <w:ilvl w:val="1"/>
          <w:numId w:val="4"/>
        </w:numPr>
        <w:tabs>
          <w:tab w:val="left" w:pos="851"/>
        </w:tabs>
        <w:ind w:left="284" w:firstLine="0"/>
      </w:pPr>
      <w:r>
        <w:t>dažādu kalibrēšanas intervālu skaitu;</w:t>
      </w:r>
    </w:p>
    <w:p w14:paraId="3B9BE434" w14:textId="77777777" w:rsidR="00605273" w:rsidRPr="00605273" w:rsidRDefault="00605273" w:rsidP="00605273">
      <w:pPr>
        <w:pStyle w:val="BodyText"/>
        <w:numPr>
          <w:ilvl w:val="1"/>
          <w:numId w:val="4"/>
        </w:numPr>
        <w:tabs>
          <w:tab w:val="left" w:pos="851"/>
        </w:tabs>
        <w:ind w:left="284" w:firstLine="0"/>
      </w:pPr>
      <w:r>
        <w:t>tehniskā personāla mainību;</w:t>
      </w:r>
    </w:p>
    <w:p w14:paraId="668E5FC7" w14:textId="77777777" w:rsidR="00605273" w:rsidRPr="00605273" w:rsidRDefault="00605273" w:rsidP="00605273">
      <w:pPr>
        <w:pStyle w:val="BodyText"/>
        <w:numPr>
          <w:ilvl w:val="1"/>
          <w:numId w:val="4"/>
        </w:numPr>
        <w:tabs>
          <w:tab w:val="left" w:pos="851"/>
        </w:tabs>
        <w:ind w:left="284" w:firstLine="0"/>
      </w:pPr>
      <w:r>
        <w:t>tehniskā personāla pieredzi un zināšanas;</w:t>
      </w:r>
    </w:p>
    <w:p w14:paraId="7EFD3AAB" w14:textId="77777777" w:rsidR="00605273" w:rsidRPr="00605273" w:rsidRDefault="00605273" w:rsidP="00605273">
      <w:pPr>
        <w:pStyle w:val="BodyText"/>
        <w:numPr>
          <w:ilvl w:val="1"/>
          <w:numId w:val="4"/>
        </w:numPr>
        <w:tabs>
          <w:tab w:val="left" w:pos="851"/>
        </w:tabs>
        <w:ind w:left="284" w:firstLine="0"/>
      </w:pPr>
      <w:r>
        <w:t>metroloģiskās izsekojamības avotu (informācija par references materiāliem, attiecīgās valsts mērījumu etaloniem utt. un to pieejamība);</w:t>
      </w:r>
    </w:p>
    <w:p w14:paraId="53C0A91B" w14:textId="77777777" w:rsidR="00605273" w:rsidRPr="00605273" w:rsidRDefault="00605273" w:rsidP="00605273">
      <w:pPr>
        <w:pStyle w:val="BodyText"/>
        <w:numPr>
          <w:ilvl w:val="1"/>
          <w:numId w:val="4"/>
        </w:numPr>
        <w:tabs>
          <w:tab w:val="left" w:pos="851"/>
        </w:tabs>
        <w:ind w:left="284" w:firstLine="0"/>
      </w:pPr>
      <w:r>
        <w:t>zināmo metodoloģijas stabilitāti/nestabilitāti;</w:t>
      </w:r>
    </w:p>
    <w:p w14:paraId="21245BBC" w14:textId="77777777" w:rsidR="00605273" w:rsidRPr="00605273" w:rsidRDefault="00605273" w:rsidP="00605273">
      <w:pPr>
        <w:pStyle w:val="BodyText"/>
        <w:numPr>
          <w:ilvl w:val="1"/>
          <w:numId w:val="4"/>
        </w:numPr>
        <w:tabs>
          <w:tab w:val="left" w:pos="851"/>
        </w:tabs>
        <w:ind w:left="284" w:firstLine="0"/>
      </w:pPr>
      <w:r>
        <w:t>metodoloģijas sarežģītību un noturīgumu;</w:t>
      </w:r>
    </w:p>
    <w:p w14:paraId="0ADFF67E" w14:textId="77777777" w:rsidR="00605273" w:rsidRPr="00605273" w:rsidRDefault="00605273" w:rsidP="00605273">
      <w:pPr>
        <w:pStyle w:val="BodyText"/>
        <w:numPr>
          <w:ilvl w:val="1"/>
          <w:numId w:val="4"/>
        </w:numPr>
        <w:tabs>
          <w:tab w:val="left" w:pos="851"/>
        </w:tabs>
        <w:ind w:left="284" w:firstLine="0"/>
      </w:pPr>
      <w:r>
        <w:t>mērījumu datu nozīmību un gala izmantošanu (piemēram, tiesu ekspertīze ir joma, kurā ir nepieciešama augsta precizitātes pakāpe);</w:t>
      </w:r>
    </w:p>
    <w:p w14:paraId="4D000648" w14:textId="77777777" w:rsidR="00605273" w:rsidRPr="00605273" w:rsidRDefault="00605273" w:rsidP="00605273">
      <w:pPr>
        <w:pStyle w:val="BodyText"/>
        <w:numPr>
          <w:ilvl w:val="1"/>
          <w:numId w:val="4"/>
        </w:numPr>
        <w:tabs>
          <w:tab w:val="left" w:pos="851"/>
        </w:tabs>
        <w:ind w:left="284" w:firstLine="0"/>
      </w:pPr>
      <w:r>
        <w:t>kad ir nepieciešami atbilstības paziņojumi un kad ir veiktas izmaiņas saistītajās specifikācijās;</w:t>
      </w:r>
    </w:p>
    <w:p w14:paraId="14FDCF13" w14:textId="77777777" w:rsidR="00605273" w:rsidRPr="00605273" w:rsidRDefault="00605273" w:rsidP="00605273">
      <w:pPr>
        <w:pStyle w:val="BodyText"/>
        <w:numPr>
          <w:ilvl w:val="1"/>
          <w:numId w:val="4"/>
        </w:numPr>
        <w:tabs>
          <w:tab w:val="left" w:pos="851"/>
        </w:tabs>
        <w:ind w:left="284" w:firstLine="0"/>
      </w:pPr>
      <w:r>
        <w:t>riskus un iespējas, kas saistīti ar laboratorijas darbībām, jo īpaši darbībām, kas novērsīs vai mazinās nevēlamas sekas un iespējamās kļūmes laboratorijas darbībās un sniegs uzlabojumus;</w:t>
      </w:r>
    </w:p>
    <w:p w14:paraId="67FDDA5A" w14:textId="77777777" w:rsidR="00605273" w:rsidRPr="00605273" w:rsidRDefault="00605273" w:rsidP="00605273">
      <w:pPr>
        <w:pStyle w:val="BodyText"/>
        <w:numPr>
          <w:ilvl w:val="1"/>
          <w:numId w:val="4"/>
        </w:numPr>
        <w:tabs>
          <w:tab w:val="left" w:pos="851"/>
        </w:tabs>
        <w:ind w:left="284" w:firstLine="0"/>
      </w:pPr>
      <w:r>
        <w:t>validācijas un/vai verifikācijas apjomu.</w:t>
      </w:r>
    </w:p>
    <w:p w14:paraId="10AE8F5B" w14:textId="77777777" w:rsidR="00605273" w:rsidRPr="00605273" w:rsidRDefault="00605273" w:rsidP="00605273">
      <w:pPr>
        <w:jc w:val="both"/>
        <w:rPr>
          <w:rFonts w:ascii="Times New Roman" w:eastAsia="Arial" w:hAnsi="Times New Roman" w:cs="Times New Roman"/>
          <w:noProof/>
          <w:sz w:val="24"/>
          <w:szCs w:val="24"/>
        </w:rPr>
      </w:pPr>
    </w:p>
    <w:p w14:paraId="13BE55AD" w14:textId="77777777" w:rsidR="00605273" w:rsidRPr="00605273" w:rsidRDefault="00605273" w:rsidP="00605273">
      <w:pPr>
        <w:pStyle w:val="BodyText"/>
      </w:pPr>
      <w:r>
        <w:t xml:space="preserve">3) Dažādu veidu </w:t>
      </w:r>
      <w:r>
        <w:rPr>
          <w:i/>
          <w:iCs/>
        </w:rPr>
        <w:t>ILC</w:t>
      </w:r>
      <w:r>
        <w:t>, ko laboratorijas var izmantot un kas akreditācijas iestādēm ir jāapstiprina kā prasmes pārbaudes, tostarp ir šādas.</w:t>
      </w:r>
    </w:p>
    <w:p w14:paraId="07E9897F" w14:textId="77777777" w:rsidR="00605273" w:rsidRPr="00605273" w:rsidRDefault="00605273" w:rsidP="00605273">
      <w:pPr>
        <w:jc w:val="both"/>
        <w:rPr>
          <w:rFonts w:ascii="Times New Roman" w:eastAsia="Arial" w:hAnsi="Times New Roman" w:cs="Times New Roman"/>
          <w:noProof/>
          <w:sz w:val="24"/>
          <w:szCs w:val="24"/>
        </w:rPr>
      </w:pPr>
    </w:p>
    <w:p w14:paraId="254C70BB" w14:textId="77777777" w:rsidR="00605273" w:rsidRPr="00605273" w:rsidRDefault="00605273" w:rsidP="00605273">
      <w:pPr>
        <w:pStyle w:val="BodyText"/>
        <w:numPr>
          <w:ilvl w:val="1"/>
          <w:numId w:val="4"/>
        </w:numPr>
        <w:tabs>
          <w:tab w:val="left" w:pos="851"/>
        </w:tabs>
        <w:ind w:left="284" w:firstLine="0"/>
      </w:pPr>
      <w:r>
        <w:rPr>
          <w:i/>
          <w:iCs/>
        </w:rPr>
        <w:t>ILC</w:t>
      </w:r>
      <w:r>
        <w:t>, ko organizējis pietiekami liels laboratoriju skaits kā vienreizēju vai kā pastāvīgi veicamu uzdevumu.</w:t>
      </w:r>
    </w:p>
    <w:p w14:paraId="008D7421" w14:textId="77777777" w:rsidR="00605273" w:rsidRPr="00605273" w:rsidRDefault="00605273" w:rsidP="00605273">
      <w:pPr>
        <w:pStyle w:val="BodyText"/>
        <w:numPr>
          <w:ilvl w:val="1"/>
          <w:numId w:val="4"/>
        </w:numPr>
        <w:tabs>
          <w:tab w:val="left" w:pos="851"/>
        </w:tabs>
        <w:ind w:left="284" w:firstLine="0"/>
      </w:pPr>
      <w:r>
        <w:rPr>
          <w:i/>
          <w:iCs/>
        </w:rPr>
        <w:t>ILC</w:t>
      </w:r>
      <w:r>
        <w:t>, kuru organizējis un kurā piedalās neliels laboratoriju skaits.</w:t>
      </w:r>
    </w:p>
    <w:p w14:paraId="4DACC052" w14:textId="77777777" w:rsidR="00605273" w:rsidRPr="00605273" w:rsidRDefault="00605273" w:rsidP="00605273">
      <w:pPr>
        <w:jc w:val="both"/>
        <w:rPr>
          <w:rFonts w:ascii="Times New Roman" w:eastAsia="Arial" w:hAnsi="Times New Roman" w:cs="Times New Roman"/>
          <w:noProof/>
          <w:sz w:val="24"/>
          <w:szCs w:val="24"/>
        </w:rPr>
      </w:pPr>
    </w:p>
    <w:p w14:paraId="775AFBAE" w14:textId="77777777" w:rsidR="00605273" w:rsidRPr="00605273" w:rsidRDefault="00605273" w:rsidP="00605273">
      <w:pPr>
        <w:pStyle w:val="BodyText"/>
        <w:ind w:left="284"/>
      </w:pPr>
      <w:r>
        <w:t xml:space="preserve">Piezīme. Organizācijas, kas pašas organizē mazu </w:t>
      </w:r>
      <w:r>
        <w:rPr>
          <w:i/>
          <w:iCs/>
        </w:rPr>
        <w:t>ILC</w:t>
      </w:r>
      <w:r>
        <w:t>, piemēro ISO/IEC 17043 [2] atbilstošās prasības un EA-4/21 INF [6], ja rezultāti un veiktspējas novērtējums ir jāizmanto kā rīks, lai uzraudzītu un demonstrētu savu rezultātu derīgumu.</w:t>
      </w:r>
    </w:p>
    <w:p w14:paraId="78762B1C" w14:textId="77777777" w:rsidR="00605273" w:rsidRPr="00605273" w:rsidRDefault="00605273" w:rsidP="00605273">
      <w:pPr>
        <w:jc w:val="both"/>
        <w:rPr>
          <w:rFonts w:ascii="Times New Roman" w:eastAsia="Arial" w:hAnsi="Times New Roman" w:cs="Times New Roman"/>
          <w:noProof/>
          <w:sz w:val="24"/>
          <w:szCs w:val="24"/>
        </w:rPr>
      </w:pPr>
    </w:p>
    <w:p w14:paraId="6860B666" w14:textId="77777777" w:rsidR="00605273" w:rsidRPr="00605273" w:rsidRDefault="00605273" w:rsidP="00605273">
      <w:pPr>
        <w:pStyle w:val="BodyText"/>
      </w:pPr>
      <w:r>
        <w:t>4) Jāatzīst, ka ir nozares, kurās ir grūti piedalīties PP mērījuma tehniskā raksturojuma dēļ, nav PP programmas, nozarē ir mazs skaits esošo laboratoriju utt. Var gadīties, ka dažās inovatīvās jomās vēl nav PP. Var gadīties, ka PP ir iespējama vai ir ekonomiski lietderīga tikai veiktā mērījuma daļām. Šādās jomās sevišķi svarīga ir citu kvalitātes nodrošināšanas / iekšējās kvalitātes vadības pasākumu piemērotība.</w:t>
      </w:r>
    </w:p>
    <w:p w14:paraId="6142502D" w14:textId="77777777" w:rsidR="00605273" w:rsidRPr="00605273" w:rsidRDefault="00605273" w:rsidP="00605273">
      <w:pPr>
        <w:jc w:val="both"/>
        <w:rPr>
          <w:rFonts w:ascii="Times New Roman" w:eastAsia="Arial" w:hAnsi="Times New Roman" w:cs="Times New Roman"/>
          <w:noProof/>
          <w:sz w:val="24"/>
          <w:szCs w:val="24"/>
        </w:rPr>
      </w:pPr>
    </w:p>
    <w:p w14:paraId="480AC87B" w14:textId="77777777" w:rsidR="00605273" w:rsidRPr="00605273" w:rsidRDefault="00605273" w:rsidP="00605273">
      <w:pPr>
        <w:pStyle w:val="BodyText"/>
      </w:pPr>
      <w:r>
        <w:t>5) Tiesību aktos, klientu utt. noteiktās prasības attiecībā uz to, cik bieži un kādu veidu PP drīkst piedalīties.</w:t>
      </w:r>
    </w:p>
    <w:p w14:paraId="60B9F35E" w14:textId="77777777" w:rsidR="00605273" w:rsidRPr="00605273" w:rsidRDefault="00605273" w:rsidP="00605273">
      <w:pPr>
        <w:jc w:val="both"/>
        <w:rPr>
          <w:rFonts w:ascii="Times New Roman" w:eastAsia="Arial" w:hAnsi="Times New Roman" w:cs="Times New Roman"/>
          <w:noProof/>
          <w:sz w:val="24"/>
          <w:szCs w:val="24"/>
        </w:rPr>
      </w:pPr>
    </w:p>
    <w:p w14:paraId="58BA5170" w14:textId="77777777" w:rsidR="00605273" w:rsidRPr="00605273" w:rsidRDefault="00605273" w:rsidP="00605273">
      <w:pPr>
        <w:pStyle w:val="Heading1"/>
      </w:pPr>
      <w:bookmarkStart w:id="6" w:name="_Toc120022455"/>
      <w:r>
        <w:t>4. DALĪBAS LĪMENIS UN BIEŽUMS</w:t>
      </w:r>
      <w:bookmarkStart w:id="7" w:name="_bookmark3"/>
      <w:bookmarkEnd w:id="7"/>
      <w:bookmarkEnd w:id="6"/>
    </w:p>
    <w:p w14:paraId="7ED30BED" w14:textId="77777777" w:rsidR="00605273" w:rsidRPr="00605273" w:rsidRDefault="00605273" w:rsidP="00605273">
      <w:pPr>
        <w:jc w:val="both"/>
        <w:rPr>
          <w:rFonts w:ascii="Times New Roman" w:eastAsia="Arial" w:hAnsi="Times New Roman" w:cs="Times New Roman"/>
          <w:b/>
          <w:bCs/>
          <w:i/>
          <w:noProof/>
          <w:sz w:val="24"/>
          <w:szCs w:val="24"/>
        </w:rPr>
      </w:pPr>
    </w:p>
    <w:p w14:paraId="017D85ED" w14:textId="77777777" w:rsidR="00605273" w:rsidRPr="00605273" w:rsidRDefault="00605273" w:rsidP="00605273">
      <w:pPr>
        <w:pStyle w:val="BodyText"/>
      </w:pPr>
      <w:r>
        <w:t>Pirmajā posmā laboratorijai ir jāizvērtē tās akreditācijas sfēra attiecībā uz mērījumiem, kuru veikšanai tā ir akreditēta.</w:t>
      </w:r>
    </w:p>
    <w:p w14:paraId="47878E45" w14:textId="77777777" w:rsidR="00605273" w:rsidRPr="00605273" w:rsidRDefault="00605273" w:rsidP="00605273">
      <w:pPr>
        <w:jc w:val="both"/>
        <w:rPr>
          <w:rFonts w:ascii="Times New Roman" w:eastAsia="Arial" w:hAnsi="Times New Roman" w:cs="Times New Roman"/>
          <w:noProof/>
          <w:sz w:val="24"/>
          <w:szCs w:val="24"/>
        </w:rPr>
      </w:pPr>
    </w:p>
    <w:p w14:paraId="3669B73F" w14:textId="77777777" w:rsidR="00605273" w:rsidRPr="00605273" w:rsidRDefault="00605273" w:rsidP="00527153">
      <w:pPr>
        <w:pStyle w:val="BodyText"/>
        <w:keepNext/>
        <w:keepLines/>
      </w:pPr>
      <w:r>
        <w:lastRenderedPageBreak/>
        <w:t>Ideālā gadījumā laboratorijai būtu jāiesaistās konkrētā PP, piedaloties visos mērījumu procesos, ko tā izmanto, un veicot visus katra produkta raksturlielumu mērījumus. Tomēr tiek atzīts, ka tas, visticamāk, nav izdarāms ne loģistikas, ne ekonomikas ziņā. Tāpēc akreditācijas iestādes sagaida, ka laboratorijas identificē tehniskās kompetences jomas, kas ietver mērījumu procesu, raksturlielumu un produktu kopas, attiecībā uz kurām PP rezultātu kādai vienai no šīm kopām var tieši savstarpēji saistīt ar citām laboratoriju akreditācijas sfērā ietvertajām mērījumu procesu, raksturlielumu un produktu kopām.</w:t>
      </w:r>
    </w:p>
    <w:p w14:paraId="10A7CA73" w14:textId="77777777" w:rsidR="00605273" w:rsidRPr="00605273" w:rsidRDefault="00605273" w:rsidP="00605273">
      <w:pPr>
        <w:jc w:val="both"/>
        <w:rPr>
          <w:rFonts w:ascii="Times New Roman" w:eastAsia="Arial" w:hAnsi="Times New Roman" w:cs="Times New Roman"/>
          <w:noProof/>
          <w:sz w:val="24"/>
          <w:szCs w:val="24"/>
        </w:rPr>
      </w:pPr>
    </w:p>
    <w:p w14:paraId="100E5A19" w14:textId="77777777" w:rsidR="00605273" w:rsidRPr="00605273" w:rsidRDefault="00605273" w:rsidP="00605273">
      <w:pPr>
        <w:pStyle w:val="BodyText"/>
      </w:pPr>
      <w:r>
        <w:t>Kā jau tika minēts, viena tehniskās kompetences joma var ietvert vairākus mērījumu procesus, raksturlielumus vai produktus, kamēr vien var pamatot apvienoto mērījumu procesu, raksturlielumu vai produktu līdzvērtību. Dažādas tehniskās kompetences parasti nosaka tas, ka ir nepieciešamas dažādas kvalifikācijas, apmācība un ir jāizmanto dažādas iekārtas, zināšanas vai pieredze.</w:t>
      </w:r>
    </w:p>
    <w:p w14:paraId="11A32D07" w14:textId="77777777" w:rsidR="00605273" w:rsidRPr="00605273" w:rsidRDefault="00605273" w:rsidP="00605273">
      <w:pPr>
        <w:jc w:val="both"/>
        <w:rPr>
          <w:rFonts w:ascii="Times New Roman" w:eastAsia="Arial" w:hAnsi="Times New Roman" w:cs="Times New Roman"/>
          <w:noProof/>
          <w:sz w:val="24"/>
          <w:szCs w:val="24"/>
        </w:rPr>
      </w:pPr>
    </w:p>
    <w:p w14:paraId="3C032502" w14:textId="77777777" w:rsidR="00605273" w:rsidRPr="00605273" w:rsidRDefault="00605273" w:rsidP="00605273">
      <w:pPr>
        <w:pStyle w:val="BodyText"/>
      </w:pPr>
      <w:r>
        <w:t>Nosakot tehniskās kompetences jomu, dažkārt ir lietderīgi izmantot pakāpenisku pieeju, izvērtējot vispirms mērījumu procesu, tad raksturlielumus un pēc tam produktus. Tas tā ir tāpēc, ka ir lielāka varbūtība, ka būs vairāki produkti un/vai raksturlielumi, kas attieksies uz vienu mērījumu procesu vienā konkrētā tehniskās kompetences jomā, nevis otrādi.</w:t>
      </w:r>
    </w:p>
    <w:p w14:paraId="5FAF91CB" w14:textId="77777777" w:rsidR="00605273" w:rsidRPr="00605273" w:rsidRDefault="00605273" w:rsidP="00605273">
      <w:pPr>
        <w:jc w:val="both"/>
        <w:rPr>
          <w:rFonts w:ascii="Times New Roman" w:eastAsia="Arial" w:hAnsi="Times New Roman" w:cs="Times New Roman"/>
          <w:noProof/>
          <w:sz w:val="24"/>
          <w:szCs w:val="24"/>
        </w:rPr>
      </w:pPr>
    </w:p>
    <w:p w14:paraId="6D79114E" w14:textId="77777777" w:rsidR="00605273" w:rsidRPr="00605273" w:rsidRDefault="00605273" w:rsidP="00605273">
      <w:pPr>
        <w:pStyle w:val="BodyText"/>
        <w:ind w:left="284"/>
      </w:pPr>
      <w:r>
        <w:t xml:space="preserve">i) Attiecībā uz </w:t>
      </w:r>
      <w:r>
        <w:rPr>
          <w:b/>
          <w:bCs/>
        </w:rPr>
        <w:t>mērījumu procesu</w:t>
      </w:r>
      <w:r>
        <w:t xml:space="preserve"> – lai arī parasti tā nedara, ir iespējams iekļaut dažādus mērījumu procesus vienā tehniskās kompetences jomā.</w:t>
      </w:r>
    </w:p>
    <w:p w14:paraId="5899C124" w14:textId="77777777" w:rsidR="00605273" w:rsidRPr="00605273" w:rsidRDefault="00605273" w:rsidP="00605273">
      <w:pPr>
        <w:ind w:left="284"/>
        <w:jc w:val="both"/>
        <w:rPr>
          <w:rFonts w:ascii="Times New Roman" w:eastAsia="Arial" w:hAnsi="Times New Roman" w:cs="Times New Roman"/>
          <w:noProof/>
          <w:sz w:val="24"/>
          <w:szCs w:val="24"/>
        </w:rPr>
      </w:pPr>
    </w:p>
    <w:p w14:paraId="1D9359D2" w14:textId="77777777" w:rsidR="00605273" w:rsidRPr="00605273" w:rsidRDefault="00605273" w:rsidP="00605273">
      <w:pPr>
        <w:pStyle w:val="BodyText"/>
        <w:ind w:left="284"/>
      </w:pPr>
      <w:r>
        <w:t xml:space="preserve">ii) Attiecībā uz mērāmo vai nosakāmo </w:t>
      </w:r>
      <w:r>
        <w:rPr>
          <w:b/>
          <w:bCs/>
        </w:rPr>
        <w:t>raksturlielumu</w:t>
      </w:r>
      <w:r>
        <w:t xml:space="preserve"> – var būt iespēja iekļaut vairākus raksturlielumus vienā tehniskās kompetences jomā.</w:t>
      </w:r>
    </w:p>
    <w:p w14:paraId="38E99BAA" w14:textId="77777777" w:rsidR="00605273" w:rsidRPr="00605273" w:rsidRDefault="00605273" w:rsidP="00605273">
      <w:pPr>
        <w:ind w:left="284"/>
        <w:jc w:val="both"/>
        <w:rPr>
          <w:rFonts w:ascii="Times New Roman" w:eastAsia="Arial" w:hAnsi="Times New Roman" w:cs="Times New Roman"/>
          <w:noProof/>
          <w:sz w:val="24"/>
          <w:szCs w:val="24"/>
        </w:rPr>
      </w:pPr>
    </w:p>
    <w:p w14:paraId="7505A272" w14:textId="77777777" w:rsidR="00605273" w:rsidRPr="00605273" w:rsidRDefault="00605273" w:rsidP="00605273">
      <w:pPr>
        <w:pStyle w:val="BodyText"/>
        <w:ind w:left="284"/>
      </w:pPr>
      <w:r>
        <w:t xml:space="preserve">iii) Attiecībā uz mērāmiem </w:t>
      </w:r>
      <w:r>
        <w:rPr>
          <w:b/>
          <w:bCs/>
        </w:rPr>
        <w:t>produktiem</w:t>
      </w:r>
      <w:r>
        <w:t xml:space="preserve"> – var būt iespēja iekļaut dažādus produktus vienā tehniskās kompetences jomā ar nosacījumu, ka iekļautie objekti ir līdzvērtīgi.</w:t>
      </w:r>
    </w:p>
    <w:p w14:paraId="7435D982" w14:textId="77777777" w:rsidR="00605273" w:rsidRPr="00605273" w:rsidRDefault="00605273" w:rsidP="00605273">
      <w:pPr>
        <w:jc w:val="both"/>
        <w:rPr>
          <w:rFonts w:ascii="Times New Roman" w:eastAsia="Arial" w:hAnsi="Times New Roman" w:cs="Times New Roman"/>
          <w:noProof/>
          <w:sz w:val="24"/>
          <w:szCs w:val="24"/>
        </w:rPr>
      </w:pPr>
    </w:p>
    <w:p w14:paraId="50E65839" w14:textId="77777777" w:rsidR="00605273" w:rsidRPr="00605273" w:rsidRDefault="00605273" w:rsidP="00605273">
      <w:pPr>
        <w:pStyle w:val="BodyText"/>
      </w:pPr>
      <w:r>
        <w:t>Tiklīdz laboratorija ir noteikusi savas tehniskās kompetences jomas, var uzskatīt, ka ir definēts “dalības līmenis”. Akreditācijas iestādei ir jānovērtē, vai laboratorijas riskos balstītā pieeja ir piemērota dalības biežuma noteikšanai dažādās tehniskās jomās un kā laboratorija izvērtē citu kvalitātes vadības iniciatīvu apmēru un iezīmes.</w:t>
      </w:r>
    </w:p>
    <w:p w14:paraId="2FD35042" w14:textId="77777777" w:rsidR="00605273" w:rsidRPr="00605273" w:rsidRDefault="00605273" w:rsidP="00605273">
      <w:pPr>
        <w:jc w:val="both"/>
        <w:rPr>
          <w:rFonts w:ascii="Times New Roman" w:hAnsi="Times New Roman" w:cs="Times New Roman"/>
          <w:noProof/>
          <w:sz w:val="24"/>
          <w:szCs w:val="24"/>
        </w:rPr>
      </w:pPr>
    </w:p>
    <w:p w14:paraId="58BACDBD" w14:textId="77777777" w:rsidR="00605273" w:rsidRPr="00605273" w:rsidRDefault="00605273" w:rsidP="00605273">
      <w:pPr>
        <w:pStyle w:val="BodyText"/>
      </w:pPr>
      <w:r>
        <w:t>Tāpēc, tiklīdz ir noteikts dalības “līmenis” un “biežums”, tas tiks iekļauts laboratorijas vispārējā kvalitātes vadības stratēģijā.</w:t>
      </w:r>
    </w:p>
    <w:p w14:paraId="1173BCBB" w14:textId="77777777" w:rsidR="00605273" w:rsidRPr="00605273" w:rsidRDefault="00605273" w:rsidP="00605273">
      <w:pPr>
        <w:jc w:val="both"/>
        <w:rPr>
          <w:rFonts w:ascii="Times New Roman" w:eastAsia="Arial" w:hAnsi="Times New Roman" w:cs="Times New Roman"/>
          <w:noProof/>
          <w:sz w:val="24"/>
          <w:szCs w:val="24"/>
        </w:rPr>
      </w:pPr>
    </w:p>
    <w:p w14:paraId="201C0915" w14:textId="77777777" w:rsidR="00605273" w:rsidRPr="00605273" w:rsidRDefault="00605273" w:rsidP="00605273">
      <w:pPr>
        <w:pStyle w:val="BodyText"/>
      </w:pPr>
      <w:r>
        <w:t>Ieteicams PP dalības plānā, kas izstrādāts, ņemot vērā dažādus noteiktos dalības “līmeņus” un “biežumu”, ietvert vismaz vienu akreditācijas ciklu (laika posms starp diviem pilnīgiem atkārtotiem novērtējumiem), un laboratorijai ir jāpārskata tā piemērotība, ņemot vērā kopējo PP stratēģiju, parasti reizi gadā formālās pārvaldības pārskates laikā.</w:t>
      </w:r>
    </w:p>
    <w:p w14:paraId="6E95387A" w14:textId="77777777" w:rsidR="00605273" w:rsidRPr="00605273" w:rsidRDefault="00605273" w:rsidP="00605273">
      <w:pPr>
        <w:jc w:val="both"/>
        <w:rPr>
          <w:rFonts w:ascii="Times New Roman" w:eastAsia="Arial" w:hAnsi="Times New Roman" w:cs="Times New Roman"/>
          <w:noProof/>
          <w:sz w:val="24"/>
          <w:szCs w:val="24"/>
        </w:rPr>
      </w:pPr>
    </w:p>
    <w:p w14:paraId="6DA495F5" w14:textId="77777777" w:rsidR="00605273" w:rsidRPr="00605273" w:rsidRDefault="00605273" w:rsidP="00605273">
      <w:pPr>
        <w:pStyle w:val="BodyText"/>
      </w:pPr>
      <w:r>
        <w:t>Piezīme. Ja dalība PP sniedz neapmierinošus rezultātus, tas var ietekmēt arī turpmāko stratēģiju.</w:t>
      </w:r>
    </w:p>
    <w:p w14:paraId="5E19B8BC" w14:textId="77777777" w:rsidR="00605273" w:rsidRPr="00605273" w:rsidRDefault="00605273" w:rsidP="00605273">
      <w:pPr>
        <w:jc w:val="both"/>
        <w:rPr>
          <w:rFonts w:ascii="Times New Roman" w:eastAsia="Arial" w:hAnsi="Times New Roman" w:cs="Times New Roman"/>
          <w:noProof/>
          <w:sz w:val="24"/>
          <w:szCs w:val="24"/>
        </w:rPr>
      </w:pPr>
    </w:p>
    <w:p w14:paraId="1BD0F152" w14:textId="77777777" w:rsidR="00605273" w:rsidRPr="00605273" w:rsidRDefault="00605273" w:rsidP="00605273">
      <w:pPr>
        <w:pStyle w:val="Heading1"/>
      </w:pPr>
      <w:bookmarkStart w:id="8" w:name="_Toc120022456"/>
      <w:r>
        <w:t>5. ATSAUCES</w:t>
      </w:r>
      <w:bookmarkStart w:id="9" w:name="_bookmark4"/>
      <w:bookmarkEnd w:id="9"/>
      <w:bookmarkEnd w:id="8"/>
    </w:p>
    <w:p w14:paraId="39C69548" w14:textId="77777777" w:rsidR="00605273" w:rsidRPr="00605273" w:rsidRDefault="00605273" w:rsidP="00605273">
      <w:pPr>
        <w:jc w:val="both"/>
        <w:rPr>
          <w:rFonts w:ascii="Times New Roman" w:eastAsia="Arial" w:hAnsi="Times New Roman" w:cs="Times New Roman"/>
          <w:b/>
          <w:bCs/>
          <w:i/>
          <w:noProof/>
          <w:sz w:val="24"/>
          <w:szCs w:val="24"/>
        </w:rPr>
      </w:pPr>
    </w:p>
    <w:p w14:paraId="1259B15E" w14:textId="77777777" w:rsidR="00605273" w:rsidRPr="00605273" w:rsidRDefault="00605273" w:rsidP="00605273">
      <w:pPr>
        <w:pStyle w:val="BodyText"/>
      </w:pPr>
      <w:r>
        <w:t>1. ISO/IEC 17025:2017: General Requirements for the competence of testing and calibration laboratories.</w:t>
      </w:r>
    </w:p>
    <w:p w14:paraId="15F61E32" w14:textId="77777777" w:rsidR="00605273" w:rsidRPr="00605273" w:rsidRDefault="00605273" w:rsidP="00605273">
      <w:pPr>
        <w:pStyle w:val="BodyText"/>
      </w:pPr>
      <w:r>
        <w:t>2. ISO/IEC 17043:2010: Conformity assessment — General requirements for proficiency testing.</w:t>
      </w:r>
    </w:p>
    <w:p w14:paraId="1DF11CBD" w14:textId="77777777" w:rsidR="00605273" w:rsidRPr="00605273" w:rsidRDefault="00605273" w:rsidP="00605273">
      <w:pPr>
        <w:pStyle w:val="BodyText"/>
      </w:pPr>
      <w:r>
        <w:lastRenderedPageBreak/>
        <w:t>3. ILAC-P9 (Current Version): ILAC Policy for Participation in National and International Proficiency Testing Activities.</w:t>
      </w:r>
    </w:p>
    <w:p w14:paraId="45E83775" w14:textId="77777777" w:rsidR="00605273" w:rsidRPr="00605273" w:rsidRDefault="00605273" w:rsidP="00605273">
      <w:pPr>
        <w:pStyle w:val="BodyText"/>
      </w:pPr>
      <w:r>
        <w:t>4. ISO 15189:2012: Medical laboratories. Requirements for quality and competence.</w:t>
      </w:r>
    </w:p>
    <w:p w14:paraId="78A45134" w14:textId="77777777" w:rsidR="00605273" w:rsidRPr="00605273" w:rsidRDefault="00605273" w:rsidP="00605273">
      <w:pPr>
        <w:pStyle w:val="BodyText"/>
      </w:pPr>
      <w:r>
        <w:t>5. ISO/IEC 17011:2017: Conformity assessment - Requirements for accreditation bodies accrediting conformity assessment bodies.</w:t>
      </w:r>
    </w:p>
    <w:p w14:paraId="52CC1F97" w14:textId="77777777" w:rsidR="00605273" w:rsidRPr="00605273" w:rsidRDefault="00605273" w:rsidP="00605273">
      <w:pPr>
        <w:pStyle w:val="BodyText"/>
      </w:pPr>
      <w:r>
        <w:t>6. EA-4/21: 2018-03: Guidelines for the assessment of the appropriateness of small interlaboratory comparisons within the process of laboratory accreditation</w:t>
      </w:r>
    </w:p>
    <w:p w14:paraId="7BE4CCAD" w14:textId="77777777" w:rsidR="00605273" w:rsidRPr="00605273" w:rsidRDefault="00605273" w:rsidP="00605273">
      <w:pPr>
        <w:jc w:val="both"/>
        <w:rPr>
          <w:rFonts w:ascii="Times New Roman" w:eastAsia="Arial" w:hAnsi="Times New Roman" w:cs="Times New Roman"/>
          <w:noProof/>
          <w:sz w:val="24"/>
          <w:szCs w:val="24"/>
        </w:rPr>
      </w:pPr>
    </w:p>
    <w:p w14:paraId="138D0D79" w14:textId="77777777" w:rsidR="00605273" w:rsidRPr="00605273" w:rsidRDefault="00605273" w:rsidP="00605273">
      <w:pPr>
        <w:pStyle w:val="Heading1"/>
      </w:pPr>
      <w:bookmarkStart w:id="10" w:name="_Toc120022457"/>
      <w:r>
        <w:t>6. SITUĀCIJU ANALĪZE</w:t>
      </w:r>
      <w:bookmarkStart w:id="11" w:name="_bookmark5"/>
      <w:bookmarkEnd w:id="11"/>
      <w:bookmarkEnd w:id="10"/>
    </w:p>
    <w:p w14:paraId="254AA1EB" w14:textId="77777777" w:rsidR="00605273" w:rsidRPr="00605273" w:rsidRDefault="00605273" w:rsidP="00605273">
      <w:pPr>
        <w:jc w:val="both"/>
        <w:rPr>
          <w:rFonts w:ascii="Times New Roman" w:eastAsia="Arial" w:hAnsi="Times New Roman" w:cs="Times New Roman"/>
          <w:b/>
          <w:bCs/>
          <w:i/>
          <w:noProof/>
          <w:sz w:val="24"/>
          <w:szCs w:val="24"/>
        </w:rPr>
      </w:pPr>
    </w:p>
    <w:p w14:paraId="3B32685F" w14:textId="77777777" w:rsidR="00605273" w:rsidRPr="00605273" w:rsidRDefault="00605273" w:rsidP="00605273">
      <w:pPr>
        <w:pStyle w:val="BodyText"/>
      </w:pPr>
      <w:r>
        <w:t>Katrai laboratorijai pašai ir jāizvērtē, cik daudz tehniskās kompetences jomu pienācīgi aptvers tās darbības lauku, un tādējādi jādefinē savs dalības PP “līmenis” un “biežums”, kas ir sīki jānorāda savā PP stratēģijā. Lai parādītu, kā laboratorija varētu pārskatīt savu darba lauku un tādējādi noteikt savu tehniskās kompetences jomu skaitu, ir sniegta sešu situāciju analīze. Tomēr šo situāciju analīze ir tikai piemērs tam, kādu pieeju varētu izmantot, un nav uzskatāma par etalonu. Konkrētais biežums ir sniegts tikai ilustratīviem mērķiem.</w:t>
      </w:r>
    </w:p>
    <w:p w14:paraId="17DAE09A" w14:textId="77777777" w:rsidR="00605273" w:rsidRPr="00605273" w:rsidRDefault="00605273" w:rsidP="00605273">
      <w:pPr>
        <w:jc w:val="both"/>
        <w:rPr>
          <w:rFonts w:ascii="Times New Roman" w:hAnsi="Times New Roman" w:cs="Times New Roman"/>
          <w:noProof/>
          <w:sz w:val="24"/>
          <w:szCs w:val="24"/>
        </w:rPr>
      </w:pPr>
    </w:p>
    <w:p w14:paraId="42E7307D" w14:textId="77777777" w:rsidR="00605273" w:rsidRPr="00605273" w:rsidRDefault="00605273" w:rsidP="00605273">
      <w:pPr>
        <w:rPr>
          <w:rFonts w:ascii="Times New Roman" w:eastAsia="Arial" w:hAnsi="Times New Roman" w:cs="Times New Roman"/>
          <w:noProof/>
          <w:sz w:val="24"/>
          <w:szCs w:val="24"/>
        </w:rPr>
      </w:pPr>
      <w:r>
        <w:br w:type="page"/>
      </w:r>
    </w:p>
    <w:p w14:paraId="3A3BFC42" w14:textId="77777777" w:rsidR="00605273" w:rsidRPr="00605273" w:rsidRDefault="00605273" w:rsidP="00605273">
      <w:pPr>
        <w:jc w:val="both"/>
        <w:rPr>
          <w:rFonts w:ascii="Times New Roman" w:eastAsia="Arial" w:hAnsi="Times New Roman" w:cs="Times New Roman"/>
          <w:noProof/>
          <w:sz w:val="24"/>
          <w:szCs w:val="24"/>
        </w:rPr>
      </w:pPr>
    </w:p>
    <w:p w14:paraId="2A494971" w14:textId="77777777" w:rsidR="00605273" w:rsidRPr="00605273" w:rsidRDefault="00605273" w:rsidP="00A66008">
      <w:pPr>
        <w:pStyle w:val="Heading2"/>
      </w:pPr>
      <w:bookmarkStart w:id="12" w:name="_Toc120022458"/>
      <w:r>
        <w:t>1. situācijas analīze. Vides ķīmijas testēšanas laboratorija</w:t>
      </w:r>
      <w:bookmarkStart w:id="13" w:name="_bookmark6"/>
      <w:bookmarkEnd w:id="13"/>
      <w:bookmarkEnd w:id="12"/>
    </w:p>
    <w:p w14:paraId="5893493E" w14:textId="77777777" w:rsidR="00605273" w:rsidRPr="00605273" w:rsidRDefault="00605273" w:rsidP="00605273">
      <w:pPr>
        <w:jc w:val="both"/>
        <w:rPr>
          <w:rFonts w:ascii="Times New Roman" w:eastAsia="Arial" w:hAnsi="Times New Roman" w:cs="Times New Roman"/>
          <w:b/>
          <w:bCs/>
          <w:noProof/>
          <w:sz w:val="24"/>
          <w:szCs w:val="24"/>
        </w:rPr>
      </w:pPr>
    </w:p>
    <w:p w14:paraId="256DBD85" w14:textId="77777777" w:rsidR="00605273" w:rsidRPr="00605273" w:rsidRDefault="00605273" w:rsidP="00605273">
      <w:pPr>
        <w:pStyle w:val="BodyText"/>
        <w:rPr>
          <w:b/>
          <w:bCs/>
        </w:rPr>
      </w:pPr>
      <w:r>
        <w:rPr>
          <w:b/>
        </w:rPr>
        <w:t>Akreditētie mērījumi, ko veic laboratorija</w:t>
      </w:r>
    </w:p>
    <w:p w14:paraId="7E0C63AA" w14:textId="77777777" w:rsidR="00605273" w:rsidRPr="00605273" w:rsidRDefault="00605273" w:rsidP="00605273">
      <w:pPr>
        <w:jc w:val="both"/>
        <w:rPr>
          <w:rFonts w:ascii="Times New Roman" w:eastAsia="Arial" w:hAnsi="Times New Roman" w:cs="Times New Roman"/>
          <w:b/>
          <w:bCs/>
          <w:noProof/>
          <w:sz w:val="24"/>
          <w:szCs w:val="24"/>
        </w:rPr>
      </w:pPr>
    </w:p>
    <w:p w14:paraId="3C58747B" w14:textId="77777777" w:rsidR="00605273" w:rsidRPr="00605273" w:rsidRDefault="00605273" w:rsidP="00605273">
      <w:pPr>
        <w:pStyle w:val="BodyText"/>
        <w:numPr>
          <w:ilvl w:val="0"/>
          <w:numId w:val="2"/>
        </w:numPr>
        <w:tabs>
          <w:tab w:val="left" w:pos="567"/>
        </w:tabs>
        <w:ind w:left="0" w:firstLine="0"/>
      </w:pPr>
      <w:r>
        <w:t>Polihlorbifenili (</w:t>
      </w:r>
      <w:r>
        <w:rPr>
          <w:i/>
          <w:iCs/>
        </w:rPr>
        <w:t>PCB</w:t>
      </w:r>
      <w:r>
        <w:t>) gruntī un notekūdeņu dūņās ar gāzu hromatogrāfijas masspektrometriju (</w:t>
      </w:r>
      <w:r>
        <w:rPr>
          <w:i/>
          <w:iCs/>
        </w:rPr>
        <w:t>GC-MS</w:t>
      </w:r>
      <w:r>
        <w:t>)</w:t>
      </w:r>
    </w:p>
    <w:p w14:paraId="2879791D" w14:textId="43145A09" w:rsidR="00605273" w:rsidRPr="00605273" w:rsidRDefault="00605273" w:rsidP="00605273">
      <w:pPr>
        <w:pStyle w:val="BodyText"/>
        <w:numPr>
          <w:ilvl w:val="0"/>
          <w:numId w:val="2"/>
        </w:numPr>
        <w:tabs>
          <w:tab w:val="left" w:pos="567"/>
        </w:tabs>
        <w:ind w:left="0" w:firstLine="0"/>
      </w:pPr>
      <w:r>
        <w:t>Poliaromātiskie ogļūdeņraži (</w:t>
      </w:r>
      <w:r w:rsidR="00631B17" w:rsidRPr="00631B17">
        <w:t>PAO</w:t>
      </w:r>
      <w:r>
        <w:t xml:space="preserve">) gruntī un notekūdeņu dūņās ar </w:t>
      </w:r>
      <w:r>
        <w:rPr>
          <w:i/>
          <w:iCs/>
        </w:rPr>
        <w:t>GC-MS</w:t>
      </w:r>
    </w:p>
    <w:p w14:paraId="57280CA0" w14:textId="77777777" w:rsidR="00605273" w:rsidRPr="00605273" w:rsidRDefault="00605273" w:rsidP="00605273">
      <w:pPr>
        <w:pStyle w:val="BodyText"/>
        <w:numPr>
          <w:ilvl w:val="0"/>
          <w:numId w:val="2"/>
        </w:numPr>
        <w:tabs>
          <w:tab w:val="left" w:pos="567"/>
        </w:tabs>
        <w:ind w:left="0" w:firstLine="0"/>
      </w:pPr>
      <w:r>
        <w:t xml:space="preserve">Gaistoši organiski savienojumi (GOS) ūdeņos ar izpūšanas un uztveršanas </w:t>
      </w:r>
      <w:r>
        <w:rPr>
          <w:i/>
          <w:iCs/>
        </w:rPr>
        <w:t>GC-MS</w:t>
      </w:r>
    </w:p>
    <w:p w14:paraId="36792DB8" w14:textId="77777777" w:rsidR="00605273" w:rsidRPr="00605273" w:rsidRDefault="00605273" w:rsidP="00605273">
      <w:pPr>
        <w:pStyle w:val="BodyText"/>
        <w:numPr>
          <w:ilvl w:val="0"/>
          <w:numId w:val="2"/>
        </w:numPr>
        <w:tabs>
          <w:tab w:val="left" w:pos="567"/>
        </w:tabs>
        <w:ind w:left="0" w:firstLine="0"/>
      </w:pPr>
      <w:r>
        <w:t xml:space="preserve">Metāli gruntī, notekūdeņu dūņās un ūdeņos ar </w:t>
      </w:r>
      <w:r>
        <w:rPr>
          <w:i/>
          <w:iCs/>
        </w:rPr>
        <w:t>ICP-MS</w:t>
      </w:r>
    </w:p>
    <w:p w14:paraId="61DBAC48" w14:textId="77777777" w:rsidR="00605273" w:rsidRPr="00605273" w:rsidRDefault="00605273" w:rsidP="00605273">
      <w:pPr>
        <w:pStyle w:val="BodyText"/>
        <w:numPr>
          <w:ilvl w:val="0"/>
          <w:numId w:val="2"/>
        </w:numPr>
        <w:tabs>
          <w:tab w:val="left" w:pos="567"/>
        </w:tabs>
        <w:ind w:left="0" w:firstLine="0"/>
      </w:pPr>
      <w:r>
        <w:t>pH gruntī, notekūdeņu dūņās un ūdeņos</w:t>
      </w:r>
    </w:p>
    <w:p w14:paraId="436D2816" w14:textId="77777777" w:rsidR="00605273" w:rsidRPr="00605273" w:rsidRDefault="00605273" w:rsidP="00605273">
      <w:pPr>
        <w:jc w:val="both"/>
        <w:rPr>
          <w:rFonts w:ascii="Times New Roman" w:eastAsia="Arial" w:hAnsi="Times New Roman" w:cs="Times New Roman"/>
          <w:noProof/>
          <w:sz w:val="24"/>
          <w:szCs w:val="24"/>
        </w:rPr>
      </w:pPr>
    </w:p>
    <w:p w14:paraId="4DA7BD57" w14:textId="77777777" w:rsidR="00605273" w:rsidRPr="00605273" w:rsidRDefault="00605273" w:rsidP="00605273">
      <w:pPr>
        <w:pStyle w:val="BodyText"/>
        <w:rPr>
          <w:b/>
          <w:bCs/>
        </w:rPr>
      </w:pPr>
      <w:r>
        <w:rPr>
          <w:b/>
        </w:rPr>
        <w:t>Tehniskās kompetences jomu noteikšanas apsvērumi</w:t>
      </w:r>
    </w:p>
    <w:p w14:paraId="37179B48" w14:textId="77777777" w:rsidR="00605273" w:rsidRPr="00605273" w:rsidRDefault="00605273" w:rsidP="00605273">
      <w:pPr>
        <w:jc w:val="both"/>
        <w:rPr>
          <w:rFonts w:ascii="Times New Roman" w:eastAsia="Arial" w:hAnsi="Times New Roman" w:cs="Times New Roman"/>
          <w:b/>
          <w:bCs/>
          <w:noProof/>
          <w:sz w:val="24"/>
          <w:szCs w:val="24"/>
        </w:rPr>
      </w:pPr>
    </w:p>
    <w:p w14:paraId="1FACE97B" w14:textId="77777777" w:rsidR="00605273" w:rsidRPr="00605273" w:rsidRDefault="00605273" w:rsidP="00605273">
      <w:pPr>
        <w:pStyle w:val="BodyText"/>
        <w:numPr>
          <w:ilvl w:val="0"/>
          <w:numId w:val="2"/>
        </w:numPr>
        <w:tabs>
          <w:tab w:val="left" w:pos="567"/>
        </w:tabs>
        <w:ind w:left="0" w:firstLine="0"/>
      </w:pPr>
      <w:r>
        <w:t>Attiecībā uz pH laboratorija norāda, ka tā izmanto vienu ISO metodi visām trim matricām (gruntij, ūdeņiem un notekūdeņu dūņām). Šī ISO metode ir validēta visām trim matricām, tāpēc laboratorija to norāda kā vienu tehniskās kompetences jomu.</w:t>
      </w:r>
    </w:p>
    <w:p w14:paraId="4785E2BC" w14:textId="77777777" w:rsidR="00605273" w:rsidRPr="00605273" w:rsidRDefault="00605273" w:rsidP="00605273">
      <w:pPr>
        <w:pStyle w:val="BodyText"/>
        <w:tabs>
          <w:tab w:val="left" w:pos="567"/>
        </w:tabs>
      </w:pPr>
    </w:p>
    <w:p w14:paraId="765811F9" w14:textId="77777777" w:rsidR="00605273" w:rsidRPr="00605273" w:rsidRDefault="00605273" w:rsidP="00605273">
      <w:pPr>
        <w:pStyle w:val="BodyText"/>
        <w:numPr>
          <w:ilvl w:val="0"/>
          <w:numId w:val="2"/>
        </w:numPr>
        <w:tabs>
          <w:tab w:val="left" w:pos="567"/>
        </w:tabs>
        <w:ind w:left="0" w:firstLine="0"/>
      </w:pPr>
      <w:r>
        <w:t>Attiecībā uz metālu analīzi laboratorija norāda, ka tā izmanto vienu mērījumu procesu (</w:t>
      </w:r>
      <w:r>
        <w:rPr>
          <w:i/>
          <w:iCs/>
        </w:rPr>
        <w:t>ICP-MS</w:t>
      </w:r>
      <w:r>
        <w:t>) visām trim matricām (gruntij, ūdeņiem un notekūdeņu dūņām). Tomēr ūdens paraugu sagatavošana salīdzinājumā ar grunts un notekūdeņu dūņu paraugu sagatavošanu būtiski atšķiras. Tāpēc laboratorija norāda, ka tā nevar deklarēt to kā vienu tehniskās kompetences jomu, bet, tā kā metodoloģijas attiecībā uz grunti un notekūdeņu dūņām ir pierādāmi salīdzināmas, tās var deklarēt kā vienu jomu. Tāpēc laboratorija norāda vēl divas tehniskās kompetences jomas.</w:t>
      </w:r>
    </w:p>
    <w:p w14:paraId="2BB668D5" w14:textId="77777777" w:rsidR="00605273" w:rsidRPr="00605273" w:rsidRDefault="00605273" w:rsidP="00605273">
      <w:pPr>
        <w:pStyle w:val="BodyText"/>
        <w:tabs>
          <w:tab w:val="left" w:pos="567"/>
        </w:tabs>
      </w:pPr>
    </w:p>
    <w:p w14:paraId="0FE07219" w14:textId="3F473748" w:rsidR="00605273" w:rsidRPr="00605273" w:rsidRDefault="00605273" w:rsidP="00605273">
      <w:pPr>
        <w:pStyle w:val="BodyText"/>
        <w:numPr>
          <w:ilvl w:val="0"/>
          <w:numId w:val="2"/>
        </w:numPr>
        <w:tabs>
          <w:tab w:val="left" w:pos="567"/>
        </w:tabs>
        <w:ind w:left="0" w:firstLine="0"/>
      </w:pPr>
      <w:r>
        <w:t xml:space="preserve">Attiecībā uz </w:t>
      </w:r>
      <w:r w:rsidR="00CC6A4A" w:rsidRPr="00631B17">
        <w:t>PAO</w:t>
      </w:r>
      <w:r w:rsidR="00CC6A4A">
        <w:t xml:space="preserve"> </w:t>
      </w:r>
      <w:r>
        <w:t xml:space="preserve">un </w:t>
      </w:r>
      <w:r>
        <w:rPr>
          <w:i/>
          <w:iCs/>
        </w:rPr>
        <w:t>PCB</w:t>
      </w:r>
      <w:r>
        <w:t xml:space="preserve"> analīzi laboratorija norāda, ka tā izmanto vienu mērījumu procesu (</w:t>
      </w:r>
      <w:r>
        <w:rPr>
          <w:i/>
          <w:iCs/>
        </w:rPr>
        <w:t>GC-MS</w:t>
      </w:r>
      <w:r>
        <w:t xml:space="preserve">) un ka matricu (grunts un notekūdeņu dūņu) ekstrahēšana abām matricām ir identiska. Tomēr, veicot šo metožu sākotnējo validāciju, ir redzams, ka metodoloģijas variācijas atšķirīgos veidos ietekmē </w:t>
      </w:r>
      <w:r>
        <w:rPr>
          <w:i/>
          <w:iCs/>
        </w:rPr>
        <w:t>PCB</w:t>
      </w:r>
      <w:r>
        <w:t xml:space="preserve"> un </w:t>
      </w:r>
      <w:r w:rsidR="00CC6A4A" w:rsidRPr="00631B17">
        <w:t>PAO</w:t>
      </w:r>
      <w:r>
        <w:t xml:space="preserve">, tāpēc pieņemama veiktspēja vai problemātiska veiktspēja attiecībā uz </w:t>
      </w:r>
      <w:r>
        <w:rPr>
          <w:i/>
          <w:iCs/>
        </w:rPr>
        <w:t>PCB</w:t>
      </w:r>
      <w:r>
        <w:t xml:space="preserve"> ne vienmēr nozīmē to pašu attiecībā uz </w:t>
      </w:r>
      <w:r w:rsidR="00CC6A4A" w:rsidRPr="00631B17">
        <w:t>PAO</w:t>
      </w:r>
      <w:r w:rsidR="00CC6A4A">
        <w:t xml:space="preserve"> </w:t>
      </w:r>
      <w:r>
        <w:t>(un otrādi). Tāpēc laboratorija norāda vēl divas tehniskās kompetences jomas.</w:t>
      </w:r>
    </w:p>
    <w:p w14:paraId="3085DDD5" w14:textId="77777777" w:rsidR="00605273" w:rsidRPr="00605273" w:rsidRDefault="00605273" w:rsidP="00605273">
      <w:pPr>
        <w:jc w:val="both"/>
        <w:rPr>
          <w:rFonts w:ascii="Times New Roman" w:eastAsia="Arial" w:hAnsi="Times New Roman" w:cs="Times New Roman"/>
          <w:noProof/>
          <w:sz w:val="24"/>
          <w:szCs w:val="24"/>
        </w:rPr>
      </w:pPr>
    </w:p>
    <w:p w14:paraId="1A9C096D" w14:textId="77777777" w:rsidR="00605273" w:rsidRPr="00605273" w:rsidRDefault="00605273" w:rsidP="00605273">
      <w:pPr>
        <w:pStyle w:val="BodyText"/>
        <w:numPr>
          <w:ilvl w:val="0"/>
          <w:numId w:val="2"/>
        </w:numPr>
        <w:tabs>
          <w:tab w:val="left" w:pos="567"/>
        </w:tabs>
        <w:ind w:left="0" w:firstLine="0"/>
      </w:pPr>
      <w:r>
        <w:t>Attiecībā uz GOS metodi laboratorijai ir jāizvērtē tikai viena matrica (ūdens). Tomēr laboratorija apzinās, ka ar šo metodi analizē vairākus dažādus parametrus, kas varētu potenciāli dažādos veidos reaģēt uz problēmām, izmantojot šo metodi. Ar saviem metodes validācijas datiem laboratorija ir parādījusi, ka atšķirīgi parametri reaģē salīdzināmā veidā uz šīs metodes variācijām. Tāpēc laboratorija norāda vēl vienu tehniskās kompetences jomu.</w:t>
      </w:r>
    </w:p>
    <w:p w14:paraId="6F22544A" w14:textId="77777777" w:rsidR="00605273" w:rsidRPr="00605273" w:rsidRDefault="00605273" w:rsidP="00605273">
      <w:pPr>
        <w:jc w:val="both"/>
        <w:rPr>
          <w:rFonts w:ascii="Times New Roman" w:eastAsia="Arial" w:hAnsi="Times New Roman" w:cs="Times New Roman"/>
          <w:noProof/>
          <w:sz w:val="24"/>
          <w:szCs w:val="24"/>
        </w:rPr>
      </w:pPr>
    </w:p>
    <w:p w14:paraId="130895D8" w14:textId="77777777" w:rsidR="00605273" w:rsidRPr="00605273" w:rsidRDefault="00605273" w:rsidP="00605273">
      <w:pPr>
        <w:pStyle w:val="BodyText"/>
        <w:rPr>
          <w:b/>
          <w:bCs/>
        </w:rPr>
      </w:pPr>
      <w:r>
        <w:rPr>
          <w:b/>
        </w:rPr>
        <w:t>Šā uzdevuma rezultātā noteiktās tehniskās kompetences jomas</w:t>
      </w:r>
    </w:p>
    <w:p w14:paraId="4B6935CB" w14:textId="77777777" w:rsidR="00605273" w:rsidRPr="00605273" w:rsidRDefault="00605273" w:rsidP="00605273">
      <w:pPr>
        <w:jc w:val="both"/>
        <w:rPr>
          <w:rFonts w:ascii="Times New Roman" w:eastAsia="Arial" w:hAnsi="Times New Roman" w:cs="Times New Roman"/>
          <w:b/>
          <w:bCs/>
          <w:noProof/>
          <w:sz w:val="24"/>
          <w:szCs w:val="24"/>
        </w:rPr>
      </w:pPr>
    </w:p>
    <w:p w14:paraId="1E417AAD" w14:textId="77777777" w:rsidR="00605273" w:rsidRPr="00605273" w:rsidRDefault="00605273" w:rsidP="00605273">
      <w:pPr>
        <w:pStyle w:val="BodyText"/>
        <w:numPr>
          <w:ilvl w:val="0"/>
          <w:numId w:val="2"/>
        </w:numPr>
        <w:tabs>
          <w:tab w:val="left" w:pos="567"/>
        </w:tabs>
        <w:ind w:left="0" w:firstLine="0"/>
      </w:pPr>
      <w:r>
        <w:t>Polihlorbifenili (</w:t>
      </w:r>
      <w:r>
        <w:rPr>
          <w:i/>
          <w:iCs/>
        </w:rPr>
        <w:t>PCB</w:t>
      </w:r>
      <w:r>
        <w:t xml:space="preserve">) gruntī un notekūdeņu dūņās ar </w:t>
      </w:r>
      <w:r>
        <w:rPr>
          <w:i/>
          <w:iCs/>
        </w:rPr>
        <w:t>GC-MS</w:t>
      </w:r>
    </w:p>
    <w:p w14:paraId="510BEEBA" w14:textId="415244DE" w:rsidR="00605273" w:rsidRPr="00605273" w:rsidRDefault="00605273" w:rsidP="00605273">
      <w:pPr>
        <w:pStyle w:val="BodyText"/>
        <w:numPr>
          <w:ilvl w:val="0"/>
          <w:numId w:val="2"/>
        </w:numPr>
        <w:tabs>
          <w:tab w:val="left" w:pos="567"/>
        </w:tabs>
        <w:ind w:left="0" w:firstLine="0"/>
      </w:pPr>
      <w:r>
        <w:t>Poliaromātiskie ogļūdeņraži (</w:t>
      </w:r>
      <w:r w:rsidR="00CC6A4A" w:rsidRPr="00631B17">
        <w:t>PAO</w:t>
      </w:r>
      <w:r>
        <w:t xml:space="preserve">) gruntī un notekūdeņu dūņās ar </w:t>
      </w:r>
      <w:r>
        <w:rPr>
          <w:i/>
          <w:iCs/>
        </w:rPr>
        <w:t>GC-MS</w:t>
      </w:r>
    </w:p>
    <w:p w14:paraId="51D23208" w14:textId="77777777" w:rsidR="00605273" w:rsidRPr="00605273" w:rsidRDefault="00605273" w:rsidP="00605273">
      <w:pPr>
        <w:pStyle w:val="BodyText"/>
        <w:numPr>
          <w:ilvl w:val="0"/>
          <w:numId w:val="2"/>
        </w:numPr>
        <w:tabs>
          <w:tab w:val="left" w:pos="567"/>
        </w:tabs>
        <w:ind w:left="0" w:firstLine="0"/>
      </w:pPr>
      <w:r>
        <w:t xml:space="preserve">Gaistoši organiski savienojumi (GOS) ūdenī ar izpūšanas un uztveršanas </w:t>
      </w:r>
      <w:r>
        <w:rPr>
          <w:i/>
          <w:iCs/>
        </w:rPr>
        <w:t>GC-MS</w:t>
      </w:r>
    </w:p>
    <w:p w14:paraId="07D63C4B" w14:textId="77777777" w:rsidR="00605273" w:rsidRPr="00605273" w:rsidRDefault="00605273" w:rsidP="00605273">
      <w:pPr>
        <w:pStyle w:val="BodyText"/>
        <w:numPr>
          <w:ilvl w:val="0"/>
          <w:numId w:val="2"/>
        </w:numPr>
        <w:tabs>
          <w:tab w:val="left" w:pos="567"/>
        </w:tabs>
        <w:ind w:left="0" w:firstLine="0"/>
      </w:pPr>
      <w:r>
        <w:t xml:space="preserve">Metāli gruntī un notekūdeņu dūņās ar </w:t>
      </w:r>
      <w:r>
        <w:rPr>
          <w:i/>
          <w:iCs/>
        </w:rPr>
        <w:t>ICP-MS</w:t>
      </w:r>
    </w:p>
    <w:p w14:paraId="40D3C57D" w14:textId="77777777" w:rsidR="00605273" w:rsidRPr="00605273" w:rsidRDefault="00605273" w:rsidP="00605273">
      <w:pPr>
        <w:pStyle w:val="BodyText"/>
        <w:numPr>
          <w:ilvl w:val="0"/>
          <w:numId w:val="2"/>
        </w:numPr>
        <w:tabs>
          <w:tab w:val="left" w:pos="567"/>
        </w:tabs>
        <w:ind w:left="0" w:firstLine="0"/>
      </w:pPr>
      <w:r>
        <w:t xml:space="preserve">Metāli ūdenī ar </w:t>
      </w:r>
      <w:r>
        <w:rPr>
          <w:i/>
          <w:iCs/>
        </w:rPr>
        <w:t>ICP-MS</w:t>
      </w:r>
    </w:p>
    <w:p w14:paraId="174C27C0" w14:textId="77777777" w:rsidR="00605273" w:rsidRPr="00605273" w:rsidRDefault="00605273" w:rsidP="00605273">
      <w:pPr>
        <w:pStyle w:val="BodyText"/>
        <w:numPr>
          <w:ilvl w:val="0"/>
          <w:numId w:val="2"/>
        </w:numPr>
        <w:tabs>
          <w:tab w:val="left" w:pos="567"/>
        </w:tabs>
        <w:ind w:left="0" w:firstLine="0"/>
      </w:pPr>
      <w:r>
        <w:t>pH gruntī, notekūdeņu dūņās un ūdenī</w:t>
      </w:r>
    </w:p>
    <w:p w14:paraId="5F9DB455" w14:textId="77777777" w:rsidR="00605273" w:rsidRPr="00605273" w:rsidRDefault="00605273" w:rsidP="00605273">
      <w:pPr>
        <w:jc w:val="both"/>
        <w:rPr>
          <w:rFonts w:ascii="Times New Roman" w:hAnsi="Times New Roman" w:cs="Times New Roman"/>
          <w:noProof/>
          <w:sz w:val="24"/>
          <w:szCs w:val="24"/>
        </w:rPr>
      </w:pPr>
    </w:p>
    <w:p w14:paraId="401C1AF0" w14:textId="77777777" w:rsidR="00605273" w:rsidRPr="00605273" w:rsidRDefault="00605273" w:rsidP="00527153">
      <w:pPr>
        <w:pStyle w:val="BodyText"/>
        <w:keepNext/>
        <w:keepLines/>
        <w:rPr>
          <w:b/>
          <w:bCs/>
        </w:rPr>
      </w:pPr>
      <w:r>
        <w:rPr>
          <w:b/>
        </w:rPr>
        <w:lastRenderedPageBreak/>
        <w:t>Dalības biežuma noteikšanas apsvērumi</w:t>
      </w:r>
    </w:p>
    <w:p w14:paraId="11423EE9" w14:textId="77777777" w:rsidR="00605273" w:rsidRPr="00605273" w:rsidRDefault="00605273" w:rsidP="00527153">
      <w:pPr>
        <w:keepNext/>
        <w:keepLines/>
        <w:jc w:val="both"/>
        <w:rPr>
          <w:rFonts w:ascii="Times New Roman" w:eastAsia="Arial" w:hAnsi="Times New Roman" w:cs="Times New Roman"/>
          <w:b/>
          <w:bCs/>
          <w:noProof/>
          <w:sz w:val="24"/>
          <w:szCs w:val="24"/>
        </w:rPr>
      </w:pPr>
    </w:p>
    <w:p w14:paraId="35741C54" w14:textId="77777777" w:rsidR="00605273" w:rsidRPr="00605273" w:rsidRDefault="00605273" w:rsidP="00527153">
      <w:pPr>
        <w:pStyle w:val="BodyText"/>
        <w:keepNext/>
        <w:keepLines/>
      </w:pPr>
      <w:r>
        <w:t>Dažādām kompetences jomām laboratorija ir noteikusi turpmāk minēto biežumu.</w:t>
      </w:r>
    </w:p>
    <w:p w14:paraId="426F9862" w14:textId="77777777" w:rsidR="00605273" w:rsidRPr="00605273" w:rsidRDefault="00605273" w:rsidP="00605273">
      <w:pPr>
        <w:jc w:val="both"/>
        <w:rPr>
          <w:rFonts w:ascii="Times New Roman" w:eastAsia="Arial" w:hAnsi="Times New Roman" w:cs="Times New Roman"/>
          <w:noProof/>
          <w:sz w:val="24"/>
          <w:szCs w:val="24"/>
        </w:rPr>
      </w:pPr>
    </w:p>
    <w:p w14:paraId="4E35C796" w14:textId="0C731488" w:rsidR="00605273" w:rsidRPr="00605273" w:rsidRDefault="00605273" w:rsidP="00605273">
      <w:pPr>
        <w:pStyle w:val="BodyText"/>
        <w:numPr>
          <w:ilvl w:val="0"/>
          <w:numId w:val="2"/>
        </w:numPr>
        <w:tabs>
          <w:tab w:val="left" w:pos="567"/>
        </w:tabs>
        <w:ind w:left="0" w:firstLine="0"/>
      </w:pPr>
      <w:r>
        <w:rPr>
          <w:i/>
          <w:iCs/>
        </w:rPr>
        <w:t>PCB</w:t>
      </w:r>
      <w:r>
        <w:t xml:space="preserve"> un </w:t>
      </w:r>
      <w:r w:rsidR="005B624B" w:rsidRPr="00631B17">
        <w:t>PAO</w:t>
      </w:r>
      <w:r w:rsidR="005B624B">
        <w:t xml:space="preserve"> </w:t>
      </w:r>
      <w:r>
        <w:t>analīzei laboratorija izmanto sertificētus references materiālus reizi gadā, vienu tipiskā koncentrācijas diapazona zemākajā līmenī un vienu augstākā līmenī. Tā ir nolēmusi piedalīties PP divreiz gadā, jo tas ļauj laboratorijai aptvert pārējo koncentrācijas diapazonu trijos gados.</w:t>
      </w:r>
    </w:p>
    <w:p w14:paraId="0036931F" w14:textId="77777777" w:rsidR="00605273" w:rsidRPr="00605273" w:rsidRDefault="00605273" w:rsidP="00605273">
      <w:pPr>
        <w:jc w:val="both"/>
        <w:rPr>
          <w:rFonts w:ascii="Times New Roman" w:eastAsia="Arial" w:hAnsi="Times New Roman" w:cs="Times New Roman"/>
          <w:noProof/>
          <w:sz w:val="24"/>
          <w:szCs w:val="24"/>
        </w:rPr>
      </w:pPr>
    </w:p>
    <w:p w14:paraId="48B6C6A1" w14:textId="77777777" w:rsidR="00605273" w:rsidRPr="00605273" w:rsidRDefault="00605273" w:rsidP="00605273">
      <w:pPr>
        <w:pStyle w:val="BodyText"/>
        <w:numPr>
          <w:ilvl w:val="0"/>
          <w:numId w:val="2"/>
        </w:numPr>
        <w:tabs>
          <w:tab w:val="left" w:pos="567"/>
        </w:tabs>
        <w:ind w:left="0" w:firstLine="0"/>
      </w:pPr>
      <w:r>
        <w:t>Attiecībā uz GOS analīzi tā neizmanto sertificētu references materiālu, tāpēc tā piedalās PP četras reizes gadā, lai arī PP organizētājs sniedz iespēju piedalīties arī divas reizes gadā. Tā ir izvēlējusies piedalīties biežāk, jo divi tehniķi, kas ir atbildīgi par šo analīzi, ir vien tikko apmācīti un tādējādi pamatoti ir nepieredzējuši.</w:t>
      </w:r>
    </w:p>
    <w:p w14:paraId="26EEFB70" w14:textId="77777777" w:rsidR="00605273" w:rsidRPr="00605273" w:rsidRDefault="00605273" w:rsidP="00605273">
      <w:pPr>
        <w:jc w:val="both"/>
        <w:rPr>
          <w:rFonts w:ascii="Times New Roman" w:eastAsia="Arial" w:hAnsi="Times New Roman" w:cs="Times New Roman"/>
          <w:noProof/>
          <w:sz w:val="24"/>
          <w:szCs w:val="24"/>
        </w:rPr>
      </w:pPr>
    </w:p>
    <w:p w14:paraId="3930BD99" w14:textId="77777777" w:rsidR="00605273" w:rsidRPr="00605273" w:rsidRDefault="00605273" w:rsidP="00605273">
      <w:pPr>
        <w:pStyle w:val="BodyText"/>
        <w:numPr>
          <w:ilvl w:val="0"/>
          <w:numId w:val="2"/>
        </w:numPr>
        <w:tabs>
          <w:tab w:val="left" w:pos="567"/>
        </w:tabs>
        <w:ind w:left="0" w:firstLine="0"/>
      </w:pPr>
      <w:r>
        <w:t xml:space="preserve">Attiecībā uz mērījumiem, kas veikti ar </w:t>
      </w:r>
      <w:r>
        <w:rPr>
          <w:i/>
          <w:iCs/>
        </w:rPr>
        <w:t>ICP-MS</w:t>
      </w:r>
      <w:r>
        <w:t>, laboratorijai ir četri tehniķi, kas veic šo analīzi, bet, tā kā nav pietiekami daudz PP objektu, lai veiktu vairākas noteikšanas, laboratorija piedalās četras reizes gadā, lai katrs tehniķis varētu piedalīties vienu reizi gadā. Turklāt sertificēto references materiālu koncentrācijas līmenis neatbilst parasti analizēto materiālu koncentrācijas līmenim. PP organizētājs piedāvā koncentrāciju līmeni, kas pienācīgi sedz laboratorijas analizētos koncentrācijas līmeņus, tādējādi uzsvars ir uz dalību PP, nevis uz sertificēto references materiālu izmantošanu.</w:t>
      </w:r>
    </w:p>
    <w:p w14:paraId="1DE65C1E" w14:textId="77777777" w:rsidR="00605273" w:rsidRPr="00605273" w:rsidRDefault="00605273" w:rsidP="00605273">
      <w:pPr>
        <w:jc w:val="both"/>
        <w:rPr>
          <w:rFonts w:ascii="Times New Roman" w:eastAsia="Arial" w:hAnsi="Times New Roman" w:cs="Times New Roman"/>
          <w:noProof/>
          <w:sz w:val="24"/>
          <w:szCs w:val="24"/>
        </w:rPr>
      </w:pPr>
    </w:p>
    <w:p w14:paraId="2968B3F5" w14:textId="77777777" w:rsidR="00605273" w:rsidRPr="00605273" w:rsidRDefault="00605273" w:rsidP="00605273">
      <w:pPr>
        <w:pStyle w:val="BodyText"/>
        <w:numPr>
          <w:ilvl w:val="0"/>
          <w:numId w:val="2"/>
        </w:numPr>
        <w:tabs>
          <w:tab w:val="left" w:pos="567"/>
        </w:tabs>
        <w:ind w:left="0" w:firstLine="0"/>
      </w:pPr>
      <w:r>
        <w:t>Attiecībā uz pH noteikšanu laboratorija piedalās reizi gadā, jo tā izmanto pH metru, kas tiek kalibrēts iekšēji, un pH mērījums nav kritiska vērtība.</w:t>
      </w:r>
    </w:p>
    <w:p w14:paraId="30CC754D" w14:textId="77777777" w:rsidR="00605273" w:rsidRPr="00605273" w:rsidRDefault="00605273" w:rsidP="00605273">
      <w:pPr>
        <w:jc w:val="both"/>
        <w:rPr>
          <w:rFonts w:ascii="Times New Roman" w:eastAsia="Arial" w:hAnsi="Times New Roman" w:cs="Times New Roman"/>
          <w:noProof/>
          <w:sz w:val="24"/>
          <w:szCs w:val="24"/>
        </w:rPr>
      </w:pPr>
    </w:p>
    <w:p w14:paraId="2EBCE6C3" w14:textId="77777777" w:rsidR="00605273" w:rsidRPr="00605273" w:rsidRDefault="00605273" w:rsidP="00605273">
      <w:pPr>
        <w:pStyle w:val="BodyText"/>
        <w:rPr>
          <w:b/>
          <w:bCs/>
        </w:rPr>
      </w:pPr>
      <w:r>
        <w:rPr>
          <w:b/>
        </w:rPr>
        <w:t>Kopsavilkuma tabula</w:t>
      </w:r>
    </w:p>
    <w:p w14:paraId="1FED8DE0" w14:textId="77777777" w:rsidR="00605273" w:rsidRPr="00605273" w:rsidRDefault="00605273" w:rsidP="00605273">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814"/>
        <w:gridCol w:w="1879"/>
        <w:gridCol w:w="1802"/>
        <w:gridCol w:w="2416"/>
        <w:gridCol w:w="2220"/>
      </w:tblGrid>
      <w:tr w:rsidR="00605273" w:rsidRPr="00605273" w14:paraId="46849CA3" w14:textId="77777777" w:rsidTr="009C4FC9">
        <w:tc>
          <w:tcPr>
            <w:tcW w:w="470" w:type="pct"/>
            <w:tcBorders>
              <w:top w:val="single" w:sz="5" w:space="0" w:color="000000"/>
              <w:left w:val="single" w:sz="5" w:space="0" w:color="000000"/>
              <w:bottom w:val="single" w:sz="5" w:space="0" w:color="000000"/>
              <w:right w:val="single" w:sz="5" w:space="0" w:color="000000"/>
            </w:tcBorders>
          </w:tcPr>
          <w:p w14:paraId="77688557" w14:textId="77777777" w:rsidR="00605273" w:rsidRPr="00605273" w:rsidRDefault="00605273" w:rsidP="009C4FC9">
            <w:pPr>
              <w:jc w:val="both"/>
              <w:rPr>
                <w:rFonts w:ascii="Times New Roman" w:hAnsi="Times New Roman" w:cs="Times New Roman"/>
                <w:noProof/>
                <w:sz w:val="24"/>
                <w:szCs w:val="24"/>
              </w:rPr>
            </w:pPr>
          </w:p>
        </w:tc>
        <w:tc>
          <w:tcPr>
            <w:tcW w:w="1053" w:type="pct"/>
            <w:tcBorders>
              <w:top w:val="single" w:sz="5" w:space="0" w:color="000000"/>
              <w:left w:val="single" w:sz="5" w:space="0" w:color="000000"/>
              <w:bottom w:val="single" w:sz="5" w:space="0" w:color="000000"/>
              <w:right w:val="single" w:sz="5" w:space="0" w:color="000000"/>
            </w:tcBorders>
          </w:tcPr>
          <w:p w14:paraId="7FD058EE"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Raksturlielums</w:t>
            </w:r>
          </w:p>
        </w:tc>
        <w:tc>
          <w:tcPr>
            <w:tcW w:w="1011" w:type="pct"/>
            <w:tcBorders>
              <w:top w:val="single" w:sz="5" w:space="0" w:color="000000"/>
              <w:left w:val="single" w:sz="5" w:space="0" w:color="000000"/>
              <w:bottom w:val="single" w:sz="5" w:space="0" w:color="000000"/>
              <w:right w:val="single" w:sz="5" w:space="0" w:color="000000"/>
            </w:tcBorders>
          </w:tcPr>
          <w:p w14:paraId="76F0AC40"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Mērījumu process</w:t>
            </w:r>
          </w:p>
        </w:tc>
        <w:tc>
          <w:tcPr>
            <w:tcW w:w="1225" w:type="pct"/>
            <w:tcBorders>
              <w:top w:val="single" w:sz="5" w:space="0" w:color="000000"/>
              <w:left w:val="single" w:sz="5" w:space="0" w:color="000000"/>
              <w:bottom w:val="single" w:sz="5" w:space="0" w:color="000000"/>
              <w:right w:val="single" w:sz="5" w:space="0" w:color="000000"/>
            </w:tcBorders>
          </w:tcPr>
          <w:p w14:paraId="0A0D14F4"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Produkts</w:t>
            </w:r>
          </w:p>
        </w:tc>
        <w:tc>
          <w:tcPr>
            <w:tcW w:w="1240" w:type="pct"/>
            <w:tcBorders>
              <w:top w:val="single" w:sz="5" w:space="0" w:color="000000"/>
              <w:left w:val="single" w:sz="5" w:space="0" w:color="000000"/>
              <w:bottom w:val="single" w:sz="5" w:space="0" w:color="000000"/>
              <w:right w:val="single" w:sz="5" w:space="0" w:color="000000"/>
            </w:tcBorders>
          </w:tcPr>
          <w:p w14:paraId="32E9984D"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Biežums</w:t>
            </w:r>
          </w:p>
        </w:tc>
      </w:tr>
      <w:tr w:rsidR="00605273" w:rsidRPr="00605273" w14:paraId="4A538142" w14:textId="77777777" w:rsidTr="009C4FC9">
        <w:tc>
          <w:tcPr>
            <w:tcW w:w="470" w:type="pct"/>
            <w:tcBorders>
              <w:top w:val="single" w:sz="5" w:space="0" w:color="000000"/>
              <w:left w:val="single" w:sz="5" w:space="0" w:color="000000"/>
              <w:bottom w:val="single" w:sz="5" w:space="0" w:color="000000"/>
              <w:right w:val="single" w:sz="5" w:space="0" w:color="000000"/>
            </w:tcBorders>
          </w:tcPr>
          <w:p w14:paraId="6879EAC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w:t>
            </w:r>
          </w:p>
        </w:tc>
        <w:tc>
          <w:tcPr>
            <w:tcW w:w="1053" w:type="pct"/>
            <w:tcBorders>
              <w:top w:val="single" w:sz="5" w:space="0" w:color="000000"/>
              <w:left w:val="single" w:sz="5" w:space="0" w:color="000000"/>
              <w:bottom w:val="single" w:sz="5" w:space="0" w:color="000000"/>
              <w:right w:val="single" w:sz="5" w:space="0" w:color="000000"/>
            </w:tcBorders>
          </w:tcPr>
          <w:p w14:paraId="2831FFFC"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PCB</w:t>
            </w:r>
            <w:proofErr w:type="spellEnd"/>
          </w:p>
        </w:tc>
        <w:tc>
          <w:tcPr>
            <w:tcW w:w="1011" w:type="pct"/>
            <w:tcBorders>
              <w:top w:val="single" w:sz="5" w:space="0" w:color="000000"/>
              <w:left w:val="single" w:sz="5" w:space="0" w:color="000000"/>
              <w:bottom w:val="single" w:sz="5" w:space="0" w:color="000000"/>
              <w:right w:val="single" w:sz="5" w:space="0" w:color="000000"/>
            </w:tcBorders>
          </w:tcPr>
          <w:p w14:paraId="213638E5"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GC</w:t>
            </w:r>
            <w:proofErr w:type="spellEnd"/>
            <w:r>
              <w:rPr>
                <w:rFonts w:ascii="Times New Roman" w:hAnsi="Times New Roman"/>
                <w:i/>
                <w:iCs/>
                <w:sz w:val="24"/>
              </w:rPr>
              <w:t>-MS</w:t>
            </w:r>
          </w:p>
        </w:tc>
        <w:tc>
          <w:tcPr>
            <w:tcW w:w="1225" w:type="pct"/>
            <w:tcBorders>
              <w:top w:val="single" w:sz="5" w:space="0" w:color="000000"/>
              <w:left w:val="single" w:sz="5" w:space="0" w:color="000000"/>
              <w:bottom w:val="single" w:sz="5" w:space="0" w:color="000000"/>
              <w:right w:val="single" w:sz="5" w:space="0" w:color="000000"/>
            </w:tcBorders>
          </w:tcPr>
          <w:p w14:paraId="3831749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grunts/notekūdeņi</w:t>
            </w:r>
          </w:p>
        </w:tc>
        <w:tc>
          <w:tcPr>
            <w:tcW w:w="1240" w:type="pct"/>
            <w:tcBorders>
              <w:top w:val="single" w:sz="5" w:space="0" w:color="000000"/>
              <w:left w:val="single" w:sz="5" w:space="0" w:color="000000"/>
              <w:bottom w:val="single" w:sz="5" w:space="0" w:color="000000"/>
              <w:right w:val="single" w:sz="5" w:space="0" w:color="000000"/>
            </w:tcBorders>
          </w:tcPr>
          <w:p w14:paraId="5C51D489"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1 </w:t>
            </w:r>
            <w:proofErr w:type="spellStart"/>
            <w:r>
              <w:rPr>
                <w:rFonts w:ascii="Times New Roman" w:hAnsi="Times New Roman"/>
                <w:sz w:val="24"/>
              </w:rPr>
              <w:t>SRM</w:t>
            </w:r>
            <w:proofErr w:type="spellEnd"/>
            <w:r>
              <w:rPr>
                <w:rFonts w:ascii="Times New Roman" w:hAnsi="Times New Roman"/>
                <w:sz w:val="24"/>
              </w:rPr>
              <w:t xml:space="preserve">; 2 </w:t>
            </w:r>
            <w:proofErr w:type="spellStart"/>
            <w:r>
              <w:rPr>
                <w:rFonts w:ascii="Times New Roman" w:hAnsi="Times New Roman"/>
                <w:sz w:val="24"/>
              </w:rPr>
              <w:t>PP</w:t>
            </w:r>
            <w:proofErr w:type="spellEnd"/>
          </w:p>
        </w:tc>
      </w:tr>
      <w:tr w:rsidR="00605273" w:rsidRPr="00605273" w14:paraId="52B2BBC1" w14:textId="77777777" w:rsidTr="009C4FC9">
        <w:tc>
          <w:tcPr>
            <w:tcW w:w="470" w:type="pct"/>
            <w:tcBorders>
              <w:top w:val="single" w:sz="5" w:space="0" w:color="000000"/>
              <w:left w:val="single" w:sz="5" w:space="0" w:color="000000"/>
              <w:bottom w:val="single" w:sz="5" w:space="0" w:color="000000"/>
              <w:right w:val="single" w:sz="5" w:space="0" w:color="000000"/>
            </w:tcBorders>
          </w:tcPr>
          <w:p w14:paraId="009293A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2</w:t>
            </w:r>
          </w:p>
        </w:tc>
        <w:tc>
          <w:tcPr>
            <w:tcW w:w="1053" w:type="pct"/>
            <w:tcBorders>
              <w:top w:val="single" w:sz="5" w:space="0" w:color="000000"/>
              <w:left w:val="single" w:sz="5" w:space="0" w:color="000000"/>
              <w:bottom w:val="single" w:sz="5" w:space="0" w:color="000000"/>
              <w:right w:val="single" w:sz="5" w:space="0" w:color="000000"/>
            </w:tcBorders>
          </w:tcPr>
          <w:p w14:paraId="12362204"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PAM</w:t>
            </w:r>
            <w:proofErr w:type="spellEnd"/>
          </w:p>
        </w:tc>
        <w:tc>
          <w:tcPr>
            <w:tcW w:w="1011" w:type="pct"/>
            <w:tcBorders>
              <w:top w:val="single" w:sz="5" w:space="0" w:color="000000"/>
              <w:left w:val="single" w:sz="5" w:space="0" w:color="000000"/>
              <w:bottom w:val="single" w:sz="5" w:space="0" w:color="000000"/>
              <w:right w:val="single" w:sz="5" w:space="0" w:color="000000"/>
            </w:tcBorders>
          </w:tcPr>
          <w:p w14:paraId="41C3B278"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GC</w:t>
            </w:r>
            <w:proofErr w:type="spellEnd"/>
            <w:r>
              <w:rPr>
                <w:rFonts w:ascii="Times New Roman" w:hAnsi="Times New Roman"/>
                <w:i/>
                <w:iCs/>
                <w:sz w:val="24"/>
              </w:rPr>
              <w:t>-MS</w:t>
            </w:r>
          </w:p>
        </w:tc>
        <w:tc>
          <w:tcPr>
            <w:tcW w:w="1225" w:type="pct"/>
            <w:tcBorders>
              <w:top w:val="single" w:sz="5" w:space="0" w:color="000000"/>
              <w:left w:val="single" w:sz="5" w:space="0" w:color="000000"/>
              <w:bottom w:val="single" w:sz="5" w:space="0" w:color="000000"/>
              <w:right w:val="single" w:sz="5" w:space="0" w:color="000000"/>
            </w:tcBorders>
          </w:tcPr>
          <w:p w14:paraId="0BA281B9"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grunts/notekūdeņi</w:t>
            </w:r>
          </w:p>
        </w:tc>
        <w:tc>
          <w:tcPr>
            <w:tcW w:w="1240" w:type="pct"/>
            <w:tcBorders>
              <w:top w:val="single" w:sz="5" w:space="0" w:color="000000"/>
              <w:left w:val="single" w:sz="5" w:space="0" w:color="000000"/>
              <w:bottom w:val="single" w:sz="5" w:space="0" w:color="000000"/>
              <w:right w:val="single" w:sz="5" w:space="0" w:color="000000"/>
            </w:tcBorders>
          </w:tcPr>
          <w:p w14:paraId="7457430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1 </w:t>
            </w:r>
            <w:proofErr w:type="spellStart"/>
            <w:r>
              <w:rPr>
                <w:rFonts w:ascii="Times New Roman" w:hAnsi="Times New Roman"/>
                <w:sz w:val="24"/>
              </w:rPr>
              <w:t>SRM</w:t>
            </w:r>
            <w:proofErr w:type="spellEnd"/>
            <w:r>
              <w:rPr>
                <w:rFonts w:ascii="Times New Roman" w:hAnsi="Times New Roman"/>
                <w:sz w:val="24"/>
              </w:rPr>
              <w:t xml:space="preserve">; 2 </w:t>
            </w:r>
            <w:proofErr w:type="spellStart"/>
            <w:r>
              <w:rPr>
                <w:rFonts w:ascii="Times New Roman" w:hAnsi="Times New Roman"/>
                <w:sz w:val="24"/>
              </w:rPr>
              <w:t>PP</w:t>
            </w:r>
            <w:proofErr w:type="spellEnd"/>
          </w:p>
        </w:tc>
      </w:tr>
      <w:tr w:rsidR="00605273" w:rsidRPr="00605273" w14:paraId="63495E82" w14:textId="77777777" w:rsidTr="009C4FC9">
        <w:tc>
          <w:tcPr>
            <w:tcW w:w="470" w:type="pct"/>
            <w:tcBorders>
              <w:top w:val="single" w:sz="5" w:space="0" w:color="000000"/>
              <w:left w:val="single" w:sz="5" w:space="0" w:color="000000"/>
              <w:bottom w:val="single" w:sz="5" w:space="0" w:color="000000"/>
              <w:right w:val="single" w:sz="5" w:space="0" w:color="000000"/>
            </w:tcBorders>
          </w:tcPr>
          <w:p w14:paraId="2DD9CA1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3</w:t>
            </w:r>
          </w:p>
        </w:tc>
        <w:tc>
          <w:tcPr>
            <w:tcW w:w="1053" w:type="pct"/>
            <w:tcBorders>
              <w:top w:val="single" w:sz="5" w:space="0" w:color="000000"/>
              <w:left w:val="single" w:sz="5" w:space="0" w:color="000000"/>
              <w:bottom w:val="single" w:sz="5" w:space="0" w:color="000000"/>
              <w:right w:val="single" w:sz="5" w:space="0" w:color="000000"/>
            </w:tcBorders>
          </w:tcPr>
          <w:p w14:paraId="172A61D8"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GOS</w:t>
            </w:r>
            <w:proofErr w:type="spellEnd"/>
          </w:p>
        </w:tc>
        <w:tc>
          <w:tcPr>
            <w:tcW w:w="1011" w:type="pct"/>
            <w:tcBorders>
              <w:top w:val="single" w:sz="5" w:space="0" w:color="000000"/>
              <w:left w:val="single" w:sz="5" w:space="0" w:color="000000"/>
              <w:bottom w:val="single" w:sz="5" w:space="0" w:color="000000"/>
              <w:right w:val="single" w:sz="5" w:space="0" w:color="000000"/>
            </w:tcBorders>
          </w:tcPr>
          <w:p w14:paraId="4FF8699E"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GC</w:t>
            </w:r>
            <w:proofErr w:type="spellEnd"/>
            <w:r>
              <w:rPr>
                <w:rFonts w:ascii="Times New Roman" w:hAnsi="Times New Roman"/>
                <w:i/>
                <w:iCs/>
                <w:sz w:val="24"/>
              </w:rPr>
              <w:t>-MS</w:t>
            </w:r>
          </w:p>
        </w:tc>
        <w:tc>
          <w:tcPr>
            <w:tcW w:w="1225" w:type="pct"/>
            <w:tcBorders>
              <w:top w:val="single" w:sz="5" w:space="0" w:color="000000"/>
              <w:left w:val="single" w:sz="5" w:space="0" w:color="000000"/>
              <w:bottom w:val="single" w:sz="5" w:space="0" w:color="000000"/>
              <w:right w:val="single" w:sz="5" w:space="0" w:color="000000"/>
            </w:tcBorders>
          </w:tcPr>
          <w:p w14:paraId="07F8BD8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ūdens</w:t>
            </w:r>
          </w:p>
        </w:tc>
        <w:tc>
          <w:tcPr>
            <w:tcW w:w="1240" w:type="pct"/>
            <w:tcBorders>
              <w:top w:val="single" w:sz="5" w:space="0" w:color="000000"/>
              <w:left w:val="single" w:sz="5" w:space="0" w:color="000000"/>
              <w:bottom w:val="single" w:sz="5" w:space="0" w:color="000000"/>
              <w:right w:val="single" w:sz="5" w:space="0" w:color="000000"/>
            </w:tcBorders>
          </w:tcPr>
          <w:p w14:paraId="6C8C73F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4 </w:t>
            </w:r>
            <w:proofErr w:type="spellStart"/>
            <w:r>
              <w:rPr>
                <w:rFonts w:ascii="Times New Roman" w:hAnsi="Times New Roman"/>
                <w:sz w:val="24"/>
              </w:rPr>
              <w:t>PP</w:t>
            </w:r>
            <w:proofErr w:type="spellEnd"/>
            <w:r>
              <w:rPr>
                <w:rFonts w:ascii="Times New Roman" w:hAnsi="Times New Roman"/>
                <w:sz w:val="24"/>
              </w:rPr>
              <w:t>, visi tehniķi</w:t>
            </w:r>
          </w:p>
        </w:tc>
      </w:tr>
      <w:tr w:rsidR="00605273" w:rsidRPr="00605273" w14:paraId="3D832848" w14:textId="77777777" w:rsidTr="009C4FC9">
        <w:tc>
          <w:tcPr>
            <w:tcW w:w="470" w:type="pct"/>
            <w:tcBorders>
              <w:top w:val="single" w:sz="5" w:space="0" w:color="000000"/>
              <w:left w:val="single" w:sz="5" w:space="0" w:color="000000"/>
              <w:bottom w:val="single" w:sz="5" w:space="0" w:color="000000"/>
              <w:right w:val="single" w:sz="5" w:space="0" w:color="000000"/>
            </w:tcBorders>
          </w:tcPr>
          <w:p w14:paraId="10BB9FA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4</w:t>
            </w:r>
          </w:p>
        </w:tc>
        <w:tc>
          <w:tcPr>
            <w:tcW w:w="1053" w:type="pct"/>
            <w:tcBorders>
              <w:top w:val="single" w:sz="5" w:space="0" w:color="000000"/>
              <w:left w:val="single" w:sz="5" w:space="0" w:color="000000"/>
              <w:bottom w:val="single" w:sz="5" w:space="0" w:color="000000"/>
              <w:right w:val="single" w:sz="5" w:space="0" w:color="000000"/>
            </w:tcBorders>
          </w:tcPr>
          <w:p w14:paraId="08E7CDB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metāls</w:t>
            </w:r>
          </w:p>
        </w:tc>
        <w:tc>
          <w:tcPr>
            <w:tcW w:w="1011" w:type="pct"/>
            <w:tcBorders>
              <w:top w:val="single" w:sz="5" w:space="0" w:color="000000"/>
              <w:left w:val="single" w:sz="5" w:space="0" w:color="000000"/>
              <w:bottom w:val="single" w:sz="5" w:space="0" w:color="000000"/>
              <w:right w:val="single" w:sz="5" w:space="0" w:color="000000"/>
            </w:tcBorders>
          </w:tcPr>
          <w:p w14:paraId="3FCC94DE"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ICP</w:t>
            </w:r>
            <w:proofErr w:type="spellEnd"/>
            <w:r>
              <w:rPr>
                <w:rFonts w:ascii="Times New Roman" w:hAnsi="Times New Roman"/>
                <w:i/>
                <w:iCs/>
                <w:sz w:val="24"/>
              </w:rPr>
              <w:t>-MS</w:t>
            </w:r>
          </w:p>
        </w:tc>
        <w:tc>
          <w:tcPr>
            <w:tcW w:w="1225" w:type="pct"/>
            <w:tcBorders>
              <w:top w:val="single" w:sz="5" w:space="0" w:color="000000"/>
              <w:left w:val="single" w:sz="5" w:space="0" w:color="000000"/>
              <w:bottom w:val="single" w:sz="5" w:space="0" w:color="000000"/>
              <w:right w:val="single" w:sz="5" w:space="0" w:color="000000"/>
            </w:tcBorders>
          </w:tcPr>
          <w:p w14:paraId="2677CDE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grunts/notekūdeņi</w:t>
            </w:r>
          </w:p>
        </w:tc>
        <w:tc>
          <w:tcPr>
            <w:tcW w:w="1240" w:type="pct"/>
            <w:tcBorders>
              <w:top w:val="single" w:sz="5" w:space="0" w:color="000000"/>
              <w:left w:val="single" w:sz="5" w:space="0" w:color="000000"/>
              <w:bottom w:val="single" w:sz="5" w:space="0" w:color="000000"/>
              <w:right w:val="single" w:sz="5" w:space="0" w:color="000000"/>
            </w:tcBorders>
          </w:tcPr>
          <w:p w14:paraId="5D222AA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4 </w:t>
            </w:r>
            <w:proofErr w:type="spellStart"/>
            <w:r>
              <w:rPr>
                <w:rFonts w:ascii="Times New Roman" w:hAnsi="Times New Roman"/>
                <w:sz w:val="24"/>
              </w:rPr>
              <w:t>PP</w:t>
            </w:r>
            <w:proofErr w:type="spellEnd"/>
            <w:r>
              <w:rPr>
                <w:rFonts w:ascii="Times New Roman" w:hAnsi="Times New Roman"/>
                <w:sz w:val="24"/>
              </w:rPr>
              <w:t>, 1</w:t>
            </w:r>
          </w:p>
          <w:p w14:paraId="02CAEA17"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tehniķis/</w:t>
            </w:r>
            <w:proofErr w:type="spellStart"/>
            <w:r>
              <w:rPr>
                <w:rFonts w:ascii="Times New Roman" w:hAnsi="Times New Roman"/>
                <w:sz w:val="24"/>
              </w:rPr>
              <w:t>PP</w:t>
            </w:r>
            <w:proofErr w:type="spellEnd"/>
          </w:p>
        </w:tc>
      </w:tr>
      <w:tr w:rsidR="00605273" w:rsidRPr="00605273" w14:paraId="75E5CD8C" w14:textId="77777777" w:rsidTr="009C4FC9">
        <w:tc>
          <w:tcPr>
            <w:tcW w:w="470" w:type="pct"/>
            <w:tcBorders>
              <w:top w:val="single" w:sz="5" w:space="0" w:color="000000"/>
              <w:left w:val="single" w:sz="5" w:space="0" w:color="000000"/>
              <w:bottom w:val="single" w:sz="5" w:space="0" w:color="000000"/>
              <w:right w:val="single" w:sz="5" w:space="0" w:color="000000"/>
            </w:tcBorders>
          </w:tcPr>
          <w:p w14:paraId="6BAD274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5</w:t>
            </w:r>
          </w:p>
        </w:tc>
        <w:tc>
          <w:tcPr>
            <w:tcW w:w="1053" w:type="pct"/>
            <w:tcBorders>
              <w:top w:val="single" w:sz="5" w:space="0" w:color="000000"/>
              <w:left w:val="single" w:sz="5" w:space="0" w:color="000000"/>
              <w:bottom w:val="single" w:sz="5" w:space="0" w:color="000000"/>
              <w:right w:val="single" w:sz="5" w:space="0" w:color="000000"/>
            </w:tcBorders>
          </w:tcPr>
          <w:p w14:paraId="6CC8A67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metāls</w:t>
            </w:r>
          </w:p>
        </w:tc>
        <w:tc>
          <w:tcPr>
            <w:tcW w:w="1011" w:type="pct"/>
            <w:tcBorders>
              <w:top w:val="single" w:sz="5" w:space="0" w:color="000000"/>
              <w:left w:val="single" w:sz="5" w:space="0" w:color="000000"/>
              <w:bottom w:val="single" w:sz="5" w:space="0" w:color="000000"/>
              <w:right w:val="single" w:sz="5" w:space="0" w:color="000000"/>
            </w:tcBorders>
          </w:tcPr>
          <w:p w14:paraId="68A6C46C"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ICP</w:t>
            </w:r>
            <w:proofErr w:type="spellEnd"/>
            <w:r>
              <w:rPr>
                <w:rFonts w:ascii="Times New Roman" w:hAnsi="Times New Roman"/>
                <w:i/>
                <w:iCs/>
                <w:sz w:val="24"/>
              </w:rPr>
              <w:t>-MS</w:t>
            </w:r>
          </w:p>
        </w:tc>
        <w:tc>
          <w:tcPr>
            <w:tcW w:w="1225" w:type="pct"/>
            <w:tcBorders>
              <w:top w:val="single" w:sz="5" w:space="0" w:color="000000"/>
              <w:left w:val="single" w:sz="5" w:space="0" w:color="000000"/>
              <w:bottom w:val="single" w:sz="5" w:space="0" w:color="000000"/>
              <w:right w:val="single" w:sz="5" w:space="0" w:color="000000"/>
            </w:tcBorders>
          </w:tcPr>
          <w:p w14:paraId="60CA4F0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ūdens</w:t>
            </w:r>
          </w:p>
        </w:tc>
        <w:tc>
          <w:tcPr>
            <w:tcW w:w="1240" w:type="pct"/>
            <w:tcBorders>
              <w:top w:val="single" w:sz="5" w:space="0" w:color="000000"/>
              <w:left w:val="single" w:sz="5" w:space="0" w:color="000000"/>
              <w:bottom w:val="single" w:sz="5" w:space="0" w:color="000000"/>
              <w:right w:val="single" w:sz="5" w:space="0" w:color="000000"/>
            </w:tcBorders>
          </w:tcPr>
          <w:p w14:paraId="4C47B489"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4 </w:t>
            </w:r>
            <w:proofErr w:type="spellStart"/>
            <w:r>
              <w:rPr>
                <w:rFonts w:ascii="Times New Roman" w:hAnsi="Times New Roman"/>
                <w:sz w:val="24"/>
              </w:rPr>
              <w:t>PP</w:t>
            </w:r>
            <w:proofErr w:type="spellEnd"/>
          </w:p>
        </w:tc>
      </w:tr>
      <w:tr w:rsidR="00605273" w:rsidRPr="00605273" w14:paraId="5075A4DA" w14:textId="77777777" w:rsidTr="009C4FC9">
        <w:tc>
          <w:tcPr>
            <w:tcW w:w="470" w:type="pct"/>
            <w:tcBorders>
              <w:top w:val="single" w:sz="5" w:space="0" w:color="000000"/>
              <w:left w:val="single" w:sz="5" w:space="0" w:color="000000"/>
              <w:bottom w:val="single" w:sz="5" w:space="0" w:color="000000"/>
              <w:right w:val="single" w:sz="5" w:space="0" w:color="000000"/>
            </w:tcBorders>
          </w:tcPr>
          <w:p w14:paraId="0C0B75A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6</w:t>
            </w:r>
          </w:p>
        </w:tc>
        <w:tc>
          <w:tcPr>
            <w:tcW w:w="1053" w:type="pct"/>
            <w:tcBorders>
              <w:top w:val="single" w:sz="5" w:space="0" w:color="000000"/>
              <w:left w:val="single" w:sz="5" w:space="0" w:color="000000"/>
              <w:bottom w:val="single" w:sz="5" w:space="0" w:color="000000"/>
              <w:right w:val="single" w:sz="5" w:space="0" w:color="000000"/>
            </w:tcBorders>
          </w:tcPr>
          <w:p w14:paraId="2EACB8C5"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pH</w:t>
            </w:r>
            <w:proofErr w:type="spellEnd"/>
          </w:p>
        </w:tc>
        <w:tc>
          <w:tcPr>
            <w:tcW w:w="1011" w:type="pct"/>
            <w:tcBorders>
              <w:top w:val="single" w:sz="5" w:space="0" w:color="000000"/>
              <w:left w:val="single" w:sz="5" w:space="0" w:color="000000"/>
              <w:bottom w:val="single" w:sz="5" w:space="0" w:color="000000"/>
              <w:right w:val="single" w:sz="5" w:space="0" w:color="000000"/>
            </w:tcBorders>
          </w:tcPr>
          <w:p w14:paraId="33392D24" w14:textId="77777777" w:rsidR="00605273" w:rsidRPr="00605273" w:rsidRDefault="00605273" w:rsidP="009C4FC9">
            <w:pPr>
              <w:jc w:val="both"/>
              <w:rPr>
                <w:rFonts w:ascii="Times New Roman" w:hAnsi="Times New Roman" w:cs="Times New Roman"/>
                <w:noProof/>
                <w:sz w:val="24"/>
                <w:szCs w:val="24"/>
              </w:rPr>
            </w:pPr>
          </w:p>
        </w:tc>
        <w:tc>
          <w:tcPr>
            <w:tcW w:w="1225" w:type="pct"/>
            <w:tcBorders>
              <w:top w:val="single" w:sz="5" w:space="0" w:color="000000"/>
              <w:left w:val="single" w:sz="5" w:space="0" w:color="000000"/>
              <w:bottom w:val="single" w:sz="5" w:space="0" w:color="000000"/>
              <w:right w:val="single" w:sz="5" w:space="0" w:color="000000"/>
            </w:tcBorders>
          </w:tcPr>
          <w:p w14:paraId="3385942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grunts/notekūdeņi/ūdens</w:t>
            </w:r>
          </w:p>
        </w:tc>
        <w:tc>
          <w:tcPr>
            <w:tcW w:w="1240" w:type="pct"/>
            <w:tcBorders>
              <w:top w:val="single" w:sz="5" w:space="0" w:color="000000"/>
              <w:left w:val="single" w:sz="5" w:space="0" w:color="000000"/>
              <w:bottom w:val="single" w:sz="5" w:space="0" w:color="000000"/>
              <w:right w:val="single" w:sz="5" w:space="0" w:color="000000"/>
            </w:tcBorders>
          </w:tcPr>
          <w:p w14:paraId="26922A8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1 </w:t>
            </w:r>
            <w:proofErr w:type="spellStart"/>
            <w:r>
              <w:rPr>
                <w:rFonts w:ascii="Times New Roman" w:hAnsi="Times New Roman"/>
                <w:sz w:val="24"/>
              </w:rPr>
              <w:t>PP</w:t>
            </w:r>
            <w:proofErr w:type="spellEnd"/>
          </w:p>
        </w:tc>
      </w:tr>
    </w:tbl>
    <w:p w14:paraId="4C42210D" w14:textId="77777777" w:rsidR="00605273" w:rsidRPr="00605273" w:rsidRDefault="00605273" w:rsidP="00605273">
      <w:pPr>
        <w:jc w:val="both"/>
        <w:rPr>
          <w:rFonts w:ascii="Times New Roman" w:eastAsia="Arial" w:hAnsi="Times New Roman" w:cs="Times New Roman"/>
          <w:noProof/>
          <w:sz w:val="24"/>
          <w:szCs w:val="24"/>
        </w:rPr>
      </w:pPr>
    </w:p>
    <w:p w14:paraId="1FFAD21B" w14:textId="77777777" w:rsidR="00605273" w:rsidRPr="00605273" w:rsidRDefault="00605273" w:rsidP="00605273">
      <w:pPr>
        <w:rPr>
          <w:rFonts w:ascii="Times New Roman" w:eastAsia="Arial" w:hAnsi="Times New Roman" w:cs="Times New Roman"/>
          <w:b/>
          <w:bCs/>
          <w:noProof/>
          <w:sz w:val="24"/>
          <w:szCs w:val="24"/>
        </w:rPr>
      </w:pPr>
      <w:r>
        <w:br w:type="page"/>
      </w:r>
    </w:p>
    <w:p w14:paraId="745B1C3D" w14:textId="77777777" w:rsidR="00605273" w:rsidRPr="00605273" w:rsidRDefault="00605273" w:rsidP="00605273">
      <w:pPr>
        <w:jc w:val="both"/>
        <w:rPr>
          <w:rFonts w:ascii="Times New Roman" w:eastAsia="Arial" w:hAnsi="Times New Roman" w:cs="Times New Roman"/>
          <w:b/>
          <w:bCs/>
          <w:noProof/>
          <w:sz w:val="24"/>
          <w:szCs w:val="24"/>
        </w:rPr>
      </w:pPr>
    </w:p>
    <w:p w14:paraId="66574678" w14:textId="77777777" w:rsidR="00605273" w:rsidRPr="00605273" w:rsidRDefault="00605273" w:rsidP="00A66008">
      <w:pPr>
        <w:pStyle w:val="Heading2"/>
      </w:pPr>
      <w:bookmarkStart w:id="14" w:name="_Toc120022459"/>
      <w:r>
        <w:t>2. situācijas analīze. Mikrobioloģijas testēšanas laboratorija</w:t>
      </w:r>
      <w:bookmarkStart w:id="15" w:name="_bookmark7"/>
      <w:bookmarkEnd w:id="15"/>
      <w:bookmarkEnd w:id="14"/>
    </w:p>
    <w:p w14:paraId="3D37629A" w14:textId="77777777" w:rsidR="00605273" w:rsidRPr="00605273" w:rsidRDefault="00605273" w:rsidP="00605273">
      <w:pPr>
        <w:jc w:val="both"/>
        <w:rPr>
          <w:rFonts w:ascii="Times New Roman" w:eastAsia="Arial" w:hAnsi="Times New Roman" w:cs="Times New Roman"/>
          <w:b/>
          <w:bCs/>
          <w:noProof/>
          <w:sz w:val="24"/>
          <w:szCs w:val="24"/>
        </w:rPr>
      </w:pPr>
    </w:p>
    <w:p w14:paraId="10CE9533" w14:textId="77777777" w:rsidR="00605273" w:rsidRPr="00605273" w:rsidRDefault="00605273" w:rsidP="00605273">
      <w:pPr>
        <w:pStyle w:val="BodyText"/>
        <w:rPr>
          <w:b/>
          <w:bCs/>
        </w:rPr>
      </w:pPr>
      <w:r>
        <w:rPr>
          <w:b/>
        </w:rPr>
        <w:t>Akreditētie mērījumi, ko veic laboratorija</w:t>
      </w:r>
    </w:p>
    <w:p w14:paraId="603E848A" w14:textId="77777777" w:rsidR="00605273" w:rsidRPr="00605273" w:rsidRDefault="00605273" w:rsidP="00605273">
      <w:pPr>
        <w:jc w:val="both"/>
        <w:rPr>
          <w:rFonts w:ascii="Times New Roman" w:eastAsia="Arial" w:hAnsi="Times New Roman" w:cs="Times New Roman"/>
          <w:b/>
          <w:bCs/>
          <w:noProof/>
          <w:sz w:val="24"/>
          <w:szCs w:val="24"/>
        </w:rPr>
      </w:pPr>
    </w:p>
    <w:p w14:paraId="596F991E" w14:textId="77777777" w:rsidR="00605273" w:rsidRPr="00605273" w:rsidRDefault="00605273" w:rsidP="00605273">
      <w:pPr>
        <w:pStyle w:val="BodyText"/>
        <w:numPr>
          <w:ilvl w:val="0"/>
          <w:numId w:val="2"/>
        </w:numPr>
        <w:tabs>
          <w:tab w:val="left" w:pos="567"/>
        </w:tabs>
        <w:ind w:left="0" w:firstLine="0"/>
      </w:pPr>
      <w:r>
        <w:rPr>
          <w:i/>
        </w:rPr>
        <w:t>Escherichia coli</w:t>
      </w:r>
      <w:r>
        <w:t xml:space="preserve"> uzskaite gaļā</w:t>
      </w:r>
    </w:p>
    <w:p w14:paraId="2951FED3" w14:textId="77777777" w:rsidR="00605273" w:rsidRPr="00605273" w:rsidRDefault="00605273" w:rsidP="00605273">
      <w:pPr>
        <w:pStyle w:val="BodyText"/>
        <w:numPr>
          <w:ilvl w:val="0"/>
          <w:numId w:val="2"/>
        </w:numPr>
        <w:tabs>
          <w:tab w:val="left" w:pos="567"/>
        </w:tabs>
        <w:ind w:left="0" w:firstLine="0"/>
      </w:pPr>
      <w:r>
        <w:rPr>
          <w:i/>
        </w:rPr>
        <w:t>Salmonella</w:t>
      </w:r>
      <w:r>
        <w:t xml:space="preserve"> noteikšana gaļā</w:t>
      </w:r>
    </w:p>
    <w:p w14:paraId="49A99FD8" w14:textId="77777777" w:rsidR="00605273" w:rsidRPr="00605273" w:rsidRDefault="00605273" w:rsidP="00605273">
      <w:pPr>
        <w:pStyle w:val="BodyText"/>
        <w:numPr>
          <w:ilvl w:val="0"/>
          <w:numId w:val="2"/>
        </w:numPr>
        <w:tabs>
          <w:tab w:val="left" w:pos="567"/>
        </w:tabs>
        <w:ind w:left="0" w:firstLine="0"/>
      </w:pPr>
      <w:r>
        <w:rPr>
          <w:i/>
        </w:rPr>
        <w:t xml:space="preserve">Escherichia coli </w:t>
      </w:r>
      <w:r>
        <w:t>uzskaite dārzeņos</w:t>
      </w:r>
    </w:p>
    <w:p w14:paraId="0B660E58" w14:textId="77777777" w:rsidR="00605273" w:rsidRPr="00605273" w:rsidRDefault="00605273" w:rsidP="00605273">
      <w:pPr>
        <w:pStyle w:val="BodyText"/>
        <w:numPr>
          <w:ilvl w:val="0"/>
          <w:numId w:val="2"/>
        </w:numPr>
        <w:tabs>
          <w:tab w:val="left" w:pos="567"/>
        </w:tabs>
        <w:ind w:left="0" w:firstLine="0"/>
      </w:pPr>
      <w:r>
        <w:rPr>
          <w:i/>
        </w:rPr>
        <w:t>Salmonella</w:t>
      </w:r>
      <w:r>
        <w:t xml:space="preserve"> noteikšana dārzeņos</w:t>
      </w:r>
    </w:p>
    <w:p w14:paraId="6540F685" w14:textId="77777777" w:rsidR="00605273" w:rsidRPr="00605273" w:rsidRDefault="00605273" w:rsidP="00605273">
      <w:pPr>
        <w:pStyle w:val="BodyText"/>
        <w:numPr>
          <w:ilvl w:val="0"/>
          <w:numId w:val="2"/>
        </w:numPr>
        <w:tabs>
          <w:tab w:val="left" w:pos="567"/>
        </w:tabs>
        <w:ind w:left="0" w:firstLine="0"/>
      </w:pPr>
      <w:r>
        <w:rPr>
          <w:i/>
        </w:rPr>
        <w:t>Escherichia coli</w:t>
      </w:r>
      <w:r>
        <w:t xml:space="preserve"> uzskaite piena produktos</w:t>
      </w:r>
    </w:p>
    <w:p w14:paraId="083E4122" w14:textId="77777777" w:rsidR="00605273" w:rsidRPr="00605273" w:rsidRDefault="00605273" w:rsidP="00605273">
      <w:pPr>
        <w:pStyle w:val="BodyText"/>
        <w:numPr>
          <w:ilvl w:val="0"/>
          <w:numId w:val="2"/>
        </w:numPr>
        <w:tabs>
          <w:tab w:val="left" w:pos="567"/>
        </w:tabs>
        <w:ind w:left="0" w:firstLine="0"/>
      </w:pPr>
      <w:r>
        <w:rPr>
          <w:i/>
        </w:rPr>
        <w:t xml:space="preserve">Escherichia coli </w:t>
      </w:r>
      <w:r>
        <w:t>uzskaite dzeramajā ūdenī</w:t>
      </w:r>
    </w:p>
    <w:p w14:paraId="57556FA5" w14:textId="77777777" w:rsidR="00605273" w:rsidRPr="00605273" w:rsidRDefault="00605273" w:rsidP="00605273">
      <w:pPr>
        <w:pStyle w:val="BodyText"/>
        <w:numPr>
          <w:ilvl w:val="0"/>
          <w:numId w:val="2"/>
        </w:numPr>
        <w:tabs>
          <w:tab w:val="left" w:pos="567"/>
        </w:tabs>
        <w:ind w:left="0" w:firstLine="0"/>
      </w:pPr>
      <w:r>
        <w:rPr>
          <w:i/>
        </w:rPr>
        <w:t xml:space="preserve">Escherichia coli </w:t>
      </w:r>
      <w:r>
        <w:t>uzskaite peldbaseinu ūdenī</w:t>
      </w:r>
    </w:p>
    <w:p w14:paraId="03A8F2EC" w14:textId="77777777" w:rsidR="00605273" w:rsidRPr="00605273" w:rsidRDefault="00605273" w:rsidP="00605273">
      <w:pPr>
        <w:jc w:val="both"/>
        <w:rPr>
          <w:rFonts w:ascii="Times New Roman" w:eastAsia="Arial" w:hAnsi="Times New Roman" w:cs="Times New Roman"/>
          <w:noProof/>
          <w:sz w:val="24"/>
          <w:szCs w:val="24"/>
        </w:rPr>
      </w:pPr>
    </w:p>
    <w:p w14:paraId="037C0362" w14:textId="77777777" w:rsidR="00605273" w:rsidRPr="00605273" w:rsidRDefault="00605273" w:rsidP="00605273">
      <w:pPr>
        <w:pStyle w:val="BodyText"/>
        <w:rPr>
          <w:b/>
          <w:bCs/>
        </w:rPr>
      </w:pPr>
      <w:r>
        <w:rPr>
          <w:b/>
        </w:rPr>
        <w:t>Tehniskās kompetences jomu noteikšanas apsvērumi</w:t>
      </w:r>
    </w:p>
    <w:p w14:paraId="479A6A31" w14:textId="77777777" w:rsidR="00605273" w:rsidRPr="00605273" w:rsidRDefault="00605273" w:rsidP="00605273">
      <w:pPr>
        <w:jc w:val="both"/>
        <w:rPr>
          <w:rFonts w:ascii="Times New Roman" w:eastAsia="Arial" w:hAnsi="Times New Roman" w:cs="Times New Roman"/>
          <w:b/>
          <w:bCs/>
          <w:noProof/>
          <w:sz w:val="24"/>
          <w:szCs w:val="24"/>
        </w:rPr>
      </w:pPr>
    </w:p>
    <w:p w14:paraId="09E8BE5C" w14:textId="77777777" w:rsidR="00605273" w:rsidRPr="00605273" w:rsidRDefault="00605273" w:rsidP="00605273">
      <w:pPr>
        <w:pStyle w:val="BodyText"/>
        <w:numPr>
          <w:ilvl w:val="0"/>
          <w:numId w:val="2"/>
        </w:numPr>
        <w:tabs>
          <w:tab w:val="left" w:pos="567"/>
        </w:tabs>
        <w:ind w:left="0" w:firstLine="0"/>
      </w:pPr>
      <w:r>
        <w:t xml:space="preserve">Attiecībā uz </w:t>
      </w:r>
      <w:r>
        <w:rPr>
          <w:i/>
        </w:rPr>
        <w:t>Escherichia coli</w:t>
      </w:r>
      <w:r>
        <w:t xml:space="preserve"> uzskaiti laboratorija norāda, ka tā izmanto vienu metodi gaļas un dārzeņu paraugu analīzei. Šī metode ir validēta šiem diviem parauga matricas veidiem, tāpēc laboratorija to norāda kā vienu tehniskās kompetences jomu. Tā kā šī metode nav validēta piena produktu analīzei, laboratorija izmanto citu metodi šīm parauga matricām. Tādējādi tiek norādīts, ka tā ir papildu tehniskās kompetences joma.</w:t>
      </w:r>
    </w:p>
    <w:p w14:paraId="40DB79C2" w14:textId="77777777" w:rsidR="00605273" w:rsidRPr="00605273" w:rsidRDefault="00605273" w:rsidP="00605273">
      <w:pPr>
        <w:jc w:val="both"/>
        <w:rPr>
          <w:rFonts w:ascii="Times New Roman" w:eastAsia="Arial" w:hAnsi="Times New Roman" w:cs="Times New Roman"/>
          <w:noProof/>
          <w:sz w:val="24"/>
          <w:szCs w:val="24"/>
        </w:rPr>
      </w:pPr>
    </w:p>
    <w:p w14:paraId="3EDAD301" w14:textId="77777777" w:rsidR="00605273" w:rsidRPr="00605273" w:rsidRDefault="00605273" w:rsidP="00605273">
      <w:pPr>
        <w:pStyle w:val="BodyText"/>
        <w:numPr>
          <w:ilvl w:val="0"/>
          <w:numId w:val="2"/>
        </w:numPr>
        <w:tabs>
          <w:tab w:val="left" w:pos="567"/>
        </w:tabs>
        <w:ind w:left="0" w:firstLine="0"/>
      </w:pPr>
      <w:r>
        <w:t xml:space="preserve">Metode, ko laboratorija izmanto </w:t>
      </w:r>
      <w:r>
        <w:rPr>
          <w:i/>
          <w:iCs/>
        </w:rPr>
        <w:t>Salmonella</w:t>
      </w:r>
      <w:r>
        <w:t xml:space="preserve"> noteikšanai, ir validēta gan gaļas, gan dārzeņu matricām, tāpēc laboratorija norāda, ka tā ir viena papildu tehniskās kompetences joma.</w:t>
      </w:r>
    </w:p>
    <w:p w14:paraId="6BDDAACC" w14:textId="77777777" w:rsidR="00605273" w:rsidRPr="00605273" w:rsidRDefault="00605273" w:rsidP="00605273">
      <w:pPr>
        <w:jc w:val="both"/>
        <w:rPr>
          <w:rFonts w:ascii="Times New Roman" w:eastAsia="Arial" w:hAnsi="Times New Roman" w:cs="Times New Roman"/>
          <w:noProof/>
          <w:sz w:val="24"/>
          <w:szCs w:val="24"/>
        </w:rPr>
      </w:pPr>
    </w:p>
    <w:p w14:paraId="31EE415B" w14:textId="77777777" w:rsidR="00605273" w:rsidRPr="00605273" w:rsidRDefault="00605273" w:rsidP="00605273">
      <w:pPr>
        <w:pStyle w:val="BodyText"/>
        <w:numPr>
          <w:ilvl w:val="0"/>
          <w:numId w:val="2"/>
        </w:numPr>
        <w:tabs>
          <w:tab w:val="left" w:pos="567"/>
        </w:tabs>
        <w:ind w:left="0" w:firstLine="0"/>
      </w:pPr>
      <w:r>
        <w:t xml:space="preserve">Attiecībā uz </w:t>
      </w:r>
      <w:r>
        <w:rPr>
          <w:i/>
          <w:iCs/>
        </w:rPr>
        <w:t>Escherichia Coli</w:t>
      </w:r>
      <w:r>
        <w:t xml:space="preserve"> uzskaiti ūdenī, lai arī paraugu vākšanai izmanto atšķirīgus paraugu ņemšanas un pirmapstrādes paņēmienus, izmantotā metode (kas atšķiras no pārtikas produktiem izmantotās metodes) ir validēta gan dzeramajam ūdenim, gan peldbaseinu ūdenim, tāpēc ir noteikts, ka tā ir viena papildu tehniskās kompetences joma.</w:t>
      </w:r>
    </w:p>
    <w:p w14:paraId="1C4E139B" w14:textId="77777777" w:rsidR="00605273" w:rsidRPr="00605273" w:rsidRDefault="00605273" w:rsidP="00605273">
      <w:pPr>
        <w:jc w:val="both"/>
        <w:rPr>
          <w:rFonts w:ascii="Times New Roman" w:eastAsia="Arial" w:hAnsi="Times New Roman" w:cs="Times New Roman"/>
          <w:noProof/>
          <w:sz w:val="24"/>
          <w:szCs w:val="24"/>
        </w:rPr>
      </w:pPr>
    </w:p>
    <w:p w14:paraId="7A52E916" w14:textId="77777777" w:rsidR="00605273" w:rsidRPr="00605273" w:rsidRDefault="00605273" w:rsidP="00605273">
      <w:pPr>
        <w:pStyle w:val="BodyText"/>
        <w:rPr>
          <w:b/>
          <w:bCs/>
        </w:rPr>
      </w:pPr>
      <w:r>
        <w:rPr>
          <w:b/>
        </w:rPr>
        <w:t>Šā uzdevuma rezultātā noteiktās tehniskās kompetences jomas</w:t>
      </w:r>
    </w:p>
    <w:p w14:paraId="59C4F1A5" w14:textId="77777777" w:rsidR="00605273" w:rsidRPr="00605273" w:rsidRDefault="00605273" w:rsidP="00605273">
      <w:pPr>
        <w:jc w:val="both"/>
        <w:rPr>
          <w:rFonts w:ascii="Times New Roman" w:eastAsia="Arial" w:hAnsi="Times New Roman" w:cs="Times New Roman"/>
          <w:b/>
          <w:bCs/>
          <w:noProof/>
          <w:sz w:val="24"/>
          <w:szCs w:val="24"/>
        </w:rPr>
      </w:pPr>
    </w:p>
    <w:p w14:paraId="73771C22" w14:textId="77777777" w:rsidR="00605273" w:rsidRPr="00605273" w:rsidRDefault="00605273" w:rsidP="00605273">
      <w:pPr>
        <w:pStyle w:val="BodyText"/>
        <w:numPr>
          <w:ilvl w:val="0"/>
          <w:numId w:val="2"/>
        </w:numPr>
        <w:tabs>
          <w:tab w:val="left" w:pos="567"/>
        </w:tabs>
        <w:ind w:left="0" w:firstLine="0"/>
      </w:pPr>
      <w:r>
        <w:rPr>
          <w:i/>
        </w:rPr>
        <w:t>Escherichia coli</w:t>
      </w:r>
      <w:r>
        <w:t xml:space="preserve"> uzskaite gaļā un dārzeņos</w:t>
      </w:r>
    </w:p>
    <w:p w14:paraId="3B7F3259" w14:textId="77777777" w:rsidR="00605273" w:rsidRPr="00605273" w:rsidRDefault="00605273" w:rsidP="00605273">
      <w:pPr>
        <w:pStyle w:val="BodyText"/>
        <w:numPr>
          <w:ilvl w:val="0"/>
          <w:numId w:val="2"/>
        </w:numPr>
        <w:tabs>
          <w:tab w:val="left" w:pos="567"/>
        </w:tabs>
        <w:ind w:left="0" w:firstLine="0"/>
      </w:pPr>
      <w:r>
        <w:rPr>
          <w:i/>
        </w:rPr>
        <w:t>Escherichia coli</w:t>
      </w:r>
      <w:r>
        <w:t xml:space="preserve"> uzskaite piena produktos</w:t>
      </w:r>
    </w:p>
    <w:p w14:paraId="19BB4CB0" w14:textId="77777777" w:rsidR="00605273" w:rsidRPr="00605273" w:rsidRDefault="00605273" w:rsidP="00605273">
      <w:pPr>
        <w:pStyle w:val="BodyText"/>
        <w:numPr>
          <w:ilvl w:val="0"/>
          <w:numId w:val="2"/>
        </w:numPr>
        <w:tabs>
          <w:tab w:val="left" w:pos="567"/>
        </w:tabs>
        <w:ind w:left="0" w:firstLine="0"/>
      </w:pPr>
      <w:r>
        <w:rPr>
          <w:i/>
        </w:rPr>
        <w:t>Salmonella</w:t>
      </w:r>
      <w:r>
        <w:t xml:space="preserve"> noteikšana gaļā un dārzeņos</w:t>
      </w:r>
    </w:p>
    <w:p w14:paraId="4179B2EF" w14:textId="77777777" w:rsidR="00605273" w:rsidRPr="00605273" w:rsidRDefault="00605273" w:rsidP="00605273">
      <w:pPr>
        <w:pStyle w:val="BodyText"/>
        <w:numPr>
          <w:ilvl w:val="0"/>
          <w:numId w:val="2"/>
        </w:numPr>
        <w:tabs>
          <w:tab w:val="left" w:pos="567"/>
        </w:tabs>
        <w:ind w:left="0" w:firstLine="0"/>
      </w:pPr>
      <w:r>
        <w:rPr>
          <w:i/>
        </w:rPr>
        <w:t>Escherichia coli</w:t>
      </w:r>
      <w:r>
        <w:t xml:space="preserve"> uzskaite dzeramajā ūdenī un peldbaseinu ūdenī</w:t>
      </w:r>
    </w:p>
    <w:p w14:paraId="74D26119" w14:textId="77777777" w:rsidR="00605273" w:rsidRPr="00605273" w:rsidRDefault="00605273" w:rsidP="00605273">
      <w:pPr>
        <w:jc w:val="both"/>
        <w:rPr>
          <w:rFonts w:ascii="Times New Roman" w:eastAsia="Arial" w:hAnsi="Times New Roman" w:cs="Times New Roman"/>
          <w:noProof/>
          <w:sz w:val="24"/>
          <w:szCs w:val="24"/>
        </w:rPr>
      </w:pPr>
    </w:p>
    <w:p w14:paraId="45E3F9F6" w14:textId="77777777" w:rsidR="00605273" w:rsidRPr="00605273" w:rsidRDefault="00605273" w:rsidP="00605273">
      <w:pPr>
        <w:pStyle w:val="BodyText"/>
        <w:rPr>
          <w:b/>
          <w:bCs/>
        </w:rPr>
      </w:pPr>
      <w:r>
        <w:rPr>
          <w:b/>
        </w:rPr>
        <w:t>Dalības biežuma noteikšanas apsvērumi</w:t>
      </w:r>
    </w:p>
    <w:p w14:paraId="55F93233" w14:textId="77777777" w:rsidR="00605273" w:rsidRPr="00605273" w:rsidRDefault="00605273" w:rsidP="00605273">
      <w:pPr>
        <w:jc w:val="both"/>
        <w:rPr>
          <w:rFonts w:ascii="Times New Roman" w:eastAsia="Arial" w:hAnsi="Times New Roman" w:cs="Times New Roman"/>
          <w:b/>
          <w:bCs/>
          <w:noProof/>
          <w:sz w:val="24"/>
          <w:szCs w:val="24"/>
        </w:rPr>
      </w:pPr>
    </w:p>
    <w:p w14:paraId="5407B494" w14:textId="77777777" w:rsidR="00605273" w:rsidRPr="00605273" w:rsidRDefault="00605273" w:rsidP="00605273">
      <w:pPr>
        <w:pStyle w:val="BodyText"/>
      </w:pPr>
      <w:r>
        <w:t>Dažādām kompetences jomām laboratorija ir noteikusi turpmāk minēto biežumu.</w:t>
      </w:r>
    </w:p>
    <w:p w14:paraId="46A77ABD" w14:textId="77777777" w:rsidR="00605273" w:rsidRPr="00605273" w:rsidRDefault="00605273" w:rsidP="00605273">
      <w:pPr>
        <w:jc w:val="both"/>
        <w:rPr>
          <w:rFonts w:ascii="Times New Roman" w:eastAsia="Arial" w:hAnsi="Times New Roman" w:cs="Times New Roman"/>
          <w:noProof/>
          <w:sz w:val="24"/>
          <w:szCs w:val="24"/>
        </w:rPr>
      </w:pPr>
    </w:p>
    <w:p w14:paraId="221C90DC" w14:textId="77777777" w:rsidR="00605273" w:rsidRPr="00605273" w:rsidRDefault="00605273" w:rsidP="00605273">
      <w:pPr>
        <w:pStyle w:val="BodyText"/>
        <w:numPr>
          <w:ilvl w:val="0"/>
          <w:numId w:val="2"/>
        </w:numPr>
        <w:tabs>
          <w:tab w:val="left" w:pos="567"/>
        </w:tabs>
        <w:ind w:left="0" w:firstLine="0"/>
      </w:pPr>
      <w:r>
        <w:t xml:space="preserve">Laboratorija katru nedēļu analizē lielu apjomu gaļas un dārzeņu paraugu, lai uzskaitītu </w:t>
      </w:r>
      <w:r>
        <w:rPr>
          <w:i/>
          <w:iCs/>
        </w:rPr>
        <w:t>Escherichia Coli</w:t>
      </w:r>
      <w:r>
        <w:t xml:space="preserve"> un noteiktu </w:t>
      </w:r>
      <w:r>
        <w:rPr>
          <w:i/>
          <w:iCs/>
        </w:rPr>
        <w:t>Salmonella</w:t>
      </w:r>
      <w:r>
        <w:t>. Izmantošanai nav pieejami sertificēti references materiāli, tāpēc laboratorija ļoti paļaujas uz piedalīšanos PP, lai uzraudzītu savu veiktspēju. Tāpēc laboratorija nolemj piedalīties maksimāli bieži, kā to piedāvā PP organizētājs, tas ir, reizi mēnesī. Turklāt, tā kā ir četri dažādi mikrobiologi, kas veic analīzi, un ir nodrošināts testēšanas materiāls pietiekamā apjomā, katrs mikrobiologs piedalās PP katru mēnesi.</w:t>
      </w:r>
    </w:p>
    <w:p w14:paraId="3CEE067D" w14:textId="77777777" w:rsidR="00605273" w:rsidRPr="00605273" w:rsidRDefault="00605273" w:rsidP="00605273">
      <w:pPr>
        <w:jc w:val="both"/>
        <w:rPr>
          <w:rFonts w:ascii="Times New Roman" w:eastAsia="Arial" w:hAnsi="Times New Roman" w:cs="Times New Roman"/>
          <w:noProof/>
          <w:sz w:val="24"/>
          <w:szCs w:val="24"/>
        </w:rPr>
      </w:pPr>
    </w:p>
    <w:p w14:paraId="127BB697" w14:textId="77777777" w:rsidR="00605273" w:rsidRPr="00605273" w:rsidRDefault="00605273" w:rsidP="00605273">
      <w:pPr>
        <w:pStyle w:val="BodyText"/>
        <w:numPr>
          <w:ilvl w:val="0"/>
          <w:numId w:val="2"/>
        </w:numPr>
        <w:tabs>
          <w:tab w:val="left" w:pos="567"/>
        </w:tabs>
        <w:ind w:left="0" w:firstLine="0"/>
      </w:pPr>
      <w:r>
        <w:rPr>
          <w:i/>
          <w:iCs/>
        </w:rPr>
        <w:t>Escherichia Coli</w:t>
      </w:r>
      <w:r>
        <w:t xml:space="preserve"> uzskaitei piena produktos laboratorija saņem tikai nelielu skaitu katrā mēnesī testējamo paraugu. Tāpēc tā nolēma piedalīties PP četras reizes gadā. Tā kā tai ir četri </w:t>
      </w:r>
      <w:r>
        <w:lastRenderedPageBreak/>
        <w:t>mikrobiologi, kas veic šo analīzi, viņi visi arī piedalās katru ceturksni.</w:t>
      </w:r>
    </w:p>
    <w:p w14:paraId="2F1875C7" w14:textId="77777777" w:rsidR="00605273" w:rsidRPr="00605273" w:rsidRDefault="00605273" w:rsidP="00605273">
      <w:pPr>
        <w:jc w:val="both"/>
        <w:rPr>
          <w:rFonts w:ascii="Times New Roman" w:eastAsia="Arial" w:hAnsi="Times New Roman" w:cs="Times New Roman"/>
          <w:noProof/>
          <w:sz w:val="24"/>
          <w:szCs w:val="24"/>
        </w:rPr>
      </w:pPr>
    </w:p>
    <w:p w14:paraId="586B329A" w14:textId="77777777" w:rsidR="00605273" w:rsidRPr="00605273" w:rsidRDefault="00605273" w:rsidP="00605273">
      <w:pPr>
        <w:pStyle w:val="BodyText"/>
        <w:numPr>
          <w:ilvl w:val="0"/>
          <w:numId w:val="2"/>
        </w:numPr>
        <w:tabs>
          <w:tab w:val="left" w:pos="567"/>
        </w:tabs>
        <w:ind w:left="0" w:firstLine="0"/>
      </w:pPr>
      <w:r>
        <w:t xml:space="preserve">Cita nodaļa, kas neanalizē pārtiku, nodarbojas ar </w:t>
      </w:r>
      <w:r>
        <w:rPr>
          <w:i/>
          <w:iCs/>
        </w:rPr>
        <w:t>Escherichia Coli</w:t>
      </w:r>
      <w:r>
        <w:t xml:space="preserve"> uzskaiti dzeramajā ūdenī un peldbaseina ūdenī. Testēšanai tiek saņemts mazāks paraugu apjoms mēnesī, un šo darbu veic divi mikrobiologi. Lai arī, ņemot vērā testēto paraugu apjomu, būtu pietiekami piedalīties četras reizes gadā, šajā nodaļā ir liela personāla mainība, tāpēc laboratorija izvēlējās piedalīties PP katru mēnesi ar abiem mikrobiologiem.</w:t>
      </w:r>
    </w:p>
    <w:p w14:paraId="23811996" w14:textId="77777777" w:rsidR="00605273" w:rsidRPr="00605273" w:rsidRDefault="00605273" w:rsidP="00605273">
      <w:pPr>
        <w:jc w:val="both"/>
        <w:rPr>
          <w:rFonts w:ascii="Times New Roman" w:eastAsia="Arial" w:hAnsi="Times New Roman" w:cs="Times New Roman"/>
          <w:noProof/>
          <w:sz w:val="24"/>
          <w:szCs w:val="24"/>
        </w:rPr>
      </w:pPr>
    </w:p>
    <w:p w14:paraId="2ABF4897" w14:textId="77777777" w:rsidR="00605273" w:rsidRPr="00605273" w:rsidRDefault="00605273" w:rsidP="00605273">
      <w:pPr>
        <w:pStyle w:val="BodyText"/>
        <w:numPr>
          <w:ilvl w:val="0"/>
          <w:numId w:val="2"/>
        </w:numPr>
        <w:tabs>
          <w:tab w:val="left" w:pos="567"/>
        </w:tabs>
        <w:ind w:left="0" w:firstLine="0"/>
      </w:pPr>
      <w:r>
        <w:t>Dažādām tehniskās kompetences jomām laboratorija ir izvēlējusies PP programmas, kas aptver plašu dažādu matricu klāstu, lai nodrošinātu, ka akreditācijas ciklā tiek izvērtēti visi parametri un matricas.</w:t>
      </w:r>
    </w:p>
    <w:p w14:paraId="07508C12" w14:textId="77777777" w:rsidR="00605273" w:rsidRPr="00605273" w:rsidRDefault="00605273" w:rsidP="00605273">
      <w:pPr>
        <w:jc w:val="both"/>
        <w:rPr>
          <w:rFonts w:ascii="Times New Roman" w:eastAsia="Arial" w:hAnsi="Times New Roman" w:cs="Times New Roman"/>
          <w:noProof/>
          <w:sz w:val="24"/>
          <w:szCs w:val="24"/>
        </w:rPr>
      </w:pPr>
    </w:p>
    <w:p w14:paraId="381A3F65" w14:textId="77777777" w:rsidR="00605273" w:rsidRPr="00605273" w:rsidRDefault="00605273" w:rsidP="00605273">
      <w:pPr>
        <w:pStyle w:val="BodyText"/>
        <w:rPr>
          <w:b/>
          <w:bCs/>
        </w:rPr>
      </w:pPr>
      <w:r>
        <w:rPr>
          <w:b/>
        </w:rPr>
        <w:t>Kopsavilkuma tabula</w:t>
      </w:r>
    </w:p>
    <w:p w14:paraId="61FEC9A6" w14:textId="77777777" w:rsidR="00605273" w:rsidRPr="00605273" w:rsidRDefault="00605273" w:rsidP="00605273">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621"/>
        <w:gridCol w:w="1872"/>
        <w:gridCol w:w="1545"/>
        <w:gridCol w:w="1512"/>
        <w:gridCol w:w="1806"/>
        <w:gridCol w:w="1775"/>
      </w:tblGrid>
      <w:tr w:rsidR="00605273" w:rsidRPr="00605273" w14:paraId="78F23E03" w14:textId="77777777" w:rsidTr="009C4FC9">
        <w:tc>
          <w:tcPr>
            <w:tcW w:w="340" w:type="pct"/>
            <w:tcBorders>
              <w:top w:val="single" w:sz="5" w:space="0" w:color="000000"/>
              <w:left w:val="single" w:sz="5" w:space="0" w:color="000000"/>
              <w:bottom w:val="single" w:sz="5" w:space="0" w:color="000000"/>
              <w:right w:val="single" w:sz="5" w:space="0" w:color="000000"/>
            </w:tcBorders>
          </w:tcPr>
          <w:p w14:paraId="068ADBD8" w14:textId="77777777" w:rsidR="00605273" w:rsidRPr="00605273" w:rsidRDefault="00605273" w:rsidP="009C4FC9">
            <w:pPr>
              <w:jc w:val="both"/>
              <w:rPr>
                <w:rFonts w:ascii="Times New Roman" w:hAnsi="Times New Roman" w:cs="Times New Roman"/>
                <w:noProof/>
                <w:sz w:val="24"/>
                <w:szCs w:val="24"/>
              </w:rPr>
            </w:pPr>
          </w:p>
        </w:tc>
        <w:tc>
          <w:tcPr>
            <w:tcW w:w="1025" w:type="pct"/>
            <w:tcBorders>
              <w:top w:val="single" w:sz="5" w:space="0" w:color="000000"/>
              <w:left w:val="single" w:sz="5" w:space="0" w:color="000000"/>
              <w:bottom w:val="single" w:sz="5" w:space="0" w:color="000000"/>
              <w:right w:val="single" w:sz="5" w:space="0" w:color="000000"/>
            </w:tcBorders>
          </w:tcPr>
          <w:p w14:paraId="1820AE96" w14:textId="77777777" w:rsidR="00605273" w:rsidRPr="00605273" w:rsidRDefault="00605273" w:rsidP="009C4FC9">
            <w:pPr>
              <w:pStyle w:val="TableParagraph"/>
              <w:jc w:val="both"/>
              <w:rPr>
                <w:rFonts w:ascii="Times New Roman" w:eastAsia="Arial" w:hAnsi="Times New Roman" w:cs="Times New Roman"/>
                <w:b/>
                <w:bCs/>
                <w:noProof/>
                <w:sz w:val="24"/>
                <w:szCs w:val="24"/>
              </w:rPr>
            </w:pPr>
            <w:r>
              <w:rPr>
                <w:rFonts w:ascii="Times New Roman" w:hAnsi="Times New Roman"/>
                <w:b/>
                <w:sz w:val="24"/>
              </w:rPr>
              <w:t>Raksturīgais (μ- organisms)</w:t>
            </w:r>
          </w:p>
        </w:tc>
        <w:tc>
          <w:tcPr>
            <w:tcW w:w="846" w:type="pct"/>
            <w:tcBorders>
              <w:top w:val="single" w:sz="5" w:space="0" w:color="000000"/>
              <w:left w:val="single" w:sz="5" w:space="0" w:color="000000"/>
              <w:bottom w:val="single" w:sz="5" w:space="0" w:color="000000"/>
              <w:right w:val="single" w:sz="5" w:space="0" w:color="000000"/>
            </w:tcBorders>
          </w:tcPr>
          <w:p w14:paraId="38D65E0D"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Mērījumu process</w:t>
            </w:r>
          </w:p>
        </w:tc>
        <w:tc>
          <w:tcPr>
            <w:tcW w:w="828" w:type="pct"/>
            <w:tcBorders>
              <w:top w:val="single" w:sz="5" w:space="0" w:color="000000"/>
              <w:left w:val="single" w:sz="5" w:space="0" w:color="000000"/>
              <w:bottom w:val="single" w:sz="5" w:space="0" w:color="000000"/>
              <w:right w:val="single" w:sz="5" w:space="0" w:color="000000"/>
            </w:tcBorders>
          </w:tcPr>
          <w:p w14:paraId="12E2DCFC"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Produkts</w:t>
            </w:r>
          </w:p>
        </w:tc>
        <w:tc>
          <w:tcPr>
            <w:tcW w:w="989" w:type="pct"/>
            <w:tcBorders>
              <w:top w:val="single" w:sz="5" w:space="0" w:color="000000"/>
              <w:left w:val="single" w:sz="5" w:space="0" w:color="000000"/>
              <w:bottom w:val="single" w:sz="5" w:space="0" w:color="000000"/>
              <w:right w:val="single" w:sz="5" w:space="0" w:color="000000"/>
            </w:tcBorders>
          </w:tcPr>
          <w:p w14:paraId="2444753B"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Biežums</w:t>
            </w:r>
          </w:p>
        </w:tc>
        <w:tc>
          <w:tcPr>
            <w:tcW w:w="972" w:type="pct"/>
            <w:tcBorders>
              <w:top w:val="single" w:sz="5" w:space="0" w:color="000000"/>
              <w:left w:val="single" w:sz="5" w:space="0" w:color="000000"/>
              <w:bottom w:val="single" w:sz="5" w:space="0" w:color="000000"/>
              <w:right w:val="single" w:sz="5" w:space="0" w:color="000000"/>
            </w:tcBorders>
          </w:tcPr>
          <w:p w14:paraId="71522F6C"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Piezīme</w:t>
            </w:r>
          </w:p>
        </w:tc>
      </w:tr>
      <w:tr w:rsidR="00605273" w:rsidRPr="00605273" w14:paraId="2555BFF8" w14:textId="77777777" w:rsidTr="009C4FC9">
        <w:tc>
          <w:tcPr>
            <w:tcW w:w="340" w:type="pct"/>
            <w:tcBorders>
              <w:top w:val="single" w:sz="5" w:space="0" w:color="000000"/>
              <w:left w:val="single" w:sz="5" w:space="0" w:color="000000"/>
              <w:bottom w:val="single" w:sz="5" w:space="0" w:color="000000"/>
              <w:right w:val="single" w:sz="5" w:space="0" w:color="000000"/>
            </w:tcBorders>
          </w:tcPr>
          <w:p w14:paraId="0041FBF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w:t>
            </w:r>
          </w:p>
        </w:tc>
        <w:tc>
          <w:tcPr>
            <w:tcW w:w="1025" w:type="pct"/>
            <w:tcBorders>
              <w:top w:val="single" w:sz="5" w:space="0" w:color="000000"/>
              <w:left w:val="single" w:sz="5" w:space="0" w:color="000000"/>
              <w:bottom w:val="single" w:sz="5" w:space="0" w:color="000000"/>
              <w:right w:val="single" w:sz="5" w:space="0" w:color="000000"/>
            </w:tcBorders>
          </w:tcPr>
          <w:p w14:paraId="7E6CFF5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i/>
                <w:iCs/>
                <w:sz w:val="24"/>
              </w:rPr>
              <w:t>Salmonella</w:t>
            </w:r>
          </w:p>
        </w:tc>
        <w:tc>
          <w:tcPr>
            <w:tcW w:w="846" w:type="pct"/>
            <w:tcBorders>
              <w:top w:val="single" w:sz="5" w:space="0" w:color="000000"/>
              <w:left w:val="single" w:sz="5" w:space="0" w:color="000000"/>
              <w:bottom w:val="single" w:sz="5" w:space="0" w:color="000000"/>
              <w:right w:val="single" w:sz="5" w:space="0" w:color="000000"/>
            </w:tcBorders>
          </w:tcPr>
          <w:p w14:paraId="368C6BB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Noteikšana</w:t>
            </w:r>
          </w:p>
        </w:tc>
        <w:tc>
          <w:tcPr>
            <w:tcW w:w="828" w:type="pct"/>
            <w:tcBorders>
              <w:top w:val="single" w:sz="5" w:space="0" w:color="000000"/>
              <w:left w:val="single" w:sz="5" w:space="0" w:color="000000"/>
              <w:bottom w:val="single" w:sz="5" w:space="0" w:color="000000"/>
              <w:right w:val="single" w:sz="5" w:space="0" w:color="000000"/>
            </w:tcBorders>
          </w:tcPr>
          <w:p w14:paraId="440C71A4"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Gaļa/dārzeņi</w:t>
            </w:r>
          </w:p>
        </w:tc>
        <w:tc>
          <w:tcPr>
            <w:tcW w:w="989" w:type="pct"/>
            <w:tcBorders>
              <w:top w:val="single" w:sz="5" w:space="0" w:color="000000"/>
              <w:left w:val="single" w:sz="5" w:space="0" w:color="000000"/>
              <w:bottom w:val="single" w:sz="5" w:space="0" w:color="000000"/>
              <w:right w:val="single" w:sz="5" w:space="0" w:color="000000"/>
            </w:tcBorders>
          </w:tcPr>
          <w:p w14:paraId="2C70829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 / katrs mikrobiologs</w:t>
            </w:r>
          </w:p>
        </w:tc>
        <w:tc>
          <w:tcPr>
            <w:tcW w:w="972" w:type="pct"/>
            <w:tcBorders>
              <w:top w:val="single" w:sz="5" w:space="0" w:color="000000"/>
              <w:left w:val="single" w:sz="5" w:space="0" w:color="000000"/>
              <w:bottom w:val="single" w:sz="5" w:space="0" w:color="000000"/>
              <w:right w:val="single" w:sz="5" w:space="0" w:color="000000"/>
            </w:tcBorders>
          </w:tcPr>
          <w:p w14:paraId="734E7E7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Liels skaits paraugu</w:t>
            </w:r>
          </w:p>
        </w:tc>
      </w:tr>
      <w:tr w:rsidR="00605273" w:rsidRPr="00605273" w14:paraId="4A52330D" w14:textId="77777777" w:rsidTr="009C4FC9">
        <w:tc>
          <w:tcPr>
            <w:tcW w:w="340" w:type="pct"/>
            <w:tcBorders>
              <w:top w:val="single" w:sz="5" w:space="0" w:color="000000"/>
              <w:left w:val="single" w:sz="5" w:space="0" w:color="000000"/>
              <w:bottom w:val="single" w:sz="5" w:space="0" w:color="000000"/>
              <w:right w:val="single" w:sz="5" w:space="0" w:color="000000"/>
            </w:tcBorders>
          </w:tcPr>
          <w:p w14:paraId="65B25DF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2.</w:t>
            </w:r>
          </w:p>
        </w:tc>
        <w:tc>
          <w:tcPr>
            <w:tcW w:w="1025" w:type="pct"/>
            <w:tcBorders>
              <w:top w:val="single" w:sz="5" w:space="0" w:color="000000"/>
              <w:left w:val="single" w:sz="5" w:space="0" w:color="000000"/>
              <w:bottom w:val="single" w:sz="5" w:space="0" w:color="000000"/>
              <w:right w:val="single" w:sz="5" w:space="0" w:color="000000"/>
            </w:tcBorders>
          </w:tcPr>
          <w:p w14:paraId="06CAC00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i/>
                <w:iCs/>
                <w:sz w:val="24"/>
              </w:rPr>
              <w:t xml:space="preserve">E </w:t>
            </w:r>
            <w:proofErr w:type="spellStart"/>
            <w:r>
              <w:rPr>
                <w:rFonts w:ascii="Times New Roman" w:hAnsi="Times New Roman"/>
                <w:i/>
                <w:iCs/>
                <w:sz w:val="24"/>
              </w:rPr>
              <w:t>coli</w:t>
            </w:r>
            <w:proofErr w:type="spellEnd"/>
          </w:p>
        </w:tc>
        <w:tc>
          <w:tcPr>
            <w:tcW w:w="846" w:type="pct"/>
            <w:tcBorders>
              <w:top w:val="single" w:sz="5" w:space="0" w:color="000000"/>
              <w:left w:val="single" w:sz="5" w:space="0" w:color="000000"/>
              <w:bottom w:val="single" w:sz="5" w:space="0" w:color="000000"/>
              <w:right w:val="single" w:sz="5" w:space="0" w:color="000000"/>
            </w:tcBorders>
          </w:tcPr>
          <w:p w14:paraId="2B352EA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Uzskaitīšana</w:t>
            </w:r>
          </w:p>
        </w:tc>
        <w:tc>
          <w:tcPr>
            <w:tcW w:w="828" w:type="pct"/>
            <w:tcBorders>
              <w:top w:val="single" w:sz="5" w:space="0" w:color="000000"/>
              <w:left w:val="single" w:sz="5" w:space="0" w:color="000000"/>
              <w:bottom w:val="single" w:sz="5" w:space="0" w:color="000000"/>
              <w:right w:val="single" w:sz="5" w:space="0" w:color="000000"/>
            </w:tcBorders>
          </w:tcPr>
          <w:p w14:paraId="324B5DF0" w14:textId="77777777" w:rsidR="00605273" w:rsidRPr="00605273" w:rsidRDefault="00605273" w:rsidP="009C4FC9">
            <w:pPr>
              <w:pStyle w:val="TableParagraph"/>
              <w:rPr>
                <w:rFonts w:ascii="Times New Roman" w:hAnsi="Times New Roman" w:cs="Times New Roman"/>
                <w:noProof/>
                <w:sz w:val="24"/>
                <w:szCs w:val="24"/>
              </w:rPr>
            </w:pPr>
            <w:r>
              <w:rPr>
                <w:rFonts w:ascii="Times New Roman" w:hAnsi="Times New Roman"/>
                <w:sz w:val="24"/>
              </w:rPr>
              <w:t>Gaļa/dārzeņi</w:t>
            </w:r>
          </w:p>
        </w:tc>
        <w:tc>
          <w:tcPr>
            <w:tcW w:w="989" w:type="pct"/>
            <w:tcBorders>
              <w:top w:val="single" w:sz="5" w:space="0" w:color="000000"/>
              <w:left w:val="single" w:sz="5" w:space="0" w:color="000000"/>
              <w:bottom w:val="single" w:sz="5" w:space="0" w:color="000000"/>
              <w:right w:val="single" w:sz="5" w:space="0" w:color="000000"/>
            </w:tcBorders>
          </w:tcPr>
          <w:p w14:paraId="105F8C8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 / katrs mikrobiologs</w:t>
            </w:r>
          </w:p>
        </w:tc>
        <w:tc>
          <w:tcPr>
            <w:tcW w:w="972" w:type="pct"/>
            <w:tcBorders>
              <w:top w:val="single" w:sz="5" w:space="0" w:color="000000"/>
              <w:left w:val="single" w:sz="5" w:space="0" w:color="000000"/>
              <w:bottom w:val="single" w:sz="5" w:space="0" w:color="000000"/>
              <w:right w:val="single" w:sz="5" w:space="0" w:color="000000"/>
            </w:tcBorders>
          </w:tcPr>
          <w:p w14:paraId="3C9F677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Liels skaits paraugu</w:t>
            </w:r>
          </w:p>
        </w:tc>
      </w:tr>
      <w:tr w:rsidR="00605273" w:rsidRPr="00605273" w14:paraId="6C41F805" w14:textId="77777777" w:rsidTr="009C4FC9">
        <w:tc>
          <w:tcPr>
            <w:tcW w:w="340" w:type="pct"/>
            <w:tcBorders>
              <w:top w:val="single" w:sz="5" w:space="0" w:color="000000"/>
              <w:left w:val="single" w:sz="5" w:space="0" w:color="000000"/>
              <w:bottom w:val="single" w:sz="5" w:space="0" w:color="000000"/>
              <w:right w:val="single" w:sz="5" w:space="0" w:color="000000"/>
            </w:tcBorders>
          </w:tcPr>
          <w:p w14:paraId="4E7D513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3.</w:t>
            </w:r>
          </w:p>
        </w:tc>
        <w:tc>
          <w:tcPr>
            <w:tcW w:w="1025" w:type="pct"/>
            <w:tcBorders>
              <w:top w:val="single" w:sz="5" w:space="0" w:color="000000"/>
              <w:left w:val="single" w:sz="5" w:space="0" w:color="000000"/>
              <w:bottom w:val="single" w:sz="5" w:space="0" w:color="000000"/>
              <w:right w:val="single" w:sz="5" w:space="0" w:color="000000"/>
            </w:tcBorders>
          </w:tcPr>
          <w:p w14:paraId="38A270F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i/>
                <w:iCs/>
                <w:sz w:val="24"/>
              </w:rPr>
              <w:t xml:space="preserve">E </w:t>
            </w:r>
            <w:proofErr w:type="spellStart"/>
            <w:r>
              <w:rPr>
                <w:rFonts w:ascii="Times New Roman" w:hAnsi="Times New Roman"/>
                <w:i/>
                <w:iCs/>
                <w:sz w:val="24"/>
              </w:rPr>
              <w:t>coli</w:t>
            </w:r>
            <w:proofErr w:type="spellEnd"/>
          </w:p>
        </w:tc>
        <w:tc>
          <w:tcPr>
            <w:tcW w:w="846" w:type="pct"/>
            <w:tcBorders>
              <w:top w:val="single" w:sz="5" w:space="0" w:color="000000"/>
              <w:left w:val="single" w:sz="5" w:space="0" w:color="000000"/>
              <w:bottom w:val="single" w:sz="5" w:space="0" w:color="000000"/>
              <w:right w:val="single" w:sz="5" w:space="0" w:color="000000"/>
            </w:tcBorders>
          </w:tcPr>
          <w:p w14:paraId="4AD5A65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Uzskaitīšana</w:t>
            </w:r>
          </w:p>
        </w:tc>
        <w:tc>
          <w:tcPr>
            <w:tcW w:w="828" w:type="pct"/>
            <w:tcBorders>
              <w:top w:val="single" w:sz="5" w:space="0" w:color="000000"/>
              <w:left w:val="single" w:sz="5" w:space="0" w:color="000000"/>
              <w:bottom w:val="single" w:sz="5" w:space="0" w:color="000000"/>
              <w:right w:val="single" w:sz="5" w:space="0" w:color="000000"/>
            </w:tcBorders>
          </w:tcPr>
          <w:p w14:paraId="015AA72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Piena produkti</w:t>
            </w:r>
          </w:p>
        </w:tc>
        <w:tc>
          <w:tcPr>
            <w:tcW w:w="989" w:type="pct"/>
            <w:tcBorders>
              <w:top w:val="single" w:sz="5" w:space="0" w:color="000000"/>
              <w:left w:val="single" w:sz="5" w:space="0" w:color="000000"/>
              <w:bottom w:val="single" w:sz="5" w:space="0" w:color="000000"/>
              <w:right w:val="single" w:sz="5" w:space="0" w:color="000000"/>
            </w:tcBorders>
          </w:tcPr>
          <w:p w14:paraId="0DCA62D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4 </w:t>
            </w:r>
            <w:proofErr w:type="spellStart"/>
            <w:r>
              <w:rPr>
                <w:rFonts w:ascii="Times New Roman" w:hAnsi="Times New Roman"/>
                <w:sz w:val="24"/>
              </w:rPr>
              <w:t>PP</w:t>
            </w:r>
            <w:proofErr w:type="spellEnd"/>
            <w:r>
              <w:rPr>
                <w:rFonts w:ascii="Times New Roman" w:hAnsi="Times New Roman"/>
                <w:sz w:val="24"/>
              </w:rPr>
              <w:t xml:space="preserve"> katram mikrobiologam</w:t>
            </w:r>
          </w:p>
        </w:tc>
        <w:tc>
          <w:tcPr>
            <w:tcW w:w="972" w:type="pct"/>
            <w:tcBorders>
              <w:top w:val="single" w:sz="5" w:space="0" w:color="000000"/>
              <w:left w:val="single" w:sz="5" w:space="0" w:color="000000"/>
              <w:bottom w:val="single" w:sz="5" w:space="0" w:color="000000"/>
              <w:right w:val="single" w:sz="5" w:space="0" w:color="000000"/>
            </w:tcBorders>
          </w:tcPr>
          <w:p w14:paraId="283DF73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Mazs skaits paraugu</w:t>
            </w:r>
          </w:p>
        </w:tc>
      </w:tr>
      <w:tr w:rsidR="00605273" w:rsidRPr="00605273" w14:paraId="56E58B50" w14:textId="77777777" w:rsidTr="009C4FC9">
        <w:tc>
          <w:tcPr>
            <w:tcW w:w="340" w:type="pct"/>
            <w:tcBorders>
              <w:top w:val="single" w:sz="5" w:space="0" w:color="000000"/>
              <w:left w:val="single" w:sz="5" w:space="0" w:color="000000"/>
              <w:bottom w:val="single" w:sz="5" w:space="0" w:color="000000"/>
              <w:right w:val="single" w:sz="5" w:space="0" w:color="000000"/>
            </w:tcBorders>
          </w:tcPr>
          <w:p w14:paraId="39D4C3C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4.</w:t>
            </w:r>
          </w:p>
        </w:tc>
        <w:tc>
          <w:tcPr>
            <w:tcW w:w="1025" w:type="pct"/>
            <w:tcBorders>
              <w:top w:val="single" w:sz="5" w:space="0" w:color="000000"/>
              <w:left w:val="single" w:sz="5" w:space="0" w:color="000000"/>
              <w:bottom w:val="single" w:sz="5" w:space="0" w:color="000000"/>
              <w:right w:val="single" w:sz="5" w:space="0" w:color="000000"/>
            </w:tcBorders>
          </w:tcPr>
          <w:p w14:paraId="32667C9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i/>
                <w:iCs/>
                <w:sz w:val="24"/>
              </w:rPr>
              <w:t xml:space="preserve">E </w:t>
            </w:r>
            <w:proofErr w:type="spellStart"/>
            <w:r>
              <w:rPr>
                <w:rFonts w:ascii="Times New Roman" w:hAnsi="Times New Roman"/>
                <w:i/>
                <w:iCs/>
                <w:sz w:val="24"/>
              </w:rPr>
              <w:t>coli</w:t>
            </w:r>
            <w:proofErr w:type="spellEnd"/>
          </w:p>
        </w:tc>
        <w:tc>
          <w:tcPr>
            <w:tcW w:w="846" w:type="pct"/>
            <w:tcBorders>
              <w:top w:val="single" w:sz="5" w:space="0" w:color="000000"/>
              <w:left w:val="single" w:sz="5" w:space="0" w:color="000000"/>
              <w:bottom w:val="single" w:sz="5" w:space="0" w:color="000000"/>
              <w:right w:val="single" w:sz="5" w:space="0" w:color="000000"/>
            </w:tcBorders>
          </w:tcPr>
          <w:p w14:paraId="20C6462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Uzskaitīšana</w:t>
            </w:r>
          </w:p>
        </w:tc>
        <w:tc>
          <w:tcPr>
            <w:tcW w:w="828" w:type="pct"/>
            <w:tcBorders>
              <w:top w:val="single" w:sz="5" w:space="0" w:color="000000"/>
              <w:left w:val="single" w:sz="5" w:space="0" w:color="000000"/>
              <w:bottom w:val="single" w:sz="5" w:space="0" w:color="000000"/>
              <w:right w:val="single" w:sz="5" w:space="0" w:color="000000"/>
            </w:tcBorders>
          </w:tcPr>
          <w:p w14:paraId="717F3BA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Ūdens</w:t>
            </w:r>
          </w:p>
        </w:tc>
        <w:tc>
          <w:tcPr>
            <w:tcW w:w="989" w:type="pct"/>
            <w:tcBorders>
              <w:top w:val="single" w:sz="5" w:space="0" w:color="000000"/>
              <w:left w:val="single" w:sz="5" w:space="0" w:color="000000"/>
              <w:bottom w:val="single" w:sz="5" w:space="0" w:color="000000"/>
              <w:right w:val="single" w:sz="5" w:space="0" w:color="000000"/>
            </w:tcBorders>
          </w:tcPr>
          <w:p w14:paraId="392194C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 / katrs mikrobiologs</w:t>
            </w:r>
          </w:p>
        </w:tc>
        <w:tc>
          <w:tcPr>
            <w:tcW w:w="972" w:type="pct"/>
            <w:tcBorders>
              <w:top w:val="single" w:sz="5" w:space="0" w:color="000000"/>
              <w:left w:val="single" w:sz="5" w:space="0" w:color="000000"/>
              <w:bottom w:val="single" w:sz="5" w:space="0" w:color="000000"/>
              <w:right w:val="single" w:sz="5" w:space="0" w:color="000000"/>
            </w:tcBorders>
          </w:tcPr>
          <w:p w14:paraId="58552E7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Liela personāla mainība</w:t>
            </w:r>
          </w:p>
        </w:tc>
      </w:tr>
    </w:tbl>
    <w:p w14:paraId="3F1E5959" w14:textId="77777777" w:rsidR="00605273" w:rsidRPr="00605273" w:rsidRDefault="00605273" w:rsidP="00605273">
      <w:pPr>
        <w:jc w:val="both"/>
        <w:rPr>
          <w:rFonts w:ascii="Times New Roman" w:eastAsia="Arial" w:hAnsi="Times New Roman" w:cs="Times New Roman"/>
          <w:noProof/>
          <w:sz w:val="24"/>
          <w:szCs w:val="24"/>
        </w:rPr>
      </w:pPr>
    </w:p>
    <w:p w14:paraId="0A568AA5" w14:textId="77777777" w:rsidR="00605273" w:rsidRPr="00605273" w:rsidRDefault="00605273" w:rsidP="00605273">
      <w:pPr>
        <w:rPr>
          <w:rFonts w:ascii="Times New Roman" w:eastAsia="Arial" w:hAnsi="Times New Roman" w:cs="Times New Roman"/>
          <w:b/>
          <w:bCs/>
          <w:noProof/>
          <w:sz w:val="24"/>
          <w:szCs w:val="24"/>
        </w:rPr>
      </w:pPr>
      <w:r>
        <w:br w:type="page"/>
      </w:r>
    </w:p>
    <w:p w14:paraId="35119137" w14:textId="77777777" w:rsidR="00605273" w:rsidRPr="00605273" w:rsidRDefault="00605273" w:rsidP="00605273">
      <w:pPr>
        <w:jc w:val="both"/>
        <w:rPr>
          <w:rFonts w:ascii="Times New Roman" w:eastAsia="Arial" w:hAnsi="Times New Roman" w:cs="Times New Roman"/>
          <w:b/>
          <w:bCs/>
          <w:noProof/>
          <w:sz w:val="24"/>
          <w:szCs w:val="24"/>
        </w:rPr>
      </w:pPr>
    </w:p>
    <w:p w14:paraId="7DFCCA70" w14:textId="77777777" w:rsidR="00605273" w:rsidRPr="00A66008" w:rsidRDefault="00605273" w:rsidP="00A66008">
      <w:pPr>
        <w:pStyle w:val="Heading2"/>
      </w:pPr>
      <w:bookmarkStart w:id="16" w:name="_Toc120022460"/>
      <w:r w:rsidRPr="00A66008">
        <w:t>3. situācijas analīze. Medicīnas laboratorija</w:t>
      </w:r>
      <w:bookmarkStart w:id="17" w:name="_bookmark8"/>
      <w:bookmarkEnd w:id="17"/>
      <w:bookmarkEnd w:id="16"/>
    </w:p>
    <w:p w14:paraId="65EF1442" w14:textId="77777777" w:rsidR="00605273" w:rsidRPr="00605273" w:rsidRDefault="00605273" w:rsidP="00605273">
      <w:pPr>
        <w:jc w:val="both"/>
        <w:rPr>
          <w:rFonts w:ascii="Times New Roman" w:eastAsia="Arial" w:hAnsi="Times New Roman" w:cs="Times New Roman"/>
          <w:b/>
          <w:bCs/>
          <w:noProof/>
          <w:sz w:val="24"/>
          <w:szCs w:val="24"/>
        </w:rPr>
      </w:pPr>
    </w:p>
    <w:p w14:paraId="1FE925A2" w14:textId="77777777" w:rsidR="00605273" w:rsidRPr="00605273" w:rsidRDefault="00605273" w:rsidP="00605273">
      <w:pPr>
        <w:pStyle w:val="BodyText"/>
        <w:rPr>
          <w:b/>
          <w:bCs/>
        </w:rPr>
      </w:pPr>
      <w:r>
        <w:rPr>
          <w:b/>
        </w:rPr>
        <w:t>Akreditētie mērījumi, ko veic laboratorija</w:t>
      </w:r>
    </w:p>
    <w:p w14:paraId="4E5582C8" w14:textId="77777777" w:rsidR="00605273" w:rsidRPr="00605273" w:rsidRDefault="00605273" w:rsidP="00605273">
      <w:pPr>
        <w:jc w:val="both"/>
        <w:rPr>
          <w:rFonts w:ascii="Times New Roman" w:eastAsia="Arial" w:hAnsi="Times New Roman" w:cs="Times New Roman"/>
          <w:b/>
          <w:bCs/>
          <w:noProof/>
          <w:sz w:val="24"/>
          <w:szCs w:val="24"/>
        </w:rPr>
      </w:pPr>
    </w:p>
    <w:p w14:paraId="4186FEB5" w14:textId="77777777" w:rsidR="00605273" w:rsidRPr="00605273" w:rsidRDefault="00605273" w:rsidP="00605273">
      <w:pPr>
        <w:pStyle w:val="BodyText"/>
        <w:numPr>
          <w:ilvl w:val="0"/>
          <w:numId w:val="2"/>
        </w:numPr>
        <w:tabs>
          <w:tab w:val="left" w:pos="567"/>
        </w:tabs>
        <w:ind w:left="0" w:firstLine="0"/>
      </w:pPr>
      <w:r>
        <w:t xml:space="preserve">Narkotisko vielu skrīnings asinīs ar cietfāzes enzīmu imūnsorbences testu </w:t>
      </w:r>
      <w:r>
        <w:rPr>
          <w:i/>
          <w:iCs/>
        </w:rPr>
        <w:t>ELISA</w:t>
      </w:r>
      <w:r>
        <w:t xml:space="preserve"> (</w:t>
      </w:r>
      <w:r>
        <w:rPr>
          <w:i/>
          <w:iCs/>
        </w:rPr>
        <w:t>Enzyme-Linked Immunosorbent Assay</w:t>
      </w:r>
      <w:r>
        <w:t xml:space="preserve">) un šķidrās fāzes enzīmu imūntestu </w:t>
      </w:r>
      <w:r>
        <w:rPr>
          <w:i/>
          <w:iCs/>
        </w:rPr>
        <w:t>Liquid EIA</w:t>
      </w:r>
      <w:r>
        <w:t xml:space="preserve"> (</w:t>
      </w:r>
      <w:r>
        <w:rPr>
          <w:i/>
          <w:iCs/>
        </w:rPr>
        <w:t>Enzyme Immunoassay</w:t>
      </w:r>
      <w:r>
        <w:t>)</w:t>
      </w:r>
    </w:p>
    <w:p w14:paraId="72E64D9A" w14:textId="77777777" w:rsidR="00605273" w:rsidRPr="00605273" w:rsidRDefault="00605273" w:rsidP="00605273">
      <w:pPr>
        <w:pStyle w:val="BodyText"/>
        <w:numPr>
          <w:ilvl w:val="0"/>
          <w:numId w:val="2"/>
        </w:numPr>
        <w:tabs>
          <w:tab w:val="left" w:pos="567"/>
        </w:tabs>
        <w:ind w:left="0" w:firstLine="0"/>
      </w:pPr>
      <w:r>
        <w:t xml:space="preserve">Narkotisko vielu skrīnings urīnā ar </w:t>
      </w:r>
      <w:r>
        <w:rPr>
          <w:i/>
          <w:iCs/>
        </w:rPr>
        <w:t>ELISA</w:t>
      </w:r>
      <w:r>
        <w:t xml:space="preserve"> un šķidrās fāzes </w:t>
      </w:r>
      <w:r>
        <w:rPr>
          <w:i/>
          <w:iCs/>
        </w:rPr>
        <w:t>EIA</w:t>
      </w:r>
    </w:p>
    <w:p w14:paraId="083C03B6" w14:textId="77777777" w:rsidR="00605273" w:rsidRPr="00605273" w:rsidRDefault="00605273" w:rsidP="00605273">
      <w:pPr>
        <w:pStyle w:val="BodyText"/>
        <w:numPr>
          <w:ilvl w:val="0"/>
          <w:numId w:val="2"/>
        </w:numPr>
        <w:tabs>
          <w:tab w:val="left" w:pos="567"/>
        </w:tabs>
        <w:ind w:left="0" w:firstLine="0"/>
      </w:pPr>
      <w:r>
        <w:t xml:space="preserve">Amfetamīna apstiprināšana asinīs un urīnā ar </w:t>
      </w:r>
      <w:r>
        <w:rPr>
          <w:i/>
          <w:iCs/>
        </w:rPr>
        <w:t>GC-MS</w:t>
      </w:r>
      <w:r>
        <w:t xml:space="preserve"> (gāzu hromatogrāfija–masspektrometrija)</w:t>
      </w:r>
    </w:p>
    <w:p w14:paraId="01670CDA" w14:textId="77777777" w:rsidR="00605273" w:rsidRPr="00605273" w:rsidRDefault="00605273" w:rsidP="00605273">
      <w:pPr>
        <w:pStyle w:val="BodyText"/>
        <w:numPr>
          <w:ilvl w:val="0"/>
          <w:numId w:val="2"/>
        </w:numPr>
        <w:tabs>
          <w:tab w:val="left" w:pos="567"/>
        </w:tabs>
        <w:ind w:left="0" w:firstLine="0"/>
      </w:pPr>
      <w:r>
        <w:t xml:space="preserve">Amfetamīna apstiprināšana urīnā ar </w:t>
      </w:r>
      <w:r>
        <w:rPr>
          <w:i/>
          <w:iCs/>
        </w:rPr>
        <w:t>GC-MS</w:t>
      </w:r>
    </w:p>
    <w:p w14:paraId="6964AF5B" w14:textId="77777777" w:rsidR="00605273" w:rsidRPr="00605273" w:rsidRDefault="00605273" w:rsidP="00605273">
      <w:pPr>
        <w:pStyle w:val="BodyText"/>
        <w:numPr>
          <w:ilvl w:val="0"/>
          <w:numId w:val="2"/>
        </w:numPr>
        <w:tabs>
          <w:tab w:val="left" w:pos="567"/>
        </w:tabs>
        <w:ind w:left="0" w:firstLine="0"/>
      </w:pPr>
      <w:r>
        <w:t xml:space="preserve">Kodeīna apstiprināšana asinīs ar </w:t>
      </w:r>
      <w:r>
        <w:rPr>
          <w:i/>
          <w:iCs/>
        </w:rPr>
        <w:t>GC-MS</w:t>
      </w:r>
    </w:p>
    <w:p w14:paraId="56A81DAF" w14:textId="77777777" w:rsidR="00605273" w:rsidRPr="00605273" w:rsidRDefault="00605273" w:rsidP="00605273">
      <w:pPr>
        <w:pStyle w:val="BodyText"/>
        <w:numPr>
          <w:ilvl w:val="0"/>
          <w:numId w:val="2"/>
        </w:numPr>
        <w:tabs>
          <w:tab w:val="left" w:pos="567"/>
        </w:tabs>
        <w:ind w:left="0" w:firstLine="0"/>
      </w:pPr>
      <w:r>
        <w:t xml:space="preserve">Kodeīna apstiprināšana urīnā ar </w:t>
      </w:r>
      <w:r>
        <w:rPr>
          <w:i/>
          <w:iCs/>
        </w:rPr>
        <w:t>GC-MS</w:t>
      </w:r>
    </w:p>
    <w:p w14:paraId="0A87AFE6" w14:textId="77777777" w:rsidR="00605273" w:rsidRPr="00605273" w:rsidRDefault="00605273" w:rsidP="00605273">
      <w:pPr>
        <w:pStyle w:val="BodyText"/>
        <w:numPr>
          <w:ilvl w:val="0"/>
          <w:numId w:val="2"/>
        </w:numPr>
        <w:tabs>
          <w:tab w:val="left" w:pos="567"/>
        </w:tabs>
        <w:ind w:left="0" w:firstLine="0"/>
      </w:pPr>
      <w:r>
        <w:t xml:space="preserve">Diazepāma apstiprināšana asinīs </w:t>
      </w:r>
      <w:r>
        <w:rPr>
          <w:i/>
          <w:iCs/>
        </w:rPr>
        <w:t>LC-MS/MS</w:t>
      </w:r>
      <w:r>
        <w:t xml:space="preserve"> (šķidrumu hromatogrāfija–masspektrometrija)</w:t>
      </w:r>
    </w:p>
    <w:p w14:paraId="1273BE8F" w14:textId="77777777" w:rsidR="00605273" w:rsidRPr="00605273" w:rsidRDefault="00605273" w:rsidP="00605273">
      <w:pPr>
        <w:pStyle w:val="BodyText"/>
        <w:numPr>
          <w:ilvl w:val="0"/>
          <w:numId w:val="2"/>
        </w:numPr>
        <w:tabs>
          <w:tab w:val="left" w:pos="567"/>
        </w:tabs>
        <w:ind w:left="0" w:firstLine="0"/>
      </w:pPr>
      <w:r>
        <w:t xml:space="preserve">Diazepāma apstiprināšana urīnā ar </w:t>
      </w:r>
      <w:r>
        <w:rPr>
          <w:i/>
          <w:iCs/>
        </w:rPr>
        <w:t>LC-MS/MS</w:t>
      </w:r>
    </w:p>
    <w:p w14:paraId="7D6229AB" w14:textId="77777777" w:rsidR="00605273" w:rsidRPr="00605273" w:rsidRDefault="00605273" w:rsidP="00605273">
      <w:pPr>
        <w:pStyle w:val="BodyText"/>
        <w:numPr>
          <w:ilvl w:val="0"/>
          <w:numId w:val="2"/>
        </w:numPr>
        <w:tabs>
          <w:tab w:val="left" w:pos="567"/>
        </w:tabs>
        <w:ind w:left="0" w:firstLine="0"/>
      </w:pPr>
      <w:r>
        <w:t xml:space="preserve">Kokaīna apstiprināšana asinīs ar </w:t>
      </w:r>
      <w:r>
        <w:rPr>
          <w:i/>
          <w:iCs/>
        </w:rPr>
        <w:t>LC-MS/MS</w:t>
      </w:r>
    </w:p>
    <w:p w14:paraId="39E58E64" w14:textId="77777777" w:rsidR="00605273" w:rsidRPr="00605273" w:rsidRDefault="00605273" w:rsidP="00605273">
      <w:pPr>
        <w:pStyle w:val="BodyText"/>
        <w:numPr>
          <w:ilvl w:val="0"/>
          <w:numId w:val="2"/>
        </w:numPr>
        <w:tabs>
          <w:tab w:val="left" w:pos="567"/>
        </w:tabs>
        <w:ind w:left="0" w:firstLine="0"/>
      </w:pPr>
      <w:r>
        <w:t xml:space="preserve">Kokaīna apstiprināšana urīnā ar </w:t>
      </w:r>
      <w:r>
        <w:rPr>
          <w:i/>
          <w:iCs/>
        </w:rPr>
        <w:t>LC-MS/MS</w:t>
      </w:r>
    </w:p>
    <w:p w14:paraId="3694632D" w14:textId="77777777" w:rsidR="00605273" w:rsidRPr="00605273" w:rsidRDefault="00605273" w:rsidP="00605273">
      <w:pPr>
        <w:pStyle w:val="BodyText"/>
        <w:numPr>
          <w:ilvl w:val="0"/>
          <w:numId w:val="2"/>
        </w:numPr>
        <w:tabs>
          <w:tab w:val="left" w:pos="567"/>
        </w:tabs>
        <w:ind w:left="0" w:firstLine="0"/>
      </w:pPr>
      <w:r>
        <w:t xml:space="preserve">EDDP (2-etilidīn-1,5-dimetil-3,3-difenilpiralidīns) apstiprināšana asinīs ar </w:t>
      </w:r>
      <w:r>
        <w:rPr>
          <w:i/>
          <w:iCs/>
        </w:rPr>
        <w:t>LC-MS/MS</w:t>
      </w:r>
    </w:p>
    <w:p w14:paraId="75AD8ECF" w14:textId="77777777" w:rsidR="00605273" w:rsidRPr="00605273" w:rsidRDefault="00605273" w:rsidP="00605273">
      <w:pPr>
        <w:pStyle w:val="BodyText"/>
        <w:numPr>
          <w:ilvl w:val="0"/>
          <w:numId w:val="2"/>
        </w:numPr>
        <w:tabs>
          <w:tab w:val="left" w:pos="567"/>
        </w:tabs>
        <w:ind w:left="0" w:firstLine="0"/>
      </w:pPr>
      <w:r>
        <w:t xml:space="preserve">EDDP apstiprināšana urīnā ar </w:t>
      </w:r>
      <w:r>
        <w:rPr>
          <w:i/>
          <w:iCs/>
        </w:rPr>
        <w:t>LC-MS/MS</w:t>
      </w:r>
    </w:p>
    <w:p w14:paraId="1E4C96C2" w14:textId="77777777" w:rsidR="00605273" w:rsidRPr="00605273" w:rsidRDefault="00605273" w:rsidP="00605273">
      <w:pPr>
        <w:pStyle w:val="BodyText"/>
        <w:numPr>
          <w:ilvl w:val="0"/>
          <w:numId w:val="2"/>
        </w:numPr>
        <w:tabs>
          <w:tab w:val="left" w:pos="567"/>
        </w:tabs>
        <w:ind w:left="0" w:firstLine="0"/>
      </w:pPr>
      <w:r>
        <w:t xml:space="preserve">Buprenorfīna apstiprināšana asinīs ar </w:t>
      </w:r>
      <w:r>
        <w:rPr>
          <w:i/>
          <w:iCs/>
        </w:rPr>
        <w:t>GC-MS/MS</w:t>
      </w:r>
    </w:p>
    <w:p w14:paraId="7B40582E" w14:textId="77777777" w:rsidR="00605273" w:rsidRPr="00605273" w:rsidRDefault="00605273" w:rsidP="00605273">
      <w:pPr>
        <w:pStyle w:val="BodyText"/>
        <w:numPr>
          <w:ilvl w:val="0"/>
          <w:numId w:val="2"/>
        </w:numPr>
        <w:tabs>
          <w:tab w:val="left" w:pos="567"/>
        </w:tabs>
        <w:ind w:left="0" w:firstLine="0"/>
      </w:pPr>
      <w:r>
        <w:t xml:space="preserve">Buprenorfīna apstiprināšana urīnā ar </w:t>
      </w:r>
      <w:r>
        <w:rPr>
          <w:i/>
          <w:iCs/>
        </w:rPr>
        <w:t>GC-MS/MS</w:t>
      </w:r>
    </w:p>
    <w:p w14:paraId="6E83D664" w14:textId="77777777" w:rsidR="00605273" w:rsidRPr="00605273" w:rsidRDefault="00605273" w:rsidP="00605273">
      <w:pPr>
        <w:pStyle w:val="BodyText"/>
        <w:numPr>
          <w:ilvl w:val="0"/>
          <w:numId w:val="2"/>
        </w:numPr>
        <w:tabs>
          <w:tab w:val="left" w:pos="567"/>
        </w:tabs>
        <w:ind w:left="0" w:firstLine="0"/>
      </w:pPr>
      <w:r>
        <w:t xml:space="preserve">Tetrahidrokanabinola apstiprināšana asinīs ar </w:t>
      </w:r>
      <w:r>
        <w:rPr>
          <w:i/>
          <w:iCs/>
        </w:rPr>
        <w:t>GC-MS/MS</w:t>
      </w:r>
    </w:p>
    <w:p w14:paraId="52C4B9EE" w14:textId="77777777" w:rsidR="00605273" w:rsidRPr="00605273" w:rsidRDefault="00605273" w:rsidP="00605273">
      <w:pPr>
        <w:pStyle w:val="BodyText"/>
        <w:numPr>
          <w:ilvl w:val="0"/>
          <w:numId w:val="2"/>
        </w:numPr>
        <w:tabs>
          <w:tab w:val="left" w:pos="567"/>
        </w:tabs>
        <w:ind w:left="0" w:firstLine="0"/>
      </w:pPr>
      <w:r>
        <w:t xml:space="preserve">Tetrahidrokanabinola apstiprināšana urīnā ar </w:t>
      </w:r>
      <w:r>
        <w:rPr>
          <w:i/>
          <w:iCs/>
        </w:rPr>
        <w:t>GC-MS/MS</w:t>
      </w:r>
    </w:p>
    <w:p w14:paraId="601DC630" w14:textId="77777777" w:rsidR="00605273" w:rsidRPr="00605273" w:rsidRDefault="00605273" w:rsidP="00605273">
      <w:pPr>
        <w:jc w:val="both"/>
        <w:rPr>
          <w:rFonts w:ascii="Times New Roman" w:eastAsia="Arial" w:hAnsi="Times New Roman" w:cs="Times New Roman"/>
          <w:noProof/>
          <w:sz w:val="24"/>
          <w:szCs w:val="24"/>
        </w:rPr>
      </w:pPr>
    </w:p>
    <w:p w14:paraId="7148FA66" w14:textId="77777777" w:rsidR="00605273" w:rsidRPr="00605273" w:rsidRDefault="00605273" w:rsidP="00605273">
      <w:pPr>
        <w:pStyle w:val="BodyText"/>
        <w:rPr>
          <w:b/>
          <w:bCs/>
        </w:rPr>
      </w:pPr>
      <w:r>
        <w:rPr>
          <w:b/>
        </w:rPr>
        <w:t>Tehniskās kompetences jomu noteikšanas apsvērumi</w:t>
      </w:r>
    </w:p>
    <w:p w14:paraId="17BB0887" w14:textId="77777777" w:rsidR="00605273" w:rsidRPr="00605273" w:rsidRDefault="00605273" w:rsidP="00605273">
      <w:pPr>
        <w:jc w:val="both"/>
        <w:rPr>
          <w:rFonts w:ascii="Times New Roman" w:eastAsia="Arial" w:hAnsi="Times New Roman" w:cs="Times New Roman"/>
          <w:b/>
          <w:bCs/>
          <w:noProof/>
          <w:sz w:val="24"/>
          <w:szCs w:val="24"/>
        </w:rPr>
      </w:pPr>
    </w:p>
    <w:p w14:paraId="7D42E50D" w14:textId="77777777" w:rsidR="00605273" w:rsidRPr="00605273" w:rsidRDefault="00605273" w:rsidP="00605273">
      <w:pPr>
        <w:pStyle w:val="BodyText"/>
        <w:numPr>
          <w:ilvl w:val="0"/>
          <w:numId w:val="2"/>
        </w:numPr>
        <w:tabs>
          <w:tab w:val="left" w:pos="567"/>
        </w:tabs>
        <w:ind w:left="0" w:firstLine="0"/>
      </w:pPr>
      <w:r>
        <w:t>Narkotisko vielu skrīningam izmanto divas atšķirīgas metodes, tomēr abas ir verificētas izmantošanai ar asins un urīna paraugiem. Tādējādi laboratorija norāda šīs metodes kā divas tehniskās kompetences jomas.</w:t>
      </w:r>
    </w:p>
    <w:p w14:paraId="0A5A24E7" w14:textId="77777777" w:rsidR="00605273" w:rsidRPr="00605273" w:rsidRDefault="00605273" w:rsidP="00605273">
      <w:pPr>
        <w:jc w:val="both"/>
        <w:rPr>
          <w:rFonts w:ascii="Times New Roman" w:eastAsia="Arial" w:hAnsi="Times New Roman" w:cs="Times New Roman"/>
          <w:noProof/>
          <w:sz w:val="24"/>
          <w:szCs w:val="24"/>
        </w:rPr>
      </w:pPr>
    </w:p>
    <w:p w14:paraId="3F466B17" w14:textId="77777777" w:rsidR="00605273" w:rsidRPr="00605273" w:rsidRDefault="00605273" w:rsidP="00605273">
      <w:pPr>
        <w:pStyle w:val="BodyText"/>
        <w:numPr>
          <w:ilvl w:val="0"/>
          <w:numId w:val="2"/>
        </w:numPr>
        <w:tabs>
          <w:tab w:val="left" w:pos="567"/>
        </w:tabs>
        <w:ind w:left="0" w:firstLine="0"/>
      </w:pPr>
      <w:r>
        <w:t>Lai arī dažādu narkotisko vielu apstiprināšanai izmantotie trīs paņēmieni ir ļoti atšķirīgi, visi trīs ir validēti gan asins, gan urīna matricām. Turklāt tiek uzskatīts, ka katra atšķirīgā noteikšanas sistēma pieder atsevišķai tehniskās kompetences jomu grupai. Narkotiskās vielas, lai arī pieder atšķirīgām produktu kategorijām, tiek uzskatītas par līdzvērtīgām no kompetences viedokļa. Tādējādi laboratorija norāda, ka tā veic apstiprinājuma testus trijās papildu tehniskās kompetences jomās.</w:t>
      </w:r>
    </w:p>
    <w:p w14:paraId="0B871B8A" w14:textId="77777777" w:rsidR="00605273" w:rsidRPr="00605273" w:rsidRDefault="00605273" w:rsidP="00605273">
      <w:pPr>
        <w:jc w:val="both"/>
        <w:rPr>
          <w:rFonts w:ascii="Times New Roman" w:eastAsia="Arial" w:hAnsi="Times New Roman" w:cs="Times New Roman"/>
          <w:noProof/>
          <w:sz w:val="24"/>
          <w:szCs w:val="24"/>
        </w:rPr>
      </w:pPr>
    </w:p>
    <w:p w14:paraId="593829DD" w14:textId="77777777" w:rsidR="00605273" w:rsidRPr="00605273" w:rsidRDefault="00605273" w:rsidP="00605273">
      <w:pPr>
        <w:pStyle w:val="BodyText"/>
        <w:rPr>
          <w:b/>
          <w:bCs/>
        </w:rPr>
      </w:pPr>
      <w:r>
        <w:rPr>
          <w:b/>
        </w:rPr>
        <w:t>Šā uzdevuma rezultātā noteiktās tehniskās kompetences jomas</w:t>
      </w:r>
    </w:p>
    <w:p w14:paraId="5AAAEDFB" w14:textId="77777777" w:rsidR="00605273" w:rsidRPr="00605273" w:rsidRDefault="00605273" w:rsidP="00605273">
      <w:pPr>
        <w:jc w:val="both"/>
        <w:rPr>
          <w:rFonts w:ascii="Times New Roman" w:eastAsia="Arial" w:hAnsi="Times New Roman" w:cs="Times New Roman"/>
          <w:b/>
          <w:bCs/>
          <w:noProof/>
          <w:sz w:val="24"/>
          <w:szCs w:val="24"/>
        </w:rPr>
      </w:pPr>
    </w:p>
    <w:p w14:paraId="6A78A932" w14:textId="77777777" w:rsidR="00605273" w:rsidRPr="00605273" w:rsidRDefault="00605273" w:rsidP="00605273">
      <w:pPr>
        <w:pStyle w:val="BodyText"/>
        <w:numPr>
          <w:ilvl w:val="0"/>
          <w:numId w:val="2"/>
        </w:numPr>
        <w:tabs>
          <w:tab w:val="left" w:pos="567"/>
        </w:tabs>
        <w:ind w:left="0" w:firstLine="0"/>
      </w:pPr>
      <w:r>
        <w:t xml:space="preserve">Narkotisko vielu skrīnings asinīs un urīnā ar </w:t>
      </w:r>
      <w:r>
        <w:rPr>
          <w:i/>
          <w:iCs/>
        </w:rPr>
        <w:t>ELISA</w:t>
      </w:r>
    </w:p>
    <w:p w14:paraId="31FFDC66" w14:textId="77777777" w:rsidR="00605273" w:rsidRPr="00605273" w:rsidRDefault="00605273" w:rsidP="00605273">
      <w:pPr>
        <w:pStyle w:val="BodyText"/>
        <w:numPr>
          <w:ilvl w:val="0"/>
          <w:numId w:val="2"/>
        </w:numPr>
        <w:tabs>
          <w:tab w:val="left" w:pos="567"/>
        </w:tabs>
        <w:ind w:left="0" w:firstLine="0"/>
      </w:pPr>
      <w:r>
        <w:t xml:space="preserve">Narkotisko vielu skrīnings asinīs un urīnā ar šķidrās fāzes </w:t>
      </w:r>
      <w:r>
        <w:rPr>
          <w:i/>
          <w:iCs/>
        </w:rPr>
        <w:t>EIA</w:t>
      </w:r>
    </w:p>
    <w:p w14:paraId="3FB70AD9" w14:textId="77777777" w:rsidR="00605273" w:rsidRPr="00605273" w:rsidRDefault="00605273" w:rsidP="00605273">
      <w:pPr>
        <w:pStyle w:val="BodyText"/>
        <w:numPr>
          <w:ilvl w:val="0"/>
          <w:numId w:val="2"/>
        </w:numPr>
        <w:tabs>
          <w:tab w:val="left" w:pos="567"/>
        </w:tabs>
        <w:ind w:left="0" w:firstLine="0"/>
      </w:pPr>
      <w:r>
        <w:t xml:space="preserve">Amfetamīna un kodeīna apstiprināšana asinīs un urīnā ar </w:t>
      </w:r>
      <w:r>
        <w:rPr>
          <w:i/>
          <w:iCs/>
        </w:rPr>
        <w:t>GC-MS*</w:t>
      </w:r>
    </w:p>
    <w:p w14:paraId="6C27FFD8" w14:textId="77777777" w:rsidR="00605273" w:rsidRPr="00605273" w:rsidRDefault="00605273" w:rsidP="00605273">
      <w:pPr>
        <w:pStyle w:val="BodyText"/>
        <w:numPr>
          <w:ilvl w:val="0"/>
          <w:numId w:val="2"/>
        </w:numPr>
        <w:tabs>
          <w:tab w:val="left" w:pos="567"/>
        </w:tabs>
        <w:ind w:left="0" w:firstLine="0"/>
      </w:pPr>
      <w:r>
        <w:t xml:space="preserve">Diazepāma, kokaīna un EDDP apstiprināšana asinīs un urīnā ar </w:t>
      </w:r>
      <w:r>
        <w:rPr>
          <w:i/>
          <w:iCs/>
        </w:rPr>
        <w:t>LC-MS/MS*</w:t>
      </w:r>
    </w:p>
    <w:p w14:paraId="558EF994" w14:textId="77777777" w:rsidR="00605273" w:rsidRPr="00605273" w:rsidRDefault="00605273" w:rsidP="00605273">
      <w:pPr>
        <w:pStyle w:val="BodyText"/>
        <w:numPr>
          <w:ilvl w:val="0"/>
          <w:numId w:val="2"/>
        </w:numPr>
        <w:tabs>
          <w:tab w:val="left" w:pos="567"/>
        </w:tabs>
        <w:ind w:left="0" w:firstLine="0"/>
      </w:pPr>
      <w:r>
        <w:t xml:space="preserve">Buprenorfīna un tetrahidrokanabinola apstiprināšana asinīs un urīnā ar </w:t>
      </w:r>
      <w:r>
        <w:rPr>
          <w:i/>
          <w:iCs/>
        </w:rPr>
        <w:t>GC-MS/MS*</w:t>
      </w:r>
    </w:p>
    <w:p w14:paraId="69098332" w14:textId="77777777" w:rsidR="00605273" w:rsidRPr="00605273" w:rsidRDefault="00605273" w:rsidP="00605273">
      <w:pPr>
        <w:jc w:val="both"/>
        <w:rPr>
          <w:rFonts w:ascii="Times New Roman" w:eastAsia="Arial" w:hAnsi="Times New Roman" w:cs="Times New Roman"/>
          <w:noProof/>
          <w:sz w:val="24"/>
          <w:szCs w:val="24"/>
        </w:rPr>
      </w:pPr>
    </w:p>
    <w:p w14:paraId="2CFB0C9A" w14:textId="77777777" w:rsidR="00605273" w:rsidRPr="00605273" w:rsidRDefault="00605273" w:rsidP="00605273">
      <w:pPr>
        <w:pStyle w:val="BodyText"/>
      </w:pPr>
      <w:r>
        <w:t xml:space="preserve">* Piezīme. Lai arī dažādas narkotiskās vielas ir apvienotas vienā tehniskās kompetences jomā katrai noteikšanas sistēmai, ņemot vērā to līdzvērtību no kompetences viedokļa, tas nenozīmē, ka tās ir līdzvērtīgas metodes un laboratorijas veiktspējas ziņā. Tāpēc laboratorijai vajadzētu </w:t>
      </w:r>
      <w:r>
        <w:lastRenderedPageBreak/>
        <w:t>veikt šīs PP, konkrēti periodiski aptverot savā sfērā visas narkotiskās vielas. Paredzams, ka tās to skaidri norāda savā prasmes pārbaudes stratēģijā.</w:t>
      </w:r>
      <w:bookmarkStart w:id="18" w:name="_bookmark9"/>
      <w:bookmarkEnd w:id="18"/>
    </w:p>
    <w:p w14:paraId="361F37F4" w14:textId="77777777" w:rsidR="00605273" w:rsidRPr="00605273" w:rsidRDefault="00605273" w:rsidP="00605273">
      <w:pPr>
        <w:jc w:val="both"/>
        <w:rPr>
          <w:rFonts w:ascii="Times New Roman" w:eastAsia="Arial" w:hAnsi="Times New Roman" w:cs="Times New Roman"/>
          <w:noProof/>
          <w:sz w:val="24"/>
          <w:szCs w:val="24"/>
        </w:rPr>
      </w:pPr>
    </w:p>
    <w:p w14:paraId="66B25478" w14:textId="77777777" w:rsidR="00605273" w:rsidRPr="00605273" w:rsidRDefault="00605273" w:rsidP="00605273">
      <w:pPr>
        <w:pStyle w:val="BodyText"/>
        <w:rPr>
          <w:b/>
          <w:bCs/>
        </w:rPr>
      </w:pPr>
      <w:r>
        <w:rPr>
          <w:b/>
        </w:rPr>
        <w:t>Dalības biežuma noteikšanas apsvērumi</w:t>
      </w:r>
    </w:p>
    <w:p w14:paraId="625F6EB6" w14:textId="77777777" w:rsidR="00605273" w:rsidRPr="00605273" w:rsidRDefault="00605273" w:rsidP="00605273">
      <w:pPr>
        <w:jc w:val="both"/>
        <w:rPr>
          <w:rFonts w:ascii="Times New Roman" w:eastAsia="Arial" w:hAnsi="Times New Roman" w:cs="Times New Roman"/>
          <w:b/>
          <w:bCs/>
          <w:noProof/>
          <w:sz w:val="24"/>
          <w:szCs w:val="24"/>
        </w:rPr>
      </w:pPr>
    </w:p>
    <w:p w14:paraId="02272446" w14:textId="77777777" w:rsidR="00605273" w:rsidRPr="00605273" w:rsidRDefault="00605273" w:rsidP="00605273">
      <w:pPr>
        <w:pStyle w:val="BodyText"/>
      </w:pPr>
      <w:r>
        <w:t>Dažādām kompetences jomām laboratorija ir noteikusi turpmāk minēto biežumu.</w:t>
      </w:r>
    </w:p>
    <w:p w14:paraId="32A730FA" w14:textId="77777777" w:rsidR="00605273" w:rsidRPr="00605273" w:rsidRDefault="00605273" w:rsidP="00605273">
      <w:pPr>
        <w:jc w:val="both"/>
        <w:rPr>
          <w:rFonts w:ascii="Times New Roman" w:eastAsia="Arial" w:hAnsi="Times New Roman" w:cs="Times New Roman"/>
          <w:noProof/>
          <w:sz w:val="24"/>
          <w:szCs w:val="24"/>
        </w:rPr>
      </w:pPr>
    </w:p>
    <w:p w14:paraId="530EAC5B" w14:textId="77777777" w:rsidR="00605273" w:rsidRPr="00605273" w:rsidRDefault="00605273" w:rsidP="00605273">
      <w:pPr>
        <w:pStyle w:val="BodyText"/>
        <w:numPr>
          <w:ilvl w:val="0"/>
          <w:numId w:val="2"/>
        </w:numPr>
        <w:tabs>
          <w:tab w:val="left" w:pos="567"/>
        </w:tabs>
        <w:ind w:left="0" w:firstLine="0"/>
      </w:pPr>
      <w:r>
        <w:t xml:space="preserve">Attiecībā uz narkotisko vielu skrīningu laboratorija atzīst, ka, lai arī metodes ir atšķirīgas, tās ir piemērojamas gan asinīm, gan urīnam. Pieejamā PP programmā ietilpst gan </w:t>
      </w:r>
      <w:r>
        <w:rPr>
          <w:i/>
          <w:iCs/>
        </w:rPr>
        <w:t>ELISA</w:t>
      </w:r>
      <w:r>
        <w:t xml:space="preserve">, gan šķidrās fāzes </w:t>
      </w:r>
      <w:r>
        <w:rPr>
          <w:i/>
          <w:iCs/>
        </w:rPr>
        <w:t>EIA</w:t>
      </w:r>
      <w:r>
        <w:t xml:space="preserve"> metodes, un saskaņā ar to katru mēnesi tiek testētas abas matricas. Tāpēc laboratorija ir nolēmusi piedalīties katru mēnesi ar abām metodēm, bet matricas izmantot pamīšus, t. i., sešas reizes gadā piedaloties ar asins paraugiem un sešas reizes gadā – ar urīna paraugiem.</w:t>
      </w:r>
    </w:p>
    <w:p w14:paraId="74F6FF1D" w14:textId="77777777" w:rsidR="00605273" w:rsidRPr="00605273" w:rsidRDefault="00605273" w:rsidP="00605273">
      <w:pPr>
        <w:jc w:val="both"/>
        <w:rPr>
          <w:rFonts w:ascii="Times New Roman" w:eastAsia="Arial" w:hAnsi="Times New Roman" w:cs="Times New Roman"/>
          <w:noProof/>
          <w:sz w:val="24"/>
          <w:szCs w:val="24"/>
        </w:rPr>
      </w:pPr>
    </w:p>
    <w:p w14:paraId="42A5F67E" w14:textId="77777777" w:rsidR="00605273" w:rsidRPr="00605273" w:rsidRDefault="00605273" w:rsidP="00605273">
      <w:pPr>
        <w:pStyle w:val="BodyText"/>
        <w:numPr>
          <w:ilvl w:val="0"/>
          <w:numId w:val="2"/>
        </w:numPr>
        <w:tabs>
          <w:tab w:val="left" w:pos="567"/>
        </w:tabs>
        <w:ind w:left="0" w:firstLine="0"/>
      </w:pPr>
      <w:r>
        <w:t>Attiecībā uz apstiprinājuma testiem testēto paraugu apjoms ir daudz mazāks nekā skrīninga testos. Tomēr tiek atzīts, ka, lai arī narkotisko vielu grupas var ietilpt vienā tehniskās kompetences jomā attiecībā uz konkrētu paņēmienu, ir svarīgi nodrošināt, lai saskaņotā laikposmā piedaloties PP, tiktu ietvertas visas narkotiskās vielas. Turklāt, pamatojoties uz šo testu rezultātiem, tiek pieņemti svarīgi lēmumi. Tāpēc laboratorija nolemj katru mēnesi ar katru no paņēmieniem, kuros izmanto asins un urīna paraugus, piedalīties PP programmā, kas pietiekami aptver visas narkotiskās vielas, kurām ir nepieciešams ikgadējais apstiprinājums.</w:t>
      </w:r>
    </w:p>
    <w:p w14:paraId="73EE1C75" w14:textId="77777777" w:rsidR="00605273" w:rsidRPr="00605273" w:rsidRDefault="00605273" w:rsidP="00605273">
      <w:pPr>
        <w:jc w:val="both"/>
        <w:rPr>
          <w:rFonts w:ascii="Times New Roman" w:eastAsia="Arial" w:hAnsi="Times New Roman" w:cs="Times New Roman"/>
          <w:noProof/>
          <w:sz w:val="24"/>
          <w:szCs w:val="24"/>
        </w:rPr>
      </w:pPr>
    </w:p>
    <w:p w14:paraId="10C6A8CC" w14:textId="77777777" w:rsidR="00605273" w:rsidRPr="00605273" w:rsidRDefault="00605273" w:rsidP="00605273">
      <w:pPr>
        <w:pStyle w:val="BodyText"/>
        <w:rPr>
          <w:b/>
          <w:bCs/>
        </w:rPr>
      </w:pPr>
      <w:r>
        <w:rPr>
          <w:b/>
        </w:rPr>
        <w:t>Kopsavilkuma tabula</w:t>
      </w:r>
    </w:p>
    <w:p w14:paraId="304649FD" w14:textId="77777777" w:rsidR="00605273" w:rsidRPr="00605273" w:rsidRDefault="00605273" w:rsidP="00605273">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637"/>
        <w:gridCol w:w="2029"/>
        <w:gridCol w:w="1544"/>
        <w:gridCol w:w="2588"/>
        <w:gridCol w:w="2333"/>
      </w:tblGrid>
      <w:tr w:rsidR="00605273" w:rsidRPr="00605273" w14:paraId="44C4747B" w14:textId="77777777" w:rsidTr="009C4FC9">
        <w:tc>
          <w:tcPr>
            <w:tcW w:w="363" w:type="pct"/>
            <w:tcBorders>
              <w:top w:val="single" w:sz="5" w:space="0" w:color="000000"/>
              <w:left w:val="single" w:sz="5" w:space="0" w:color="000000"/>
              <w:bottom w:val="single" w:sz="5" w:space="0" w:color="000000"/>
              <w:right w:val="single" w:sz="5" w:space="0" w:color="000000"/>
            </w:tcBorders>
          </w:tcPr>
          <w:p w14:paraId="13914B60" w14:textId="77777777" w:rsidR="00605273" w:rsidRPr="00605273" w:rsidRDefault="00605273" w:rsidP="009C4FC9">
            <w:pPr>
              <w:jc w:val="both"/>
              <w:rPr>
                <w:rFonts w:ascii="Times New Roman" w:hAnsi="Times New Roman" w:cs="Times New Roman"/>
                <w:noProof/>
                <w:sz w:val="24"/>
                <w:szCs w:val="24"/>
              </w:rPr>
            </w:pPr>
          </w:p>
        </w:tc>
        <w:tc>
          <w:tcPr>
            <w:tcW w:w="1055" w:type="pct"/>
            <w:tcBorders>
              <w:top w:val="single" w:sz="5" w:space="0" w:color="000000"/>
              <w:left w:val="single" w:sz="5" w:space="0" w:color="000000"/>
              <w:bottom w:val="single" w:sz="5" w:space="0" w:color="000000"/>
              <w:right w:val="single" w:sz="5" w:space="0" w:color="000000"/>
            </w:tcBorders>
          </w:tcPr>
          <w:p w14:paraId="48055AE5"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Raksturlielums</w:t>
            </w:r>
          </w:p>
        </w:tc>
        <w:tc>
          <w:tcPr>
            <w:tcW w:w="859" w:type="pct"/>
            <w:tcBorders>
              <w:top w:val="single" w:sz="5" w:space="0" w:color="000000"/>
              <w:left w:val="single" w:sz="5" w:space="0" w:color="000000"/>
              <w:bottom w:val="single" w:sz="5" w:space="0" w:color="000000"/>
              <w:right w:val="single" w:sz="5" w:space="0" w:color="000000"/>
            </w:tcBorders>
          </w:tcPr>
          <w:p w14:paraId="107CE5CD"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Produkts</w:t>
            </w:r>
          </w:p>
        </w:tc>
        <w:tc>
          <w:tcPr>
            <w:tcW w:w="1431" w:type="pct"/>
            <w:tcBorders>
              <w:top w:val="single" w:sz="5" w:space="0" w:color="000000"/>
              <w:left w:val="single" w:sz="5" w:space="0" w:color="000000"/>
              <w:bottom w:val="single" w:sz="5" w:space="0" w:color="000000"/>
              <w:right w:val="single" w:sz="5" w:space="0" w:color="000000"/>
            </w:tcBorders>
          </w:tcPr>
          <w:p w14:paraId="22889E73"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Mērījumu process</w:t>
            </w:r>
          </w:p>
        </w:tc>
        <w:tc>
          <w:tcPr>
            <w:tcW w:w="1291" w:type="pct"/>
            <w:tcBorders>
              <w:top w:val="single" w:sz="5" w:space="0" w:color="000000"/>
              <w:left w:val="single" w:sz="5" w:space="0" w:color="000000"/>
              <w:bottom w:val="single" w:sz="5" w:space="0" w:color="000000"/>
              <w:right w:val="single" w:sz="5" w:space="0" w:color="000000"/>
            </w:tcBorders>
          </w:tcPr>
          <w:p w14:paraId="6E33655C"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Biežums</w:t>
            </w:r>
          </w:p>
        </w:tc>
      </w:tr>
      <w:tr w:rsidR="00605273" w:rsidRPr="00605273" w14:paraId="1785B81D" w14:textId="77777777" w:rsidTr="009C4FC9">
        <w:tc>
          <w:tcPr>
            <w:tcW w:w="363" w:type="pct"/>
            <w:tcBorders>
              <w:top w:val="single" w:sz="5" w:space="0" w:color="000000"/>
              <w:left w:val="single" w:sz="5" w:space="0" w:color="000000"/>
              <w:bottom w:val="single" w:sz="5" w:space="0" w:color="000000"/>
              <w:right w:val="single" w:sz="5" w:space="0" w:color="000000"/>
            </w:tcBorders>
          </w:tcPr>
          <w:p w14:paraId="3FB5687A"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w:t>
            </w:r>
          </w:p>
        </w:tc>
        <w:tc>
          <w:tcPr>
            <w:tcW w:w="1055" w:type="pct"/>
            <w:tcBorders>
              <w:top w:val="single" w:sz="5" w:space="0" w:color="000000"/>
              <w:left w:val="single" w:sz="5" w:space="0" w:color="000000"/>
              <w:bottom w:val="single" w:sz="5" w:space="0" w:color="000000"/>
              <w:right w:val="single" w:sz="5" w:space="0" w:color="000000"/>
            </w:tcBorders>
          </w:tcPr>
          <w:p w14:paraId="2D75E95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Narkotiskās vielas</w:t>
            </w:r>
          </w:p>
        </w:tc>
        <w:tc>
          <w:tcPr>
            <w:tcW w:w="859" w:type="pct"/>
            <w:tcBorders>
              <w:top w:val="single" w:sz="5" w:space="0" w:color="000000"/>
              <w:left w:val="single" w:sz="5" w:space="0" w:color="000000"/>
              <w:bottom w:val="single" w:sz="5" w:space="0" w:color="000000"/>
              <w:right w:val="single" w:sz="5" w:space="0" w:color="000000"/>
            </w:tcBorders>
          </w:tcPr>
          <w:p w14:paraId="1F8559F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 urīns</w:t>
            </w:r>
          </w:p>
        </w:tc>
        <w:tc>
          <w:tcPr>
            <w:tcW w:w="1431" w:type="pct"/>
            <w:tcBorders>
              <w:top w:val="single" w:sz="5" w:space="0" w:color="000000"/>
              <w:left w:val="single" w:sz="5" w:space="0" w:color="000000"/>
              <w:bottom w:val="single" w:sz="5" w:space="0" w:color="000000"/>
              <w:right w:val="single" w:sz="5" w:space="0" w:color="000000"/>
            </w:tcBorders>
          </w:tcPr>
          <w:p w14:paraId="59DA1F44"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ELISA</w:t>
            </w:r>
            <w:proofErr w:type="spellEnd"/>
            <w:r>
              <w:rPr>
                <w:rFonts w:ascii="Times New Roman" w:hAnsi="Times New Roman"/>
                <w:sz w:val="24"/>
              </w:rPr>
              <w:t xml:space="preserve"> (</w:t>
            </w:r>
            <w:proofErr w:type="spellStart"/>
            <w:r>
              <w:rPr>
                <w:rFonts w:ascii="Times New Roman" w:hAnsi="Times New Roman"/>
                <w:sz w:val="24"/>
              </w:rPr>
              <w:t>skrīnings</w:t>
            </w:r>
            <w:proofErr w:type="spellEnd"/>
            <w:r>
              <w:rPr>
                <w:rFonts w:ascii="Times New Roman" w:hAnsi="Times New Roman"/>
                <w:sz w:val="24"/>
              </w:rPr>
              <w:t>)</w:t>
            </w:r>
          </w:p>
        </w:tc>
        <w:tc>
          <w:tcPr>
            <w:tcW w:w="1291" w:type="pct"/>
            <w:tcBorders>
              <w:top w:val="single" w:sz="5" w:space="0" w:color="000000"/>
              <w:left w:val="single" w:sz="5" w:space="0" w:color="000000"/>
              <w:bottom w:val="single" w:sz="5" w:space="0" w:color="000000"/>
              <w:right w:val="single" w:sz="5" w:space="0" w:color="000000"/>
            </w:tcBorders>
          </w:tcPr>
          <w:p w14:paraId="1FEE642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6 </w:t>
            </w:r>
            <w:proofErr w:type="spellStart"/>
            <w:r>
              <w:rPr>
                <w:rFonts w:ascii="Times New Roman" w:hAnsi="Times New Roman"/>
                <w:sz w:val="24"/>
              </w:rPr>
              <w:t>PP</w:t>
            </w:r>
            <w:proofErr w:type="spellEnd"/>
            <w:r>
              <w:rPr>
                <w:rFonts w:ascii="Times New Roman" w:hAnsi="Times New Roman"/>
                <w:sz w:val="24"/>
              </w:rPr>
              <w:t xml:space="preserve"> asinīm, 6 </w:t>
            </w:r>
            <w:proofErr w:type="spellStart"/>
            <w:r>
              <w:rPr>
                <w:rFonts w:ascii="Times New Roman" w:hAnsi="Times New Roman"/>
                <w:sz w:val="24"/>
              </w:rPr>
              <w:t>PP</w:t>
            </w:r>
            <w:proofErr w:type="spellEnd"/>
            <w:r>
              <w:rPr>
                <w:rFonts w:ascii="Times New Roman" w:hAnsi="Times New Roman"/>
                <w:sz w:val="24"/>
              </w:rPr>
              <w:t xml:space="preserve"> urīnam</w:t>
            </w:r>
          </w:p>
        </w:tc>
      </w:tr>
      <w:tr w:rsidR="00605273" w:rsidRPr="00605273" w14:paraId="0C4777E3" w14:textId="77777777" w:rsidTr="009C4FC9">
        <w:tc>
          <w:tcPr>
            <w:tcW w:w="363" w:type="pct"/>
            <w:tcBorders>
              <w:top w:val="single" w:sz="5" w:space="0" w:color="000000"/>
              <w:left w:val="single" w:sz="5" w:space="0" w:color="000000"/>
              <w:bottom w:val="single" w:sz="5" w:space="0" w:color="000000"/>
              <w:right w:val="single" w:sz="5" w:space="0" w:color="000000"/>
            </w:tcBorders>
          </w:tcPr>
          <w:p w14:paraId="7FF4F8F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2.</w:t>
            </w:r>
          </w:p>
        </w:tc>
        <w:tc>
          <w:tcPr>
            <w:tcW w:w="1055" w:type="pct"/>
            <w:tcBorders>
              <w:top w:val="single" w:sz="5" w:space="0" w:color="000000"/>
              <w:left w:val="single" w:sz="5" w:space="0" w:color="000000"/>
              <w:bottom w:val="single" w:sz="5" w:space="0" w:color="000000"/>
              <w:right w:val="single" w:sz="5" w:space="0" w:color="000000"/>
            </w:tcBorders>
          </w:tcPr>
          <w:p w14:paraId="7400F48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Narkotiskās vielas</w:t>
            </w:r>
          </w:p>
        </w:tc>
        <w:tc>
          <w:tcPr>
            <w:tcW w:w="859" w:type="pct"/>
            <w:tcBorders>
              <w:top w:val="single" w:sz="5" w:space="0" w:color="000000"/>
              <w:left w:val="single" w:sz="5" w:space="0" w:color="000000"/>
              <w:bottom w:val="single" w:sz="5" w:space="0" w:color="000000"/>
              <w:right w:val="single" w:sz="5" w:space="0" w:color="000000"/>
            </w:tcBorders>
          </w:tcPr>
          <w:p w14:paraId="63B29BC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 urīns</w:t>
            </w:r>
          </w:p>
        </w:tc>
        <w:tc>
          <w:tcPr>
            <w:tcW w:w="1431" w:type="pct"/>
            <w:tcBorders>
              <w:top w:val="single" w:sz="5" w:space="0" w:color="000000"/>
              <w:left w:val="single" w:sz="5" w:space="0" w:color="000000"/>
              <w:bottom w:val="single" w:sz="5" w:space="0" w:color="000000"/>
              <w:right w:val="single" w:sz="5" w:space="0" w:color="000000"/>
            </w:tcBorders>
          </w:tcPr>
          <w:p w14:paraId="560E804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Šķidrās fāzes </w:t>
            </w:r>
            <w:proofErr w:type="spellStart"/>
            <w:r>
              <w:rPr>
                <w:rFonts w:ascii="Times New Roman" w:hAnsi="Times New Roman"/>
                <w:i/>
                <w:iCs/>
                <w:sz w:val="24"/>
              </w:rPr>
              <w:t>EIA</w:t>
            </w:r>
            <w:proofErr w:type="spellEnd"/>
            <w:r>
              <w:rPr>
                <w:rFonts w:ascii="Times New Roman" w:hAnsi="Times New Roman"/>
                <w:sz w:val="24"/>
              </w:rPr>
              <w:t xml:space="preserve"> (</w:t>
            </w:r>
            <w:proofErr w:type="spellStart"/>
            <w:r>
              <w:rPr>
                <w:rFonts w:ascii="Times New Roman" w:hAnsi="Times New Roman"/>
                <w:sz w:val="24"/>
              </w:rPr>
              <w:t>skrīnings</w:t>
            </w:r>
            <w:proofErr w:type="spellEnd"/>
            <w:r>
              <w:rPr>
                <w:rFonts w:ascii="Times New Roman" w:hAnsi="Times New Roman"/>
                <w:sz w:val="24"/>
              </w:rPr>
              <w:t>)</w:t>
            </w:r>
          </w:p>
        </w:tc>
        <w:tc>
          <w:tcPr>
            <w:tcW w:w="1291" w:type="pct"/>
            <w:tcBorders>
              <w:top w:val="single" w:sz="5" w:space="0" w:color="000000"/>
              <w:left w:val="single" w:sz="5" w:space="0" w:color="000000"/>
              <w:bottom w:val="single" w:sz="5" w:space="0" w:color="000000"/>
              <w:right w:val="single" w:sz="5" w:space="0" w:color="000000"/>
            </w:tcBorders>
          </w:tcPr>
          <w:p w14:paraId="055AED1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6 </w:t>
            </w:r>
            <w:proofErr w:type="spellStart"/>
            <w:r>
              <w:rPr>
                <w:rFonts w:ascii="Times New Roman" w:hAnsi="Times New Roman"/>
                <w:sz w:val="24"/>
              </w:rPr>
              <w:t>PP</w:t>
            </w:r>
            <w:proofErr w:type="spellEnd"/>
            <w:r>
              <w:rPr>
                <w:rFonts w:ascii="Times New Roman" w:hAnsi="Times New Roman"/>
                <w:sz w:val="24"/>
              </w:rPr>
              <w:t xml:space="preserve"> asinīm, 6 </w:t>
            </w:r>
            <w:proofErr w:type="spellStart"/>
            <w:r>
              <w:rPr>
                <w:rFonts w:ascii="Times New Roman" w:hAnsi="Times New Roman"/>
                <w:sz w:val="24"/>
              </w:rPr>
              <w:t>PP</w:t>
            </w:r>
            <w:proofErr w:type="spellEnd"/>
            <w:r>
              <w:rPr>
                <w:rFonts w:ascii="Times New Roman" w:hAnsi="Times New Roman"/>
                <w:sz w:val="24"/>
              </w:rPr>
              <w:t xml:space="preserve"> urīnam</w:t>
            </w:r>
          </w:p>
        </w:tc>
      </w:tr>
      <w:tr w:rsidR="00605273" w:rsidRPr="00605273" w14:paraId="0B0D405F" w14:textId="77777777" w:rsidTr="009C4FC9">
        <w:tc>
          <w:tcPr>
            <w:tcW w:w="363" w:type="pct"/>
            <w:tcBorders>
              <w:top w:val="single" w:sz="5" w:space="0" w:color="000000"/>
              <w:left w:val="single" w:sz="5" w:space="0" w:color="000000"/>
              <w:bottom w:val="single" w:sz="5" w:space="0" w:color="000000"/>
              <w:right w:val="single" w:sz="5" w:space="0" w:color="000000"/>
            </w:tcBorders>
          </w:tcPr>
          <w:p w14:paraId="2CCEE6B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3.</w:t>
            </w:r>
          </w:p>
        </w:tc>
        <w:tc>
          <w:tcPr>
            <w:tcW w:w="1055" w:type="pct"/>
            <w:tcBorders>
              <w:top w:val="single" w:sz="5" w:space="0" w:color="000000"/>
              <w:left w:val="single" w:sz="5" w:space="0" w:color="000000"/>
              <w:bottom w:val="single" w:sz="5" w:space="0" w:color="000000"/>
              <w:right w:val="single" w:sz="5" w:space="0" w:color="000000"/>
            </w:tcBorders>
          </w:tcPr>
          <w:p w14:paraId="18764E4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Amfetamīns, kodeīns</w:t>
            </w:r>
          </w:p>
        </w:tc>
        <w:tc>
          <w:tcPr>
            <w:tcW w:w="859" w:type="pct"/>
            <w:tcBorders>
              <w:top w:val="single" w:sz="5" w:space="0" w:color="000000"/>
              <w:left w:val="single" w:sz="5" w:space="0" w:color="000000"/>
              <w:bottom w:val="single" w:sz="5" w:space="0" w:color="000000"/>
              <w:right w:val="single" w:sz="5" w:space="0" w:color="000000"/>
            </w:tcBorders>
          </w:tcPr>
          <w:p w14:paraId="0DA6CCE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 urīns</w:t>
            </w:r>
          </w:p>
        </w:tc>
        <w:tc>
          <w:tcPr>
            <w:tcW w:w="1431" w:type="pct"/>
            <w:tcBorders>
              <w:top w:val="single" w:sz="5" w:space="0" w:color="000000"/>
              <w:left w:val="single" w:sz="5" w:space="0" w:color="000000"/>
              <w:bottom w:val="single" w:sz="5" w:space="0" w:color="000000"/>
              <w:right w:val="single" w:sz="5" w:space="0" w:color="000000"/>
            </w:tcBorders>
          </w:tcPr>
          <w:p w14:paraId="53103141"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GC</w:t>
            </w:r>
            <w:proofErr w:type="spellEnd"/>
            <w:r>
              <w:rPr>
                <w:rFonts w:ascii="Times New Roman" w:hAnsi="Times New Roman"/>
                <w:i/>
                <w:iCs/>
                <w:sz w:val="24"/>
              </w:rPr>
              <w:t>-MS</w:t>
            </w:r>
            <w:r>
              <w:rPr>
                <w:rFonts w:ascii="Times New Roman" w:hAnsi="Times New Roman"/>
                <w:sz w:val="24"/>
              </w:rPr>
              <w:t xml:space="preserve"> (apstiprināšana)</w:t>
            </w:r>
          </w:p>
        </w:tc>
        <w:tc>
          <w:tcPr>
            <w:tcW w:w="1291" w:type="pct"/>
            <w:tcBorders>
              <w:top w:val="single" w:sz="5" w:space="0" w:color="000000"/>
              <w:left w:val="single" w:sz="5" w:space="0" w:color="000000"/>
              <w:bottom w:val="single" w:sz="5" w:space="0" w:color="000000"/>
              <w:right w:val="single" w:sz="5" w:space="0" w:color="000000"/>
            </w:tcBorders>
          </w:tcPr>
          <w:p w14:paraId="2F3E7B4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katru mēnesi katrai matricai un katram tehniķim</w:t>
            </w:r>
          </w:p>
        </w:tc>
      </w:tr>
      <w:tr w:rsidR="00605273" w:rsidRPr="00605273" w14:paraId="480B99B7" w14:textId="77777777" w:rsidTr="009C4FC9">
        <w:tc>
          <w:tcPr>
            <w:tcW w:w="363" w:type="pct"/>
            <w:tcBorders>
              <w:top w:val="single" w:sz="5" w:space="0" w:color="000000"/>
              <w:left w:val="single" w:sz="5" w:space="0" w:color="000000"/>
              <w:bottom w:val="single" w:sz="5" w:space="0" w:color="000000"/>
              <w:right w:val="single" w:sz="5" w:space="0" w:color="000000"/>
            </w:tcBorders>
          </w:tcPr>
          <w:p w14:paraId="166B389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4.</w:t>
            </w:r>
          </w:p>
        </w:tc>
        <w:tc>
          <w:tcPr>
            <w:tcW w:w="1055" w:type="pct"/>
            <w:tcBorders>
              <w:top w:val="single" w:sz="5" w:space="0" w:color="000000"/>
              <w:left w:val="single" w:sz="5" w:space="0" w:color="000000"/>
              <w:bottom w:val="single" w:sz="5" w:space="0" w:color="000000"/>
              <w:right w:val="single" w:sz="5" w:space="0" w:color="000000"/>
            </w:tcBorders>
          </w:tcPr>
          <w:p w14:paraId="2A675FB6"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Diazepāms</w:t>
            </w:r>
            <w:proofErr w:type="spellEnd"/>
            <w:r>
              <w:rPr>
                <w:rFonts w:ascii="Times New Roman" w:hAnsi="Times New Roman"/>
                <w:sz w:val="24"/>
              </w:rPr>
              <w:t xml:space="preserve">, kokaīns, </w:t>
            </w:r>
            <w:proofErr w:type="spellStart"/>
            <w:r>
              <w:rPr>
                <w:rFonts w:ascii="Times New Roman" w:hAnsi="Times New Roman"/>
                <w:sz w:val="24"/>
              </w:rPr>
              <w:t>EDDP</w:t>
            </w:r>
            <w:proofErr w:type="spellEnd"/>
          </w:p>
        </w:tc>
        <w:tc>
          <w:tcPr>
            <w:tcW w:w="859" w:type="pct"/>
            <w:tcBorders>
              <w:top w:val="single" w:sz="5" w:space="0" w:color="000000"/>
              <w:left w:val="single" w:sz="5" w:space="0" w:color="000000"/>
              <w:bottom w:val="single" w:sz="5" w:space="0" w:color="000000"/>
              <w:right w:val="single" w:sz="5" w:space="0" w:color="000000"/>
            </w:tcBorders>
          </w:tcPr>
          <w:p w14:paraId="5ACF94F1"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 urīns</w:t>
            </w:r>
          </w:p>
        </w:tc>
        <w:tc>
          <w:tcPr>
            <w:tcW w:w="1431" w:type="pct"/>
            <w:tcBorders>
              <w:top w:val="single" w:sz="5" w:space="0" w:color="000000"/>
              <w:left w:val="single" w:sz="5" w:space="0" w:color="000000"/>
              <w:bottom w:val="single" w:sz="5" w:space="0" w:color="000000"/>
              <w:right w:val="single" w:sz="5" w:space="0" w:color="000000"/>
            </w:tcBorders>
          </w:tcPr>
          <w:p w14:paraId="6891DAD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i/>
                <w:iCs/>
                <w:sz w:val="24"/>
              </w:rPr>
              <w:t>LC-MS/MS</w:t>
            </w:r>
          </w:p>
          <w:p w14:paraId="3E8606A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(apstiprināšana)</w:t>
            </w:r>
          </w:p>
        </w:tc>
        <w:tc>
          <w:tcPr>
            <w:tcW w:w="1291" w:type="pct"/>
            <w:tcBorders>
              <w:top w:val="single" w:sz="5" w:space="0" w:color="000000"/>
              <w:left w:val="single" w:sz="5" w:space="0" w:color="000000"/>
              <w:bottom w:val="single" w:sz="5" w:space="0" w:color="000000"/>
              <w:right w:val="single" w:sz="5" w:space="0" w:color="000000"/>
            </w:tcBorders>
          </w:tcPr>
          <w:p w14:paraId="36BB3C7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katru mēnesi katrai matricai un katram tehniķim</w:t>
            </w:r>
          </w:p>
        </w:tc>
      </w:tr>
      <w:tr w:rsidR="00605273" w:rsidRPr="00605273" w14:paraId="7D281E55" w14:textId="77777777" w:rsidTr="009C4FC9">
        <w:tc>
          <w:tcPr>
            <w:tcW w:w="363" w:type="pct"/>
            <w:tcBorders>
              <w:top w:val="single" w:sz="5" w:space="0" w:color="000000"/>
              <w:left w:val="single" w:sz="5" w:space="0" w:color="000000"/>
              <w:bottom w:val="single" w:sz="5" w:space="0" w:color="000000"/>
              <w:right w:val="single" w:sz="5" w:space="0" w:color="000000"/>
            </w:tcBorders>
          </w:tcPr>
          <w:p w14:paraId="0014DE5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5.</w:t>
            </w:r>
          </w:p>
        </w:tc>
        <w:tc>
          <w:tcPr>
            <w:tcW w:w="1055" w:type="pct"/>
            <w:tcBorders>
              <w:top w:val="single" w:sz="5" w:space="0" w:color="000000"/>
              <w:left w:val="single" w:sz="5" w:space="0" w:color="000000"/>
              <w:bottom w:val="single" w:sz="5" w:space="0" w:color="000000"/>
              <w:right w:val="single" w:sz="5" w:space="0" w:color="000000"/>
            </w:tcBorders>
          </w:tcPr>
          <w:p w14:paraId="3BA1A54A"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Buprenorfīns</w:t>
            </w:r>
            <w:proofErr w:type="spellEnd"/>
            <w:r>
              <w:rPr>
                <w:rFonts w:ascii="Times New Roman" w:hAnsi="Times New Roman"/>
                <w:sz w:val="24"/>
              </w:rPr>
              <w:t xml:space="preserve">, </w:t>
            </w:r>
            <w:proofErr w:type="spellStart"/>
            <w:r>
              <w:rPr>
                <w:rFonts w:ascii="Times New Roman" w:hAnsi="Times New Roman"/>
                <w:sz w:val="24"/>
              </w:rPr>
              <w:t>tetrahidrokanabinols</w:t>
            </w:r>
            <w:proofErr w:type="spellEnd"/>
          </w:p>
        </w:tc>
        <w:tc>
          <w:tcPr>
            <w:tcW w:w="859" w:type="pct"/>
            <w:tcBorders>
              <w:top w:val="single" w:sz="5" w:space="0" w:color="000000"/>
              <w:left w:val="single" w:sz="5" w:space="0" w:color="000000"/>
              <w:bottom w:val="single" w:sz="5" w:space="0" w:color="000000"/>
              <w:right w:val="single" w:sz="5" w:space="0" w:color="000000"/>
            </w:tcBorders>
          </w:tcPr>
          <w:p w14:paraId="434ED5E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 urīns</w:t>
            </w:r>
          </w:p>
        </w:tc>
        <w:tc>
          <w:tcPr>
            <w:tcW w:w="1431" w:type="pct"/>
            <w:tcBorders>
              <w:top w:val="single" w:sz="5" w:space="0" w:color="000000"/>
              <w:left w:val="single" w:sz="5" w:space="0" w:color="000000"/>
              <w:bottom w:val="single" w:sz="5" w:space="0" w:color="000000"/>
              <w:right w:val="single" w:sz="5" w:space="0" w:color="000000"/>
            </w:tcBorders>
          </w:tcPr>
          <w:p w14:paraId="427029F3"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i/>
                <w:iCs/>
                <w:sz w:val="24"/>
              </w:rPr>
              <w:t>GC</w:t>
            </w:r>
            <w:proofErr w:type="spellEnd"/>
            <w:r>
              <w:rPr>
                <w:rFonts w:ascii="Times New Roman" w:hAnsi="Times New Roman"/>
                <w:i/>
                <w:iCs/>
                <w:sz w:val="24"/>
              </w:rPr>
              <w:t>-MS/MS</w:t>
            </w:r>
          </w:p>
          <w:p w14:paraId="640629D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(apstiprināšana)</w:t>
            </w:r>
          </w:p>
        </w:tc>
        <w:tc>
          <w:tcPr>
            <w:tcW w:w="1291" w:type="pct"/>
            <w:tcBorders>
              <w:top w:val="single" w:sz="5" w:space="0" w:color="000000"/>
              <w:left w:val="single" w:sz="5" w:space="0" w:color="000000"/>
              <w:bottom w:val="single" w:sz="5" w:space="0" w:color="000000"/>
              <w:right w:val="single" w:sz="5" w:space="0" w:color="000000"/>
            </w:tcBorders>
          </w:tcPr>
          <w:p w14:paraId="5B80F447"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katru mēnesi katrai matricai un katram tehniķim</w:t>
            </w:r>
          </w:p>
        </w:tc>
      </w:tr>
    </w:tbl>
    <w:p w14:paraId="07209B38" w14:textId="77777777" w:rsidR="00605273" w:rsidRPr="00605273" w:rsidRDefault="00605273" w:rsidP="00605273">
      <w:pPr>
        <w:jc w:val="both"/>
        <w:rPr>
          <w:rFonts w:ascii="Times New Roman" w:eastAsia="Arial" w:hAnsi="Times New Roman" w:cs="Times New Roman"/>
          <w:noProof/>
          <w:sz w:val="24"/>
          <w:szCs w:val="24"/>
        </w:rPr>
      </w:pPr>
    </w:p>
    <w:p w14:paraId="08EF5C09" w14:textId="77777777" w:rsidR="00605273" w:rsidRPr="00605273" w:rsidRDefault="00605273" w:rsidP="00605273">
      <w:pPr>
        <w:rPr>
          <w:rFonts w:ascii="Times New Roman" w:eastAsia="Arial" w:hAnsi="Times New Roman" w:cs="Times New Roman"/>
          <w:b/>
          <w:bCs/>
          <w:noProof/>
          <w:sz w:val="24"/>
          <w:szCs w:val="24"/>
        </w:rPr>
      </w:pPr>
      <w:r>
        <w:br w:type="page"/>
      </w:r>
    </w:p>
    <w:p w14:paraId="61AA6A95" w14:textId="77777777" w:rsidR="00605273" w:rsidRPr="00605273" w:rsidRDefault="00605273" w:rsidP="00605273">
      <w:pPr>
        <w:jc w:val="both"/>
        <w:rPr>
          <w:rFonts w:ascii="Times New Roman" w:eastAsia="Arial" w:hAnsi="Times New Roman" w:cs="Times New Roman"/>
          <w:b/>
          <w:bCs/>
          <w:noProof/>
          <w:sz w:val="24"/>
          <w:szCs w:val="24"/>
        </w:rPr>
      </w:pPr>
    </w:p>
    <w:p w14:paraId="61C7C180" w14:textId="77777777" w:rsidR="00605273" w:rsidRPr="00605273" w:rsidRDefault="00605273" w:rsidP="001C50FB">
      <w:pPr>
        <w:pStyle w:val="Heading2"/>
        <w:rPr>
          <w:rFonts w:eastAsia="Arial" w:cs="Times New Roman"/>
          <w:bCs/>
          <w:noProof/>
          <w:szCs w:val="24"/>
        </w:rPr>
      </w:pPr>
      <w:bookmarkStart w:id="19" w:name="_Toc120022461"/>
      <w:r>
        <w:t>4. situācijas analīze. Mehāniskā testēšanas laboratorija</w:t>
      </w:r>
      <w:bookmarkEnd w:id="19"/>
    </w:p>
    <w:p w14:paraId="47573081" w14:textId="77777777" w:rsidR="00605273" w:rsidRPr="00605273" w:rsidRDefault="00605273" w:rsidP="00605273">
      <w:pPr>
        <w:jc w:val="both"/>
        <w:rPr>
          <w:rFonts w:ascii="Times New Roman" w:eastAsia="Arial" w:hAnsi="Times New Roman" w:cs="Times New Roman"/>
          <w:b/>
          <w:bCs/>
          <w:noProof/>
          <w:sz w:val="24"/>
          <w:szCs w:val="24"/>
        </w:rPr>
      </w:pPr>
    </w:p>
    <w:p w14:paraId="76EC9901" w14:textId="77777777" w:rsidR="00605273" w:rsidRPr="00605273" w:rsidRDefault="00605273" w:rsidP="00605273">
      <w:pPr>
        <w:pStyle w:val="BodyText"/>
        <w:rPr>
          <w:b/>
          <w:bCs/>
        </w:rPr>
      </w:pPr>
      <w:r>
        <w:rPr>
          <w:b/>
        </w:rPr>
        <w:t>Akreditētie mērījumi, ko veic laboratorija</w:t>
      </w:r>
    </w:p>
    <w:p w14:paraId="6DB6BAE4" w14:textId="77777777" w:rsidR="00605273" w:rsidRPr="00605273" w:rsidRDefault="00605273" w:rsidP="00605273">
      <w:pPr>
        <w:jc w:val="both"/>
        <w:rPr>
          <w:rFonts w:ascii="Times New Roman" w:eastAsia="Arial" w:hAnsi="Times New Roman" w:cs="Times New Roman"/>
          <w:b/>
          <w:bCs/>
          <w:noProof/>
          <w:sz w:val="24"/>
          <w:szCs w:val="24"/>
        </w:rPr>
      </w:pPr>
    </w:p>
    <w:p w14:paraId="162C9CAA" w14:textId="77777777" w:rsidR="00605273" w:rsidRPr="00605273" w:rsidRDefault="00605273" w:rsidP="00605273">
      <w:pPr>
        <w:pStyle w:val="BodyText"/>
        <w:numPr>
          <w:ilvl w:val="0"/>
          <w:numId w:val="2"/>
        </w:numPr>
        <w:tabs>
          <w:tab w:val="left" w:pos="567"/>
        </w:tabs>
        <w:ind w:left="0" w:firstLine="0"/>
      </w:pPr>
      <w:r>
        <w:t>Metālu un metāla sakausējumu izturība pret lūzumiem un noguruma plaisu skaita pieaugums (ASTM E 399)</w:t>
      </w:r>
    </w:p>
    <w:p w14:paraId="4882E586" w14:textId="77777777" w:rsidR="00605273" w:rsidRPr="00605273" w:rsidRDefault="00605273" w:rsidP="00605273">
      <w:pPr>
        <w:pStyle w:val="BodyText"/>
        <w:numPr>
          <w:ilvl w:val="0"/>
          <w:numId w:val="2"/>
        </w:numPr>
        <w:tabs>
          <w:tab w:val="left" w:pos="567"/>
        </w:tabs>
        <w:ind w:left="0" w:firstLine="0"/>
      </w:pPr>
      <w:r>
        <w:t>Metālu un metāla sakausējumu stiepes un spiedes testi (piemēram, ISO EN 6892-1)</w:t>
      </w:r>
    </w:p>
    <w:p w14:paraId="60AC0F42" w14:textId="77777777" w:rsidR="00605273" w:rsidRPr="00605273" w:rsidRDefault="00605273" w:rsidP="00605273">
      <w:pPr>
        <w:pStyle w:val="BodyText"/>
        <w:numPr>
          <w:ilvl w:val="0"/>
          <w:numId w:val="2"/>
        </w:numPr>
        <w:tabs>
          <w:tab w:val="left" w:pos="567"/>
        </w:tabs>
        <w:ind w:left="0" w:firstLine="0"/>
      </w:pPr>
      <w:r>
        <w:t>Plastmasas stiepes un spiedes testi (ISO 527-1)</w:t>
      </w:r>
    </w:p>
    <w:p w14:paraId="43D23F0D" w14:textId="77777777" w:rsidR="00605273" w:rsidRPr="00605273" w:rsidRDefault="00605273" w:rsidP="00605273">
      <w:pPr>
        <w:pStyle w:val="BodyText"/>
        <w:numPr>
          <w:ilvl w:val="0"/>
          <w:numId w:val="2"/>
        </w:numPr>
        <w:tabs>
          <w:tab w:val="left" w:pos="567"/>
        </w:tabs>
        <w:ind w:left="0" w:firstLine="0"/>
      </w:pPr>
      <w:r>
        <w:t>Brinela cietības tests (ISO 6506), Vikersa cietības tests (ISO 6507) un Rokvela cietības tests (ISO 6508)</w:t>
      </w:r>
    </w:p>
    <w:p w14:paraId="73C9BB06" w14:textId="77777777" w:rsidR="00605273" w:rsidRPr="00605273" w:rsidRDefault="00605273" w:rsidP="00605273">
      <w:pPr>
        <w:pStyle w:val="BodyText"/>
        <w:numPr>
          <w:ilvl w:val="0"/>
          <w:numId w:val="2"/>
        </w:numPr>
        <w:tabs>
          <w:tab w:val="left" w:pos="567"/>
        </w:tabs>
        <w:ind w:left="0" w:firstLine="0"/>
      </w:pPr>
      <w:r>
        <w:t>Šarpi svārsta triecientests saskaņā ar ISO 148-1</w:t>
      </w:r>
    </w:p>
    <w:p w14:paraId="1D18C533" w14:textId="77777777" w:rsidR="00605273" w:rsidRPr="00605273" w:rsidRDefault="00605273" w:rsidP="00605273">
      <w:pPr>
        <w:pStyle w:val="BodyText"/>
        <w:numPr>
          <w:ilvl w:val="0"/>
          <w:numId w:val="2"/>
        </w:numPr>
        <w:tabs>
          <w:tab w:val="left" w:pos="567"/>
        </w:tabs>
        <w:ind w:left="0" w:firstLine="0"/>
      </w:pPr>
      <w:r>
        <w:t>Grauda lieluma noteikšana (ISO 643)</w:t>
      </w:r>
    </w:p>
    <w:p w14:paraId="5A51FE48" w14:textId="77777777" w:rsidR="00605273" w:rsidRPr="00605273" w:rsidRDefault="00605273" w:rsidP="00605273">
      <w:pPr>
        <w:pStyle w:val="BodyText"/>
        <w:numPr>
          <w:ilvl w:val="0"/>
          <w:numId w:val="2"/>
        </w:numPr>
        <w:tabs>
          <w:tab w:val="left" w:pos="567"/>
        </w:tabs>
        <w:ind w:left="0" w:firstLine="0"/>
      </w:pPr>
      <w:r>
        <w:t>Optiskā emisiju spektrometrija (ķīmisko elementu kvantitatīva noteikšana tērauda matricā, iekšējā procedūra)</w:t>
      </w:r>
    </w:p>
    <w:p w14:paraId="1694F84F" w14:textId="77777777" w:rsidR="00605273" w:rsidRPr="00605273" w:rsidRDefault="00605273" w:rsidP="00605273">
      <w:pPr>
        <w:jc w:val="both"/>
        <w:rPr>
          <w:rFonts w:ascii="Times New Roman" w:eastAsia="Arial" w:hAnsi="Times New Roman" w:cs="Times New Roman"/>
          <w:noProof/>
          <w:sz w:val="24"/>
          <w:szCs w:val="24"/>
        </w:rPr>
      </w:pPr>
    </w:p>
    <w:p w14:paraId="6C06B49B" w14:textId="77777777" w:rsidR="00605273" w:rsidRPr="00605273" w:rsidRDefault="00605273" w:rsidP="00605273">
      <w:pPr>
        <w:pStyle w:val="BodyText"/>
        <w:rPr>
          <w:b/>
          <w:bCs/>
        </w:rPr>
      </w:pPr>
      <w:r>
        <w:rPr>
          <w:b/>
        </w:rPr>
        <w:t>Tehniskās kompetences jomu noteikšanas apsvērumi</w:t>
      </w:r>
    </w:p>
    <w:p w14:paraId="584B8A34" w14:textId="77777777" w:rsidR="00605273" w:rsidRPr="00605273" w:rsidRDefault="00605273" w:rsidP="00605273">
      <w:pPr>
        <w:jc w:val="both"/>
        <w:rPr>
          <w:rFonts w:ascii="Times New Roman" w:eastAsia="Arial" w:hAnsi="Times New Roman" w:cs="Times New Roman"/>
          <w:b/>
          <w:bCs/>
          <w:noProof/>
          <w:sz w:val="24"/>
          <w:szCs w:val="24"/>
        </w:rPr>
      </w:pPr>
    </w:p>
    <w:p w14:paraId="6501DC4F" w14:textId="77777777" w:rsidR="00605273" w:rsidRPr="00605273" w:rsidRDefault="00605273" w:rsidP="00605273">
      <w:pPr>
        <w:pStyle w:val="BodyText"/>
      </w:pPr>
      <w:r>
        <w:t>Mehāniskās testēšanas jomā šīs nosauktās darbības veic daudzas akreditētas laboratorijas. Šīs testēšanas metodes ir aprakstītas ISO, EN un ASTM standartos. Standartos parasti ir definēts prasītais aprīkojums un citi ar testu saistītie parametri. Nosauktās testēšanas darbības tiek veiktas, izmantojot vienādu vai dažādu veidu aprīkojumu, kam ir nepieciešams īpašs kalibrēšanas statuss, un personālam, kas veic šos testus, ir jābūt speciālām zināšanām.</w:t>
      </w:r>
    </w:p>
    <w:p w14:paraId="136DA05D" w14:textId="77777777" w:rsidR="00605273" w:rsidRPr="00605273" w:rsidRDefault="00605273" w:rsidP="00605273">
      <w:pPr>
        <w:jc w:val="both"/>
        <w:rPr>
          <w:rFonts w:ascii="Times New Roman" w:eastAsia="Arial" w:hAnsi="Times New Roman" w:cs="Times New Roman"/>
          <w:noProof/>
          <w:sz w:val="24"/>
          <w:szCs w:val="24"/>
        </w:rPr>
      </w:pPr>
    </w:p>
    <w:p w14:paraId="6FADC535" w14:textId="77777777" w:rsidR="00605273" w:rsidRPr="00605273" w:rsidRDefault="00605273" w:rsidP="00605273">
      <w:pPr>
        <w:pStyle w:val="BodyText"/>
        <w:numPr>
          <w:ilvl w:val="0"/>
          <w:numId w:val="2"/>
        </w:numPr>
        <w:tabs>
          <w:tab w:val="left" w:pos="567"/>
        </w:tabs>
        <w:ind w:left="0" w:firstLine="0"/>
      </w:pPr>
      <w:r>
        <w:t>Noguruma plaisu augšanas un izturības pret lūzumiem pārbaudēs izmanto vienādu mērījumu procesu, un metode (ASTM E 399 [1]) ir validēta gan metāliem, gan metāla sakausējumiem. Tāpēc laboratorija norāda to kā vienu tehniskās kompetences jomu.</w:t>
      </w:r>
    </w:p>
    <w:p w14:paraId="78736FA5" w14:textId="77777777" w:rsidR="00605273" w:rsidRPr="00605273" w:rsidRDefault="00605273" w:rsidP="00605273">
      <w:pPr>
        <w:jc w:val="both"/>
        <w:rPr>
          <w:rFonts w:ascii="Times New Roman" w:eastAsia="Arial" w:hAnsi="Times New Roman" w:cs="Times New Roman"/>
          <w:noProof/>
          <w:sz w:val="24"/>
          <w:szCs w:val="24"/>
        </w:rPr>
      </w:pPr>
    </w:p>
    <w:p w14:paraId="7F8F14A2" w14:textId="77777777" w:rsidR="00605273" w:rsidRPr="00605273" w:rsidRDefault="00605273" w:rsidP="00605273">
      <w:pPr>
        <w:pStyle w:val="BodyText"/>
        <w:numPr>
          <w:ilvl w:val="0"/>
          <w:numId w:val="2"/>
        </w:numPr>
        <w:tabs>
          <w:tab w:val="left" w:pos="567"/>
        </w:tabs>
        <w:ind w:left="0" w:firstLine="0"/>
      </w:pPr>
      <w:r>
        <w:t>Metālu un metāla sakausējumu stiepes testu un spiedes testu pamatā ir viens mērījumu process [2]. Tomēr noguruma plaisu augšanas testēšana ietver mērīšanas spēju veikt stiepes/spiedes testu, tāpēc laboratorija ir norādījusi, ka tai nav nepieciešams veikt papildu PP metāliem un metāla sakausējumiem. (Piezīme. Piedalīšanās PP attiecībā uz stiepes un spiedes testēšanu varētu nebūt pietiekama, lai aptvertu noguruma plaisu augšanas testēšanu.)</w:t>
      </w:r>
    </w:p>
    <w:p w14:paraId="2F178942" w14:textId="77777777" w:rsidR="00605273" w:rsidRPr="00605273" w:rsidRDefault="00605273" w:rsidP="00605273">
      <w:pPr>
        <w:jc w:val="both"/>
        <w:rPr>
          <w:rFonts w:ascii="Times New Roman" w:eastAsia="Arial" w:hAnsi="Times New Roman" w:cs="Times New Roman"/>
          <w:noProof/>
          <w:sz w:val="24"/>
          <w:szCs w:val="24"/>
        </w:rPr>
      </w:pPr>
    </w:p>
    <w:p w14:paraId="34F96CF0" w14:textId="77777777" w:rsidR="00605273" w:rsidRPr="00605273" w:rsidRDefault="00605273" w:rsidP="00605273">
      <w:pPr>
        <w:pStyle w:val="BodyText"/>
        <w:numPr>
          <w:ilvl w:val="0"/>
          <w:numId w:val="2"/>
        </w:numPr>
        <w:tabs>
          <w:tab w:val="left" w:pos="567"/>
        </w:tabs>
        <w:ind w:left="0" w:firstLine="0"/>
      </w:pPr>
      <w:r>
        <w:t>Plastmasas stiepes testos var izmantot līdzīgu testēšanas sistēmu, bet parasti ir nepieciešama zemāka nestspēja. Papildu aprīkojums atšķiras, jo plastmasai ir augsta elastība. Turklāt nosakāmajiem raksturlielumiem ISO 527 [3] ir atšķirīgas definīcijas. Aprīkojums ir jākalibrē reizi gadā, un tikai neliels skaits laboratoriju izmanto references materiālus. Tāpēc laboratorija norāda, ka tā ir papildu tehniskās kompetences joma, jo tā izmanto atšķirīgu metodi.</w:t>
      </w:r>
    </w:p>
    <w:p w14:paraId="5FD5035C" w14:textId="77777777" w:rsidR="00605273" w:rsidRPr="00605273" w:rsidRDefault="00605273" w:rsidP="00605273">
      <w:pPr>
        <w:jc w:val="both"/>
        <w:rPr>
          <w:rFonts w:ascii="Times New Roman" w:eastAsia="Arial" w:hAnsi="Times New Roman" w:cs="Times New Roman"/>
          <w:noProof/>
          <w:sz w:val="24"/>
          <w:szCs w:val="24"/>
        </w:rPr>
      </w:pPr>
    </w:p>
    <w:p w14:paraId="09EEC7E7" w14:textId="77777777" w:rsidR="00605273" w:rsidRPr="00605273" w:rsidRDefault="00605273" w:rsidP="00605273">
      <w:pPr>
        <w:pStyle w:val="BodyText"/>
        <w:numPr>
          <w:ilvl w:val="0"/>
          <w:numId w:val="2"/>
        </w:numPr>
        <w:tabs>
          <w:tab w:val="left" w:pos="567"/>
        </w:tabs>
        <w:ind w:left="0" w:firstLine="0"/>
      </w:pPr>
      <w:r>
        <w:t>Brinela cietības testā (ISO 6506 [4]) un Vikersa cietības testā (ISO 6507 [5]) izmanto lodi vai konusu, lai tērauda materiāla virsmā izdarītu robojumu. Kad tas izdarīts, nomēra robojuma diagonāles un aprēķina materiāla cietību. Saistītajās ISO 6506-1 [4] un 6507-1 [5] sērijās ir definētas prasības par aprīkojuma (slodze, robošanas uzgalis, garuma mērierīce) tiešās kalibrēšanas statusu. Tās ir jāatkārto reizi gadā, un ir obligāti jāizmanto sertificēts references materiāls. Tādējādi laboratorija norāda attiecībā uz šīm divām metodēm papildu tehniskās kompetences jomu.</w:t>
      </w:r>
    </w:p>
    <w:p w14:paraId="2877967A" w14:textId="77777777" w:rsidR="00605273" w:rsidRPr="00605273" w:rsidRDefault="00605273" w:rsidP="00605273">
      <w:pPr>
        <w:jc w:val="both"/>
        <w:rPr>
          <w:rFonts w:ascii="Times New Roman" w:eastAsia="Arial" w:hAnsi="Times New Roman" w:cs="Times New Roman"/>
          <w:noProof/>
          <w:sz w:val="24"/>
          <w:szCs w:val="24"/>
        </w:rPr>
      </w:pPr>
    </w:p>
    <w:p w14:paraId="0ED48A95" w14:textId="77777777" w:rsidR="00605273" w:rsidRPr="00605273" w:rsidRDefault="00605273" w:rsidP="00527153">
      <w:pPr>
        <w:pStyle w:val="BodyText"/>
        <w:keepNext/>
        <w:keepLines/>
        <w:numPr>
          <w:ilvl w:val="0"/>
          <w:numId w:val="2"/>
        </w:numPr>
        <w:tabs>
          <w:tab w:val="left" w:pos="567"/>
        </w:tabs>
        <w:ind w:left="0" w:firstLine="0"/>
      </w:pPr>
      <w:r>
        <w:lastRenderedPageBreak/>
        <w:t>Rokvela (ISO 6508-1 [6]) cietības testā izmanto atšķirīgu mērījumu procedūru salīdzinājumā ar Brinela un Vikersa cietības testu. Saskaņā ar ISO 6508 [6] var izmantot dažādu veidu iespiedējuzgaļus, lai veiktu robojumu uz metāla virsmas saskaņā ar iepriekš definētiem slodzes apstākļiem. Šajā testā robojuma dziļumu mēra, izmantojot īpašu testēšanas procedūru. ISO standartā tiek prasīts kalibrēt un izmantot sertificētu references materiālu. Tādējādi laboratorija norāda, ka tā ir papildu tehniskās kompetences joma.</w:t>
      </w:r>
    </w:p>
    <w:p w14:paraId="0AD53BD1" w14:textId="77777777" w:rsidR="00605273" w:rsidRPr="00605273" w:rsidRDefault="00605273" w:rsidP="00605273">
      <w:pPr>
        <w:jc w:val="both"/>
        <w:rPr>
          <w:rFonts w:ascii="Times New Roman" w:eastAsia="Arial" w:hAnsi="Times New Roman" w:cs="Times New Roman"/>
          <w:noProof/>
          <w:sz w:val="24"/>
          <w:szCs w:val="24"/>
        </w:rPr>
      </w:pPr>
    </w:p>
    <w:p w14:paraId="3164718E" w14:textId="77777777" w:rsidR="00605273" w:rsidRPr="00605273" w:rsidRDefault="00605273" w:rsidP="00605273">
      <w:pPr>
        <w:pStyle w:val="BodyText"/>
        <w:numPr>
          <w:ilvl w:val="0"/>
          <w:numId w:val="2"/>
        </w:numPr>
        <w:tabs>
          <w:tab w:val="left" w:pos="567"/>
        </w:tabs>
        <w:ind w:left="0" w:firstLine="0"/>
      </w:pPr>
      <w:r>
        <w:t>Šarpi svārsta tiecientesta standartā, ISO 148-1 [6], ir definēti parauga izmēri. Testēšanas aprīkojumu kalibrē reizi gadā, un saskaņā ar standartu papildus tiek prasīts īpašs references materiāls visa testa aprīkojuma netiešai kalibrēšanai. Tiek mērīta trieciena enerģija. Tāpēc laboratorija norāda vēl vienu tehniskās kompetences jomu.</w:t>
      </w:r>
    </w:p>
    <w:p w14:paraId="75652A00" w14:textId="77777777" w:rsidR="00605273" w:rsidRPr="00605273" w:rsidRDefault="00605273" w:rsidP="00605273">
      <w:pPr>
        <w:jc w:val="both"/>
        <w:rPr>
          <w:rFonts w:ascii="Times New Roman" w:eastAsia="Arial" w:hAnsi="Times New Roman" w:cs="Times New Roman"/>
          <w:noProof/>
          <w:sz w:val="24"/>
          <w:szCs w:val="24"/>
        </w:rPr>
      </w:pPr>
    </w:p>
    <w:p w14:paraId="450944E6" w14:textId="77777777" w:rsidR="00605273" w:rsidRPr="00605273" w:rsidRDefault="00605273" w:rsidP="00605273">
      <w:pPr>
        <w:pStyle w:val="BodyText"/>
        <w:numPr>
          <w:ilvl w:val="0"/>
          <w:numId w:val="2"/>
        </w:numPr>
        <w:tabs>
          <w:tab w:val="left" w:pos="567"/>
        </w:tabs>
        <w:ind w:left="0" w:firstLine="0"/>
      </w:pPr>
      <w:r>
        <w:t>Lai noteiktu grauda lielumu (ISO 643 [8]), tērauda virsmu sagatavo īpašā veidā, to slīpējot, pulējot un kodinot, lai marķētu materiāla grauda robežas. Pēc tam izmanto mikroskopu, kam ir kalibrēts palielinājums, ar kuru mēra graudu izmēru un aprēķina attiecīgos parametrus saskaņā ar standartu. Laboratorija ir norādījusi to kā vēl vienu tehniskās kompetences jomu.</w:t>
      </w:r>
    </w:p>
    <w:p w14:paraId="0FA511FC" w14:textId="77777777" w:rsidR="00605273" w:rsidRPr="00605273" w:rsidRDefault="00605273" w:rsidP="00605273">
      <w:pPr>
        <w:jc w:val="both"/>
        <w:rPr>
          <w:rFonts w:ascii="Times New Roman" w:eastAsia="Arial" w:hAnsi="Times New Roman" w:cs="Times New Roman"/>
          <w:noProof/>
          <w:sz w:val="24"/>
          <w:szCs w:val="24"/>
        </w:rPr>
      </w:pPr>
    </w:p>
    <w:p w14:paraId="4AAFAFA3" w14:textId="77777777" w:rsidR="00605273" w:rsidRPr="00605273" w:rsidRDefault="00605273" w:rsidP="00605273">
      <w:pPr>
        <w:pStyle w:val="BodyText"/>
        <w:numPr>
          <w:ilvl w:val="0"/>
          <w:numId w:val="2"/>
        </w:numPr>
        <w:tabs>
          <w:tab w:val="left" w:pos="567"/>
        </w:tabs>
        <w:ind w:left="0" w:firstLine="0"/>
      </w:pPr>
      <w:r>
        <w:t>Optisko emisijas spektrometriju izmanto daudzas laboratorijas, lai noteiktu tērauda sakausējumus. Aprīkojuma kalibrēšanai izmanto sertificētus references materiālus un pakārtotos iekšējos standartus. Laboratorija to ir norādījusi ka papildu tehniskās kompetences jomu.</w:t>
      </w:r>
    </w:p>
    <w:p w14:paraId="50F1D7CE" w14:textId="77777777" w:rsidR="00605273" w:rsidRPr="00605273" w:rsidRDefault="00605273" w:rsidP="00605273">
      <w:pPr>
        <w:jc w:val="both"/>
        <w:rPr>
          <w:rFonts w:ascii="Times New Roman" w:eastAsia="Arial" w:hAnsi="Times New Roman" w:cs="Times New Roman"/>
          <w:noProof/>
          <w:sz w:val="24"/>
          <w:szCs w:val="24"/>
        </w:rPr>
      </w:pPr>
    </w:p>
    <w:p w14:paraId="68F0E0A3" w14:textId="77777777" w:rsidR="00605273" w:rsidRPr="00605273" w:rsidRDefault="00605273" w:rsidP="00605273">
      <w:pPr>
        <w:pStyle w:val="BodyText"/>
        <w:rPr>
          <w:b/>
          <w:bCs/>
        </w:rPr>
      </w:pPr>
      <w:r>
        <w:rPr>
          <w:b/>
        </w:rPr>
        <w:t>Šā uzdevuma rezultātā noteiktās tehniskās kompetences jomas</w:t>
      </w:r>
    </w:p>
    <w:p w14:paraId="7BE6AF25" w14:textId="77777777" w:rsidR="00605273" w:rsidRPr="00605273" w:rsidRDefault="00605273" w:rsidP="00605273">
      <w:pPr>
        <w:jc w:val="both"/>
        <w:rPr>
          <w:rFonts w:ascii="Times New Roman" w:eastAsia="Arial" w:hAnsi="Times New Roman" w:cs="Times New Roman"/>
          <w:b/>
          <w:bCs/>
          <w:noProof/>
          <w:sz w:val="24"/>
          <w:szCs w:val="24"/>
        </w:rPr>
      </w:pPr>
    </w:p>
    <w:p w14:paraId="5BDA07CA" w14:textId="77777777" w:rsidR="00605273" w:rsidRPr="00605273" w:rsidRDefault="00605273" w:rsidP="00605273">
      <w:pPr>
        <w:pStyle w:val="BodyText"/>
        <w:numPr>
          <w:ilvl w:val="0"/>
          <w:numId w:val="2"/>
        </w:numPr>
        <w:tabs>
          <w:tab w:val="left" w:pos="567"/>
        </w:tabs>
        <w:ind w:left="0" w:firstLine="0"/>
      </w:pPr>
      <w:r>
        <w:t>Metālu un metāla sakausējumu izturība pret lūzumiem un noguruma plaisu augšana</w:t>
      </w:r>
    </w:p>
    <w:p w14:paraId="5669B935" w14:textId="77777777" w:rsidR="00605273" w:rsidRPr="00605273" w:rsidRDefault="00605273" w:rsidP="00605273">
      <w:pPr>
        <w:pStyle w:val="BodyText"/>
        <w:numPr>
          <w:ilvl w:val="0"/>
          <w:numId w:val="2"/>
        </w:numPr>
        <w:tabs>
          <w:tab w:val="left" w:pos="567"/>
        </w:tabs>
        <w:ind w:left="0" w:firstLine="0"/>
      </w:pPr>
      <w:r>
        <w:t>Plastmasas stiepes tests</w:t>
      </w:r>
    </w:p>
    <w:p w14:paraId="30F30484" w14:textId="77777777" w:rsidR="00605273" w:rsidRPr="00605273" w:rsidRDefault="00605273" w:rsidP="00605273">
      <w:pPr>
        <w:pStyle w:val="BodyText"/>
        <w:numPr>
          <w:ilvl w:val="0"/>
          <w:numId w:val="2"/>
        </w:numPr>
        <w:tabs>
          <w:tab w:val="left" w:pos="567"/>
        </w:tabs>
        <w:ind w:left="0" w:firstLine="0"/>
      </w:pPr>
      <w:r>
        <w:t>Brinkela vai Vikersa cietības tests</w:t>
      </w:r>
    </w:p>
    <w:p w14:paraId="760102C2" w14:textId="77777777" w:rsidR="00605273" w:rsidRPr="00605273" w:rsidRDefault="00605273" w:rsidP="00605273">
      <w:pPr>
        <w:pStyle w:val="BodyText"/>
        <w:numPr>
          <w:ilvl w:val="0"/>
          <w:numId w:val="2"/>
        </w:numPr>
        <w:tabs>
          <w:tab w:val="left" w:pos="567"/>
        </w:tabs>
        <w:ind w:left="0" w:firstLine="0"/>
      </w:pPr>
      <w:r>
        <w:t>Rokvela cietības tests</w:t>
      </w:r>
    </w:p>
    <w:p w14:paraId="1FD3BF45" w14:textId="77777777" w:rsidR="00605273" w:rsidRPr="00605273" w:rsidRDefault="00605273" w:rsidP="00605273">
      <w:pPr>
        <w:pStyle w:val="BodyText"/>
        <w:numPr>
          <w:ilvl w:val="0"/>
          <w:numId w:val="2"/>
        </w:numPr>
        <w:tabs>
          <w:tab w:val="left" w:pos="567"/>
        </w:tabs>
        <w:ind w:left="0" w:firstLine="0"/>
      </w:pPr>
      <w:r>
        <w:t>Šarpi svārsta triecientests</w:t>
      </w:r>
    </w:p>
    <w:p w14:paraId="195D7809" w14:textId="77777777" w:rsidR="00605273" w:rsidRPr="00605273" w:rsidRDefault="00605273" w:rsidP="00605273">
      <w:pPr>
        <w:pStyle w:val="BodyText"/>
        <w:numPr>
          <w:ilvl w:val="0"/>
          <w:numId w:val="2"/>
        </w:numPr>
        <w:tabs>
          <w:tab w:val="left" w:pos="567"/>
        </w:tabs>
        <w:ind w:left="0" w:firstLine="0"/>
      </w:pPr>
      <w:r>
        <w:t>Grauda lieluma noteikšana</w:t>
      </w:r>
    </w:p>
    <w:p w14:paraId="31D2AD10" w14:textId="77777777" w:rsidR="00605273" w:rsidRPr="00605273" w:rsidRDefault="00605273" w:rsidP="00605273">
      <w:pPr>
        <w:pStyle w:val="BodyText"/>
        <w:numPr>
          <w:ilvl w:val="0"/>
          <w:numId w:val="2"/>
        </w:numPr>
        <w:tabs>
          <w:tab w:val="left" w:pos="567"/>
        </w:tabs>
        <w:ind w:left="0" w:firstLine="0"/>
      </w:pPr>
      <w:r>
        <w:t>Optiskā emisijas spektrometrija</w:t>
      </w:r>
    </w:p>
    <w:p w14:paraId="7A4616B3" w14:textId="77777777" w:rsidR="00605273" w:rsidRPr="00605273" w:rsidRDefault="00605273" w:rsidP="00605273">
      <w:pPr>
        <w:jc w:val="both"/>
        <w:rPr>
          <w:rFonts w:ascii="Times New Roman" w:eastAsia="Arial" w:hAnsi="Times New Roman" w:cs="Times New Roman"/>
          <w:noProof/>
          <w:sz w:val="24"/>
          <w:szCs w:val="24"/>
        </w:rPr>
      </w:pPr>
    </w:p>
    <w:p w14:paraId="6DE1D3B3" w14:textId="77777777" w:rsidR="00605273" w:rsidRPr="00605273" w:rsidRDefault="00605273" w:rsidP="00605273">
      <w:pPr>
        <w:pStyle w:val="BodyText"/>
        <w:rPr>
          <w:b/>
          <w:bCs/>
        </w:rPr>
      </w:pPr>
      <w:r>
        <w:rPr>
          <w:b/>
        </w:rPr>
        <w:t>Līdzdalības biežuma noteikšanas apsvērumi</w:t>
      </w:r>
    </w:p>
    <w:p w14:paraId="0B8371D7" w14:textId="77777777" w:rsidR="00605273" w:rsidRPr="00605273" w:rsidRDefault="00605273" w:rsidP="00605273">
      <w:pPr>
        <w:jc w:val="both"/>
        <w:rPr>
          <w:rFonts w:ascii="Times New Roman" w:eastAsia="Arial" w:hAnsi="Times New Roman" w:cs="Times New Roman"/>
          <w:b/>
          <w:bCs/>
          <w:noProof/>
          <w:sz w:val="24"/>
          <w:szCs w:val="24"/>
        </w:rPr>
      </w:pPr>
    </w:p>
    <w:p w14:paraId="4CB309AA" w14:textId="77777777" w:rsidR="00605273" w:rsidRPr="00605273" w:rsidRDefault="00605273" w:rsidP="00605273">
      <w:pPr>
        <w:pStyle w:val="BodyText"/>
      </w:pPr>
      <w:r>
        <w:t>Dažādām kompetences jomām laboratorija ir noteikusi turpmāk minēto biežumu.</w:t>
      </w:r>
    </w:p>
    <w:p w14:paraId="0B86A051" w14:textId="77777777" w:rsidR="00605273" w:rsidRPr="00605273" w:rsidRDefault="00605273" w:rsidP="00605273">
      <w:pPr>
        <w:jc w:val="both"/>
        <w:rPr>
          <w:rFonts w:ascii="Times New Roman" w:eastAsia="Arial" w:hAnsi="Times New Roman" w:cs="Times New Roman"/>
          <w:noProof/>
          <w:sz w:val="24"/>
          <w:szCs w:val="24"/>
        </w:rPr>
      </w:pPr>
    </w:p>
    <w:p w14:paraId="46C109EF" w14:textId="77777777" w:rsidR="00605273" w:rsidRPr="00605273" w:rsidRDefault="00605273" w:rsidP="00605273">
      <w:pPr>
        <w:pStyle w:val="BodyText"/>
        <w:numPr>
          <w:ilvl w:val="0"/>
          <w:numId w:val="2"/>
        </w:numPr>
        <w:tabs>
          <w:tab w:val="left" w:pos="567"/>
        </w:tabs>
        <w:ind w:left="0" w:firstLine="0"/>
      </w:pPr>
      <w:r>
        <w:t>Laboratorijai nav liela paraugu caurlaides spēja vairumam testu, un ar optisko emisijas spektrometriju tā testē pat vēl mazāk paraugu. Laboratorijai ir pieredzējuši tehniķi, kas veikuši testus daudzus gadus. Ņemot vērā, ka daži klienti, kuriem tiek veikts šis tests, ir, piemēram, no kodolrūpniecības, kas ir kritiski svarīga nozare, laboratorija uzskata, ka piedalīšanās PP programmā četras reizes gadā nodrošina, ka tā var saviem klientiem garantēt savas veiktspējas derīgumu. Ja klienti nav no kritiski svarīgām nozarēm, būtu pietiekami piedalīties PP programmā vienu vai divas reizes gadā.</w:t>
      </w:r>
    </w:p>
    <w:p w14:paraId="76A6ECBD" w14:textId="77777777" w:rsidR="00605273" w:rsidRPr="00605273" w:rsidRDefault="00605273" w:rsidP="00605273">
      <w:pPr>
        <w:jc w:val="both"/>
        <w:rPr>
          <w:rFonts w:ascii="Times New Roman" w:eastAsia="Arial" w:hAnsi="Times New Roman" w:cs="Times New Roman"/>
          <w:noProof/>
          <w:sz w:val="24"/>
          <w:szCs w:val="24"/>
        </w:rPr>
      </w:pPr>
    </w:p>
    <w:p w14:paraId="7CD50378" w14:textId="77777777" w:rsidR="00605273" w:rsidRPr="00605273" w:rsidRDefault="00605273" w:rsidP="00605273">
      <w:pPr>
        <w:pStyle w:val="BodyText"/>
        <w:numPr>
          <w:ilvl w:val="0"/>
          <w:numId w:val="2"/>
        </w:numPr>
        <w:tabs>
          <w:tab w:val="left" w:pos="567"/>
        </w:tabs>
        <w:ind w:left="0" w:firstLine="0"/>
      </w:pPr>
      <w:r>
        <w:t>Laboratorija atzīst, ka izturība pret lūzumiem un noguruma plaisu augšana īpaši svarīga ir lēmumos, kas tiek pieņemti veselības un drošības jomā, tāpēc ir nolēmusi palielināt šo testu biežumu līdz sešiem testiem gadā, pārējos gadījumos būtu pietiekami veikt testu vienu reizi gadā. Ir svarīgi nodrošināt dažādu šos testus veicošo darbinieku testēšanas salīdzināmību.</w:t>
      </w:r>
    </w:p>
    <w:p w14:paraId="12F319B1" w14:textId="77777777" w:rsidR="00605273" w:rsidRPr="00605273" w:rsidRDefault="00605273" w:rsidP="00605273">
      <w:pPr>
        <w:jc w:val="both"/>
        <w:rPr>
          <w:rFonts w:ascii="Times New Roman" w:eastAsia="Arial" w:hAnsi="Times New Roman" w:cs="Times New Roman"/>
          <w:noProof/>
          <w:sz w:val="24"/>
          <w:szCs w:val="24"/>
        </w:rPr>
      </w:pPr>
    </w:p>
    <w:p w14:paraId="132D61F6" w14:textId="77777777" w:rsidR="00605273" w:rsidRPr="00605273" w:rsidRDefault="00605273" w:rsidP="00605273">
      <w:pPr>
        <w:pStyle w:val="BodyText"/>
        <w:numPr>
          <w:ilvl w:val="0"/>
          <w:numId w:val="2"/>
        </w:numPr>
        <w:tabs>
          <w:tab w:val="left" w:pos="567"/>
        </w:tabs>
        <w:ind w:left="0" w:firstLine="0"/>
      </w:pPr>
      <w:r>
        <w:lastRenderedPageBreak/>
        <w:t>Ņemot vērā, ka ir daudz mazāk paraugu, kas tiek testēti ar optisko emisijas spektrometriju, laboratorija nolemj, ka ir pietiekami piedalīties divas reizes gadā saistībā ar šo tehniskās kompetences jomu.</w:t>
      </w:r>
    </w:p>
    <w:p w14:paraId="4F13D8DB" w14:textId="77777777" w:rsidR="00605273" w:rsidRPr="00605273" w:rsidRDefault="00605273" w:rsidP="00605273">
      <w:pPr>
        <w:jc w:val="both"/>
        <w:rPr>
          <w:rFonts w:ascii="Times New Roman" w:eastAsia="Arial" w:hAnsi="Times New Roman" w:cs="Times New Roman"/>
          <w:noProof/>
          <w:sz w:val="24"/>
          <w:szCs w:val="24"/>
        </w:rPr>
      </w:pPr>
    </w:p>
    <w:p w14:paraId="47733621" w14:textId="77777777" w:rsidR="00605273" w:rsidRPr="00605273" w:rsidRDefault="00605273" w:rsidP="00605273">
      <w:pPr>
        <w:pStyle w:val="BodyText"/>
        <w:rPr>
          <w:b/>
          <w:bCs/>
        </w:rPr>
      </w:pPr>
      <w:r>
        <w:rPr>
          <w:b/>
        </w:rPr>
        <w:t>Atsauces</w:t>
      </w:r>
    </w:p>
    <w:p w14:paraId="29F07166" w14:textId="77777777" w:rsidR="00605273" w:rsidRPr="00605273" w:rsidRDefault="00605273" w:rsidP="00605273">
      <w:pPr>
        <w:jc w:val="both"/>
        <w:rPr>
          <w:rFonts w:ascii="Times New Roman" w:eastAsia="Arial" w:hAnsi="Times New Roman" w:cs="Times New Roman"/>
          <w:b/>
          <w:bCs/>
          <w:noProof/>
          <w:sz w:val="24"/>
          <w:szCs w:val="24"/>
        </w:rPr>
      </w:pPr>
    </w:p>
    <w:p w14:paraId="083B0EA1" w14:textId="77777777" w:rsidR="00605273" w:rsidRPr="00605273" w:rsidRDefault="00605273" w:rsidP="00605273">
      <w:pPr>
        <w:pStyle w:val="BodyText"/>
      </w:pPr>
      <w:r>
        <w:t>1. ASTM E399-20a: Standard Test Method for Linear-Elastic Plane-Strain Fracture Toughness of Metallic Materials</w:t>
      </w:r>
    </w:p>
    <w:p w14:paraId="5CACEF48" w14:textId="77777777" w:rsidR="00605273" w:rsidRPr="00605273" w:rsidRDefault="00605273" w:rsidP="00605273">
      <w:pPr>
        <w:pStyle w:val="BodyText"/>
      </w:pPr>
      <w:r>
        <w:t>2. EN ISO 6892-1:2019 - Metallic materials. Tensile testing. Method of test at room temperature</w:t>
      </w:r>
    </w:p>
    <w:p w14:paraId="71649138" w14:textId="77777777" w:rsidR="00605273" w:rsidRPr="00605273" w:rsidRDefault="00605273" w:rsidP="00605273">
      <w:pPr>
        <w:pStyle w:val="BodyText"/>
      </w:pPr>
      <w:r>
        <w:t>3. ISO 527-1:2019: Plastics — Determination of tensile properties – Part 1: General principles</w:t>
      </w:r>
    </w:p>
    <w:p w14:paraId="3A23F90C" w14:textId="77777777" w:rsidR="00605273" w:rsidRPr="00605273" w:rsidRDefault="00605273" w:rsidP="00605273">
      <w:pPr>
        <w:pStyle w:val="BodyText"/>
      </w:pPr>
      <w:r>
        <w:t>4. ISO 6506 series: Metallic materials — Brinell hardness test</w:t>
      </w:r>
    </w:p>
    <w:p w14:paraId="111603D3" w14:textId="77777777" w:rsidR="00605273" w:rsidRPr="00605273" w:rsidRDefault="00605273" w:rsidP="00605273">
      <w:pPr>
        <w:pStyle w:val="BodyText"/>
      </w:pPr>
      <w:r>
        <w:t>5. ISO 6507 series: Metallic materials — Vickers hardness test</w:t>
      </w:r>
    </w:p>
    <w:p w14:paraId="149D6D8D" w14:textId="77777777" w:rsidR="00605273" w:rsidRPr="00605273" w:rsidRDefault="00605273" w:rsidP="00605273">
      <w:pPr>
        <w:pStyle w:val="BodyText"/>
      </w:pPr>
      <w:r>
        <w:t>6. ISO 6508 series: Metallic materials — Rockwell hardness test</w:t>
      </w:r>
    </w:p>
    <w:p w14:paraId="76808107" w14:textId="77777777" w:rsidR="00605273" w:rsidRPr="00605273" w:rsidRDefault="00605273" w:rsidP="00605273">
      <w:pPr>
        <w:pStyle w:val="BodyText"/>
      </w:pPr>
      <w:r>
        <w:t>7. ISO 148-1: 2016: Metallic materials — Charpy pendulum impact test — Part 1: Test method</w:t>
      </w:r>
    </w:p>
    <w:p w14:paraId="3AE2DC55" w14:textId="77777777" w:rsidR="00605273" w:rsidRPr="00605273" w:rsidRDefault="00605273" w:rsidP="00605273">
      <w:pPr>
        <w:pStyle w:val="BodyText"/>
      </w:pPr>
      <w:r>
        <w:t>8. ISO 643: 2019: Steels — Micrographic determination of the apparent grain size</w:t>
      </w:r>
    </w:p>
    <w:p w14:paraId="2C2B8D36" w14:textId="77777777" w:rsidR="00605273" w:rsidRPr="00605273" w:rsidRDefault="00605273" w:rsidP="00605273">
      <w:pPr>
        <w:jc w:val="both"/>
        <w:rPr>
          <w:rFonts w:ascii="Times New Roman" w:hAnsi="Times New Roman" w:cs="Times New Roman"/>
          <w:noProof/>
          <w:sz w:val="24"/>
          <w:szCs w:val="24"/>
        </w:rPr>
      </w:pPr>
    </w:p>
    <w:p w14:paraId="1DD50C6A" w14:textId="77777777" w:rsidR="00605273" w:rsidRPr="00605273" w:rsidRDefault="00605273" w:rsidP="00605273">
      <w:pPr>
        <w:rPr>
          <w:rFonts w:ascii="Times New Roman" w:eastAsia="Arial" w:hAnsi="Times New Roman" w:cs="Times New Roman"/>
          <w:noProof/>
          <w:sz w:val="24"/>
          <w:szCs w:val="24"/>
        </w:rPr>
      </w:pPr>
      <w:r>
        <w:br w:type="page"/>
      </w:r>
    </w:p>
    <w:p w14:paraId="1149F00A" w14:textId="77777777" w:rsidR="00605273" w:rsidRPr="00605273" w:rsidRDefault="00605273" w:rsidP="00605273">
      <w:pPr>
        <w:jc w:val="both"/>
        <w:rPr>
          <w:rFonts w:ascii="Times New Roman" w:eastAsia="Arial" w:hAnsi="Times New Roman" w:cs="Times New Roman"/>
          <w:noProof/>
          <w:sz w:val="24"/>
          <w:szCs w:val="24"/>
        </w:rPr>
      </w:pPr>
    </w:p>
    <w:p w14:paraId="5C8A6594" w14:textId="77777777" w:rsidR="00605273" w:rsidRPr="00605273" w:rsidRDefault="00605273" w:rsidP="001C50FB">
      <w:pPr>
        <w:pStyle w:val="Heading2"/>
        <w:rPr>
          <w:rFonts w:eastAsia="Arial" w:cs="Times New Roman"/>
          <w:bCs/>
          <w:noProof/>
          <w:szCs w:val="24"/>
        </w:rPr>
      </w:pPr>
      <w:bookmarkStart w:id="20" w:name="_Toc120022462"/>
      <w:r>
        <w:t>5. situācijas analīze. Medicīnas laboratorija (matricas pieeja)</w:t>
      </w:r>
      <w:bookmarkStart w:id="21" w:name="_bookmark10"/>
      <w:bookmarkEnd w:id="21"/>
      <w:bookmarkEnd w:id="20"/>
    </w:p>
    <w:p w14:paraId="4467D693" w14:textId="77777777" w:rsidR="00605273" w:rsidRPr="00605273" w:rsidRDefault="00605273" w:rsidP="00605273">
      <w:pPr>
        <w:jc w:val="both"/>
        <w:rPr>
          <w:rFonts w:ascii="Times New Roman" w:eastAsia="Arial" w:hAnsi="Times New Roman" w:cs="Times New Roman"/>
          <w:b/>
          <w:bCs/>
          <w:noProof/>
          <w:sz w:val="24"/>
          <w:szCs w:val="24"/>
        </w:rPr>
      </w:pPr>
    </w:p>
    <w:p w14:paraId="5E9FB040" w14:textId="77777777" w:rsidR="00605273" w:rsidRPr="00605273" w:rsidRDefault="00605273" w:rsidP="00605273">
      <w:pPr>
        <w:pStyle w:val="BodyText"/>
        <w:rPr>
          <w:b/>
          <w:bCs/>
        </w:rPr>
      </w:pPr>
      <w:r>
        <w:rPr>
          <w:b/>
        </w:rPr>
        <w:t>Akreditētie mērījumi, ko veic laboratorija</w:t>
      </w:r>
    </w:p>
    <w:p w14:paraId="2F3961D7" w14:textId="77777777" w:rsidR="00605273" w:rsidRPr="00605273" w:rsidRDefault="00605273" w:rsidP="00605273">
      <w:pPr>
        <w:jc w:val="both"/>
        <w:rPr>
          <w:rFonts w:ascii="Times New Roman" w:eastAsia="Arial" w:hAnsi="Times New Roman" w:cs="Times New Roman"/>
          <w:b/>
          <w:bCs/>
          <w:noProof/>
          <w:sz w:val="24"/>
          <w:szCs w:val="24"/>
        </w:rPr>
      </w:pPr>
    </w:p>
    <w:p w14:paraId="476B3FBC" w14:textId="77777777" w:rsidR="00605273" w:rsidRPr="00605273" w:rsidRDefault="00605273" w:rsidP="00605273">
      <w:pPr>
        <w:pStyle w:val="BodyText"/>
        <w:numPr>
          <w:ilvl w:val="0"/>
          <w:numId w:val="2"/>
        </w:numPr>
        <w:tabs>
          <w:tab w:val="left" w:pos="567"/>
        </w:tabs>
        <w:ind w:left="0" w:firstLine="0"/>
      </w:pPr>
      <w:r>
        <w:t>FSH (folikulu stimulējošs hormons) asinīs ar hemiluminiscenci</w:t>
      </w:r>
    </w:p>
    <w:p w14:paraId="7878E5D6" w14:textId="77777777" w:rsidR="00605273" w:rsidRPr="00605273" w:rsidRDefault="00605273" w:rsidP="00605273">
      <w:pPr>
        <w:pStyle w:val="BodyText"/>
        <w:numPr>
          <w:ilvl w:val="0"/>
          <w:numId w:val="2"/>
        </w:numPr>
        <w:tabs>
          <w:tab w:val="left" w:pos="567"/>
        </w:tabs>
        <w:ind w:left="0" w:firstLine="0"/>
      </w:pPr>
      <w:r>
        <w:t>LH (luteinizējošs hormons) asinīs ar hemiluminiscenci</w:t>
      </w:r>
    </w:p>
    <w:p w14:paraId="51163B14" w14:textId="77777777" w:rsidR="00605273" w:rsidRPr="00605273" w:rsidRDefault="00605273" w:rsidP="00605273">
      <w:pPr>
        <w:pStyle w:val="BodyText"/>
        <w:numPr>
          <w:ilvl w:val="0"/>
          <w:numId w:val="2"/>
        </w:numPr>
        <w:tabs>
          <w:tab w:val="left" w:pos="567"/>
        </w:tabs>
        <w:ind w:left="0" w:firstLine="0"/>
      </w:pPr>
      <w:r>
        <w:t>Folijskābe asinīs ar hemiluminiscenci</w:t>
      </w:r>
    </w:p>
    <w:p w14:paraId="5CE53D50" w14:textId="77777777" w:rsidR="00605273" w:rsidRPr="00605273" w:rsidRDefault="00605273" w:rsidP="00605273">
      <w:pPr>
        <w:pStyle w:val="BodyText"/>
        <w:numPr>
          <w:ilvl w:val="0"/>
          <w:numId w:val="2"/>
        </w:numPr>
        <w:tabs>
          <w:tab w:val="left" w:pos="567"/>
        </w:tabs>
        <w:ind w:left="0" w:firstLine="0"/>
      </w:pPr>
      <w:r>
        <w:t>Kalcijs asinīs un urīnā ar elektroķīmiju</w:t>
      </w:r>
    </w:p>
    <w:p w14:paraId="616E181A" w14:textId="77777777" w:rsidR="00605273" w:rsidRPr="00605273" w:rsidRDefault="00605273" w:rsidP="00605273">
      <w:pPr>
        <w:pStyle w:val="BodyText"/>
        <w:numPr>
          <w:ilvl w:val="0"/>
          <w:numId w:val="2"/>
        </w:numPr>
        <w:tabs>
          <w:tab w:val="left" w:pos="567"/>
        </w:tabs>
        <w:ind w:left="0" w:firstLine="0"/>
      </w:pPr>
      <w:r>
        <w:t>Kālijs asinīs un urīnā ar elektroķīmiju</w:t>
      </w:r>
    </w:p>
    <w:p w14:paraId="579F88D1" w14:textId="77777777" w:rsidR="00605273" w:rsidRPr="00605273" w:rsidRDefault="00605273" w:rsidP="00605273">
      <w:pPr>
        <w:pStyle w:val="BodyText"/>
        <w:numPr>
          <w:ilvl w:val="0"/>
          <w:numId w:val="2"/>
        </w:numPr>
        <w:tabs>
          <w:tab w:val="left" w:pos="567"/>
        </w:tabs>
        <w:ind w:left="0" w:firstLine="0"/>
      </w:pPr>
      <w:r>
        <w:t>Krioglobulīni asinīs ar elektroforēzi</w:t>
      </w:r>
    </w:p>
    <w:p w14:paraId="1E509EEE" w14:textId="77777777" w:rsidR="00605273" w:rsidRPr="00605273" w:rsidRDefault="00605273" w:rsidP="00605273">
      <w:pPr>
        <w:pStyle w:val="BodyText"/>
        <w:numPr>
          <w:ilvl w:val="0"/>
          <w:numId w:val="2"/>
        </w:numPr>
        <w:tabs>
          <w:tab w:val="left" w:pos="567"/>
        </w:tabs>
        <w:ind w:left="0" w:firstLine="0"/>
      </w:pPr>
      <w:r>
        <w:t>Karbamazepīns ar imūntestu asinīs</w:t>
      </w:r>
    </w:p>
    <w:p w14:paraId="15EDE49C" w14:textId="77777777" w:rsidR="00605273" w:rsidRPr="00605273" w:rsidRDefault="00605273" w:rsidP="00605273">
      <w:pPr>
        <w:pStyle w:val="BodyText"/>
        <w:numPr>
          <w:ilvl w:val="0"/>
          <w:numId w:val="2"/>
        </w:numPr>
        <w:tabs>
          <w:tab w:val="left" w:pos="567"/>
        </w:tabs>
        <w:ind w:left="0" w:firstLine="0"/>
      </w:pPr>
      <w:r>
        <w:t>Ciklosporīns asinīs ar imūntestu</w:t>
      </w:r>
    </w:p>
    <w:p w14:paraId="6267E779" w14:textId="77777777" w:rsidR="00605273" w:rsidRPr="00605273" w:rsidRDefault="00605273" w:rsidP="00605273">
      <w:pPr>
        <w:pStyle w:val="BodyText"/>
        <w:numPr>
          <w:ilvl w:val="0"/>
          <w:numId w:val="2"/>
        </w:numPr>
        <w:tabs>
          <w:tab w:val="left" w:pos="567"/>
        </w:tabs>
        <w:ind w:left="0" w:firstLine="0"/>
      </w:pPr>
      <w:r>
        <w:t>Transferīns asinīs un urīnā ar nefelometriju</w:t>
      </w:r>
    </w:p>
    <w:p w14:paraId="4727ECA4" w14:textId="77777777" w:rsidR="00605273" w:rsidRPr="00605273" w:rsidRDefault="00605273" w:rsidP="00605273">
      <w:pPr>
        <w:pStyle w:val="BodyText"/>
        <w:numPr>
          <w:ilvl w:val="0"/>
          <w:numId w:val="2"/>
        </w:numPr>
        <w:tabs>
          <w:tab w:val="left" w:pos="567"/>
        </w:tabs>
        <w:ind w:left="0" w:firstLine="0"/>
      </w:pPr>
      <w:r>
        <w:t>α2 makroglobulīns asinīs un urīnā ar nefelometriju</w:t>
      </w:r>
    </w:p>
    <w:p w14:paraId="61AE27B1" w14:textId="77777777" w:rsidR="00605273" w:rsidRPr="00605273" w:rsidRDefault="00605273" w:rsidP="00605273">
      <w:pPr>
        <w:pStyle w:val="BodyText"/>
        <w:numPr>
          <w:ilvl w:val="0"/>
          <w:numId w:val="2"/>
        </w:numPr>
        <w:tabs>
          <w:tab w:val="left" w:pos="567"/>
        </w:tabs>
        <w:ind w:left="0" w:firstLine="0"/>
      </w:pPr>
      <w:r>
        <w:rPr>
          <w:i/>
          <w:iCs/>
        </w:rPr>
        <w:t>ALAT</w:t>
      </w:r>
      <w:r>
        <w:t xml:space="preserve"> (alanīna transamināze) asinīs ar UV vai redzamās gaismas spektroskopiju</w:t>
      </w:r>
    </w:p>
    <w:p w14:paraId="7135A284" w14:textId="77777777" w:rsidR="00605273" w:rsidRPr="00605273" w:rsidRDefault="00605273" w:rsidP="00605273">
      <w:pPr>
        <w:pStyle w:val="BodyText"/>
        <w:numPr>
          <w:ilvl w:val="0"/>
          <w:numId w:val="2"/>
        </w:numPr>
        <w:tabs>
          <w:tab w:val="left" w:pos="567"/>
        </w:tabs>
        <w:ind w:left="0" w:firstLine="0"/>
      </w:pPr>
      <w:r>
        <w:rPr>
          <w:i/>
          <w:iCs/>
        </w:rPr>
        <w:t>ASAT</w:t>
      </w:r>
      <w:r>
        <w:t xml:space="preserve"> (aspartāma transamināze) asinīs ar UV vai redzamās gaismas spektroskopiju</w:t>
      </w:r>
    </w:p>
    <w:p w14:paraId="31A88D67" w14:textId="77777777" w:rsidR="00605273" w:rsidRPr="00605273" w:rsidRDefault="00605273" w:rsidP="00605273">
      <w:pPr>
        <w:pStyle w:val="BodyText"/>
        <w:numPr>
          <w:ilvl w:val="0"/>
          <w:numId w:val="2"/>
        </w:numPr>
        <w:tabs>
          <w:tab w:val="left" w:pos="567"/>
        </w:tabs>
        <w:ind w:left="0" w:firstLine="0"/>
      </w:pPr>
      <w:r>
        <w:t>Magnijs asinīs un urīnā ar UV vai redzamās gaismas spektroskopiju</w:t>
      </w:r>
    </w:p>
    <w:p w14:paraId="2A456E2E" w14:textId="77777777" w:rsidR="00605273" w:rsidRPr="00605273" w:rsidRDefault="00605273" w:rsidP="00605273">
      <w:pPr>
        <w:jc w:val="both"/>
        <w:rPr>
          <w:rFonts w:ascii="Times New Roman" w:eastAsia="Arial" w:hAnsi="Times New Roman" w:cs="Times New Roman"/>
          <w:noProof/>
          <w:sz w:val="24"/>
          <w:szCs w:val="24"/>
        </w:rPr>
      </w:pPr>
    </w:p>
    <w:p w14:paraId="44A0924F" w14:textId="77777777" w:rsidR="00605273" w:rsidRPr="00605273" w:rsidRDefault="00605273" w:rsidP="00605273">
      <w:pPr>
        <w:pStyle w:val="BodyText"/>
        <w:rPr>
          <w:b/>
          <w:bCs/>
        </w:rPr>
      </w:pPr>
      <w:r>
        <w:rPr>
          <w:b/>
        </w:rPr>
        <w:t>Tehniskās kompetences jomu noteikšanas apsvērumi</w:t>
      </w:r>
    </w:p>
    <w:p w14:paraId="5F19B1FF" w14:textId="77777777" w:rsidR="00605273" w:rsidRPr="00605273" w:rsidRDefault="00605273" w:rsidP="00605273">
      <w:pPr>
        <w:jc w:val="both"/>
        <w:rPr>
          <w:rFonts w:ascii="Times New Roman" w:eastAsia="Arial" w:hAnsi="Times New Roman" w:cs="Times New Roman"/>
          <w:b/>
          <w:bCs/>
          <w:noProof/>
          <w:sz w:val="24"/>
          <w:szCs w:val="24"/>
        </w:rPr>
      </w:pPr>
    </w:p>
    <w:p w14:paraId="77CE608B" w14:textId="77777777" w:rsidR="00605273" w:rsidRPr="00605273" w:rsidRDefault="00605273" w:rsidP="00605273">
      <w:pPr>
        <w:pStyle w:val="BodyText"/>
      </w:pPr>
      <w:r>
        <w:t>Lai noteiktu savas tehniskās kompetences jomas, laboratorija uzskaita visus mērījumu procesus, ko tā izmanto savā sfērā, visus raksturlielumus, kas var būt atsevišķi raksturlielumi, vai līdzvērtīgu raksturlielumu tehniskās kompetences jomas.</w:t>
      </w:r>
    </w:p>
    <w:p w14:paraId="435ABDB1" w14:textId="77777777" w:rsidR="00605273" w:rsidRPr="00605273" w:rsidRDefault="00605273" w:rsidP="00605273">
      <w:pPr>
        <w:jc w:val="both"/>
        <w:rPr>
          <w:rFonts w:ascii="Times New Roman" w:eastAsia="Arial" w:hAnsi="Times New Roman" w:cs="Times New Roman"/>
          <w:noProof/>
          <w:sz w:val="24"/>
          <w:szCs w:val="24"/>
        </w:rPr>
      </w:pPr>
    </w:p>
    <w:p w14:paraId="0B2BF942" w14:textId="77777777" w:rsidR="00605273" w:rsidRPr="00605273" w:rsidRDefault="00605273" w:rsidP="00605273">
      <w:pPr>
        <w:pStyle w:val="BodyText"/>
      </w:pPr>
      <w:r>
        <w:t>No definētajiem mērījumu procesiem, raksturlielumiem un produktiem laboratorija katru atsevišķu raksturlielumu sasaista ar vienu mērījumu procesu, vienu raksturlielumu grupu un vienu produktu.</w:t>
      </w:r>
    </w:p>
    <w:p w14:paraId="3106172B" w14:textId="77777777" w:rsidR="00605273" w:rsidRPr="00605273" w:rsidRDefault="00605273" w:rsidP="00605273">
      <w:pPr>
        <w:jc w:val="both"/>
        <w:rPr>
          <w:rFonts w:ascii="Times New Roman" w:eastAsia="Arial" w:hAnsi="Times New Roman" w:cs="Times New Roman"/>
          <w:noProof/>
          <w:sz w:val="24"/>
          <w:szCs w:val="24"/>
        </w:rPr>
      </w:pPr>
    </w:p>
    <w:p w14:paraId="51B39D51" w14:textId="77777777" w:rsidR="00605273" w:rsidRPr="00605273" w:rsidRDefault="00605273" w:rsidP="00605273">
      <w:pPr>
        <w:pStyle w:val="BodyText"/>
        <w:rPr>
          <w:b/>
          <w:bCs/>
        </w:rPr>
      </w:pPr>
      <w:r>
        <w:rPr>
          <w:b/>
        </w:rPr>
        <w:t>Šā uzdevuma rezultātā noteiktās tehniskās kompetences jomas</w:t>
      </w:r>
    </w:p>
    <w:p w14:paraId="72A71E50" w14:textId="77777777" w:rsidR="00605273" w:rsidRPr="00605273" w:rsidRDefault="00605273" w:rsidP="00605273">
      <w:pPr>
        <w:jc w:val="both"/>
        <w:rPr>
          <w:rFonts w:ascii="Times New Roman" w:eastAsia="Arial" w:hAnsi="Times New Roman" w:cs="Times New Roman"/>
          <w:b/>
          <w:bCs/>
          <w:noProof/>
          <w:sz w:val="24"/>
          <w:szCs w:val="24"/>
        </w:rPr>
      </w:pPr>
    </w:p>
    <w:p w14:paraId="1042E6DD" w14:textId="77777777" w:rsidR="00605273" w:rsidRPr="00605273" w:rsidRDefault="00605273" w:rsidP="00605273">
      <w:pPr>
        <w:pStyle w:val="BodyText"/>
        <w:numPr>
          <w:ilvl w:val="0"/>
          <w:numId w:val="2"/>
        </w:numPr>
        <w:tabs>
          <w:tab w:val="left" w:pos="567"/>
        </w:tabs>
        <w:ind w:left="0" w:firstLine="0"/>
      </w:pPr>
      <w:r>
        <w:t>Hormoni asinīs ar hemiluminiscenci</w:t>
      </w:r>
    </w:p>
    <w:p w14:paraId="719F733D" w14:textId="77777777" w:rsidR="00605273" w:rsidRPr="00605273" w:rsidRDefault="00605273" w:rsidP="00605273">
      <w:pPr>
        <w:pStyle w:val="BodyText"/>
        <w:numPr>
          <w:ilvl w:val="0"/>
          <w:numId w:val="2"/>
        </w:numPr>
        <w:tabs>
          <w:tab w:val="left" w:pos="567"/>
        </w:tabs>
        <w:ind w:left="0" w:firstLine="0"/>
      </w:pPr>
      <w:r>
        <w:t>Vitamīni asinīs ar hemiluminiscenci</w:t>
      </w:r>
    </w:p>
    <w:p w14:paraId="0D14EBE4" w14:textId="77777777" w:rsidR="00605273" w:rsidRPr="00605273" w:rsidRDefault="00605273" w:rsidP="00605273">
      <w:pPr>
        <w:pStyle w:val="BodyText"/>
        <w:numPr>
          <w:ilvl w:val="0"/>
          <w:numId w:val="2"/>
        </w:numPr>
        <w:tabs>
          <w:tab w:val="left" w:pos="567"/>
        </w:tabs>
        <w:ind w:left="0" w:firstLine="0"/>
      </w:pPr>
      <w:r>
        <w:t>Elektrolīti asinīs un urīnā ar elektroķīmiju</w:t>
      </w:r>
    </w:p>
    <w:p w14:paraId="76AA3FB3" w14:textId="77777777" w:rsidR="00605273" w:rsidRPr="00605273" w:rsidRDefault="00605273" w:rsidP="00605273">
      <w:pPr>
        <w:pStyle w:val="BodyText"/>
        <w:numPr>
          <w:ilvl w:val="0"/>
          <w:numId w:val="2"/>
        </w:numPr>
        <w:tabs>
          <w:tab w:val="left" w:pos="567"/>
        </w:tabs>
        <w:ind w:left="0" w:firstLine="0"/>
      </w:pPr>
      <w:r>
        <w:t>Konkrēti proteīni asinīs ar elektroforēzi</w:t>
      </w:r>
    </w:p>
    <w:p w14:paraId="7C5AA6DE" w14:textId="77777777" w:rsidR="00605273" w:rsidRPr="00605273" w:rsidRDefault="00605273" w:rsidP="00605273">
      <w:pPr>
        <w:pStyle w:val="BodyText"/>
        <w:numPr>
          <w:ilvl w:val="0"/>
          <w:numId w:val="2"/>
        </w:numPr>
        <w:tabs>
          <w:tab w:val="left" w:pos="567"/>
        </w:tabs>
        <w:ind w:left="0" w:firstLine="0"/>
      </w:pPr>
      <w:r>
        <w:t>Narkotiskās vielas asinīs ar imūntestu</w:t>
      </w:r>
    </w:p>
    <w:p w14:paraId="3CC081C5" w14:textId="77777777" w:rsidR="00605273" w:rsidRPr="00605273" w:rsidRDefault="00605273" w:rsidP="00605273">
      <w:pPr>
        <w:pStyle w:val="BodyText"/>
        <w:numPr>
          <w:ilvl w:val="0"/>
          <w:numId w:val="2"/>
        </w:numPr>
        <w:tabs>
          <w:tab w:val="left" w:pos="567"/>
        </w:tabs>
        <w:ind w:left="0" w:firstLine="0"/>
      </w:pPr>
      <w:r>
        <w:t>Konkrēti proteīni asinīs un urīnā ar nefelometriju</w:t>
      </w:r>
    </w:p>
    <w:p w14:paraId="403F246E" w14:textId="77777777" w:rsidR="00605273" w:rsidRPr="00605273" w:rsidRDefault="00605273" w:rsidP="00605273">
      <w:pPr>
        <w:pStyle w:val="BodyText"/>
        <w:numPr>
          <w:ilvl w:val="0"/>
          <w:numId w:val="2"/>
        </w:numPr>
        <w:tabs>
          <w:tab w:val="left" w:pos="567"/>
        </w:tabs>
        <w:ind w:left="0" w:firstLine="0"/>
      </w:pPr>
      <w:r>
        <w:t>Elektrolīti asinīs un urīnā ar UV vai redzamās gaismas spektroskopiju</w:t>
      </w:r>
    </w:p>
    <w:p w14:paraId="51655CD6" w14:textId="77777777" w:rsidR="00605273" w:rsidRPr="00605273" w:rsidRDefault="00605273" w:rsidP="00605273">
      <w:pPr>
        <w:pStyle w:val="BodyText"/>
        <w:numPr>
          <w:ilvl w:val="0"/>
          <w:numId w:val="2"/>
        </w:numPr>
        <w:tabs>
          <w:tab w:val="left" w:pos="567"/>
        </w:tabs>
        <w:ind w:left="0" w:firstLine="0"/>
      </w:pPr>
      <w:r>
        <w:t>Enzīmi asinīs un ar UV vai redzamās gaismas spektroskopiju</w:t>
      </w:r>
    </w:p>
    <w:p w14:paraId="38A76585" w14:textId="77777777" w:rsidR="00605273" w:rsidRPr="00605273" w:rsidRDefault="00605273" w:rsidP="00605273">
      <w:pPr>
        <w:jc w:val="both"/>
        <w:rPr>
          <w:rFonts w:ascii="Times New Roman" w:eastAsia="Arial" w:hAnsi="Times New Roman" w:cs="Times New Roman"/>
          <w:noProof/>
          <w:sz w:val="24"/>
          <w:szCs w:val="24"/>
        </w:rPr>
      </w:pPr>
    </w:p>
    <w:p w14:paraId="08EE68C0" w14:textId="77777777" w:rsidR="00605273" w:rsidRPr="00605273" w:rsidRDefault="00605273" w:rsidP="00605273">
      <w:pPr>
        <w:pStyle w:val="BodyText"/>
      </w:pPr>
      <w:r>
        <w:t>Laboratorija ņem vērā lēmumu pieņemšanas robežvērtību (piemēram, attiecībā uz terapijas lēmumiem), jo tas var atšķirties atkarībā no produkta. Piemēram, ja asins un urīna testi ir savstarpēji saistīti, var uzskatīt, ka tie pieder vienai grupai tikai tad, ja pārbaudes objektiem, kurus piedāvā PP, koncentrācija ir tuvu katra objekta robežvērtībai. Pārbaudes objektiem ir jāaptver abu produktu mērīšanas diapazoni.</w:t>
      </w:r>
    </w:p>
    <w:p w14:paraId="3D354187" w14:textId="77777777" w:rsidR="00605273" w:rsidRPr="00605273" w:rsidRDefault="00605273" w:rsidP="00605273">
      <w:pPr>
        <w:jc w:val="both"/>
        <w:rPr>
          <w:rFonts w:ascii="Times New Roman" w:eastAsia="Arial" w:hAnsi="Times New Roman" w:cs="Times New Roman"/>
          <w:noProof/>
          <w:sz w:val="24"/>
          <w:szCs w:val="24"/>
        </w:rPr>
      </w:pPr>
    </w:p>
    <w:p w14:paraId="3F1F9F3A" w14:textId="77777777" w:rsidR="00605273" w:rsidRPr="00605273" w:rsidRDefault="00605273" w:rsidP="00605273">
      <w:pPr>
        <w:pStyle w:val="BodyText"/>
      </w:pPr>
      <w:r>
        <w:t xml:space="preserve">Piezīme. Lai arī dažādi produkti ir apvienoti vienā tehniskās kompetences jomā katrai noteikšanas sistēmai, ņemot vērā to līdzvērtību no kompetences viedokļa, tas nenozīmē, ka tie ir līdzvērtīgi metodes un laboratorijas veiktspējas ziņā. Tāpēc laboratorijai vajadzētu veikt šīs PP, konkrēti periodiski aptverot savā sfērā visus produktus. Paredzams, ka tā to skaidri norāda </w:t>
      </w:r>
      <w:r>
        <w:lastRenderedPageBreak/>
        <w:t>savā prasmes pārbaudes stratēģijā.</w:t>
      </w:r>
    </w:p>
    <w:p w14:paraId="3B2C3CFA" w14:textId="77777777" w:rsidR="00605273" w:rsidRPr="00605273" w:rsidRDefault="00605273" w:rsidP="00605273">
      <w:pPr>
        <w:jc w:val="both"/>
        <w:rPr>
          <w:rFonts w:ascii="Times New Roman" w:eastAsia="Arial" w:hAnsi="Times New Roman" w:cs="Times New Roman"/>
          <w:noProof/>
          <w:sz w:val="24"/>
          <w:szCs w:val="24"/>
        </w:rPr>
      </w:pPr>
    </w:p>
    <w:p w14:paraId="2B2C128C" w14:textId="77777777" w:rsidR="00605273" w:rsidRPr="00605273" w:rsidRDefault="00605273" w:rsidP="00605273">
      <w:pPr>
        <w:pStyle w:val="BodyText"/>
        <w:rPr>
          <w:b/>
          <w:bCs/>
        </w:rPr>
      </w:pPr>
      <w:r>
        <w:rPr>
          <w:b/>
        </w:rPr>
        <w:t>Dalības biežuma noteikšanas apsvērumi</w:t>
      </w:r>
    </w:p>
    <w:p w14:paraId="54D04286" w14:textId="77777777" w:rsidR="00605273" w:rsidRPr="00605273" w:rsidRDefault="00605273" w:rsidP="00605273">
      <w:pPr>
        <w:jc w:val="both"/>
        <w:rPr>
          <w:rFonts w:ascii="Times New Roman" w:eastAsia="Arial" w:hAnsi="Times New Roman" w:cs="Times New Roman"/>
          <w:b/>
          <w:bCs/>
          <w:noProof/>
          <w:sz w:val="24"/>
          <w:szCs w:val="24"/>
        </w:rPr>
      </w:pPr>
    </w:p>
    <w:p w14:paraId="5494FB53" w14:textId="77777777" w:rsidR="00605273" w:rsidRPr="00605273" w:rsidRDefault="00605273" w:rsidP="00605273">
      <w:pPr>
        <w:pStyle w:val="BodyText"/>
      </w:pPr>
      <w:r>
        <w:t>Medicīnas laboratoriju reglamentē valsts tiesību akti, kas nosaka, ka tai ir jāpiedalās PP vismaz divpadsmit reizes gadā, tas ir, katru mēnesi. Tā kā izraudzītais PP organizētājs piedāvā asins un urīna testa materiālu katru mēnesi un tā kā paraugu apjoma caurlaides spēja laboratorijā ir ļoti augsta, turklāt mērījumi ir kritiski svarīgi, laboratorija nolemj ņemt asins un urīna testa materiālus katru mēnesi. Tā kā ir liela analīžu veicēju darba grupa un tiek izmantoti dažādi instrumenti, laboratorija izmanto PP organizētāja piedāvāto kārtību, ka ziņojumus gatavo vairāki analīžu veicēji / par vairākiem instrumentiem, ievērojot izlases lieluma ierobežojumus. Tādējādi, lai arī ne visi analīžu veicēji / instrumenti piedalās katrā ciklā, laboratorija ir izstrādājusi stratēģiju, kas nodrošina, ka katrs analīžu veicējs / instruments piedalās vismaz četras reizes gadā.</w:t>
      </w:r>
    </w:p>
    <w:p w14:paraId="727A8786" w14:textId="77777777" w:rsidR="00605273" w:rsidRPr="00605273" w:rsidRDefault="00605273" w:rsidP="00605273">
      <w:pPr>
        <w:jc w:val="both"/>
        <w:rPr>
          <w:rFonts w:ascii="Times New Roman" w:eastAsia="Arial" w:hAnsi="Times New Roman" w:cs="Times New Roman"/>
          <w:noProof/>
          <w:sz w:val="24"/>
          <w:szCs w:val="24"/>
        </w:rPr>
      </w:pPr>
    </w:p>
    <w:p w14:paraId="61AE20DB" w14:textId="77777777" w:rsidR="00605273" w:rsidRPr="00605273" w:rsidRDefault="00605273" w:rsidP="00605273">
      <w:pPr>
        <w:pStyle w:val="BodyText"/>
        <w:rPr>
          <w:b/>
          <w:bCs/>
        </w:rPr>
      </w:pPr>
      <w:r>
        <w:rPr>
          <w:b/>
        </w:rPr>
        <w:t>Kopsavilkuma tabula</w:t>
      </w:r>
    </w:p>
    <w:p w14:paraId="702F5117" w14:textId="77777777" w:rsidR="00605273" w:rsidRPr="00605273" w:rsidRDefault="00605273" w:rsidP="00605273">
      <w:pPr>
        <w:jc w:val="both"/>
        <w:rPr>
          <w:rFonts w:ascii="Times New Roman" w:eastAsia="Arial" w:hAnsi="Times New Roman" w:cs="Times New Roman"/>
          <w:b/>
          <w:bCs/>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885"/>
        <w:gridCol w:w="2400"/>
        <w:gridCol w:w="2396"/>
        <w:gridCol w:w="1724"/>
        <w:gridCol w:w="1726"/>
      </w:tblGrid>
      <w:tr w:rsidR="00605273" w:rsidRPr="00605273" w14:paraId="191CFFB0" w14:textId="77777777" w:rsidTr="009C4FC9">
        <w:tc>
          <w:tcPr>
            <w:tcW w:w="485" w:type="pct"/>
            <w:tcBorders>
              <w:top w:val="single" w:sz="5" w:space="0" w:color="000000"/>
              <w:left w:val="single" w:sz="5" w:space="0" w:color="000000"/>
              <w:bottom w:val="single" w:sz="5" w:space="0" w:color="000000"/>
              <w:right w:val="single" w:sz="5" w:space="0" w:color="000000"/>
            </w:tcBorders>
          </w:tcPr>
          <w:p w14:paraId="6246CFE5" w14:textId="77777777" w:rsidR="00605273" w:rsidRPr="00605273" w:rsidRDefault="00605273" w:rsidP="009C4FC9">
            <w:pPr>
              <w:jc w:val="both"/>
              <w:rPr>
                <w:rFonts w:ascii="Times New Roman" w:hAnsi="Times New Roman" w:cs="Times New Roman"/>
                <w:noProof/>
                <w:sz w:val="24"/>
                <w:szCs w:val="24"/>
              </w:rPr>
            </w:pPr>
          </w:p>
        </w:tc>
        <w:tc>
          <w:tcPr>
            <w:tcW w:w="1314" w:type="pct"/>
            <w:tcBorders>
              <w:top w:val="single" w:sz="5" w:space="0" w:color="000000"/>
              <w:left w:val="single" w:sz="5" w:space="0" w:color="000000"/>
              <w:bottom w:val="single" w:sz="5" w:space="0" w:color="000000"/>
              <w:right w:val="single" w:sz="5" w:space="0" w:color="000000"/>
            </w:tcBorders>
          </w:tcPr>
          <w:p w14:paraId="51A27DCD"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Raksturlielums</w:t>
            </w:r>
          </w:p>
        </w:tc>
        <w:tc>
          <w:tcPr>
            <w:tcW w:w="1312" w:type="pct"/>
            <w:tcBorders>
              <w:top w:val="single" w:sz="5" w:space="0" w:color="000000"/>
              <w:left w:val="single" w:sz="5" w:space="0" w:color="000000"/>
              <w:bottom w:val="single" w:sz="5" w:space="0" w:color="000000"/>
              <w:right w:val="single" w:sz="5" w:space="0" w:color="000000"/>
            </w:tcBorders>
          </w:tcPr>
          <w:p w14:paraId="61C0F3BE"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Mērījumu process</w:t>
            </w:r>
          </w:p>
        </w:tc>
        <w:tc>
          <w:tcPr>
            <w:tcW w:w="944" w:type="pct"/>
            <w:tcBorders>
              <w:top w:val="single" w:sz="5" w:space="0" w:color="000000"/>
              <w:left w:val="single" w:sz="5" w:space="0" w:color="000000"/>
              <w:bottom w:val="single" w:sz="5" w:space="0" w:color="000000"/>
              <w:right w:val="single" w:sz="5" w:space="0" w:color="000000"/>
            </w:tcBorders>
          </w:tcPr>
          <w:p w14:paraId="4253AACC"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Produkts</w:t>
            </w:r>
          </w:p>
        </w:tc>
        <w:tc>
          <w:tcPr>
            <w:tcW w:w="945" w:type="pct"/>
            <w:tcBorders>
              <w:top w:val="single" w:sz="5" w:space="0" w:color="000000"/>
              <w:left w:val="single" w:sz="5" w:space="0" w:color="000000"/>
              <w:bottom w:val="single" w:sz="5" w:space="0" w:color="000000"/>
              <w:right w:val="single" w:sz="5" w:space="0" w:color="000000"/>
            </w:tcBorders>
          </w:tcPr>
          <w:p w14:paraId="1ECC27BB" w14:textId="77777777" w:rsidR="00605273" w:rsidRPr="00605273" w:rsidRDefault="00605273" w:rsidP="009C4FC9">
            <w:pPr>
              <w:pStyle w:val="TableParagraph"/>
              <w:jc w:val="both"/>
              <w:rPr>
                <w:rFonts w:ascii="Times New Roman" w:hAnsi="Times New Roman" w:cs="Times New Roman"/>
                <w:b/>
                <w:noProof/>
                <w:sz w:val="24"/>
                <w:szCs w:val="24"/>
              </w:rPr>
            </w:pPr>
            <w:r>
              <w:rPr>
                <w:rFonts w:ascii="Times New Roman" w:hAnsi="Times New Roman"/>
                <w:b/>
                <w:sz w:val="24"/>
              </w:rPr>
              <w:t>Biežums</w:t>
            </w:r>
          </w:p>
        </w:tc>
      </w:tr>
      <w:tr w:rsidR="00605273" w:rsidRPr="00605273" w14:paraId="7148DEB8" w14:textId="77777777" w:rsidTr="009C4FC9">
        <w:tc>
          <w:tcPr>
            <w:tcW w:w="485" w:type="pct"/>
            <w:tcBorders>
              <w:top w:val="single" w:sz="5" w:space="0" w:color="000000"/>
              <w:left w:val="single" w:sz="5" w:space="0" w:color="000000"/>
              <w:bottom w:val="single" w:sz="5" w:space="0" w:color="000000"/>
              <w:right w:val="single" w:sz="5" w:space="0" w:color="000000"/>
            </w:tcBorders>
          </w:tcPr>
          <w:p w14:paraId="0889B2B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w:t>
            </w:r>
          </w:p>
        </w:tc>
        <w:tc>
          <w:tcPr>
            <w:tcW w:w="1314" w:type="pct"/>
            <w:tcBorders>
              <w:top w:val="single" w:sz="5" w:space="0" w:color="000000"/>
              <w:left w:val="single" w:sz="5" w:space="0" w:color="000000"/>
              <w:bottom w:val="single" w:sz="5" w:space="0" w:color="000000"/>
              <w:right w:val="single" w:sz="5" w:space="0" w:color="000000"/>
            </w:tcBorders>
          </w:tcPr>
          <w:p w14:paraId="259AF88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Narkotiskās vielas: </w:t>
            </w:r>
            <w:proofErr w:type="spellStart"/>
            <w:r>
              <w:rPr>
                <w:rFonts w:ascii="Times New Roman" w:hAnsi="Times New Roman"/>
                <w:sz w:val="24"/>
              </w:rPr>
              <w:t>karbamazepīns</w:t>
            </w:r>
            <w:proofErr w:type="spellEnd"/>
            <w:r>
              <w:rPr>
                <w:rFonts w:ascii="Times New Roman" w:hAnsi="Times New Roman"/>
                <w:sz w:val="24"/>
              </w:rPr>
              <w:t xml:space="preserve">, </w:t>
            </w:r>
            <w:proofErr w:type="spellStart"/>
            <w:r>
              <w:rPr>
                <w:rFonts w:ascii="Times New Roman" w:hAnsi="Times New Roman"/>
                <w:sz w:val="24"/>
              </w:rPr>
              <w:t>ciklosporīns</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453CC375"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Imūntests</w:t>
            </w:r>
            <w:proofErr w:type="spellEnd"/>
          </w:p>
        </w:tc>
        <w:tc>
          <w:tcPr>
            <w:tcW w:w="944" w:type="pct"/>
            <w:tcBorders>
              <w:top w:val="single" w:sz="5" w:space="0" w:color="000000"/>
              <w:left w:val="single" w:sz="5" w:space="0" w:color="000000"/>
              <w:bottom w:val="single" w:sz="5" w:space="0" w:color="000000"/>
              <w:right w:val="single" w:sz="5" w:space="0" w:color="000000"/>
            </w:tcBorders>
          </w:tcPr>
          <w:p w14:paraId="472341BC"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2E9DA82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23D09E21" w14:textId="77777777" w:rsidTr="009C4FC9">
        <w:tc>
          <w:tcPr>
            <w:tcW w:w="485" w:type="pct"/>
            <w:tcBorders>
              <w:top w:val="single" w:sz="5" w:space="0" w:color="000000"/>
              <w:left w:val="single" w:sz="5" w:space="0" w:color="000000"/>
              <w:bottom w:val="single" w:sz="5" w:space="0" w:color="000000"/>
              <w:right w:val="single" w:sz="5" w:space="0" w:color="000000"/>
            </w:tcBorders>
          </w:tcPr>
          <w:p w14:paraId="1395310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2.</w:t>
            </w:r>
          </w:p>
        </w:tc>
        <w:tc>
          <w:tcPr>
            <w:tcW w:w="1314" w:type="pct"/>
            <w:tcBorders>
              <w:top w:val="single" w:sz="5" w:space="0" w:color="000000"/>
              <w:left w:val="single" w:sz="5" w:space="0" w:color="000000"/>
              <w:bottom w:val="single" w:sz="5" w:space="0" w:color="000000"/>
              <w:right w:val="single" w:sz="5" w:space="0" w:color="000000"/>
            </w:tcBorders>
          </w:tcPr>
          <w:p w14:paraId="5D86C0D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Elektrolīti: kalcijs, kālijs</w:t>
            </w:r>
          </w:p>
        </w:tc>
        <w:tc>
          <w:tcPr>
            <w:tcW w:w="1312" w:type="pct"/>
            <w:tcBorders>
              <w:top w:val="single" w:sz="5" w:space="0" w:color="000000"/>
              <w:left w:val="single" w:sz="5" w:space="0" w:color="000000"/>
              <w:bottom w:val="single" w:sz="5" w:space="0" w:color="000000"/>
              <w:right w:val="single" w:sz="5" w:space="0" w:color="000000"/>
            </w:tcBorders>
          </w:tcPr>
          <w:p w14:paraId="15A1F0F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Elektroķīmija</w:t>
            </w:r>
          </w:p>
        </w:tc>
        <w:tc>
          <w:tcPr>
            <w:tcW w:w="944" w:type="pct"/>
            <w:tcBorders>
              <w:top w:val="single" w:sz="5" w:space="0" w:color="000000"/>
              <w:left w:val="single" w:sz="5" w:space="0" w:color="000000"/>
              <w:bottom w:val="single" w:sz="5" w:space="0" w:color="000000"/>
              <w:right w:val="single" w:sz="5" w:space="0" w:color="000000"/>
            </w:tcBorders>
          </w:tcPr>
          <w:p w14:paraId="00A7332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2961B104"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1EC60737" w14:textId="77777777" w:rsidTr="009C4FC9">
        <w:tc>
          <w:tcPr>
            <w:tcW w:w="485" w:type="pct"/>
            <w:tcBorders>
              <w:top w:val="single" w:sz="5" w:space="0" w:color="000000"/>
              <w:left w:val="single" w:sz="5" w:space="0" w:color="000000"/>
              <w:bottom w:val="single" w:sz="5" w:space="0" w:color="000000"/>
              <w:right w:val="single" w:sz="5" w:space="0" w:color="000000"/>
            </w:tcBorders>
          </w:tcPr>
          <w:p w14:paraId="154F156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3.</w:t>
            </w:r>
          </w:p>
        </w:tc>
        <w:tc>
          <w:tcPr>
            <w:tcW w:w="1314" w:type="pct"/>
            <w:tcBorders>
              <w:top w:val="single" w:sz="5" w:space="0" w:color="000000"/>
              <w:left w:val="single" w:sz="5" w:space="0" w:color="000000"/>
              <w:bottom w:val="single" w:sz="5" w:space="0" w:color="000000"/>
              <w:right w:val="single" w:sz="5" w:space="0" w:color="000000"/>
            </w:tcBorders>
          </w:tcPr>
          <w:p w14:paraId="15F484C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Elektrolīti: kalcijs, kālijs</w:t>
            </w:r>
          </w:p>
        </w:tc>
        <w:tc>
          <w:tcPr>
            <w:tcW w:w="1312" w:type="pct"/>
            <w:tcBorders>
              <w:top w:val="single" w:sz="5" w:space="0" w:color="000000"/>
              <w:left w:val="single" w:sz="5" w:space="0" w:color="000000"/>
              <w:bottom w:val="single" w:sz="5" w:space="0" w:color="000000"/>
              <w:right w:val="single" w:sz="5" w:space="0" w:color="000000"/>
            </w:tcBorders>
          </w:tcPr>
          <w:p w14:paraId="609636D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Elektroķīmija</w:t>
            </w:r>
          </w:p>
        </w:tc>
        <w:tc>
          <w:tcPr>
            <w:tcW w:w="944" w:type="pct"/>
            <w:tcBorders>
              <w:top w:val="single" w:sz="5" w:space="0" w:color="000000"/>
              <w:left w:val="single" w:sz="5" w:space="0" w:color="000000"/>
              <w:bottom w:val="single" w:sz="5" w:space="0" w:color="000000"/>
              <w:right w:val="single" w:sz="5" w:space="0" w:color="000000"/>
            </w:tcBorders>
          </w:tcPr>
          <w:p w14:paraId="7DC1EFCA"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Urīns</w:t>
            </w:r>
          </w:p>
        </w:tc>
        <w:tc>
          <w:tcPr>
            <w:tcW w:w="945" w:type="pct"/>
            <w:tcBorders>
              <w:top w:val="single" w:sz="5" w:space="0" w:color="000000"/>
              <w:left w:val="single" w:sz="5" w:space="0" w:color="000000"/>
              <w:bottom w:val="single" w:sz="5" w:space="0" w:color="000000"/>
              <w:right w:val="single" w:sz="5" w:space="0" w:color="000000"/>
            </w:tcBorders>
          </w:tcPr>
          <w:p w14:paraId="1419044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19FD6D8D" w14:textId="77777777" w:rsidTr="009C4FC9">
        <w:tc>
          <w:tcPr>
            <w:tcW w:w="485" w:type="pct"/>
            <w:tcBorders>
              <w:top w:val="single" w:sz="5" w:space="0" w:color="000000"/>
              <w:left w:val="single" w:sz="5" w:space="0" w:color="000000"/>
              <w:bottom w:val="single" w:sz="5" w:space="0" w:color="000000"/>
              <w:right w:val="single" w:sz="5" w:space="0" w:color="000000"/>
            </w:tcBorders>
          </w:tcPr>
          <w:p w14:paraId="2E0F8047"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4.</w:t>
            </w:r>
          </w:p>
        </w:tc>
        <w:tc>
          <w:tcPr>
            <w:tcW w:w="1314" w:type="pct"/>
            <w:tcBorders>
              <w:top w:val="single" w:sz="5" w:space="0" w:color="000000"/>
              <w:left w:val="single" w:sz="5" w:space="0" w:color="000000"/>
              <w:bottom w:val="single" w:sz="5" w:space="0" w:color="000000"/>
              <w:right w:val="single" w:sz="5" w:space="0" w:color="000000"/>
            </w:tcBorders>
          </w:tcPr>
          <w:p w14:paraId="23B8FF9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Elektrolīti: magnijs</w:t>
            </w:r>
          </w:p>
        </w:tc>
        <w:tc>
          <w:tcPr>
            <w:tcW w:w="1312" w:type="pct"/>
            <w:tcBorders>
              <w:top w:val="single" w:sz="5" w:space="0" w:color="000000"/>
              <w:left w:val="single" w:sz="5" w:space="0" w:color="000000"/>
              <w:bottom w:val="single" w:sz="5" w:space="0" w:color="000000"/>
              <w:right w:val="single" w:sz="5" w:space="0" w:color="000000"/>
            </w:tcBorders>
          </w:tcPr>
          <w:p w14:paraId="0B31BE2A"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UV</w:t>
            </w:r>
            <w:proofErr w:type="spellEnd"/>
            <w:r>
              <w:rPr>
                <w:rFonts w:ascii="Times New Roman" w:hAnsi="Times New Roman"/>
                <w:sz w:val="24"/>
              </w:rPr>
              <w:t xml:space="preserve"> vai redzamā gaisma</w:t>
            </w:r>
          </w:p>
        </w:tc>
        <w:tc>
          <w:tcPr>
            <w:tcW w:w="944" w:type="pct"/>
            <w:tcBorders>
              <w:top w:val="single" w:sz="5" w:space="0" w:color="000000"/>
              <w:left w:val="single" w:sz="5" w:space="0" w:color="000000"/>
              <w:bottom w:val="single" w:sz="5" w:space="0" w:color="000000"/>
              <w:right w:val="single" w:sz="5" w:space="0" w:color="000000"/>
            </w:tcBorders>
          </w:tcPr>
          <w:p w14:paraId="0E590C3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0936E50A"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7DAB2270" w14:textId="77777777" w:rsidTr="009C4FC9">
        <w:tc>
          <w:tcPr>
            <w:tcW w:w="485" w:type="pct"/>
            <w:tcBorders>
              <w:top w:val="single" w:sz="5" w:space="0" w:color="000000"/>
              <w:left w:val="single" w:sz="5" w:space="0" w:color="000000"/>
              <w:bottom w:val="single" w:sz="5" w:space="0" w:color="000000"/>
              <w:right w:val="single" w:sz="5" w:space="0" w:color="000000"/>
            </w:tcBorders>
          </w:tcPr>
          <w:p w14:paraId="2A60878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5.</w:t>
            </w:r>
          </w:p>
        </w:tc>
        <w:tc>
          <w:tcPr>
            <w:tcW w:w="1314" w:type="pct"/>
            <w:tcBorders>
              <w:top w:val="single" w:sz="5" w:space="0" w:color="000000"/>
              <w:left w:val="single" w:sz="5" w:space="0" w:color="000000"/>
              <w:bottom w:val="single" w:sz="5" w:space="0" w:color="000000"/>
              <w:right w:val="single" w:sz="5" w:space="0" w:color="000000"/>
            </w:tcBorders>
          </w:tcPr>
          <w:p w14:paraId="543CF115"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Elektrolīti: magnijs</w:t>
            </w:r>
          </w:p>
        </w:tc>
        <w:tc>
          <w:tcPr>
            <w:tcW w:w="1312" w:type="pct"/>
            <w:tcBorders>
              <w:top w:val="single" w:sz="5" w:space="0" w:color="000000"/>
              <w:left w:val="single" w:sz="5" w:space="0" w:color="000000"/>
              <w:bottom w:val="single" w:sz="5" w:space="0" w:color="000000"/>
              <w:right w:val="single" w:sz="5" w:space="0" w:color="000000"/>
            </w:tcBorders>
          </w:tcPr>
          <w:p w14:paraId="40F989B2"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UV</w:t>
            </w:r>
            <w:proofErr w:type="spellEnd"/>
            <w:r>
              <w:rPr>
                <w:rFonts w:ascii="Times New Roman" w:hAnsi="Times New Roman"/>
                <w:sz w:val="24"/>
              </w:rPr>
              <w:t xml:space="preserve"> vai redzamā gaisma</w:t>
            </w:r>
          </w:p>
        </w:tc>
        <w:tc>
          <w:tcPr>
            <w:tcW w:w="944" w:type="pct"/>
            <w:tcBorders>
              <w:top w:val="single" w:sz="5" w:space="0" w:color="000000"/>
              <w:left w:val="single" w:sz="5" w:space="0" w:color="000000"/>
              <w:bottom w:val="single" w:sz="5" w:space="0" w:color="000000"/>
              <w:right w:val="single" w:sz="5" w:space="0" w:color="000000"/>
            </w:tcBorders>
          </w:tcPr>
          <w:p w14:paraId="40244E0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Urīns</w:t>
            </w:r>
          </w:p>
        </w:tc>
        <w:tc>
          <w:tcPr>
            <w:tcW w:w="945" w:type="pct"/>
            <w:tcBorders>
              <w:top w:val="single" w:sz="5" w:space="0" w:color="000000"/>
              <w:left w:val="single" w:sz="5" w:space="0" w:color="000000"/>
              <w:bottom w:val="single" w:sz="5" w:space="0" w:color="000000"/>
              <w:right w:val="single" w:sz="5" w:space="0" w:color="000000"/>
            </w:tcBorders>
          </w:tcPr>
          <w:p w14:paraId="4BD3212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0D044C6C" w14:textId="77777777" w:rsidTr="009C4FC9">
        <w:tc>
          <w:tcPr>
            <w:tcW w:w="485" w:type="pct"/>
            <w:tcBorders>
              <w:top w:val="single" w:sz="5" w:space="0" w:color="000000"/>
              <w:left w:val="single" w:sz="5" w:space="0" w:color="000000"/>
              <w:bottom w:val="single" w:sz="5" w:space="0" w:color="000000"/>
              <w:right w:val="single" w:sz="5" w:space="0" w:color="000000"/>
            </w:tcBorders>
          </w:tcPr>
          <w:p w14:paraId="29552404"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6.</w:t>
            </w:r>
          </w:p>
        </w:tc>
        <w:tc>
          <w:tcPr>
            <w:tcW w:w="1314" w:type="pct"/>
            <w:tcBorders>
              <w:top w:val="single" w:sz="5" w:space="0" w:color="000000"/>
              <w:left w:val="single" w:sz="5" w:space="0" w:color="000000"/>
              <w:bottom w:val="single" w:sz="5" w:space="0" w:color="000000"/>
              <w:right w:val="single" w:sz="5" w:space="0" w:color="000000"/>
            </w:tcBorders>
          </w:tcPr>
          <w:p w14:paraId="425374B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Enzīmi: </w:t>
            </w:r>
            <w:proofErr w:type="spellStart"/>
            <w:r>
              <w:rPr>
                <w:rFonts w:ascii="Times New Roman" w:hAnsi="Times New Roman"/>
                <w:i/>
                <w:iCs/>
                <w:sz w:val="24"/>
              </w:rPr>
              <w:t>ALAT</w:t>
            </w:r>
            <w:proofErr w:type="spellEnd"/>
            <w:r>
              <w:rPr>
                <w:rFonts w:ascii="Times New Roman" w:hAnsi="Times New Roman"/>
                <w:sz w:val="24"/>
              </w:rPr>
              <w:t xml:space="preserve">, </w:t>
            </w:r>
            <w:proofErr w:type="spellStart"/>
            <w:r>
              <w:rPr>
                <w:rFonts w:ascii="Times New Roman" w:hAnsi="Times New Roman"/>
                <w:i/>
                <w:iCs/>
                <w:sz w:val="24"/>
              </w:rPr>
              <w:t>ASAT</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16B139FE"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UV</w:t>
            </w:r>
            <w:proofErr w:type="spellEnd"/>
            <w:r>
              <w:rPr>
                <w:rFonts w:ascii="Times New Roman" w:hAnsi="Times New Roman"/>
                <w:sz w:val="24"/>
              </w:rPr>
              <w:t xml:space="preserve"> vai redzamā gaisma</w:t>
            </w:r>
          </w:p>
        </w:tc>
        <w:tc>
          <w:tcPr>
            <w:tcW w:w="944" w:type="pct"/>
            <w:tcBorders>
              <w:top w:val="single" w:sz="5" w:space="0" w:color="000000"/>
              <w:left w:val="single" w:sz="5" w:space="0" w:color="000000"/>
              <w:bottom w:val="single" w:sz="5" w:space="0" w:color="000000"/>
              <w:right w:val="single" w:sz="5" w:space="0" w:color="000000"/>
            </w:tcBorders>
          </w:tcPr>
          <w:p w14:paraId="280A90E1"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3864C5C8"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55682748" w14:textId="77777777" w:rsidTr="009C4FC9">
        <w:tc>
          <w:tcPr>
            <w:tcW w:w="485" w:type="pct"/>
            <w:tcBorders>
              <w:top w:val="single" w:sz="5" w:space="0" w:color="000000"/>
              <w:left w:val="single" w:sz="5" w:space="0" w:color="000000"/>
              <w:bottom w:val="single" w:sz="5" w:space="0" w:color="000000"/>
              <w:right w:val="single" w:sz="5" w:space="0" w:color="000000"/>
            </w:tcBorders>
          </w:tcPr>
          <w:p w14:paraId="78F478A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7.</w:t>
            </w:r>
          </w:p>
        </w:tc>
        <w:tc>
          <w:tcPr>
            <w:tcW w:w="1314" w:type="pct"/>
            <w:tcBorders>
              <w:top w:val="single" w:sz="5" w:space="0" w:color="000000"/>
              <w:left w:val="single" w:sz="5" w:space="0" w:color="000000"/>
              <w:bottom w:val="single" w:sz="5" w:space="0" w:color="000000"/>
              <w:right w:val="single" w:sz="5" w:space="0" w:color="000000"/>
            </w:tcBorders>
          </w:tcPr>
          <w:p w14:paraId="55C50843"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Hormoni: </w:t>
            </w:r>
            <w:proofErr w:type="spellStart"/>
            <w:r>
              <w:rPr>
                <w:rFonts w:ascii="Times New Roman" w:hAnsi="Times New Roman"/>
                <w:sz w:val="24"/>
              </w:rPr>
              <w:t>FSH</w:t>
            </w:r>
            <w:proofErr w:type="spellEnd"/>
            <w:r>
              <w:rPr>
                <w:rFonts w:ascii="Times New Roman" w:hAnsi="Times New Roman"/>
                <w:sz w:val="24"/>
              </w:rPr>
              <w:t xml:space="preserve">, </w:t>
            </w:r>
            <w:proofErr w:type="spellStart"/>
            <w:r>
              <w:rPr>
                <w:rFonts w:ascii="Times New Roman" w:hAnsi="Times New Roman"/>
                <w:sz w:val="24"/>
              </w:rPr>
              <w:t>LH</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02DAE6B5"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Hemiluminiscence</w:t>
            </w:r>
            <w:proofErr w:type="spellEnd"/>
          </w:p>
        </w:tc>
        <w:tc>
          <w:tcPr>
            <w:tcW w:w="944" w:type="pct"/>
            <w:tcBorders>
              <w:top w:val="single" w:sz="5" w:space="0" w:color="000000"/>
              <w:left w:val="single" w:sz="5" w:space="0" w:color="000000"/>
              <w:bottom w:val="single" w:sz="5" w:space="0" w:color="000000"/>
              <w:right w:val="single" w:sz="5" w:space="0" w:color="000000"/>
            </w:tcBorders>
          </w:tcPr>
          <w:p w14:paraId="22D1649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560D4049"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5435C2F6" w14:textId="77777777" w:rsidTr="009C4FC9">
        <w:tc>
          <w:tcPr>
            <w:tcW w:w="485" w:type="pct"/>
            <w:tcBorders>
              <w:top w:val="single" w:sz="5" w:space="0" w:color="000000"/>
              <w:left w:val="single" w:sz="5" w:space="0" w:color="000000"/>
              <w:bottom w:val="single" w:sz="5" w:space="0" w:color="000000"/>
              <w:right w:val="single" w:sz="5" w:space="0" w:color="000000"/>
            </w:tcBorders>
          </w:tcPr>
          <w:p w14:paraId="17B7CB2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8.</w:t>
            </w:r>
          </w:p>
        </w:tc>
        <w:tc>
          <w:tcPr>
            <w:tcW w:w="1314" w:type="pct"/>
            <w:tcBorders>
              <w:top w:val="single" w:sz="5" w:space="0" w:color="000000"/>
              <w:left w:val="single" w:sz="5" w:space="0" w:color="000000"/>
              <w:bottom w:val="single" w:sz="5" w:space="0" w:color="000000"/>
              <w:right w:val="single" w:sz="5" w:space="0" w:color="000000"/>
            </w:tcBorders>
          </w:tcPr>
          <w:p w14:paraId="00FA44E9"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Konkrēti proteīni: </w:t>
            </w:r>
            <w:proofErr w:type="spellStart"/>
            <w:r>
              <w:rPr>
                <w:rFonts w:ascii="Times New Roman" w:hAnsi="Times New Roman"/>
                <w:sz w:val="24"/>
              </w:rPr>
              <w:t>krioglobulīns</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1C323DA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Elektroforēze</w:t>
            </w:r>
          </w:p>
        </w:tc>
        <w:tc>
          <w:tcPr>
            <w:tcW w:w="944" w:type="pct"/>
            <w:tcBorders>
              <w:top w:val="single" w:sz="5" w:space="0" w:color="000000"/>
              <w:left w:val="single" w:sz="5" w:space="0" w:color="000000"/>
              <w:bottom w:val="single" w:sz="5" w:space="0" w:color="000000"/>
              <w:right w:val="single" w:sz="5" w:space="0" w:color="000000"/>
            </w:tcBorders>
          </w:tcPr>
          <w:p w14:paraId="4E74843D"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6702099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1FFE97A6" w14:textId="77777777" w:rsidTr="009C4FC9">
        <w:tc>
          <w:tcPr>
            <w:tcW w:w="485" w:type="pct"/>
            <w:tcBorders>
              <w:top w:val="single" w:sz="5" w:space="0" w:color="000000"/>
              <w:left w:val="single" w:sz="5" w:space="0" w:color="000000"/>
              <w:bottom w:val="single" w:sz="5" w:space="0" w:color="000000"/>
              <w:right w:val="single" w:sz="5" w:space="0" w:color="000000"/>
            </w:tcBorders>
          </w:tcPr>
          <w:p w14:paraId="2D85358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9.</w:t>
            </w:r>
          </w:p>
        </w:tc>
        <w:tc>
          <w:tcPr>
            <w:tcW w:w="1314" w:type="pct"/>
            <w:tcBorders>
              <w:top w:val="single" w:sz="5" w:space="0" w:color="000000"/>
              <w:left w:val="single" w:sz="5" w:space="0" w:color="000000"/>
              <w:bottom w:val="single" w:sz="5" w:space="0" w:color="000000"/>
              <w:right w:val="single" w:sz="5" w:space="0" w:color="000000"/>
            </w:tcBorders>
          </w:tcPr>
          <w:p w14:paraId="6A64486C" w14:textId="77777777" w:rsidR="00605273" w:rsidRPr="00605273" w:rsidRDefault="00605273" w:rsidP="009C4FC9">
            <w:pPr>
              <w:pStyle w:val="TableParagraph"/>
              <w:jc w:val="both"/>
              <w:rPr>
                <w:rFonts w:ascii="Times New Roman" w:eastAsia="Arial" w:hAnsi="Times New Roman" w:cs="Times New Roman"/>
                <w:noProof/>
                <w:sz w:val="24"/>
                <w:szCs w:val="24"/>
              </w:rPr>
            </w:pPr>
            <w:r>
              <w:rPr>
                <w:rFonts w:ascii="Times New Roman" w:hAnsi="Times New Roman"/>
                <w:sz w:val="24"/>
              </w:rPr>
              <w:t xml:space="preserve">Konkrēti proteīni: </w:t>
            </w:r>
            <w:proofErr w:type="spellStart"/>
            <w:r>
              <w:rPr>
                <w:rFonts w:ascii="Times New Roman" w:hAnsi="Times New Roman"/>
                <w:sz w:val="24"/>
              </w:rPr>
              <w:t>transferīns</w:t>
            </w:r>
            <w:proofErr w:type="spellEnd"/>
            <w:r>
              <w:rPr>
                <w:rFonts w:ascii="Times New Roman" w:hAnsi="Times New Roman"/>
                <w:sz w:val="24"/>
              </w:rPr>
              <w:t xml:space="preserve">, α2 </w:t>
            </w:r>
            <w:proofErr w:type="spellStart"/>
            <w:r>
              <w:rPr>
                <w:rFonts w:ascii="Times New Roman" w:hAnsi="Times New Roman"/>
                <w:sz w:val="24"/>
              </w:rPr>
              <w:t>makroglobulīns</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243B4E26"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Nefelometrija</w:t>
            </w:r>
            <w:proofErr w:type="spellEnd"/>
          </w:p>
        </w:tc>
        <w:tc>
          <w:tcPr>
            <w:tcW w:w="944" w:type="pct"/>
            <w:tcBorders>
              <w:top w:val="single" w:sz="5" w:space="0" w:color="000000"/>
              <w:left w:val="single" w:sz="5" w:space="0" w:color="000000"/>
              <w:bottom w:val="single" w:sz="5" w:space="0" w:color="000000"/>
              <w:right w:val="single" w:sz="5" w:space="0" w:color="000000"/>
            </w:tcBorders>
          </w:tcPr>
          <w:p w14:paraId="1231C56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1A6E995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0A9D3AF6" w14:textId="77777777" w:rsidTr="009C4FC9">
        <w:tc>
          <w:tcPr>
            <w:tcW w:w="485" w:type="pct"/>
            <w:tcBorders>
              <w:top w:val="single" w:sz="5" w:space="0" w:color="000000"/>
              <w:left w:val="single" w:sz="5" w:space="0" w:color="000000"/>
              <w:bottom w:val="single" w:sz="5" w:space="0" w:color="000000"/>
              <w:right w:val="single" w:sz="5" w:space="0" w:color="000000"/>
            </w:tcBorders>
          </w:tcPr>
          <w:p w14:paraId="050C6F62"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10.</w:t>
            </w:r>
          </w:p>
        </w:tc>
        <w:tc>
          <w:tcPr>
            <w:tcW w:w="1314" w:type="pct"/>
            <w:tcBorders>
              <w:top w:val="single" w:sz="5" w:space="0" w:color="000000"/>
              <w:left w:val="single" w:sz="5" w:space="0" w:color="000000"/>
              <w:bottom w:val="single" w:sz="5" w:space="0" w:color="000000"/>
              <w:right w:val="single" w:sz="5" w:space="0" w:color="000000"/>
            </w:tcBorders>
          </w:tcPr>
          <w:p w14:paraId="4919BF4B"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 xml:space="preserve">Konkrēti proteīni: </w:t>
            </w:r>
            <w:proofErr w:type="spellStart"/>
            <w:r>
              <w:rPr>
                <w:rFonts w:ascii="Times New Roman" w:hAnsi="Times New Roman"/>
                <w:sz w:val="24"/>
              </w:rPr>
              <w:t>transferīns</w:t>
            </w:r>
            <w:proofErr w:type="spellEnd"/>
            <w:r>
              <w:rPr>
                <w:rFonts w:ascii="Times New Roman" w:hAnsi="Times New Roman"/>
                <w:sz w:val="24"/>
              </w:rPr>
              <w:t>,</w:t>
            </w:r>
          </w:p>
          <w:p w14:paraId="7BCC7F07" w14:textId="77777777" w:rsidR="00605273" w:rsidRPr="00605273" w:rsidRDefault="00605273" w:rsidP="009C4FC9">
            <w:pPr>
              <w:pStyle w:val="TableParagraph"/>
              <w:jc w:val="both"/>
              <w:rPr>
                <w:rFonts w:ascii="Times New Roman" w:eastAsia="Arial" w:hAnsi="Times New Roman" w:cs="Times New Roman"/>
                <w:noProof/>
                <w:sz w:val="24"/>
                <w:szCs w:val="24"/>
              </w:rPr>
            </w:pPr>
            <w:r>
              <w:rPr>
                <w:rFonts w:ascii="Times New Roman" w:hAnsi="Times New Roman"/>
                <w:sz w:val="24"/>
              </w:rPr>
              <w:t xml:space="preserve">α2 </w:t>
            </w:r>
            <w:proofErr w:type="spellStart"/>
            <w:r>
              <w:rPr>
                <w:rFonts w:ascii="Times New Roman" w:hAnsi="Times New Roman"/>
                <w:sz w:val="24"/>
              </w:rPr>
              <w:t>makroglobulīns</w:t>
            </w:r>
            <w:proofErr w:type="spellEnd"/>
          </w:p>
        </w:tc>
        <w:tc>
          <w:tcPr>
            <w:tcW w:w="1312" w:type="pct"/>
            <w:tcBorders>
              <w:top w:val="single" w:sz="5" w:space="0" w:color="000000"/>
              <w:left w:val="single" w:sz="5" w:space="0" w:color="000000"/>
              <w:bottom w:val="single" w:sz="5" w:space="0" w:color="000000"/>
              <w:right w:val="single" w:sz="5" w:space="0" w:color="000000"/>
            </w:tcBorders>
          </w:tcPr>
          <w:p w14:paraId="6F322720"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Nefelometrija</w:t>
            </w:r>
            <w:proofErr w:type="spellEnd"/>
          </w:p>
        </w:tc>
        <w:tc>
          <w:tcPr>
            <w:tcW w:w="944" w:type="pct"/>
            <w:tcBorders>
              <w:top w:val="single" w:sz="5" w:space="0" w:color="000000"/>
              <w:left w:val="single" w:sz="5" w:space="0" w:color="000000"/>
              <w:bottom w:val="single" w:sz="5" w:space="0" w:color="000000"/>
              <w:right w:val="single" w:sz="5" w:space="0" w:color="000000"/>
            </w:tcBorders>
          </w:tcPr>
          <w:p w14:paraId="7213F2E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Urīns</w:t>
            </w:r>
          </w:p>
        </w:tc>
        <w:tc>
          <w:tcPr>
            <w:tcW w:w="945" w:type="pct"/>
            <w:tcBorders>
              <w:top w:val="single" w:sz="5" w:space="0" w:color="000000"/>
              <w:left w:val="single" w:sz="5" w:space="0" w:color="000000"/>
              <w:bottom w:val="single" w:sz="5" w:space="0" w:color="000000"/>
              <w:right w:val="single" w:sz="5" w:space="0" w:color="000000"/>
            </w:tcBorders>
          </w:tcPr>
          <w:p w14:paraId="025B7B7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r w:rsidR="00605273" w:rsidRPr="00605273" w14:paraId="74A72CA0" w14:textId="77777777" w:rsidTr="009C4FC9">
        <w:tc>
          <w:tcPr>
            <w:tcW w:w="485" w:type="pct"/>
            <w:tcBorders>
              <w:top w:val="single" w:sz="5" w:space="0" w:color="000000"/>
              <w:left w:val="single" w:sz="5" w:space="0" w:color="000000"/>
              <w:bottom w:val="single" w:sz="5" w:space="0" w:color="000000"/>
              <w:right w:val="single" w:sz="5" w:space="0" w:color="000000"/>
            </w:tcBorders>
          </w:tcPr>
          <w:p w14:paraId="4CEBACF6"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11.</w:t>
            </w:r>
          </w:p>
        </w:tc>
        <w:tc>
          <w:tcPr>
            <w:tcW w:w="1314" w:type="pct"/>
            <w:tcBorders>
              <w:top w:val="single" w:sz="5" w:space="0" w:color="000000"/>
              <w:left w:val="single" w:sz="5" w:space="0" w:color="000000"/>
              <w:bottom w:val="single" w:sz="5" w:space="0" w:color="000000"/>
              <w:right w:val="single" w:sz="5" w:space="0" w:color="000000"/>
            </w:tcBorders>
          </w:tcPr>
          <w:p w14:paraId="08572FAE"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Vitamīni: folijskābe</w:t>
            </w:r>
          </w:p>
        </w:tc>
        <w:tc>
          <w:tcPr>
            <w:tcW w:w="1312" w:type="pct"/>
            <w:tcBorders>
              <w:top w:val="single" w:sz="5" w:space="0" w:color="000000"/>
              <w:left w:val="single" w:sz="5" w:space="0" w:color="000000"/>
              <w:bottom w:val="single" w:sz="5" w:space="0" w:color="000000"/>
              <w:right w:val="single" w:sz="5" w:space="0" w:color="000000"/>
            </w:tcBorders>
          </w:tcPr>
          <w:p w14:paraId="13CCD3FF" w14:textId="77777777" w:rsidR="00605273" w:rsidRPr="00605273" w:rsidRDefault="00605273" w:rsidP="009C4FC9">
            <w:pPr>
              <w:pStyle w:val="TableParagraph"/>
              <w:jc w:val="both"/>
              <w:rPr>
                <w:rFonts w:ascii="Times New Roman" w:hAnsi="Times New Roman" w:cs="Times New Roman"/>
                <w:noProof/>
                <w:sz w:val="24"/>
                <w:szCs w:val="24"/>
              </w:rPr>
            </w:pPr>
            <w:proofErr w:type="spellStart"/>
            <w:r>
              <w:rPr>
                <w:rFonts w:ascii="Times New Roman" w:hAnsi="Times New Roman"/>
                <w:sz w:val="24"/>
              </w:rPr>
              <w:t>Hemiluminescence</w:t>
            </w:r>
            <w:proofErr w:type="spellEnd"/>
          </w:p>
        </w:tc>
        <w:tc>
          <w:tcPr>
            <w:tcW w:w="944" w:type="pct"/>
            <w:tcBorders>
              <w:top w:val="single" w:sz="5" w:space="0" w:color="000000"/>
              <w:left w:val="single" w:sz="5" w:space="0" w:color="000000"/>
              <w:bottom w:val="single" w:sz="5" w:space="0" w:color="000000"/>
              <w:right w:val="single" w:sz="5" w:space="0" w:color="000000"/>
            </w:tcBorders>
          </w:tcPr>
          <w:p w14:paraId="33ED9070"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Asins</w:t>
            </w:r>
          </w:p>
        </w:tc>
        <w:tc>
          <w:tcPr>
            <w:tcW w:w="945" w:type="pct"/>
            <w:tcBorders>
              <w:top w:val="single" w:sz="5" w:space="0" w:color="000000"/>
              <w:left w:val="single" w:sz="5" w:space="0" w:color="000000"/>
              <w:bottom w:val="single" w:sz="5" w:space="0" w:color="000000"/>
              <w:right w:val="single" w:sz="5" w:space="0" w:color="000000"/>
            </w:tcBorders>
          </w:tcPr>
          <w:p w14:paraId="3BCAF85F" w14:textId="77777777" w:rsidR="00605273" w:rsidRPr="00605273" w:rsidRDefault="00605273" w:rsidP="009C4FC9">
            <w:pPr>
              <w:pStyle w:val="TableParagraph"/>
              <w:jc w:val="both"/>
              <w:rPr>
                <w:rFonts w:ascii="Times New Roman" w:hAnsi="Times New Roman" w:cs="Times New Roman"/>
                <w:noProof/>
                <w:sz w:val="24"/>
                <w:szCs w:val="24"/>
              </w:rPr>
            </w:pPr>
            <w:r>
              <w:rPr>
                <w:rFonts w:ascii="Times New Roman" w:hAnsi="Times New Roman"/>
                <w:sz w:val="24"/>
              </w:rPr>
              <w:t>Reizi mēnesī</w:t>
            </w:r>
          </w:p>
        </w:tc>
      </w:tr>
    </w:tbl>
    <w:p w14:paraId="4C67E757" w14:textId="77777777" w:rsidR="00605273" w:rsidRPr="00605273" w:rsidRDefault="00605273" w:rsidP="00605273">
      <w:pPr>
        <w:jc w:val="both"/>
        <w:rPr>
          <w:rFonts w:ascii="Times New Roman" w:eastAsia="Arial" w:hAnsi="Times New Roman" w:cs="Times New Roman"/>
          <w:noProof/>
          <w:sz w:val="24"/>
          <w:szCs w:val="24"/>
        </w:rPr>
      </w:pPr>
    </w:p>
    <w:p w14:paraId="4922E021" w14:textId="77777777" w:rsidR="00605273" w:rsidRPr="00605273" w:rsidRDefault="00605273" w:rsidP="00605273">
      <w:pPr>
        <w:rPr>
          <w:rFonts w:ascii="Times New Roman" w:eastAsia="Arial" w:hAnsi="Times New Roman" w:cs="Times New Roman"/>
          <w:b/>
          <w:bCs/>
          <w:noProof/>
          <w:sz w:val="24"/>
          <w:szCs w:val="24"/>
        </w:rPr>
      </w:pPr>
      <w:r>
        <w:br w:type="page"/>
      </w:r>
    </w:p>
    <w:p w14:paraId="59FD1E90" w14:textId="77777777" w:rsidR="00605273" w:rsidRPr="00605273" w:rsidRDefault="00605273" w:rsidP="00605273">
      <w:pPr>
        <w:jc w:val="both"/>
        <w:rPr>
          <w:rFonts w:ascii="Times New Roman" w:eastAsia="Arial" w:hAnsi="Times New Roman" w:cs="Times New Roman"/>
          <w:b/>
          <w:bCs/>
          <w:noProof/>
          <w:sz w:val="24"/>
          <w:szCs w:val="24"/>
        </w:rPr>
      </w:pPr>
    </w:p>
    <w:p w14:paraId="5E8A6C94" w14:textId="77777777" w:rsidR="00605273" w:rsidRPr="00605273" w:rsidRDefault="00605273" w:rsidP="001C50FB">
      <w:pPr>
        <w:pStyle w:val="Heading2"/>
        <w:rPr>
          <w:rFonts w:eastAsia="Arial" w:cs="Times New Roman"/>
          <w:bCs/>
          <w:noProof/>
          <w:szCs w:val="24"/>
        </w:rPr>
      </w:pPr>
      <w:bookmarkStart w:id="22" w:name="_Toc120022463"/>
      <w:r>
        <w:t>6. situācijas analīze. Kalibrēšanas laboratorija</w:t>
      </w:r>
      <w:bookmarkStart w:id="23" w:name="_bookmark11"/>
      <w:bookmarkEnd w:id="23"/>
      <w:bookmarkEnd w:id="22"/>
    </w:p>
    <w:p w14:paraId="7F7443AD" w14:textId="77777777" w:rsidR="00605273" w:rsidRPr="00605273" w:rsidRDefault="00605273" w:rsidP="00605273">
      <w:pPr>
        <w:jc w:val="both"/>
        <w:rPr>
          <w:rFonts w:ascii="Times New Roman" w:eastAsia="Arial" w:hAnsi="Times New Roman" w:cs="Times New Roman"/>
          <w:b/>
          <w:bCs/>
          <w:noProof/>
          <w:sz w:val="24"/>
          <w:szCs w:val="24"/>
        </w:rPr>
      </w:pPr>
    </w:p>
    <w:p w14:paraId="2A5542DA" w14:textId="77777777" w:rsidR="00605273" w:rsidRPr="00605273" w:rsidRDefault="00605273" w:rsidP="00605273">
      <w:pPr>
        <w:pStyle w:val="BodyText"/>
        <w:rPr>
          <w:b/>
          <w:bCs/>
        </w:rPr>
      </w:pPr>
      <w:r>
        <w:rPr>
          <w:b/>
        </w:rPr>
        <w:t>Akreditētās kalibrēšanas darbības, ko veic laboratorija</w:t>
      </w:r>
    </w:p>
    <w:p w14:paraId="23F27A8A" w14:textId="77777777" w:rsidR="00605273" w:rsidRPr="00605273" w:rsidRDefault="00605273" w:rsidP="00605273">
      <w:pPr>
        <w:jc w:val="both"/>
        <w:rPr>
          <w:rFonts w:ascii="Times New Roman" w:eastAsia="Arial" w:hAnsi="Times New Roman" w:cs="Times New Roman"/>
          <w:b/>
          <w:bCs/>
          <w:noProof/>
          <w:sz w:val="24"/>
          <w:szCs w:val="24"/>
        </w:rPr>
      </w:pPr>
    </w:p>
    <w:p w14:paraId="2853D5B4" w14:textId="4062BC5C" w:rsidR="00605273" w:rsidRPr="00605273" w:rsidRDefault="00940DEE" w:rsidP="00605273">
      <w:pPr>
        <w:pStyle w:val="BodyText"/>
        <w:numPr>
          <w:ilvl w:val="0"/>
          <w:numId w:val="2"/>
        </w:numPr>
        <w:tabs>
          <w:tab w:val="left" w:pos="567"/>
        </w:tabs>
        <w:ind w:left="0" w:firstLine="0"/>
      </w:pPr>
      <w:r>
        <w:t>Ģ</w:t>
      </w:r>
      <w:r w:rsidRPr="00940DEE">
        <w:t>eometriskās mērīšanas iekārtas</w:t>
      </w:r>
      <w:r w:rsidRPr="00940DEE">
        <w:t xml:space="preserve"> </w:t>
      </w:r>
      <w:r w:rsidR="00605273">
        <w:t>(no galamēriem līdz rokas instrumentiem)</w:t>
      </w:r>
    </w:p>
    <w:p w14:paraId="333A1E80" w14:textId="77777777" w:rsidR="00605273" w:rsidRPr="00605273" w:rsidRDefault="00605273" w:rsidP="00605273">
      <w:pPr>
        <w:pStyle w:val="BodyText"/>
        <w:numPr>
          <w:ilvl w:val="0"/>
          <w:numId w:val="2"/>
        </w:numPr>
        <w:tabs>
          <w:tab w:val="left" w:pos="567"/>
        </w:tabs>
        <w:ind w:left="0" w:firstLine="0"/>
      </w:pPr>
      <w:r>
        <w:t>Līdzstrāvas un zemas frekvences elektriskie mēraparāti (no kalibratoriem līdz rokas digitālajiem multimetriem)</w:t>
      </w:r>
    </w:p>
    <w:p w14:paraId="57B0F29C" w14:textId="77777777" w:rsidR="00605273" w:rsidRPr="00605273" w:rsidRDefault="00605273" w:rsidP="00605273">
      <w:pPr>
        <w:pStyle w:val="BodyText"/>
        <w:numPr>
          <w:ilvl w:val="0"/>
          <w:numId w:val="2"/>
        </w:numPr>
        <w:tabs>
          <w:tab w:val="left" w:pos="567"/>
        </w:tabs>
        <w:ind w:left="0" w:firstLine="0"/>
      </w:pPr>
      <w:r>
        <w:t>Temperatūra (mērījumu sistēmas un sensori šķidruma vannās un gaisā)</w:t>
      </w:r>
    </w:p>
    <w:p w14:paraId="3A5829E8" w14:textId="77777777" w:rsidR="00605273" w:rsidRPr="00605273" w:rsidRDefault="00605273" w:rsidP="00605273">
      <w:pPr>
        <w:jc w:val="both"/>
        <w:rPr>
          <w:rFonts w:ascii="Times New Roman" w:eastAsia="Arial" w:hAnsi="Times New Roman" w:cs="Times New Roman"/>
          <w:noProof/>
          <w:sz w:val="24"/>
          <w:szCs w:val="24"/>
        </w:rPr>
      </w:pPr>
    </w:p>
    <w:p w14:paraId="634C7DF3" w14:textId="77777777" w:rsidR="00605273" w:rsidRPr="00605273" w:rsidRDefault="00605273" w:rsidP="00605273">
      <w:pPr>
        <w:pStyle w:val="BodyText"/>
        <w:rPr>
          <w:b/>
          <w:bCs/>
        </w:rPr>
      </w:pPr>
      <w:r>
        <w:rPr>
          <w:b/>
        </w:rPr>
        <w:t>Tehniskās kompetences jomu noteikšanas apsvērumi</w:t>
      </w:r>
    </w:p>
    <w:p w14:paraId="0888B6DC" w14:textId="77777777" w:rsidR="00605273" w:rsidRPr="00605273" w:rsidRDefault="00605273" w:rsidP="00605273">
      <w:pPr>
        <w:jc w:val="both"/>
        <w:rPr>
          <w:rFonts w:ascii="Times New Roman" w:eastAsia="Arial" w:hAnsi="Times New Roman" w:cs="Times New Roman"/>
          <w:b/>
          <w:bCs/>
          <w:noProof/>
          <w:sz w:val="24"/>
          <w:szCs w:val="24"/>
        </w:rPr>
      </w:pPr>
    </w:p>
    <w:p w14:paraId="7FDBD8C1" w14:textId="77777777" w:rsidR="00605273" w:rsidRPr="00605273" w:rsidRDefault="00605273" w:rsidP="00605273">
      <w:pPr>
        <w:pStyle w:val="BodyText"/>
      </w:pPr>
      <w:r>
        <w:t>Daudzas akreditētas kalibrēšanas laboratorijas savā sfērā iekļauj vairākas kompetences jomas, un, ja vien tām nav kopīga izsekojamība, piemēram, nodrošinot iekšējo kalibrēšanu, attiecībā uz PP</w:t>
      </w:r>
      <w:r>
        <w:rPr>
          <w:i/>
          <w:iCs/>
        </w:rPr>
        <w:t>/ILC</w:t>
      </w:r>
      <w:r>
        <w:t xml:space="preserve"> programmām tās ir jānošķir.</w:t>
      </w:r>
    </w:p>
    <w:p w14:paraId="30176537" w14:textId="77777777" w:rsidR="00605273" w:rsidRPr="00605273" w:rsidRDefault="00605273" w:rsidP="00605273">
      <w:pPr>
        <w:jc w:val="both"/>
        <w:rPr>
          <w:rFonts w:ascii="Times New Roman" w:eastAsia="Arial" w:hAnsi="Times New Roman" w:cs="Times New Roman"/>
          <w:noProof/>
          <w:sz w:val="24"/>
          <w:szCs w:val="24"/>
        </w:rPr>
      </w:pPr>
    </w:p>
    <w:p w14:paraId="0C92C7A0" w14:textId="77777777" w:rsidR="00605273" w:rsidRPr="00605273" w:rsidRDefault="00605273" w:rsidP="00605273">
      <w:pPr>
        <w:pStyle w:val="BodyText"/>
      </w:pPr>
      <w:r>
        <w:t>Šajā piemērā ir aplūkots relatīvi maza sfēra.</w:t>
      </w:r>
    </w:p>
    <w:p w14:paraId="7600F407" w14:textId="77777777" w:rsidR="00605273" w:rsidRPr="00605273" w:rsidRDefault="00605273" w:rsidP="00605273">
      <w:pPr>
        <w:jc w:val="both"/>
        <w:rPr>
          <w:rFonts w:ascii="Times New Roman" w:eastAsia="Arial" w:hAnsi="Times New Roman" w:cs="Times New Roman"/>
          <w:noProof/>
          <w:sz w:val="24"/>
          <w:szCs w:val="24"/>
        </w:rPr>
      </w:pPr>
    </w:p>
    <w:p w14:paraId="1D9EA582" w14:textId="77777777" w:rsidR="00605273" w:rsidRPr="00605273" w:rsidRDefault="00605273" w:rsidP="00605273">
      <w:pPr>
        <w:pStyle w:val="BodyText"/>
      </w:pPr>
      <w:r>
        <w:t>Kalibrēšanas laboratorijai ir svarīgi regulāri kalibrēt references aprīkojumu, un tiek stingri prasīts nodrošināt dokumentu izsekojamību. Akreditācijas sfēra tiek definēta, norādot “kalibrēšanas un mērīšanas spēju (</w:t>
      </w:r>
      <w:r>
        <w:rPr>
          <w:i/>
          <w:iCs/>
        </w:rPr>
        <w:t>CMC</w:t>
      </w:r>
      <w:r>
        <w:t>)”, kas izteikta kā mērlielums, mērījumu diapazons (ieskaitot visus sekundāros parametrus), mērījuma nenoteiktība, metode (parasti lokāli definēta) un instrumentu veids.</w:t>
      </w:r>
      <w:r w:rsidRPr="00605273">
        <w:rPr>
          <w:rStyle w:val="FootnoteReference"/>
        </w:rPr>
        <w:footnoteReference w:id="1"/>
      </w:r>
    </w:p>
    <w:p w14:paraId="6A403488" w14:textId="77777777" w:rsidR="00605273" w:rsidRPr="00605273" w:rsidRDefault="00605273" w:rsidP="00605273">
      <w:pPr>
        <w:jc w:val="both"/>
        <w:rPr>
          <w:rFonts w:ascii="Times New Roman" w:eastAsia="Arial" w:hAnsi="Times New Roman" w:cs="Times New Roman"/>
          <w:noProof/>
          <w:sz w:val="24"/>
          <w:szCs w:val="24"/>
        </w:rPr>
      </w:pPr>
    </w:p>
    <w:p w14:paraId="3C2C2A1C" w14:textId="77777777" w:rsidR="00605273" w:rsidRPr="00605273" w:rsidRDefault="00605273" w:rsidP="00605273">
      <w:pPr>
        <w:pStyle w:val="BodyText"/>
      </w:pPr>
      <w:r>
        <w:t>Jāatzīmē, ka kalibrēšanas jomā ir ļoti maz regulāri organizētu PP programmu. Lielākoties PP (</w:t>
      </w:r>
      <w:r>
        <w:rPr>
          <w:i/>
          <w:iCs/>
        </w:rPr>
        <w:t>ILC</w:t>
      </w:r>
      <w:r>
        <w:t xml:space="preserve"> veidā) kā blakus nodarbošanos daļēji regulārā veidā organizē vairāki nacionālie metroloģijas institūti vai sadarbojoties laboratorijām, dažas no kurām ir akreditētas saskaņā ar ISO/IEC 17043. Tā kā kalibrēšanas jomā </w:t>
      </w:r>
      <w:r>
        <w:rPr>
          <w:i/>
          <w:iCs/>
        </w:rPr>
        <w:t>ILC</w:t>
      </w:r>
      <w:r>
        <w:t xml:space="preserve"> visbiežāk tiek īstenota ar vienu vai pavisam nedaudziem apritē esošiem pārbaudes objektiem, kas ir jāuzrauga </w:t>
      </w:r>
      <w:r>
        <w:rPr>
          <w:i/>
          <w:iCs/>
        </w:rPr>
        <w:t>ILC</w:t>
      </w:r>
      <w:r>
        <w:t xml:space="preserve"> laikā, ir iespējams tikai ierobežots dalībniekus skaits, kas vēl vairāk samazina pieejamību.</w:t>
      </w:r>
    </w:p>
    <w:p w14:paraId="055852CF" w14:textId="77777777" w:rsidR="00605273" w:rsidRPr="00605273" w:rsidRDefault="00605273" w:rsidP="00605273">
      <w:pPr>
        <w:jc w:val="both"/>
        <w:rPr>
          <w:rFonts w:ascii="Times New Roman" w:eastAsia="Arial" w:hAnsi="Times New Roman" w:cs="Times New Roman"/>
          <w:noProof/>
          <w:sz w:val="24"/>
          <w:szCs w:val="24"/>
        </w:rPr>
      </w:pPr>
    </w:p>
    <w:p w14:paraId="286D927D" w14:textId="77777777" w:rsidR="00605273" w:rsidRPr="00605273" w:rsidRDefault="00605273" w:rsidP="00605273">
      <w:pPr>
        <w:pStyle w:val="BodyText"/>
      </w:pPr>
      <w:r>
        <w:t>Tādējādi vairumam kalibrēšanas laboratoriju ir jāizdomā plašāki iekšējie kvalitātes nodrošināšanas pasākumi un jāsadarbojas ar citām laboratorijām, lai organizētu, piemēram, divpusēju vai trīspusēju salīdzināšanu. Svarīgs aspekts ir censties salīdzināt mērījumus, izmantojot izsekojamības procedūras, kas atšķiras no laboratorijas izmantotās izsekojamības procedūras, un ņemt vērā, ka ir jābūt atbilstošām vislabākajām nenoteiktībām pēc iespējas plašākā diapazonā (ieskaitot apakšējās un augšējās robežvērtības, ja iespējams).</w:t>
      </w:r>
    </w:p>
    <w:p w14:paraId="0E997D3C" w14:textId="77777777" w:rsidR="00605273" w:rsidRPr="00605273" w:rsidRDefault="00605273" w:rsidP="00605273">
      <w:pPr>
        <w:jc w:val="both"/>
        <w:rPr>
          <w:rFonts w:ascii="Times New Roman" w:eastAsia="Arial" w:hAnsi="Times New Roman" w:cs="Times New Roman"/>
          <w:noProof/>
          <w:sz w:val="24"/>
          <w:szCs w:val="24"/>
        </w:rPr>
      </w:pPr>
    </w:p>
    <w:p w14:paraId="316626A3" w14:textId="77777777" w:rsidR="00605273" w:rsidRPr="00605273" w:rsidRDefault="00605273" w:rsidP="00605273">
      <w:pPr>
        <w:pStyle w:val="BodyText"/>
      </w:pPr>
      <w:r>
        <w:t>Ja nav organizētu PP, akreditācijas iestāde vērtēšanā koncentrēsies uz dalībnieku definētā salīdzināšanas protokola atbilstību un laboratorijas veikto salīdzināšanas rezultātu analīzi, tostarp kritērijiem un veiktajiem pasākumiem, ja rezultāti neatbilst šiem kritērijiem.</w:t>
      </w:r>
    </w:p>
    <w:p w14:paraId="36E50BC3" w14:textId="77777777" w:rsidR="00605273" w:rsidRPr="00605273" w:rsidRDefault="00605273" w:rsidP="00605273">
      <w:pPr>
        <w:jc w:val="both"/>
        <w:rPr>
          <w:rFonts w:ascii="Times New Roman" w:eastAsia="Arial" w:hAnsi="Times New Roman" w:cs="Times New Roman"/>
          <w:noProof/>
          <w:sz w:val="24"/>
          <w:szCs w:val="24"/>
        </w:rPr>
      </w:pPr>
    </w:p>
    <w:p w14:paraId="0C011BCC" w14:textId="77777777" w:rsidR="00605273" w:rsidRPr="00605273" w:rsidRDefault="00605273" w:rsidP="00605273">
      <w:pPr>
        <w:pStyle w:val="BodyText"/>
        <w:rPr>
          <w:b/>
          <w:bCs/>
        </w:rPr>
      </w:pPr>
      <w:r>
        <w:rPr>
          <w:b/>
        </w:rPr>
        <w:t>Izdomāts apsvērumu piemērs</w:t>
      </w:r>
    </w:p>
    <w:p w14:paraId="2194206D" w14:textId="77777777" w:rsidR="00605273" w:rsidRPr="00605273" w:rsidRDefault="00605273" w:rsidP="00605273">
      <w:pPr>
        <w:jc w:val="both"/>
        <w:rPr>
          <w:rFonts w:ascii="Times New Roman" w:eastAsia="Arial" w:hAnsi="Times New Roman" w:cs="Times New Roman"/>
          <w:b/>
          <w:bCs/>
          <w:noProof/>
          <w:sz w:val="24"/>
          <w:szCs w:val="24"/>
        </w:rPr>
      </w:pPr>
    </w:p>
    <w:p w14:paraId="4AACBBBB" w14:textId="77777777" w:rsidR="00605273" w:rsidRPr="00605273" w:rsidRDefault="00605273" w:rsidP="00605273">
      <w:pPr>
        <w:pStyle w:val="BodyText"/>
      </w:pPr>
      <w:r>
        <w:rPr>
          <w:u w:val="single"/>
        </w:rPr>
        <w:t>Ģeometrija</w:t>
      </w:r>
      <w:r>
        <w:t xml:space="preserve">. Metroloģiskā izsekojamība ir izveidota, izmantojot references galamērus, kas kalibrēti nacionālajā metroloģijas institūtā (NMI), kurš piedalās </w:t>
      </w:r>
      <w:r>
        <w:rPr>
          <w:i/>
          <w:iCs/>
        </w:rPr>
        <w:t>CIPM MRA</w:t>
      </w:r>
      <w:r>
        <w:t xml:space="preserve">. Laboratorijai ir divi komplekti, kas tiek pamīšus kalibrēti ik pēc četriem gadiem. Katru komplektu izmanto tikai darba komplektu iekšējai kalibrēšanai. Papildu etaloni ietver iekšējo un ārējo diametru </w:t>
      </w:r>
      <w:r>
        <w:lastRenderedPageBreak/>
        <w:t>(gredzenveida mērinstrumenti), pakāpjveida mērinstrumentus, konusus, stikla mērinstrumentus, raupjuma etalonus utt. Tos kalibrē akreditēta kalibrēšanas laboratorija.</w:t>
      </w:r>
    </w:p>
    <w:p w14:paraId="5FAACF5F" w14:textId="77777777" w:rsidR="00605273" w:rsidRPr="00605273" w:rsidRDefault="00605273" w:rsidP="00605273">
      <w:pPr>
        <w:jc w:val="both"/>
      </w:pPr>
    </w:p>
    <w:p w14:paraId="36E25291" w14:textId="77777777" w:rsidR="00605273" w:rsidRPr="00605273" w:rsidRDefault="00605273" w:rsidP="00605273">
      <w:pPr>
        <w:pStyle w:val="BodyText"/>
      </w:pPr>
      <w:r>
        <w:t>Tā kā ir aptverts daudz un dažādu zīmolu ģeometrisko mērinstrumentu, tehniskās kompetences jomas ir sīkāk iedalītas piecās jomās:</w:t>
      </w:r>
    </w:p>
    <w:p w14:paraId="23866376" w14:textId="77777777" w:rsidR="00605273" w:rsidRPr="00605273" w:rsidRDefault="00605273" w:rsidP="00605273">
      <w:pPr>
        <w:jc w:val="both"/>
        <w:rPr>
          <w:rFonts w:ascii="Times New Roman" w:eastAsia="Arial" w:hAnsi="Times New Roman" w:cs="Times New Roman"/>
          <w:noProof/>
          <w:sz w:val="24"/>
          <w:szCs w:val="24"/>
        </w:rPr>
      </w:pPr>
    </w:p>
    <w:p w14:paraId="75A27716" w14:textId="77777777" w:rsidR="00605273" w:rsidRPr="00605273" w:rsidRDefault="00605273" w:rsidP="00605273">
      <w:pPr>
        <w:pStyle w:val="BodyText"/>
        <w:numPr>
          <w:ilvl w:val="0"/>
          <w:numId w:val="2"/>
        </w:numPr>
        <w:tabs>
          <w:tab w:val="left" w:pos="567"/>
        </w:tabs>
        <w:ind w:left="0" w:firstLine="0"/>
      </w:pPr>
      <w:r>
        <w:t>garuma mēri un pielaides instrumenti (galamēri, pakāpjveida mērinstrumenti, konusi utt.);</w:t>
      </w:r>
    </w:p>
    <w:p w14:paraId="74BF834C" w14:textId="77777777" w:rsidR="00605273" w:rsidRPr="00605273" w:rsidRDefault="00605273" w:rsidP="00605273">
      <w:pPr>
        <w:pStyle w:val="BodyText"/>
        <w:numPr>
          <w:ilvl w:val="0"/>
          <w:numId w:val="2"/>
        </w:numPr>
        <w:tabs>
          <w:tab w:val="left" w:pos="567"/>
        </w:tabs>
        <w:ind w:left="0" w:firstLine="0"/>
      </w:pPr>
      <w:r>
        <w:t>manuālās garuma mērierīces (bīdmēri, mikrometri utt.);</w:t>
      </w:r>
    </w:p>
    <w:p w14:paraId="721CE1A2" w14:textId="77777777" w:rsidR="00605273" w:rsidRPr="00605273" w:rsidRDefault="00605273" w:rsidP="00605273">
      <w:pPr>
        <w:pStyle w:val="BodyText"/>
        <w:numPr>
          <w:ilvl w:val="0"/>
          <w:numId w:val="2"/>
        </w:numPr>
        <w:tabs>
          <w:tab w:val="left" w:pos="567"/>
        </w:tabs>
        <w:ind w:left="0" w:firstLine="0"/>
      </w:pPr>
      <w:r>
        <w:t>garuma mērierīces (mērlentes, lāzera attāluma mērītāji utt.);</w:t>
      </w:r>
    </w:p>
    <w:p w14:paraId="5908FAC3" w14:textId="77777777" w:rsidR="00605273" w:rsidRPr="00605273" w:rsidRDefault="00605273" w:rsidP="00605273">
      <w:pPr>
        <w:pStyle w:val="BodyText"/>
        <w:numPr>
          <w:ilvl w:val="0"/>
          <w:numId w:val="2"/>
        </w:numPr>
        <w:tabs>
          <w:tab w:val="left" w:pos="567"/>
        </w:tabs>
        <w:ind w:left="0" w:firstLine="0"/>
      </w:pPr>
      <w:r>
        <w:t>virsmas mērījumi (raupjums, optiskais stikls utt.);</w:t>
      </w:r>
    </w:p>
    <w:p w14:paraId="4888EEDE" w14:textId="77777777" w:rsidR="00605273" w:rsidRPr="00605273" w:rsidRDefault="00605273" w:rsidP="00605273">
      <w:pPr>
        <w:pStyle w:val="BodyText"/>
        <w:numPr>
          <w:ilvl w:val="0"/>
          <w:numId w:val="2"/>
        </w:numPr>
        <w:tabs>
          <w:tab w:val="left" w:pos="567"/>
        </w:tabs>
        <w:ind w:left="0" w:firstLine="0"/>
      </w:pPr>
      <w:r>
        <w:t>cits ģeometriskais aprīkojums (profila projektori, gredzenveida mērinstrumenti utt.).</w:t>
      </w:r>
    </w:p>
    <w:p w14:paraId="4840A74B" w14:textId="77777777" w:rsidR="00605273" w:rsidRPr="00605273" w:rsidRDefault="00605273" w:rsidP="00605273">
      <w:pPr>
        <w:jc w:val="both"/>
        <w:rPr>
          <w:rFonts w:ascii="Times New Roman" w:eastAsia="Arial" w:hAnsi="Times New Roman" w:cs="Times New Roman"/>
          <w:noProof/>
          <w:sz w:val="24"/>
          <w:szCs w:val="24"/>
        </w:rPr>
      </w:pPr>
    </w:p>
    <w:p w14:paraId="735ED09E" w14:textId="77777777" w:rsidR="00605273" w:rsidRPr="00605273" w:rsidRDefault="00605273" w:rsidP="00605273">
      <w:pPr>
        <w:pStyle w:val="BodyText"/>
      </w:pPr>
      <w:r>
        <w:rPr>
          <w:u w:val="single"/>
        </w:rPr>
        <w:t>Elektrība</w:t>
      </w:r>
      <w:r>
        <w:t>. Izsekojamību nodrošina, izmantojot etalona augstas klases pārneses multimetru, ko kalibrē divreiz gadā un izmanto kalibratoru un digitālo multimetru (DMM) iekšējai kalibrēšanai.</w:t>
      </w:r>
    </w:p>
    <w:p w14:paraId="17763E94" w14:textId="77777777" w:rsidR="00605273" w:rsidRPr="00605273" w:rsidRDefault="00605273" w:rsidP="00605273">
      <w:pPr>
        <w:jc w:val="both"/>
        <w:rPr>
          <w:rFonts w:ascii="Times New Roman" w:eastAsia="Arial" w:hAnsi="Times New Roman" w:cs="Times New Roman"/>
          <w:noProof/>
          <w:sz w:val="24"/>
          <w:szCs w:val="24"/>
        </w:rPr>
      </w:pPr>
    </w:p>
    <w:p w14:paraId="2E4B6CF0" w14:textId="77777777" w:rsidR="00605273" w:rsidRPr="00605273" w:rsidRDefault="00605273" w:rsidP="00605273">
      <w:pPr>
        <w:pStyle w:val="BodyText"/>
      </w:pPr>
      <w:r>
        <w:t>Atsevišķi tiek uzturēts references un darba rezistoru komplekts galvenokārt temperatūras stabilitātes nodrošināšanai.</w:t>
      </w:r>
    </w:p>
    <w:p w14:paraId="1E9EFD5E" w14:textId="77777777" w:rsidR="00605273" w:rsidRPr="00605273" w:rsidRDefault="00605273" w:rsidP="00605273">
      <w:pPr>
        <w:jc w:val="both"/>
        <w:rPr>
          <w:rFonts w:ascii="Times New Roman" w:eastAsia="Arial" w:hAnsi="Times New Roman" w:cs="Times New Roman"/>
          <w:noProof/>
          <w:sz w:val="24"/>
          <w:szCs w:val="24"/>
        </w:rPr>
      </w:pPr>
    </w:p>
    <w:p w14:paraId="546AD23E" w14:textId="77777777" w:rsidR="00605273" w:rsidRPr="00605273" w:rsidRDefault="00605273" w:rsidP="00605273">
      <w:pPr>
        <w:pStyle w:val="BodyText"/>
      </w:pPr>
      <w:r>
        <w:t>Tā kā laboratorijas galvenie uzdevumi ir DMM, kalibratori un simulatori, kas nodrošina temperatūras mērījumus, tās tehniskā kompetence ir koncentrēta šādās jomās:</w:t>
      </w:r>
    </w:p>
    <w:p w14:paraId="21107F39" w14:textId="77777777" w:rsidR="00605273" w:rsidRPr="00605273" w:rsidRDefault="00605273" w:rsidP="00605273">
      <w:pPr>
        <w:jc w:val="both"/>
        <w:rPr>
          <w:rFonts w:ascii="Times New Roman" w:eastAsia="Arial" w:hAnsi="Times New Roman" w:cs="Times New Roman"/>
          <w:noProof/>
          <w:sz w:val="24"/>
          <w:szCs w:val="24"/>
        </w:rPr>
      </w:pPr>
    </w:p>
    <w:p w14:paraId="10ED7A5D" w14:textId="77777777" w:rsidR="00605273" w:rsidRPr="00605273" w:rsidRDefault="00605273" w:rsidP="00605273">
      <w:pPr>
        <w:pStyle w:val="BodyText"/>
        <w:numPr>
          <w:ilvl w:val="0"/>
          <w:numId w:val="2"/>
        </w:numPr>
        <w:tabs>
          <w:tab w:val="left" w:pos="567"/>
        </w:tabs>
        <w:ind w:left="0" w:firstLine="0"/>
      </w:pPr>
      <w:r>
        <w:t>precīzijas DMM (6+ cipari);</w:t>
      </w:r>
    </w:p>
    <w:p w14:paraId="017BEE4C" w14:textId="77777777" w:rsidR="00605273" w:rsidRPr="00605273" w:rsidRDefault="00605273" w:rsidP="00605273">
      <w:pPr>
        <w:pStyle w:val="BodyText"/>
        <w:numPr>
          <w:ilvl w:val="0"/>
          <w:numId w:val="2"/>
        </w:numPr>
        <w:tabs>
          <w:tab w:val="left" w:pos="567"/>
        </w:tabs>
        <w:ind w:left="0" w:firstLine="0"/>
      </w:pPr>
      <w:r>
        <w:t>pretestības mērījumi.</w:t>
      </w:r>
    </w:p>
    <w:p w14:paraId="0A71890B" w14:textId="77777777" w:rsidR="00605273" w:rsidRPr="00605273" w:rsidRDefault="00605273" w:rsidP="00605273">
      <w:pPr>
        <w:jc w:val="both"/>
        <w:rPr>
          <w:rFonts w:ascii="Times New Roman" w:eastAsia="Arial" w:hAnsi="Times New Roman" w:cs="Times New Roman"/>
          <w:noProof/>
          <w:sz w:val="24"/>
          <w:szCs w:val="24"/>
        </w:rPr>
      </w:pPr>
    </w:p>
    <w:p w14:paraId="40A31DA6" w14:textId="77777777" w:rsidR="00605273" w:rsidRPr="00605273" w:rsidRDefault="00605273" w:rsidP="00605273">
      <w:pPr>
        <w:pStyle w:val="BodyText"/>
      </w:pPr>
      <w:r>
        <w:rPr>
          <w:u w:val="single"/>
        </w:rPr>
        <w:t>Temperatūra</w:t>
      </w:r>
      <w:r>
        <w:t xml:space="preserve">. Izsekojamību nodrošina ar diviem </w:t>
      </w:r>
      <w:r>
        <w:rPr>
          <w:i/>
          <w:iCs/>
        </w:rPr>
        <w:t>SPRT</w:t>
      </w:r>
      <w:r>
        <w:t xml:space="preserve">, kas pamīšus tiek kalibrēti reizi gadā. Tiek uzturēti divi fiksēti punkti </w:t>
      </w:r>
      <w:r>
        <w:rPr>
          <w:i/>
          <w:iCs/>
        </w:rPr>
        <w:t>WTP</w:t>
      </w:r>
      <w:r>
        <w:t xml:space="preserve"> (0,01 °C) un </w:t>
      </w:r>
      <w:r>
        <w:rPr>
          <w:i/>
          <w:iCs/>
        </w:rPr>
        <w:t>Ga</w:t>
      </w:r>
      <w:r>
        <w:t xml:space="preserve"> (~ 39 °C). Kalibrēšanu neveic, izmantojot tos, tikai divu references </w:t>
      </w:r>
      <w:r>
        <w:rPr>
          <w:i/>
          <w:iCs/>
        </w:rPr>
        <w:t>SPRT</w:t>
      </w:r>
      <w:r>
        <w:t xml:space="preserve"> iekšējo uzraudzību. Kalibrēšanu veic šķidruma vannās kā salīdzinājumu ar </w:t>
      </w:r>
      <w:r>
        <w:rPr>
          <w:i/>
          <w:iCs/>
        </w:rPr>
        <w:t>SPRT</w:t>
      </w:r>
      <w:r>
        <w:t>, un temperatūras sensorus var kalibrēt arī gaisā, izmantojot gaisa vannu un salīdzinot ar references termometru:</w:t>
      </w:r>
    </w:p>
    <w:p w14:paraId="4CB5468D" w14:textId="77777777" w:rsidR="00605273" w:rsidRPr="00605273" w:rsidRDefault="00605273" w:rsidP="00605273">
      <w:pPr>
        <w:jc w:val="both"/>
      </w:pPr>
    </w:p>
    <w:p w14:paraId="61607E44" w14:textId="77777777" w:rsidR="00605273" w:rsidRPr="00605273" w:rsidRDefault="00605273" w:rsidP="00605273">
      <w:pPr>
        <w:pStyle w:val="BodyText"/>
        <w:numPr>
          <w:ilvl w:val="0"/>
          <w:numId w:val="2"/>
        </w:numPr>
      </w:pPr>
      <w:r>
        <w:t>Temperatūras mērījumi šķidruma vannā diapazonā no 0 °C līdz 40 °C;</w:t>
      </w:r>
    </w:p>
    <w:p w14:paraId="4DD8D7E2" w14:textId="77777777" w:rsidR="00605273" w:rsidRPr="00605273" w:rsidRDefault="00605273" w:rsidP="00605273">
      <w:pPr>
        <w:pStyle w:val="BodyText"/>
        <w:numPr>
          <w:ilvl w:val="0"/>
          <w:numId w:val="2"/>
        </w:numPr>
      </w:pPr>
      <w:r>
        <w:t>temperatūras sensoru kalibrēšana gaisā.</w:t>
      </w:r>
    </w:p>
    <w:p w14:paraId="12DEE97F" w14:textId="77777777" w:rsidR="00605273" w:rsidRPr="00605273" w:rsidRDefault="00605273" w:rsidP="00605273">
      <w:pPr>
        <w:jc w:val="both"/>
        <w:rPr>
          <w:rFonts w:ascii="Times New Roman" w:eastAsia="Arial" w:hAnsi="Times New Roman" w:cs="Times New Roman"/>
          <w:noProof/>
          <w:sz w:val="24"/>
          <w:szCs w:val="24"/>
        </w:rPr>
      </w:pPr>
    </w:p>
    <w:p w14:paraId="0CB0724D" w14:textId="77777777" w:rsidR="00605273" w:rsidRPr="00605273" w:rsidRDefault="00605273" w:rsidP="00605273">
      <w:pPr>
        <w:pStyle w:val="BodyText"/>
        <w:rPr>
          <w:b/>
          <w:bCs/>
        </w:rPr>
      </w:pPr>
      <w:r>
        <w:rPr>
          <w:b/>
        </w:rPr>
        <w:t>Dalības biežuma noteikšanas apsvērumi</w:t>
      </w:r>
    </w:p>
    <w:p w14:paraId="681D9A2F" w14:textId="77777777" w:rsidR="00605273" w:rsidRPr="00605273" w:rsidRDefault="00605273" w:rsidP="00605273">
      <w:pPr>
        <w:jc w:val="both"/>
        <w:rPr>
          <w:rFonts w:ascii="Times New Roman" w:eastAsia="Arial" w:hAnsi="Times New Roman" w:cs="Times New Roman"/>
          <w:b/>
          <w:bCs/>
          <w:noProof/>
          <w:sz w:val="24"/>
          <w:szCs w:val="24"/>
        </w:rPr>
      </w:pPr>
    </w:p>
    <w:p w14:paraId="52B0EF57" w14:textId="77777777" w:rsidR="00605273" w:rsidRPr="00605273" w:rsidRDefault="00605273" w:rsidP="00605273">
      <w:pPr>
        <w:pStyle w:val="BodyText"/>
      </w:pPr>
      <w:r>
        <w:rPr>
          <w:u w:val="single"/>
        </w:rPr>
        <w:t>Ģeometrija</w:t>
      </w:r>
      <w:r>
        <w:t>. Laboratorija ir izstrādājusi iekšējos galamēru salīdzinājumus un uztur datus par galamēru izmērīto starpību divos references komplektos. Šādā veidā tiek veikts netiešs salīdzinājums ar NMI reizi divos gados, un pastāv iespēja pārbaudīt sekundāro mēraparatūru.</w:t>
      </w:r>
    </w:p>
    <w:p w14:paraId="68DAB684" w14:textId="77777777" w:rsidR="00605273" w:rsidRPr="00605273" w:rsidRDefault="00605273" w:rsidP="00605273">
      <w:pPr>
        <w:jc w:val="both"/>
      </w:pPr>
    </w:p>
    <w:p w14:paraId="2998E4F5" w14:textId="77777777" w:rsidR="00605273" w:rsidRPr="00605273" w:rsidRDefault="00605273" w:rsidP="00605273">
      <w:pPr>
        <w:pStyle w:val="BodyText"/>
      </w:pPr>
      <w:r>
        <w:t xml:space="preserve">Laboratorija cenšas piedalīties ģeometrisko mērinstrumentu </w:t>
      </w:r>
      <w:r>
        <w:rPr>
          <w:i/>
          <w:iCs/>
        </w:rPr>
        <w:t>ILC</w:t>
      </w:r>
      <w:r>
        <w:t xml:space="preserve"> katru otro gadu, rotācijas kārtībā mainot piecās pamatgrupās iedalīto aprīkojumu, galvenokārt pamatojoties uz pieejamajiem salīdzinājumiem. Kā alternatīva, ja nav pieejama atbilstoša </w:t>
      </w:r>
      <w:r>
        <w:rPr>
          <w:i/>
          <w:iCs/>
        </w:rPr>
        <w:t>ILC</w:t>
      </w:r>
      <w:r>
        <w:t>, tiek noslēgta vienošanās ar līdzīgu laboratoriju, lai savstarpēji apmainītos ar iekšējiem etaloniem un aprīkojumu un tos kalibrētu, un salīdzinātu rezultātus.</w:t>
      </w:r>
    </w:p>
    <w:p w14:paraId="69946045" w14:textId="77777777" w:rsidR="00605273" w:rsidRPr="00605273" w:rsidRDefault="00605273" w:rsidP="00605273">
      <w:pPr>
        <w:jc w:val="both"/>
        <w:rPr>
          <w:rFonts w:ascii="Times New Roman" w:eastAsia="Arial" w:hAnsi="Times New Roman" w:cs="Times New Roman"/>
          <w:noProof/>
          <w:sz w:val="24"/>
          <w:szCs w:val="24"/>
        </w:rPr>
      </w:pPr>
    </w:p>
    <w:p w14:paraId="7C3E2C07" w14:textId="77777777" w:rsidR="00605273" w:rsidRPr="00605273" w:rsidRDefault="00605273" w:rsidP="00605273">
      <w:pPr>
        <w:pStyle w:val="BodyText"/>
      </w:pPr>
      <w:r>
        <w:t xml:space="preserve">Kalibrēšanas speciālistu grupa var salīdzināt savu kompetenci gadījumos, kad ir pieejama </w:t>
      </w:r>
      <w:r>
        <w:rPr>
          <w:i/>
          <w:iCs/>
        </w:rPr>
        <w:t>ILC</w:t>
      </w:r>
      <w:r>
        <w:t>.</w:t>
      </w:r>
    </w:p>
    <w:p w14:paraId="782BF722" w14:textId="77777777" w:rsidR="00605273" w:rsidRPr="00605273" w:rsidRDefault="00605273" w:rsidP="00605273">
      <w:pPr>
        <w:jc w:val="both"/>
        <w:rPr>
          <w:rFonts w:ascii="Times New Roman" w:eastAsia="Arial" w:hAnsi="Times New Roman" w:cs="Times New Roman"/>
          <w:noProof/>
          <w:sz w:val="24"/>
          <w:szCs w:val="24"/>
        </w:rPr>
      </w:pPr>
    </w:p>
    <w:p w14:paraId="49B4D773" w14:textId="77777777" w:rsidR="00605273" w:rsidRPr="00605273" w:rsidRDefault="00605273" w:rsidP="00605273">
      <w:pPr>
        <w:pStyle w:val="BodyText"/>
      </w:pPr>
      <w:r>
        <w:rPr>
          <w:u w:val="single"/>
        </w:rPr>
        <w:lastRenderedPageBreak/>
        <w:t>Elektrība</w:t>
      </w:r>
      <w:r>
        <w:t xml:space="preserve">. Laboratorija piedalās multimetru kalibrēšanas </w:t>
      </w:r>
      <w:r>
        <w:rPr>
          <w:i/>
          <w:iCs/>
        </w:rPr>
        <w:t>ILC</w:t>
      </w:r>
      <w:r>
        <w:t xml:space="preserve">, ko organizē reizi 4 vai 5 gados, jo tie tiek piedāvāti no dažādiem avotiem, un sadarbojas arī ar citām laboratorijām, kurām ir līdzīga sfēra un līmenis, īstenojot divpusējus salīdzinājumus reizi 2 vai 3 gados (apmainās ar pārbaudes vienībām, piemēram, references multimetriem un augstas klases rezistoriem, un pēc tam apmaina kalibrācijas sertifikātus). Tā kā organizētajā </w:t>
      </w:r>
      <w:r>
        <w:rPr>
          <w:i/>
          <w:iCs/>
        </w:rPr>
        <w:t>ILC</w:t>
      </w:r>
      <w:r>
        <w:t xml:space="preserve"> praksē cenšas iegūt “zemu kopsaucēju”, piemēram, 4 ½ ciparu DMM, laboratorijai ir jāmeklē citas sadarbības iespējas, lai pārbaudītu tās labākās mērīšanas spējas.</w:t>
      </w:r>
    </w:p>
    <w:p w14:paraId="39BA399C" w14:textId="77777777" w:rsidR="00605273" w:rsidRPr="00605273" w:rsidRDefault="00605273" w:rsidP="00605273">
      <w:pPr>
        <w:jc w:val="both"/>
      </w:pPr>
    </w:p>
    <w:p w14:paraId="3840DF8D" w14:textId="77777777" w:rsidR="00605273" w:rsidRPr="00605273" w:rsidRDefault="00605273" w:rsidP="00605273">
      <w:pPr>
        <w:pStyle w:val="BodyText"/>
      </w:pPr>
      <w:r>
        <w:rPr>
          <w:u w:val="single"/>
        </w:rPr>
        <w:t>Temperatūra</w:t>
      </w:r>
      <w:r>
        <w:t xml:space="preserve">. Laboratorija iekšēji salīdzina savus </w:t>
      </w:r>
      <w:r>
        <w:rPr>
          <w:i/>
          <w:iCs/>
        </w:rPr>
        <w:t>SPRT</w:t>
      </w:r>
      <w:r>
        <w:t xml:space="preserve"> pēc katras kalibrēšanas un salīdzina dažādu tehniķu veiktās standarta </w:t>
      </w:r>
      <w:r>
        <w:rPr>
          <w:i/>
          <w:iCs/>
        </w:rPr>
        <w:t>PRT</w:t>
      </w:r>
      <w:r>
        <w:t xml:space="preserve"> galīgās kalibrācijas rezultātus. </w:t>
      </w:r>
      <w:r>
        <w:rPr>
          <w:i/>
          <w:iCs/>
        </w:rPr>
        <w:t>SPRT</w:t>
      </w:r>
      <w:r>
        <w:t xml:space="preserve"> regulāri pārbauda divos fiksētos punktos un rezultātus uzrauga laika periodā.</w:t>
      </w:r>
    </w:p>
    <w:p w14:paraId="2BCD01CF" w14:textId="77777777" w:rsidR="00605273" w:rsidRPr="00605273" w:rsidRDefault="00605273" w:rsidP="00605273">
      <w:pPr>
        <w:jc w:val="both"/>
        <w:rPr>
          <w:rFonts w:ascii="Times New Roman" w:hAnsi="Times New Roman" w:cs="Times New Roman"/>
          <w:noProof/>
          <w:sz w:val="24"/>
          <w:szCs w:val="24"/>
        </w:rPr>
      </w:pPr>
    </w:p>
    <w:p w14:paraId="72CB3704" w14:textId="77777777" w:rsidR="00605273" w:rsidRPr="00605273" w:rsidRDefault="00605273" w:rsidP="00605273">
      <w:pPr>
        <w:pStyle w:val="BodyText"/>
      </w:pPr>
      <w:r>
        <w:t xml:space="preserve">Lai īstenotu ārēju salīdzināšanu, laboratorija lūdz citas laboratorijas </w:t>
      </w:r>
      <w:r>
        <w:rPr>
          <w:i/>
          <w:iCs/>
        </w:rPr>
        <w:t>SPRT</w:t>
      </w:r>
      <w:r>
        <w:t xml:space="preserve">, nosaka </w:t>
      </w:r>
      <w:r>
        <w:rPr>
          <w:i/>
          <w:iCs/>
        </w:rPr>
        <w:t>SPRT</w:t>
      </w:r>
      <w:r>
        <w:t xml:space="preserve"> parametrus (</w:t>
      </w:r>
      <w:r>
        <w:rPr>
          <w:i/>
        </w:rPr>
        <w:t>R</w:t>
      </w:r>
      <w:r>
        <w:rPr>
          <w:i/>
          <w:vertAlign w:val="subscript"/>
        </w:rPr>
        <w:t>0</w:t>
      </w:r>
      <w:r>
        <w:rPr>
          <w:i/>
        </w:rPr>
        <w:t xml:space="preserve"> </w:t>
      </w:r>
      <w:r>
        <w:t xml:space="preserve">un </w:t>
      </w:r>
      <w:r>
        <w:rPr>
          <w:i/>
        </w:rPr>
        <w:t>W</w:t>
      </w:r>
      <w:r>
        <w:rPr>
          <w:i/>
          <w:vertAlign w:val="subscript"/>
        </w:rPr>
        <w:t>Ga</w:t>
      </w:r>
      <w:r>
        <w:t>) galvenajā lietošanas diapazonā (0 °C–40 °C) un salīdzina tos ar piešķirtajām vērtībām.</w:t>
      </w:r>
    </w:p>
    <w:sectPr w:rsidR="00605273" w:rsidRPr="00605273" w:rsidSect="00254A28">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AFD4" w14:textId="77777777" w:rsidR="00BB771C" w:rsidRPr="00605273" w:rsidRDefault="00BB771C">
      <w:pPr>
        <w:rPr>
          <w:noProof/>
        </w:rPr>
      </w:pPr>
      <w:r w:rsidRPr="00605273">
        <w:rPr>
          <w:noProof/>
        </w:rPr>
        <w:separator/>
      </w:r>
    </w:p>
  </w:endnote>
  <w:endnote w:type="continuationSeparator" w:id="0">
    <w:p w14:paraId="3481F4D5" w14:textId="77777777" w:rsidR="00BB771C" w:rsidRPr="00605273" w:rsidRDefault="00BB771C">
      <w:pPr>
        <w:rPr>
          <w:noProof/>
        </w:rPr>
      </w:pPr>
      <w:r w:rsidRPr="0060527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42B4" w14:textId="77777777" w:rsidR="002D4266" w:rsidRPr="00580B8D" w:rsidRDefault="002D4266" w:rsidP="002D4266">
    <w:pPr>
      <w:pStyle w:val="Header"/>
      <w:tabs>
        <w:tab w:val="left" w:pos="9072"/>
      </w:tabs>
      <w:rPr>
        <w:rStyle w:val="PageNumber"/>
        <w:rFonts w:ascii="Times New Roman" w:hAnsi="Times New Roman" w:cs="Times New Roman"/>
        <w:noProof/>
        <w:szCs w:val="18"/>
        <w:lang w:val="en-US"/>
      </w:rPr>
    </w:pPr>
  </w:p>
  <w:p w14:paraId="526FCFA0" w14:textId="77777777" w:rsidR="002D4266" w:rsidRPr="00580B8D" w:rsidRDefault="002D4266" w:rsidP="002D4266">
    <w:pPr>
      <w:pStyle w:val="Header"/>
      <w:tabs>
        <w:tab w:val="clear" w:pos="4513"/>
        <w:tab w:val="clear" w:pos="9026"/>
        <w:tab w:val="right" w:leader="underscore" w:pos="9072"/>
      </w:tabs>
      <w:rPr>
        <w:rFonts w:ascii="Times New Roman" w:hAnsi="Times New Roman" w:cs="Times New Roman"/>
        <w:noProof/>
        <w:szCs w:val="18"/>
        <w:lang w:val="en-US"/>
      </w:rPr>
    </w:pPr>
    <w:r w:rsidRPr="00580B8D">
      <w:rPr>
        <w:rFonts w:ascii="Times New Roman" w:hAnsi="Times New Roman" w:cs="Times New Roman"/>
        <w:noProof/>
        <w:szCs w:val="18"/>
        <w:lang w:val="en-US"/>
      </w:rPr>
      <w:tab/>
    </w:r>
  </w:p>
  <w:p w14:paraId="267D1DF8" w14:textId="77777777" w:rsidR="002D4266" w:rsidRPr="00580B8D" w:rsidRDefault="002D4266" w:rsidP="002D4266">
    <w:pPr>
      <w:pStyle w:val="Header"/>
      <w:tabs>
        <w:tab w:val="right" w:pos="9072"/>
      </w:tabs>
      <w:rPr>
        <w:rStyle w:val="PageNumber"/>
        <w:rFonts w:ascii="Times New Roman" w:hAnsi="Times New Roman" w:cs="Times New Roman"/>
        <w:noProof/>
        <w:szCs w:val="18"/>
        <w:lang w:val="en-US"/>
      </w:rPr>
    </w:pPr>
  </w:p>
  <w:p w14:paraId="28F37BB3" w14:textId="77777777" w:rsidR="002D4266" w:rsidRPr="00580B8D" w:rsidRDefault="002D4266" w:rsidP="002D4266">
    <w:pPr>
      <w:pStyle w:val="Footer"/>
      <w:tabs>
        <w:tab w:val="clear" w:pos="4513"/>
        <w:tab w:val="clear" w:pos="9026"/>
        <w:tab w:val="right" w:pos="9072"/>
      </w:tabs>
      <w:rPr>
        <w:rFonts w:ascii="Times New Roman" w:hAnsi="Times New Roman" w:cs="Times New Roman"/>
        <w:noProof/>
        <w:sz w:val="20"/>
        <w:szCs w:val="18"/>
        <w:lang w:val="en-US"/>
      </w:rPr>
    </w:pPr>
    <w:r w:rsidRPr="00580B8D">
      <w:rPr>
        <w:rFonts w:ascii="Times New Roman" w:hAnsi="Times New Roman" w:cs="Times New Roman"/>
        <w:noProof/>
        <w:sz w:val="20"/>
        <w:szCs w:val="18"/>
        <w:lang w:val="en-US"/>
      </w:rPr>
      <w:t xml:space="preserve">Tulkojums </w:t>
    </w:r>
    <w:r w:rsidRPr="00580B8D">
      <w:rPr>
        <w:rFonts w:ascii="Times New Roman" w:hAnsi="Times New Roman" w:cs="Times New Roman"/>
        <w:noProof/>
        <w:sz w:val="20"/>
        <w:szCs w:val="18"/>
        <w:lang w:val="en-US"/>
      </w:rPr>
      <w:fldChar w:fldCharType="begin"/>
    </w:r>
    <w:r w:rsidRPr="00580B8D">
      <w:rPr>
        <w:rFonts w:ascii="Times New Roman" w:hAnsi="Times New Roman" w:cs="Times New Roman"/>
        <w:noProof/>
        <w:sz w:val="20"/>
        <w:szCs w:val="18"/>
        <w:lang w:val="en-US"/>
      </w:rPr>
      <w:instrText>symbol 211 \f "Symbol" \s 9</w:instrText>
    </w:r>
    <w:r w:rsidRPr="00580B8D">
      <w:rPr>
        <w:rFonts w:ascii="Times New Roman" w:hAnsi="Times New Roman" w:cs="Times New Roman"/>
        <w:noProof/>
        <w:sz w:val="20"/>
        <w:szCs w:val="18"/>
        <w:lang w:val="en-US"/>
      </w:rPr>
      <w:fldChar w:fldCharType="separate"/>
    </w:r>
    <w:r w:rsidRPr="00580B8D">
      <w:rPr>
        <w:rFonts w:ascii="Times New Roman" w:hAnsi="Times New Roman" w:cs="Times New Roman"/>
        <w:noProof/>
        <w:sz w:val="20"/>
        <w:szCs w:val="18"/>
        <w:lang w:val="en-US"/>
      </w:rPr>
      <w:t>Ó</w:t>
    </w:r>
    <w:r w:rsidRPr="00580B8D">
      <w:rPr>
        <w:rFonts w:ascii="Times New Roman" w:hAnsi="Times New Roman" w:cs="Times New Roman"/>
        <w:noProof/>
        <w:sz w:val="20"/>
        <w:szCs w:val="18"/>
        <w:lang w:val="en-US"/>
      </w:rPr>
      <w:fldChar w:fldCharType="end"/>
    </w:r>
    <w:r w:rsidRPr="00580B8D">
      <w:rPr>
        <w:rFonts w:ascii="Times New Roman" w:hAnsi="Times New Roman" w:cs="Times New Roman"/>
        <w:noProof/>
        <w:sz w:val="20"/>
        <w:szCs w:val="18"/>
        <w:lang w:val="en-US"/>
      </w:rPr>
      <w:t xml:space="preserve"> Valsts valodas centrs, 2022</w:t>
    </w:r>
    <w:r w:rsidRPr="00580B8D">
      <w:rPr>
        <w:rFonts w:ascii="Times New Roman" w:hAnsi="Times New Roman" w:cs="Times New Roman"/>
        <w:noProof/>
        <w:sz w:val="20"/>
        <w:szCs w:val="18"/>
        <w:lang w:val="en-US"/>
      </w:rPr>
      <w:tab/>
    </w:r>
    <w:r w:rsidRPr="00580B8D">
      <w:rPr>
        <w:rStyle w:val="PageNumber"/>
        <w:rFonts w:ascii="Times New Roman" w:hAnsi="Times New Roman" w:cs="Times New Roman"/>
        <w:noProof/>
        <w:szCs w:val="18"/>
        <w:lang w:val="en-US"/>
      </w:rPr>
      <w:fldChar w:fldCharType="begin"/>
    </w:r>
    <w:r w:rsidRPr="00580B8D">
      <w:rPr>
        <w:rStyle w:val="PageNumber"/>
        <w:rFonts w:ascii="Times New Roman" w:hAnsi="Times New Roman" w:cs="Times New Roman"/>
        <w:noProof/>
        <w:szCs w:val="18"/>
        <w:lang w:val="en-US"/>
      </w:rPr>
      <w:instrText xml:space="preserve">page </w:instrText>
    </w:r>
    <w:r w:rsidRPr="00580B8D">
      <w:rPr>
        <w:rStyle w:val="PageNumber"/>
        <w:rFonts w:ascii="Times New Roman" w:hAnsi="Times New Roman" w:cs="Times New Roman"/>
        <w:noProof/>
        <w:szCs w:val="18"/>
        <w:lang w:val="en-US"/>
      </w:rPr>
      <w:fldChar w:fldCharType="separate"/>
    </w:r>
    <w:r>
      <w:rPr>
        <w:rStyle w:val="PageNumber"/>
        <w:rFonts w:ascii="Times New Roman" w:hAnsi="Times New Roman" w:cs="Times New Roman"/>
        <w:noProof/>
        <w:szCs w:val="18"/>
        <w:lang w:val="en-US"/>
      </w:rPr>
      <w:t>2</w:t>
    </w:r>
    <w:r w:rsidRPr="00580B8D">
      <w:rPr>
        <w:rStyle w:val="PageNumber"/>
        <w:rFonts w:ascii="Times New Roman" w:hAnsi="Times New Roman" w:cs="Times New Roman"/>
        <w:noProof/>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CD4E" w14:textId="77777777" w:rsidR="00427EB3" w:rsidRPr="00580B8D" w:rsidRDefault="00427EB3" w:rsidP="00427EB3">
    <w:pPr>
      <w:pStyle w:val="Header"/>
      <w:tabs>
        <w:tab w:val="left" w:pos="9072"/>
      </w:tabs>
      <w:rPr>
        <w:rStyle w:val="PageNumber"/>
        <w:rFonts w:ascii="Times New Roman" w:hAnsi="Times New Roman" w:cs="Times New Roman"/>
        <w:noProof/>
        <w:szCs w:val="18"/>
        <w:lang w:val="en-US"/>
      </w:rPr>
    </w:pPr>
    <w:bookmarkStart w:id="42" w:name="_Hlk496261764"/>
    <w:bookmarkStart w:id="43" w:name="_Hlk496261765"/>
    <w:bookmarkStart w:id="44" w:name="_Hlk496261766"/>
    <w:bookmarkStart w:id="45" w:name="_Hlk30491075"/>
    <w:bookmarkStart w:id="46" w:name="_Hlk30491076"/>
  </w:p>
  <w:p w14:paraId="07AD0D12" w14:textId="77777777" w:rsidR="00427EB3" w:rsidRPr="00580B8D" w:rsidRDefault="00427EB3" w:rsidP="00427EB3">
    <w:pPr>
      <w:pStyle w:val="Header"/>
      <w:tabs>
        <w:tab w:val="clear" w:pos="4513"/>
        <w:tab w:val="clear" w:pos="9026"/>
        <w:tab w:val="left" w:leader="underscore" w:pos="9072"/>
      </w:tabs>
      <w:rPr>
        <w:rFonts w:ascii="Times New Roman" w:hAnsi="Times New Roman" w:cs="Times New Roman"/>
        <w:noProof/>
        <w:szCs w:val="18"/>
        <w:lang w:val="en-US"/>
      </w:rPr>
    </w:pPr>
    <w:r w:rsidRPr="00580B8D">
      <w:rPr>
        <w:rFonts w:ascii="Times New Roman" w:hAnsi="Times New Roman" w:cs="Times New Roman"/>
        <w:noProof/>
        <w:szCs w:val="18"/>
        <w:lang w:val="en-US"/>
      </w:rPr>
      <w:tab/>
    </w:r>
  </w:p>
  <w:p w14:paraId="14DB1607" w14:textId="77777777" w:rsidR="00427EB3" w:rsidRPr="00580B8D" w:rsidRDefault="00427EB3" w:rsidP="00427EB3">
    <w:pPr>
      <w:pStyle w:val="Header"/>
      <w:tabs>
        <w:tab w:val="left" w:pos="9072"/>
      </w:tabs>
      <w:rPr>
        <w:rStyle w:val="PageNumber"/>
        <w:rFonts w:ascii="Times New Roman" w:hAnsi="Times New Roman" w:cs="Times New Roman"/>
        <w:noProof/>
        <w:szCs w:val="18"/>
        <w:lang w:val="en-US"/>
      </w:rPr>
    </w:pPr>
  </w:p>
  <w:p w14:paraId="78F3913E" w14:textId="5D9F4FDD" w:rsidR="00605273" w:rsidRPr="00427EB3" w:rsidRDefault="00427EB3">
    <w:pPr>
      <w:pStyle w:val="Footer"/>
      <w:rPr>
        <w:rFonts w:ascii="Times New Roman" w:hAnsi="Times New Roman" w:cs="Times New Roman"/>
        <w:noProof/>
        <w:sz w:val="20"/>
        <w:szCs w:val="18"/>
        <w:lang w:val="en-US"/>
      </w:rPr>
    </w:pPr>
    <w:r w:rsidRPr="00580B8D">
      <w:rPr>
        <w:rFonts w:ascii="Times New Roman" w:hAnsi="Times New Roman" w:cs="Times New Roman"/>
        <w:noProof/>
        <w:sz w:val="20"/>
        <w:szCs w:val="18"/>
        <w:lang w:val="en-US"/>
      </w:rPr>
      <w:t xml:space="preserve">Tulkojums </w:t>
    </w:r>
    <w:r w:rsidRPr="00580B8D">
      <w:rPr>
        <w:rFonts w:ascii="Times New Roman" w:hAnsi="Times New Roman" w:cs="Times New Roman"/>
        <w:noProof/>
        <w:sz w:val="20"/>
        <w:szCs w:val="18"/>
        <w:lang w:val="en-US"/>
      </w:rPr>
      <w:fldChar w:fldCharType="begin"/>
    </w:r>
    <w:r w:rsidRPr="00580B8D">
      <w:rPr>
        <w:rFonts w:ascii="Times New Roman" w:hAnsi="Times New Roman" w:cs="Times New Roman"/>
        <w:noProof/>
        <w:sz w:val="20"/>
        <w:szCs w:val="18"/>
        <w:lang w:val="en-US"/>
      </w:rPr>
      <w:instrText>symbol 211 \f "Symbol" \s 9</w:instrText>
    </w:r>
    <w:r w:rsidRPr="00580B8D">
      <w:rPr>
        <w:rFonts w:ascii="Times New Roman" w:hAnsi="Times New Roman" w:cs="Times New Roman"/>
        <w:noProof/>
        <w:sz w:val="20"/>
        <w:szCs w:val="18"/>
        <w:lang w:val="en-US"/>
      </w:rPr>
      <w:fldChar w:fldCharType="separate"/>
    </w:r>
    <w:r w:rsidRPr="00580B8D">
      <w:rPr>
        <w:rFonts w:ascii="Times New Roman" w:hAnsi="Times New Roman" w:cs="Times New Roman"/>
        <w:noProof/>
        <w:sz w:val="20"/>
        <w:szCs w:val="18"/>
        <w:lang w:val="en-US"/>
      </w:rPr>
      <w:t>Ó</w:t>
    </w:r>
    <w:r w:rsidRPr="00580B8D">
      <w:rPr>
        <w:rFonts w:ascii="Times New Roman" w:hAnsi="Times New Roman" w:cs="Times New Roman"/>
        <w:noProof/>
        <w:sz w:val="20"/>
        <w:szCs w:val="18"/>
        <w:lang w:val="en-US"/>
      </w:rPr>
      <w:fldChar w:fldCharType="end"/>
    </w:r>
    <w:r w:rsidRPr="00580B8D">
      <w:rPr>
        <w:rFonts w:ascii="Times New Roman" w:hAnsi="Times New Roman" w:cs="Times New Roman"/>
        <w:noProof/>
        <w:sz w:val="20"/>
        <w:szCs w:val="18"/>
        <w:lang w:val="en-US"/>
      </w:rPr>
      <w:t xml:space="preserve"> Valsts valodas centrs, 20</w:t>
    </w:r>
    <w:bookmarkEnd w:id="42"/>
    <w:bookmarkEnd w:id="43"/>
    <w:bookmarkEnd w:id="44"/>
    <w:r w:rsidRPr="00580B8D">
      <w:rPr>
        <w:rFonts w:ascii="Times New Roman" w:hAnsi="Times New Roman" w:cs="Times New Roman"/>
        <w:noProof/>
        <w:sz w:val="20"/>
        <w:szCs w:val="18"/>
        <w:lang w:val="en-US"/>
      </w:rPr>
      <w:t>2</w:t>
    </w:r>
    <w:bookmarkEnd w:id="45"/>
    <w:bookmarkEnd w:id="46"/>
    <w:r w:rsidRPr="00580B8D">
      <w:rPr>
        <w:rFonts w:ascii="Times New Roman" w:hAnsi="Times New Roman" w:cs="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44E4" w14:textId="77777777" w:rsidR="00BB771C" w:rsidRPr="00605273" w:rsidRDefault="00BB771C">
      <w:pPr>
        <w:rPr>
          <w:noProof/>
        </w:rPr>
      </w:pPr>
      <w:r w:rsidRPr="00605273">
        <w:rPr>
          <w:noProof/>
        </w:rPr>
        <w:separator/>
      </w:r>
    </w:p>
  </w:footnote>
  <w:footnote w:type="continuationSeparator" w:id="0">
    <w:p w14:paraId="7F48C946" w14:textId="77777777" w:rsidR="00BB771C" w:rsidRPr="00605273" w:rsidRDefault="00BB771C">
      <w:pPr>
        <w:rPr>
          <w:noProof/>
        </w:rPr>
      </w:pPr>
      <w:r w:rsidRPr="00605273">
        <w:rPr>
          <w:noProof/>
        </w:rPr>
        <w:continuationSeparator/>
      </w:r>
    </w:p>
  </w:footnote>
  <w:footnote w:id="1">
    <w:p w14:paraId="72551A27" w14:textId="77777777" w:rsidR="00605273" w:rsidRPr="00605273" w:rsidRDefault="00605273" w:rsidP="00605273">
      <w:pPr>
        <w:pStyle w:val="FootnoteText"/>
        <w:rPr>
          <w:rFonts w:ascii="Times New Roman" w:hAnsi="Times New Roman" w:cs="Times New Roman"/>
          <w:noProof/>
        </w:rPr>
      </w:pPr>
      <w:r>
        <w:rPr>
          <w:rStyle w:val="FootnoteReference"/>
          <w:rFonts w:ascii="Times New Roman" w:hAnsi="Times New Roman" w:cs="Times New Roman"/>
          <w:noProof/>
        </w:rPr>
        <w:footnoteRef/>
      </w:r>
      <w:r>
        <w:rPr>
          <w:rFonts w:ascii="Times New Roman" w:hAnsi="Times New Roman"/>
        </w:rPr>
        <w:t xml:space="preserve"> ISO/IEC 17011:2017, 7.8.3. punkta c) 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4124" w14:textId="77777777" w:rsidR="000D6EC2" w:rsidRPr="00580B8D" w:rsidRDefault="000D6EC2" w:rsidP="000D6EC2">
    <w:pPr>
      <w:pStyle w:val="Header"/>
      <w:rPr>
        <w:rStyle w:val="PageNumber"/>
        <w:rFonts w:ascii="Times New Roman" w:hAnsi="Times New Roman" w:cs="Times New Roman"/>
        <w:noProof/>
        <w:lang w:val="en-US"/>
      </w:rPr>
    </w:pPr>
    <w:bookmarkStart w:id="24" w:name="_Hlk496261784"/>
    <w:bookmarkStart w:id="25" w:name="_Hlk496261785"/>
    <w:bookmarkStart w:id="26" w:name="_Hlk496261786"/>
    <w:bookmarkStart w:id="27" w:name="_Hlk502757728"/>
    <w:bookmarkStart w:id="28" w:name="_Hlk502757729"/>
    <w:bookmarkStart w:id="29" w:name="_Hlk502757738"/>
    <w:bookmarkStart w:id="30" w:name="_Hlk502757739"/>
    <w:bookmarkStart w:id="31" w:name="_Hlk30491084"/>
    <w:bookmarkStart w:id="32" w:name="_Hlk30491085"/>
    <w:bookmarkStart w:id="33" w:name="_Hlk63344778"/>
    <w:bookmarkStart w:id="34" w:name="_Hlk63344779"/>
    <w:bookmarkStart w:id="35" w:name="_Hlk63344780"/>
    <w:bookmarkStart w:id="36" w:name="_Hlk63344781"/>
  </w:p>
  <w:p w14:paraId="4972D4A6" w14:textId="77777777" w:rsidR="000D6EC2" w:rsidRPr="00580B8D" w:rsidRDefault="000D6EC2" w:rsidP="000D6EC2">
    <w:pPr>
      <w:pStyle w:val="Header"/>
      <w:tabs>
        <w:tab w:val="clear" w:pos="4513"/>
        <w:tab w:val="clear" w:pos="9026"/>
        <w:tab w:val="right" w:leader="underscore" w:pos="9072"/>
      </w:tabs>
      <w:rPr>
        <w:rFonts w:ascii="Times New Roman" w:hAnsi="Times New Roman" w:cs="Times New Roman"/>
        <w:noProof/>
        <w:lang w:val="en-US"/>
      </w:rPr>
    </w:pPr>
    <w:r w:rsidRPr="00580B8D">
      <w:rPr>
        <w:rFonts w:ascii="Times New Roman" w:hAnsi="Times New Roman" w:cs="Times New Roman"/>
        <w:noProof/>
        <w:lang w:val="en-US"/>
      </w:rPr>
      <w:tab/>
    </w:r>
  </w:p>
  <w:bookmarkEnd w:id="24"/>
  <w:bookmarkEnd w:id="25"/>
  <w:bookmarkEnd w:id="26"/>
  <w:bookmarkEnd w:id="27"/>
  <w:bookmarkEnd w:id="28"/>
  <w:bookmarkEnd w:id="29"/>
  <w:bookmarkEnd w:id="30"/>
  <w:bookmarkEnd w:id="31"/>
  <w:bookmarkEnd w:id="32"/>
  <w:bookmarkEnd w:id="33"/>
  <w:bookmarkEnd w:id="34"/>
  <w:bookmarkEnd w:id="35"/>
  <w:bookmarkEnd w:id="36"/>
  <w:p w14:paraId="5554C496" w14:textId="77777777" w:rsidR="000D6EC2" w:rsidRPr="00580B8D" w:rsidRDefault="000D6EC2" w:rsidP="000D6EC2">
    <w:pPr>
      <w:pStyle w:val="Header"/>
      <w:tabs>
        <w:tab w:val="clear" w:pos="4513"/>
        <w:tab w:val="clear" w:pos="9026"/>
        <w:tab w:val="left" w:pos="2133"/>
      </w:tabs>
      <w:rPr>
        <w:rFonts w:ascii="Times New Roman" w:hAnsi="Times New Roman" w:cs="Times New Roman"/>
        <w:noProof/>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DF48" w14:textId="77777777" w:rsidR="008715A6" w:rsidRPr="00580B8D" w:rsidRDefault="008715A6" w:rsidP="008715A6">
    <w:pPr>
      <w:pBdr>
        <w:bottom w:val="single" w:sz="12" w:space="5" w:color="auto"/>
      </w:pBdr>
      <w:rPr>
        <w:rFonts w:ascii="Times New Roman" w:hAnsi="Times New Roman" w:cs="Times New Roman"/>
        <w:noProof/>
        <w:sz w:val="20"/>
        <w:szCs w:val="20"/>
        <w:lang w:val="en-US"/>
      </w:rPr>
    </w:pPr>
    <w:bookmarkStart w:id="37" w:name="_Hlk496261745"/>
    <w:bookmarkStart w:id="38" w:name="_Hlk496261746"/>
    <w:bookmarkStart w:id="39" w:name="_Hlk496261747"/>
    <w:bookmarkStart w:id="40" w:name="_Hlk30491063"/>
    <w:bookmarkStart w:id="41" w:name="_Hlk30491064"/>
  </w:p>
  <w:bookmarkEnd w:id="37"/>
  <w:bookmarkEnd w:id="38"/>
  <w:bookmarkEnd w:id="39"/>
  <w:bookmarkEnd w:id="40"/>
  <w:bookmarkEnd w:id="41"/>
  <w:p w14:paraId="57D69E0F" w14:textId="77777777" w:rsidR="00605273" w:rsidRDefault="0060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9C3"/>
    <w:multiLevelType w:val="hybridMultilevel"/>
    <w:tmpl w:val="807A50D8"/>
    <w:lvl w:ilvl="0" w:tplc="C5C6DBC4">
      <w:start w:val="1"/>
      <w:numFmt w:val="decimal"/>
      <w:lvlText w:val="%1."/>
      <w:lvlJc w:val="left"/>
      <w:pPr>
        <w:ind w:left="968" w:hanging="852"/>
      </w:pPr>
      <w:rPr>
        <w:rFonts w:ascii="Arial" w:eastAsia="Arial" w:hAnsi="Arial" w:hint="default"/>
        <w:b/>
        <w:bCs/>
        <w:i/>
        <w:sz w:val="24"/>
        <w:szCs w:val="24"/>
      </w:rPr>
    </w:lvl>
    <w:lvl w:ilvl="1" w:tplc="7CA69048">
      <w:start w:val="1"/>
      <w:numFmt w:val="lowerRoman"/>
      <w:lvlText w:val="(%2)"/>
      <w:lvlJc w:val="left"/>
      <w:pPr>
        <w:ind w:left="968" w:hanging="425"/>
      </w:pPr>
      <w:rPr>
        <w:rFonts w:ascii="Arial" w:eastAsia="Arial" w:hAnsi="Arial" w:hint="default"/>
        <w:sz w:val="22"/>
        <w:szCs w:val="22"/>
      </w:rPr>
    </w:lvl>
    <w:lvl w:ilvl="2" w:tplc="86DADAFA">
      <w:start w:val="1"/>
      <w:numFmt w:val="bullet"/>
      <w:lvlText w:val="•"/>
      <w:lvlJc w:val="left"/>
      <w:pPr>
        <w:ind w:left="2636" w:hanging="425"/>
      </w:pPr>
      <w:rPr>
        <w:rFonts w:hint="default"/>
      </w:rPr>
    </w:lvl>
    <w:lvl w:ilvl="3" w:tplc="4120C040">
      <w:start w:val="1"/>
      <w:numFmt w:val="bullet"/>
      <w:lvlText w:val="•"/>
      <w:lvlJc w:val="left"/>
      <w:pPr>
        <w:ind w:left="3469" w:hanging="425"/>
      </w:pPr>
      <w:rPr>
        <w:rFonts w:hint="default"/>
      </w:rPr>
    </w:lvl>
    <w:lvl w:ilvl="4" w:tplc="FE50DEDE">
      <w:start w:val="1"/>
      <w:numFmt w:val="bullet"/>
      <w:lvlText w:val="•"/>
      <w:lvlJc w:val="left"/>
      <w:pPr>
        <w:ind w:left="4303" w:hanging="425"/>
      </w:pPr>
      <w:rPr>
        <w:rFonts w:hint="default"/>
      </w:rPr>
    </w:lvl>
    <w:lvl w:ilvl="5" w:tplc="833AAF54">
      <w:start w:val="1"/>
      <w:numFmt w:val="bullet"/>
      <w:lvlText w:val="•"/>
      <w:lvlJc w:val="left"/>
      <w:pPr>
        <w:ind w:left="5137" w:hanging="425"/>
      </w:pPr>
      <w:rPr>
        <w:rFonts w:hint="default"/>
      </w:rPr>
    </w:lvl>
    <w:lvl w:ilvl="6" w:tplc="B2F4BF6A">
      <w:start w:val="1"/>
      <w:numFmt w:val="bullet"/>
      <w:lvlText w:val="•"/>
      <w:lvlJc w:val="left"/>
      <w:pPr>
        <w:ind w:left="5971" w:hanging="425"/>
      </w:pPr>
      <w:rPr>
        <w:rFonts w:hint="default"/>
      </w:rPr>
    </w:lvl>
    <w:lvl w:ilvl="7" w:tplc="F0AC8926">
      <w:start w:val="1"/>
      <w:numFmt w:val="bullet"/>
      <w:lvlText w:val="•"/>
      <w:lvlJc w:val="left"/>
      <w:pPr>
        <w:ind w:left="6805" w:hanging="425"/>
      </w:pPr>
      <w:rPr>
        <w:rFonts w:hint="default"/>
      </w:rPr>
    </w:lvl>
    <w:lvl w:ilvl="8" w:tplc="ED7AFC88">
      <w:start w:val="1"/>
      <w:numFmt w:val="bullet"/>
      <w:lvlText w:val="•"/>
      <w:lvlJc w:val="left"/>
      <w:pPr>
        <w:ind w:left="7638" w:hanging="425"/>
      </w:pPr>
      <w:rPr>
        <w:rFonts w:hint="default"/>
      </w:rPr>
    </w:lvl>
  </w:abstractNum>
  <w:abstractNum w:abstractNumId="1" w15:restartNumberingAfterBreak="0">
    <w:nsid w:val="161315A9"/>
    <w:multiLevelType w:val="hybridMultilevel"/>
    <w:tmpl w:val="24F63334"/>
    <w:lvl w:ilvl="0" w:tplc="875EC64E">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EB7299"/>
    <w:multiLevelType w:val="hybridMultilevel"/>
    <w:tmpl w:val="45227CE2"/>
    <w:lvl w:ilvl="0" w:tplc="6450C12E">
      <w:start w:val="1"/>
      <w:numFmt w:val="decimal"/>
      <w:lvlText w:val="(%1)"/>
      <w:lvlJc w:val="left"/>
      <w:pPr>
        <w:ind w:left="543" w:hanging="428"/>
      </w:pPr>
      <w:rPr>
        <w:rFonts w:ascii="Arial" w:eastAsia="Arial" w:hAnsi="Arial" w:hint="default"/>
        <w:sz w:val="22"/>
        <w:szCs w:val="22"/>
      </w:rPr>
    </w:lvl>
    <w:lvl w:ilvl="1" w:tplc="944A8738">
      <w:start w:val="1"/>
      <w:numFmt w:val="bullet"/>
      <w:lvlText w:val="▪"/>
      <w:lvlJc w:val="left"/>
      <w:pPr>
        <w:ind w:left="1249" w:hanging="281"/>
      </w:pPr>
      <w:rPr>
        <w:rFonts w:ascii="Microsoft Sans Serif" w:eastAsia="Microsoft Sans Serif" w:hAnsi="Microsoft Sans Serif" w:hint="default"/>
        <w:w w:val="129"/>
        <w:sz w:val="22"/>
        <w:szCs w:val="22"/>
      </w:rPr>
    </w:lvl>
    <w:lvl w:ilvl="2" w:tplc="03286202">
      <w:start w:val="1"/>
      <w:numFmt w:val="bullet"/>
      <w:lvlText w:val="•"/>
      <w:lvlJc w:val="left"/>
      <w:pPr>
        <w:ind w:left="2144" w:hanging="281"/>
      </w:pPr>
      <w:rPr>
        <w:rFonts w:hint="default"/>
      </w:rPr>
    </w:lvl>
    <w:lvl w:ilvl="3" w:tplc="3D1A622C">
      <w:start w:val="1"/>
      <w:numFmt w:val="bullet"/>
      <w:lvlText w:val="•"/>
      <w:lvlJc w:val="left"/>
      <w:pPr>
        <w:ind w:left="3039" w:hanging="281"/>
      </w:pPr>
      <w:rPr>
        <w:rFonts w:hint="default"/>
      </w:rPr>
    </w:lvl>
    <w:lvl w:ilvl="4" w:tplc="CA408EB0">
      <w:start w:val="1"/>
      <w:numFmt w:val="bullet"/>
      <w:lvlText w:val="•"/>
      <w:lvlJc w:val="left"/>
      <w:pPr>
        <w:ind w:left="3934" w:hanging="281"/>
      </w:pPr>
      <w:rPr>
        <w:rFonts w:hint="default"/>
      </w:rPr>
    </w:lvl>
    <w:lvl w:ilvl="5" w:tplc="A0FE9DE4">
      <w:start w:val="1"/>
      <w:numFmt w:val="bullet"/>
      <w:lvlText w:val="•"/>
      <w:lvlJc w:val="left"/>
      <w:pPr>
        <w:ind w:left="4830" w:hanging="281"/>
      </w:pPr>
      <w:rPr>
        <w:rFonts w:hint="default"/>
      </w:rPr>
    </w:lvl>
    <w:lvl w:ilvl="6" w:tplc="BD7A659C">
      <w:start w:val="1"/>
      <w:numFmt w:val="bullet"/>
      <w:lvlText w:val="•"/>
      <w:lvlJc w:val="left"/>
      <w:pPr>
        <w:ind w:left="5725" w:hanging="281"/>
      </w:pPr>
      <w:rPr>
        <w:rFonts w:hint="default"/>
      </w:rPr>
    </w:lvl>
    <w:lvl w:ilvl="7" w:tplc="97F03924">
      <w:start w:val="1"/>
      <w:numFmt w:val="bullet"/>
      <w:lvlText w:val="•"/>
      <w:lvlJc w:val="left"/>
      <w:pPr>
        <w:ind w:left="6620" w:hanging="281"/>
      </w:pPr>
      <w:rPr>
        <w:rFonts w:hint="default"/>
      </w:rPr>
    </w:lvl>
    <w:lvl w:ilvl="8" w:tplc="72C680A6">
      <w:start w:val="1"/>
      <w:numFmt w:val="bullet"/>
      <w:lvlText w:val="•"/>
      <w:lvlJc w:val="left"/>
      <w:pPr>
        <w:ind w:left="7515" w:hanging="281"/>
      </w:pPr>
      <w:rPr>
        <w:rFonts w:hint="default"/>
      </w:rPr>
    </w:lvl>
  </w:abstractNum>
  <w:abstractNum w:abstractNumId="3" w15:restartNumberingAfterBreak="0">
    <w:nsid w:val="24797274"/>
    <w:multiLevelType w:val="hybridMultilevel"/>
    <w:tmpl w:val="3D262F88"/>
    <w:lvl w:ilvl="0" w:tplc="DB643D0E">
      <w:start w:val="1"/>
      <w:numFmt w:val="decimal"/>
      <w:lvlText w:val="%1"/>
      <w:lvlJc w:val="left"/>
      <w:pPr>
        <w:ind w:left="399" w:hanging="284"/>
      </w:pPr>
      <w:rPr>
        <w:rFonts w:ascii="Arial" w:eastAsia="Arial" w:hAnsi="Arial" w:hint="default"/>
        <w:sz w:val="22"/>
        <w:szCs w:val="22"/>
      </w:rPr>
    </w:lvl>
    <w:lvl w:ilvl="1" w:tplc="BD8A0C0E">
      <w:start w:val="1"/>
      <w:numFmt w:val="bullet"/>
      <w:lvlText w:val="•"/>
      <w:lvlJc w:val="left"/>
      <w:pPr>
        <w:ind w:left="399" w:hanging="284"/>
      </w:pPr>
      <w:rPr>
        <w:rFonts w:hint="default"/>
      </w:rPr>
    </w:lvl>
    <w:lvl w:ilvl="2" w:tplc="C60061AE">
      <w:start w:val="1"/>
      <w:numFmt w:val="bullet"/>
      <w:lvlText w:val="•"/>
      <w:lvlJc w:val="left"/>
      <w:pPr>
        <w:ind w:left="1389" w:hanging="284"/>
      </w:pPr>
      <w:rPr>
        <w:rFonts w:hint="default"/>
      </w:rPr>
    </w:lvl>
    <w:lvl w:ilvl="3" w:tplc="B53C38F6">
      <w:start w:val="1"/>
      <w:numFmt w:val="bullet"/>
      <w:lvlText w:val="•"/>
      <w:lvlJc w:val="left"/>
      <w:pPr>
        <w:ind w:left="2378" w:hanging="284"/>
      </w:pPr>
      <w:rPr>
        <w:rFonts w:hint="default"/>
      </w:rPr>
    </w:lvl>
    <w:lvl w:ilvl="4" w:tplc="921E1EAE">
      <w:start w:val="1"/>
      <w:numFmt w:val="bullet"/>
      <w:lvlText w:val="•"/>
      <w:lvlJc w:val="left"/>
      <w:pPr>
        <w:ind w:left="3368" w:hanging="284"/>
      </w:pPr>
      <w:rPr>
        <w:rFonts w:hint="default"/>
      </w:rPr>
    </w:lvl>
    <w:lvl w:ilvl="5" w:tplc="52BA1392">
      <w:start w:val="1"/>
      <w:numFmt w:val="bullet"/>
      <w:lvlText w:val="•"/>
      <w:lvlJc w:val="left"/>
      <w:pPr>
        <w:ind w:left="4358" w:hanging="284"/>
      </w:pPr>
      <w:rPr>
        <w:rFonts w:hint="default"/>
      </w:rPr>
    </w:lvl>
    <w:lvl w:ilvl="6" w:tplc="38568F66">
      <w:start w:val="1"/>
      <w:numFmt w:val="bullet"/>
      <w:lvlText w:val="•"/>
      <w:lvlJc w:val="left"/>
      <w:pPr>
        <w:ind w:left="5347" w:hanging="284"/>
      </w:pPr>
      <w:rPr>
        <w:rFonts w:hint="default"/>
      </w:rPr>
    </w:lvl>
    <w:lvl w:ilvl="7" w:tplc="BEAECB00">
      <w:start w:val="1"/>
      <w:numFmt w:val="bullet"/>
      <w:lvlText w:val="•"/>
      <w:lvlJc w:val="left"/>
      <w:pPr>
        <w:ind w:left="6337" w:hanging="284"/>
      </w:pPr>
      <w:rPr>
        <w:rFonts w:hint="default"/>
      </w:rPr>
    </w:lvl>
    <w:lvl w:ilvl="8" w:tplc="64D22A0A">
      <w:start w:val="1"/>
      <w:numFmt w:val="bullet"/>
      <w:lvlText w:val="•"/>
      <w:lvlJc w:val="left"/>
      <w:pPr>
        <w:ind w:left="7327" w:hanging="284"/>
      </w:pPr>
      <w:rPr>
        <w:rFonts w:hint="default"/>
      </w:rPr>
    </w:lvl>
  </w:abstractNum>
  <w:abstractNum w:abstractNumId="4" w15:restartNumberingAfterBreak="0">
    <w:nsid w:val="2B854563"/>
    <w:multiLevelType w:val="hybridMultilevel"/>
    <w:tmpl w:val="37284626"/>
    <w:lvl w:ilvl="0" w:tplc="A7D41576">
      <w:start w:val="1"/>
      <w:numFmt w:val="decimal"/>
      <w:lvlText w:val="%1."/>
      <w:lvlJc w:val="left"/>
      <w:pPr>
        <w:ind w:left="1116" w:hanging="960"/>
      </w:pPr>
      <w:rPr>
        <w:rFonts w:ascii="Arial" w:eastAsia="Arial" w:hAnsi="Arial" w:hint="default"/>
        <w:b/>
        <w:bCs/>
        <w:i/>
        <w:spacing w:val="-1"/>
        <w:sz w:val="22"/>
        <w:szCs w:val="22"/>
      </w:rPr>
    </w:lvl>
    <w:lvl w:ilvl="1" w:tplc="CE8E947C">
      <w:start w:val="1"/>
      <w:numFmt w:val="bullet"/>
      <w:lvlText w:val="•"/>
      <w:lvlJc w:val="left"/>
      <w:pPr>
        <w:ind w:left="1943" w:hanging="960"/>
      </w:pPr>
      <w:rPr>
        <w:rFonts w:hint="default"/>
      </w:rPr>
    </w:lvl>
    <w:lvl w:ilvl="2" w:tplc="F3769B48">
      <w:start w:val="1"/>
      <w:numFmt w:val="bullet"/>
      <w:lvlText w:val="•"/>
      <w:lvlJc w:val="left"/>
      <w:pPr>
        <w:ind w:left="2770" w:hanging="960"/>
      </w:pPr>
      <w:rPr>
        <w:rFonts w:hint="default"/>
      </w:rPr>
    </w:lvl>
    <w:lvl w:ilvl="3" w:tplc="BECAEACC">
      <w:start w:val="1"/>
      <w:numFmt w:val="bullet"/>
      <w:lvlText w:val="•"/>
      <w:lvlJc w:val="left"/>
      <w:pPr>
        <w:ind w:left="3597" w:hanging="960"/>
      </w:pPr>
      <w:rPr>
        <w:rFonts w:hint="default"/>
      </w:rPr>
    </w:lvl>
    <w:lvl w:ilvl="4" w:tplc="4B72BD6E">
      <w:start w:val="1"/>
      <w:numFmt w:val="bullet"/>
      <w:lvlText w:val="•"/>
      <w:lvlJc w:val="left"/>
      <w:pPr>
        <w:ind w:left="4424" w:hanging="960"/>
      </w:pPr>
      <w:rPr>
        <w:rFonts w:hint="default"/>
      </w:rPr>
    </w:lvl>
    <w:lvl w:ilvl="5" w:tplc="D2361414">
      <w:start w:val="1"/>
      <w:numFmt w:val="bullet"/>
      <w:lvlText w:val="•"/>
      <w:lvlJc w:val="left"/>
      <w:pPr>
        <w:ind w:left="5251" w:hanging="960"/>
      </w:pPr>
      <w:rPr>
        <w:rFonts w:hint="default"/>
      </w:rPr>
    </w:lvl>
    <w:lvl w:ilvl="6" w:tplc="8F486484">
      <w:start w:val="1"/>
      <w:numFmt w:val="bullet"/>
      <w:lvlText w:val="•"/>
      <w:lvlJc w:val="left"/>
      <w:pPr>
        <w:ind w:left="6078" w:hanging="960"/>
      </w:pPr>
      <w:rPr>
        <w:rFonts w:hint="default"/>
      </w:rPr>
    </w:lvl>
    <w:lvl w:ilvl="7" w:tplc="A08A7E74">
      <w:start w:val="1"/>
      <w:numFmt w:val="bullet"/>
      <w:lvlText w:val="•"/>
      <w:lvlJc w:val="left"/>
      <w:pPr>
        <w:ind w:left="6905" w:hanging="960"/>
      </w:pPr>
      <w:rPr>
        <w:rFonts w:hint="default"/>
      </w:rPr>
    </w:lvl>
    <w:lvl w:ilvl="8" w:tplc="8F4CEF8E">
      <w:start w:val="1"/>
      <w:numFmt w:val="bullet"/>
      <w:lvlText w:val="•"/>
      <w:lvlJc w:val="left"/>
      <w:pPr>
        <w:ind w:left="7732" w:hanging="960"/>
      </w:pPr>
      <w:rPr>
        <w:rFonts w:hint="default"/>
      </w:rPr>
    </w:lvl>
  </w:abstractNum>
  <w:abstractNum w:abstractNumId="5" w15:restartNumberingAfterBreak="0">
    <w:nsid w:val="4BC46E26"/>
    <w:multiLevelType w:val="hybridMultilevel"/>
    <w:tmpl w:val="D4F66DF6"/>
    <w:lvl w:ilvl="0" w:tplc="E98C3572">
      <w:start w:val="1"/>
      <w:numFmt w:val="lowerLetter"/>
      <w:lvlText w:val="%1)"/>
      <w:lvlJc w:val="left"/>
      <w:pPr>
        <w:ind w:left="824" w:hanging="708"/>
      </w:pPr>
      <w:rPr>
        <w:rFonts w:ascii="Arial" w:eastAsia="Arial" w:hAnsi="Arial" w:hint="default"/>
        <w:spacing w:val="-1"/>
        <w:sz w:val="22"/>
        <w:szCs w:val="22"/>
      </w:rPr>
    </w:lvl>
    <w:lvl w:ilvl="1" w:tplc="C6B23F34">
      <w:start w:val="1"/>
      <w:numFmt w:val="bullet"/>
      <w:lvlText w:val="•"/>
      <w:lvlJc w:val="left"/>
      <w:pPr>
        <w:ind w:left="1672" w:hanging="708"/>
      </w:pPr>
      <w:rPr>
        <w:rFonts w:hint="default"/>
      </w:rPr>
    </w:lvl>
    <w:lvl w:ilvl="2" w:tplc="0204BADA">
      <w:start w:val="1"/>
      <w:numFmt w:val="bullet"/>
      <w:lvlText w:val="•"/>
      <w:lvlJc w:val="left"/>
      <w:pPr>
        <w:ind w:left="2520" w:hanging="708"/>
      </w:pPr>
      <w:rPr>
        <w:rFonts w:hint="default"/>
      </w:rPr>
    </w:lvl>
    <w:lvl w:ilvl="3" w:tplc="C04EF13C">
      <w:start w:val="1"/>
      <w:numFmt w:val="bullet"/>
      <w:lvlText w:val="•"/>
      <w:lvlJc w:val="left"/>
      <w:pPr>
        <w:ind w:left="3369" w:hanging="708"/>
      </w:pPr>
      <w:rPr>
        <w:rFonts w:hint="default"/>
      </w:rPr>
    </w:lvl>
    <w:lvl w:ilvl="4" w:tplc="147419EC">
      <w:start w:val="1"/>
      <w:numFmt w:val="bullet"/>
      <w:lvlText w:val="•"/>
      <w:lvlJc w:val="left"/>
      <w:pPr>
        <w:ind w:left="4217" w:hanging="708"/>
      </w:pPr>
      <w:rPr>
        <w:rFonts w:hint="default"/>
      </w:rPr>
    </w:lvl>
    <w:lvl w:ilvl="5" w:tplc="FBB61F7A">
      <w:start w:val="1"/>
      <w:numFmt w:val="bullet"/>
      <w:lvlText w:val="•"/>
      <w:lvlJc w:val="left"/>
      <w:pPr>
        <w:ind w:left="5065" w:hanging="708"/>
      </w:pPr>
      <w:rPr>
        <w:rFonts w:hint="default"/>
      </w:rPr>
    </w:lvl>
    <w:lvl w:ilvl="6" w:tplc="FC0CDBC8">
      <w:start w:val="1"/>
      <w:numFmt w:val="bullet"/>
      <w:lvlText w:val="•"/>
      <w:lvlJc w:val="left"/>
      <w:pPr>
        <w:ind w:left="5913" w:hanging="708"/>
      </w:pPr>
      <w:rPr>
        <w:rFonts w:hint="default"/>
      </w:rPr>
    </w:lvl>
    <w:lvl w:ilvl="7" w:tplc="445CEFAE">
      <w:start w:val="1"/>
      <w:numFmt w:val="bullet"/>
      <w:lvlText w:val="•"/>
      <w:lvlJc w:val="left"/>
      <w:pPr>
        <w:ind w:left="6761" w:hanging="708"/>
      </w:pPr>
      <w:rPr>
        <w:rFonts w:hint="default"/>
      </w:rPr>
    </w:lvl>
    <w:lvl w:ilvl="8" w:tplc="9606D0D0">
      <w:start w:val="1"/>
      <w:numFmt w:val="bullet"/>
      <w:lvlText w:val="•"/>
      <w:lvlJc w:val="left"/>
      <w:pPr>
        <w:ind w:left="7610" w:hanging="708"/>
      </w:pPr>
      <w:rPr>
        <w:rFonts w:hint="default"/>
      </w:rPr>
    </w:lvl>
  </w:abstractNum>
  <w:abstractNum w:abstractNumId="6" w15:restartNumberingAfterBreak="0">
    <w:nsid w:val="68FC50DF"/>
    <w:multiLevelType w:val="hybridMultilevel"/>
    <w:tmpl w:val="0A3C1BA2"/>
    <w:lvl w:ilvl="0" w:tplc="35C895B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E02305"/>
    <w:multiLevelType w:val="hybridMultilevel"/>
    <w:tmpl w:val="79CAD9CC"/>
    <w:lvl w:ilvl="0" w:tplc="E2A8040E">
      <w:start w:val="1"/>
      <w:numFmt w:val="bullet"/>
      <w:lvlText w:val="▪"/>
      <w:lvlJc w:val="left"/>
      <w:pPr>
        <w:ind w:left="474" w:hanging="360"/>
      </w:pPr>
      <w:rPr>
        <w:rFonts w:ascii="Microsoft Sans Serif" w:eastAsia="Microsoft Sans Serif" w:hAnsi="Microsoft Sans Serif" w:hint="default"/>
        <w:w w:val="129"/>
        <w:sz w:val="22"/>
        <w:szCs w:val="22"/>
      </w:rPr>
    </w:lvl>
    <w:lvl w:ilvl="1" w:tplc="E6225A1A">
      <w:start w:val="1"/>
      <w:numFmt w:val="bullet"/>
      <w:lvlText w:val="▪"/>
      <w:lvlJc w:val="left"/>
      <w:pPr>
        <w:ind w:left="593" w:hanging="377"/>
      </w:pPr>
      <w:rPr>
        <w:rFonts w:ascii="Microsoft Sans Serif" w:eastAsia="Microsoft Sans Serif" w:hAnsi="Microsoft Sans Serif" w:hint="default"/>
        <w:w w:val="129"/>
        <w:sz w:val="22"/>
        <w:szCs w:val="22"/>
      </w:rPr>
    </w:lvl>
    <w:lvl w:ilvl="2" w:tplc="0020157C">
      <w:start w:val="1"/>
      <w:numFmt w:val="bullet"/>
      <w:lvlText w:val="•"/>
      <w:lvlJc w:val="left"/>
      <w:pPr>
        <w:ind w:left="593" w:hanging="377"/>
      </w:pPr>
      <w:rPr>
        <w:rFonts w:hint="default"/>
      </w:rPr>
    </w:lvl>
    <w:lvl w:ilvl="3" w:tplc="983CA1E6">
      <w:start w:val="1"/>
      <w:numFmt w:val="bullet"/>
      <w:lvlText w:val="•"/>
      <w:lvlJc w:val="left"/>
      <w:pPr>
        <w:ind w:left="1682" w:hanging="377"/>
      </w:pPr>
      <w:rPr>
        <w:rFonts w:hint="default"/>
      </w:rPr>
    </w:lvl>
    <w:lvl w:ilvl="4" w:tplc="70748622">
      <w:start w:val="1"/>
      <w:numFmt w:val="bullet"/>
      <w:lvlText w:val="•"/>
      <w:lvlJc w:val="left"/>
      <w:pPr>
        <w:ind w:left="2771" w:hanging="377"/>
      </w:pPr>
      <w:rPr>
        <w:rFonts w:hint="default"/>
      </w:rPr>
    </w:lvl>
    <w:lvl w:ilvl="5" w:tplc="26E80784">
      <w:start w:val="1"/>
      <w:numFmt w:val="bullet"/>
      <w:lvlText w:val="•"/>
      <w:lvlJc w:val="left"/>
      <w:pPr>
        <w:ind w:left="3860" w:hanging="377"/>
      </w:pPr>
      <w:rPr>
        <w:rFonts w:hint="default"/>
      </w:rPr>
    </w:lvl>
    <w:lvl w:ilvl="6" w:tplc="9CEEBE3C">
      <w:start w:val="1"/>
      <w:numFmt w:val="bullet"/>
      <w:lvlText w:val="•"/>
      <w:lvlJc w:val="left"/>
      <w:pPr>
        <w:ind w:left="4949" w:hanging="377"/>
      </w:pPr>
      <w:rPr>
        <w:rFonts w:hint="default"/>
      </w:rPr>
    </w:lvl>
    <w:lvl w:ilvl="7" w:tplc="A83C9BFC">
      <w:start w:val="1"/>
      <w:numFmt w:val="bullet"/>
      <w:lvlText w:val="•"/>
      <w:lvlJc w:val="left"/>
      <w:pPr>
        <w:ind w:left="6039" w:hanging="377"/>
      </w:pPr>
      <w:rPr>
        <w:rFonts w:hint="default"/>
      </w:rPr>
    </w:lvl>
    <w:lvl w:ilvl="8" w:tplc="896EBB44">
      <w:start w:val="1"/>
      <w:numFmt w:val="bullet"/>
      <w:lvlText w:val="•"/>
      <w:lvlJc w:val="left"/>
      <w:pPr>
        <w:ind w:left="7128" w:hanging="377"/>
      </w:pPr>
      <w:rPr>
        <w:rFonts w:hint="default"/>
      </w:rPr>
    </w:lvl>
  </w:abstractNum>
  <w:abstractNum w:abstractNumId="8" w15:restartNumberingAfterBreak="0">
    <w:nsid w:val="7F471298"/>
    <w:multiLevelType w:val="hybridMultilevel"/>
    <w:tmpl w:val="0D503938"/>
    <w:lvl w:ilvl="0" w:tplc="65026E34">
      <w:start w:val="1"/>
      <w:numFmt w:val="decimal"/>
      <w:lvlText w:val="%1"/>
      <w:lvlJc w:val="left"/>
      <w:pPr>
        <w:ind w:left="836" w:hanging="348"/>
      </w:pPr>
      <w:rPr>
        <w:rFonts w:ascii="Arial" w:eastAsia="Arial" w:hAnsi="Arial" w:hint="default"/>
        <w:sz w:val="22"/>
        <w:szCs w:val="22"/>
      </w:rPr>
    </w:lvl>
    <w:lvl w:ilvl="1" w:tplc="3490D224">
      <w:start w:val="1"/>
      <w:numFmt w:val="bullet"/>
      <w:lvlText w:val="•"/>
      <w:lvlJc w:val="left"/>
      <w:pPr>
        <w:ind w:left="1683" w:hanging="348"/>
      </w:pPr>
      <w:rPr>
        <w:rFonts w:hint="default"/>
      </w:rPr>
    </w:lvl>
    <w:lvl w:ilvl="2" w:tplc="444EF074">
      <w:start w:val="1"/>
      <w:numFmt w:val="bullet"/>
      <w:lvlText w:val="•"/>
      <w:lvlJc w:val="left"/>
      <w:pPr>
        <w:ind w:left="2530" w:hanging="348"/>
      </w:pPr>
      <w:rPr>
        <w:rFonts w:hint="default"/>
      </w:rPr>
    </w:lvl>
    <w:lvl w:ilvl="3" w:tplc="4B56980A">
      <w:start w:val="1"/>
      <w:numFmt w:val="bullet"/>
      <w:lvlText w:val="•"/>
      <w:lvlJc w:val="left"/>
      <w:pPr>
        <w:ind w:left="3377" w:hanging="348"/>
      </w:pPr>
      <w:rPr>
        <w:rFonts w:hint="default"/>
      </w:rPr>
    </w:lvl>
    <w:lvl w:ilvl="4" w:tplc="5F2EEC22">
      <w:start w:val="1"/>
      <w:numFmt w:val="bullet"/>
      <w:lvlText w:val="•"/>
      <w:lvlJc w:val="left"/>
      <w:pPr>
        <w:ind w:left="4224" w:hanging="348"/>
      </w:pPr>
      <w:rPr>
        <w:rFonts w:hint="default"/>
      </w:rPr>
    </w:lvl>
    <w:lvl w:ilvl="5" w:tplc="6E066086">
      <w:start w:val="1"/>
      <w:numFmt w:val="bullet"/>
      <w:lvlText w:val="•"/>
      <w:lvlJc w:val="left"/>
      <w:pPr>
        <w:ind w:left="5071" w:hanging="348"/>
      </w:pPr>
      <w:rPr>
        <w:rFonts w:hint="default"/>
      </w:rPr>
    </w:lvl>
    <w:lvl w:ilvl="6" w:tplc="4ACE2114">
      <w:start w:val="1"/>
      <w:numFmt w:val="bullet"/>
      <w:lvlText w:val="•"/>
      <w:lvlJc w:val="left"/>
      <w:pPr>
        <w:ind w:left="5918" w:hanging="348"/>
      </w:pPr>
      <w:rPr>
        <w:rFonts w:hint="default"/>
      </w:rPr>
    </w:lvl>
    <w:lvl w:ilvl="7" w:tplc="7A187F38">
      <w:start w:val="1"/>
      <w:numFmt w:val="bullet"/>
      <w:lvlText w:val="•"/>
      <w:lvlJc w:val="left"/>
      <w:pPr>
        <w:ind w:left="6765" w:hanging="348"/>
      </w:pPr>
      <w:rPr>
        <w:rFonts w:hint="default"/>
      </w:rPr>
    </w:lvl>
    <w:lvl w:ilvl="8" w:tplc="0A42F082">
      <w:start w:val="1"/>
      <w:numFmt w:val="bullet"/>
      <w:lvlText w:val="•"/>
      <w:lvlJc w:val="left"/>
      <w:pPr>
        <w:ind w:left="7612" w:hanging="348"/>
      </w:pPr>
      <w:rPr>
        <w:rFonts w:hint="default"/>
      </w:rPr>
    </w:lvl>
  </w:abstractNum>
  <w:num w:numId="1" w16cid:durableId="1025525072">
    <w:abstractNumId w:val="3"/>
  </w:num>
  <w:num w:numId="2" w16cid:durableId="96486154">
    <w:abstractNumId w:val="7"/>
  </w:num>
  <w:num w:numId="3" w16cid:durableId="616061234">
    <w:abstractNumId w:val="8"/>
  </w:num>
  <w:num w:numId="4" w16cid:durableId="769860676">
    <w:abstractNumId w:val="2"/>
  </w:num>
  <w:num w:numId="5" w16cid:durableId="94448622">
    <w:abstractNumId w:val="5"/>
  </w:num>
  <w:num w:numId="6" w16cid:durableId="252400686">
    <w:abstractNumId w:val="0"/>
  </w:num>
  <w:num w:numId="7" w16cid:durableId="2014525182">
    <w:abstractNumId w:val="4"/>
  </w:num>
  <w:num w:numId="8" w16cid:durableId="1433278390">
    <w:abstractNumId w:val="1"/>
  </w:num>
  <w:num w:numId="9" w16cid:durableId="564071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15E39"/>
    <w:rsid w:val="000B604F"/>
    <w:rsid w:val="000D6EC2"/>
    <w:rsid w:val="000F3BFF"/>
    <w:rsid w:val="00115E39"/>
    <w:rsid w:val="001A2EA4"/>
    <w:rsid w:val="001C50FB"/>
    <w:rsid w:val="00254A28"/>
    <w:rsid w:val="002D4266"/>
    <w:rsid w:val="003B1015"/>
    <w:rsid w:val="00412563"/>
    <w:rsid w:val="00427EB3"/>
    <w:rsid w:val="00433204"/>
    <w:rsid w:val="004355DB"/>
    <w:rsid w:val="004B39B0"/>
    <w:rsid w:val="004C30BE"/>
    <w:rsid w:val="00527153"/>
    <w:rsid w:val="00554D74"/>
    <w:rsid w:val="005B624B"/>
    <w:rsid w:val="00605273"/>
    <w:rsid w:val="00631B17"/>
    <w:rsid w:val="006C099E"/>
    <w:rsid w:val="00736944"/>
    <w:rsid w:val="008715A6"/>
    <w:rsid w:val="00940DEE"/>
    <w:rsid w:val="00A66008"/>
    <w:rsid w:val="00B62CB7"/>
    <w:rsid w:val="00BB771C"/>
    <w:rsid w:val="00CC6A4A"/>
    <w:rsid w:val="00D932B8"/>
    <w:rsid w:val="00ED78C0"/>
    <w:rsid w:val="00F058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D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0B604F"/>
    <w:pPr>
      <w:tabs>
        <w:tab w:val="left" w:pos="969"/>
      </w:tabs>
      <w:jc w:val="both"/>
      <w:outlineLvl w:val="0"/>
    </w:pPr>
    <w:rPr>
      <w:rFonts w:ascii="Times New Roman" w:eastAsia="Arial" w:hAnsi="Times New Roman" w:cs="Times New Roman"/>
      <w:b/>
      <w:bCs/>
      <w:i/>
      <w:noProof/>
      <w:sz w:val="24"/>
      <w:szCs w:val="24"/>
    </w:rPr>
  </w:style>
  <w:style w:type="paragraph" w:styleId="Heading2">
    <w:name w:val="heading 2"/>
    <w:basedOn w:val="Normal"/>
    <w:uiPriority w:val="9"/>
    <w:unhideWhenUsed/>
    <w:qFormat/>
    <w:rsid w:val="00A66008"/>
    <w:pPr>
      <w:jc w:val="center"/>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7"/>
      <w:ind w:left="156" w:hanging="960"/>
    </w:pPr>
    <w:rPr>
      <w:rFonts w:ascii="Arial" w:eastAsia="Arial" w:hAnsi="Arial"/>
      <w:b/>
      <w:bCs/>
      <w:i/>
    </w:rPr>
  </w:style>
  <w:style w:type="paragraph" w:styleId="BodyText">
    <w:name w:val="Body Text"/>
    <w:basedOn w:val="Normal"/>
    <w:uiPriority w:val="1"/>
    <w:qFormat/>
    <w:rsid w:val="000B604F"/>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F3BFF"/>
    <w:pPr>
      <w:tabs>
        <w:tab w:val="center" w:pos="4513"/>
        <w:tab w:val="right" w:pos="9026"/>
      </w:tabs>
    </w:pPr>
  </w:style>
  <w:style w:type="character" w:customStyle="1" w:styleId="HeaderChar">
    <w:name w:val="Header Char"/>
    <w:basedOn w:val="DefaultParagraphFont"/>
    <w:link w:val="Header"/>
    <w:uiPriority w:val="99"/>
    <w:rsid w:val="000F3BFF"/>
  </w:style>
  <w:style w:type="paragraph" w:styleId="Footer">
    <w:name w:val="footer"/>
    <w:basedOn w:val="Normal"/>
    <w:link w:val="FooterChar"/>
    <w:unhideWhenUsed/>
    <w:rsid w:val="000F3BFF"/>
    <w:pPr>
      <w:tabs>
        <w:tab w:val="center" w:pos="4513"/>
        <w:tab w:val="right" w:pos="9026"/>
      </w:tabs>
    </w:pPr>
  </w:style>
  <w:style w:type="character" w:customStyle="1" w:styleId="FooterChar">
    <w:name w:val="Footer Char"/>
    <w:basedOn w:val="DefaultParagraphFont"/>
    <w:link w:val="Footer"/>
    <w:uiPriority w:val="99"/>
    <w:rsid w:val="000F3BFF"/>
  </w:style>
  <w:style w:type="table" w:styleId="TableGrid">
    <w:name w:val="Table Grid"/>
    <w:basedOn w:val="TableNormal"/>
    <w:uiPriority w:val="39"/>
    <w:rsid w:val="0025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932B8"/>
    <w:rPr>
      <w:sz w:val="20"/>
      <w:szCs w:val="20"/>
    </w:rPr>
  </w:style>
  <w:style w:type="character" w:customStyle="1" w:styleId="FootnoteTextChar">
    <w:name w:val="Footnote Text Char"/>
    <w:basedOn w:val="DefaultParagraphFont"/>
    <w:link w:val="FootnoteText"/>
    <w:uiPriority w:val="99"/>
    <w:semiHidden/>
    <w:rsid w:val="00D932B8"/>
    <w:rPr>
      <w:sz w:val="20"/>
      <w:szCs w:val="20"/>
    </w:rPr>
  </w:style>
  <w:style w:type="character" w:styleId="FootnoteReference">
    <w:name w:val="footnote reference"/>
    <w:basedOn w:val="DefaultParagraphFont"/>
    <w:uiPriority w:val="99"/>
    <w:semiHidden/>
    <w:unhideWhenUsed/>
    <w:rsid w:val="00D932B8"/>
    <w:rPr>
      <w:vertAlign w:val="superscript"/>
    </w:rPr>
  </w:style>
  <w:style w:type="character" w:styleId="PageNumber">
    <w:name w:val="page number"/>
    <w:basedOn w:val="DefaultParagraphFont"/>
    <w:semiHidden/>
    <w:rsid w:val="00427EB3"/>
  </w:style>
  <w:style w:type="paragraph" w:styleId="TOCHeading">
    <w:name w:val="TOC Heading"/>
    <w:basedOn w:val="Heading1"/>
    <w:next w:val="Normal"/>
    <w:uiPriority w:val="39"/>
    <w:unhideWhenUsed/>
    <w:qFormat/>
    <w:rsid w:val="00A66008"/>
    <w:pPr>
      <w:keepNext/>
      <w:keepLines/>
      <w:widowControl/>
      <w:tabs>
        <w:tab w:val="clear" w:pos="969"/>
      </w:tabs>
      <w:spacing w:before="240" w:line="259" w:lineRule="auto"/>
      <w:jc w:val="left"/>
      <w:outlineLvl w:val="9"/>
    </w:pPr>
    <w:rPr>
      <w:rFonts w:asciiTheme="majorHAnsi" w:eastAsiaTheme="majorEastAsia" w:hAnsiTheme="majorHAnsi" w:cstheme="majorBidi"/>
      <w:b w:val="0"/>
      <w:bCs w:val="0"/>
      <w:i w:val="0"/>
      <w:noProof w:val="0"/>
      <w:color w:val="365F91" w:themeColor="accent1" w:themeShade="BF"/>
      <w:sz w:val="32"/>
      <w:szCs w:val="32"/>
      <w:lang w:val="en-US"/>
    </w:rPr>
  </w:style>
  <w:style w:type="paragraph" w:styleId="TOC2">
    <w:name w:val="toc 2"/>
    <w:basedOn w:val="Normal"/>
    <w:next w:val="Normal"/>
    <w:autoRedefine/>
    <w:uiPriority w:val="39"/>
    <w:unhideWhenUsed/>
    <w:rsid w:val="00A66008"/>
    <w:pPr>
      <w:spacing w:after="100"/>
      <w:ind w:left="220"/>
    </w:pPr>
  </w:style>
  <w:style w:type="character" w:styleId="Hyperlink">
    <w:name w:val="Hyperlink"/>
    <w:basedOn w:val="DefaultParagraphFont"/>
    <w:uiPriority w:val="99"/>
    <w:unhideWhenUsed/>
    <w:rsid w:val="00A66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opean-accredit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5B1F3-B73C-4B10-B7BE-16060DA2FD6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E76D8BA7-35FE-4C59-B8E5-5D9393B58967}">
  <ds:schemaRefs>
    <ds:schemaRef ds:uri="http://schemas.openxmlformats.org/officeDocument/2006/bibliography"/>
  </ds:schemaRefs>
</ds:datastoreItem>
</file>

<file path=customXml/itemProps3.xml><?xml version="1.0" encoding="utf-8"?>
<ds:datastoreItem xmlns:ds="http://schemas.openxmlformats.org/officeDocument/2006/customXml" ds:itemID="{C58BB255-BE90-44F0-93F1-A860F9EC5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BBF84-ADA6-489F-AE6D-6BF32F5A8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27983</Words>
  <Characters>15951</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2022-07-07T10:30:00Z</dcterms:created>
  <dcterms:modified xsi:type="dcterms:W3CDTF">2023-01-04T08:14:00Z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