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5C63" w14:textId="77777777" w:rsidR="008863EF" w:rsidRPr="009606FB" w:rsidRDefault="008863EF" w:rsidP="009606FB">
      <w:pPr>
        <w:pStyle w:val="BodyText"/>
        <w:jc w:val="both"/>
        <w:rPr>
          <w:rFonts w:ascii="Times New Roman" w:hAnsi="Times New Roman"/>
          <w:noProof/>
          <w:sz w:val="24"/>
        </w:rPr>
      </w:pPr>
    </w:p>
    <w:p w14:paraId="1B7C06FA" w14:textId="77777777" w:rsidR="008863EF" w:rsidRPr="009606FB" w:rsidRDefault="008863EF" w:rsidP="009606FB">
      <w:pPr>
        <w:pStyle w:val="BodyText"/>
        <w:jc w:val="both"/>
        <w:rPr>
          <w:rFonts w:ascii="Times New Roman" w:hAnsi="Times New Roman"/>
          <w:noProof/>
          <w:sz w:val="24"/>
        </w:rPr>
      </w:pPr>
    </w:p>
    <w:p w14:paraId="00246377" w14:textId="77777777" w:rsidR="008863EF" w:rsidRPr="009606FB" w:rsidRDefault="008863EF" w:rsidP="009606FB">
      <w:pPr>
        <w:pStyle w:val="BodyText"/>
        <w:jc w:val="both"/>
        <w:rPr>
          <w:rFonts w:ascii="Times New Roman" w:hAnsi="Times New Roman"/>
          <w:noProof/>
          <w:sz w:val="24"/>
        </w:rPr>
      </w:pPr>
    </w:p>
    <w:p w14:paraId="0F087A04" w14:textId="77777777" w:rsidR="008863EF" w:rsidRPr="009606FB" w:rsidRDefault="008863EF" w:rsidP="001A4CBA">
      <w:pPr>
        <w:pStyle w:val="Title"/>
        <w:spacing w:before="0"/>
        <w:ind w:left="0" w:right="0"/>
        <w:rPr>
          <w:rFonts w:ascii="Times New Roman" w:hAnsi="Times New Roman"/>
          <w:noProof/>
          <w:sz w:val="24"/>
        </w:rPr>
      </w:pPr>
      <w:r>
        <w:rPr>
          <w:rFonts w:ascii="Times New Roman" w:hAnsi="Times New Roman"/>
          <w:sz w:val="28"/>
        </w:rPr>
        <w:t>KOMISIJA</w:t>
      </w:r>
    </w:p>
    <w:p w14:paraId="533D9E41" w14:textId="77777777" w:rsidR="008863EF" w:rsidRPr="009606FB" w:rsidRDefault="008863EF" w:rsidP="009606FB">
      <w:pPr>
        <w:pStyle w:val="BodyText"/>
        <w:jc w:val="both"/>
        <w:rPr>
          <w:rFonts w:ascii="Times New Roman" w:hAnsi="Times New Roman"/>
          <w:noProof/>
          <w:sz w:val="24"/>
        </w:rPr>
      </w:pPr>
    </w:p>
    <w:p w14:paraId="7DED11A9" w14:textId="77777777" w:rsidR="008863EF" w:rsidRPr="009606FB" w:rsidRDefault="008863EF" w:rsidP="009606FB">
      <w:pPr>
        <w:pStyle w:val="BodyText"/>
        <w:jc w:val="both"/>
        <w:rPr>
          <w:rFonts w:ascii="Times New Roman" w:hAnsi="Times New Roman"/>
          <w:noProof/>
          <w:sz w:val="24"/>
        </w:rPr>
      </w:pPr>
    </w:p>
    <w:p w14:paraId="3DAACBE8" w14:textId="23D819AC" w:rsidR="008863EF" w:rsidRDefault="008863EF" w:rsidP="001A4CBA">
      <w:pPr>
        <w:pStyle w:val="Heading1"/>
        <w:ind w:left="0" w:right="0"/>
        <w:rPr>
          <w:rFonts w:ascii="Times New Roman" w:hAnsi="Times New Roman"/>
          <w:noProof/>
          <w:sz w:val="24"/>
        </w:rPr>
      </w:pPr>
      <w:r>
        <w:rPr>
          <w:rFonts w:ascii="Times New Roman" w:hAnsi="Times New Roman"/>
          <w:sz w:val="24"/>
        </w:rPr>
        <w:t xml:space="preserve">KOMISIJAS IETEIKUMS (2003. gada 6. maijs) par </w:t>
      </w:r>
      <w:proofErr w:type="spellStart"/>
      <w:r>
        <w:rPr>
          <w:rFonts w:ascii="Times New Roman" w:hAnsi="Times New Roman"/>
          <w:sz w:val="24"/>
        </w:rPr>
        <w:t>mikrouzņēmumu</w:t>
      </w:r>
      <w:proofErr w:type="spellEnd"/>
      <w:r>
        <w:rPr>
          <w:rFonts w:ascii="Times New Roman" w:hAnsi="Times New Roman"/>
          <w:sz w:val="24"/>
        </w:rPr>
        <w:t>, mazo un vidējo uzņēmumu definīciju</w:t>
      </w:r>
    </w:p>
    <w:p w14:paraId="17046F4D" w14:textId="77777777" w:rsidR="00CC731C" w:rsidRPr="00B1022D" w:rsidRDefault="00CC731C" w:rsidP="001A4CBA">
      <w:pPr>
        <w:pStyle w:val="Heading1"/>
        <w:ind w:left="0" w:right="0"/>
        <w:rPr>
          <w:rFonts w:ascii="Times New Roman" w:hAnsi="Times New Roman"/>
          <w:noProof/>
          <w:sz w:val="24"/>
        </w:rPr>
      </w:pPr>
    </w:p>
    <w:p w14:paraId="5C5D5421" w14:textId="77777777" w:rsidR="008863EF" w:rsidRDefault="008863EF" w:rsidP="001A4CBA">
      <w:pPr>
        <w:jc w:val="center"/>
        <w:rPr>
          <w:rFonts w:ascii="Times New Roman" w:hAnsi="Times New Roman"/>
          <w:i/>
          <w:noProof/>
          <w:sz w:val="24"/>
        </w:rPr>
      </w:pPr>
      <w:r>
        <w:rPr>
          <w:rFonts w:ascii="Times New Roman" w:hAnsi="Times New Roman"/>
          <w:i/>
          <w:sz w:val="24"/>
        </w:rPr>
        <w:t>(izziņots ar dokumenta numuru C(2003) 1422)</w:t>
      </w:r>
    </w:p>
    <w:p w14:paraId="36B5CE73" w14:textId="77777777" w:rsidR="00CC731C" w:rsidRPr="009606FB" w:rsidRDefault="00CC731C" w:rsidP="001A4CBA">
      <w:pPr>
        <w:jc w:val="center"/>
        <w:rPr>
          <w:rFonts w:ascii="Times New Roman" w:hAnsi="Times New Roman"/>
          <w:i/>
          <w:noProof/>
          <w:sz w:val="24"/>
        </w:rPr>
      </w:pPr>
    </w:p>
    <w:p w14:paraId="03714F75" w14:textId="77777777" w:rsidR="008863EF" w:rsidRPr="009606FB" w:rsidRDefault="008863EF" w:rsidP="001A4CBA">
      <w:pPr>
        <w:jc w:val="center"/>
        <w:rPr>
          <w:rFonts w:ascii="Times New Roman" w:hAnsi="Times New Roman"/>
          <w:b/>
          <w:noProof/>
          <w:sz w:val="24"/>
        </w:rPr>
      </w:pPr>
      <w:r>
        <w:rPr>
          <w:rFonts w:ascii="Times New Roman" w:hAnsi="Times New Roman"/>
          <w:b/>
          <w:sz w:val="24"/>
        </w:rPr>
        <w:t xml:space="preserve">(Dokuments attiecas uz </w:t>
      </w:r>
      <w:proofErr w:type="spellStart"/>
      <w:r>
        <w:rPr>
          <w:rFonts w:ascii="Times New Roman" w:hAnsi="Times New Roman"/>
          <w:b/>
          <w:sz w:val="24"/>
        </w:rPr>
        <w:t>EEZ</w:t>
      </w:r>
      <w:proofErr w:type="spellEnd"/>
      <w:r>
        <w:rPr>
          <w:rFonts w:ascii="Times New Roman" w:hAnsi="Times New Roman"/>
          <w:b/>
          <w:sz w:val="24"/>
        </w:rPr>
        <w:t>)</w:t>
      </w:r>
    </w:p>
    <w:p w14:paraId="2D01EA56" w14:textId="77777777" w:rsidR="008863EF" w:rsidRPr="009606FB" w:rsidRDefault="008863EF" w:rsidP="009606FB">
      <w:pPr>
        <w:pStyle w:val="BodyText"/>
        <w:jc w:val="both"/>
        <w:rPr>
          <w:rFonts w:ascii="Times New Roman" w:hAnsi="Times New Roman"/>
          <w:b/>
          <w:noProof/>
          <w:sz w:val="24"/>
        </w:rPr>
      </w:pPr>
    </w:p>
    <w:p w14:paraId="3D87ACE0" w14:textId="77777777" w:rsidR="008863EF" w:rsidRPr="009606FB" w:rsidRDefault="008863EF" w:rsidP="00B1022D">
      <w:pPr>
        <w:pStyle w:val="BodyText"/>
        <w:jc w:val="center"/>
        <w:rPr>
          <w:rFonts w:ascii="Times New Roman" w:hAnsi="Times New Roman"/>
          <w:noProof/>
          <w:sz w:val="24"/>
        </w:rPr>
      </w:pPr>
      <w:r>
        <w:rPr>
          <w:rFonts w:ascii="Times New Roman" w:hAnsi="Times New Roman"/>
          <w:sz w:val="24"/>
        </w:rPr>
        <w:t>(2003/361/EK)</w:t>
      </w:r>
    </w:p>
    <w:p w14:paraId="44195867" w14:textId="77777777" w:rsidR="008B20CC" w:rsidRPr="009606FB" w:rsidRDefault="008B20CC" w:rsidP="009606FB">
      <w:pPr>
        <w:jc w:val="both"/>
        <w:rPr>
          <w:rFonts w:ascii="Times New Roman" w:hAnsi="Times New Roman"/>
          <w:noProof/>
          <w:sz w:val="24"/>
        </w:rPr>
      </w:pPr>
    </w:p>
    <w:p w14:paraId="6FFB3DBC" w14:textId="77777777" w:rsidR="008863EF" w:rsidRPr="009606FB" w:rsidRDefault="008863EF" w:rsidP="009606FB">
      <w:pPr>
        <w:jc w:val="both"/>
        <w:rPr>
          <w:rFonts w:ascii="Times New Roman" w:hAnsi="Times New Roman"/>
          <w:noProof/>
          <w:sz w:val="24"/>
        </w:rPr>
      </w:pPr>
      <w:r>
        <w:rPr>
          <w:rFonts w:ascii="Times New Roman" w:hAnsi="Times New Roman"/>
          <w:sz w:val="24"/>
        </w:rPr>
        <w:t>EIROPAS KOPIENU KOMISIJA,</w:t>
      </w:r>
    </w:p>
    <w:p w14:paraId="147C532E" w14:textId="77777777" w:rsidR="008863EF" w:rsidRPr="009606FB" w:rsidRDefault="008863EF" w:rsidP="009606FB">
      <w:pPr>
        <w:pStyle w:val="BodyText"/>
        <w:jc w:val="both"/>
        <w:rPr>
          <w:rFonts w:ascii="Times New Roman" w:hAnsi="Times New Roman"/>
          <w:noProof/>
          <w:sz w:val="24"/>
        </w:rPr>
      </w:pPr>
    </w:p>
    <w:p w14:paraId="008FC52F" w14:textId="77777777" w:rsidR="008863EF" w:rsidRPr="009606FB" w:rsidRDefault="008863EF" w:rsidP="009606FB">
      <w:pPr>
        <w:pStyle w:val="BodyText"/>
        <w:jc w:val="both"/>
        <w:rPr>
          <w:rFonts w:ascii="Times New Roman" w:hAnsi="Times New Roman"/>
          <w:noProof/>
          <w:sz w:val="24"/>
        </w:rPr>
      </w:pPr>
      <w:r>
        <w:rPr>
          <w:rFonts w:ascii="Times New Roman" w:hAnsi="Times New Roman"/>
          <w:sz w:val="24"/>
        </w:rPr>
        <w:t>ņemot vērā Eiropas Kopienas dibināšanas līgumu un jo īpaši tā 211. pantu,</w:t>
      </w:r>
    </w:p>
    <w:p w14:paraId="268C5BC4" w14:textId="77777777" w:rsidR="008863EF" w:rsidRPr="009606FB" w:rsidRDefault="008863EF" w:rsidP="009606FB">
      <w:pPr>
        <w:pStyle w:val="BodyText"/>
        <w:jc w:val="both"/>
        <w:rPr>
          <w:rFonts w:ascii="Times New Roman" w:hAnsi="Times New Roman"/>
          <w:noProof/>
          <w:sz w:val="24"/>
        </w:rPr>
      </w:pPr>
    </w:p>
    <w:p w14:paraId="71A930D0" w14:textId="77777777" w:rsidR="008863EF" w:rsidRPr="009606FB" w:rsidRDefault="008863EF" w:rsidP="009606FB">
      <w:pPr>
        <w:pStyle w:val="BodyText"/>
        <w:jc w:val="both"/>
        <w:rPr>
          <w:rFonts w:ascii="Times New Roman" w:hAnsi="Times New Roman"/>
          <w:noProof/>
          <w:sz w:val="24"/>
        </w:rPr>
      </w:pPr>
      <w:r>
        <w:rPr>
          <w:rFonts w:ascii="Times New Roman" w:hAnsi="Times New Roman"/>
          <w:sz w:val="24"/>
        </w:rPr>
        <w:t>tā kā:</w:t>
      </w:r>
    </w:p>
    <w:p w14:paraId="02C29344" w14:textId="77777777" w:rsidR="008863EF" w:rsidRPr="009606FB" w:rsidRDefault="008863EF" w:rsidP="009606FB">
      <w:pPr>
        <w:pStyle w:val="BodyText"/>
        <w:jc w:val="both"/>
        <w:rPr>
          <w:rFonts w:ascii="Times New Roman" w:hAnsi="Times New Roman"/>
          <w:noProof/>
          <w:sz w:val="24"/>
        </w:rPr>
      </w:pPr>
    </w:p>
    <w:p w14:paraId="7D983E96" w14:textId="7F7F0AC1" w:rsidR="008863EF" w:rsidRPr="003E0CF8" w:rsidRDefault="003E0CF8" w:rsidP="003E0CF8">
      <w:pPr>
        <w:tabs>
          <w:tab w:val="left" w:pos="631"/>
        </w:tabs>
        <w:jc w:val="both"/>
        <w:rPr>
          <w:rFonts w:ascii="Times New Roman" w:hAnsi="Times New Roman"/>
          <w:noProof/>
          <w:sz w:val="24"/>
        </w:rPr>
      </w:pPr>
      <w:r>
        <w:rPr>
          <w:rFonts w:ascii="Times New Roman" w:hAnsi="Times New Roman"/>
          <w:sz w:val="24"/>
        </w:rPr>
        <w:t>1) ziņojumā, ko 1992. gadā Padomei iesniedza pēc 1990. gada 28. maija “Rūpniecības” padomes pieprasījuma, Komisija bija ierosinājusi ierobežot Kopienas līmenī izmantoto definīciju terminam “mazie un vidējie uzņēmumi”. Komisijas 1996. gada 3. aprīļa Ieteikuma 96/280/EK par mazo un vidējo uzņēmumu definīciju (</w:t>
      </w:r>
      <w:r>
        <w:rPr>
          <w:rStyle w:val="FootnoteReference"/>
          <w:rFonts w:ascii="Times New Roman" w:hAnsi="Times New Roman"/>
          <w:noProof/>
          <w:sz w:val="24"/>
        </w:rPr>
        <w:footnoteReference w:id="1"/>
      </w:r>
      <w:r>
        <w:rPr>
          <w:rFonts w:ascii="Times New Roman" w:hAnsi="Times New Roman"/>
          <w:sz w:val="24"/>
        </w:rPr>
        <w:t xml:space="preserve">) pamatā bija apsvērums, ka atšķirīgas definīcijas Kopienas līmenī un valstu līmenī var radīt nekonsekvenci. Ievērojot vienotā tirgus loģiku bez iekšējām robežām, uzņēmumiem piemērotā režīma pamatā jābūt kopīgiem noteikumiem. Vēl jo vairāk šāda pieeja īstenojama, ņemot vērā plašo mijiedarbību starp valstu un Kopienas pasākumiem, kas palīdz </w:t>
      </w:r>
      <w:proofErr w:type="spellStart"/>
      <w:r>
        <w:rPr>
          <w:rFonts w:ascii="Times New Roman" w:hAnsi="Times New Roman"/>
          <w:sz w:val="24"/>
        </w:rPr>
        <w:t>mikrouzņēmumiem</w:t>
      </w:r>
      <w:proofErr w:type="spellEnd"/>
      <w:r>
        <w:rPr>
          <w:rFonts w:ascii="Times New Roman" w:hAnsi="Times New Roman"/>
          <w:sz w:val="24"/>
        </w:rPr>
        <w:t>, maziem un vidējiem uzņēmumiem (</w:t>
      </w:r>
      <w:proofErr w:type="spellStart"/>
      <w:r>
        <w:rPr>
          <w:rFonts w:ascii="Times New Roman" w:hAnsi="Times New Roman"/>
          <w:sz w:val="24"/>
        </w:rPr>
        <w:t>MVU</w:t>
      </w:r>
      <w:proofErr w:type="spellEnd"/>
      <w:r>
        <w:rPr>
          <w:rFonts w:ascii="Times New Roman" w:hAnsi="Times New Roman"/>
          <w:sz w:val="24"/>
        </w:rPr>
        <w:t xml:space="preserve">), piemēram, saistībā ar struktūrfondiem vai pētniecību. Tas nozīmē, ka ir jānovērš situācijas, kad Kopienā galvenā uzmanība tiek pievērsta vienai noteiktai </w:t>
      </w:r>
      <w:proofErr w:type="spellStart"/>
      <w:r>
        <w:rPr>
          <w:rFonts w:ascii="Times New Roman" w:hAnsi="Times New Roman"/>
          <w:sz w:val="24"/>
        </w:rPr>
        <w:t>MVU</w:t>
      </w:r>
      <w:proofErr w:type="spellEnd"/>
      <w:r>
        <w:rPr>
          <w:rFonts w:ascii="Times New Roman" w:hAnsi="Times New Roman"/>
          <w:sz w:val="24"/>
        </w:rPr>
        <w:t xml:space="preserve"> kategorijai, bet dalībvalstīs citai. Turklāt tika uzskatīts, ka tad, ja vienu definīciju piemēros gan Komisija, gan dalībvalstis, gan Eiropas Investīciju banka (</w:t>
      </w:r>
      <w:proofErr w:type="spellStart"/>
      <w:r>
        <w:rPr>
          <w:rFonts w:ascii="Times New Roman" w:hAnsi="Times New Roman"/>
          <w:sz w:val="24"/>
        </w:rPr>
        <w:t>EIB</w:t>
      </w:r>
      <w:proofErr w:type="spellEnd"/>
      <w:r>
        <w:rPr>
          <w:rFonts w:ascii="Times New Roman" w:hAnsi="Times New Roman"/>
          <w:sz w:val="24"/>
        </w:rPr>
        <w:t>), gan Eiropas Investīciju fonds (</w:t>
      </w:r>
      <w:proofErr w:type="spellStart"/>
      <w:r>
        <w:rPr>
          <w:rFonts w:ascii="Times New Roman" w:hAnsi="Times New Roman"/>
          <w:sz w:val="24"/>
        </w:rPr>
        <w:t>EIF</w:t>
      </w:r>
      <w:proofErr w:type="spellEnd"/>
      <w:r>
        <w:rPr>
          <w:rFonts w:ascii="Times New Roman" w:hAnsi="Times New Roman"/>
          <w:sz w:val="24"/>
        </w:rPr>
        <w:t xml:space="preserve">), uzlabotos to </w:t>
      </w:r>
      <w:proofErr w:type="spellStart"/>
      <w:r>
        <w:rPr>
          <w:rFonts w:ascii="Times New Roman" w:hAnsi="Times New Roman"/>
          <w:sz w:val="24"/>
        </w:rPr>
        <w:t>rīcībpolitikas</w:t>
      </w:r>
      <w:proofErr w:type="spellEnd"/>
      <w:r>
        <w:rPr>
          <w:rFonts w:ascii="Times New Roman" w:hAnsi="Times New Roman"/>
          <w:sz w:val="24"/>
        </w:rPr>
        <w:t xml:space="preserve"> konsekvence un efektivitāte attiecībā uz </w:t>
      </w:r>
      <w:proofErr w:type="spellStart"/>
      <w:r>
        <w:rPr>
          <w:rFonts w:ascii="Times New Roman" w:hAnsi="Times New Roman"/>
          <w:sz w:val="24"/>
        </w:rPr>
        <w:t>MVU</w:t>
      </w:r>
      <w:proofErr w:type="spellEnd"/>
      <w:r>
        <w:rPr>
          <w:rFonts w:ascii="Times New Roman" w:hAnsi="Times New Roman"/>
          <w:sz w:val="24"/>
        </w:rPr>
        <w:t>, un tādējādi tiktu mazināts konkurences kropļošanas risks;</w:t>
      </w:r>
    </w:p>
    <w:p w14:paraId="54A60B1C" w14:textId="77777777" w:rsidR="008863EF" w:rsidRPr="009606FB" w:rsidRDefault="008863EF" w:rsidP="003E0CF8">
      <w:pPr>
        <w:pStyle w:val="BodyText"/>
        <w:jc w:val="both"/>
        <w:rPr>
          <w:rFonts w:ascii="Times New Roman" w:hAnsi="Times New Roman"/>
          <w:noProof/>
          <w:sz w:val="24"/>
        </w:rPr>
      </w:pPr>
    </w:p>
    <w:p w14:paraId="194A8FA8" w14:textId="0583FC15" w:rsidR="008863EF" w:rsidRPr="009606FB" w:rsidRDefault="003E0CF8" w:rsidP="003E0CF8">
      <w:pPr>
        <w:tabs>
          <w:tab w:val="left" w:pos="631"/>
        </w:tabs>
        <w:jc w:val="both"/>
        <w:rPr>
          <w:rFonts w:ascii="Times New Roman" w:hAnsi="Times New Roman"/>
          <w:noProof/>
          <w:sz w:val="24"/>
        </w:rPr>
      </w:pPr>
      <w:r>
        <w:rPr>
          <w:rFonts w:ascii="Times New Roman" w:hAnsi="Times New Roman"/>
          <w:sz w:val="24"/>
        </w:rPr>
        <w:t>2) dalībvalstis ir plaši piemērojušas Ieteikumu 96/280/EK, un tā pielikumā ietvertā definīcija ir iekļauta Komisijas 2001. gada 12. janvāra Regulā (EK) Nr. 70/2001 par EK Līguma 87. un 88. panta piemērošanu, sniedzot valsts atbalstu maziem un vidējiem uzņēmumiem (2</w:t>
      </w:r>
      <w:r w:rsidR="00B62D71">
        <w:rPr>
          <w:rStyle w:val="FootnoteReference"/>
          <w:rFonts w:ascii="Times New Roman" w:hAnsi="Times New Roman"/>
          <w:noProof/>
          <w:sz w:val="24"/>
        </w:rPr>
        <w:footnoteReference w:id="2"/>
      </w:r>
      <w:r>
        <w:rPr>
          <w:rFonts w:ascii="Times New Roman" w:hAnsi="Times New Roman"/>
          <w:sz w:val="24"/>
        </w:rPr>
        <w:t>). Papildus tam, ka Ieteikums 96/280/EK ir jāpielāgo ekonomikas attīstībai, saskaņā ar tā pielikuma 2. pantu, ir jāņem vērā vairākas interpretācijas problēmas, kas radušās saistībā ar tā piemērošanu, un uzņēmumu sniegtie apsvērumi. Ņemot vērā nepieciešamo grozījumu skaitu Ieteikumā 96/280/EK, kā arī skaidrības labad ir lietderīgi aizstāt ieteikumu;</w:t>
      </w:r>
    </w:p>
    <w:p w14:paraId="0656EE0B" w14:textId="77777777" w:rsidR="008863EF" w:rsidRPr="009606FB" w:rsidRDefault="008863EF" w:rsidP="009606FB">
      <w:pPr>
        <w:pStyle w:val="BodyText"/>
        <w:jc w:val="both"/>
        <w:rPr>
          <w:rFonts w:ascii="Times New Roman" w:hAnsi="Times New Roman"/>
          <w:noProof/>
          <w:sz w:val="24"/>
        </w:rPr>
      </w:pPr>
    </w:p>
    <w:p w14:paraId="4FF6D817" w14:textId="47CC95F5" w:rsidR="008863EF" w:rsidRPr="003E0CF8" w:rsidRDefault="00B62D71" w:rsidP="003E0CF8">
      <w:pPr>
        <w:tabs>
          <w:tab w:val="left" w:pos="630"/>
        </w:tabs>
        <w:jc w:val="both"/>
        <w:rPr>
          <w:rFonts w:ascii="Times New Roman" w:hAnsi="Times New Roman"/>
          <w:noProof/>
          <w:sz w:val="24"/>
        </w:rPr>
      </w:pPr>
      <w:r>
        <w:rPr>
          <w:rFonts w:ascii="Times New Roman" w:hAnsi="Times New Roman"/>
          <w:sz w:val="24"/>
        </w:rPr>
        <w:t>3) tāpat jāprecizē, ka saskaņā ar Līguma 48., 81. un 82. pantu, kā to interpretējusi Eiropas Kopienu Tiesa, par uzņēmumu uzskatāma jebkura saimnieciskā darbībā iesaistīta organizācija neatkarīgi no tās juridiskās formas, un jo īpaši tāda, kas individuāli vai ģimenes lokā, partnerībās vai apvienībās regulāri veic ar amatniecību saistītas un citas saimnieciskas darbības;</w:t>
      </w:r>
    </w:p>
    <w:p w14:paraId="6018D848" w14:textId="77777777" w:rsidR="008863EF" w:rsidRPr="009606FB" w:rsidRDefault="008863EF" w:rsidP="009606FB">
      <w:pPr>
        <w:pStyle w:val="BodyText"/>
        <w:jc w:val="both"/>
        <w:rPr>
          <w:rFonts w:ascii="Times New Roman" w:hAnsi="Times New Roman"/>
          <w:noProof/>
          <w:sz w:val="24"/>
        </w:rPr>
      </w:pPr>
    </w:p>
    <w:p w14:paraId="342E1EEB" w14:textId="3D9935BE" w:rsidR="008863EF" w:rsidRPr="003E0CF8" w:rsidRDefault="00B62D71" w:rsidP="003E0CF8">
      <w:pPr>
        <w:tabs>
          <w:tab w:val="left" w:pos="630"/>
        </w:tabs>
        <w:jc w:val="both"/>
        <w:rPr>
          <w:rFonts w:ascii="Times New Roman" w:hAnsi="Times New Roman"/>
          <w:noProof/>
          <w:sz w:val="24"/>
        </w:rPr>
      </w:pPr>
      <w:r>
        <w:rPr>
          <w:rFonts w:ascii="Times New Roman" w:hAnsi="Times New Roman"/>
          <w:sz w:val="24"/>
        </w:rPr>
        <w:t xml:space="preserve">4) joprojām viens no svarīgākajiem kritērijiem neapšaubāmi ir darbinieku skaits (“darbinieku </w:t>
      </w:r>
      <w:r>
        <w:rPr>
          <w:rFonts w:ascii="Times New Roman" w:hAnsi="Times New Roman"/>
          <w:sz w:val="24"/>
        </w:rPr>
        <w:lastRenderedPageBreak/>
        <w:t>skaita kritērijs”), un tas ir jāievēro kā viens no galvenajiem kritērijiem; tomēr nepieciešams ieviest papildinājumu – finanšu kritēriju –, lai aptvertu uzņēmuma patieso mērogu un darbības rezultātus un tā stāvokli salīdzinājumā ar konkurentiem. Tomēr nebūtu vēlams izmantot apgrozījumu kā vienīgo finanšu kritēriju, īpaši tāpēc, ka uzņēmumiem tirdzniecības un izplatīšanas nozarē pēc būtības ir augstāki apgrozījuma rādītāji nekā uzņēmumiem ražošanas nozarē. Tādējādi apgrozījuma kritērijs ir jāapvieno ar kopsavilkuma bilanci – kritēriju, kurš atspoguļo uzņēmuma kopējo bagātību –, pieļaujot iespēju pārsniegt jebkuru no šiem diviem rādītājiem;</w:t>
      </w:r>
    </w:p>
    <w:p w14:paraId="68C0377D" w14:textId="77777777" w:rsidR="008863EF" w:rsidRPr="009606FB" w:rsidRDefault="008863EF" w:rsidP="009606FB">
      <w:pPr>
        <w:pStyle w:val="BodyText"/>
        <w:jc w:val="both"/>
        <w:rPr>
          <w:rFonts w:ascii="Times New Roman" w:hAnsi="Times New Roman"/>
          <w:noProof/>
          <w:sz w:val="24"/>
        </w:rPr>
      </w:pPr>
    </w:p>
    <w:p w14:paraId="311D9246" w14:textId="342E6051" w:rsidR="008863EF" w:rsidRPr="003E0CF8" w:rsidRDefault="00B62D71" w:rsidP="003E0CF8">
      <w:pPr>
        <w:tabs>
          <w:tab w:val="left" w:pos="630"/>
        </w:tabs>
        <w:jc w:val="both"/>
        <w:rPr>
          <w:rFonts w:ascii="Times New Roman" w:hAnsi="Times New Roman"/>
          <w:noProof/>
          <w:sz w:val="24"/>
        </w:rPr>
      </w:pPr>
      <w:r>
        <w:rPr>
          <w:rFonts w:ascii="Times New Roman" w:hAnsi="Times New Roman"/>
          <w:sz w:val="24"/>
        </w:rPr>
        <w:t>5) apgrozījuma augšējo robežu piemēro uzņēmumiem, kas nodarbojas ar ļoti atšķirīgiem saimnieciskās darbības veidiem. Lai nevajadzīgi neierobežotu definīcijas piemērošanas lietderīgumu, tā ir jāpapildina, ņemot vērā gan cenu, gan produktivitātes izmaiņas;</w:t>
      </w:r>
    </w:p>
    <w:p w14:paraId="2EB37120" w14:textId="77777777" w:rsidR="008B20CC" w:rsidRPr="009606FB" w:rsidRDefault="008B20CC" w:rsidP="003E0CF8">
      <w:pPr>
        <w:jc w:val="both"/>
        <w:rPr>
          <w:rFonts w:ascii="Times New Roman" w:hAnsi="Times New Roman"/>
          <w:noProof/>
          <w:sz w:val="24"/>
        </w:rPr>
      </w:pPr>
    </w:p>
    <w:p w14:paraId="3AB73A2C" w14:textId="65C2CF90" w:rsidR="008863EF" w:rsidRPr="003E0CF8" w:rsidRDefault="00B62D71" w:rsidP="003E0CF8">
      <w:pPr>
        <w:tabs>
          <w:tab w:val="left" w:pos="631"/>
        </w:tabs>
        <w:jc w:val="both"/>
        <w:rPr>
          <w:rFonts w:ascii="Times New Roman" w:hAnsi="Times New Roman"/>
          <w:noProof/>
          <w:sz w:val="24"/>
        </w:rPr>
      </w:pPr>
      <w:r>
        <w:rPr>
          <w:rFonts w:ascii="Times New Roman" w:hAnsi="Times New Roman"/>
          <w:sz w:val="24"/>
        </w:rPr>
        <w:t xml:space="preserve">6) attiecībā uz kopsavilkuma bilances augšējo robežu, ja nav jaunu elementu, ir pamats saglabāt pieeju, saskaņā ar kuru apgrozījuma augšējai robežai piemēro koeficientu, balstoties uz statistisko attiecību starp šiem diviem mainīgajiem lielumiem. Statistiskā tendence nosaka, ka vairāk jāpaaugstina apgrozījuma augšējā robeža. Tā kā šī tendence atšķiras atkarībā no uzņēmuma lieluma kategorijas, ir pamats arī koriģēt koeficientu, lai pēc iespējas precīzāk atspoguļotu ekonomisko tendenci un pretstatā vidējiem uzņēmumiem nesodītu </w:t>
      </w:r>
      <w:proofErr w:type="spellStart"/>
      <w:r>
        <w:rPr>
          <w:rFonts w:ascii="Times New Roman" w:hAnsi="Times New Roman"/>
          <w:sz w:val="24"/>
        </w:rPr>
        <w:t>mikrouzņēmumus</w:t>
      </w:r>
      <w:proofErr w:type="spellEnd"/>
      <w:r>
        <w:rPr>
          <w:rFonts w:ascii="Times New Roman" w:hAnsi="Times New Roman"/>
          <w:sz w:val="24"/>
        </w:rPr>
        <w:t xml:space="preserve"> un mazos uzņēmumus. </w:t>
      </w:r>
      <w:proofErr w:type="spellStart"/>
      <w:r>
        <w:rPr>
          <w:rFonts w:ascii="Times New Roman" w:hAnsi="Times New Roman"/>
          <w:sz w:val="24"/>
        </w:rPr>
        <w:t>Mikrouzņēmumu</w:t>
      </w:r>
      <w:proofErr w:type="spellEnd"/>
      <w:r>
        <w:rPr>
          <w:rFonts w:ascii="Times New Roman" w:hAnsi="Times New Roman"/>
          <w:sz w:val="24"/>
        </w:rPr>
        <w:t xml:space="preserve"> un mazo uzņēmumu gadījumā šis koeficients ir ļoti tuvu 1. Vienkāršības labad šīm kategorijām ir jāizvēlas viena apgrozījuma augšējās robežas un kopsavilkuma bilances augšējās robežas vērtība;</w:t>
      </w:r>
    </w:p>
    <w:p w14:paraId="695A62BD" w14:textId="77777777" w:rsidR="008863EF" w:rsidRPr="009606FB" w:rsidRDefault="008863EF" w:rsidP="009606FB">
      <w:pPr>
        <w:pStyle w:val="BodyText"/>
        <w:jc w:val="both"/>
        <w:rPr>
          <w:rFonts w:ascii="Times New Roman" w:hAnsi="Times New Roman"/>
          <w:noProof/>
          <w:sz w:val="24"/>
        </w:rPr>
      </w:pPr>
    </w:p>
    <w:p w14:paraId="4B8ADF86" w14:textId="7068CBF9" w:rsidR="008863EF" w:rsidRPr="009606FB" w:rsidRDefault="00B62D71" w:rsidP="003E0CF8">
      <w:pPr>
        <w:pStyle w:val="ListParagraph"/>
        <w:tabs>
          <w:tab w:val="left" w:pos="631"/>
        </w:tabs>
        <w:ind w:left="0"/>
        <w:rPr>
          <w:rFonts w:ascii="Times New Roman" w:hAnsi="Times New Roman"/>
          <w:noProof/>
          <w:sz w:val="24"/>
        </w:rPr>
      </w:pPr>
      <w:r>
        <w:rPr>
          <w:rFonts w:ascii="Times New Roman" w:hAnsi="Times New Roman"/>
          <w:sz w:val="24"/>
        </w:rPr>
        <w:t xml:space="preserve">7) tāpat kā Ieteikumā 96/280/EK finanšu augšējā robeža un darbinieku skaita augšējā robeža ir maksimālās augšējās robežvērtības; dalībvalstis, </w:t>
      </w:r>
      <w:proofErr w:type="spellStart"/>
      <w:r>
        <w:rPr>
          <w:rFonts w:ascii="Times New Roman" w:hAnsi="Times New Roman"/>
          <w:sz w:val="24"/>
        </w:rPr>
        <w:t>EIB</w:t>
      </w:r>
      <w:proofErr w:type="spellEnd"/>
      <w:r>
        <w:rPr>
          <w:rFonts w:ascii="Times New Roman" w:hAnsi="Times New Roman"/>
          <w:sz w:val="24"/>
        </w:rPr>
        <w:t xml:space="preserve"> un </w:t>
      </w:r>
      <w:proofErr w:type="spellStart"/>
      <w:r>
        <w:rPr>
          <w:rFonts w:ascii="Times New Roman" w:hAnsi="Times New Roman"/>
          <w:sz w:val="24"/>
        </w:rPr>
        <w:t>EIF</w:t>
      </w:r>
      <w:proofErr w:type="spellEnd"/>
      <w:r>
        <w:rPr>
          <w:rFonts w:ascii="Times New Roman" w:hAnsi="Times New Roman"/>
          <w:sz w:val="24"/>
        </w:rPr>
        <w:t xml:space="preserve"> var noteikt tādas augšējās robežas, kas ir zemākas par Kopienas augšējām robežām, ja tās savus pasākumus vēlas pielāgot kādai konkrētai </w:t>
      </w:r>
      <w:proofErr w:type="spellStart"/>
      <w:r>
        <w:rPr>
          <w:rFonts w:ascii="Times New Roman" w:hAnsi="Times New Roman"/>
          <w:sz w:val="24"/>
        </w:rPr>
        <w:t>MVU</w:t>
      </w:r>
      <w:proofErr w:type="spellEnd"/>
      <w:r>
        <w:rPr>
          <w:rFonts w:ascii="Times New Roman" w:hAnsi="Times New Roman"/>
          <w:sz w:val="24"/>
        </w:rPr>
        <w:t xml:space="preserve"> kategorijai. Administratīvās vienkāršošanas labad dalībvalstis, </w:t>
      </w:r>
      <w:proofErr w:type="spellStart"/>
      <w:r>
        <w:rPr>
          <w:rFonts w:ascii="Times New Roman" w:hAnsi="Times New Roman"/>
          <w:sz w:val="24"/>
        </w:rPr>
        <w:t>EIB</w:t>
      </w:r>
      <w:proofErr w:type="spellEnd"/>
      <w:r>
        <w:rPr>
          <w:rFonts w:ascii="Times New Roman" w:hAnsi="Times New Roman"/>
          <w:sz w:val="24"/>
        </w:rPr>
        <w:t xml:space="preserve"> un </w:t>
      </w:r>
      <w:proofErr w:type="spellStart"/>
      <w:r>
        <w:rPr>
          <w:rFonts w:ascii="Times New Roman" w:hAnsi="Times New Roman"/>
          <w:sz w:val="24"/>
        </w:rPr>
        <w:t>EIF</w:t>
      </w:r>
      <w:proofErr w:type="spellEnd"/>
      <w:r>
        <w:rPr>
          <w:rFonts w:ascii="Times New Roman" w:hAnsi="Times New Roman"/>
          <w:sz w:val="24"/>
        </w:rPr>
        <w:t xml:space="preserve"> var izmantot tikai vienu kritēriju – darbinieku skaitu –, lai īstenotu atsevišķas savas </w:t>
      </w:r>
      <w:proofErr w:type="spellStart"/>
      <w:r>
        <w:rPr>
          <w:rFonts w:ascii="Times New Roman" w:hAnsi="Times New Roman"/>
          <w:sz w:val="24"/>
        </w:rPr>
        <w:t>rīcībpolitikas</w:t>
      </w:r>
      <w:proofErr w:type="spellEnd"/>
      <w:r>
        <w:rPr>
          <w:rFonts w:ascii="Times New Roman" w:hAnsi="Times New Roman"/>
          <w:sz w:val="24"/>
        </w:rPr>
        <w:t xml:space="preserve"> nostādnes. Tomēr tas neattiecas uz dažādajiem konkurences tiesību noteikumiem, attiecībā uz kuriem noteikts pienākums izmantot un ievērot arī finanšu kritērijus;</w:t>
      </w:r>
    </w:p>
    <w:p w14:paraId="1F34E7CD" w14:textId="77777777" w:rsidR="003E0CF8" w:rsidRDefault="003E0CF8" w:rsidP="003E0CF8">
      <w:pPr>
        <w:pStyle w:val="ListParagraph"/>
        <w:tabs>
          <w:tab w:val="left" w:pos="631"/>
        </w:tabs>
        <w:ind w:left="0"/>
        <w:jc w:val="left"/>
        <w:rPr>
          <w:rFonts w:ascii="Times New Roman" w:hAnsi="Times New Roman"/>
          <w:noProof/>
          <w:sz w:val="24"/>
        </w:rPr>
      </w:pPr>
    </w:p>
    <w:p w14:paraId="53816B67" w14:textId="7462A62B" w:rsidR="008863EF" w:rsidRPr="009606FB" w:rsidRDefault="00B62D71" w:rsidP="003E0CF8">
      <w:pPr>
        <w:pStyle w:val="ListParagraph"/>
        <w:tabs>
          <w:tab w:val="left" w:pos="631"/>
        </w:tabs>
        <w:ind w:left="0"/>
        <w:rPr>
          <w:rFonts w:ascii="Times New Roman" w:hAnsi="Times New Roman"/>
          <w:noProof/>
          <w:sz w:val="24"/>
        </w:rPr>
      </w:pPr>
      <w:r>
        <w:rPr>
          <w:rFonts w:ascii="Times New Roman" w:hAnsi="Times New Roman"/>
          <w:sz w:val="24"/>
        </w:rPr>
        <w:t xml:space="preserve">8) pēc tam, kad 2000. gada jūnija Eiropadomes sanāksmē Santamarija </w:t>
      </w:r>
      <w:proofErr w:type="spellStart"/>
      <w:r>
        <w:rPr>
          <w:rFonts w:ascii="Times New Roman" w:hAnsi="Times New Roman"/>
          <w:sz w:val="24"/>
        </w:rPr>
        <w:t>da</w:t>
      </w:r>
      <w:proofErr w:type="spellEnd"/>
      <w:r>
        <w:rPr>
          <w:rFonts w:ascii="Times New Roman" w:hAnsi="Times New Roman"/>
          <w:sz w:val="24"/>
        </w:rPr>
        <w:t xml:space="preserve"> </w:t>
      </w:r>
      <w:proofErr w:type="spellStart"/>
      <w:r>
        <w:rPr>
          <w:rFonts w:ascii="Times New Roman" w:hAnsi="Times New Roman"/>
          <w:sz w:val="24"/>
        </w:rPr>
        <w:t>Feirā</w:t>
      </w:r>
      <w:proofErr w:type="spellEnd"/>
      <w:r>
        <w:rPr>
          <w:rFonts w:ascii="Times New Roman" w:hAnsi="Times New Roman"/>
          <w:sz w:val="24"/>
        </w:rPr>
        <w:t xml:space="preserve"> apstiprināja Eiropas Mazo uzņēmumu hartu, būtu precīzāk jādefinē arī </w:t>
      </w:r>
      <w:proofErr w:type="spellStart"/>
      <w:r>
        <w:rPr>
          <w:rFonts w:ascii="Times New Roman" w:hAnsi="Times New Roman"/>
          <w:sz w:val="24"/>
        </w:rPr>
        <w:t>mikrouzņēmumi</w:t>
      </w:r>
      <w:proofErr w:type="spellEnd"/>
      <w:r>
        <w:rPr>
          <w:rFonts w:ascii="Times New Roman" w:hAnsi="Times New Roman"/>
          <w:sz w:val="24"/>
        </w:rPr>
        <w:t>, proti, tāda mazo uzņēmumu kategorija, kas ir īpaši svarīga uzņēmējdarbības attīstībai un darba vietu radīšanai;</w:t>
      </w:r>
    </w:p>
    <w:p w14:paraId="27021EF8" w14:textId="77777777" w:rsidR="008863EF" w:rsidRPr="009606FB" w:rsidRDefault="008863EF" w:rsidP="009606FB">
      <w:pPr>
        <w:pStyle w:val="BodyText"/>
        <w:jc w:val="both"/>
        <w:rPr>
          <w:rFonts w:ascii="Times New Roman" w:hAnsi="Times New Roman"/>
          <w:noProof/>
          <w:sz w:val="24"/>
        </w:rPr>
      </w:pPr>
    </w:p>
    <w:p w14:paraId="176ACDB0" w14:textId="4CFF9D1D" w:rsidR="008863EF" w:rsidRPr="009606FB" w:rsidRDefault="00B62D71" w:rsidP="003E0CF8">
      <w:pPr>
        <w:pStyle w:val="ListParagraph"/>
        <w:tabs>
          <w:tab w:val="left" w:pos="631"/>
        </w:tabs>
        <w:ind w:left="0"/>
        <w:rPr>
          <w:rFonts w:ascii="Times New Roman" w:hAnsi="Times New Roman"/>
          <w:noProof/>
          <w:sz w:val="24"/>
        </w:rPr>
      </w:pPr>
      <w:r>
        <w:rPr>
          <w:rFonts w:ascii="Times New Roman" w:hAnsi="Times New Roman"/>
          <w:sz w:val="24"/>
        </w:rPr>
        <w:t xml:space="preserve">9) lai gūtu labāku izpratni par </w:t>
      </w:r>
      <w:proofErr w:type="spellStart"/>
      <w:r>
        <w:rPr>
          <w:rFonts w:ascii="Times New Roman" w:hAnsi="Times New Roman"/>
          <w:sz w:val="24"/>
        </w:rPr>
        <w:t>MVU</w:t>
      </w:r>
      <w:proofErr w:type="spellEnd"/>
      <w:r>
        <w:rPr>
          <w:rFonts w:ascii="Times New Roman" w:hAnsi="Times New Roman"/>
          <w:sz w:val="24"/>
        </w:rPr>
        <w:t xml:space="preserve"> patieso ekonomisko stāvokli un izslēgtu no šīs kategorijas uzņēmumu grupas, kuru ekonomiskais spēks var pārsniegt īstu </w:t>
      </w:r>
      <w:proofErr w:type="spellStart"/>
      <w:r>
        <w:rPr>
          <w:rFonts w:ascii="Times New Roman" w:hAnsi="Times New Roman"/>
          <w:sz w:val="24"/>
        </w:rPr>
        <w:t>MVU</w:t>
      </w:r>
      <w:proofErr w:type="spellEnd"/>
      <w:r>
        <w:rPr>
          <w:rFonts w:ascii="Times New Roman" w:hAnsi="Times New Roman"/>
          <w:sz w:val="24"/>
        </w:rPr>
        <w:t xml:space="preserve"> ekonomisko spēku, ir jānošķir dažādu veidu uzņēmumi atkarībā no tā, vai tie ir autonomi, vai tiem ir dalības pakāpe, kas nav saistīta ar kontrolējošu stāvokli (partneruzņēmumi), un vai tie ir saistīti ar citiem uzņēmumiem. Ieteikumā 96/280/EK norādītā dalības pakāpe 25 % apmērā, kuru nesasniedzot uzņēmums tiek uzskatīts par autonomu, ir spēkā;</w:t>
      </w:r>
    </w:p>
    <w:p w14:paraId="1D3F49C9" w14:textId="77777777" w:rsidR="008863EF" w:rsidRPr="009606FB" w:rsidRDefault="008863EF" w:rsidP="009606FB">
      <w:pPr>
        <w:pStyle w:val="BodyText"/>
        <w:jc w:val="both"/>
        <w:rPr>
          <w:rFonts w:ascii="Times New Roman" w:hAnsi="Times New Roman"/>
          <w:noProof/>
          <w:sz w:val="24"/>
        </w:rPr>
      </w:pPr>
    </w:p>
    <w:p w14:paraId="7D3B601D" w14:textId="4EE8705F" w:rsidR="008863EF" w:rsidRPr="009606FB" w:rsidRDefault="00B62D71" w:rsidP="003E0CF8">
      <w:pPr>
        <w:pStyle w:val="ListParagraph"/>
        <w:tabs>
          <w:tab w:val="left" w:pos="631"/>
        </w:tabs>
        <w:ind w:left="0"/>
        <w:rPr>
          <w:rFonts w:ascii="Times New Roman" w:hAnsi="Times New Roman"/>
          <w:noProof/>
          <w:sz w:val="24"/>
        </w:rPr>
      </w:pPr>
      <w:r>
        <w:rPr>
          <w:rFonts w:ascii="Times New Roman" w:hAnsi="Times New Roman"/>
          <w:sz w:val="24"/>
        </w:rPr>
        <w:t xml:space="preserve">10) lai veicinātu uzņēmumu veidošanu, </w:t>
      </w:r>
      <w:proofErr w:type="spellStart"/>
      <w:r>
        <w:rPr>
          <w:rFonts w:ascii="Times New Roman" w:hAnsi="Times New Roman"/>
          <w:sz w:val="24"/>
        </w:rPr>
        <w:t>MVU</w:t>
      </w:r>
      <w:proofErr w:type="spellEnd"/>
      <w:r>
        <w:rPr>
          <w:rFonts w:ascii="Times New Roman" w:hAnsi="Times New Roman"/>
          <w:sz w:val="24"/>
        </w:rPr>
        <w:t xml:space="preserve"> pašu kapitāla finansēšanu, kā arī lauku un vietējo attīstību, uzņēmumus var uzskatīt par autonomiem, neraugoties uz to, ka dažām ieguldītāju kategorijām, kurām ir pozitīva loma uzņēmējdarbības finansēšanā un radīšanā, ir 25 % vai lielāka dalības pakāpe uzņēmumā. Tomēr šo ieguldītāju nosacījumi iepriekš nav precizēti. Īpaša uzmanība ir jāpievērš jautājumam par “</w:t>
      </w:r>
      <w:proofErr w:type="spellStart"/>
      <w:r>
        <w:rPr>
          <w:rFonts w:ascii="Times New Roman" w:hAnsi="Times New Roman"/>
          <w:sz w:val="24"/>
        </w:rPr>
        <w:t>komerceņģeļiem</w:t>
      </w:r>
      <w:proofErr w:type="spellEnd"/>
      <w:r>
        <w:rPr>
          <w:rFonts w:ascii="Times New Roman" w:hAnsi="Times New Roman"/>
          <w:sz w:val="24"/>
        </w:rPr>
        <w:t>” (indivīdiem vai indivīdu grupām, kas regulāri iegulda riska kapitālu), jo, atšķirībā no citiem riska kapitāla ieguldītājiem, īpaši vērtīga ir to spēja atbilstoši konsultēt jaunos uzņēmējus. To ieguldījums pašu kapitālā papildina arī riska kapitāla uzņēmumu darbību, jo tie iegulda nelielas summas agrīnā uzņēmuma dzīves cikla posmā;</w:t>
      </w:r>
    </w:p>
    <w:p w14:paraId="5017514A" w14:textId="77777777" w:rsidR="008863EF" w:rsidRPr="009606FB" w:rsidRDefault="008863EF" w:rsidP="009606FB">
      <w:pPr>
        <w:pStyle w:val="BodyText"/>
        <w:jc w:val="both"/>
        <w:rPr>
          <w:rFonts w:ascii="Times New Roman" w:hAnsi="Times New Roman"/>
          <w:noProof/>
          <w:sz w:val="24"/>
        </w:rPr>
      </w:pPr>
    </w:p>
    <w:p w14:paraId="29967480" w14:textId="77CE3FFC" w:rsidR="008863EF" w:rsidRPr="009606FB" w:rsidRDefault="005E1821" w:rsidP="005E1821">
      <w:pPr>
        <w:pStyle w:val="ListParagraph"/>
        <w:tabs>
          <w:tab w:val="left" w:pos="630"/>
        </w:tabs>
        <w:ind w:left="0"/>
        <w:rPr>
          <w:rFonts w:ascii="Times New Roman" w:hAnsi="Times New Roman"/>
          <w:noProof/>
          <w:sz w:val="24"/>
        </w:rPr>
      </w:pPr>
      <w:r>
        <w:rPr>
          <w:rFonts w:ascii="Times New Roman" w:hAnsi="Times New Roman"/>
          <w:sz w:val="24"/>
        </w:rPr>
        <w:lastRenderedPageBreak/>
        <w:t>11) lai vienkāršotu jautājumus, jo īpaši attiecībā uz dalībvalstīm un uzņēmumiem, definējot saistītos uzņēmumus, būtu jāizmanto nosacījumi, kas paredzēti Padomes 1983. gada 13. jūnija Direktīvas 83/349/EEK 1. pantā, kas balstīts uz 54. panta 3. punkta g) apakšpunktu Līgumā par konsolidētajiem pārskatiem (</w:t>
      </w:r>
      <w:r w:rsidR="000828B1">
        <w:rPr>
          <w:rStyle w:val="FootnoteReference"/>
          <w:rFonts w:ascii="Times New Roman" w:hAnsi="Times New Roman"/>
          <w:noProof/>
          <w:sz w:val="24"/>
        </w:rPr>
        <w:footnoteReference w:id="3"/>
      </w:r>
      <w:r>
        <w:rPr>
          <w:rFonts w:ascii="Times New Roman" w:hAnsi="Times New Roman"/>
          <w:sz w:val="24"/>
        </w:rPr>
        <w:t>), kurā jaunākie grozījumi izdarīti ar Eiropas Parlamenta un Padomes Direktīvu 2001/65/EK (</w:t>
      </w:r>
      <w:r w:rsidR="000828B1">
        <w:rPr>
          <w:rStyle w:val="FootnoteReference"/>
          <w:rFonts w:ascii="Times New Roman" w:hAnsi="Times New Roman"/>
          <w:noProof/>
          <w:sz w:val="24"/>
        </w:rPr>
        <w:footnoteReference w:id="4"/>
      </w:r>
      <w:r>
        <w:rPr>
          <w:rFonts w:ascii="Times New Roman" w:hAnsi="Times New Roman"/>
          <w:sz w:val="24"/>
        </w:rPr>
        <w:t xml:space="preserve">), ciktāl šie nosacījumi ir piemēroti šā ieteikuma mērķiem. Lai veicinātu ieguldījumus </w:t>
      </w:r>
      <w:proofErr w:type="spellStart"/>
      <w:r>
        <w:rPr>
          <w:rFonts w:ascii="Times New Roman" w:hAnsi="Times New Roman"/>
          <w:sz w:val="24"/>
        </w:rPr>
        <w:t>MVU</w:t>
      </w:r>
      <w:proofErr w:type="spellEnd"/>
      <w:r>
        <w:rPr>
          <w:rFonts w:ascii="Times New Roman" w:hAnsi="Times New Roman"/>
          <w:sz w:val="24"/>
        </w:rPr>
        <w:t xml:space="preserve"> pašu kapitāla finansējumā, tika ieviests pieņēmums par dominējošas ietekmes neesamību uz attiecīgo uzņēmumu saskaņā ar kritērijiem 5. panta 3. punktā Padomes 1978. gada 25. jūlija Direktīvā 78/660/EEK, kas balstīta uz Līguma 54. panta 3. punkta g) apakšpunktu un attiecas uz noteiktu veidu sabiedrību gada pārskatiem (</w:t>
      </w:r>
      <w:r w:rsidR="000828B1">
        <w:rPr>
          <w:rStyle w:val="FootnoteReference"/>
          <w:rFonts w:ascii="Times New Roman" w:hAnsi="Times New Roman"/>
          <w:noProof/>
          <w:sz w:val="24"/>
        </w:rPr>
        <w:footnoteReference w:id="5"/>
      </w:r>
      <w:r>
        <w:rPr>
          <w:rFonts w:ascii="Times New Roman" w:hAnsi="Times New Roman"/>
          <w:sz w:val="24"/>
        </w:rPr>
        <w:t>), un kurā jaunākie grozījumi izdarīti ar Direktīvu 2001/65/EK;</w:t>
      </w:r>
    </w:p>
    <w:p w14:paraId="756FD5DA" w14:textId="77777777" w:rsidR="008863EF" w:rsidRPr="009606FB" w:rsidRDefault="008863EF" w:rsidP="009606FB">
      <w:pPr>
        <w:pStyle w:val="BodyText"/>
        <w:jc w:val="both"/>
        <w:rPr>
          <w:rFonts w:ascii="Times New Roman" w:hAnsi="Times New Roman"/>
          <w:noProof/>
          <w:sz w:val="24"/>
        </w:rPr>
      </w:pPr>
    </w:p>
    <w:p w14:paraId="2D6C8E24" w14:textId="30819F6F" w:rsidR="008863EF" w:rsidRPr="003E0CF8" w:rsidRDefault="000828B1" w:rsidP="000828B1">
      <w:pPr>
        <w:pStyle w:val="ListParagraph"/>
        <w:tabs>
          <w:tab w:val="left" w:pos="630"/>
        </w:tabs>
        <w:ind w:left="0"/>
        <w:rPr>
          <w:rFonts w:ascii="Times New Roman" w:hAnsi="Times New Roman"/>
          <w:noProof/>
          <w:sz w:val="24"/>
        </w:rPr>
      </w:pPr>
      <w:r>
        <w:rPr>
          <w:rFonts w:ascii="Times New Roman" w:hAnsi="Times New Roman"/>
          <w:sz w:val="24"/>
        </w:rPr>
        <w:t xml:space="preserve">12) atbilstošos gadījumos ir jāņem vērā arī uzņēmumu attiecības, kuras pastāv starp privātpersonām, lai nodrošinātu, ka labumu no priekšrocībām, ko </w:t>
      </w:r>
      <w:proofErr w:type="spellStart"/>
      <w:r>
        <w:rPr>
          <w:rFonts w:ascii="Times New Roman" w:hAnsi="Times New Roman"/>
          <w:sz w:val="24"/>
        </w:rPr>
        <w:t>MVU</w:t>
      </w:r>
      <w:proofErr w:type="spellEnd"/>
      <w:r>
        <w:rPr>
          <w:rFonts w:ascii="Times New Roman" w:hAnsi="Times New Roman"/>
          <w:sz w:val="24"/>
        </w:rPr>
        <w:t xml:space="preserve"> dod dažādas normas vai pasākumi to labā, faktiski gūst tikai tie uzņēmumi, kuriem tas patiešām ir vajadzīgs. Lai šo situāciju izskatīšanas apjomu samazinātu līdz stingri noteiktam minimumam, šādas attiecības ir ņemamas vērā tikai attiecībā uz konkrēto tirgu vai </w:t>
      </w:r>
      <w:proofErr w:type="spellStart"/>
      <w:r>
        <w:rPr>
          <w:rFonts w:ascii="Times New Roman" w:hAnsi="Times New Roman"/>
          <w:sz w:val="24"/>
        </w:rPr>
        <w:t>blakustirgiem</w:t>
      </w:r>
      <w:proofErr w:type="spellEnd"/>
      <w:r>
        <w:rPr>
          <w:rFonts w:ascii="Times New Roman" w:hAnsi="Times New Roman"/>
          <w:sz w:val="24"/>
        </w:rPr>
        <w:t>, vajadzības gadījumā atsaucoties uz termina “konkrētais tirgus” definīciju, kas sniegta Komisijas Paziņojumā par jēdziena “konkrētais tirgus” definīciju Kopienas konkurences tiesībās (</w:t>
      </w:r>
      <w:r>
        <w:rPr>
          <w:rStyle w:val="FootnoteReference"/>
          <w:rFonts w:ascii="Times New Roman" w:hAnsi="Times New Roman"/>
          <w:noProof/>
          <w:sz w:val="24"/>
        </w:rPr>
        <w:footnoteReference w:id="6"/>
      </w:r>
      <w:r>
        <w:rPr>
          <w:rFonts w:ascii="Times New Roman" w:hAnsi="Times New Roman"/>
          <w:sz w:val="24"/>
        </w:rPr>
        <w:t>);</w:t>
      </w:r>
    </w:p>
    <w:p w14:paraId="3895B73F" w14:textId="77777777" w:rsidR="008863EF" w:rsidRPr="009606FB" w:rsidRDefault="008863EF" w:rsidP="009606FB">
      <w:pPr>
        <w:pStyle w:val="BodyText"/>
        <w:jc w:val="both"/>
        <w:rPr>
          <w:rFonts w:ascii="Times New Roman" w:hAnsi="Times New Roman"/>
          <w:noProof/>
          <w:sz w:val="24"/>
        </w:rPr>
      </w:pPr>
    </w:p>
    <w:p w14:paraId="62A3C041" w14:textId="32413551" w:rsidR="008863EF" w:rsidRPr="009606FB" w:rsidRDefault="000828B1" w:rsidP="000828B1">
      <w:pPr>
        <w:pStyle w:val="ListParagraph"/>
        <w:tabs>
          <w:tab w:val="left" w:pos="630"/>
        </w:tabs>
        <w:ind w:left="0"/>
        <w:rPr>
          <w:rFonts w:ascii="Times New Roman" w:hAnsi="Times New Roman"/>
          <w:noProof/>
          <w:sz w:val="24"/>
        </w:rPr>
      </w:pPr>
      <w:r>
        <w:rPr>
          <w:rFonts w:ascii="Times New Roman" w:hAnsi="Times New Roman"/>
          <w:sz w:val="24"/>
        </w:rPr>
        <w:t xml:space="preserve">13) lai izvairītos no patvaļīgas dažādu dalībvalsts struktūru nošķiršanas un lai ievērotu tiesisko drošību, ir jāapstiprina, ka uzņēmums, kurā 25 % vai vairāk tā kapitāla vai balsstiesību kontrolē valsts struktūra vai pašvaldība, nav </w:t>
      </w:r>
      <w:proofErr w:type="spellStart"/>
      <w:r>
        <w:rPr>
          <w:rFonts w:ascii="Times New Roman" w:hAnsi="Times New Roman"/>
          <w:sz w:val="24"/>
        </w:rPr>
        <w:t>MVU</w:t>
      </w:r>
      <w:proofErr w:type="spellEnd"/>
      <w:r>
        <w:rPr>
          <w:rFonts w:ascii="Times New Roman" w:hAnsi="Times New Roman"/>
          <w:sz w:val="24"/>
        </w:rPr>
        <w:t>;</w:t>
      </w:r>
    </w:p>
    <w:p w14:paraId="7564896E" w14:textId="77777777" w:rsidR="008863EF" w:rsidRPr="009606FB" w:rsidRDefault="008863EF" w:rsidP="009606FB">
      <w:pPr>
        <w:pStyle w:val="BodyText"/>
        <w:jc w:val="both"/>
        <w:rPr>
          <w:rFonts w:ascii="Times New Roman" w:hAnsi="Times New Roman"/>
          <w:noProof/>
          <w:sz w:val="24"/>
        </w:rPr>
      </w:pPr>
    </w:p>
    <w:p w14:paraId="2CF9279D" w14:textId="24E38D7F" w:rsidR="008863EF" w:rsidRPr="009606FB" w:rsidRDefault="000828B1" w:rsidP="000828B1">
      <w:pPr>
        <w:pStyle w:val="ListParagraph"/>
        <w:tabs>
          <w:tab w:val="left" w:pos="630"/>
        </w:tabs>
        <w:ind w:left="0"/>
        <w:rPr>
          <w:rFonts w:ascii="Times New Roman" w:hAnsi="Times New Roman"/>
          <w:noProof/>
          <w:sz w:val="24"/>
        </w:rPr>
      </w:pPr>
      <w:r>
        <w:rPr>
          <w:rFonts w:ascii="Times New Roman" w:hAnsi="Times New Roman"/>
          <w:sz w:val="24"/>
        </w:rPr>
        <w:t xml:space="preserve">14) lai samazinātu uzņēmumu administratīvo slogu un vienkāršotu un paātrinātu administratīvo lietu izskatīšanu gadījumos, kad ir vajadzīgs </w:t>
      </w:r>
      <w:proofErr w:type="spellStart"/>
      <w:r>
        <w:rPr>
          <w:rFonts w:ascii="Times New Roman" w:hAnsi="Times New Roman"/>
          <w:sz w:val="24"/>
        </w:rPr>
        <w:t>MVU</w:t>
      </w:r>
      <w:proofErr w:type="spellEnd"/>
      <w:r>
        <w:rPr>
          <w:rFonts w:ascii="Times New Roman" w:hAnsi="Times New Roman"/>
          <w:sz w:val="24"/>
        </w:rPr>
        <w:t xml:space="preserve"> statuss, ir lietderīgi atļaut uzņēmumiem apliecināt atsevišķus to rādītājus ar svinīgām deklarācijām;</w:t>
      </w:r>
    </w:p>
    <w:p w14:paraId="3F290756" w14:textId="46366F27" w:rsidR="008B20CC" w:rsidRPr="009606FB" w:rsidRDefault="008B20CC" w:rsidP="000828B1">
      <w:pPr>
        <w:pStyle w:val="BodyText"/>
        <w:jc w:val="both"/>
        <w:rPr>
          <w:rFonts w:ascii="Times New Roman" w:hAnsi="Times New Roman"/>
          <w:noProof/>
          <w:sz w:val="24"/>
        </w:rPr>
      </w:pPr>
    </w:p>
    <w:p w14:paraId="4C0B3411" w14:textId="0939BB85" w:rsidR="008863EF" w:rsidRDefault="007A18CF" w:rsidP="007A18CF">
      <w:pPr>
        <w:pStyle w:val="ListParagraph"/>
        <w:tabs>
          <w:tab w:val="left" w:pos="631"/>
        </w:tabs>
        <w:ind w:left="0"/>
        <w:rPr>
          <w:rFonts w:ascii="Times New Roman" w:hAnsi="Times New Roman"/>
          <w:noProof/>
          <w:sz w:val="24"/>
        </w:rPr>
      </w:pPr>
      <w:r>
        <w:rPr>
          <w:rFonts w:ascii="Times New Roman" w:hAnsi="Times New Roman"/>
          <w:sz w:val="24"/>
        </w:rPr>
        <w:t xml:space="preserve">15) lai definētu </w:t>
      </w:r>
      <w:proofErr w:type="spellStart"/>
      <w:r>
        <w:rPr>
          <w:rFonts w:ascii="Times New Roman" w:hAnsi="Times New Roman"/>
          <w:sz w:val="24"/>
        </w:rPr>
        <w:t>MVU</w:t>
      </w:r>
      <w:proofErr w:type="spellEnd"/>
      <w:r>
        <w:rPr>
          <w:rFonts w:ascii="Times New Roman" w:hAnsi="Times New Roman"/>
          <w:sz w:val="24"/>
        </w:rPr>
        <w:t>, ir precīzi jānosaka darbinieku skaitliskais sastāvs. Lai veicinātu arodmācību un teorētiski praktisko kursu attīstību, aprēķinot darbinieku skaitu, ir vēlams neņemt vērā mācekļus un studentus, kuriem ir arodmācību līgums. Tāpat nav jāieskaita maternitātes un bērna kopšanas atvaļinājumi;</w:t>
      </w:r>
    </w:p>
    <w:p w14:paraId="3228D815" w14:textId="77777777" w:rsidR="007A18CF" w:rsidRPr="009606FB" w:rsidRDefault="007A18CF" w:rsidP="007A18CF">
      <w:pPr>
        <w:pStyle w:val="ListParagraph"/>
        <w:tabs>
          <w:tab w:val="left" w:pos="631"/>
        </w:tabs>
        <w:ind w:left="0"/>
        <w:rPr>
          <w:rFonts w:ascii="Times New Roman" w:hAnsi="Times New Roman"/>
          <w:noProof/>
          <w:sz w:val="24"/>
        </w:rPr>
      </w:pPr>
    </w:p>
    <w:p w14:paraId="64D94033" w14:textId="48B802EC" w:rsidR="008863EF" w:rsidRPr="009606FB" w:rsidRDefault="007A18CF" w:rsidP="007A18CF">
      <w:pPr>
        <w:pStyle w:val="ListParagraph"/>
        <w:tabs>
          <w:tab w:val="left" w:pos="631"/>
        </w:tabs>
        <w:ind w:left="0"/>
        <w:rPr>
          <w:rFonts w:ascii="Times New Roman" w:hAnsi="Times New Roman"/>
          <w:noProof/>
          <w:sz w:val="24"/>
        </w:rPr>
      </w:pPr>
      <w:r>
        <w:rPr>
          <w:rFonts w:ascii="Times New Roman" w:hAnsi="Times New Roman"/>
          <w:sz w:val="24"/>
        </w:rPr>
        <w:t>16) dažādie uzņēmumu veidi, kas definēti, pamatojoties uz to attiecībām ar citiem uzņēmumiem, atbilst objektīvi atšķirīgām integrācijas pakāpēm. Tāpēc, aprēķinot kvantitatīvos rādītājus, kas raksturo to darbības un ekonomisko spēku, ir lietderīgi katram šim uzņēmumu veidam piemērot atšķirīgas procedūras,</w:t>
      </w:r>
    </w:p>
    <w:p w14:paraId="0D0DA2A6" w14:textId="77777777" w:rsidR="00941B40" w:rsidRDefault="00941B40" w:rsidP="00941B40">
      <w:pPr>
        <w:keepNext/>
        <w:keepLines/>
        <w:jc w:val="both"/>
        <w:rPr>
          <w:rFonts w:ascii="Times New Roman" w:hAnsi="Times New Roman"/>
          <w:sz w:val="24"/>
        </w:rPr>
      </w:pPr>
    </w:p>
    <w:p w14:paraId="456FF81D" w14:textId="334F877D" w:rsidR="00941B40" w:rsidRPr="009606FB" w:rsidRDefault="00941B40" w:rsidP="00941B40">
      <w:pPr>
        <w:keepNext/>
        <w:keepLines/>
        <w:jc w:val="both"/>
        <w:rPr>
          <w:rFonts w:ascii="Times New Roman" w:hAnsi="Times New Roman"/>
          <w:noProof/>
          <w:sz w:val="24"/>
        </w:rPr>
      </w:pPr>
      <w:r>
        <w:rPr>
          <w:rFonts w:ascii="Times New Roman" w:hAnsi="Times New Roman"/>
          <w:sz w:val="24"/>
        </w:rPr>
        <w:t>AR ŠO IESAKA.</w:t>
      </w:r>
    </w:p>
    <w:p w14:paraId="7D80BE10" w14:textId="77777777" w:rsidR="008863EF" w:rsidRPr="009606FB" w:rsidRDefault="008863EF" w:rsidP="009606FB">
      <w:pPr>
        <w:pStyle w:val="BodyText"/>
        <w:jc w:val="both"/>
        <w:rPr>
          <w:rFonts w:ascii="Times New Roman" w:hAnsi="Times New Roman"/>
          <w:noProof/>
          <w:sz w:val="24"/>
        </w:rPr>
      </w:pPr>
    </w:p>
    <w:p w14:paraId="117DC345" w14:textId="77777777" w:rsidR="008863EF" w:rsidRPr="009606FB" w:rsidRDefault="008863EF" w:rsidP="002F559E">
      <w:pPr>
        <w:pStyle w:val="BodyText"/>
        <w:keepNext/>
        <w:keepLines/>
        <w:jc w:val="both"/>
        <w:rPr>
          <w:rFonts w:ascii="Times New Roman" w:hAnsi="Times New Roman"/>
          <w:noProof/>
          <w:sz w:val="24"/>
        </w:rPr>
      </w:pPr>
    </w:p>
    <w:p w14:paraId="20B8E25E" w14:textId="77777777" w:rsidR="008863EF" w:rsidRDefault="008863EF" w:rsidP="002F559E">
      <w:pPr>
        <w:keepNext/>
        <w:keepLines/>
        <w:jc w:val="center"/>
        <w:rPr>
          <w:rFonts w:ascii="Times New Roman" w:hAnsi="Times New Roman"/>
          <w:i/>
          <w:noProof/>
          <w:sz w:val="24"/>
        </w:rPr>
      </w:pPr>
      <w:r>
        <w:rPr>
          <w:rFonts w:ascii="Times New Roman" w:hAnsi="Times New Roman"/>
          <w:i/>
          <w:sz w:val="24"/>
        </w:rPr>
        <w:t>1. pants</w:t>
      </w:r>
    </w:p>
    <w:p w14:paraId="45BC044F" w14:textId="77777777" w:rsidR="007A18CF" w:rsidRPr="009606FB" w:rsidRDefault="007A18CF" w:rsidP="002F559E">
      <w:pPr>
        <w:keepNext/>
        <w:keepLines/>
        <w:jc w:val="center"/>
        <w:rPr>
          <w:rFonts w:ascii="Times New Roman" w:hAnsi="Times New Roman"/>
          <w:i/>
          <w:noProof/>
          <w:sz w:val="24"/>
        </w:rPr>
      </w:pPr>
    </w:p>
    <w:p w14:paraId="6FD101BE" w14:textId="56550401" w:rsidR="008863EF" w:rsidRDefault="007A18CF" w:rsidP="002F559E">
      <w:pPr>
        <w:pStyle w:val="ListParagraph"/>
        <w:keepNext/>
        <w:keepLines/>
        <w:tabs>
          <w:tab w:val="left" w:pos="551"/>
        </w:tabs>
        <w:ind w:left="0"/>
        <w:rPr>
          <w:rFonts w:ascii="Times New Roman" w:hAnsi="Times New Roman"/>
          <w:noProof/>
          <w:sz w:val="24"/>
        </w:rPr>
      </w:pPr>
      <w:r>
        <w:rPr>
          <w:rFonts w:ascii="Times New Roman" w:hAnsi="Times New Roman"/>
          <w:sz w:val="24"/>
        </w:rPr>
        <w:t xml:space="preserve">1. Šis ieteikums attiecas uz </w:t>
      </w:r>
      <w:proofErr w:type="spellStart"/>
      <w:r>
        <w:rPr>
          <w:rFonts w:ascii="Times New Roman" w:hAnsi="Times New Roman"/>
          <w:sz w:val="24"/>
        </w:rPr>
        <w:t>mikrouzņēmumu</w:t>
      </w:r>
      <w:proofErr w:type="spellEnd"/>
      <w:r>
        <w:rPr>
          <w:rFonts w:ascii="Times New Roman" w:hAnsi="Times New Roman"/>
          <w:sz w:val="24"/>
        </w:rPr>
        <w:t>, mazo un vidējo uzņēmumu definīciju, ko izmanto Kopienas politikā, kuru piemēro Kopienā un Eiropas Ekonomikas zonā.</w:t>
      </w:r>
    </w:p>
    <w:p w14:paraId="1148B7F7" w14:textId="77777777" w:rsidR="0046462A" w:rsidRPr="009606FB" w:rsidRDefault="0046462A" w:rsidP="007A18CF">
      <w:pPr>
        <w:pStyle w:val="ListParagraph"/>
        <w:tabs>
          <w:tab w:val="left" w:pos="551"/>
        </w:tabs>
        <w:ind w:left="0"/>
        <w:rPr>
          <w:rFonts w:ascii="Times New Roman" w:hAnsi="Times New Roman"/>
          <w:noProof/>
          <w:sz w:val="24"/>
        </w:rPr>
      </w:pPr>
    </w:p>
    <w:p w14:paraId="403CCECF" w14:textId="5E4DCB50" w:rsidR="008863EF" w:rsidRDefault="0046462A" w:rsidP="007A18CF">
      <w:pPr>
        <w:pStyle w:val="ListParagraph"/>
        <w:tabs>
          <w:tab w:val="left" w:pos="551"/>
        </w:tabs>
        <w:ind w:left="0"/>
        <w:rPr>
          <w:rFonts w:ascii="Times New Roman" w:hAnsi="Times New Roman"/>
          <w:noProof/>
          <w:sz w:val="24"/>
        </w:rPr>
      </w:pPr>
      <w:r>
        <w:rPr>
          <w:rFonts w:ascii="Times New Roman" w:hAnsi="Times New Roman"/>
          <w:sz w:val="24"/>
        </w:rPr>
        <w:t>2. Dalībvalstis, Eiropas Investīciju banka (</w:t>
      </w:r>
      <w:proofErr w:type="spellStart"/>
      <w:r>
        <w:rPr>
          <w:rFonts w:ascii="Times New Roman" w:hAnsi="Times New Roman"/>
          <w:sz w:val="24"/>
        </w:rPr>
        <w:t>EIB</w:t>
      </w:r>
      <w:proofErr w:type="spellEnd"/>
      <w:r>
        <w:rPr>
          <w:rFonts w:ascii="Times New Roman" w:hAnsi="Times New Roman"/>
          <w:sz w:val="24"/>
        </w:rPr>
        <w:t>) un Eiropas Investīciju fonds (</w:t>
      </w:r>
      <w:proofErr w:type="spellStart"/>
      <w:r>
        <w:rPr>
          <w:rFonts w:ascii="Times New Roman" w:hAnsi="Times New Roman"/>
          <w:sz w:val="24"/>
        </w:rPr>
        <w:t>EIF</w:t>
      </w:r>
      <w:proofErr w:type="spellEnd"/>
      <w:r>
        <w:rPr>
          <w:rFonts w:ascii="Times New Roman" w:hAnsi="Times New Roman"/>
          <w:sz w:val="24"/>
        </w:rPr>
        <w:t>) tiek aicināti:</w:t>
      </w:r>
    </w:p>
    <w:p w14:paraId="2824C58E" w14:textId="77777777" w:rsidR="0046462A" w:rsidRPr="009606FB" w:rsidRDefault="0046462A" w:rsidP="007A18CF">
      <w:pPr>
        <w:pStyle w:val="ListParagraph"/>
        <w:tabs>
          <w:tab w:val="left" w:pos="551"/>
        </w:tabs>
        <w:ind w:left="0"/>
        <w:rPr>
          <w:rFonts w:ascii="Times New Roman" w:hAnsi="Times New Roman"/>
          <w:noProof/>
          <w:sz w:val="24"/>
        </w:rPr>
      </w:pPr>
    </w:p>
    <w:p w14:paraId="77D6AD8B" w14:textId="16878643" w:rsidR="008863EF" w:rsidRPr="0046462A" w:rsidRDefault="0046462A" w:rsidP="00CC731C">
      <w:pPr>
        <w:ind w:left="284"/>
        <w:jc w:val="both"/>
        <w:rPr>
          <w:rFonts w:ascii="Times New Roman" w:hAnsi="Times New Roman"/>
          <w:noProof/>
          <w:sz w:val="24"/>
        </w:rPr>
      </w:pPr>
      <w:r>
        <w:rPr>
          <w:rFonts w:ascii="Times New Roman" w:hAnsi="Times New Roman"/>
          <w:sz w:val="24"/>
        </w:rPr>
        <w:t xml:space="preserve">a) ievērot pielikuma I sadaļu attiecībā uz programmām, kas skar vidējus uzņēmumus, mazus uzņēmumus vai </w:t>
      </w:r>
      <w:proofErr w:type="spellStart"/>
      <w:r>
        <w:rPr>
          <w:rFonts w:ascii="Times New Roman" w:hAnsi="Times New Roman"/>
          <w:sz w:val="24"/>
        </w:rPr>
        <w:t>mikrouzņēmumus</w:t>
      </w:r>
      <w:proofErr w:type="spellEnd"/>
      <w:r>
        <w:rPr>
          <w:rFonts w:ascii="Times New Roman" w:hAnsi="Times New Roman"/>
          <w:sz w:val="24"/>
        </w:rPr>
        <w:t>;</w:t>
      </w:r>
    </w:p>
    <w:p w14:paraId="2BF27A32" w14:textId="77777777" w:rsidR="0046462A" w:rsidRPr="009606FB" w:rsidRDefault="0046462A" w:rsidP="00CC731C">
      <w:pPr>
        <w:pStyle w:val="ListParagraph"/>
        <w:ind w:left="284"/>
        <w:rPr>
          <w:rFonts w:ascii="Times New Roman" w:hAnsi="Times New Roman"/>
          <w:noProof/>
          <w:sz w:val="24"/>
        </w:rPr>
      </w:pPr>
    </w:p>
    <w:p w14:paraId="01CC9F3E" w14:textId="68368165" w:rsidR="008863EF" w:rsidRPr="0046462A" w:rsidRDefault="0046462A" w:rsidP="00CC731C">
      <w:pPr>
        <w:ind w:left="284"/>
        <w:jc w:val="both"/>
        <w:rPr>
          <w:rFonts w:ascii="Times New Roman" w:hAnsi="Times New Roman"/>
          <w:noProof/>
          <w:sz w:val="24"/>
        </w:rPr>
      </w:pPr>
      <w:r>
        <w:rPr>
          <w:rFonts w:ascii="Times New Roman" w:hAnsi="Times New Roman"/>
          <w:sz w:val="24"/>
        </w:rPr>
        <w:t>b) veikt vajadzīgos pasākumus, lai izmantotu pielikuma 7. pantā noteiktās lieluma kategorijas, jo īpaši, ja tas skar uzraudzību pār to, kā šie uzņēmumi izmanto Kopienas finanšu instrumentus.</w:t>
      </w:r>
    </w:p>
    <w:p w14:paraId="6271C3BD" w14:textId="77777777" w:rsidR="00F12CE0" w:rsidRDefault="00F12CE0" w:rsidP="009606FB">
      <w:pPr>
        <w:jc w:val="both"/>
        <w:rPr>
          <w:rFonts w:ascii="Times New Roman" w:hAnsi="Times New Roman"/>
          <w:i/>
          <w:noProof/>
          <w:sz w:val="24"/>
        </w:rPr>
      </w:pPr>
    </w:p>
    <w:p w14:paraId="2205B6D0" w14:textId="24336336" w:rsidR="008863EF" w:rsidRDefault="008863EF" w:rsidP="00F12CE0">
      <w:pPr>
        <w:jc w:val="center"/>
        <w:rPr>
          <w:rFonts w:ascii="Times New Roman" w:hAnsi="Times New Roman"/>
          <w:i/>
          <w:noProof/>
          <w:sz w:val="24"/>
        </w:rPr>
      </w:pPr>
      <w:r>
        <w:rPr>
          <w:rFonts w:ascii="Times New Roman" w:hAnsi="Times New Roman"/>
          <w:i/>
          <w:sz w:val="24"/>
        </w:rPr>
        <w:t>2. pants</w:t>
      </w:r>
    </w:p>
    <w:p w14:paraId="5F66C350" w14:textId="77777777" w:rsidR="00F12CE0" w:rsidRPr="009606FB" w:rsidRDefault="00F12CE0" w:rsidP="00F12CE0">
      <w:pPr>
        <w:jc w:val="center"/>
        <w:rPr>
          <w:rFonts w:ascii="Times New Roman" w:hAnsi="Times New Roman"/>
          <w:i/>
          <w:noProof/>
          <w:sz w:val="24"/>
        </w:rPr>
      </w:pPr>
    </w:p>
    <w:p w14:paraId="50430043" w14:textId="77777777" w:rsidR="008863EF" w:rsidRPr="009606FB" w:rsidRDefault="008863EF" w:rsidP="009606FB">
      <w:pPr>
        <w:pStyle w:val="BodyText"/>
        <w:jc w:val="both"/>
        <w:rPr>
          <w:rFonts w:ascii="Times New Roman" w:hAnsi="Times New Roman"/>
          <w:noProof/>
          <w:sz w:val="24"/>
        </w:rPr>
      </w:pPr>
      <w:r>
        <w:rPr>
          <w:rFonts w:ascii="Times New Roman" w:hAnsi="Times New Roman"/>
          <w:sz w:val="24"/>
        </w:rPr>
        <w:t xml:space="preserve">Pielikuma 2. pantā norādītās augšējās robežas uzskatāmas par maksimālajām vērtībām. Dalībvalstis, </w:t>
      </w:r>
      <w:proofErr w:type="spellStart"/>
      <w:r>
        <w:rPr>
          <w:rFonts w:ascii="Times New Roman" w:hAnsi="Times New Roman"/>
          <w:sz w:val="24"/>
        </w:rPr>
        <w:t>EIB</w:t>
      </w:r>
      <w:proofErr w:type="spellEnd"/>
      <w:r>
        <w:rPr>
          <w:rFonts w:ascii="Times New Roman" w:hAnsi="Times New Roman"/>
          <w:sz w:val="24"/>
        </w:rPr>
        <w:t xml:space="preserve"> un </w:t>
      </w:r>
      <w:proofErr w:type="spellStart"/>
      <w:r>
        <w:rPr>
          <w:rFonts w:ascii="Times New Roman" w:hAnsi="Times New Roman"/>
          <w:sz w:val="24"/>
        </w:rPr>
        <w:t>EIF</w:t>
      </w:r>
      <w:proofErr w:type="spellEnd"/>
      <w:r>
        <w:rPr>
          <w:rFonts w:ascii="Times New Roman" w:hAnsi="Times New Roman"/>
          <w:sz w:val="24"/>
        </w:rPr>
        <w:t xml:space="preserve"> var noteikt zemākas augšējās robežas. Īstenojot atsevišķas savas politikas jomas, tie var arī izvēlēties piemērot tikai darbinieku skaita kritēriju, izņemot jomās, kuras reglamentē dažādi noteikumi par valsts atbalstu.</w:t>
      </w:r>
    </w:p>
    <w:p w14:paraId="356DEBBF" w14:textId="77777777" w:rsidR="008863EF" w:rsidRPr="009606FB" w:rsidRDefault="008863EF" w:rsidP="009606FB">
      <w:pPr>
        <w:pStyle w:val="BodyText"/>
        <w:jc w:val="both"/>
        <w:rPr>
          <w:rFonts w:ascii="Times New Roman" w:hAnsi="Times New Roman"/>
          <w:noProof/>
          <w:sz w:val="24"/>
        </w:rPr>
      </w:pPr>
    </w:p>
    <w:p w14:paraId="54F9DD52" w14:textId="77777777" w:rsidR="008863EF" w:rsidRDefault="008863EF" w:rsidP="00F12CE0">
      <w:pPr>
        <w:jc w:val="center"/>
        <w:rPr>
          <w:rFonts w:ascii="Times New Roman" w:hAnsi="Times New Roman"/>
          <w:i/>
          <w:noProof/>
          <w:sz w:val="24"/>
        </w:rPr>
      </w:pPr>
      <w:r>
        <w:rPr>
          <w:rFonts w:ascii="Times New Roman" w:hAnsi="Times New Roman"/>
          <w:i/>
          <w:sz w:val="24"/>
        </w:rPr>
        <w:t>3. pants</w:t>
      </w:r>
    </w:p>
    <w:p w14:paraId="651DEE68" w14:textId="77777777" w:rsidR="00F12CE0" w:rsidRPr="009606FB" w:rsidRDefault="00F12CE0" w:rsidP="00F12CE0">
      <w:pPr>
        <w:jc w:val="center"/>
        <w:rPr>
          <w:rFonts w:ascii="Times New Roman" w:hAnsi="Times New Roman"/>
          <w:i/>
          <w:noProof/>
          <w:sz w:val="24"/>
        </w:rPr>
      </w:pPr>
    </w:p>
    <w:p w14:paraId="10AC71F4" w14:textId="77777777" w:rsidR="008863EF" w:rsidRPr="009606FB" w:rsidRDefault="008863EF" w:rsidP="009606FB">
      <w:pPr>
        <w:pStyle w:val="BodyText"/>
        <w:jc w:val="both"/>
        <w:rPr>
          <w:rFonts w:ascii="Times New Roman" w:hAnsi="Times New Roman"/>
          <w:noProof/>
          <w:sz w:val="24"/>
        </w:rPr>
      </w:pPr>
      <w:r>
        <w:rPr>
          <w:rFonts w:ascii="Times New Roman" w:hAnsi="Times New Roman"/>
          <w:sz w:val="24"/>
        </w:rPr>
        <w:t>Pēc 2005. gada 1. janvāra ar šo ieteikumu aizstāj Ieteikumu 96/280/EK.</w:t>
      </w:r>
    </w:p>
    <w:p w14:paraId="429C44FA" w14:textId="77777777" w:rsidR="008863EF" w:rsidRPr="009606FB" w:rsidRDefault="008863EF" w:rsidP="009606FB">
      <w:pPr>
        <w:pStyle w:val="BodyText"/>
        <w:jc w:val="both"/>
        <w:rPr>
          <w:rFonts w:ascii="Times New Roman" w:hAnsi="Times New Roman"/>
          <w:noProof/>
          <w:sz w:val="24"/>
        </w:rPr>
      </w:pPr>
    </w:p>
    <w:p w14:paraId="000F1286" w14:textId="77777777" w:rsidR="008863EF" w:rsidRDefault="008863EF" w:rsidP="00F12CE0">
      <w:pPr>
        <w:jc w:val="center"/>
        <w:rPr>
          <w:rFonts w:ascii="Times New Roman" w:hAnsi="Times New Roman"/>
          <w:i/>
          <w:noProof/>
          <w:sz w:val="24"/>
        </w:rPr>
      </w:pPr>
      <w:r>
        <w:rPr>
          <w:rFonts w:ascii="Times New Roman" w:hAnsi="Times New Roman"/>
          <w:i/>
          <w:sz w:val="24"/>
        </w:rPr>
        <w:t>4. pants</w:t>
      </w:r>
    </w:p>
    <w:p w14:paraId="40E2FFFD" w14:textId="77777777" w:rsidR="00F12CE0" w:rsidRPr="009606FB" w:rsidRDefault="00F12CE0" w:rsidP="00F12CE0">
      <w:pPr>
        <w:jc w:val="center"/>
        <w:rPr>
          <w:rFonts w:ascii="Times New Roman" w:hAnsi="Times New Roman"/>
          <w:i/>
          <w:noProof/>
          <w:sz w:val="24"/>
        </w:rPr>
      </w:pPr>
    </w:p>
    <w:p w14:paraId="5D466124" w14:textId="77777777" w:rsidR="008863EF" w:rsidRDefault="008863EF" w:rsidP="009606FB">
      <w:pPr>
        <w:pStyle w:val="BodyText"/>
        <w:jc w:val="both"/>
        <w:rPr>
          <w:rFonts w:ascii="Times New Roman" w:hAnsi="Times New Roman"/>
          <w:noProof/>
          <w:sz w:val="24"/>
        </w:rPr>
      </w:pPr>
      <w:r>
        <w:rPr>
          <w:rFonts w:ascii="Times New Roman" w:hAnsi="Times New Roman"/>
          <w:sz w:val="24"/>
        </w:rPr>
        <w:t xml:space="preserve">Šis ieteikums ir adresēts dalībvalstīm, </w:t>
      </w:r>
      <w:proofErr w:type="spellStart"/>
      <w:r>
        <w:rPr>
          <w:rFonts w:ascii="Times New Roman" w:hAnsi="Times New Roman"/>
          <w:sz w:val="24"/>
        </w:rPr>
        <w:t>EIB</w:t>
      </w:r>
      <w:proofErr w:type="spellEnd"/>
      <w:r>
        <w:rPr>
          <w:rFonts w:ascii="Times New Roman" w:hAnsi="Times New Roman"/>
          <w:sz w:val="24"/>
        </w:rPr>
        <w:t xml:space="preserve"> un </w:t>
      </w:r>
      <w:proofErr w:type="spellStart"/>
      <w:r>
        <w:rPr>
          <w:rFonts w:ascii="Times New Roman" w:hAnsi="Times New Roman"/>
          <w:sz w:val="24"/>
        </w:rPr>
        <w:t>EIF</w:t>
      </w:r>
      <w:proofErr w:type="spellEnd"/>
      <w:r>
        <w:rPr>
          <w:rFonts w:ascii="Times New Roman" w:hAnsi="Times New Roman"/>
          <w:sz w:val="24"/>
        </w:rPr>
        <w:t>.</w:t>
      </w:r>
    </w:p>
    <w:p w14:paraId="59D0661E" w14:textId="77777777" w:rsidR="00F12CE0" w:rsidRPr="009606FB" w:rsidRDefault="00F12CE0" w:rsidP="009606FB">
      <w:pPr>
        <w:pStyle w:val="BodyText"/>
        <w:jc w:val="both"/>
        <w:rPr>
          <w:rFonts w:ascii="Times New Roman" w:hAnsi="Times New Roman"/>
          <w:noProof/>
          <w:sz w:val="24"/>
        </w:rPr>
      </w:pPr>
    </w:p>
    <w:p w14:paraId="70098056" w14:textId="77777777" w:rsidR="008863EF" w:rsidRPr="009606FB" w:rsidRDefault="008863EF" w:rsidP="009606FB">
      <w:pPr>
        <w:pStyle w:val="BodyText"/>
        <w:jc w:val="both"/>
        <w:rPr>
          <w:rFonts w:ascii="Times New Roman" w:hAnsi="Times New Roman"/>
          <w:noProof/>
          <w:sz w:val="24"/>
        </w:rPr>
      </w:pPr>
      <w:r>
        <w:rPr>
          <w:rFonts w:ascii="Times New Roman" w:hAnsi="Times New Roman"/>
          <w:sz w:val="24"/>
        </w:rPr>
        <w:t>Tiem līdz 2004. gada 31. decembrim jāinformē Komisija par visiem pasākumiem, ko tie veikuši papildus, un ne vēlāk kā līdz 2005. gada 30. septembrim jāinformē Komisija par ieteikuma īstenošanas pirmajiem rezultātiem.</w:t>
      </w:r>
    </w:p>
    <w:p w14:paraId="378D5E0D" w14:textId="77777777" w:rsidR="008863EF" w:rsidRPr="009606FB" w:rsidRDefault="008863EF" w:rsidP="009606FB">
      <w:pPr>
        <w:pStyle w:val="BodyText"/>
        <w:jc w:val="both"/>
        <w:rPr>
          <w:rFonts w:ascii="Times New Roman" w:hAnsi="Times New Roman"/>
          <w:noProof/>
          <w:sz w:val="24"/>
        </w:rPr>
      </w:pPr>
    </w:p>
    <w:p w14:paraId="3E85E320" w14:textId="77777777" w:rsidR="008863EF" w:rsidRPr="009606FB" w:rsidRDefault="008863EF" w:rsidP="009606FB">
      <w:pPr>
        <w:pStyle w:val="BodyText"/>
        <w:jc w:val="both"/>
        <w:rPr>
          <w:rFonts w:ascii="Times New Roman" w:hAnsi="Times New Roman"/>
          <w:noProof/>
          <w:sz w:val="24"/>
        </w:rPr>
      </w:pPr>
    </w:p>
    <w:p w14:paraId="3167181F" w14:textId="77777777" w:rsidR="008863EF" w:rsidRPr="009606FB" w:rsidRDefault="008863EF" w:rsidP="009606FB">
      <w:pPr>
        <w:pStyle w:val="BodyText"/>
        <w:jc w:val="both"/>
        <w:rPr>
          <w:rFonts w:ascii="Times New Roman" w:hAnsi="Times New Roman"/>
          <w:noProof/>
          <w:sz w:val="24"/>
        </w:rPr>
      </w:pPr>
      <w:r>
        <w:rPr>
          <w:rFonts w:ascii="Times New Roman" w:hAnsi="Times New Roman"/>
          <w:sz w:val="24"/>
        </w:rPr>
        <w:t>Briselē, 2003. gada 6. maijā</w:t>
      </w:r>
    </w:p>
    <w:p w14:paraId="5B151A67" w14:textId="77777777" w:rsidR="008863EF" w:rsidRPr="009606FB" w:rsidRDefault="008863EF" w:rsidP="009606FB">
      <w:pPr>
        <w:pStyle w:val="BodyText"/>
        <w:jc w:val="both"/>
        <w:rPr>
          <w:rFonts w:ascii="Times New Roman" w:hAnsi="Times New Roman"/>
          <w:noProof/>
          <w:sz w:val="24"/>
        </w:rPr>
      </w:pPr>
    </w:p>
    <w:p w14:paraId="53A2C3A6" w14:textId="77777777" w:rsidR="008863EF" w:rsidRPr="009606FB" w:rsidRDefault="008863EF" w:rsidP="00F12CE0">
      <w:pPr>
        <w:jc w:val="center"/>
        <w:rPr>
          <w:rFonts w:ascii="Times New Roman" w:hAnsi="Times New Roman"/>
          <w:i/>
          <w:noProof/>
          <w:sz w:val="24"/>
        </w:rPr>
      </w:pPr>
      <w:r>
        <w:rPr>
          <w:rFonts w:ascii="Times New Roman" w:hAnsi="Times New Roman"/>
          <w:i/>
          <w:sz w:val="24"/>
        </w:rPr>
        <w:t>Komisijas vārdā</w:t>
      </w:r>
    </w:p>
    <w:p w14:paraId="2638962A" w14:textId="77777777" w:rsidR="008863EF" w:rsidRPr="009606FB" w:rsidRDefault="008863EF" w:rsidP="00F12CE0">
      <w:pPr>
        <w:jc w:val="center"/>
        <w:rPr>
          <w:rFonts w:ascii="Times New Roman" w:hAnsi="Times New Roman"/>
          <w:noProof/>
          <w:sz w:val="24"/>
        </w:rPr>
      </w:pPr>
      <w:r>
        <w:rPr>
          <w:rFonts w:ascii="Times New Roman" w:hAnsi="Times New Roman"/>
          <w:sz w:val="24"/>
        </w:rPr>
        <w:t xml:space="preserve">Erki </w:t>
      </w:r>
      <w:proofErr w:type="spellStart"/>
      <w:r>
        <w:rPr>
          <w:rFonts w:ascii="Times New Roman" w:hAnsi="Times New Roman"/>
          <w:sz w:val="24"/>
        </w:rPr>
        <w:t>LIKANENS</w:t>
      </w:r>
      <w:proofErr w:type="spellEnd"/>
      <w:r>
        <w:rPr>
          <w:rFonts w:ascii="Times New Roman" w:hAnsi="Times New Roman"/>
          <w:sz w:val="24"/>
        </w:rPr>
        <w:t xml:space="preserve"> [</w:t>
      </w:r>
      <w:proofErr w:type="spellStart"/>
      <w:r>
        <w:rPr>
          <w:rFonts w:ascii="Times New Roman" w:hAnsi="Times New Roman"/>
          <w:i/>
          <w:iCs/>
          <w:sz w:val="24"/>
        </w:rPr>
        <w:t>Erkki</w:t>
      </w:r>
      <w:proofErr w:type="spellEnd"/>
      <w:r>
        <w:rPr>
          <w:rFonts w:ascii="Times New Roman" w:hAnsi="Times New Roman"/>
          <w:i/>
          <w:iCs/>
          <w:sz w:val="24"/>
        </w:rPr>
        <w:t xml:space="preserve"> </w:t>
      </w:r>
      <w:proofErr w:type="spellStart"/>
      <w:r>
        <w:rPr>
          <w:rFonts w:ascii="Times New Roman" w:hAnsi="Times New Roman"/>
          <w:i/>
          <w:iCs/>
          <w:sz w:val="24"/>
        </w:rPr>
        <w:t>LIIKANEN</w:t>
      </w:r>
      <w:proofErr w:type="spellEnd"/>
      <w:r>
        <w:rPr>
          <w:rFonts w:ascii="Times New Roman" w:hAnsi="Times New Roman"/>
          <w:sz w:val="24"/>
        </w:rPr>
        <w:t>]</w:t>
      </w:r>
    </w:p>
    <w:p w14:paraId="63E5A172" w14:textId="77777777" w:rsidR="008863EF" w:rsidRPr="009606FB" w:rsidRDefault="008863EF" w:rsidP="00F12CE0">
      <w:pPr>
        <w:jc w:val="center"/>
        <w:rPr>
          <w:rFonts w:ascii="Times New Roman" w:hAnsi="Times New Roman"/>
          <w:i/>
          <w:noProof/>
          <w:sz w:val="24"/>
        </w:rPr>
      </w:pPr>
      <w:r>
        <w:rPr>
          <w:rFonts w:ascii="Times New Roman" w:hAnsi="Times New Roman"/>
          <w:i/>
          <w:sz w:val="24"/>
        </w:rPr>
        <w:t>Komisijas loceklis</w:t>
      </w:r>
    </w:p>
    <w:p w14:paraId="07EF49C4" w14:textId="77777777" w:rsidR="008B20CC" w:rsidRPr="009606FB" w:rsidRDefault="008B20CC" w:rsidP="009606FB">
      <w:pPr>
        <w:jc w:val="both"/>
        <w:rPr>
          <w:rFonts w:ascii="Times New Roman" w:hAnsi="Times New Roman"/>
          <w:noProof/>
          <w:sz w:val="24"/>
        </w:rPr>
      </w:pPr>
    </w:p>
    <w:p w14:paraId="02210EB5" w14:textId="77777777" w:rsidR="008863EF" w:rsidRPr="009606FB" w:rsidRDefault="008863EF" w:rsidP="009606FB">
      <w:pPr>
        <w:pStyle w:val="BodyText"/>
        <w:jc w:val="both"/>
        <w:rPr>
          <w:rFonts w:ascii="Times New Roman" w:hAnsi="Times New Roman"/>
          <w:i/>
          <w:noProof/>
          <w:sz w:val="24"/>
        </w:rPr>
      </w:pPr>
    </w:p>
    <w:p w14:paraId="1AFE37AD" w14:textId="781AFE0B" w:rsidR="008863EF" w:rsidRPr="00F12CE0" w:rsidRDefault="008863EF" w:rsidP="00FA1A73">
      <w:pPr>
        <w:pStyle w:val="BodyText"/>
        <w:jc w:val="center"/>
        <w:rPr>
          <w:rFonts w:ascii="Times New Roman" w:hAnsi="Times New Roman"/>
          <w:noProof/>
          <w:sz w:val="24"/>
        </w:rPr>
      </w:pPr>
      <w:r>
        <w:rPr>
          <w:rFonts w:ascii="Times New Roman" w:hAnsi="Times New Roman"/>
          <w:noProof/>
          <w:sz w:val="24"/>
        </w:rPr>
        <mc:AlternateContent>
          <mc:Choice Requires="wpg">
            <w:drawing>
              <wp:inline distT="0" distB="0" distL="0" distR="0" wp14:anchorId="4090E32A" wp14:editId="116794FB">
                <wp:extent cx="325755" cy="7620"/>
                <wp:effectExtent l="0" t="3810" r="0" b="0"/>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7620"/>
                          <a:chOff x="0" y="0"/>
                          <a:chExt cx="513" cy="12"/>
                        </a:xfrm>
                      </wpg:grpSpPr>
                      <wps:wsp>
                        <wps:cNvPr id="15" name="Rectangle 4"/>
                        <wps:cNvSpPr>
                          <a:spLocks noChangeArrowheads="1"/>
                        </wps:cNvSpPr>
                        <wps:spPr bwMode="auto">
                          <a:xfrm>
                            <a:off x="0" y="0"/>
                            <a:ext cx="513" cy="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D73629" id="Group 3" o:spid="_x0000_s1026" style="width:25.65pt;height:.6pt;mso-position-horizontal-relative:char;mso-position-vertical-relative:line" coordsize="5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">
                <v:rect id="Rectangle 4" o:spid="_x0000_s1027" style="position:absolute;width:5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" fillcolor="#231f20" stroked="f"/>
                <w10:anchorlock/>
              </v:group>
            </w:pict>
          </mc:Fallback>
        </mc:AlternateContent>
      </w:r>
    </w:p>
    <w:p w14:paraId="4DADD512" w14:textId="77777777" w:rsidR="00F12CE0" w:rsidRDefault="00F12CE0">
      <w:pPr>
        <w:rPr>
          <w:rFonts w:ascii="Times New Roman" w:hAnsi="Times New Roman"/>
          <w:i/>
          <w:noProof/>
          <w:sz w:val="24"/>
        </w:rPr>
      </w:pPr>
      <w:r>
        <w:br w:type="page"/>
      </w:r>
    </w:p>
    <w:p w14:paraId="25AAB660" w14:textId="5F835DAE" w:rsidR="008863EF" w:rsidRPr="009606FB" w:rsidRDefault="008863EF" w:rsidP="003A6455">
      <w:pPr>
        <w:jc w:val="center"/>
        <w:rPr>
          <w:rFonts w:ascii="Times New Roman" w:hAnsi="Times New Roman"/>
          <w:i/>
          <w:noProof/>
          <w:sz w:val="24"/>
        </w:rPr>
      </w:pPr>
      <w:r>
        <w:rPr>
          <w:rFonts w:ascii="Times New Roman" w:hAnsi="Times New Roman"/>
          <w:i/>
          <w:sz w:val="24"/>
        </w:rPr>
        <w:t>PIELIKUMS</w:t>
      </w:r>
    </w:p>
    <w:p w14:paraId="21234224" w14:textId="77777777" w:rsidR="008863EF" w:rsidRPr="009606FB" w:rsidRDefault="008863EF" w:rsidP="003A6455">
      <w:pPr>
        <w:pStyle w:val="BodyText"/>
        <w:jc w:val="center"/>
        <w:rPr>
          <w:rFonts w:ascii="Times New Roman" w:hAnsi="Times New Roman"/>
          <w:i/>
          <w:noProof/>
          <w:sz w:val="24"/>
        </w:rPr>
      </w:pPr>
    </w:p>
    <w:p w14:paraId="60AD1A92" w14:textId="77777777" w:rsidR="008863EF" w:rsidRPr="009606FB" w:rsidRDefault="008863EF" w:rsidP="003A6455">
      <w:pPr>
        <w:jc w:val="center"/>
        <w:rPr>
          <w:rFonts w:ascii="Times New Roman" w:hAnsi="Times New Roman"/>
          <w:noProof/>
          <w:sz w:val="24"/>
        </w:rPr>
      </w:pPr>
      <w:r>
        <w:rPr>
          <w:rFonts w:ascii="Times New Roman" w:hAnsi="Times New Roman"/>
          <w:sz w:val="24"/>
        </w:rPr>
        <w:t>I SADAĻA</w:t>
      </w:r>
    </w:p>
    <w:p w14:paraId="6BE1356B" w14:textId="77777777" w:rsidR="008863EF" w:rsidRPr="009606FB" w:rsidRDefault="008863EF" w:rsidP="003A6455">
      <w:pPr>
        <w:pStyle w:val="BodyText"/>
        <w:jc w:val="center"/>
        <w:rPr>
          <w:rFonts w:ascii="Times New Roman" w:hAnsi="Times New Roman"/>
          <w:noProof/>
          <w:sz w:val="24"/>
        </w:rPr>
      </w:pPr>
    </w:p>
    <w:p w14:paraId="39CB36AB" w14:textId="77777777" w:rsidR="008863EF" w:rsidRPr="009606FB" w:rsidRDefault="008863EF" w:rsidP="003A6455">
      <w:pPr>
        <w:jc w:val="center"/>
        <w:rPr>
          <w:rFonts w:ascii="Times New Roman" w:hAnsi="Times New Roman"/>
          <w:b/>
          <w:noProof/>
          <w:sz w:val="24"/>
        </w:rPr>
      </w:pPr>
      <w:r>
        <w:rPr>
          <w:rFonts w:ascii="Times New Roman" w:hAnsi="Times New Roman"/>
          <w:b/>
          <w:sz w:val="24"/>
        </w:rPr>
        <w:t xml:space="preserve">KOMISIJAS PIEŅEMTĀ </w:t>
      </w:r>
      <w:proofErr w:type="spellStart"/>
      <w:r>
        <w:rPr>
          <w:rFonts w:ascii="Times New Roman" w:hAnsi="Times New Roman"/>
          <w:b/>
          <w:sz w:val="24"/>
        </w:rPr>
        <w:t>MIKROUZŅĒMUMU</w:t>
      </w:r>
      <w:proofErr w:type="spellEnd"/>
      <w:r>
        <w:rPr>
          <w:rFonts w:ascii="Times New Roman" w:hAnsi="Times New Roman"/>
          <w:b/>
          <w:sz w:val="24"/>
        </w:rPr>
        <w:t>, MAZO UN VIDĒJO UZŅĒMUMU DEFINĪCIJA</w:t>
      </w:r>
    </w:p>
    <w:p w14:paraId="43FD0E12" w14:textId="77777777" w:rsidR="008863EF" w:rsidRPr="009606FB" w:rsidRDefault="008863EF" w:rsidP="003A6455">
      <w:pPr>
        <w:pStyle w:val="BodyText"/>
        <w:jc w:val="center"/>
        <w:rPr>
          <w:rFonts w:ascii="Times New Roman" w:hAnsi="Times New Roman"/>
          <w:b/>
          <w:noProof/>
          <w:sz w:val="24"/>
        </w:rPr>
      </w:pPr>
    </w:p>
    <w:p w14:paraId="5E119B1C" w14:textId="77777777" w:rsidR="008863EF" w:rsidRPr="009606FB" w:rsidRDefault="008863EF" w:rsidP="003A6455">
      <w:pPr>
        <w:pStyle w:val="BodyText"/>
        <w:jc w:val="center"/>
        <w:rPr>
          <w:rFonts w:ascii="Times New Roman" w:hAnsi="Times New Roman"/>
          <w:b/>
          <w:noProof/>
          <w:sz w:val="24"/>
        </w:rPr>
      </w:pPr>
    </w:p>
    <w:p w14:paraId="64786174" w14:textId="77777777" w:rsidR="008863EF" w:rsidRPr="009606FB" w:rsidRDefault="008863EF" w:rsidP="003A6455">
      <w:pPr>
        <w:jc w:val="center"/>
        <w:rPr>
          <w:rFonts w:ascii="Times New Roman" w:hAnsi="Times New Roman"/>
          <w:i/>
          <w:noProof/>
          <w:sz w:val="24"/>
        </w:rPr>
      </w:pPr>
      <w:r>
        <w:rPr>
          <w:rFonts w:ascii="Times New Roman" w:hAnsi="Times New Roman"/>
          <w:i/>
          <w:sz w:val="24"/>
        </w:rPr>
        <w:t>1. pants</w:t>
      </w:r>
    </w:p>
    <w:p w14:paraId="793F88A3" w14:textId="77777777" w:rsidR="008863EF" w:rsidRPr="009606FB" w:rsidRDefault="008863EF" w:rsidP="003A6455">
      <w:pPr>
        <w:pStyle w:val="BodyText"/>
        <w:jc w:val="center"/>
        <w:rPr>
          <w:rFonts w:ascii="Times New Roman" w:hAnsi="Times New Roman"/>
          <w:i/>
          <w:noProof/>
          <w:sz w:val="24"/>
        </w:rPr>
      </w:pPr>
    </w:p>
    <w:p w14:paraId="1569CBD4" w14:textId="77777777" w:rsidR="008863EF" w:rsidRPr="009606FB" w:rsidRDefault="008863EF" w:rsidP="003A6455">
      <w:pPr>
        <w:jc w:val="center"/>
        <w:rPr>
          <w:rFonts w:ascii="Times New Roman" w:hAnsi="Times New Roman"/>
          <w:b/>
          <w:noProof/>
          <w:sz w:val="24"/>
        </w:rPr>
      </w:pPr>
      <w:r>
        <w:rPr>
          <w:rFonts w:ascii="Times New Roman" w:hAnsi="Times New Roman"/>
          <w:b/>
          <w:sz w:val="24"/>
        </w:rPr>
        <w:t>Uzņēmums</w:t>
      </w:r>
    </w:p>
    <w:p w14:paraId="16BD4C2D" w14:textId="77777777" w:rsidR="008863EF" w:rsidRPr="009606FB" w:rsidRDefault="008863EF" w:rsidP="009606FB">
      <w:pPr>
        <w:pStyle w:val="BodyText"/>
        <w:jc w:val="both"/>
        <w:rPr>
          <w:rFonts w:ascii="Times New Roman" w:hAnsi="Times New Roman"/>
          <w:b/>
          <w:noProof/>
          <w:sz w:val="24"/>
        </w:rPr>
      </w:pPr>
    </w:p>
    <w:p w14:paraId="77200AC0" w14:textId="0E0EDD5B" w:rsidR="008863EF" w:rsidRPr="009606FB" w:rsidRDefault="008863EF" w:rsidP="009606FB">
      <w:pPr>
        <w:jc w:val="both"/>
        <w:rPr>
          <w:rFonts w:ascii="Times New Roman" w:hAnsi="Times New Roman"/>
          <w:noProof/>
          <w:sz w:val="24"/>
        </w:rPr>
      </w:pPr>
      <w:r>
        <w:rPr>
          <w:rFonts w:ascii="Times New Roman" w:hAnsi="Times New Roman"/>
          <w:sz w:val="24"/>
        </w:rPr>
        <w:t xml:space="preserve">Par uzņēmumu uzskata jebkuru saimnieciskās darbības subjektu neatkarīgi no tā juridiskās formas. Pie tiem cita starpā pieder </w:t>
      </w:r>
      <w:proofErr w:type="spellStart"/>
      <w:r>
        <w:rPr>
          <w:rFonts w:ascii="Times New Roman" w:hAnsi="Times New Roman"/>
          <w:sz w:val="24"/>
        </w:rPr>
        <w:t>pašnodarbinātas</w:t>
      </w:r>
      <w:proofErr w:type="spellEnd"/>
      <w:r>
        <w:rPr>
          <w:rFonts w:ascii="Times New Roman" w:hAnsi="Times New Roman"/>
          <w:sz w:val="24"/>
        </w:rPr>
        <w:t xml:space="preserve"> personas un ģimenes uzņēmumi, kas nodarbojas ar amatniecību vai veic citu darbību, kā arī personālsabiedrības un apvienības, kas iesaistītas saimnieciskajā darbībā.</w:t>
      </w:r>
    </w:p>
    <w:p w14:paraId="4E5A3919" w14:textId="77777777" w:rsidR="008863EF" w:rsidRPr="009606FB" w:rsidRDefault="008863EF" w:rsidP="009606FB">
      <w:pPr>
        <w:pStyle w:val="BodyText"/>
        <w:jc w:val="both"/>
        <w:rPr>
          <w:rFonts w:ascii="Times New Roman" w:hAnsi="Times New Roman"/>
          <w:noProof/>
          <w:sz w:val="24"/>
        </w:rPr>
      </w:pPr>
    </w:p>
    <w:p w14:paraId="764D6047" w14:textId="77777777" w:rsidR="008863EF" w:rsidRPr="009606FB" w:rsidRDefault="008863EF" w:rsidP="003A6455">
      <w:pPr>
        <w:jc w:val="center"/>
        <w:rPr>
          <w:rFonts w:ascii="Times New Roman" w:hAnsi="Times New Roman"/>
          <w:i/>
          <w:noProof/>
          <w:sz w:val="24"/>
        </w:rPr>
      </w:pPr>
      <w:r>
        <w:rPr>
          <w:rFonts w:ascii="Times New Roman" w:hAnsi="Times New Roman"/>
          <w:i/>
          <w:sz w:val="24"/>
        </w:rPr>
        <w:t>2. pants</w:t>
      </w:r>
    </w:p>
    <w:p w14:paraId="117368B9" w14:textId="77777777" w:rsidR="008863EF" w:rsidRPr="009606FB" w:rsidRDefault="008863EF" w:rsidP="009606FB">
      <w:pPr>
        <w:pStyle w:val="BodyText"/>
        <w:jc w:val="both"/>
        <w:rPr>
          <w:rFonts w:ascii="Times New Roman" w:hAnsi="Times New Roman"/>
          <w:i/>
          <w:noProof/>
          <w:sz w:val="24"/>
        </w:rPr>
      </w:pPr>
    </w:p>
    <w:p w14:paraId="13854E76" w14:textId="77777777" w:rsidR="008863EF" w:rsidRPr="009606FB" w:rsidRDefault="008863EF" w:rsidP="003A6455">
      <w:pPr>
        <w:jc w:val="center"/>
        <w:rPr>
          <w:rFonts w:ascii="Times New Roman" w:hAnsi="Times New Roman"/>
          <w:b/>
          <w:noProof/>
          <w:sz w:val="24"/>
        </w:rPr>
      </w:pPr>
      <w:r>
        <w:rPr>
          <w:rFonts w:ascii="Times New Roman" w:hAnsi="Times New Roman"/>
          <w:b/>
          <w:sz w:val="24"/>
        </w:rPr>
        <w:t>Darbinieku skaits un finanšu augšējās robežas, pēc kurām nosaka uzņēmumu kategoriju</w:t>
      </w:r>
    </w:p>
    <w:p w14:paraId="7C1FC2C1" w14:textId="77777777" w:rsidR="008863EF" w:rsidRPr="009606FB" w:rsidRDefault="008863EF" w:rsidP="009606FB">
      <w:pPr>
        <w:pStyle w:val="BodyText"/>
        <w:jc w:val="both"/>
        <w:rPr>
          <w:rFonts w:ascii="Times New Roman" w:hAnsi="Times New Roman"/>
          <w:b/>
          <w:noProof/>
          <w:sz w:val="24"/>
        </w:rPr>
      </w:pPr>
    </w:p>
    <w:p w14:paraId="697F67A9" w14:textId="465A8389" w:rsidR="008863EF" w:rsidRPr="003A6455" w:rsidRDefault="003A6455" w:rsidP="003A6455">
      <w:pPr>
        <w:tabs>
          <w:tab w:val="left" w:pos="1527"/>
        </w:tabs>
        <w:jc w:val="both"/>
        <w:rPr>
          <w:rFonts w:ascii="Times New Roman" w:hAnsi="Times New Roman"/>
          <w:noProof/>
          <w:sz w:val="24"/>
        </w:rPr>
      </w:pPr>
      <w:r>
        <w:rPr>
          <w:rFonts w:ascii="Times New Roman" w:hAnsi="Times New Roman"/>
          <w:sz w:val="24"/>
        </w:rPr>
        <w:t xml:space="preserve">1. </w:t>
      </w:r>
      <w:proofErr w:type="spellStart"/>
      <w:r>
        <w:rPr>
          <w:rFonts w:ascii="Times New Roman" w:hAnsi="Times New Roman"/>
          <w:sz w:val="24"/>
        </w:rPr>
        <w:t>Mikrouzņēmumu</w:t>
      </w:r>
      <w:proofErr w:type="spellEnd"/>
      <w:r>
        <w:rPr>
          <w:rFonts w:ascii="Times New Roman" w:hAnsi="Times New Roman"/>
          <w:sz w:val="24"/>
        </w:rPr>
        <w:t>, mazo un vidējo uzņēmumu (</w:t>
      </w:r>
      <w:proofErr w:type="spellStart"/>
      <w:r>
        <w:rPr>
          <w:rFonts w:ascii="Times New Roman" w:hAnsi="Times New Roman"/>
          <w:sz w:val="24"/>
        </w:rPr>
        <w:t>MVU</w:t>
      </w:r>
      <w:proofErr w:type="spellEnd"/>
      <w:r>
        <w:rPr>
          <w:rFonts w:ascii="Times New Roman" w:hAnsi="Times New Roman"/>
          <w:sz w:val="24"/>
        </w:rPr>
        <w:t>) kategorijā ietilpst uzņēmumi, kam ir mazāk nekā 250 darbinieku un kuru gada apgrozījums nepārsniedz 50 milj. EUR un/vai gada bilances kopsumma nepārsniedz 43 milj. EUR.</w:t>
      </w:r>
    </w:p>
    <w:p w14:paraId="57B8C0D8" w14:textId="77777777" w:rsidR="008863EF" w:rsidRPr="009606FB" w:rsidRDefault="008863EF" w:rsidP="003A6455">
      <w:pPr>
        <w:pStyle w:val="BodyText"/>
        <w:jc w:val="both"/>
        <w:rPr>
          <w:rFonts w:ascii="Times New Roman" w:hAnsi="Times New Roman"/>
          <w:noProof/>
          <w:sz w:val="24"/>
        </w:rPr>
      </w:pPr>
    </w:p>
    <w:p w14:paraId="65CB015F" w14:textId="1CE86DAD" w:rsidR="008863EF" w:rsidRPr="003A6455" w:rsidRDefault="003A6455" w:rsidP="003A6455">
      <w:pPr>
        <w:tabs>
          <w:tab w:val="left" w:pos="1527"/>
        </w:tabs>
        <w:jc w:val="both"/>
        <w:rPr>
          <w:rFonts w:ascii="Times New Roman" w:hAnsi="Times New Roman"/>
          <w:noProof/>
          <w:sz w:val="24"/>
        </w:rPr>
      </w:pPr>
      <w:r>
        <w:rPr>
          <w:rFonts w:ascii="Times New Roman" w:hAnsi="Times New Roman"/>
          <w:sz w:val="24"/>
        </w:rPr>
        <w:t xml:space="preserve">2. </w:t>
      </w:r>
      <w:proofErr w:type="spellStart"/>
      <w:r>
        <w:rPr>
          <w:rFonts w:ascii="Times New Roman" w:hAnsi="Times New Roman"/>
          <w:sz w:val="24"/>
        </w:rPr>
        <w:t>MVU</w:t>
      </w:r>
      <w:proofErr w:type="spellEnd"/>
      <w:r>
        <w:rPr>
          <w:rFonts w:ascii="Times New Roman" w:hAnsi="Times New Roman"/>
          <w:sz w:val="24"/>
        </w:rPr>
        <w:t xml:space="preserve"> kategorijas uzņēmumu definē kā mazu, ja tam ir mazāk nekā 50 darbinieku un tā gada apgrozījums un/vai gada bilances kopsumma nepārsniedz 10 milj. EUR.</w:t>
      </w:r>
    </w:p>
    <w:p w14:paraId="380090B9" w14:textId="77777777" w:rsidR="008863EF" w:rsidRPr="009606FB" w:rsidRDefault="008863EF" w:rsidP="003A6455">
      <w:pPr>
        <w:pStyle w:val="BodyText"/>
        <w:jc w:val="both"/>
        <w:rPr>
          <w:rFonts w:ascii="Times New Roman" w:hAnsi="Times New Roman"/>
          <w:noProof/>
          <w:sz w:val="24"/>
        </w:rPr>
      </w:pPr>
    </w:p>
    <w:p w14:paraId="08BCE2AD" w14:textId="20064490" w:rsidR="008863EF" w:rsidRPr="003A6455" w:rsidRDefault="003A6455" w:rsidP="003A6455">
      <w:pPr>
        <w:tabs>
          <w:tab w:val="left" w:pos="1527"/>
        </w:tabs>
        <w:jc w:val="both"/>
        <w:rPr>
          <w:rFonts w:ascii="Times New Roman" w:hAnsi="Times New Roman"/>
          <w:noProof/>
          <w:sz w:val="24"/>
        </w:rPr>
      </w:pPr>
      <w:r>
        <w:rPr>
          <w:rFonts w:ascii="Times New Roman" w:hAnsi="Times New Roman"/>
          <w:sz w:val="24"/>
        </w:rPr>
        <w:t xml:space="preserve">3. </w:t>
      </w:r>
      <w:proofErr w:type="spellStart"/>
      <w:r>
        <w:rPr>
          <w:rFonts w:ascii="Times New Roman" w:hAnsi="Times New Roman"/>
          <w:sz w:val="24"/>
        </w:rPr>
        <w:t>MVU</w:t>
      </w:r>
      <w:proofErr w:type="spellEnd"/>
      <w:r>
        <w:rPr>
          <w:rFonts w:ascii="Times New Roman" w:hAnsi="Times New Roman"/>
          <w:sz w:val="24"/>
        </w:rPr>
        <w:t xml:space="preserve"> kategorijas uzņēmumu definē kā </w:t>
      </w:r>
      <w:proofErr w:type="spellStart"/>
      <w:r>
        <w:rPr>
          <w:rFonts w:ascii="Times New Roman" w:hAnsi="Times New Roman"/>
          <w:sz w:val="24"/>
        </w:rPr>
        <w:t>mikrouzņēmumu</w:t>
      </w:r>
      <w:proofErr w:type="spellEnd"/>
      <w:r>
        <w:rPr>
          <w:rFonts w:ascii="Times New Roman" w:hAnsi="Times New Roman"/>
          <w:sz w:val="24"/>
        </w:rPr>
        <w:t>, ja tam ir mazāk nekā 10 darbinieku un tā gada apgrozījums un/vai gada bilances kopsumma nepārsniedz 2 milj. EUR.</w:t>
      </w:r>
    </w:p>
    <w:p w14:paraId="20569BD8" w14:textId="77777777" w:rsidR="008863EF" w:rsidRPr="009606FB" w:rsidRDefault="008863EF" w:rsidP="009606FB">
      <w:pPr>
        <w:pStyle w:val="BodyText"/>
        <w:jc w:val="both"/>
        <w:rPr>
          <w:rFonts w:ascii="Times New Roman" w:hAnsi="Times New Roman"/>
          <w:noProof/>
          <w:sz w:val="24"/>
        </w:rPr>
      </w:pPr>
    </w:p>
    <w:p w14:paraId="35A579D2" w14:textId="77777777" w:rsidR="008863EF" w:rsidRPr="009606FB" w:rsidRDefault="008863EF" w:rsidP="00701E00">
      <w:pPr>
        <w:jc w:val="center"/>
        <w:rPr>
          <w:rFonts w:ascii="Times New Roman" w:hAnsi="Times New Roman"/>
          <w:i/>
          <w:noProof/>
          <w:sz w:val="24"/>
        </w:rPr>
      </w:pPr>
      <w:r>
        <w:rPr>
          <w:rFonts w:ascii="Times New Roman" w:hAnsi="Times New Roman"/>
          <w:i/>
          <w:sz w:val="24"/>
        </w:rPr>
        <w:t>3. pants</w:t>
      </w:r>
    </w:p>
    <w:p w14:paraId="283F4AA7" w14:textId="77777777" w:rsidR="008863EF" w:rsidRPr="009606FB" w:rsidRDefault="008863EF" w:rsidP="00701E00">
      <w:pPr>
        <w:pStyle w:val="BodyText"/>
        <w:jc w:val="center"/>
        <w:rPr>
          <w:rFonts w:ascii="Times New Roman" w:hAnsi="Times New Roman"/>
          <w:i/>
          <w:noProof/>
          <w:sz w:val="24"/>
        </w:rPr>
      </w:pPr>
    </w:p>
    <w:p w14:paraId="1F1FA896" w14:textId="77777777" w:rsidR="008863EF" w:rsidRPr="009606FB" w:rsidRDefault="008863EF" w:rsidP="00701E00">
      <w:pPr>
        <w:jc w:val="center"/>
        <w:rPr>
          <w:rFonts w:ascii="Times New Roman" w:hAnsi="Times New Roman"/>
          <w:b/>
          <w:noProof/>
          <w:sz w:val="24"/>
        </w:rPr>
      </w:pPr>
      <w:r>
        <w:rPr>
          <w:rFonts w:ascii="Times New Roman" w:hAnsi="Times New Roman"/>
          <w:b/>
          <w:sz w:val="24"/>
        </w:rPr>
        <w:t>Uzņēmumu veidi, kurus ņem vērā, aprēķinot darbinieku skaitu un finanšu rādītājus</w:t>
      </w:r>
    </w:p>
    <w:p w14:paraId="1C9333A6" w14:textId="77777777" w:rsidR="008863EF" w:rsidRPr="009606FB" w:rsidRDefault="008863EF" w:rsidP="009606FB">
      <w:pPr>
        <w:pStyle w:val="BodyText"/>
        <w:jc w:val="both"/>
        <w:rPr>
          <w:rFonts w:ascii="Times New Roman" w:hAnsi="Times New Roman"/>
          <w:b/>
          <w:noProof/>
          <w:sz w:val="24"/>
        </w:rPr>
      </w:pPr>
    </w:p>
    <w:p w14:paraId="563120C6" w14:textId="0C972BBA" w:rsidR="008863EF" w:rsidRPr="00701E00" w:rsidRDefault="00701E00" w:rsidP="00701E00">
      <w:pPr>
        <w:tabs>
          <w:tab w:val="left" w:pos="1527"/>
        </w:tabs>
        <w:jc w:val="both"/>
        <w:rPr>
          <w:rFonts w:ascii="Times New Roman" w:hAnsi="Times New Roman"/>
          <w:noProof/>
          <w:sz w:val="24"/>
        </w:rPr>
      </w:pPr>
      <w:r>
        <w:rPr>
          <w:rFonts w:ascii="Times New Roman" w:hAnsi="Times New Roman"/>
          <w:sz w:val="24"/>
        </w:rPr>
        <w:t>1. Autonoms uzņēmums ir jebkurš uzņēmums, kas nav klasificējams kā partneruzņēmums 2. punkta nozīmē vai kā saistīts uzņēmums 3. punkta nozīmē.</w:t>
      </w:r>
    </w:p>
    <w:p w14:paraId="35C331FC" w14:textId="77777777" w:rsidR="008863EF" w:rsidRPr="009606FB" w:rsidRDefault="008863EF" w:rsidP="00701E00">
      <w:pPr>
        <w:pStyle w:val="BodyText"/>
        <w:jc w:val="both"/>
        <w:rPr>
          <w:rFonts w:ascii="Times New Roman" w:hAnsi="Times New Roman"/>
          <w:noProof/>
          <w:sz w:val="24"/>
        </w:rPr>
      </w:pPr>
    </w:p>
    <w:p w14:paraId="1C615329" w14:textId="6B4EA17B" w:rsidR="008863EF" w:rsidRPr="00701E00" w:rsidRDefault="00701E00" w:rsidP="00701E00">
      <w:pPr>
        <w:tabs>
          <w:tab w:val="left" w:pos="1527"/>
        </w:tabs>
        <w:jc w:val="both"/>
        <w:rPr>
          <w:rFonts w:ascii="Times New Roman" w:hAnsi="Times New Roman"/>
          <w:noProof/>
          <w:sz w:val="24"/>
        </w:rPr>
      </w:pPr>
      <w:r>
        <w:rPr>
          <w:rFonts w:ascii="Times New Roman" w:hAnsi="Times New Roman"/>
          <w:sz w:val="24"/>
        </w:rPr>
        <w:t>2. Partneruzņēmumi ir visi uzņēmumi, kas nav klasificējami kā saistīti uzņēmumi 3. punkta nozīmē un starp kuriem pastāv šādas attiecības: uzņēmums (uzņēmums, kas darbojas iepriekšējā posma tirgū) viens pats vai kopā ar vienu vai vairākiem saistītiem uzņēmumiem 3. punkta nozīmē pārvalda 25 % vai vairāk kapitāla vai balsstiesību citā uzņēmumā (uzņēmumā, kas darbojas nākamā posma tirgū).</w:t>
      </w:r>
    </w:p>
    <w:p w14:paraId="5CC011BA" w14:textId="77777777" w:rsidR="008863EF" w:rsidRPr="009606FB" w:rsidRDefault="008863EF" w:rsidP="009606FB">
      <w:pPr>
        <w:pStyle w:val="BodyText"/>
        <w:jc w:val="both"/>
        <w:rPr>
          <w:rFonts w:ascii="Times New Roman" w:hAnsi="Times New Roman"/>
          <w:noProof/>
          <w:sz w:val="24"/>
        </w:rPr>
      </w:pPr>
    </w:p>
    <w:p w14:paraId="4F74F180" w14:textId="77777777" w:rsidR="008863EF" w:rsidRDefault="008863EF" w:rsidP="00E20A07">
      <w:pPr>
        <w:keepNext/>
        <w:keepLines/>
        <w:jc w:val="both"/>
        <w:rPr>
          <w:rFonts w:ascii="Times New Roman" w:hAnsi="Times New Roman"/>
          <w:noProof/>
          <w:sz w:val="24"/>
        </w:rPr>
      </w:pPr>
      <w:r>
        <w:rPr>
          <w:rFonts w:ascii="Times New Roman" w:hAnsi="Times New Roman"/>
          <w:sz w:val="24"/>
        </w:rPr>
        <w:t>Tajā pašā laikā uzņēmumu var klasificēt kā autonomu, proti, tādu, kam nav partneruzņēmumu, pat ja ir sasniegta vai pārsniegta šī 25 % robežvērtība, ko nodrošina turpmāk norādītie ieguldītāji, ja vien šie ieguldītāji nav saistīti 3. punkta nozīmē, atsevišķi vai kopā, ar attiecīgo uzņēmumu:</w:t>
      </w:r>
    </w:p>
    <w:p w14:paraId="421C84D9" w14:textId="77777777" w:rsidR="00701E00" w:rsidRPr="009606FB" w:rsidRDefault="00701E00" w:rsidP="00E20A07">
      <w:pPr>
        <w:keepNext/>
        <w:keepLines/>
        <w:jc w:val="both"/>
        <w:rPr>
          <w:rFonts w:ascii="Times New Roman" w:hAnsi="Times New Roman"/>
          <w:noProof/>
          <w:sz w:val="24"/>
        </w:rPr>
      </w:pPr>
    </w:p>
    <w:p w14:paraId="546188AD" w14:textId="42A34ABE" w:rsidR="008863EF" w:rsidRPr="00701E00" w:rsidRDefault="00BA44CF" w:rsidP="00E20A07">
      <w:pPr>
        <w:keepNext/>
        <w:keepLines/>
        <w:ind w:left="284"/>
        <w:jc w:val="both"/>
        <w:rPr>
          <w:rFonts w:ascii="Times New Roman" w:hAnsi="Times New Roman"/>
          <w:noProof/>
          <w:sz w:val="24"/>
        </w:rPr>
      </w:pPr>
      <w:r>
        <w:rPr>
          <w:rFonts w:ascii="Times New Roman" w:hAnsi="Times New Roman"/>
          <w:sz w:val="24"/>
        </w:rPr>
        <w:t>a) publiskajām ieguldījumu korporācijām, riska kapitāla uzņēmējsabiedrībām, personām vai personu grupām, kas regulāri nodarbojas ar ieguldījumiem riska kapitālā, ieguldot tādu uzņēmumu pamatkapitālā, kas nekotējas biržā (</w:t>
      </w:r>
      <w:proofErr w:type="spellStart"/>
      <w:r>
        <w:rPr>
          <w:rFonts w:ascii="Times New Roman" w:hAnsi="Times New Roman"/>
          <w:sz w:val="24"/>
        </w:rPr>
        <w:t>komerceņģeļi</w:t>
      </w:r>
      <w:proofErr w:type="spellEnd"/>
      <w:r>
        <w:rPr>
          <w:rFonts w:ascii="Times New Roman" w:hAnsi="Times New Roman"/>
          <w:sz w:val="24"/>
        </w:rPr>
        <w:t xml:space="preserve">), ja šo </w:t>
      </w:r>
      <w:proofErr w:type="spellStart"/>
      <w:r>
        <w:rPr>
          <w:rFonts w:ascii="Times New Roman" w:hAnsi="Times New Roman"/>
          <w:sz w:val="24"/>
        </w:rPr>
        <w:t>komerceņģeļu</w:t>
      </w:r>
      <w:proofErr w:type="spellEnd"/>
      <w:r>
        <w:rPr>
          <w:rFonts w:ascii="Times New Roman" w:hAnsi="Times New Roman"/>
          <w:sz w:val="24"/>
        </w:rPr>
        <w:t xml:space="preserve"> kopējais investīciju apjoms vienā uzņēmumā nepārsniedz 1 250 000 EUR;</w:t>
      </w:r>
    </w:p>
    <w:p w14:paraId="3CC53222" w14:textId="603ACECA" w:rsidR="008863EF" w:rsidRPr="00701E00" w:rsidRDefault="00BA44CF" w:rsidP="00F52EF8">
      <w:pPr>
        <w:ind w:left="284"/>
        <w:jc w:val="both"/>
        <w:rPr>
          <w:rFonts w:ascii="Times New Roman" w:hAnsi="Times New Roman"/>
          <w:noProof/>
          <w:sz w:val="24"/>
        </w:rPr>
      </w:pPr>
      <w:r>
        <w:rPr>
          <w:rFonts w:ascii="Times New Roman" w:hAnsi="Times New Roman"/>
          <w:sz w:val="24"/>
        </w:rPr>
        <w:t>b) akadēmiskās augstskolas vai bezpeļņas zinātniskās pētniecības centri;</w:t>
      </w:r>
    </w:p>
    <w:p w14:paraId="742121A8" w14:textId="000FE550" w:rsidR="008863EF" w:rsidRPr="00701E00" w:rsidRDefault="00BA44CF" w:rsidP="00F52EF8">
      <w:pPr>
        <w:ind w:left="284"/>
        <w:jc w:val="both"/>
        <w:rPr>
          <w:rFonts w:ascii="Times New Roman" w:hAnsi="Times New Roman"/>
          <w:noProof/>
          <w:sz w:val="24"/>
        </w:rPr>
      </w:pPr>
      <w:r>
        <w:rPr>
          <w:rFonts w:ascii="Times New Roman" w:hAnsi="Times New Roman"/>
          <w:sz w:val="24"/>
        </w:rPr>
        <w:t xml:space="preserve">c) </w:t>
      </w:r>
      <w:proofErr w:type="spellStart"/>
      <w:r>
        <w:rPr>
          <w:rFonts w:ascii="Times New Roman" w:hAnsi="Times New Roman"/>
          <w:sz w:val="24"/>
        </w:rPr>
        <w:t>ieguldītājinstitūcijas</w:t>
      </w:r>
      <w:proofErr w:type="spellEnd"/>
      <w:r>
        <w:rPr>
          <w:rFonts w:ascii="Times New Roman" w:hAnsi="Times New Roman"/>
          <w:sz w:val="24"/>
        </w:rPr>
        <w:t>, tostarp reģionālās attīstības fondi;</w:t>
      </w:r>
    </w:p>
    <w:p w14:paraId="36152C08" w14:textId="0DEC9912" w:rsidR="008863EF" w:rsidRDefault="00BA44CF" w:rsidP="00F52EF8">
      <w:pPr>
        <w:ind w:left="284"/>
        <w:jc w:val="both"/>
        <w:rPr>
          <w:rFonts w:ascii="Times New Roman" w:hAnsi="Times New Roman"/>
          <w:noProof/>
          <w:sz w:val="24"/>
        </w:rPr>
      </w:pPr>
      <w:r>
        <w:rPr>
          <w:rFonts w:ascii="Times New Roman" w:hAnsi="Times New Roman"/>
          <w:sz w:val="24"/>
        </w:rPr>
        <w:t>d) autonomas pašvaldības, kuru gada budžets ir mazāks par 10 milj. EUR un iedzīvotāju skaits mazāks par 5000.</w:t>
      </w:r>
    </w:p>
    <w:p w14:paraId="7E658956" w14:textId="77777777" w:rsidR="00701E00" w:rsidRPr="00701E00" w:rsidRDefault="00701E00" w:rsidP="00701E00">
      <w:pPr>
        <w:tabs>
          <w:tab w:val="left" w:pos="1405"/>
        </w:tabs>
        <w:jc w:val="both"/>
        <w:rPr>
          <w:rFonts w:ascii="Times New Roman" w:hAnsi="Times New Roman"/>
          <w:noProof/>
          <w:sz w:val="24"/>
        </w:rPr>
      </w:pPr>
    </w:p>
    <w:p w14:paraId="65470E70" w14:textId="0DA5EF90" w:rsidR="008863EF" w:rsidRDefault="00701E00" w:rsidP="00701E00">
      <w:pPr>
        <w:pStyle w:val="ListParagraph"/>
        <w:tabs>
          <w:tab w:val="left" w:pos="1526"/>
          <w:tab w:val="left" w:pos="1527"/>
        </w:tabs>
        <w:ind w:left="0"/>
        <w:rPr>
          <w:rFonts w:ascii="Times New Roman" w:hAnsi="Times New Roman"/>
          <w:noProof/>
          <w:sz w:val="24"/>
        </w:rPr>
      </w:pPr>
      <w:r>
        <w:rPr>
          <w:rFonts w:ascii="Times New Roman" w:hAnsi="Times New Roman"/>
          <w:sz w:val="24"/>
        </w:rPr>
        <w:t>3. Saistīti uzņēmumi ir uzņēmumi, kuru starpā pastāv kādas no turpmāk norādītajām attiecībām:</w:t>
      </w:r>
    </w:p>
    <w:p w14:paraId="182C3A50" w14:textId="77777777" w:rsidR="00701E00" w:rsidRPr="009606FB" w:rsidRDefault="00701E00" w:rsidP="00701E00">
      <w:pPr>
        <w:pStyle w:val="ListParagraph"/>
        <w:tabs>
          <w:tab w:val="left" w:pos="1526"/>
          <w:tab w:val="left" w:pos="1527"/>
        </w:tabs>
        <w:ind w:left="0"/>
        <w:rPr>
          <w:rFonts w:ascii="Times New Roman" w:hAnsi="Times New Roman"/>
          <w:noProof/>
          <w:sz w:val="24"/>
        </w:rPr>
      </w:pPr>
    </w:p>
    <w:p w14:paraId="7201CF3A" w14:textId="467CC4FD" w:rsidR="008863EF" w:rsidRPr="00701E00" w:rsidRDefault="00701E00" w:rsidP="00F52EF8">
      <w:pPr>
        <w:ind w:left="284"/>
        <w:jc w:val="both"/>
        <w:rPr>
          <w:rFonts w:ascii="Times New Roman" w:hAnsi="Times New Roman"/>
          <w:noProof/>
          <w:sz w:val="24"/>
        </w:rPr>
      </w:pPr>
      <w:r>
        <w:rPr>
          <w:rFonts w:ascii="Times New Roman" w:hAnsi="Times New Roman"/>
          <w:sz w:val="24"/>
        </w:rPr>
        <w:t>a) uzņēmumam ir akcionāru vai locekļu balsstiesību vairākums citā uzņēmumā;</w:t>
      </w:r>
    </w:p>
    <w:p w14:paraId="4A77DD87" w14:textId="75A10A66" w:rsidR="008863EF" w:rsidRPr="00701E00" w:rsidRDefault="00724AE2" w:rsidP="00F52EF8">
      <w:pPr>
        <w:ind w:left="284"/>
        <w:jc w:val="both"/>
        <w:rPr>
          <w:rFonts w:ascii="Times New Roman" w:hAnsi="Times New Roman"/>
          <w:noProof/>
          <w:sz w:val="24"/>
        </w:rPr>
      </w:pPr>
      <w:r>
        <w:rPr>
          <w:rFonts w:ascii="Times New Roman" w:hAnsi="Times New Roman"/>
          <w:sz w:val="24"/>
        </w:rPr>
        <w:t>b) uzņēmumam ir tiesības iecelt vai atlaist pārvaldes, vadības vai uzraudzības struktūras locekļu vairākumu citā uzņēmumā;</w:t>
      </w:r>
    </w:p>
    <w:p w14:paraId="737A6ED0" w14:textId="38D88014" w:rsidR="008863EF" w:rsidRPr="00701E00" w:rsidRDefault="00F52EF8" w:rsidP="00F52EF8">
      <w:pPr>
        <w:ind w:left="284"/>
        <w:jc w:val="both"/>
        <w:rPr>
          <w:rFonts w:ascii="Times New Roman" w:hAnsi="Times New Roman"/>
          <w:noProof/>
          <w:sz w:val="24"/>
        </w:rPr>
      </w:pPr>
      <w:r>
        <w:rPr>
          <w:rFonts w:ascii="Times New Roman" w:hAnsi="Times New Roman"/>
          <w:sz w:val="24"/>
        </w:rPr>
        <w:t>c) uzņēmumam ir tiesības būt noteicējam citā uzņēmumā saskaņā ar līgumu, kas noslēgts ar šo uzņēmumu, vai saskaņā ar tā dibināšanas līguma klauzulu vai statūtiem;</w:t>
      </w:r>
    </w:p>
    <w:p w14:paraId="3AFA1B8C" w14:textId="27881F3C" w:rsidR="008863EF" w:rsidRPr="00701E00" w:rsidRDefault="00724AE2" w:rsidP="00F52EF8">
      <w:pPr>
        <w:ind w:left="284"/>
        <w:jc w:val="both"/>
        <w:rPr>
          <w:rFonts w:ascii="Times New Roman" w:hAnsi="Times New Roman"/>
          <w:noProof/>
          <w:sz w:val="24"/>
        </w:rPr>
      </w:pPr>
      <w:r>
        <w:rPr>
          <w:rFonts w:ascii="Times New Roman" w:hAnsi="Times New Roman"/>
          <w:sz w:val="24"/>
        </w:rPr>
        <w:t>d) uzņēmums, kas ir cita uzņēmuma akcionārs vai dalībnieks, vienpersoniski kontrolē akcionāru vai dalībnieku vairākuma balsstiesības minētajā uzņēmumā saskaņā ar vienošanos, kas panākta ar pārējiem uzņēmuma akcionāriem vai dalībniekiem.</w:t>
      </w:r>
    </w:p>
    <w:p w14:paraId="27FF989C" w14:textId="77777777" w:rsidR="008863EF" w:rsidRPr="009606FB" w:rsidRDefault="008863EF" w:rsidP="009606FB">
      <w:pPr>
        <w:pStyle w:val="BodyText"/>
        <w:jc w:val="both"/>
        <w:rPr>
          <w:rFonts w:ascii="Times New Roman" w:hAnsi="Times New Roman"/>
          <w:noProof/>
          <w:sz w:val="24"/>
        </w:rPr>
      </w:pPr>
    </w:p>
    <w:p w14:paraId="138E6ED8" w14:textId="77777777" w:rsidR="008863EF" w:rsidRPr="009606FB" w:rsidRDefault="008863EF" w:rsidP="009606FB">
      <w:pPr>
        <w:jc w:val="both"/>
        <w:rPr>
          <w:rFonts w:ascii="Times New Roman" w:hAnsi="Times New Roman"/>
          <w:noProof/>
          <w:sz w:val="24"/>
        </w:rPr>
      </w:pPr>
      <w:r>
        <w:rPr>
          <w:rFonts w:ascii="Times New Roman" w:hAnsi="Times New Roman"/>
          <w:sz w:val="24"/>
        </w:rPr>
        <w:t>Pieņemts uzskatīt, ka noteicoša ietekme nepastāv, ja 2. punkta otrajā daļā norādītie ieguldītāji tieši vai netieši neiesaistās attiecīgā uzņēmuma pārvaldīšanā, neskarot uzņēmuma akcionāru tiesības.</w:t>
      </w:r>
    </w:p>
    <w:p w14:paraId="1C75EE7B" w14:textId="77777777" w:rsidR="008B20CC" w:rsidRPr="009606FB" w:rsidRDefault="008B20CC" w:rsidP="009606FB">
      <w:pPr>
        <w:jc w:val="both"/>
        <w:rPr>
          <w:rFonts w:ascii="Times New Roman" w:hAnsi="Times New Roman"/>
          <w:noProof/>
          <w:sz w:val="24"/>
        </w:rPr>
      </w:pPr>
    </w:p>
    <w:p w14:paraId="3E79E816" w14:textId="77777777" w:rsidR="008863EF" w:rsidRPr="009606FB" w:rsidRDefault="008863EF" w:rsidP="009606FB">
      <w:pPr>
        <w:jc w:val="both"/>
        <w:rPr>
          <w:rFonts w:ascii="Times New Roman" w:hAnsi="Times New Roman"/>
          <w:noProof/>
          <w:sz w:val="24"/>
        </w:rPr>
      </w:pPr>
      <w:r>
        <w:rPr>
          <w:rFonts w:ascii="Times New Roman" w:hAnsi="Times New Roman"/>
          <w:sz w:val="24"/>
        </w:rPr>
        <w:t>Uzņēmumi, kurus saista kādas no pirmajā daļā aplūkotajām attiecībām, ko nodrošina viens vai vairāki citi uzņēmumi vai kāds no 2. punktā minētajiem ieguldītājiem, arī ir uzskatāmi par saistītiem.</w:t>
      </w:r>
    </w:p>
    <w:p w14:paraId="65C97639" w14:textId="77777777" w:rsidR="008863EF" w:rsidRPr="009606FB" w:rsidRDefault="008863EF" w:rsidP="009606FB">
      <w:pPr>
        <w:pStyle w:val="BodyText"/>
        <w:jc w:val="both"/>
        <w:rPr>
          <w:rFonts w:ascii="Times New Roman" w:hAnsi="Times New Roman"/>
          <w:noProof/>
          <w:sz w:val="24"/>
        </w:rPr>
      </w:pPr>
    </w:p>
    <w:p w14:paraId="7CC94790" w14:textId="4295D914" w:rsidR="008863EF" w:rsidRPr="009606FB" w:rsidRDefault="008863EF" w:rsidP="009606FB">
      <w:pPr>
        <w:jc w:val="both"/>
        <w:rPr>
          <w:rFonts w:ascii="Times New Roman" w:hAnsi="Times New Roman"/>
          <w:noProof/>
          <w:sz w:val="24"/>
        </w:rPr>
      </w:pPr>
      <w:r>
        <w:rPr>
          <w:rFonts w:ascii="Times New Roman" w:hAnsi="Times New Roman"/>
          <w:sz w:val="24"/>
        </w:rPr>
        <w:t xml:space="preserve">Uzņēmumi, kurus saista kādas no šīm attiecībām, ko nodrošina fiziska persona vai fizisku personu grupa, kas kopīgi darbojas, arī ir uzskatāmi par saistītiem uzņēmumiem, ja tie pilnībā vai daļēji darbojas attiecīgajā tirgū vai </w:t>
      </w:r>
      <w:proofErr w:type="spellStart"/>
      <w:r>
        <w:rPr>
          <w:rFonts w:ascii="Times New Roman" w:hAnsi="Times New Roman"/>
          <w:sz w:val="24"/>
        </w:rPr>
        <w:t>blakustirgos</w:t>
      </w:r>
      <w:proofErr w:type="spellEnd"/>
      <w:r>
        <w:rPr>
          <w:rFonts w:ascii="Times New Roman" w:hAnsi="Times New Roman"/>
          <w:sz w:val="24"/>
        </w:rPr>
        <w:t>.</w:t>
      </w:r>
    </w:p>
    <w:p w14:paraId="50CB5DDE" w14:textId="77777777" w:rsidR="008863EF" w:rsidRPr="009606FB" w:rsidRDefault="008863EF" w:rsidP="009606FB">
      <w:pPr>
        <w:pStyle w:val="BodyText"/>
        <w:jc w:val="both"/>
        <w:rPr>
          <w:rFonts w:ascii="Times New Roman" w:hAnsi="Times New Roman"/>
          <w:noProof/>
          <w:sz w:val="24"/>
        </w:rPr>
      </w:pPr>
    </w:p>
    <w:p w14:paraId="24DCDF8C" w14:textId="77777777" w:rsidR="008863EF" w:rsidRPr="009606FB" w:rsidRDefault="008863EF" w:rsidP="009606FB">
      <w:pPr>
        <w:jc w:val="both"/>
        <w:rPr>
          <w:rFonts w:ascii="Times New Roman" w:hAnsi="Times New Roman"/>
          <w:noProof/>
          <w:sz w:val="24"/>
        </w:rPr>
      </w:pPr>
      <w:r>
        <w:rPr>
          <w:rFonts w:ascii="Times New Roman" w:hAnsi="Times New Roman"/>
          <w:sz w:val="24"/>
        </w:rPr>
        <w:t xml:space="preserve">Par </w:t>
      </w:r>
      <w:proofErr w:type="spellStart"/>
      <w:r>
        <w:rPr>
          <w:rFonts w:ascii="Times New Roman" w:hAnsi="Times New Roman"/>
          <w:sz w:val="24"/>
        </w:rPr>
        <w:t>blakustirgu</w:t>
      </w:r>
      <w:proofErr w:type="spellEnd"/>
      <w:r>
        <w:rPr>
          <w:rFonts w:ascii="Times New Roman" w:hAnsi="Times New Roman"/>
          <w:sz w:val="24"/>
        </w:rPr>
        <w:t xml:space="preserve"> uzskata ražojuma vai pakalpojuma tirgu, kas atrodas tieši augšup vai lejup no attiecīgā tirgus.</w:t>
      </w:r>
    </w:p>
    <w:p w14:paraId="4878C5CA" w14:textId="77777777" w:rsidR="008863EF" w:rsidRPr="009606FB" w:rsidRDefault="008863EF" w:rsidP="009606FB">
      <w:pPr>
        <w:pStyle w:val="BodyText"/>
        <w:jc w:val="both"/>
        <w:rPr>
          <w:rFonts w:ascii="Times New Roman" w:hAnsi="Times New Roman"/>
          <w:noProof/>
          <w:sz w:val="24"/>
        </w:rPr>
      </w:pPr>
    </w:p>
    <w:p w14:paraId="5C48BE9B" w14:textId="77F8F8C3" w:rsidR="008863EF" w:rsidRPr="009606FB" w:rsidRDefault="00BA44CF" w:rsidP="00BA44CF">
      <w:pPr>
        <w:pStyle w:val="ListParagraph"/>
        <w:tabs>
          <w:tab w:val="left" w:pos="1527"/>
        </w:tabs>
        <w:ind w:left="0"/>
        <w:rPr>
          <w:rFonts w:ascii="Times New Roman" w:hAnsi="Times New Roman"/>
          <w:noProof/>
          <w:sz w:val="24"/>
        </w:rPr>
      </w:pPr>
      <w:r>
        <w:rPr>
          <w:rFonts w:ascii="Times New Roman" w:hAnsi="Times New Roman"/>
          <w:sz w:val="24"/>
        </w:rPr>
        <w:t xml:space="preserve">4. Izņemot 2. punkta otrajā daļā minētos gadījumus, uzņēmums nav uzskatāms par </w:t>
      </w:r>
      <w:proofErr w:type="spellStart"/>
      <w:r>
        <w:rPr>
          <w:rFonts w:ascii="Times New Roman" w:hAnsi="Times New Roman"/>
          <w:sz w:val="24"/>
        </w:rPr>
        <w:t>MVU</w:t>
      </w:r>
      <w:proofErr w:type="spellEnd"/>
      <w:r>
        <w:rPr>
          <w:rFonts w:ascii="Times New Roman" w:hAnsi="Times New Roman"/>
          <w:sz w:val="24"/>
        </w:rPr>
        <w:t>, ja 25 % un vairāk tā kapitāla vai balsstiesību tieši vai netieši kontrolē, kopā vai atsevišķi, viena vai vairākas valsts iestādes.</w:t>
      </w:r>
    </w:p>
    <w:p w14:paraId="6DC5338C" w14:textId="77777777" w:rsidR="008863EF" w:rsidRPr="009606FB" w:rsidRDefault="008863EF" w:rsidP="009606FB">
      <w:pPr>
        <w:pStyle w:val="BodyText"/>
        <w:jc w:val="both"/>
        <w:rPr>
          <w:rFonts w:ascii="Times New Roman" w:hAnsi="Times New Roman"/>
          <w:noProof/>
          <w:sz w:val="24"/>
        </w:rPr>
      </w:pPr>
    </w:p>
    <w:p w14:paraId="415769A3" w14:textId="09B5B59A" w:rsidR="008863EF" w:rsidRPr="009606FB" w:rsidRDefault="00BA44CF" w:rsidP="00BA44CF">
      <w:pPr>
        <w:pStyle w:val="ListParagraph"/>
        <w:tabs>
          <w:tab w:val="left" w:pos="1527"/>
        </w:tabs>
        <w:ind w:left="0"/>
        <w:rPr>
          <w:rFonts w:ascii="Times New Roman" w:hAnsi="Times New Roman"/>
          <w:noProof/>
          <w:sz w:val="24"/>
        </w:rPr>
      </w:pPr>
      <w:r>
        <w:rPr>
          <w:rFonts w:ascii="Times New Roman" w:hAnsi="Times New Roman"/>
          <w:sz w:val="24"/>
        </w:rPr>
        <w:t>5. Uzņēmumi var apliecināt savu statusu kā autonoms uzņēmums, partneruzņēmums vai saistīts uzņēmums, norādot datus par 2. pantā noteiktajām augšējām robežām. Šādu apliecinājumu var sniegt pat tad, ja kapitāls ir sadalīts tā, ka nav iespējams precīzi noteikt, kas to pārvalda, un šajā gadījumā uzņēmums var labā ticībā paziņot, ka tas var likumīgi uzskatīt, ka tā 25 % daļa vai lielāka daļa nepieder kādam atsevišķam uzņēmumam vai savstarpēji saistītiem uzņēmumiem. Šādi apliecinājumi neskar pārbaudes un apstākļu noskaidrošanu, kas paredzēta attiecīgo valstu un Kopienas noteikumos.</w:t>
      </w:r>
    </w:p>
    <w:p w14:paraId="2AD782F4" w14:textId="77777777" w:rsidR="008863EF" w:rsidRPr="009606FB" w:rsidRDefault="008863EF" w:rsidP="009606FB">
      <w:pPr>
        <w:pStyle w:val="BodyText"/>
        <w:jc w:val="both"/>
        <w:rPr>
          <w:rFonts w:ascii="Times New Roman" w:hAnsi="Times New Roman"/>
          <w:noProof/>
          <w:sz w:val="24"/>
        </w:rPr>
      </w:pPr>
    </w:p>
    <w:p w14:paraId="28C78DB4" w14:textId="77777777" w:rsidR="008863EF" w:rsidRPr="009606FB" w:rsidRDefault="008863EF" w:rsidP="00BA44CF">
      <w:pPr>
        <w:jc w:val="center"/>
        <w:rPr>
          <w:rFonts w:ascii="Times New Roman" w:hAnsi="Times New Roman"/>
          <w:i/>
          <w:noProof/>
          <w:sz w:val="24"/>
        </w:rPr>
      </w:pPr>
      <w:r>
        <w:rPr>
          <w:rFonts w:ascii="Times New Roman" w:hAnsi="Times New Roman"/>
          <w:i/>
          <w:sz w:val="24"/>
        </w:rPr>
        <w:t>4. pants</w:t>
      </w:r>
    </w:p>
    <w:p w14:paraId="0A93FBAD" w14:textId="77777777" w:rsidR="008863EF" w:rsidRPr="009606FB" w:rsidRDefault="008863EF" w:rsidP="00BA44CF">
      <w:pPr>
        <w:pStyle w:val="BodyText"/>
        <w:jc w:val="center"/>
        <w:rPr>
          <w:rFonts w:ascii="Times New Roman" w:hAnsi="Times New Roman"/>
          <w:i/>
          <w:noProof/>
          <w:sz w:val="24"/>
        </w:rPr>
      </w:pPr>
    </w:p>
    <w:p w14:paraId="6A2AC1AF" w14:textId="77777777" w:rsidR="008863EF" w:rsidRPr="009606FB" w:rsidRDefault="008863EF" w:rsidP="00BA44CF">
      <w:pPr>
        <w:jc w:val="center"/>
        <w:rPr>
          <w:rFonts w:ascii="Times New Roman" w:hAnsi="Times New Roman"/>
          <w:b/>
          <w:noProof/>
          <w:sz w:val="24"/>
        </w:rPr>
      </w:pPr>
      <w:r>
        <w:rPr>
          <w:rFonts w:ascii="Times New Roman" w:hAnsi="Times New Roman"/>
          <w:b/>
          <w:sz w:val="24"/>
        </w:rPr>
        <w:t>Dati, ko izmanto darbinieku skaita un finanšu līdzekļu, kā arī pārskata perioda noteikšanai</w:t>
      </w:r>
    </w:p>
    <w:p w14:paraId="05554C5E" w14:textId="77777777" w:rsidR="008863EF" w:rsidRPr="009606FB" w:rsidRDefault="008863EF" w:rsidP="009606FB">
      <w:pPr>
        <w:pStyle w:val="BodyText"/>
        <w:jc w:val="both"/>
        <w:rPr>
          <w:rFonts w:ascii="Times New Roman" w:hAnsi="Times New Roman"/>
          <w:b/>
          <w:noProof/>
          <w:sz w:val="24"/>
        </w:rPr>
      </w:pPr>
    </w:p>
    <w:p w14:paraId="345F53F1" w14:textId="310E99BE" w:rsidR="008863EF" w:rsidRPr="00BA44CF" w:rsidRDefault="00BA44CF" w:rsidP="00BA44CF">
      <w:pPr>
        <w:tabs>
          <w:tab w:val="left" w:pos="1527"/>
        </w:tabs>
        <w:jc w:val="both"/>
        <w:rPr>
          <w:rFonts w:ascii="Times New Roman" w:hAnsi="Times New Roman"/>
          <w:noProof/>
          <w:sz w:val="24"/>
        </w:rPr>
      </w:pPr>
      <w:r>
        <w:rPr>
          <w:rFonts w:ascii="Times New Roman" w:hAnsi="Times New Roman"/>
          <w:sz w:val="24"/>
        </w:rPr>
        <w:t>1. Dati, ko izmanto, nosakot darbinieku skaitu un finanšu līdzekļus, attiecas uz pēdējo apstiprināto grāmatvedības pārskata periodu un ir aprēķināti, ņemot par pamatu kārtējo gadu. Tie iegūti, izmantojot datus kontu slēgšanas dienā. Apgrozījuma summu aprēķina bez pievienotās vērtības nodokļa (PVN) un citiem netiešajiem nodokļiem.</w:t>
      </w:r>
    </w:p>
    <w:p w14:paraId="48241B51" w14:textId="77777777" w:rsidR="008863EF" w:rsidRPr="009606FB" w:rsidRDefault="008863EF" w:rsidP="00BA44CF">
      <w:pPr>
        <w:pStyle w:val="BodyText"/>
        <w:jc w:val="both"/>
        <w:rPr>
          <w:rFonts w:ascii="Times New Roman" w:hAnsi="Times New Roman"/>
          <w:noProof/>
          <w:sz w:val="24"/>
        </w:rPr>
      </w:pPr>
    </w:p>
    <w:p w14:paraId="2C38D94E" w14:textId="0A4052B5" w:rsidR="008863EF" w:rsidRPr="00BA44CF" w:rsidRDefault="00BA44CF" w:rsidP="00BA44CF">
      <w:pPr>
        <w:tabs>
          <w:tab w:val="left" w:pos="1527"/>
        </w:tabs>
        <w:jc w:val="both"/>
        <w:rPr>
          <w:rFonts w:ascii="Times New Roman" w:hAnsi="Times New Roman"/>
          <w:noProof/>
          <w:sz w:val="24"/>
        </w:rPr>
      </w:pPr>
      <w:r>
        <w:rPr>
          <w:rFonts w:ascii="Times New Roman" w:hAnsi="Times New Roman"/>
          <w:sz w:val="24"/>
        </w:rPr>
        <w:t xml:space="preserve">2. Ja, ņemot par pamatu kārtējo gadu, uzņēmuma kontu slēgšanas dienā atklājas, ka 2. pantā norādītais darbinieku skaits vai finanšu augšējā robeža ir pārsniegta vai nav sasniegta, tas nenozīmē, ka uzņēmums zaudēs savu vidējā, mazā vai </w:t>
      </w:r>
      <w:proofErr w:type="spellStart"/>
      <w:r>
        <w:rPr>
          <w:rFonts w:ascii="Times New Roman" w:hAnsi="Times New Roman"/>
          <w:sz w:val="24"/>
        </w:rPr>
        <w:t>mikrouzņēmuma</w:t>
      </w:r>
      <w:proofErr w:type="spellEnd"/>
      <w:r>
        <w:rPr>
          <w:rFonts w:ascii="Times New Roman" w:hAnsi="Times New Roman"/>
          <w:sz w:val="24"/>
        </w:rPr>
        <w:t xml:space="preserve"> statusu, ja šīs augšējās robežas nav pārsniegtas divos grāmatvedības pārskata periodos pēc kārtas.</w:t>
      </w:r>
    </w:p>
    <w:p w14:paraId="1BF547E0" w14:textId="77777777" w:rsidR="008863EF" w:rsidRPr="009606FB" w:rsidRDefault="008863EF" w:rsidP="00BA44CF">
      <w:pPr>
        <w:pStyle w:val="BodyText"/>
        <w:jc w:val="both"/>
        <w:rPr>
          <w:rFonts w:ascii="Times New Roman" w:hAnsi="Times New Roman"/>
          <w:noProof/>
          <w:sz w:val="24"/>
        </w:rPr>
      </w:pPr>
    </w:p>
    <w:p w14:paraId="2BD31B3E" w14:textId="700F0BB6" w:rsidR="008863EF" w:rsidRPr="00BA44CF" w:rsidRDefault="00BA44CF" w:rsidP="00BA44CF">
      <w:pPr>
        <w:tabs>
          <w:tab w:val="left" w:pos="1527"/>
        </w:tabs>
        <w:jc w:val="both"/>
        <w:rPr>
          <w:rFonts w:ascii="Times New Roman" w:hAnsi="Times New Roman"/>
          <w:noProof/>
          <w:sz w:val="24"/>
        </w:rPr>
      </w:pPr>
      <w:r>
        <w:rPr>
          <w:rFonts w:ascii="Times New Roman" w:hAnsi="Times New Roman"/>
          <w:sz w:val="24"/>
        </w:rPr>
        <w:t xml:space="preserve">3. </w:t>
      </w:r>
      <w:proofErr w:type="spellStart"/>
      <w:r>
        <w:rPr>
          <w:rFonts w:ascii="Times New Roman" w:hAnsi="Times New Roman"/>
          <w:sz w:val="24"/>
        </w:rPr>
        <w:t>Jaunizveidotiem</w:t>
      </w:r>
      <w:proofErr w:type="spellEnd"/>
      <w:r>
        <w:rPr>
          <w:rFonts w:ascii="Times New Roman" w:hAnsi="Times New Roman"/>
          <w:sz w:val="24"/>
        </w:rPr>
        <w:t xml:space="preserve"> uzņēmumiem, kuru pārskati vēl nav apstiprināti, izmantojamos datus iegūst no </w:t>
      </w:r>
      <w:r>
        <w:rPr>
          <w:rFonts w:ascii="Times New Roman" w:hAnsi="Times New Roman"/>
          <w:i/>
          <w:iCs/>
          <w:sz w:val="24"/>
        </w:rPr>
        <w:t xml:space="preserve">bona </w:t>
      </w:r>
      <w:proofErr w:type="spellStart"/>
      <w:r>
        <w:rPr>
          <w:rFonts w:ascii="Times New Roman" w:hAnsi="Times New Roman"/>
          <w:i/>
          <w:iCs/>
          <w:sz w:val="24"/>
        </w:rPr>
        <w:t>fide</w:t>
      </w:r>
      <w:proofErr w:type="spellEnd"/>
      <w:r>
        <w:rPr>
          <w:rFonts w:ascii="Times New Roman" w:hAnsi="Times New Roman"/>
          <w:sz w:val="24"/>
        </w:rPr>
        <w:t xml:space="preserve"> aptuveniem aprēķiniem, kas veikti pārskata gada laikā.</w:t>
      </w:r>
    </w:p>
    <w:p w14:paraId="20B4D06C" w14:textId="77777777" w:rsidR="008863EF" w:rsidRPr="009606FB" w:rsidRDefault="008863EF" w:rsidP="009606FB">
      <w:pPr>
        <w:pStyle w:val="BodyText"/>
        <w:jc w:val="both"/>
        <w:rPr>
          <w:rFonts w:ascii="Times New Roman" w:hAnsi="Times New Roman"/>
          <w:noProof/>
          <w:sz w:val="24"/>
        </w:rPr>
      </w:pPr>
    </w:p>
    <w:p w14:paraId="53AC79AD" w14:textId="77777777" w:rsidR="008863EF" w:rsidRPr="009606FB" w:rsidRDefault="008863EF" w:rsidP="00BA44CF">
      <w:pPr>
        <w:jc w:val="center"/>
        <w:rPr>
          <w:rFonts w:ascii="Times New Roman" w:hAnsi="Times New Roman"/>
          <w:i/>
          <w:noProof/>
          <w:sz w:val="24"/>
        </w:rPr>
      </w:pPr>
      <w:r>
        <w:rPr>
          <w:rFonts w:ascii="Times New Roman" w:hAnsi="Times New Roman"/>
          <w:i/>
          <w:sz w:val="24"/>
        </w:rPr>
        <w:t>5. pants</w:t>
      </w:r>
    </w:p>
    <w:p w14:paraId="1AC4D5C4" w14:textId="77777777" w:rsidR="008863EF" w:rsidRPr="009606FB" w:rsidRDefault="008863EF" w:rsidP="00BA44CF">
      <w:pPr>
        <w:pStyle w:val="BodyText"/>
        <w:jc w:val="center"/>
        <w:rPr>
          <w:rFonts w:ascii="Times New Roman" w:hAnsi="Times New Roman"/>
          <w:i/>
          <w:noProof/>
          <w:sz w:val="24"/>
        </w:rPr>
      </w:pPr>
    </w:p>
    <w:p w14:paraId="0C49739B" w14:textId="77777777" w:rsidR="008863EF" w:rsidRPr="009606FB" w:rsidRDefault="008863EF" w:rsidP="00BA44CF">
      <w:pPr>
        <w:jc w:val="center"/>
        <w:rPr>
          <w:rFonts w:ascii="Times New Roman" w:hAnsi="Times New Roman"/>
          <w:b/>
          <w:noProof/>
          <w:sz w:val="24"/>
        </w:rPr>
      </w:pPr>
      <w:r>
        <w:rPr>
          <w:rFonts w:ascii="Times New Roman" w:hAnsi="Times New Roman"/>
          <w:b/>
          <w:sz w:val="24"/>
        </w:rPr>
        <w:t>Darbinieku skaits</w:t>
      </w:r>
    </w:p>
    <w:p w14:paraId="78E4CC02" w14:textId="77777777" w:rsidR="008863EF" w:rsidRPr="009606FB" w:rsidRDefault="008863EF" w:rsidP="009606FB">
      <w:pPr>
        <w:pStyle w:val="BodyText"/>
        <w:jc w:val="both"/>
        <w:rPr>
          <w:rFonts w:ascii="Times New Roman" w:hAnsi="Times New Roman"/>
          <w:b/>
          <w:noProof/>
          <w:sz w:val="24"/>
        </w:rPr>
      </w:pPr>
    </w:p>
    <w:p w14:paraId="7C736C99" w14:textId="77777777" w:rsidR="008863EF" w:rsidRPr="009606FB" w:rsidRDefault="008863EF" w:rsidP="009606FB">
      <w:pPr>
        <w:jc w:val="both"/>
        <w:rPr>
          <w:rFonts w:ascii="Times New Roman" w:hAnsi="Times New Roman"/>
          <w:noProof/>
          <w:sz w:val="24"/>
        </w:rPr>
      </w:pPr>
      <w:r>
        <w:rPr>
          <w:rFonts w:ascii="Times New Roman" w:hAnsi="Times New Roman"/>
          <w:sz w:val="24"/>
        </w:rPr>
        <w:t>Darbinieku skaits atbilst ikgadējā darba vienībām (</w:t>
      </w:r>
      <w:proofErr w:type="spellStart"/>
      <w:r>
        <w:rPr>
          <w:rFonts w:ascii="Times New Roman" w:hAnsi="Times New Roman"/>
          <w:sz w:val="24"/>
        </w:rPr>
        <w:t>IDV</w:t>
      </w:r>
      <w:proofErr w:type="spellEnd"/>
      <w:r>
        <w:rPr>
          <w:rFonts w:ascii="Times New Roman" w:hAnsi="Times New Roman"/>
          <w:sz w:val="24"/>
        </w:rPr>
        <w:t xml:space="preserve">), t. i., to personu skaitam, kuri attiecīgajā uzņēmumā vai tā vārdā ir strādājuši pilnu darba laiku visa </w:t>
      </w:r>
      <w:proofErr w:type="spellStart"/>
      <w:r>
        <w:rPr>
          <w:rFonts w:ascii="Times New Roman" w:hAnsi="Times New Roman"/>
          <w:sz w:val="24"/>
        </w:rPr>
        <w:t>apsekojuma</w:t>
      </w:r>
      <w:proofErr w:type="spellEnd"/>
      <w:r>
        <w:rPr>
          <w:rFonts w:ascii="Times New Roman" w:hAnsi="Times New Roman"/>
          <w:sz w:val="24"/>
        </w:rPr>
        <w:t xml:space="preserve"> gada garumā. To personu darbu, kuras nav nostrādājušas pilnu gadu, un to, kuras strādājušas nepilnu darba laiku, neatkarīgi no tā ilguma, kā arī sezonas darba ņēmēju darbu aprēķina </w:t>
      </w:r>
      <w:proofErr w:type="spellStart"/>
      <w:r>
        <w:rPr>
          <w:rFonts w:ascii="Times New Roman" w:hAnsi="Times New Roman"/>
          <w:sz w:val="24"/>
        </w:rPr>
        <w:t>IDV</w:t>
      </w:r>
      <w:proofErr w:type="spellEnd"/>
      <w:r>
        <w:rPr>
          <w:rFonts w:ascii="Times New Roman" w:hAnsi="Times New Roman"/>
          <w:sz w:val="24"/>
        </w:rPr>
        <w:t xml:space="preserve"> daļās. Darbinieku skaitu aprēķina, ņemot vērā:</w:t>
      </w:r>
    </w:p>
    <w:p w14:paraId="731A1DCB" w14:textId="77777777" w:rsidR="008863EF" w:rsidRPr="009606FB" w:rsidRDefault="008863EF" w:rsidP="009606FB">
      <w:pPr>
        <w:pStyle w:val="BodyText"/>
        <w:jc w:val="both"/>
        <w:rPr>
          <w:rFonts w:ascii="Times New Roman" w:hAnsi="Times New Roman"/>
          <w:noProof/>
          <w:sz w:val="24"/>
        </w:rPr>
      </w:pPr>
    </w:p>
    <w:p w14:paraId="4BF5EA75" w14:textId="7EF96D00" w:rsidR="008863EF" w:rsidRPr="00BA44CF" w:rsidRDefault="00923291" w:rsidP="00BA44CF">
      <w:pPr>
        <w:tabs>
          <w:tab w:val="left" w:pos="1405"/>
        </w:tabs>
        <w:jc w:val="both"/>
        <w:rPr>
          <w:rFonts w:ascii="Times New Roman" w:hAnsi="Times New Roman"/>
          <w:noProof/>
          <w:sz w:val="24"/>
        </w:rPr>
      </w:pPr>
      <w:r>
        <w:rPr>
          <w:rFonts w:ascii="Times New Roman" w:hAnsi="Times New Roman"/>
          <w:sz w:val="24"/>
        </w:rPr>
        <w:t>a) nodarbinātās personas,</w:t>
      </w:r>
    </w:p>
    <w:p w14:paraId="34307221" w14:textId="77777777" w:rsidR="008863EF" w:rsidRPr="009606FB" w:rsidRDefault="008863EF" w:rsidP="00BA44CF">
      <w:pPr>
        <w:pStyle w:val="BodyText"/>
        <w:jc w:val="both"/>
        <w:rPr>
          <w:rFonts w:ascii="Times New Roman" w:hAnsi="Times New Roman"/>
          <w:noProof/>
          <w:sz w:val="24"/>
        </w:rPr>
      </w:pPr>
    </w:p>
    <w:p w14:paraId="41973DD8" w14:textId="668B338D" w:rsidR="008863EF" w:rsidRPr="00BA44CF" w:rsidRDefault="00923291" w:rsidP="00BA44CF">
      <w:pPr>
        <w:tabs>
          <w:tab w:val="left" w:pos="1405"/>
        </w:tabs>
        <w:jc w:val="both"/>
        <w:rPr>
          <w:rFonts w:ascii="Times New Roman" w:hAnsi="Times New Roman"/>
          <w:noProof/>
          <w:sz w:val="24"/>
        </w:rPr>
      </w:pPr>
      <w:r>
        <w:rPr>
          <w:rFonts w:ascii="Times New Roman" w:hAnsi="Times New Roman"/>
          <w:sz w:val="24"/>
        </w:rPr>
        <w:t>b) personas, kas strādā tam pakļautajā uzņēmumā un ir pielīdzināmas nodarbinātām personām saskaņā ar attiecīgās valsts tiesību aktiem,</w:t>
      </w:r>
    </w:p>
    <w:p w14:paraId="622C69D9" w14:textId="77777777" w:rsidR="008863EF" w:rsidRPr="009606FB" w:rsidRDefault="008863EF" w:rsidP="00BA44CF">
      <w:pPr>
        <w:pStyle w:val="BodyText"/>
        <w:jc w:val="both"/>
        <w:rPr>
          <w:rFonts w:ascii="Times New Roman" w:hAnsi="Times New Roman"/>
          <w:noProof/>
          <w:sz w:val="24"/>
        </w:rPr>
      </w:pPr>
    </w:p>
    <w:p w14:paraId="5CE596A0" w14:textId="14E6E3E8" w:rsidR="008863EF" w:rsidRPr="00BA44CF" w:rsidRDefault="00923291" w:rsidP="00BA44CF">
      <w:pPr>
        <w:tabs>
          <w:tab w:val="left" w:pos="1405"/>
        </w:tabs>
        <w:jc w:val="both"/>
        <w:rPr>
          <w:rFonts w:ascii="Times New Roman" w:hAnsi="Times New Roman"/>
          <w:noProof/>
          <w:sz w:val="24"/>
        </w:rPr>
      </w:pPr>
      <w:r>
        <w:rPr>
          <w:rFonts w:ascii="Times New Roman" w:hAnsi="Times New Roman"/>
          <w:sz w:val="24"/>
        </w:rPr>
        <w:t>c) īpašniekus vadītājus,</w:t>
      </w:r>
    </w:p>
    <w:p w14:paraId="6ED06E6F" w14:textId="77777777" w:rsidR="008863EF" w:rsidRPr="009606FB" w:rsidRDefault="008863EF" w:rsidP="00BA44CF">
      <w:pPr>
        <w:pStyle w:val="BodyText"/>
        <w:jc w:val="both"/>
        <w:rPr>
          <w:rFonts w:ascii="Times New Roman" w:hAnsi="Times New Roman"/>
          <w:noProof/>
          <w:sz w:val="24"/>
        </w:rPr>
      </w:pPr>
    </w:p>
    <w:p w14:paraId="4D299142" w14:textId="0F034449" w:rsidR="008863EF" w:rsidRPr="00BA44CF" w:rsidRDefault="00923291" w:rsidP="00BA44CF">
      <w:pPr>
        <w:tabs>
          <w:tab w:val="left" w:pos="1405"/>
        </w:tabs>
        <w:jc w:val="both"/>
        <w:rPr>
          <w:rFonts w:ascii="Times New Roman" w:hAnsi="Times New Roman"/>
          <w:noProof/>
          <w:sz w:val="24"/>
        </w:rPr>
      </w:pPr>
      <w:r>
        <w:rPr>
          <w:rFonts w:ascii="Times New Roman" w:hAnsi="Times New Roman"/>
          <w:sz w:val="24"/>
        </w:rPr>
        <w:t>d) partnerus, kas pastāvīgi piedalās uzņēmuma darbā un gūst labumu no uzņēmuma, izmantojot savas finansiālās priekšrocības.</w:t>
      </w:r>
    </w:p>
    <w:p w14:paraId="4EB67169" w14:textId="77777777" w:rsidR="008863EF" w:rsidRPr="009606FB" w:rsidRDefault="008863EF" w:rsidP="009606FB">
      <w:pPr>
        <w:pStyle w:val="BodyText"/>
        <w:jc w:val="both"/>
        <w:rPr>
          <w:rFonts w:ascii="Times New Roman" w:hAnsi="Times New Roman"/>
          <w:noProof/>
          <w:sz w:val="24"/>
        </w:rPr>
      </w:pPr>
    </w:p>
    <w:p w14:paraId="48299A37" w14:textId="77777777" w:rsidR="008863EF" w:rsidRPr="009606FB" w:rsidRDefault="008863EF" w:rsidP="009606FB">
      <w:pPr>
        <w:jc w:val="both"/>
        <w:rPr>
          <w:rFonts w:ascii="Times New Roman" w:hAnsi="Times New Roman"/>
          <w:noProof/>
          <w:sz w:val="24"/>
        </w:rPr>
      </w:pPr>
      <w:r>
        <w:rPr>
          <w:rFonts w:ascii="Times New Roman" w:hAnsi="Times New Roman"/>
          <w:sz w:val="24"/>
        </w:rPr>
        <w:t xml:space="preserve">Mācekļi vai </w:t>
      </w:r>
      <w:proofErr w:type="spellStart"/>
      <w:r>
        <w:rPr>
          <w:rFonts w:ascii="Times New Roman" w:hAnsi="Times New Roman"/>
          <w:sz w:val="24"/>
        </w:rPr>
        <w:t>arodmācekļi</w:t>
      </w:r>
      <w:proofErr w:type="spellEnd"/>
      <w:r>
        <w:rPr>
          <w:rFonts w:ascii="Times New Roman" w:hAnsi="Times New Roman"/>
          <w:sz w:val="24"/>
        </w:rPr>
        <w:t>, kam ir mācekļa darba vai arodmācību līgums, neietilpst darbinieku skaitā. Netiek ņemts vērā grūtniecības un bērna kopšanas atvaļinājuma ilgums.</w:t>
      </w:r>
    </w:p>
    <w:p w14:paraId="7F0E1E59" w14:textId="77777777" w:rsidR="008863EF" w:rsidRPr="009606FB" w:rsidRDefault="008863EF" w:rsidP="009606FB">
      <w:pPr>
        <w:pStyle w:val="BodyText"/>
        <w:jc w:val="both"/>
        <w:rPr>
          <w:rFonts w:ascii="Times New Roman" w:hAnsi="Times New Roman"/>
          <w:noProof/>
          <w:sz w:val="24"/>
        </w:rPr>
      </w:pPr>
    </w:p>
    <w:p w14:paraId="5BAF2B86" w14:textId="77777777" w:rsidR="008863EF" w:rsidRPr="009606FB" w:rsidRDefault="008863EF" w:rsidP="009606FB">
      <w:pPr>
        <w:pStyle w:val="BodyText"/>
        <w:jc w:val="both"/>
        <w:rPr>
          <w:rFonts w:ascii="Times New Roman" w:hAnsi="Times New Roman"/>
          <w:noProof/>
          <w:sz w:val="24"/>
        </w:rPr>
      </w:pPr>
    </w:p>
    <w:p w14:paraId="6A25A2CC" w14:textId="77777777" w:rsidR="008863EF" w:rsidRPr="009606FB" w:rsidRDefault="008863EF" w:rsidP="00923291">
      <w:pPr>
        <w:jc w:val="center"/>
        <w:rPr>
          <w:rFonts w:ascii="Times New Roman" w:hAnsi="Times New Roman"/>
          <w:i/>
          <w:noProof/>
          <w:sz w:val="24"/>
        </w:rPr>
      </w:pPr>
      <w:r>
        <w:rPr>
          <w:rFonts w:ascii="Times New Roman" w:hAnsi="Times New Roman"/>
          <w:i/>
          <w:sz w:val="24"/>
        </w:rPr>
        <w:t>6. pants</w:t>
      </w:r>
    </w:p>
    <w:p w14:paraId="40E35443" w14:textId="77777777" w:rsidR="008863EF" w:rsidRPr="009606FB" w:rsidRDefault="008863EF" w:rsidP="00923291">
      <w:pPr>
        <w:pStyle w:val="BodyText"/>
        <w:jc w:val="center"/>
        <w:rPr>
          <w:rFonts w:ascii="Times New Roman" w:hAnsi="Times New Roman"/>
          <w:i/>
          <w:noProof/>
          <w:sz w:val="24"/>
        </w:rPr>
      </w:pPr>
    </w:p>
    <w:p w14:paraId="6C24543F" w14:textId="77777777" w:rsidR="008863EF" w:rsidRPr="009606FB" w:rsidRDefault="008863EF" w:rsidP="00923291">
      <w:pPr>
        <w:jc w:val="center"/>
        <w:rPr>
          <w:rFonts w:ascii="Times New Roman" w:hAnsi="Times New Roman"/>
          <w:b/>
          <w:noProof/>
          <w:sz w:val="24"/>
        </w:rPr>
      </w:pPr>
      <w:r>
        <w:rPr>
          <w:rFonts w:ascii="Times New Roman" w:hAnsi="Times New Roman"/>
          <w:b/>
          <w:sz w:val="24"/>
        </w:rPr>
        <w:t>Uzņēmuma datu apkopošana</w:t>
      </w:r>
    </w:p>
    <w:p w14:paraId="48C0E0C9" w14:textId="77777777" w:rsidR="008863EF" w:rsidRPr="009606FB" w:rsidRDefault="008863EF" w:rsidP="00923291">
      <w:pPr>
        <w:pStyle w:val="BodyText"/>
        <w:jc w:val="center"/>
        <w:rPr>
          <w:rFonts w:ascii="Times New Roman" w:hAnsi="Times New Roman"/>
          <w:b/>
          <w:noProof/>
          <w:sz w:val="24"/>
        </w:rPr>
      </w:pPr>
    </w:p>
    <w:p w14:paraId="2A7C4814" w14:textId="099C45DE" w:rsidR="008863EF" w:rsidRPr="00923291" w:rsidRDefault="00923291" w:rsidP="00923291">
      <w:pPr>
        <w:tabs>
          <w:tab w:val="left" w:pos="1527"/>
        </w:tabs>
        <w:jc w:val="both"/>
        <w:rPr>
          <w:rFonts w:ascii="Times New Roman" w:hAnsi="Times New Roman"/>
          <w:noProof/>
          <w:sz w:val="24"/>
        </w:rPr>
      </w:pPr>
      <w:r>
        <w:rPr>
          <w:rFonts w:ascii="Times New Roman" w:hAnsi="Times New Roman"/>
          <w:sz w:val="24"/>
        </w:rPr>
        <w:t>1. Datus par autonomu uzņēmumu, tostarp darbinieku skaitu, nosaka, balstoties tikai un vienīgi uz uzņēmuma pārskatiem.</w:t>
      </w:r>
    </w:p>
    <w:p w14:paraId="16C03A4C" w14:textId="77777777" w:rsidR="008B20CC" w:rsidRPr="009606FB" w:rsidRDefault="008B20CC" w:rsidP="00923291">
      <w:pPr>
        <w:jc w:val="both"/>
        <w:rPr>
          <w:rFonts w:ascii="Times New Roman" w:hAnsi="Times New Roman"/>
          <w:noProof/>
          <w:sz w:val="24"/>
        </w:rPr>
      </w:pPr>
    </w:p>
    <w:p w14:paraId="1998161A" w14:textId="3FB61AA5" w:rsidR="008863EF" w:rsidRDefault="00923291" w:rsidP="00923291">
      <w:pPr>
        <w:tabs>
          <w:tab w:val="left" w:pos="1527"/>
        </w:tabs>
        <w:jc w:val="both"/>
        <w:rPr>
          <w:rFonts w:ascii="Times New Roman" w:hAnsi="Times New Roman"/>
          <w:noProof/>
          <w:sz w:val="24"/>
        </w:rPr>
      </w:pPr>
      <w:r>
        <w:rPr>
          <w:rFonts w:ascii="Times New Roman" w:hAnsi="Times New Roman"/>
          <w:sz w:val="24"/>
        </w:rPr>
        <w:t>2. Datus par uzņēmumu, kam ir partneruzņēmumi vai saistīti uzņēmumi, nosaka, balstoties uz uzņēmuma pārskatiem un citiem datiem, vai, ja tādi pastāv, uz konsolidētajiem uzņēmuma pārskatiem vai konsolidētajiem pārskatiem, kuros uzņēmums iekļauts konsolidācijas rezultātā.</w:t>
      </w:r>
    </w:p>
    <w:p w14:paraId="4ED468FD" w14:textId="77777777" w:rsidR="00923291" w:rsidRPr="00923291" w:rsidRDefault="00923291" w:rsidP="00923291">
      <w:pPr>
        <w:tabs>
          <w:tab w:val="left" w:pos="1527"/>
        </w:tabs>
        <w:jc w:val="both"/>
        <w:rPr>
          <w:rFonts w:ascii="Times New Roman" w:hAnsi="Times New Roman"/>
          <w:noProof/>
          <w:sz w:val="24"/>
        </w:rPr>
      </w:pPr>
    </w:p>
    <w:p w14:paraId="7A94AA8D" w14:textId="2726D28F" w:rsidR="008863EF" w:rsidRDefault="008863EF" w:rsidP="00923291">
      <w:pPr>
        <w:jc w:val="both"/>
        <w:rPr>
          <w:rFonts w:ascii="Times New Roman" w:hAnsi="Times New Roman"/>
          <w:noProof/>
          <w:sz w:val="24"/>
        </w:rPr>
      </w:pPr>
      <w:r>
        <w:rPr>
          <w:rFonts w:ascii="Times New Roman" w:hAnsi="Times New Roman"/>
          <w:sz w:val="24"/>
        </w:rPr>
        <w:t>Datus, kas minēti pirmajā daļā, papildina ar datiem par jebkuru attiecīgā uzņēmuma partneruzņēmumu, kas atrodas tieši augšup vai lejup no tā. Summēšanu veic proporcionāli līdzdalības procentiem kapitālā vai balsstiesībām (ņemot vērā lielāko procentuālo īpatsvaru). Savstarpējas līdzdalības gadījumā ņem vērā lielāko procentuālo īpatsvaru.</w:t>
      </w:r>
    </w:p>
    <w:p w14:paraId="693156EE" w14:textId="77777777" w:rsidR="00CC731C" w:rsidRPr="00923291" w:rsidRDefault="00CC731C" w:rsidP="00923291">
      <w:pPr>
        <w:jc w:val="both"/>
        <w:rPr>
          <w:rFonts w:ascii="Times New Roman" w:hAnsi="Times New Roman"/>
          <w:noProof/>
          <w:sz w:val="24"/>
        </w:rPr>
      </w:pPr>
    </w:p>
    <w:p w14:paraId="345FCB86" w14:textId="77777777" w:rsidR="008863EF" w:rsidRDefault="008863EF" w:rsidP="00923291">
      <w:pPr>
        <w:jc w:val="both"/>
        <w:rPr>
          <w:rFonts w:ascii="Times New Roman" w:hAnsi="Times New Roman"/>
          <w:noProof/>
          <w:sz w:val="24"/>
        </w:rPr>
      </w:pPr>
      <w:r>
        <w:rPr>
          <w:rFonts w:ascii="Times New Roman" w:hAnsi="Times New Roman"/>
          <w:sz w:val="24"/>
        </w:rPr>
        <w:t>Pirmajā un otrajā daļā minētajiem datiem pievieno 100 % datu par jebkuru uzņēmumu, kas ir tieši vai netieši saistīts ar attiecīgo uzņēmumu, ja šie dati vēl nav iekļauti konsolidētajos pārskatos.</w:t>
      </w:r>
    </w:p>
    <w:p w14:paraId="5F793F66" w14:textId="77777777" w:rsidR="00CC731C" w:rsidRPr="00923291" w:rsidRDefault="00CC731C" w:rsidP="00923291">
      <w:pPr>
        <w:jc w:val="both"/>
        <w:rPr>
          <w:rFonts w:ascii="Times New Roman" w:hAnsi="Times New Roman"/>
          <w:noProof/>
          <w:sz w:val="24"/>
        </w:rPr>
      </w:pPr>
    </w:p>
    <w:p w14:paraId="5A0FA786" w14:textId="46309E07" w:rsidR="008863EF" w:rsidRDefault="00CC731C" w:rsidP="00923291">
      <w:pPr>
        <w:tabs>
          <w:tab w:val="left" w:pos="1527"/>
        </w:tabs>
        <w:jc w:val="both"/>
        <w:rPr>
          <w:rFonts w:ascii="Times New Roman" w:hAnsi="Times New Roman"/>
          <w:noProof/>
          <w:sz w:val="24"/>
        </w:rPr>
      </w:pPr>
      <w:r>
        <w:rPr>
          <w:rFonts w:ascii="Times New Roman" w:hAnsi="Times New Roman"/>
          <w:sz w:val="24"/>
        </w:rPr>
        <w:t>3. Piemērojot 2. punktu, datus par attiecīgā uzņēmuma partneruzņēmumiem iegūst no pārskatiem un pārējiem datiem, ja tie pastāv konsolidētā veidā. Tiem pievieno 100 % datu par uzņēmumiem, kas saistīti ar šiem partneruzņēmumiem, ja to pārskata dati vēl nav iekļauti, veicot konsolidāciju.</w:t>
      </w:r>
    </w:p>
    <w:p w14:paraId="6396AC54" w14:textId="77777777" w:rsidR="00CC731C" w:rsidRPr="00923291" w:rsidRDefault="00CC731C" w:rsidP="00923291">
      <w:pPr>
        <w:tabs>
          <w:tab w:val="left" w:pos="1527"/>
        </w:tabs>
        <w:jc w:val="both"/>
        <w:rPr>
          <w:rFonts w:ascii="Times New Roman" w:hAnsi="Times New Roman"/>
          <w:noProof/>
          <w:sz w:val="24"/>
        </w:rPr>
      </w:pPr>
    </w:p>
    <w:p w14:paraId="259AA356" w14:textId="534C8FB4" w:rsidR="008863EF" w:rsidRDefault="008863EF" w:rsidP="00923291">
      <w:pPr>
        <w:jc w:val="both"/>
        <w:rPr>
          <w:rFonts w:ascii="Times New Roman" w:hAnsi="Times New Roman"/>
          <w:noProof/>
          <w:sz w:val="24"/>
        </w:rPr>
      </w:pPr>
      <w:r>
        <w:rPr>
          <w:rFonts w:ascii="Times New Roman" w:hAnsi="Times New Roman"/>
          <w:sz w:val="24"/>
        </w:rPr>
        <w:t>Piemērojot jau minēto 2. punktu, dati par uzņēmumiem, kas saistīti ar attiecīgo uzņēmumu, ir iegūstami no pārskatiem un pārējiem datiem, ja tie pastāv konsolidētā veidā. Tos proporcionāli papildina ar datiem par šāda saistītā uzņēmuma jebkuru iespējamo partneruzņēmumu, kas atrodas tieši augšup vai lejup no tā, ja tie vēl nav iekļauti konsolidētajos pārskatos proporcionāli līdzdalībai, kas ir vismaz proporcionāla 2. punkta otrajā daļā norādītajam procentuālajam īpatsvaram.</w:t>
      </w:r>
    </w:p>
    <w:p w14:paraId="01855415" w14:textId="77777777" w:rsidR="00CC731C" w:rsidRPr="00923291" w:rsidRDefault="00CC731C" w:rsidP="00923291">
      <w:pPr>
        <w:jc w:val="both"/>
        <w:rPr>
          <w:rFonts w:ascii="Times New Roman" w:hAnsi="Times New Roman"/>
          <w:noProof/>
          <w:sz w:val="24"/>
        </w:rPr>
      </w:pPr>
    </w:p>
    <w:p w14:paraId="3878E40C" w14:textId="22D928CE" w:rsidR="008863EF" w:rsidRPr="00923291" w:rsidRDefault="00F52EF8" w:rsidP="00923291">
      <w:pPr>
        <w:tabs>
          <w:tab w:val="left" w:pos="1527"/>
        </w:tabs>
        <w:jc w:val="both"/>
        <w:rPr>
          <w:rFonts w:ascii="Times New Roman" w:hAnsi="Times New Roman"/>
          <w:noProof/>
          <w:sz w:val="24"/>
        </w:rPr>
      </w:pPr>
      <w:r>
        <w:rPr>
          <w:rFonts w:ascii="Times New Roman" w:hAnsi="Times New Roman"/>
          <w:sz w:val="24"/>
        </w:rPr>
        <w:t>4. Ja konsolidētajos pārskatos nav uzrādīti dati par konkrēta uzņēmuma darbinieku skaitu, šos skaitļus aprēķina, proporcionāli summējot datus par tā partneruzņēmumiem un papildinot tos ar datiem par uzņēmumiem, ar kuriem attiecīgais uzņēmums ir saistīts.</w:t>
      </w:r>
    </w:p>
    <w:p w14:paraId="10D176FB" w14:textId="77777777" w:rsidR="008863EF" w:rsidRPr="009606FB" w:rsidRDefault="008863EF" w:rsidP="009606FB">
      <w:pPr>
        <w:pStyle w:val="BodyText"/>
        <w:jc w:val="both"/>
        <w:rPr>
          <w:rFonts w:ascii="Times New Roman" w:hAnsi="Times New Roman"/>
          <w:noProof/>
          <w:sz w:val="24"/>
        </w:rPr>
      </w:pPr>
    </w:p>
    <w:p w14:paraId="4ECE2DC2" w14:textId="77777777" w:rsidR="008863EF" w:rsidRDefault="008863EF" w:rsidP="00923291">
      <w:pPr>
        <w:jc w:val="center"/>
        <w:rPr>
          <w:rFonts w:ascii="Times New Roman" w:hAnsi="Times New Roman"/>
          <w:noProof/>
          <w:sz w:val="24"/>
        </w:rPr>
      </w:pPr>
      <w:r>
        <w:rPr>
          <w:rFonts w:ascii="Times New Roman" w:hAnsi="Times New Roman"/>
          <w:sz w:val="24"/>
        </w:rPr>
        <w:t>II SADAĻA</w:t>
      </w:r>
    </w:p>
    <w:p w14:paraId="1479E07B" w14:textId="77777777" w:rsidR="00CC731C" w:rsidRPr="009606FB" w:rsidRDefault="00CC731C" w:rsidP="00923291">
      <w:pPr>
        <w:jc w:val="center"/>
        <w:rPr>
          <w:rFonts w:ascii="Times New Roman" w:hAnsi="Times New Roman"/>
          <w:noProof/>
          <w:sz w:val="24"/>
        </w:rPr>
      </w:pPr>
    </w:p>
    <w:p w14:paraId="56BE5C9E" w14:textId="77777777" w:rsidR="008863EF" w:rsidRPr="009606FB" w:rsidRDefault="008863EF" w:rsidP="00923291">
      <w:pPr>
        <w:jc w:val="center"/>
        <w:rPr>
          <w:rFonts w:ascii="Times New Roman" w:hAnsi="Times New Roman"/>
          <w:b/>
          <w:noProof/>
          <w:sz w:val="24"/>
        </w:rPr>
      </w:pPr>
      <w:r>
        <w:rPr>
          <w:rFonts w:ascii="Times New Roman" w:hAnsi="Times New Roman"/>
          <w:b/>
          <w:sz w:val="24"/>
        </w:rPr>
        <w:t>DAŽĀDI NOTEIKUMI</w:t>
      </w:r>
    </w:p>
    <w:p w14:paraId="5FF3FDE0" w14:textId="77777777" w:rsidR="008863EF" w:rsidRPr="009606FB" w:rsidRDefault="008863EF" w:rsidP="009606FB">
      <w:pPr>
        <w:pStyle w:val="BodyText"/>
        <w:jc w:val="both"/>
        <w:rPr>
          <w:rFonts w:ascii="Times New Roman" w:hAnsi="Times New Roman"/>
          <w:b/>
          <w:noProof/>
          <w:sz w:val="24"/>
        </w:rPr>
      </w:pPr>
    </w:p>
    <w:p w14:paraId="2E5F6A78" w14:textId="77777777" w:rsidR="008863EF" w:rsidRDefault="008863EF" w:rsidP="00923291">
      <w:pPr>
        <w:jc w:val="center"/>
        <w:rPr>
          <w:rFonts w:ascii="Times New Roman" w:hAnsi="Times New Roman"/>
          <w:i/>
          <w:noProof/>
          <w:sz w:val="24"/>
        </w:rPr>
      </w:pPr>
      <w:r>
        <w:rPr>
          <w:rFonts w:ascii="Times New Roman" w:hAnsi="Times New Roman"/>
          <w:i/>
          <w:sz w:val="24"/>
        </w:rPr>
        <w:t>7. pants</w:t>
      </w:r>
    </w:p>
    <w:p w14:paraId="778ACAE2" w14:textId="77777777" w:rsidR="00923291" w:rsidRPr="009606FB" w:rsidRDefault="00923291" w:rsidP="00923291">
      <w:pPr>
        <w:jc w:val="center"/>
        <w:rPr>
          <w:rFonts w:ascii="Times New Roman" w:hAnsi="Times New Roman"/>
          <w:i/>
          <w:noProof/>
          <w:sz w:val="24"/>
        </w:rPr>
      </w:pPr>
    </w:p>
    <w:p w14:paraId="1D844D3F" w14:textId="77777777" w:rsidR="008863EF" w:rsidRDefault="008863EF" w:rsidP="00923291">
      <w:pPr>
        <w:jc w:val="center"/>
        <w:rPr>
          <w:rFonts w:ascii="Times New Roman" w:hAnsi="Times New Roman"/>
          <w:b/>
          <w:noProof/>
          <w:sz w:val="24"/>
        </w:rPr>
      </w:pPr>
      <w:r>
        <w:rPr>
          <w:rFonts w:ascii="Times New Roman" w:hAnsi="Times New Roman"/>
          <w:b/>
          <w:sz w:val="24"/>
        </w:rPr>
        <w:t>Statistika</w:t>
      </w:r>
    </w:p>
    <w:p w14:paraId="7A5B946D" w14:textId="77777777" w:rsidR="00923291" w:rsidRPr="009606FB" w:rsidRDefault="00923291" w:rsidP="00923291">
      <w:pPr>
        <w:jc w:val="center"/>
        <w:rPr>
          <w:rFonts w:ascii="Times New Roman" w:hAnsi="Times New Roman"/>
          <w:b/>
          <w:noProof/>
          <w:sz w:val="24"/>
        </w:rPr>
      </w:pPr>
    </w:p>
    <w:p w14:paraId="77942095" w14:textId="77777777" w:rsidR="008863EF" w:rsidRPr="009606FB" w:rsidRDefault="008863EF" w:rsidP="009606FB">
      <w:pPr>
        <w:jc w:val="both"/>
        <w:rPr>
          <w:rFonts w:ascii="Times New Roman" w:hAnsi="Times New Roman"/>
          <w:noProof/>
          <w:sz w:val="24"/>
        </w:rPr>
      </w:pPr>
      <w:r>
        <w:rPr>
          <w:rFonts w:ascii="Times New Roman" w:hAnsi="Times New Roman"/>
          <w:sz w:val="24"/>
        </w:rPr>
        <w:t>Komisija veiks vajadzīgos pasākumus, lai iesniegtu statistikas datus, ko tā sagatavo atbilstoši šādām uzņēmumu lieluma kategorijām:</w:t>
      </w:r>
    </w:p>
    <w:p w14:paraId="08B2E4E6" w14:textId="61D14EA6" w:rsidR="008863EF" w:rsidRPr="00CC731C" w:rsidRDefault="00CC731C" w:rsidP="00CC731C">
      <w:pPr>
        <w:tabs>
          <w:tab w:val="left" w:pos="1405"/>
        </w:tabs>
        <w:jc w:val="both"/>
        <w:rPr>
          <w:rFonts w:ascii="Times New Roman" w:hAnsi="Times New Roman"/>
          <w:noProof/>
          <w:sz w:val="24"/>
        </w:rPr>
      </w:pPr>
      <w:r>
        <w:rPr>
          <w:rFonts w:ascii="Times New Roman" w:hAnsi="Times New Roman"/>
          <w:sz w:val="24"/>
        </w:rPr>
        <w:t>a) 0–1 persona;</w:t>
      </w:r>
    </w:p>
    <w:p w14:paraId="52040D44" w14:textId="334A1629" w:rsidR="008863EF" w:rsidRPr="00CC731C" w:rsidRDefault="00CC731C" w:rsidP="00CC731C">
      <w:pPr>
        <w:tabs>
          <w:tab w:val="left" w:pos="1405"/>
        </w:tabs>
        <w:jc w:val="both"/>
        <w:rPr>
          <w:rFonts w:ascii="Times New Roman" w:hAnsi="Times New Roman"/>
          <w:noProof/>
          <w:sz w:val="24"/>
        </w:rPr>
      </w:pPr>
      <w:r>
        <w:rPr>
          <w:rFonts w:ascii="Times New Roman" w:hAnsi="Times New Roman"/>
          <w:sz w:val="24"/>
        </w:rPr>
        <w:t>b) 2–9 personas;</w:t>
      </w:r>
    </w:p>
    <w:p w14:paraId="007DCF03" w14:textId="21274CC2" w:rsidR="008863EF" w:rsidRPr="00CC731C" w:rsidRDefault="00CC731C" w:rsidP="00CC731C">
      <w:pPr>
        <w:tabs>
          <w:tab w:val="left" w:pos="1405"/>
        </w:tabs>
        <w:jc w:val="both"/>
        <w:rPr>
          <w:rFonts w:ascii="Times New Roman" w:hAnsi="Times New Roman"/>
          <w:noProof/>
          <w:sz w:val="24"/>
        </w:rPr>
      </w:pPr>
      <w:r>
        <w:rPr>
          <w:rFonts w:ascii="Times New Roman" w:hAnsi="Times New Roman"/>
          <w:sz w:val="24"/>
        </w:rPr>
        <w:t>c) 10–49 personas;</w:t>
      </w:r>
    </w:p>
    <w:p w14:paraId="757B4961" w14:textId="70A8C4BA" w:rsidR="008863EF" w:rsidRPr="00CC731C" w:rsidRDefault="00CC731C" w:rsidP="00CC731C">
      <w:pPr>
        <w:tabs>
          <w:tab w:val="left" w:pos="1405"/>
        </w:tabs>
        <w:jc w:val="both"/>
        <w:rPr>
          <w:rFonts w:ascii="Times New Roman" w:hAnsi="Times New Roman"/>
          <w:noProof/>
          <w:sz w:val="24"/>
        </w:rPr>
      </w:pPr>
      <w:r>
        <w:rPr>
          <w:rFonts w:ascii="Times New Roman" w:hAnsi="Times New Roman"/>
          <w:sz w:val="24"/>
        </w:rPr>
        <w:t>d) 50–249 personas.</w:t>
      </w:r>
    </w:p>
    <w:p w14:paraId="15BAFD49" w14:textId="77777777" w:rsidR="008863EF" w:rsidRPr="009606FB" w:rsidRDefault="008863EF" w:rsidP="009606FB">
      <w:pPr>
        <w:pStyle w:val="BodyText"/>
        <w:jc w:val="both"/>
        <w:rPr>
          <w:rFonts w:ascii="Times New Roman" w:hAnsi="Times New Roman"/>
          <w:noProof/>
          <w:sz w:val="24"/>
        </w:rPr>
      </w:pPr>
    </w:p>
    <w:p w14:paraId="41939FE1" w14:textId="77777777" w:rsidR="008863EF" w:rsidRDefault="008863EF" w:rsidP="00535BA7">
      <w:pPr>
        <w:keepNext/>
        <w:keepLines/>
        <w:jc w:val="center"/>
        <w:rPr>
          <w:rFonts w:ascii="Times New Roman" w:hAnsi="Times New Roman"/>
          <w:i/>
          <w:noProof/>
          <w:sz w:val="24"/>
        </w:rPr>
      </w:pPr>
      <w:r>
        <w:rPr>
          <w:rFonts w:ascii="Times New Roman" w:hAnsi="Times New Roman"/>
          <w:i/>
          <w:sz w:val="24"/>
        </w:rPr>
        <w:t>8. pants</w:t>
      </w:r>
    </w:p>
    <w:p w14:paraId="655CF29B" w14:textId="77777777" w:rsidR="00CC731C" w:rsidRPr="009606FB" w:rsidRDefault="00CC731C" w:rsidP="00535BA7">
      <w:pPr>
        <w:keepNext/>
        <w:keepLines/>
        <w:jc w:val="center"/>
        <w:rPr>
          <w:rFonts w:ascii="Times New Roman" w:hAnsi="Times New Roman"/>
          <w:i/>
          <w:noProof/>
          <w:sz w:val="24"/>
        </w:rPr>
      </w:pPr>
    </w:p>
    <w:p w14:paraId="576943B8" w14:textId="77777777" w:rsidR="008863EF" w:rsidRDefault="008863EF" w:rsidP="00535BA7">
      <w:pPr>
        <w:keepNext/>
        <w:keepLines/>
        <w:jc w:val="center"/>
        <w:rPr>
          <w:rFonts w:ascii="Times New Roman" w:hAnsi="Times New Roman"/>
          <w:b/>
          <w:noProof/>
          <w:sz w:val="24"/>
        </w:rPr>
      </w:pPr>
      <w:r>
        <w:rPr>
          <w:rFonts w:ascii="Times New Roman" w:hAnsi="Times New Roman"/>
          <w:b/>
          <w:sz w:val="24"/>
        </w:rPr>
        <w:t>Atsauces</w:t>
      </w:r>
    </w:p>
    <w:p w14:paraId="4F76912A" w14:textId="77777777" w:rsidR="00CC731C" w:rsidRPr="009606FB" w:rsidRDefault="00CC731C" w:rsidP="00535BA7">
      <w:pPr>
        <w:keepNext/>
        <w:keepLines/>
        <w:jc w:val="center"/>
        <w:rPr>
          <w:rFonts w:ascii="Times New Roman" w:hAnsi="Times New Roman"/>
          <w:b/>
          <w:noProof/>
          <w:sz w:val="24"/>
        </w:rPr>
      </w:pPr>
    </w:p>
    <w:p w14:paraId="7C57C088" w14:textId="5C5AB84F" w:rsidR="008863EF" w:rsidRDefault="00CC731C" w:rsidP="00535BA7">
      <w:pPr>
        <w:pStyle w:val="ListParagraph"/>
        <w:keepNext/>
        <w:keepLines/>
        <w:tabs>
          <w:tab w:val="left" w:pos="1527"/>
        </w:tabs>
        <w:ind w:left="0"/>
        <w:rPr>
          <w:rFonts w:ascii="Times New Roman" w:hAnsi="Times New Roman"/>
          <w:noProof/>
          <w:sz w:val="24"/>
        </w:rPr>
      </w:pPr>
      <w:r>
        <w:rPr>
          <w:rFonts w:ascii="Times New Roman" w:hAnsi="Times New Roman"/>
          <w:sz w:val="24"/>
        </w:rPr>
        <w:t>1. Uz šajā ieteikumā ietverto definīciju ir jāatsaucas jebkurā grozāmā vai pieņemamā Kopienas tiesību aktā vai jebkurā grozāmā vai pieņemamā Kopienas programmā, kurā lietots termins “</w:t>
      </w:r>
      <w:proofErr w:type="spellStart"/>
      <w:r>
        <w:rPr>
          <w:rFonts w:ascii="Times New Roman" w:hAnsi="Times New Roman"/>
          <w:sz w:val="24"/>
        </w:rPr>
        <w:t>MVU</w:t>
      </w:r>
      <w:proofErr w:type="spellEnd"/>
      <w:r>
        <w:rPr>
          <w:rFonts w:ascii="Times New Roman" w:hAnsi="Times New Roman"/>
          <w:sz w:val="24"/>
        </w:rPr>
        <w:t>”, “</w:t>
      </w:r>
      <w:proofErr w:type="spellStart"/>
      <w:r>
        <w:rPr>
          <w:rFonts w:ascii="Times New Roman" w:hAnsi="Times New Roman"/>
          <w:sz w:val="24"/>
        </w:rPr>
        <w:t>mikrouzņēmums</w:t>
      </w:r>
      <w:proofErr w:type="spellEnd"/>
      <w:r>
        <w:rPr>
          <w:rFonts w:ascii="Times New Roman" w:hAnsi="Times New Roman"/>
          <w:sz w:val="24"/>
        </w:rPr>
        <w:t>”, “mazs uzņēmums” vai “mazs un vidējs uzņēmums”, vai jebkāds līdzīgs termins.</w:t>
      </w:r>
    </w:p>
    <w:p w14:paraId="66A455C1" w14:textId="77777777" w:rsidR="00CC731C" w:rsidRPr="009606FB" w:rsidRDefault="00CC731C" w:rsidP="00CC731C">
      <w:pPr>
        <w:pStyle w:val="ListParagraph"/>
        <w:tabs>
          <w:tab w:val="left" w:pos="1527"/>
        </w:tabs>
        <w:ind w:left="0"/>
        <w:rPr>
          <w:rFonts w:ascii="Times New Roman" w:hAnsi="Times New Roman"/>
          <w:noProof/>
          <w:sz w:val="24"/>
        </w:rPr>
      </w:pPr>
    </w:p>
    <w:p w14:paraId="4D8227AD" w14:textId="2905E12A" w:rsidR="008863EF" w:rsidRDefault="00CC731C" w:rsidP="00CC731C">
      <w:pPr>
        <w:pStyle w:val="ListParagraph"/>
        <w:tabs>
          <w:tab w:val="left" w:pos="1527"/>
        </w:tabs>
        <w:ind w:left="0"/>
        <w:rPr>
          <w:rFonts w:ascii="Times New Roman" w:hAnsi="Times New Roman"/>
          <w:noProof/>
          <w:sz w:val="24"/>
        </w:rPr>
      </w:pPr>
      <w:r>
        <w:rPr>
          <w:rFonts w:ascii="Times New Roman" w:hAnsi="Times New Roman"/>
          <w:sz w:val="24"/>
        </w:rPr>
        <w:t xml:space="preserve">2. Pārejas posma pasākumu ietvaros pašreizējās Kopienas programmas, kurās izmanto Ieteikuma 96/280/EK noteikto </w:t>
      </w:r>
      <w:proofErr w:type="spellStart"/>
      <w:r>
        <w:rPr>
          <w:rFonts w:ascii="Times New Roman" w:hAnsi="Times New Roman"/>
          <w:sz w:val="24"/>
        </w:rPr>
        <w:t>MVU</w:t>
      </w:r>
      <w:proofErr w:type="spellEnd"/>
      <w:r>
        <w:rPr>
          <w:rFonts w:ascii="Times New Roman" w:hAnsi="Times New Roman"/>
          <w:sz w:val="24"/>
        </w:rPr>
        <w:t xml:space="preserve"> definīciju, arī turpmāk tiks īstenotas to uzņēmumu labā, kuri tika uzskatīti par </w:t>
      </w:r>
      <w:proofErr w:type="spellStart"/>
      <w:r>
        <w:rPr>
          <w:rFonts w:ascii="Times New Roman" w:hAnsi="Times New Roman"/>
          <w:sz w:val="24"/>
        </w:rPr>
        <w:t>MVU</w:t>
      </w:r>
      <w:proofErr w:type="spellEnd"/>
      <w:r>
        <w:rPr>
          <w:rFonts w:ascii="Times New Roman" w:hAnsi="Times New Roman"/>
          <w:sz w:val="24"/>
        </w:rPr>
        <w:t>, kad minētās programmas tika pieņemtas. Tiesiski saistošas apņemšanās, ko Komisija uzņēmusies, pamatojoties uz šādām programmām, paliks neskartas.</w:t>
      </w:r>
    </w:p>
    <w:p w14:paraId="32F5F980" w14:textId="77777777" w:rsidR="00CC731C" w:rsidRPr="009606FB" w:rsidRDefault="00CC731C" w:rsidP="00CC731C">
      <w:pPr>
        <w:pStyle w:val="ListParagraph"/>
        <w:tabs>
          <w:tab w:val="left" w:pos="1527"/>
        </w:tabs>
        <w:ind w:left="0"/>
        <w:rPr>
          <w:rFonts w:ascii="Times New Roman" w:hAnsi="Times New Roman"/>
          <w:noProof/>
          <w:sz w:val="24"/>
        </w:rPr>
      </w:pPr>
    </w:p>
    <w:p w14:paraId="153904DF" w14:textId="77777777" w:rsidR="008863EF" w:rsidRPr="009606FB" w:rsidRDefault="008863EF" w:rsidP="009606FB">
      <w:pPr>
        <w:jc w:val="both"/>
        <w:rPr>
          <w:rFonts w:ascii="Times New Roman" w:hAnsi="Times New Roman"/>
          <w:noProof/>
          <w:sz w:val="24"/>
        </w:rPr>
      </w:pPr>
      <w:r>
        <w:rPr>
          <w:rFonts w:ascii="Times New Roman" w:hAnsi="Times New Roman"/>
          <w:sz w:val="24"/>
        </w:rPr>
        <w:t xml:space="preserve">Neskarot pirmo daļu, visus </w:t>
      </w:r>
      <w:proofErr w:type="spellStart"/>
      <w:r>
        <w:rPr>
          <w:rFonts w:ascii="Times New Roman" w:hAnsi="Times New Roman"/>
          <w:sz w:val="24"/>
        </w:rPr>
        <w:t>MVU</w:t>
      </w:r>
      <w:proofErr w:type="spellEnd"/>
      <w:r>
        <w:rPr>
          <w:rFonts w:ascii="Times New Roman" w:hAnsi="Times New Roman"/>
          <w:sz w:val="24"/>
        </w:rPr>
        <w:t xml:space="preserve"> definīcijas grozījumus programmās var izdarīt tikai pieņemot šajā ieteikumā ietverto definīciju saskaņā ar 1. punktu.</w:t>
      </w:r>
    </w:p>
    <w:p w14:paraId="477C9D80" w14:textId="77777777" w:rsidR="008863EF" w:rsidRPr="009606FB" w:rsidRDefault="008863EF" w:rsidP="009606FB">
      <w:pPr>
        <w:pStyle w:val="BodyText"/>
        <w:jc w:val="both"/>
        <w:rPr>
          <w:rFonts w:ascii="Times New Roman" w:hAnsi="Times New Roman"/>
          <w:noProof/>
          <w:sz w:val="24"/>
        </w:rPr>
      </w:pPr>
    </w:p>
    <w:p w14:paraId="12B32413" w14:textId="77777777" w:rsidR="008863EF" w:rsidRDefault="008863EF" w:rsidP="00CC731C">
      <w:pPr>
        <w:jc w:val="center"/>
        <w:rPr>
          <w:rFonts w:ascii="Times New Roman" w:hAnsi="Times New Roman"/>
          <w:i/>
          <w:noProof/>
          <w:sz w:val="24"/>
        </w:rPr>
      </w:pPr>
      <w:r>
        <w:rPr>
          <w:rFonts w:ascii="Times New Roman" w:hAnsi="Times New Roman"/>
          <w:i/>
          <w:sz w:val="24"/>
        </w:rPr>
        <w:t>9. pants</w:t>
      </w:r>
    </w:p>
    <w:p w14:paraId="157B76FA" w14:textId="77777777" w:rsidR="00CC731C" w:rsidRPr="009606FB" w:rsidRDefault="00CC731C" w:rsidP="00CC731C">
      <w:pPr>
        <w:jc w:val="center"/>
        <w:rPr>
          <w:rFonts w:ascii="Times New Roman" w:hAnsi="Times New Roman"/>
          <w:i/>
          <w:noProof/>
          <w:sz w:val="24"/>
        </w:rPr>
      </w:pPr>
    </w:p>
    <w:p w14:paraId="7D7BA7F1" w14:textId="77777777" w:rsidR="008863EF" w:rsidRDefault="008863EF" w:rsidP="00CC731C">
      <w:pPr>
        <w:jc w:val="center"/>
        <w:rPr>
          <w:rFonts w:ascii="Times New Roman" w:hAnsi="Times New Roman"/>
          <w:b/>
          <w:noProof/>
          <w:sz w:val="24"/>
        </w:rPr>
      </w:pPr>
      <w:r>
        <w:rPr>
          <w:rFonts w:ascii="Times New Roman" w:hAnsi="Times New Roman"/>
          <w:b/>
          <w:sz w:val="24"/>
        </w:rPr>
        <w:t>Pārskatīšana</w:t>
      </w:r>
    </w:p>
    <w:p w14:paraId="7D2AD6D0" w14:textId="77777777" w:rsidR="00CC731C" w:rsidRPr="009606FB" w:rsidRDefault="00CC731C" w:rsidP="00CC731C">
      <w:pPr>
        <w:jc w:val="center"/>
        <w:rPr>
          <w:rFonts w:ascii="Times New Roman" w:hAnsi="Times New Roman"/>
          <w:b/>
          <w:noProof/>
          <w:sz w:val="24"/>
        </w:rPr>
      </w:pPr>
    </w:p>
    <w:p w14:paraId="0BE6CDDA" w14:textId="77777777" w:rsidR="008863EF" w:rsidRPr="009606FB" w:rsidRDefault="008863EF" w:rsidP="009606FB">
      <w:pPr>
        <w:jc w:val="both"/>
        <w:rPr>
          <w:rFonts w:ascii="Times New Roman" w:hAnsi="Times New Roman"/>
          <w:noProof/>
          <w:sz w:val="24"/>
        </w:rPr>
      </w:pPr>
      <w:r>
        <w:rPr>
          <w:rFonts w:ascii="Times New Roman" w:hAnsi="Times New Roman"/>
          <w:sz w:val="24"/>
        </w:rPr>
        <w:t>Pamatojoties uz šajā ieteikumā ietvertās definīcijas piemērošanas pārskatīšanu, kas jāveic līdz 2006. gada 31. martam, un ņemot vērā visus Direktīvas 83/349/EEK 1. panta grozījumus attiecībā uz saistīto uzņēmumu definīciju minētās direktīvas izpratnē, Komisija vajadzības gadījumā pieņems šajā ieteikumā ietverto definīciju un jo īpaši apgrozījuma un kopsavilkuma bilances augšējo robežu, lai ņemtu vērā Kopienas pieredzi un ekonomisko attīstību.</w:t>
      </w:r>
    </w:p>
    <w:p w14:paraId="3073DD11" w14:textId="77777777" w:rsidR="008863EF" w:rsidRPr="009606FB" w:rsidRDefault="008863EF" w:rsidP="009606FB">
      <w:pPr>
        <w:pStyle w:val="BodyText"/>
        <w:jc w:val="both"/>
        <w:rPr>
          <w:rFonts w:ascii="Times New Roman" w:hAnsi="Times New Roman"/>
          <w:noProof/>
          <w:sz w:val="24"/>
        </w:rPr>
      </w:pPr>
    </w:p>
    <w:p w14:paraId="67F4A9D8" w14:textId="77777777" w:rsidR="008863EF" w:rsidRPr="009606FB" w:rsidRDefault="008863EF" w:rsidP="009606FB">
      <w:pPr>
        <w:pStyle w:val="BodyText"/>
        <w:jc w:val="both"/>
        <w:rPr>
          <w:rFonts w:ascii="Times New Roman" w:hAnsi="Times New Roman"/>
          <w:noProof/>
          <w:sz w:val="24"/>
        </w:rPr>
      </w:pPr>
      <w:r>
        <w:rPr>
          <w:rFonts w:ascii="Times New Roman" w:hAnsi="Times New Roman"/>
          <w:noProof/>
          <w:sz w:val="24"/>
        </w:rPr>
        <mc:AlternateContent>
          <mc:Choice Requires="wps">
            <w:drawing>
              <wp:anchor distT="0" distB="0" distL="0" distR="0" simplePos="0" relativeHeight="251661312" behindDoc="1" locked="0" layoutInCell="1" allowOverlap="1" wp14:anchorId="4DCB290A" wp14:editId="05F245E5">
                <wp:simplePos x="0" y="0"/>
                <wp:positionH relativeFrom="page">
                  <wp:posOffset>3457575</wp:posOffset>
                </wp:positionH>
                <wp:positionV relativeFrom="paragraph">
                  <wp:posOffset>190500</wp:posOffset>
                </wp:positionV>
                <wp:extent cx="649605" cy="6350"/>
                <wp:effectExtent l="0" t="0" r="0" b="0"/>
                <wp:wrapTopAndBottom/>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 cy="635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F97CE" id="Rectangle 2" o:spid="_x0000_s1026" style="position:absolute;margin-left:272.25pt;margin-top:15pt;width:51.1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" fillcolor="#231f20" stroked="f">
                <w10:wrap type="topAndBottom" anchorx="page"/>
              </v:rect>
            </w:pict>
          </mc:Fallback>
        </mc:AlternateContent>
      </w:r>
    </w:p>
    <w:sectPr w:rsidR="008863EF" w:rsidRPr="009606FB" w:rsidSect="008B20CC">
      <w:headerReference w:type="even" r:id="rId11"/>
      <w:headerReference w:type="default" r:id="rId12"/>
      <w:footerReference w:type="default" r:id="rId13"/>
      <w:headerReference w:type="first" r:id="rId14"/>
      <w:footerReference w:type="first" r:id="rId15"/>
      <w:footnotePr>
        <w:numRestart w:val="eachPage"/>
      </w:footnotePr>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EE0E" w14:textId="77777777" w:rsidR="000D66DC" w:rsidRPr="008863EF" w:rsidRDefault="000D66DC">
      <w:pPr>
        <w:rPr>
          <w:noProof/>
        </w:rPr>
      </w:pPr>
      <w:r w:rsidRPr="008863EF">
        <w:rPr>
          <w:noProof/>
        </w:rPr>
        <w:separator/>
      </w:r>
    </w:p>
  </w:endnote>
  <w:endnote w:type="continuationSeparator" w:id="0">
    <w:p w14:paraId="64B42733" w14:textId="77777777" w:rsidR="000D66DC" w:rsidRPr="008863EF" w:rsidRDefault="000D66DC">
      <w:pPr>
        <w:rPr>
          <w:noProof/>
        </w:rPr>
      </w:pPr>
      <w:r w:rsidRPr="008863E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6A13" w14:textId="77777777" w:rsidR="00E47A01" w:rsidRPr="003E62C2" w:rsidRDefault="00E47A01" w:rsidP="00E47A01">
    <w:pPr>
      <w:pStyle w:val="Header"/>
      <w:tabs>
        <w:tab w:val="left" w:pos="9072"/>
      </w:tabs>
      <w:jc w:val="both"/>
      <w:rPr>
        <w:rStyle w:val="PageNumber"/>
        <w:rFonts w:ascii="Times New Roman" w:hAnsi="Times New Roman" w:cs="Times New Roman"/>
        <w:noProof/>
        <w:sz w:val="20"/>
        <w:szCs w:val="20"/>
        <w:lang w:val="en-US"/>
      </w:rPr>
    </w:pPr>
  </w:p>
  <w:p w14:paraId="2D192229" w14:textId="77777777" w:rsidR="00E47A01" w:rsidRPr="003E62C2" w:rsidRDefault="00E47A01" w:rsidP="00E47A01">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38404EC5" w14:textId="77777777" w:rsidR="00E47A01" w:rsidRPr="003E62C2" w:rsidRDefault="00E47A01" w:rsidP="00E47A01">
    <w:pPr>
      <w:pStyle w:val="Header"/>
      <w:tabs>
        <w:tab w:val="right" w:pos="9072"/>
      </w:tabs>
      <w:jc w:val="both"/>
      <w:rPr>
        <w:rStyle w:val="PageNumber"/>
        <w:rFonts w:ascii="Times New Roman" w:hAnsi="Times New Roman" w:cs="Times New Roman"/>
        <w:noProof/>
        <w:sz w:val="20"/>
        <w:szCs w:val="20"/>
        <w:lang w:val="en-US"/>
      </w:rPr>
    </w:pPr>
  </w:p>
  <w:p w14:paraId="7155FD67" w14:textId="3D97C5EB" w:rsidR="008863EF" w:rsidRPr="00535BA7" w:rsidRDefault="00E47A01" w:rsidP="00535BA7">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AAC1" w14:textId="77777777" w:rsidR="00A34EBE" w:rsidRPr="003E62C2" w:rsidRDefault="00A34EBE" w:rsidP="00A34EBE">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670B70CC" w14:textId="77777777" w:rsidR="00A34EBE" w:rsidRPr="003E62C2" w:rsidRDefault="00A34EBE" w:rsidP="00A34EBE">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CF33546" w14:textId="77777777" w:rsidR="00A34EBE" w:rsidRPr="003E62C2" w:rsidRDefault="00A34EBE" w:rsidP="00A34EBE">
    <w:pPr>
      <w:pStyle w:val="Header"/>
      <w:tabs>
        <w:tab w:val="left" w:pos="9072"/>
      </w:tabs>
      <w:jc w:val="both"/>
      <w:rPr>
        <w:rStyle w:val="PageNumber"/>
        <w:rFonts w:ascii="Times New Roman" w:hAnsi="Times New Roman"/>
        <w:noProof/>
        <w:sz w:val="20"/>
        <w:szCs w:val="18"/>
        <w:lang w:val="en-US"/>
      </w:rPr>
    </w:pPr>
  </w:p>
  <w:p w14:paraId="27BAB0D2" w14:textId="71B70600" w:rsidR="008863EF" w:rsidRPr="00A34EBE" w:rsidRDefault="00A34EBE" w:rsidP="00A34EBE">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7768" w14:textId="77777777" w:rsidR="000D66DC" w:rsidRPr="008863EF" w:rsidRDefault="000D66DC">
      <w:pPr>
        <w:rPr>
          <w:noProof/>
        </w:rPr>
      </w:pPr>
      <w:r w:rsidRPr="008863EF">
        <w:rPr>
          <w:noProof/>
        </w:rPr>
        <w:separator/>
      </w:r>
    </w:p>
  </w:footnote>
  <w:footnote w:type="continuationSeparator" w:id="0">
    <w:p w14:paraId="23D37B35" w14:textId="77777777" w:rsidR="000D66DC" w:rsidRPr="008863EF" w:rsidRDefault="000D66DC">
      <w:pPr>
        <w:rPr>
          <w:noProof/>
        </w:rPr>
      </w:pPr>
      <w:r w:rsidRPr="008863EF">
        <w:rPr>
          <w:noProof/>
        </w:rPr>
        <w:continuationSeparator/>
      </w:r>
    </w:p>
  </w:footnote>
  <w:footnote w:id="1">
    <w:p w14:paraId="6C888AC6" w14:textId="5BCA4F00" w:rsidR="003E0CF8" w:rsidRPr="00B62D71" w:rsidRDefault="003E0CF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OV</w:t>
      </w:r>
      <w:proofErr w:type="spellEnd"/>
      <w:r>
        <w:rPr>
          <w:rFonts w:ascii="Times New Roman" w:hAnsi="Times New Roman"/>
        </w:rPr>
        <w:t>, L 107, 30.04.1996., 4. lpp.</w:t>
      </w:r>
    </w:p>
  </w:footnote>
  <w:footnote w:id="2">
    <w:p w14:paraId="336A5EE3" w14:textId="7DC14C4B" w:rsidR="00B62D71" w:rsidRPr="00B62D71" w:rsidRDefault="00B62D71">
      <w:pPr>
        <w:pStyle w:val="FootnoteText"/>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OV</w:t>
      </w:r>
      <w:proofErr w:type="spellEnd"/>
      <w:r>
        <w:rPr>
          <w:rFonts w:ascii="Times New Roman" w:hAnsi="Times New Roman"/>
        </w:rPr>
        <w:t>, L 10, 13.01.2001., 33. lpp.</w:t>
      </w:r>
    </w:p>
  </w:footnote>
  <w:footnote w:id="3">
    <w:p w14:paraId="01FEB72C" w14:textId="03CB31FB" w:rsidR="000828B1" w:rsidRPr="000828B1" w:rsidRDefault="00082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OV</w:t>
      </w:r>
      <w:proofErr w:type="spellEnd"/>
      <w:r>
        <w:rPr>
          <w:rFonts w:ascii="Times New Roman" w:hAnsi="Times New Roman"/>
        </w:rPr>
        <w:t>, L 193, 18.07.1983., 1. lpp.</w:t>
      </w:r>
    </w:p>
  </w:footnote>
  <w:footnote w:id="4">
    <w:p w14:paraId="630FC40A" w14:textId="02179840" w:rsidR="000828B1" w:rsidRPr="000828B1" w:rsidRDefault="00082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OV</w:t>
      </w:r>
      <w:proofErr w:type="spellEnd"/>
      <w:r>
        <w:rPr>
          <w:rFonts w:ascii="Times New Roman" w:hAnsi="Times New Roman"/>
        </w:rPr>
        <w:t>, L 283, 27.10.2001., 28. lpp.</w:t>
      </w:r>
    </w:p>
  </w:footnote>
  <w:footnote w:id="5">
    <w:p w14:paraId="17305302" w14:textId="05B9D9E0" w:rsidR="000828B1" w:rsidRPr="000828B1" w:rsidRDefault="00082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OV</w:t>
      </w:r>
      <w:proofErr w:type="spellEnd"/>
      <w:r>
        <w:rPr>
          <w:rFonts w:ascii="Times New Roman" w:hAnsi="Times New Roman"/>
        </w:rPr>
        <w:t>, L 222, 14.08.1978., 11. lpp.</w:t>
      </w:r>
    </w:p>
  </w:footnote>
  <w:footnote w:id="6">
    <w:p w14:paraId="12138205" w14:textId="5AA319B8" w:rsidR="000828B1" w:rsidRPr="000828B1" w:rsidRDefault="000828B1">
      <w:pPr>
        <w:pStyle w:val="FootnoteText"/>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OV</w:t>
      </w:r>
      <w:proofErr w:type="spellEnd"/>
      <w:r>
        <w:rPr>
          <w:rFonts w:ascii="Times New Roman" w:hAnsi="Times New Roman"/>
        </w:rPr>
        <w:t>, C 372, 09.12.1997., 5.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C626" w14:textId="2396B9EF" w:rsidR="00D30DBF" w:rsidRDefault="00D30DB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553" w14:textId="77777777" w:rsidR="001D3798" w:rsidRPr="003E62C2" w:rsidRDefault="001D3798" w:rsidP="001D3798">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76BDD9C" w14:textId="77777777" w:rsidR="001D3798" w:rsidRPr="003E62C2" w:rsidRDefault="001D3798" w:rsidP="001D3798">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3F81C627" w14:textId="76AFE11A" w:rsidR="00D30DBF" w:rsidRPr="001D3798" w:rsidRDefault="00D30DBF" w:rsidP="001D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F572" w14:textId="77777777" w:rsidR="005841FB" w:rsidRPr="003E62C2" w:rsidRDefault="005841FB" w:rsidP="005841FB">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4460B4A" w14:textId="77777777" w:rsidR="008863EF" w:rsidRDefault="0088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6E5"/>
    <w:multiLevelType w:val="hybridMultilevel"/>
    <w:tmpl w:val="FBEA0212"/>
    <w:lvl w:ilvl="0" w:tplc="E488BC10">
      <w:start w:val="1"/>
      <w:numFmt w:val="decimal"/>
      <w:lvlText w:val="%1."/>
      <w:lvlJc w:val="left"/>
      <w:pPr>
        <w:ind w:left="1142" w:hanging="385"/>
        <w:jc w:val="left"/>
      </w:pPr>
      <w:rPr>
        <w:rFonts w:ascii="Cambria" w:eastAsia="Cambria" w:hAnsi="Cambria" w:cs="Cambria" w:hint="default"/>
        <w:color w:val="231F20"/>
        <w:w w:val="99"/>
        <w:sz w:val="17"/>
        <w:szCs w:val="17"/>
        <w:lang w:val="en-US" w:eastAsia="en-US" w:bidi="ar-SA"/>
      </w:rPr>
    </w:lvl>
    <w:lvl w:ilvl="1" w:tplc="21EEEFFA">
      <w:numFmt w:val="bullet"/>
      <w:lvlText w:val="•"/>
      <w:lvlJc w:val="left"/>
      <w:pPr>
        <w:ind w:left="2074" w:hanging="385"/>
      </w:pPr>
      <w:rPr>
        <w:rFonts w:hint="default"/>
        <w:lang w:val="en-US" w:eastAsia="en-US" w:bidi="ar-SA"/>
      </w:rPr>
    </w:lvl>
    <w:lvl w:ilvl="2" w:tplc="EFB8ECA4">
      <w:numFmt w:val="bullet"/>
      <w:lvlText w:val="•"/>
      <w:lvlJc w:val="left"/>
      <w:pPr>
        <w:ind w:left="3008" w:hanging="385"/>
      </w:pPr>
      <w:rPr>
        <w:rFonts w:hint="default"/>
        <w:lang w:val="en-US" w:eastAsia="en-US" w:bidi="ar-SA"/>
      </w:rPr>
    </w:lvl>
    <w:lvl w:ilvl="3" w:tplc="D6984098">
      <w:numFmt w:val="bullet"/>
      <w:lvlText w:val="•"/>
      <w:lvlJc w:val="left"/>
      <w:pPr>
        <w:ind w:left="3942" w:hanging="385"/>
      </w:pPr>
      <w:rPr>
        <w:rFonts w:hint="default"/>
        <w:lang w:val="en-US" w:eastAsia="en-US" w:bidi="ar-SA"/>
      </w:rPr>
    </w:lvl>
    <w:lvl w:ilvl="4" w:tplc="7570E716">
      <w:numFmt w:val="bullet"/>
      <w:lvlText w:val="•"/>
      <w:lvlJc w:val="left"/>
      <w:pPr>
        <w:ind w:left="4876" w:hanging="385"/>
      </w:pPr>
      <w:rPr>
        <w:rFonts w:hint="default"/>
        <w:lang w:val="en-US" w:eastAsia="en-US" w:bidi="ar-SA"/>
      </w:rPr>
    </w:lvl>
    <w:lvl w:ilvl="5" w:tplc="F0A219CA">
      <w:numFmt w:val="bullet"/>
      <w:lvlText w:val="•"/>
      <w:lvlJc w:val="left"/>
      <w:pPr>
        <w:ind w:left="5810" w:hanging="385"/>
      </w:pPr>
      <w:rPr>
        <w:rFonts w:hint="default"/>
        <w:lang w:val="en-US" w:eastAsia="en-US" w:bidi="ar-SA"/>
      </w:rPr>
    </w:lvl>
    <w:lvl w:ilvl="6" w:tplc="BD1A25E0">
      <w:numFmt w:val="bullet"/>
      <w:lvlText w:val="•"/>
      <w:lvlJc w:val="left"/>
      <w:pPr>
        <w:ind w:left="6744" w:hanging="385"/>
      </w:pPr>
      <w:rPr>
        <w:rFonts w:hint="default"/>
        <w:lang w:val="en-US" w:eastAsia="en-US" w:bidi="ar-SA"/>
      </w:rPr>
    </w:lvl>
    <w:lvl w:ilvl="7" w:tplc="4CBE649E">
      <w:numFmt w:val="bullet"/>
      <w:lvlText w:val="•"/>
      <w:lvlJc w:val="left"/>
      <w:pPr>
        <w:ind w:left="7678" w:hanging="385"/>
      </w:pPr>
      <w:rPr>
        <w:rFonts w:hint="default"/>
        <w:lang w:val="en-US" w:eastAsia="en-US" w:bidi="ar-SA"/>
      </w:rPr>
    </w:lvl>
    <w:lvl w:ilvl="8" w:tplc="6244556C">
      <w:numFmt w:val="bullet"/>
      <w:lvlText w:val="•"/>
      <w:lvlJc w:val="left"/>
      <w:pPr>
        <w:ind w:left="8612" w:hanging="385"/>
      </w:pPr>
      <w:rPr>
        <w:rFonts w:hint="default"/>
        <w:lang w:val="en-US" w:eastAsia="en-US" w:bidi="ar-SA"/>
      </w:rPr>
    </w:lvl>
  </w:abstractNum>
  <w:abstractNum w:abstractNumId="1" w15:restartNumberingAfterBreak="0">
    <w:nsid w:val="04265F7B"/>
    <w:multiLevelType w:val="hybridMultilevel"/>
    <w:tmpl w:val="6A6A0338"/>
    <w:lvl w:ilvl="0" w:tplc="E8D6FC5A">
      <w:start w:val="1"/>
      <w:numFmt w:val="decimal"/>
      <w:lvlText w:val="(%1)"/>
      <w:lvlJc w:val="left"/>
      <w:pPr>
        <w:ind w:left="630" w:hanging="513"/>
        <w:jc w:val="left"/>
      </w:pPr>
      <w:rPr>
        <w:rFonts w:ascii="Cambria" w:eastAsia="Cambria" w:hAnsi="Cambria" w:cs="Cambria" w:hint="default"/>
        <w:color w:val="231F20"/>
        <w:w w:val="80"/>
        <w:sz w:val="17"/>
        <w:szCs w:val="17"/>
        <w:lang w:val="en-US" w:eastAsia="en-US" w:bidi="ar-SA"/>
      </w:rPr>
    </w:lvl>
    <w:lvl w:ilvl="1" w:tplc="94563DFC">
      <w:numFmt w:val="bullet"/>
      <w:lvlText w:val="•"/>
      <w:lvlJc w:val="left"/>
      <w:pPr>
        <w:ind w:left="1078" w:hanging="513"/>
      </w:pPr>
      <w:rPr>
        <w:rFonts w:hint="default"/>
        <w:lang w:val="en-US" w:eastAsia="en-US" w:bidi="ar-SA"/>
      </w:rPr>
    </w:lvl>
    <w:lvl w:ilvl="2" w:tplc="3716BD9C">
      <w:numFmt w:val="bullet"/>
      <w:lvlText w:val="•"/>
      <w:lvlJc w:val="left"/>
      <w:pPr>
        <w:ind w:left="1517" w:hanging="513"/>
      </w:pPr>
      <w:rPr>
        <w:rFonts w:hint="default"/>
        <w:lang w:val="en-US" w:eastAsia="en-US" w:bidi="ar-SA"/>
      </w:rPr>
    </w:lvl>
    <w:lvl w:ilvl="3" w:tplc="7FA8CBAA">
      <w:numFmt w:val="bullet"/>
      <w:lvlText w:val="•"/>
      <w:lvlJc w:val="left"/>
      <w:pPr>
        <w:ind w:left="1955" w:hanging="513"/>
      </w:pPr>
      <w:rPr>
        <w:rFonts w:hint="default"/>
        <w:lang w:val="en-US" w:eastAsia="en-US" w:bidi="ar-SA"/>
      </w:rPr>
    </w:lvl>
    <w:lvl w:ilvl="4" w:tplc="CBAE4E9E">
      <w:numFmt w:val="bullet"/>
      <w:lvlText w:val="•"/>
      <w:lvlJc w:val="left"/>
      <w:pPr>
        <w:ind w:left="2394" w:hanging="513"/>
      </w:pPr>
      <w:rPr>
        <w:rFonts w:hint="default"/>
        <w:lang w:val="en-US" w:eastAsia="en-US" w:bidi="ar-SA"/>
      </w:rPr>
    </w:lvl>
    <w:lvl w:ilvl="5" w:tplc="7B284F56">
      <w:numFmt w:val="bullet"/>
      <w:lvlText w:val="•"/>
      <w:lvlJc w:val="left"/>
      <w:pPr>
        <w:ind w:left="2832" w:hanging="513"/>
      </w:pPr>
      <w:rPr>
        <w:rFonts w:hint="default"/>
        <w:lang w:val="en-US" w:eastAsia="en-US" w:bidi="ar-SA"/>
      </w:rPr>
    </w:lvl>
    <w:lvl w:ilvl="6" w:tplc="1CECE48E">
      <w:numFmt w:val="bullet"/>
      <w:lvlText w:val="•"/>
      <w:lvlJc w:val="left"/>
      <w:pPr>
        <w:ind w:left="3271" w:hanging="513"/>
      </w:pPr>
      <w:rPr>
        <w:rFonts w:hint="default"/>
        <w:lang w:val="en-US" w:eastAsia="en-US" w:bidi="ar-SA"/>
      </w:rPr>
    </w:lvl>
    <w:lvl w:ilvl="7" w:tplc="D7A20504">
      <w:numFmt w:val="bullet"/>
      <w:lvlText w:val="•"/>
      <w:lvlJc w:val="left"/>
      <w:pPr>
        <w:ind w:left="3709" w:hanging="513"/>
      </w:pPr>
      <w:rPr>
        <w:rFonts w:hint="default"/>
        <w:lang w:val="en-US" w:eastAsia="en-US" w:bidi="ar-SA"/>
      </w:rPr>
    </w:lvl>
    <w:lvl w:ilvl="8" w:tplc="CE38CBD4">
      <w:numFmt w:val="bullet"/>
      <w:lvlText w:val="•"/>
      <w:lvlJc w:val="left"/>
      <w:pPr>
        <w:ind w:left="4148" w:hanging="513"/>
      </w:pPr>
      <w:rPr>
        <w:rFonts w:hint="default"/>
        <w:lang w:val="en-US" w:eastAsia="en-US" w:bidi="ar-SA"/>
      </w:rPr>
    </w:lvl>
  </w:abstractNum>
  <w:abstractNum w:abstractNumId="2" w15:restartNumberingAfterBreak="0">
    <w:nsid w:val="06C72BB7"/>
    <w:multiLevelType w:val="hybridMultilevel"/>
    <w:tmpl w:val="B1D252A4"/>
    <w:lvl w:ilvl="0" w:tplc="D1203B9C">
      <w:start w:val="1"/>
      <w:numFmt w:val="decimal"/>
      <w:lvlText w:val="%1."/>
      <w:lvlJc w:val="left"/>
      <w:pPr>
        <w:ind w:left="1142" w:hanging="385"/>
        <w:jc w:val="left"/>
      </w:pPr>
      <w:rPr>
        <w:rFonts w:ascii="Cambria" w:eastAsia="Cambria" w:hAnsi="Cambria" w:cs="Cambria" w:hint="default"/>
        <w:color w:val="231F20"/>
        <w:w w:val="99"/>
        <w:sz w:val="17"/>
        <w:szCs w:val="17"/>
        <w:lang w:val="en-US" w:eastAsia="en-US" w:bidi="ar-SA"/>
      </w:rPr>
    </w:lvl>
    <w:lvl w:ilvl="1" w:tplc="56B82EFE">
      <w:numFmt w:val="bullet"/>
      <w:lvlText w:val="•"/>
      <w:lvlJc w:val="left"/>
      <w:pPr>
        <w:ind w:left="2074" w:hanging="385"/>
      </w:pPr>
      <w:rPr>
        <w:rFonts w:hint="default"/>
        <w:lang w:val="en-US" w:eastAsia="en-US" w:bidi="ar-SA"/>
      </w:rPr>
    </w:lvl>
    <w:lvl w:ilvl="2" w:tplc="268875CE">
      <w:numFmt w:val="bullet"/>
      <w:lvlText w:val="•"/>
      <w:lvlJc w:val="left"/>
      <w:pPr>
        <w:ind w:left="3008" w:hanging="385"/>
      </w:pPr>
      <w:rPr>
        <w:rFonts w:hint="default"/>
        <w:lang w:val="en-US" w:eastAsia="en-US" w:bidi="ar-SA"/>
      </w:rPr>
    </w:lvl>
    <w:lvl w:ilvl="3" w:tplc="01601DDA">
      <w:numFmt w:val="bullet"/>
      <w:lvlText w:val="•"/>
      <w:lvlJc w:val="left"/>
      <w:pPr>
        <w:ind w:left="3942" w:hanging="385"/>
      </w:pPr>
      <w:rPr>
        <w:rFonts w:hint="default"/>
        <w:lang w:val="en-US" w:eastAsia="en-US" w:bidi="ar-SA"/>
      </w:rPr>
    </w:lvl>
    <w:lvl w:ilvl="4" w:tplc="79E26B8E">
      <w:numFmt w:val="bullet"/>
      <w:lvlText w:val="•"/>
      <w:lvlJc w:val="left"/>
      <w:pPr>
        <w:ind w:left="4876" w:hanging="385"/>
      </w:pPr>
      <w:rPr>
        <w:rFonts w:hint="default"/>
        <w:lang w:val="en-US" w:eastAsia="en-US" w:bidi="ar-SA"/>
      </w:rPr>
    </w:lvl>
    <w:lvl w:ilvl="5" w:tplc="B97A2908">
      <w:numFmt w:val="bullet"/>
      <w:lvlText w:val="•"/>
      <w:lvlJc w:val="left"/>
      <w:pPr>
        <w:ind w:left="5810" w:hanging="385"/>
      </w:pPr>
      <w:rPr>
        <w:rFonts w:hint="default"/>
        <w:lang w:val="en-US" w:eastAsia="en-US" w:bidi="ar-SA"/>
      </w:rPr>
    </w:lvl>
    <w:lvl w:ilvl="6" w:tplc="8362B86E">
      <w:numFmt w:val="bullet"/>
      <w:lvlText w:val="•"/>
      <w:lvlJc w:val="left"/>
      <w:pPr>
        <w:ind w:left="6744" w:hanging="385"/>
      </w:pPr>
      <w:rPr>
        <w:rFonts w:hint="default"/>
        <w:lang w:val="en-US" w:eastAsia="en-US" w:bidi="ar-SA"/>
      </w:rPr>
    </w:lvl>
    <w:lvl w:ilvl="7" w:tplc="F5042E5A">
      <w:numFmt w:val="bullet"/>
      <w:lvlText w:val="•"/>
      <w:lvlJc w:val="left"/>
      <w:pPr>
        <w:ind w:left="7678" w:hanging="385"/>
      </w:pPr>
      <w:rPr>
        <w:rFonts w:hint="default"/>
        <w:lang w:val="en-US" w:eastAsia="en-US" w:bidi="ar-SA"/>
      </w:rPr>
    </w:lvl>
    <w:lvl w:ilvl="8" w:tplc="8F4CFBBA">
      <w:numFmt w:val="bullet"/>
      <w:lvlText w:val="•"/>
      <w:lvlJc w:val="left"/>
      <w:pPr>
        <w:ind w:left="8612" w:hanging="385"/>
      </w:pPr>
      <w:rPr>
        <w:rFonts w:hint="default"/>
        <w:lang w:val="en-US" w:eastAsia="en-US" w:bidi="ar-SA"/>
      </w:rPr>
    </w:lvl>
  </w:abstractNum>
  <w:abstractNum w:abstractNumId="3" w15:restartNumberingAfterBreak="0">
    <w:nsid w:val="113423A0"/>
    <w:multiLevelType w:val="hybridMultilevel"/>
    <w:tmpl w:val="DA885186"/>
    <w:lvl w:ilvl="0" w:tplc="0FC2C974">
      <w:start w:val="1"/>
      <w:numFmt w:val="lowerLetter"/>
      <w:lvlText w:val="(%1)"/>
      <w:lvlJc w:val="left"/>
      <w:pPr>
        <w:ind w:left="1404" w:hanging="248"/>
        <w:jc w:val="left"/>
      </w:pPr>
      <w:rPr>
        <w:rFonts w:ascii="Cambria" w:eastAsia="Cambria" w:hAnsi="Cambria" w:cs="Cambria" w:hint="default"/>
        <w:color w:val="231F20"/>
        <w:w w:val="75"/>
        <w:sz w:val="17"/>
        <w:szCs w:val="17"/>
        <w:lang w:val="en-US" w:eastAsia="en-US" w:bidi="ar-SA"/>
      </w:rPr>
    </w:lvl>
    <w:lvl w:ilvl="1" w:tplc="DFC89B1C">
      <w:numFmt w:val="bullet"/>
      <w:lvlText w:val="•"/>
      <w:lvlJc w:val="left"/>
      <w:pPr>
        <w:ind w:left="2308" w:hanging="248"/>
      </w:pPr>
      <w:rPr>
        <w:rFonts w:hint="default"/>
        <w:lang w:val="en-US" w:eastAsia="en-US" w:bidi="ar-SA"/>
      </w:rPr>
    </w:lvl>
    <w:lvl w:ilvl="2" w:tplc="EC425C42">
      <w:numFmt w:val="bullet"/>
      <w:lvlText w:val="•"/>
      <w:lvlJc w:val="left"/>
      <w:pPr>
        <w:ind w:left="3216" w:hanging="248"/>
      </w:pPr>
      <w:rPr>
        <w:rFonts w:hint="default"/>
        <w:lang w:val="en-US" w:eastAsia="en-US" w:bidi="ar-SA"/>
      </w:rPr>
    </w:lvl>
    <w:lvl w:ilvl="3" w:tplc="A4501AB0">
      <w:numFmt w:val="bullet"/>
      <w:lvlText w:val="•"/>
      <w:lvlJc w:val="left"/>
      <w:pPr>
        <w:ind w:left="4124" w:hanging="248"/>
      </w:pPr>
      <w:rPr>
        <w:rFonts w:hint="default"/>
        <w:lang w:val="en-US" w:eastAsia="en-US" w:bidi="ar-SA"/>
      </w:rPr>
    </w:lvl>
    <w:lvl w:ilvl="4" w:tplc="122C764E">
      <w:numFmt w:val="bullet"/>
      <w:lvlText w:val="•"/>
      <w:lvlJc w:val="left"/>
      <w:pPr>
        <w:ind w:left="5032" w:hanging="248"/>
      </w:pPr>
      <w:rPr>
        <w:rFonts w:hint="default"/>
        <w:lang w:val="en-US" w:eastAsia="en-US" w:bidi="ar-SA"/>
      </w:rPr>
    </w:lvl>
    <w:lvl w:ilvl="5" w:tplc="164CE426">
      <w:numFmt w:val="bullet"/>
      <w:lvlText w:val="•"/>
      <w:lvlJc w:val="left"/>
      <w:pPr>
        <w:ind w:left="5940" w:hanging="248"/>
      </w:pPr>
      <w:rPr>
        <w:rFonts w:hint="default"/>
        <w:lang w:val="en-US" w:eastAsia="en-US" w:bidi="ar-SA"/>
      </w:rPr>
    </w:lvl>
    <w:lvl w:ilvl="6" w:tplc="286AACC8">
      <w:numFmt w:val="bullet"/>
      <w:lvlText w:val="•"/>
      <w:lvlJc w:val="left"/>
      <w:pPr>
        <w:ind w:left="6848" w:hanging="248"/>
      </w:pPr>
      <w:rPr>
        <w:rFonts w:hint="default"/>
        <w:lang w:val="en-US" w:eastAsia="en-US" w:bidi="ar-SA"/>
      </w:rPr>
    </w:lvl>
    <w:lvl w:ilvl="7" w:tplc="09EA956E">
      <w:numFmt w:val="bullet"/>
      <w:lvlText w:val="•"/>
      <w:lvlJc w:val="left"/>
      <w:pPr>
        <w:ind w:left="7756" w:hanging="248"/>
      </w:pPr>
      <w:rPr>
        <w:rFonts w:hint="default"/>
        <w:lang w:val="en-US" w:eastAsia="en-US" w:bidi="ar-SA"/>
      </w:rPr>
    </w:lvl>
    <w:lvl w:ilvl="8" w:tplc="2BAE358E">
      <w:numFmt w:val="bullet"/>
      <w:lvlText w:val="•"/>
      <w:lvlJc w:val="left"/>
      <w:pPr>
        <w:ind w:left="8664" w:hanging="248"/>
      </w:pPr>
      <w:rPr>
        <w:rFonts w:hint="default"/>
        <w:lang w:val="en-US" w:eastAsia="en-US" w:bidi="ar-SA"/>
      </w:rPr>
    </w:lvl>
  </w:abstractNum>
  <w:abstractNum w:abstractNumId="4" w15:restartNumberingAfterBreak="0">
    <w:nsid w:val="17E730EA"/>
    <w:multiLevelType w:val="hybridMultilevel"/>
    <w:tmpl w:val="61E86AF8"/>
    <w:lvl w:ilvl="0" w:tplc="23AAA1C6">
      <w:start w:val="1"/>
      <w:numFmt w:val="lowerLetter"/>
      <w:lvlText w:val="(%1)"/>
      <w:lvlJc w:val="left"/>
      <w:pPr>
        <w:ind w:left="413" w:hanging="278"/>
        <w:jc w:val="left"/>
      </w:pPr>
      <w:rPr>
        <w:rFonts w:ascii="Cambria" w:eastAsia="Cambria" w:hAnsi="Cambria" w:cs="Cambria" w:hint="default"/>
        <w:color w:val="231F20"/>
        <w:w w:val="76"/>
        <w:sz w:val="19"/>
        <w:szCs w:val="19"/>
        <w:lang w:val="en-US" w:eastAsia="en-US" w:bidi="ar-SA"/>
      </w:rPr>
    </w:lvl>
    <w:lvl w:ilvl="1" w:tplc="A7A8777E">
      <w:start w:val="1"/>
      <w:numFmt w:val="decimal"/>
      <w:lvlText w:val="%2."/>
      <w:lvlJc w:val="left"/>
      <w:pPr>
        <w:ind w:left="1142" w:hanging="385"/>
        <w:jc w:val="left"/>
      </w:pPr>
      <w:rPr>
        <w:rFonts w:ascii="Cambria" w:eastAsia="Cambria" w:hAnsi="Cambria" w:cs="Cambria" w:hint="default"/>
        <w:color w:val="231F20"/>
        <w:w w:val="99"/>
        <w:sz w:val="17"/>
        <w:szCs w:val="17"/>
        <w:lang w:val="en-US" w:eastAsia="en-US" w:bidi="ar-SA"/>
      </w:rPr>
    </w:lvl>
    <w:lvl w:ilvl="2" w:tplc="83FE0C2E">
      <w:numFmt w:val="bullet"/>
      <w:lvlText w:val="•"/>
      <w:lvlJc w:val="left"/>
      <w:pPr>
        <w:ind w:left="1571" w:hanging="385"/>
      </w:pPr>
      <w:rPr>
        <w:rFonts w:hint="default"/>
        <w:lang w:val="en-US" w:eastAsia="en-US" w:bidi="ar-SA"/>
      </w:rPr>
    </w:lvl>
    <w:lvl w:ilvl="3" w:tplc="8840A154">
      <w:numFmt w:val="bullet"/>
      <w:lvlText w:val="•"/>
      <w:lvlJc w:val="left"/>
      <w:pPr>
        <w:ind w:left="2002" w:hanging="385"/>
      </w:pPr>
      <w:rPr>
        <w:rFonts w:hint="default"/>
        <w:lang w:val="en-US" w:eastAsia="en-US" w:bidi="ar-SA"/>
      </w:rPr>
    </w:lvl>
    <w:lvl w:ilvl="4" w:tplc="BDA04464">
      <w:numFmt w:val="bullet"/>
      <w:lvlText w:val="•"/>
      <w:lvlJc w:val="left"/>
      <w:pPr>
        <w:ind w:left="2434" w:hanging="385"/>
      </w:pPr>
      <w:rPr>
        <w:rFonts w:hint="default"/>
        <w:lang w:val="en-US" w:eastAsia="en-US" w:bidi="ar-SA"/>
      </w:rPr>
    </w:lvl>
    <w:lvl w:ilvl="5" w:tplc="04F0CD4E">
      <w:numFmt w:val="bullet"/>
      <w:lvlText w:val="•"/>
      <w:lvlJc w:val="left"/>
      <w:pPr>
        <w:ind w:left="2865" w:hanging="385"/>
      </w:pPr>
      <w:rPr>
        <w:rFonts w:hint="default"/>
        <w:lang w:val="en-US" w:eastAsia="en-US" w:bidi="ar-SA"/>
      </w:rPr>
    </w:lvl>
    <w:lvl w:ilvl="6" w:tplc="A17C8142">
      <w:numFmt w:val="bullet"/>
      <w:lvlText w:val="•"/>
      <w:lvlJc w:val="left"/>
      <w:pPr>
        <w:ind w:left="3296" w:hanging="385"/>
      </w:pPr>
      <w:rPr>
        <w:rFonts w:hint="default"/>
        <w:lang w:val="en-US" w:eastAsia="en-US" w:bidi="ar-SA"/>
      </w:rPr>
    </w:lvl>
    <w:lvl w:ilvl="7" w:tplc="38903E56">
      <w:numFmt w:val="bullet"/>
      <w:lvlText w:val="•"/>
      <w:lvlJc w:val="left"/>
      <w:pPr>
        <w:ind w:left="3728" w:hanging="385"/>
      </w:pPr>
      <w:rPr>
        <w:rFonts w:hint="default"/>
        <w:lang w:val="en-US" w:eastAsia="en-US" w:bidi="ar-SA"/>
      </w:rPr>
    </w:lvl>
    <w:lvl w:ilvl="8" w:tplc="CAD6F0F8">
      <w:numFmt w:val="bullet"/>
      <w:lvlText w:val="•"/>
      <w:lvlJc w:val="left"/>
      <w:pPr>
        <w:ind w:left="4159" w:hanging="385"/>
      </w:pPr>
      <w:rPr>
        <w:rFonts w:hint="default"/>
        <w:lang w:val="en-US" w:eastAsia="en-US" w:bidi="ar-SA"/>
      </w:rPr>
    </w:lvl>
  </w:abstractNum>
  <w:abstractNum w:abstractNumId="5" w15:restartNumberingAfterBreak="0">
    <w:nsid w:val="2F0F7ED9"/>
    <w:multiLevelType w:val="hybridMultilevel"/>
    <w:tmpl w:val="20C6A30A"/>
    <w:lvl w:ilvl="0" w:tplc="51A8F76E">
      <w:start w:val="1"/>
      <w:numFmt w:val="decimal"/>
      <w:lvlText w:val="%1."/>
      <w:lvlJc w:val="left"/>
      <w:pPr>
        <w:ind w:left="1142" w:hanging="385"/>
        <w:jc w:val="left"/>
      </w:pPr>
      <w:rPr>
        <w:rFonts w:ascii="Cambria" w:eastAsia="Cambria" w:hAnsi="Cambria" w:cs="Cambria" w:hint="default"/>
        <w:color w:val="231F20"/>
        <w:w w:val="99"/>
        <w:sz w:val="17"/>
        <w:szCs w:val="17"/>
        <w:lang w:val="en-US" w:eastAsia="en-US" w:bidi="ar-SA"/>
      </w:rPr>
    </w:lvl>
    <w:lvl w:ilvl="1" w:tplc="DC02EA60">
      <w:numFmt w:val="bullet"/>
      <w:lvlText w:val="•"/>
      <w:lvlJc w:val="left"/>
      <w:pPr>
        <w:ind w:left="2074" w:hanging="385"/>
      </w:pPr>
      <w:rPr>
        <w:rFonts w:hint="default"/>
        <w:lang w:val="en-US" w:eastAsia="en-US" w:bidi="ar-SA"/>
      </w:rPr>
    </w:lvl>
    <w:lvl w:ilvl="2" w:tplc="28D4ABF0">
      <w:numFmt w:val="bullet"/>
      <w:lvlText w:val="•"/>
      <w:lvlJc w:val="left"/>
      <w:pPr>
        <w:ind w:left="3008" w:hanging="385"/>
      </w:pPr>
      <w:rPr>
        <w:rFonts w:hint="default"/>
        <w:lang w:val="en-US" w:eastAsia="en-US" w:bidi="ar-SA"/>
      </w:rPr>
    </w:lvl>
    <w:lvl w:ilvl="3" w:tplc="AFDAC4A8">
      <w:numFmt w:val="bullet"/>
      <w:lvlText w:val="•"/>
      <w:lvlJc w:val="left"/>
      <w:pPr>
        <w:ind w:left="3942" w:hanging="385"/>
      </w:pPr>
      <w:rPr>
        <w:rFonts w:hint="default"/>
        <w:lang w:val="en-US" w:eastAsia="en-US" w:bidi="ar-SA"/>
      </w:rPr>
    </w:lvl>
    <w:lvl w:ilvl="4" w:tplc="FE5E01B2">
      <w:numFmt w:val="bullet"/>
      <w:lvlText w:val="•"/>
      <w:lvlJc w:val="left"/>
      <w:pPr>
        <w:ind w:left="4876" w:hanging="385"/>
      </w:pPr>
      <w:rPr>
        <w:rFonts w:hint="default"/>
        <w:lang w:val="en-US" w:eastAsia="en-US" w:bidi="ar-SA"/>
      </w:rPr>
    </w:lvl>
    <w:lvl w:ilvl="5" w:tplc="4D7A9C5C">
      <w:numFmt w:val="bullet"/>
      <w:lvlText w:val="•"/>
      <w:lvlJc w:val="left"/>
      <w:pPr>
        <w:ind w:left="5810" w:hanging="385"/>
      </w:pPr>
      <w:rPr>
        <w:rFonts w:hint="default"/>
        <w:lang w:val="en-US" w:eastAsia="en-US" w:bidi="ar-SA"/>
      </w:rPr>
    </w:lvl>
    <w:lvl w:ilvl="6" w:tplc="DE285848">
      <w:numFmt w:val="bullet"/>
      <w:lvlText w:val="•"/>
      <w:lvlJc w:val="left"/>
      <w:pPr>
        <w:ind w:left="6744" w:hanging="385"/>
      </w:pPr>
      <w:rPr>
        <w:rFonts w:hint="default"/>
        <w:lang w:val="en-US" w:eastAsia="en-US" w:bidi="ar-SA"/>
      </w:rPr>
    </w:lvl>
    <w:lvl w:ilvl="7" w:tplc="2BE8F116">
      <w:numFmt w:val="bullet"/>
      <w:lvlText w:val="•"/>
      <w:lvlJc w:val="left"/>
      <w:pPr>
        <w:ind w:left="7678" w:hanging="385"/>
      </w:pPr>
      <w:rPr>
        <w:rFonts w:hint="default"/>
        <w:lang w:val="en-US" w:eastAsia="en-US" w:bidi="ar-SA"/>
      </w:rPr>
    </w:lvl>
    <w:lvl w:ilvl="8" w:tplc="62503424">
      <w:numFmt w:val="bullet"/>
      <w:lvlText w:val="•"/>
      <w:lvlJc w:val="left"/>
      <w:pPr>
        <w:ind w:left="8612" w:hanging="385"/>
      </w:pPr>
      <w:rPr>
        <w:rFonts w:hint="default"/>
        <w:lang w:val="en-US" w:eastAsia="en-US" w:bidi="ar-SA"/>
      </w:rPr>
    </w:lvl>
  </w:abstractNum>
  <w:abstractNum w:abstractNumId="6" w15:restartNumberingAfterBreak="0">
    <w:nsid w:val="375044A8"/>
    <w:multiLevelType w:val="hybridMultilevel"/>
    <w:tmpl w:val="522CF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1A4B3A"/>
    <w:multiLevelType w:val="hybridMultilevel"/>
    <w:tmpl w:val="5ACA6ECA"/>
    <w:lvl w:ilvl="0" w:tplc="A2426112">
      <w:start w:val="1"/>
      <w:numFmt w:val="lowerLetter"/>
      <w:lvlText w:val="(%1)"/>
      <w:lvlJc w:val="left"/>
      <w:pPr>
        <w:ind w:left="1404" w:hanging="248"/>
        <w:jc w:val="left"/>
      </w:pPr>
      <w:rPr>
        <w:rFonts w:ascii="Cambria" w:eastAsia="Cambria" w:hAnsi="Cambria" w:cs="Cambria" w:hint="default"/>
        <w:color w:val="231F20"/>
        <w:w w:val="75"/>
        <w:sz w:val="17"/>
        <w:szCs w:val="17"/>
        <w:lang w:val="en-US" w:eastAsia="en-US" w:bidi="ar-SA"/>
      </w:rPr>
    </w:lvl>
    <w:lvl w:ilvl="1" w:tplc="6A78FCDC">
      <w:numFmt w:val="bullet"/>
      <w:lvlText w:val="•"/>
      <w:lvlJc w:val="left"/>
      <w:pPr>
        <w:ind w:left="2308" w:hanging="248"/>
      </w:pPr>
      <w:rPr>
        <w:rFonts w:hint="default"/>
        <w:lang w:val="en-US" w:eastAsia="en-US" w:bidi="ar-SA"/>
      </w:rPr>
    </w:lvl>
    <w:lvl w:ilvl="2" w:tplc="45E499D8">
      <w:numFmt w:val="bullet"/>
      <w:lvlText w:val="•"/>
      <w:lvlJc w:val="left"/>
      <w:pPr>
        <w:ind w:left="3216" w:hanging="248"/>
      </w:pPr>
      <w:rPr>
        <w:rFonts w:hint="default"/>
        <w:lang w:val="en-US" w:eastAsia="en-US" w:bidi="ar-SA"/>
      </w:rPr>
    </w:lvl>
    <w:lvl w:ilvl="3" w:tplc="6A801030">
      <w:numFmt w:val="bullet"/>
      <w:lvlText w:val="•"/>
      <w:lvlJc w:val="left"/>
      <w:pPr>
        <w:ind w:left="4124" w:hanging="248"/>
      </w:pPr>
      <w:rPr>
        <w:rFonts w:hint="default"/>
        <w:lang w:val="en-US" w:eastAsia="en-US" w:bidi="ar-SA"/>
      </w:rPr>
    </w:lvl>
    <w:lvl w:ilvl="4" w:tplc="887EAB80">
      <w:numFmt w:val="bullet"/>
      <w:lvlText w:val="•"/>
      <w:lvlJc w:val="left"/>
      <w:pPr>
        <w:ind w:left="5032" w:hanging="248"/>
      </w:pPr>
      <w:rPr>
        <w:rFonts w:hint="default"/>
        <w:lang w:val="en-US" w:eastAsia="en-US" w:bidi="ar-SA"/>
      </w:rPr>
    </w:lvl>
    <w:lvl w:ilvl="5" w:tplc="BC98B2A4">
      <w:numFmt w:val="bullet"/>
      <w:lvlText w:val="•"/>
      <w:lvlJc w:val="left"/>
      <w:pPr>
        <w:ind w:left="5940" w:hanging="248"/>
      </w:pPr>
      <w:rPr>
        <w:rFonts w:hint="default"/>
        <w:lang w:val="en-US" w:eastAsia="en-US" w:bidi="ar-SA"/>
      </w:rPr>
    </w:lvl>
    <w:lvl w:ilvl="6" w:tplc="ABE4C93A">
      <w:numFmt w:val="bullet"/>
      <w:lvlText w:val="•"/>
      <w:lvlJc w:val="left"/>
      <w:pPr>
        <w:ind w:left="6848" w:hanging="248"/>
      </w:pPr>
      <w:rPr>
        <w:rFonts w:hint="default"/>
        <w:lang w:val="en-US" w:eastAsia="en-US" w:bidi="ar-SA"/>
      </w:rPr>
    </w:lvl>
    <w:lvl w:ilvl="7" w:tplc="29C00292">
      <w:numFmt w:val="bullet"/>
      <w:lvlText w:val="•"/>
      <w:lvlJc w:val="left"/>
      <w:pPr>
        <w:ind w:left="7756" w:hanging="248"/>
      </w:pPr>
      <w:rPr>
        <w:rFonts w:hint="default"/>
        <w:lang w:val="en-US" w:eastAsia="en-US" w:bidi="ar-SA"/>
      </w:rPr>
    </w:lvl>
    <w:lvl w:ilvl="8" w:tplc="05A263E8">
      <w:numFmt w:val="bullet"/>
      <w:lvlText w:val="•"/>
      <w:lvlJc w:val="left"/>
      <w:pPr>
        <w:ind w:left="8664" w:hanging="248"/>
      </w:pPr>
      <w:rPr>
        <w:rFonts w:hint="default"/>
        <w:lang w:val="en-US" w:eastAsia="en-US" w:bidi="ar-SA"/>
      </w:rPr>
    </w:lvl>
  </w:abstractNum>
  <w:abstractNum w:abstractNumId="8" w15:restartNumberingAfterBreak="0">
    <w:nsid w:val="522A67D8"/>
    <w:multiLevelType w:val="hybridMultilevel"/>
    <w:tmpl w:val="51E64F1A"/>
    <w:lvl w:ilvl="0" w:tplc="2A623FE6">
      <w:start w:val="1"/>
      <w:numFmt w:val="decimal"/>
      <w:lvlText w:val="%1."/>
      <w:lvlJc w:val="left"/>
      <w:pPr>
        <w:ind w:left="118" w:hanging="432"/>
        <w:jc w:val="left"/>
      </w:pPr>
      <w:rPr>
        <w:rFonts w:ascii="Cambria" w:eastAsia="Cambria" w:hAnsi="Cambria" w:cs="Cambria" w:hint="default"/>
        <w:color w:val="231F20"/>
        <w:w w:val="99"/>
        <w:sz w:val="19"/>
        <w:szCs w:val="19"/>
        <w:lang w:val="en-US" w:eastAsia="en-US" w:bidi="ar-SA"/>
      </w:rPr>
    </w:lvl>
    <w:lvl w:ilvl="1" w:tplc="B6848D7C">
      <w:numFmt w:val="bullet"/>
      <w:lvlText w:val="•"/>
      <w:lvlJc w:val="left"/>
      <w:pPr>
        <w:ind w:left="610" w:hanging="432"/>
      </w:pPr>
      <w:rPr>
        <w:rFonts w:hint="default"/>
        <w:lang w:val="en-US" w:eastAsia="en-US" w:bidi="ar-SA"/>
      </w:rPr>
    </w:lvl>
    <w:lvl w:ilvl="2" w:tplc="5B704B06">
      <w:numFmt w:val="bullet"/>
      <w:lvlText w:val="•"/>
      <w:lvlJc w:val="left"/>
      <w:pPr>
        <w:ind w:left="1100" w:hanging="432"/>
      </w:pPr>
      <w:rPr>
        <w:rFonts w:hint="default"/>
        <w:lang w:val="en-US" w:eastAsia="en-US" w:bidi="ar-SA"/>
      </w:rPr>
    </w:lvl>
    <w:lvl w:ilvl="3" w:tplc="9030ECF4">
      <w:numFmt w:val="bullet"/>
      <w:lvlText w:val="•"/>
      <w:lvlJc w:val="left"/>
      <w:pPr>
        <w:ind w:left="1590" w:hanging="432"/>
      </w:pPr>
      <w:rPr>
        <w:rFonts w:hint="default"/>
        <w:lang w:val="en-US" w:eastAsia="en-US" w:bidi="ar-SA"/>
      </w:rPr>
    </w:lvl>
    <w:lvl w:ilvl="4" w:tplc="06C4E10E">
      <w:numFmt w:val="bullet"/>
      <w:lvlText w:val="•"/>
      <w:lvlJc w:val="left"/>
      <w:pPr>
        <w:ind w:left="2081" w:hanging="432"/>
      </w:pPr>
      <w:rPr>
        <w:rFonts w:hint="default"/>
        <w:lang w:val="en-US" w:eastAsia="en-US" w:bidi="ar-SA"/>
      </w:rPr>
    </w:lvl>
    <w:lvl w:ilvl="5" w:tplc="9A089AD2">
      <w:numFmt w:val="bullet"/>
      <w:lvlText w:val="•"/>
      <w:lvlJc w:val="left"/>
      <w:pPr>
        <w:ind w:left="2571" w:hanging="432"/>
      </w:pPr>
      <w:rPr>
        <w:rFonts w:hint="default"/>
        <w:lang w:val="en-US" w:eastAsia="en-US" w:bidi="ar-SA"/>
      </w:rPr>
    </w:lvl>
    <w:lvl w:ilvl="6" w:tplc="D0DE5E90">
      <w:numFmt w:val="bullet"/>
      <w:lvlText w:val="•"/>
      <w:lvlJc w:val="left"/>
      <w:pPr>
        <w:ind w:left="3061" w:hanging="432"/>
      </w:pPr>
      <w:rPr>
        <w:rFonts w:hint="default"/>
        <w:lang w:val="en-US" w:eastAsia="en-US" w:bidi="ar-SA"/>
      </w:rPr>
    </w:lvl>
    <w:lvl w:ilvl="7" w:tplc="4114FE20">
      <w:numFmt w:val="bullet"/>
      <w:lvlText w:val="•"/>
      <w:lvlJc w:val="left"/>
      <w:pPr>
        <w:ind w:left="3551" w:hanging="432"/>
      </w:pPr>
      <w:rPr>
        <w:rFonts w:hint="default"/>
        <w:lang w:val="en-US" w:eastAsia="en-US" w:bidi="ar-SA"/>
      </w:rPr>
    </w:lvl>
    <w:lvl w:ilvl="8" w:tplc="C29A3ADE">
      <w:numFmt w:val="bullet"/>
      <w:lvlText w:val="•"/>
      <w:lvlJc w:val="left"/>
      <w:pPr>
        <w:ind w:left="4042" w:hanging="432"/>
      </w:pPr>
      <w:rPr>
        <w:rFonts w:hint="default"/>
        <w:lang w:val="en-US" w:eastAsia="en-US" w:bidi="ar-SA"/>
      </w:rPr>
    </w:lvl>
  </w:abstractNum>
  <w:abstractNum w:abstractNumId="9" w15:restartNumberingAfterBreak="0">
    <w:nsid w:val="56E2575B"/>
    <w:multiLevelType w:val="hybridMultilevel"/>
    <w:tmpl w:val="0220E898"/>
    <w:lvl w:ilvl="0" w:tplc="9B80F942">
      <w:start w:val="1"/>
      <w:numFmt w:val="lowerLetter"/>
      <w:lvlText w:val="(%1)"/>
      <w:lvlJc w:val="left"/>
      <w:pPr>
        <w:ind w:left="1404" w:hanging="248"/>
        <w:jc w:val="left"/>
      </w:pPr>
      <w:rPr>
        <w:rFonts w:ascii="Cambria" w:eastAsia="Cambria" w:hAnsi="Cambria" w:cs="Cambria" w:hint="default"/>
        <w:color w:val="231F20"/>
        <w:w w:val="75"/>
        <w:sz w:val="17"/>
        <w:szCs w:val="17"/>
        <w:lang w:val="en-US" w:eastAsia="en-US" w:bidi="ar-SA"/>
      </w:rPr>
    </w:lvl>
    <w:lvl w:ilvl="1" w:tplc="F978063A">
      <w:numFmt w:val="bullet"/>
      <w:lvlText w:val="•"/>
      <w:lvlJc w:val="left"/>
      <w:pPr>
        <w:ind w:left="2308" w:hanging="248"/>
      </w:pPr>
      <w:rPr>
        <w:rFonts w:hint="default"/>
        <w:lang w:val="en-US" w:eastAsia="en-US" w:bidi="ar-SA"/>
      </w:rPr>
    </w:lvl>
    <w:lvl w:ilvl="2" w:tplc="3A648232">
      <w:numFmt w:val="bullet"/>
      <w:lvlText w:val="•"/>
      <w:lvlJc w:val="left"/>
      <w:pPr>
        <w:ind w:left="3216" w:hanging="248"/>
      </w:pPr>
      <w:rPr>
        <w:rFonts w:hint="default"/>
        <w:lang w:val="en-US" w:eastAsia="en-US" w:bidi="ar-SA"/>
      </w:rPr>
    </w:lvl>
    <w:lvl w:ilvl="3" w:tplc="1AE40156">
      <w:numFmt w:val="bullet"/>
      <w:lvlText w:val="•"/>
      <w:lvlJc w:val="left"/>
      <w:pPr>
        <w:ind w:left="4124" w:hanging="248"/>
      </w:pPr>
      <w:rPr>
        <w:rFonts w:hint="default"/>
        <w:lang w:val="en-US" w:eastAsia="en-US" w:bidi="ar-SA"/>
      </w:rPr>
    </w:lvl>
    <w:lvl w:ilvl="4" w:tplc="7AD8148E">
      <w:numFmt w:val="bullet"/>
      <w:lvlText w:val="•"/>
      <w:lvlJc w:val="left"/>
      <w:pPr>
        <w:ind w:left="5032" w:hanging="248"/>
      </w:pPr>
      <w:rPr>
        <w:rFonts w:hint="default"/>
        <w:lang w:val="en-US" w:eastAsia="en-US" w:bidi="ar-SA"/>
      </w:rPr>
    </w:lvl>
    <w:lvl w:ilvl="5" w:tplc="EA58F0F8">
      <w:numFmt w:val="bullet"/>
      <w:lvlText w:val="•"/>
      <w:lvlJc w:val="left"/>
      <w:pPr>
        <w:ind w:left="5940" w:hanging="248"/>
      </w:pPr>
      <w:rPr>
        <w:rFonts w:hint="default"/>
        <w:lang w:val="en-US" w:eastAsia="en-US" w:bidi="ar-SA"/>
      </w:rPr>
    </w:lvl>
    <w:lvl w:ilvl="6" w:tplc="EC866A1E">
      <w:numFmt w:val="bullet"/>
      <w:lvlText w:val="•"/>
      <w:lvlJc w:val="left"/>
      <w:pPr>
        <w:ind w:left="6848" w:hanging="248"/>
      </w:pPr>
      <w:rPr>
        <w:rFonts w:hint="default"/>
        <w:lang w:val="en-US" w:eastAsia="en-US" w:bidi="ar-SA"/>
      </w:rPr>
    </w:lvl>
    <w:lvl w:ilvl="7" w:tplc="88C43654">
      <w:numFmt w:val="bullet"/>
      <w:lvlText w:val="•"/>
      <w:lvlJc w:val="left"/>
      <w:pPr>
        <w:ind w:left="7756" w:hanging="248"/>
      </w:pPr>
      <w:rPr>
        <w:rFonts w:hint="default"/>
        <w:lang w:val="en-US" w:eastAsia="en-US" w:bidi="ar-SA"/>
      </w:rPr>
    </w:lvl>
    <w:lvl w:ilvl="8" w:tplc="95D0BA60">
      <w:numFmt w:val="bullet"/>
      <w:lvlText w:val="•"/>
      <w:lvlJc w:val="left"/>
      <w:pPr>
        <w:ind w:left="8664" w:hanging="248"/>
      </w:pPr>
      <w:rPr>
        <w:rFonts w:hint="default"/>
        <w:lang w:val="en-US" w:eastAsia="en-US" w:bidi="ar-SA"/>
      </w:rPr>
    </w:lvl>
  </w:abstractNum>
  <w:abstractNum w:abstractNumId="10" w15:restartNumberingAfterBreak="0">
    <w:nsid w:val="70761FFD"/>
    <w:multiLevelType w:val="hybridMultilevel"/>
    <w:tmpl w:val="AA7E4A44"/>
    <w:lvl w:ilvl="0" w:tplc="6D34D38E">
      <w:start w:val="1"/>
      <w:numFmt w:val="decimal"/>
      <w:lvlText w:val="%1."/>
      <w:lvlJc w:val="left"/>
      <w:pPr>
        <w:ind w:left="1142" w:hanging="385"/>
        <w:jc w:val="left"/>
      </w:pPr>
      <w:rPr>
        <w:rFonts w:ascii="Cambria" w:eastAsia="Cambria" w:hAnsi="Cambria" w:cs="Cambria" w:hint="default"/>
        <w:color w:val="231F20"/>
        <w:w w:val="99"/>
        <w:sz w:val="17"/>
        <w:szCs w:val="17"/>
        <w:lang w:val="en-US" w:eastAsia="en-US" w:bidi="ar-SA"/>
      </w:rPr>
    </w:lvl>
    <w:lvl w:ilvl="1" w:tplc="7D583766">
      <w:numFmt w:val="bullet"/>
      <w:lvlText w:val="•"/>
      <w:lvlJc w:val="left"/>
      <w:pPr>
        <w:ind w:left="2074" w:hanging="385"/>
      </w:pPr>
      <w:rPr>
        <w:rFonts w:hint="default"/>
        <w:lang w:val="en-US" w:eastAsia="en-US" w:bidi="ar-SA"/>
      </w:rPr>
    </w:lvl>
    <w:lvl w:ilvl="2" w:tplc="ADA2AD48">
      <w:numFmt w:val="bullet"/>
      <w:lvlText w:val="•"/>
      <w:lvlJc w:val="left"/>
      <w:pPr>
        <w:ind w:left="3008" w:hanging="385"/>
      </w:pPr>
      <w:rPr>
        <w:rFonts w:hint="default"/>
        <w:lang w:val="en-US" w:eastAsia="en-US" w:bidi="ar-SA"/>
      </w:rPr>
    </w:lvl>
    <w:lvl w:ilvl="3" w:tplc="17CC424E">
      <w:numFmt w:val="bullet"/>
      <w:lvlText w:val="•"/>
      <w:lvlJc w:val="left"/>
      <w:pPr>
        <w:ind w:left="3942" w:hanging="385"/>
      </w:pPr>
      <w:rPr>
        <w:rFonts w:hint="default"/>
        <w:lang w:val="en-US" w:eastAsia="en-US" w:bidi="ar-SA"/>
      </w:rPr>
    </w:lvl>
    <w:lvl w:ilvl="4" w:tplc="1F6850DA">
      <w:numFmt w:val="bullet"/>
      <w:lvlText w:val="•"/>
      <w:lvlJc w:val="left"/>
      <w:pPr>
        <w:ind w:left="4876" w:hanging="385"/>
      </w:pPr>
      <w:rPr>
        <w:rFonts w:hint="default"/>
        <w:lang w:val="en-US" w:eastAsia="en-US" w:bidi="ar-SA"/>
      </w:rPr>
    </w:lvl>
    <w:lvl w:ilvl="5" w:tplc="33023FEC">
      <w:numFmt w:val="bullet"/>
      <w:lvlText w:val="•"/>
      <w:lvlJc w:val="left"/>
      <w:pPr>
        <w:ind w:left="5810" w:hanging="385"/>
      </w:pPr>
      <w:rPr>
        <w:rFonts w:hint="default"/>
        <w:lang w:val="en-US" w:eastAsia="en-US" w:bidi="ar-SA"/>
      </w:rPr>
    </w:lvl>
    <w:lvl w:ilvl="6" w:tplc="C7549516">
      <w:numFmt w:val="bullet"/>
      <w:lvlText w:val="•"/>
      <w:lvlJc w:val="left"/>
      <w:pPr>
        <w:ind w:left="6744" w:hanging="385"/>
      </w:pPr>
      <w:rPr>
        <w:rFonts w:hint="default"/>
        <w:lang w:val="en-US" w:eastAsia="en-US" w:bidi="ar-SA"/>
      </w:rPr>
    </w:lvl>
    <w:lvl w:ilvl="7" w:tplc="D1EE3CC2">
      <w:numFmt w:val="bullet"/>
      <w:lvlText w:val="•"/>
      <w:lvlJc w:val="left"/>
      <w:pPr>
        <w:ind w:left="7678" w:hanging="385"/>
      </w:pPr>
      <w:rPr>
        <w:rFonts w:hint="default"/>
        <w:lang w:val="en-US" w:eastAsia="en-US" w:bidi="ar-SA"/>
      </w:rPr>
    </w:lvl>
    <w:lvl w:ilvl="8" w:tplc="29420CFC">
      <w:numFmt w:val="bullet"/>
      <w:lvlText w:val="•"/>
      <w:lvlJc w:val="left"/>
      <w:pPr>
        <w:ind w:left="8612" w:hanging="385"/>
      </w:pPr>
      <w:rPr>
        <w:rFonts w:hint="default"/>
        <w:lang w:val="en-US" w:eastAsia="en-US" w:bidi="ar-SA"/>
      </w:rPr>
    </w:lvl>
  </w:abstractNum>
  <w:abstractNum w:abstractNumId="11" w15:restartNumberingAfterBreak="0">
    <w:nsid w:val="7F46703C"/>
    <w:multiLevelType w:val="hybridMultilevel"/>
    <w:tmpl w:val="DE4E0EAE"/>
    <w:lvl w:ilvl="0" w:tplc="64EE54B2">
      <w:start w:val="1"/>
      <w:numFmt w:val="lowerLetter"/>
      <w:lvlText w:val="(%1)"/>
      <w:lvlJc w:val="left"/>
      <w:pPr>
        <w:ind w:left="1404" w:hanging="248"/>
        <w:jc w:val="left"/>
      </w:pPr>
      <w:rPr>
        <w:rFonts w:ascii="Cambria" w:eastAsia="Cambria" w:hAnsi="Cambria" w:cs="Cambria" w:hint="default"/>
        <w:color w:val="231F20"/>
        <w:w w:val="75"/>
        <w:sz w:val="17"/>
        <w:szCs w:val="17"/>
        <w:lang w:val="en-US" w:eastAsia="en-US" w:bidi="ar-SA"/>
      </w:rPr>
    </w:lvl>
    <w:lvl w:ilvl="1" w:tplc="85661F2C">
      <w:numFmt w:val="bullet"/>
      <w:lvlText w:val="•"/>
      <w:lvlJc w:val="left"/>
      <w:pPr>
        <w:ind w:left="2308" w:hanging="248"/>
      </w:pPr>
      <w:rPr>
        <w:rFonts w:hint="default"/>
        <w:lang w:val="en-US" w:eastAsia="en-US" w:bidi="ar-SA"/>
      </w:rPr>
    </w:lvl>
    <w:lvl w:ilvl="2" w:tplc="3432E38C">
      <w:numFmt w:val="bullet"/>
      <w:lvlText w:val="•"/>
      <w:lvlJc w:val="left"/>
      <w:pPr>
        <w:ind w:left="3216" w:hanging="248"/>
      </w:pPr>
      <w:rPr>
        <w:rFonts w:hint="default"/>
        <w:lang w:val="en-US" w:eastAsia="en-US" w:bidi="ar-SA"/>
      </w:rPr>
    </w:lvl>
    <w:lvl w:ilvl="3" w:tplc="0B6A2F5E">
      <w:numFmt w:val="bullet"/>
      <w:lvlText w:val="•"/>
      <w:lvlJc w:val="left"/>
      <w:pPr>
        <w:ind w:left="4124" w:hanging="248"/>
      </w:pPr>
      <w:rPr>
        <w:rFonts w:hint="default"/>
        <w:lang w:val="en-US" w:eastAsia="en-US" w:bidi="ar-SA"/>
      </w:rPr>
    </w:lvl>
    <w:lvl w:ilvl="4" w:tplc="A4EC9E42">
      <w:numFmt w:val="bullet"/>
      <w:lvlText w:val="•"/>
      <w:lvlJc w:val="left"/>
      <w:pPr>
        <w:ind w:left="5032" w:hanging="248"/>
      </w:pPr>
      <w:rPr>
        <w:rFonts w:hint="default"/>
        <w:lang w:val="en-US" w:eastAsia="en-US" w:bidi="ar-SA"/>
      </w:rPr>
    </w:lvl>
    <w:lvl w:ilvl="5" w:tplc="EB4A23F8">
      <w:numFmt w:val="bullet"/>
      <w:lvlText w:val="•"/>
      <w:lvlJc w:val="left"/>
      <w:pPr>
        <w:ind w:left="5940" w:hanging="248"/>
      </w:pPr>
      <w:rPr>
        <w:rFonts w:hint="default"/>
        <w:lang w:val="en-US" w:eastAsia="en-US" w:bidi="ar-SA"/>
      </w:rPr>
    </w:lvl>
    <w:lvl w:ilvl="6" w:tplc="4D481112">
      <w:numFmt w:val="bullet"/>
      <w:lvlText w:val="•"/>
      <w:lvlJc w:val="left"/>
      <w:pPr>
        <w:ind w:left="6848" w:hanging="248"/>
      </w:pPr>
      <w:rPr>
        <w:rFonts w:hint="default"/>
        <w:lang w:val="en-US" w:eastAsia="en-US" w:bidi="ar-SA"/>
      </w:rPr>
    </w:lvl>
    <w:lvl w:ilvl="7" w:tplc="29B670C2">
      <w:numFmt w:val="bullet"/>
      <w:lvlText w:val="•"/>
      <w:lvlJc w:val="left"/>
      <w:pPr>
        <w:ind w:left="7756" w:hanging="248"/>
      </w:pPr>
      <w:rPr>
        <w:rFonts w:hint="default"/>
        <w:lang w:val="en-US" w:eastAsia="en-US" w:bidi="ar-SA"/>
      </w:rPr>
    </w:lvl>
    <w:lvl w:ilvl="8" w:tplc="533236EA">
      <w:numFmt w:val="bullet"/>
      <w:lvlText w:val="•"/>
      <w:lvlJc w:val="left"/>
      <w:pPr>
        <w:ind w:left="8664" w:hanging="248"/>
      </w:pPr>
      <w:rPr>
        <w:rFonts w:hint="default"/>
        <w:lang w:val="en-US" w:eastAsia="en-US" w:bidi="ar-SA"/>
      </w:rPr>
    </w:lvl>
  </w:abstractNum>
  <w:num w:numId="1" w16cid:durableId="613901248">
    <w:abstractNumId w:val="10"/>
  </w:num>
  <w:num w:numId="2" w16cid:durableId="796530943">
    <w:abstractNumId w:val="11"/>
  </w:num>
  <w:num w:numId="3" w16cid:durableId="1801147654">
    <w:abstractNumId w:val="5"/>
  </w:num>
  <w:num w:numId="4" w16cid:durableId="1985743864">
    <w:abstractNumId w:val="7"/>
  </w:num>
  <w:num w:numId="5" w16cid:durableId="1762066503">
    <w:abstractNumId w:val="2"/>
  </w:num>
  <w:num w:numId="6" w16cid:durableId="48655146">
    <w:abstractNumId w:val="9"/>
  </w:num>
  <w:num w:numId="7" w16cid:durableId="232012966">
    <w:abstractNumId w:val="3"/>
  </w:num>
  <w:num w:numId="8" w16cid:durableId="1116556287">
    <w:abstractNumId w:val="0"/>
  </w:num>
  <w:num w:numId="9" w16cid:durableId="2045712607">
    <w:abstractNumId w:val="4"/>
  </w:num>
  <w:num w:numId="10" w16cid:durableId="185288503">
    <w:abstractNumId w:val="8"/>
  </w:num>
  <w:num w:numId="11" w16cid:durableId="854884200">
    <w:abstractNumId w:val="1"/>
  </w:num>
  <w:num w:numId="12" w16cid:durableId="1662348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BF"/>
    <w:rsid w:val="000828B1"/>
    <w:rsid w:val="000D66DC"/>
    <w:rsid w:val="001104E4"/>
    <w:rsid w:val="001A4CBA"/>
    <w:rsid w:val="001C2D67"/>
    <w:rsid w:val="001D3798"/>
    <w:rsid w:val="002F559E"/>
    <w:rsid w:val="003A6455"/>
    <w:rsid w:val="003E0CF8"/>
    <w:rsid w:val="0046462A"/>
    <w:rsid w:val="00535BA7"/>
    <w:rsid w:val="005841FB"/>
    <w:rsid w:val="005E1821"/>
    <w:rsid w:val="005E66C3"/>
    <w:rsid w:val="00701E00"/>
    <w:rsid w:val="00724AE2"/>
    <w:rsid w:val="007A18CF"/>
    <w:rsid w:val="008863EF"/>
    <w:rsid w:val="008B20CC"/>
    <w:rsid w:val="00921A39"/>
    <w:rsid w:val="00923291"/>
    <w:rsid w:val="00941B40"/>
    <w:rsid w:val="009606FB"/>
    <w:rsid w:val="00A317C4"/>
    <w:rsid w:val="00A34EBE"/>
    <w:rsid w:val="00AB3BE6"/>
    <w:rsid w:val="00B1022D"/>
    <w:rsid w:val="00B62D71"/>
    <w:rsid w:val="00BA44CF"/>
    <w:rsid w:val="00CB26E4"/>
    <w:rsid w:val="00CC731C"/>
    <w:rsid w:val="00D30DBF"/>
    <w:rsid w:val="00D458DD"/>
    <w:rsid w:val="00E20A07"/>
    <w:rsid w:val="00E47A01"/>
    <w:rsid w:val="00EB327D"/>
    <w:rsid w:val="00F12CE0"/>
    <w:rsid w:val="00F52EF8"/>
    <w:rsid w:val="00FA1A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293" w:right="1301"/>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94"/>
      <w:ind w:left="1301" w:right="1301"/>
      <w:jc w:val="center"/>
    </w:pPr>
    <w:rPr>
      <w:sz w:val="34"/>
      <w:szCs w:val="34"/>
    </w:rPr>
  </w:style>
  <w:style w:type="paragraph" w:styleId="ListParagraph">
    <w:name w:val="List Paragraph"/>
    <w:basedOn w:val="Normal"/>
    <w:uiPriority w:val="1"/>
    <w:qFormat/>
    <w:pPr>
      <w:ind w:left="1142"/>
      <w:jc w:val="both"/>
    </w:pPr>
  </w:style>
  <w:style w:type="paragraph" w:customStyle="1" w:styleId="TableParagraph">
    <w:name w:val="Table Paragraph"/>
    <w:basedOn w:val="Normal"/>
    <w:uiPriority w:val="1"/>
    <w:qFormat/>
  </w:style>
  <w:style w:type="paragraph" w:styleId="Footer">
    <w:name w:val="footer"/>
    <w:basedOn w:val="Normal"/>
    <w:link w:val="FooterChar"/>
    <w:unhideWhenUsed/>
    <w:rsid w:val="00EB327D"/>
    <w:pPr>
      <w:tabs>
        <w:tab w:val="center" w:pos="4153"/>
        <w:tab w:val="right" w:pos="8306"/>
      </w:tabs>
    </w:pPr>
  </w:style>
  <w:style w:type="character" w:customStyle="1" w:styleId="FooterChar">
    <w:name w:val="Footer Char"/>
    <w:basedOn w:val="DefaultParagraphFont"/>
    <w:link w:val="Footer"/>
    <w:rsid w:val="00EB327D"/>
    <w:rPr>
      <w:rFonts w:ascii="Cambria" w:eastAsia="Cambria" w:hAnsi="Cambria" w:cs="Cambria"/>
    </w:rPr>
  </w:style>
  <w:style w:type="paragraph" w:styleId="Header">
    <w:name w:val="header"/>
    <w:basedOn w:val="Normal"/>
    <w:link w:val="HeaderChar"/>
    <w:unhideWhenUsed/>
    <w:rsid w:val="00EB327D"/>
    <w:pPr>
      <w:tabs>
        <w:tab w:val="center" w:pos="4153"/>
        <w:tab w:val="right" w:pos="8306"/>
      </w:tabs>
    </w:pPr>
  </w:style>
  <w:style w:type="character" w:customStyle="1" w:styleId="HeaderChar">
    <w:name w:val="Header Char"/>
    <w:basedOn w:val="DefaultParagraphFont"/>
    <w:link w:val="Header"/>
    <w:rsid w:val="00EB327D"/>
    <w:rPr>
      <w:rFonts w:ascii="Cambria" w:eastAsia="Cambria" w:hAnsi="Cambria" w:cs="Cambria"/>
    </w:rPr>
  </w:style>
  <w:style w:type="paragraph" w:styleId="FootnoteText">
    <w:name w:val="footnote text"/>
    <w:basedOn w:val="Normal"/>
    <w:link w:val="FootnoteTextChar"/>
    <w:uiPriority w:val="99"/>
    <w:semiHidden/>
    <w:unhideWhenUsed/>
    <w:rsid w:val="003E0CF8"/>
    <w:rPr>
      <w:sz w:val="20"/>
      <w:szCs w:val="20"/>
    </w:rPr>
  </w:style>
  <w:style w:type="character" w:customStyle="1" w:styleId="FootnoteTextChar">
    <w:name w:val="Footnote Text Char"/>
    <w:basedOn w:val="DefaultParagraphFont"/>
    <w:link w:val="FootnoteText"/>
    <w:uiPriority w:val="99"/>
    <w:semiHidden/>
    <w:rsid w:val="003E0CF8"/>
    <w:rPr>
      <w:rFonts w:ascii="Cambria" w:eastAsia="Cambria" w:hAnsi="Cambria" w:cs="Cambria"/>
      <w:sz w:val="20"/>
      <w:szCs w:val="20"/>
    </w:rPr>
  </w:style>
  <w:style w:type="character" w:styleId="FootnoteReference">
    <w:name w:val="footnote reference"/>
    <w:basedOn w:val="DefaultParagraphFont"/>
    <w:uiPriority w:val="99"/>
    <w:semiHidden/>
    <w:unhideWhenUsed/>
    <w:rsid w:val="003E0CF8"/>
    <w:rPr>
      <w:vertAlign w:val="superscript"/>
    </w:rPr>
  </w:style>
  <w:style w:type="character" w:styleId="PageNumber">
    <w:name w:val="page number"/>
    <w:basedOn w:val="DefaultParagraphFont"/>
    <w:semiHidden/>
    <w:rsid w:val="00A3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2B782BB-1A3E-40E4-B50D-5CAEA8B86BC3}">
  <ds:schemaRefs>
    <ds:schemaRef ds:uri="http://schemas.microsoft.com/sharepoint/v3/contenttype/forms"/>
  </ds:schemaRefs>
</ds:datastoreItem>
</file>

<file path=customXml/itemProps2.xml><?xml version="1.0" encoding="utf-8"?>
<ds:datastoreItem xmlns:ds="http://schemas.openxmlformats.org/officeDocument/2006/customXml" ds:itemID="{374D4049-815E-41BB-9C54-3CC65ECFD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61C32-A568-45CD-896D-57A07FF2F997}">
  <ds:schemaRefs>
    <ds:schemaRef ds:uri="http://schemas.openxmlformats.org/officeDocument/2006/bibliography"/>
  </ds:schemaRefs>
</ds:datastoreItem>
</file>

<file path=customXml/itemProps4.xml><?xml version="1.0" encoding="utf-8"?>
<ds:datastoreItem xmlns:ds="http://schemas.openxmlformats.org/officeDocument/2006/customXml" ds:itemID="{AD3E846D-29E1-46CE-BE1A-96A8CCA33EE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13128</Words>
  <Characters>7483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2022-10-24T10:35:00Z</dcterms:created>
  <dcterms:modified xsi:type="dcterms:W3CDTF">2023-01-17T07:30:00Z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