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763D" w14:textId="77777777" w:rsidR="009539D5" w:rsidRPr="009539D5" w:rsidRDefault="009539D5" w:rsidP="009539D5">
      <w:pPr>
        <w:rPr>
          <w:rFonts w:ascii="Times New Roman" w:hAnsi="Times New Roman"/>
          <w:noProof/>
        </w:rPr>
      </w:pPr>
    </w:p>
    <w:p w14:paraId="520A7F19" w14:textId="77777777" w:rsidR="009539D5" w:rsidRPr="009539D5" w:rsidRDefault="009539D5" w:rsidP="009539D5">
      <w:pPr>
        <w:jc w:val="center"/>
        <w:rPr>
          <w:rFonts w:ascii="Times New Roman" w:hAnsi="Times New Roman"/>
          <w:noProof/>
        </w:rPr>
      </w:pPr>
      <w:r>
        <w:rPr>
          <w:rFonts w:ascii="Times New Roman" w:hAnsi="Times New Roman"/>
          <w:noProof/>
        </w:rPr>
        <w:drawing>
          <wp:inline distT="0" distB="0" distL="0" distR="0" wp14:anchorId="45B329E0" wp14:editId="435F4E5B">
            <wp:extent cx="3173866" cy="1238250"/>
            <wp:effectExtent l="0" t="0" r="7620" b="0"/>
            <wp:docPr id="11" name="Picture 1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rotWithShape="1">
                    <a:blip r:embed="rId9">
                      <a:extLst>
                        <a:ext uri="{28A0092B-C50C-407E-A947-70E740481C1C}">
                          <a14:useLocalDpi xmlns:a14="http://schemas.microsoft.com/office/drawing/2010/main" val="0"/>
                        </a:ext>
                      </a:extLst>
                    </a:blip>
                    <a:srcRect b="5208"/>
                    <a:stretch/>
                  </pic:blipFill>
                  <pic:spPr bwMode="auto">
                    <a:xfrm>
                      <a:off x="0" y="0"/>
                      <a:ext cx="3175961" cy="1239067"/>
                    </a:xfrm>
                    <a:prstGeom prst="rect">
                      <a:avLst/>
                    </a:prstGeom>
                    <a:noFill/>
                    <a:ln>
                      <a:noFill/>
                    </a:ln>
                    <a:extLst>
                      <a:ext uri="{53640926-AAD7-44D8-BBD7-CCE9431645EC}">
                        <a14:shadowObscured xmlns:a14="http://schemas.microsoft.com/office/drawing/2010/main"/>
                      </a:ext>
                    </a:extLst>
                  </pic:spPr>
                </pic:pic>
              </a:graphicData>
            </a:graphic>
          </wp:inline>
        </w:drawing>
      </w:r>
    </w:p>
    <w:p w14:paraId="290F39D1" w14:textId="77777777" w:rsidR="009539D5" w:rsidRPr="00AA28DC" w:rsidRDefault="009539D5" w:rsidP="009539D5">
      <w:pPr>
        <w:jc w:val="center"/>
        <w:rPr>
          <w:rFonts w:asciiTheme="majorHAnsi" w:hAnsiTheme="majorHAnsi" w:cstheme="majorHAnsi"/>
          <w:noProof/>
          <w:szCs w:val="24"/>
        </w:rPr>
      </w:pPr>
      <w:r>
        <w:rPr>
          <w:rFonts w:asciiTheme="majorHAnsi" w:hAnsiTheme="majorHAnsi"/>
        </w:rPr>
        <w:t>EIROPAS CILVĒKTIESĪBU TIESA</w:t>
      </w:r>
    </w:p>
    <w:p w14:paraId="7B75F5A6" w14:textId="68E5C6DA" w:rsidR="009539D5" w:rsidRPr="009539D5" w:rsidRDefault="009539D5" w:rsidP="009539D5">
      <w:pPr>
        <w:rPr>
          <w:rFonts w:ascii="Times New Roman" w:hAnsi="Times New Roman"/>
          <w:noProof/>
        </w:rPr>
      </w:pPr>
    </w:p>
    <w:p w14:paraId="45A8583F" w14:textId="77777777" w:rsidR="004D49F5" w:rsidRDefault="004D49F5" w:rsidP="009539D5">
      <w:pPr>
        <w:jc w:val="center"/>
        <w:rPr>
          <w:rFonts w:ascii="Times New Roman" w:hAnsi="Times New Roman"/>
          <w:noProof/>
        </w:rPr>
      </w:pPr>
    </w:p>
    <w:p w14:paraId="65BE5015" w14:textId="77777777" w:rsidR="004D49F5" w:rsidRDefault="004D49F5" w:rsidP="009539D5">
      <w:pPr>
        <w:jc w:val="center"/>
        <w:rPr>
          <w:rFonts w:ascii="Times New Roman" w:hAnsi="Times New Roman"/>
          <w:noProof/>
        </w:rPr>
      </w:pPr>
    </w:p>
    <w:p w14:paraId="775DEE18" w14:textId="664E5275" w:rsidR="009539D5" w:rsidRPr="009539D5" w:rsidRDefault="009539D5" w:rsidP="009539D5">
      <w:pPr>
        <w:jc w:val="center"/>
        <w:rPr>
          <w:rFonts w:ascii="Times New Roman" w:hAnsi="Times New Roman"/>
          <w:noProof/>
        </w:rPr>
      </w:pPr>
      <w:r>
        <w:rPr>
          <w:rFonts w:ascii="Times New Roman" w:hAnsi="Times New Roman"/>
        </w:rPr>
        <w:t>PIEKTĀ NODAĻA</w:t>
      </w:r>
    </w:p>
    <w:p w14:paraId="6983F43F" w14:textId="77777777" w:rsidR="009539D5" w:rsidRPr="009539D5" w:rsidRDefault="009539D5" w:rsidP="009539D5">
      <w:pPr>
        <w:jc w:val="center"/>
        <w:rPr>
          <w:rFonts w:ascii="Times New Roman" w:hAnsi="Times New Roman"/>
          <w:noProof/>
        </w:rPr>
      </w:pPr>
    </w:p>
    <w:p w14:paraId="063DF386" w14:textId="77777777" w:rsidR="009539D5" w:rsidRPr="009539D5" w:rsidRDefault="009539D5" w:rsidP="009539D5">
      <w:pPr>
        <w:jc w:val="center"/>
        <w:rPr>
          <w:rFonts w:ascii="Times New Roman" w:hAnsi="Times New Roman"/>
          <w:noProof/>
        </w:rPr>
      </w:pPr>
    </w:p>
    <w:p w14:paraId="11B41EF8" w14:textId="77777777" w:rsidR="009539D5" w:rsidRPr="009539D5" w:rsidRDefault="009539D5" w:rsidP="009539D5">
      <w:pPr>
        <w:jc w:val="center"/>
        <w:rPr>
          <w:rFonts w:ascii="Times New Roman" w:hAnsi="Times New Roman"/>
          <w:noProof/>
        </w:rPr>
      </w:pPr>
    </w:p>
    <w:p w14:paraId="4614C7EA" w14:textId="77777777" w:rsidR="009539D5" w:rsidRPr="009539D5" w:rsidRDefault="009539D5" w:rsidP="009539D5">
      <w:pPr>
        <w:jc w:val="center"/>
        <w:rPr>
          <w:rFonts w:ascii="Times New Roman" w:hAnsi="Times New Roman"/>
          <w:noProof/>
        </w:rPr>
      </w:pPr>
    </w:p>
    <w:p w14:paraId="26464236" w14:textId="77777777" w:rsidR="009539D5" w:rsidRPr="009539D5" w:rsidRDefault="009539D5" w:rsidP="009539D5">
      <w:pPr>
        <w:jc w:val="center"/>
        <w:rPr>
          <w:rFonts w:ascii="Times New Roman" w:hAnsi="Times New Roman"/>
          <w:noProof/>
        </w:rPr>
      </w:pPr>
    </w:p>
    <w:p w14:paraId="7066E22A" w14:textId="77777777" w:rsidR="009539D5" w:rsidRPr="009539D5" w:rsidRDefault="009539D5" w:rsidP="009539D5">
      <w:pPr>
        <w:jc w:val="center"/>
        <w:rPr>
          <w:rFonts w:ascii="Times New Roman" w:hAnsi="Times New Roman"/>
          <w:noProof/>
        </w:rPr>
      </w:pPr>
    </w:p>
    <w:p w14:paraId="35FF4937" w14:textId="77777777" w:rsidR="009539D5" w:rsidRPr="009539D5" w:rsidRDefault="009539D5" w:rsidP="009539D5">
      <w:pPr>
        <w:jc w:val="center"/>
        <w:rPr>
          <w:rFonts w:ascii="Times New Roman" w:hAnsi="Times New Roman"/>
          <w:b/>
          <w:noProof/>
        </w:rPr>
      </w:pPr>
      <w:bookmarkStart w:id="0" w:name="To"/>
      <w:r>
        <w:rPr>
          <w:rFonts w:ascii="Times New Roman" w:hAnsi="Times New Roman"/>
          <w:b/>
        </w:rPr>
        <w:t>LIETA</w:t>
      </w:r>
      <w:bookmarkEnd w:id="0"/>
      <w:r>
        <w:rPr>
          <w:rFonts w:ascii="Times New Roman" w:hAnsi="Times New Roman"/>
          <w:b/>
        </w:rPr>
        <w:t xml:space="preserve"> “RUSLANS JAKOVENKO pret UKRAINU”</w:t>
      </w:r>
    </w:p>
    <w:p w14:paraId="1DA88272" w14:textId="77777777" w:rsidR="009539D5" w:rsidRPr="009539D5" w:rsidRDefault="009539D5" w:rsidP="009539D5">
      <w:pPr>
        <w:jc w:val="center"/>
        <w:rPr>
          <w:rFonts w:ascii="Times New Roman" w:hAnsi="Times New Roman"/>
          <w:noProof/>
        </w:rPr>
      </w:pPr>
    </w:p>
    <w:p w14:paraId="64A1237B" w14:textId="77777777" w:rsidR="009539D5" w:rsidRPr="009539D5" w:rsidRDefault="009539D5" w:rsidP="009539D5">
      <w:pPr>
        <w:jc w:val="center"/>
        <w:rPr>
          <w:rFonts w:ascii="Times New Roman" w:hAnsi="Times New Roman"/>
          <w:i/>
          <w:noProof/>
        </w:rPr>
      </w:pPr>
      <w:r>
        <w:rPr>
          <w:rFonts w:ascii="Times New Roman" w:hAnsi="Times New Roman"/>
          <w:i/>
        </w:rPr>
        <w:t>(Pieteikums Nr. 5425/11)</w:t>
      </w:r>
    </w:p>
    <w:p w14:paraId="14DB1E3F" w14:textId="77777777" w:rsidR="009539D5" w:rsidRPr="009539D5" w:rsidRDefault="009539D5" w:rsidP="009539D5">
      <w:pPr>
        <w:jc w:val="center"/>
        <w:rPr>
          <w:rFonts w:ascii="Times New Roman" w:hAnsi="Times New Roman"/>
          <w:noProof/>
        </w:rPr>
      </w:pPr>
    </w:p>
    <w:p w14:paraId="35241454" w14:textId="77777777" w:rsidR="009539D5" w:rsidRPr="009539D5" w:rsidRDefault="009539D5" w:rsidP="009539D5">
      <w:pPr>
        <w:jc w:val="center"/>
        <w:rPr>
          <w:rFonts w:ascii="Times New Roman" w:hAnsi="Times New Roman"/>
          <w:noProof/>
        </w:rPr>
      </w:pPr>
    </w:p>
    <w:p w14:paraId="442CB242" w14:textId="77777777" w:rsidR="009539D5" w:rsidRPr="009539D5" w:rsidRDefault="009539D5" w:rsidP="009539D5">
      <w:pPr>
        <w:jc w:val="center"/>
        <w:rPr>
          <w:rFonts w:ascii="Times New Roman" w:hAnsi="Times New Roman"/>
          <w:noProof/>
        </w:rPr>
      </w:pPr>
    </w:p>
    <w:p w14:paraId="01BF5C5B" w14:textId="77777777" w:rsidR="009539D5" w:rsidRPr="009539D5" w:rsidRDefault="009539D5" w:rsidP="009539D5">
      <w:pPr>
        <w:jc w:val="center"/>
        <w:rPr>
          <w:rFonts w:ascii="Times New Roman" w:hAnsi="Times New Roman"/>
          <w:noProof/>
        </w:rPr>
      </w:pPr>
      <w:r>
        <w:rPr>
          <w:rFonts w:ascii="Times New Roman" w:hAnsi="Times New Roman"/>
        </w:rPr>
        <w:t>SPRIEDUMS</w:t>
      </w:r>
    </w:p>
    <w:p w14:paraId="2546C263" w14:textId="77777777" w:rsidR="009539D5" w:rsidRPr="009539D5" w:rsidRDefault="009539D5" w:rsidP="009539D5">
      <w:pPr>
        <w:jc w:val="center"/>
        <w:rPr>
          <w:rFonts w:ascii="Times New Roman" w:hAnsi="Times New Roman"/>
          <w:noProof/>
        </w:rPr>
      </w:pPr>
    </w:p>
    <w:p w14:paraId="269C13B4" w14:textId="77777777" w:rsidR="009539D5" w:rsidRPr="009539D5" w:rsidRDefault="009539D5" w:rsidP="009539D5">
      <w:pPr>
        <w:jc w:val="center"/>
        <w:rPr>
          <w:rFonts w:ascii="Times New Roman" w:hAnsi="Times New Roman"/>
          <w:noProof/>
        </w:rPr>
      </w:pPr>
    </w:p>
    <w:p w14:paraId="4CACB2A9" w14:textId="77777777" w:rsidR="009539D5" w:rsidRPr="009539D5" w:rsidRDefault="009539D5" w:rsidP="009539D5">
      <w:pPr>
        <w:jc w:val="center"/>
        <w:rPr>
          <w:rFonts w:ascii="Times New Roman" w:hAnsi="Times New Roman"/>
          <w:noProof/>
        </w:rPr>
      </w:pPr>
    </w:p>
    <w:p w14:paraId="184EE82C" w14:textId="77777777" w:rsidR="009539D5" w:rsidRPr="009539D5" w:rsidRDefault="009539D5" w:rsidP="009539D5">
      <w:pPr>
        <w:jc w:val="center"/>
        <w:rPr>
          <w:rFonts w:ascii="Times New Roman" w:hAnsi="Times New Roman"/>
          <w:noProof/>
        </w:rPr>
      </w:pPr>
    </w:p>
    <w:p w14:paraId="262D8D3E" w14:textId="77777777" w:rsidR="009539D5" w:rsidRPr="009539D5" w:rsidRDefault="009539D5" w:rsidP="009539D5">
      <w:pPr>
        <w:jc w:val="center"/>
        <w:rPr>
          <w:rFonts w:ascii="Times New Roman" w:hAnsi="Times New Roman"/>
          <w:noProof/>
        </w:rPr>
      </w:pPr>
      <w:r>
        <w:rPr>
          <w:rFonts w:ascii="Times New Roman" w:hAnsi="Times New Roman"/>
        </w:rPr>
        <w:t>STRASBŪRA</w:t>
      </w:r>
    </w:p>
    <w:p w14:paraId="3C905246" w14:textId="77777777" w:rsidR="009539D5" w:rsidRPr="009539D5" w:rsidRDefault="009539D5" w:rsidP="009539D5">
      <w:pPr>
        <w:jc w:val="center"/>
        <w:rPr>
          <w:rFonts w:ascii="Times New Roman" w:hAnsi="Times New Roman"/>
          <w:noProof/>
        </w:rPr>
      </w:pPr>
    </w:p>
    <w:p w14:paraId="07B11D9A" w14:textId="77777777" w:rsidR="009539D5" w:rsidRPr="009539D5" w:rsidRDefault="009539D5" w:rsidP="009539D5">
      <w:pPr>
        <w:jc w:val="center"/>
        <w:rPr>
          <w:rFonts w:ascii="Times New Roman" w:hAnsi="Times New Roman"/>
          <w:noProof/>
        </w:rPr>
      </w:pPr>
    </w:p>
    <w:p w14:paraId="30C94C14" w14:textId="77777777" w:rsidR="009539D5" w:rsidRPr="009539D5" w:rsidRDefault="009539D5" w:rsidP="009539D5">
      <w:pPr>
        <w:jc w:val="center"/>
        <w:rPr>
          <w:rFonts w:ascii="Times New Roman" w:hAnsi="Times New Roman"/>
          <w:noProof/>
        </w:rPr>
      </w:pPr>
      <w:r>
        <w:rPr>
          <w:rFonts w:ascii="Times New Roman" w:hAnsi="Times New Roman"/>
        </w:rPr>
        <w:t>2015. gada 4. jūnijā</w:t>
      </w:r>
    </w:p>
    <w:p w14:paraId="35785868" w14:textId="77777777" w:rsidR="009539D5" w:rsidRPr="009539D5" w:rsidRDefault="009539D5" w:rsidP="009539D5">
      <w:pPr>
        <w:jc w:val="center"/>
        <w:rPr>
          <w:rFonts w:ascii="Times New Roman" w:hAnsi="Times New Roman"/>
          <w:noProof/>
        </w:rPr>
      </w:pPr>
    </w:p>
    <w:p w14:paraId="64E47003" w14:textId="77777777" w:rsidR="009539D5" w:rsidRPr="009539D5" w:rsidRDefault="009539D5" w:rsidP="009539D5">
      <w:pPr>
        <w:jc w:val="center"/>
        <w:rPr>
          <w:rFonts w:ascii="Times New Roman" w:hAnsi="Times New Roman"/>
          <w:noProof/>
        </w:rPr>
      </w:pPr>
    </w:p>
    <w:p w14:paraId="2AAA01F3" w14:textId="77777777" w:rsidR="009539D5" w:rsidRPr="009539D5" w:rsidRDefault="009539D5" w:rsidP="009539D5">
      <w:pPr>
        <w:jc w:val="center"/>
        <w:rPr>
          <w:rFonts w:ascii="Times New Roman" w:hAnsi="Times New Roman"/>
          <w:noProof/>
        </w:rPr>
      </w:pPr>
    </w:p>
    <w:p w14:paraId="57199F78" w14:textId="77777777" w:rsidR="009539D5" w:rsidRPr="009539D5" w:rsidRDefault="009539D5" w:rsidP="009539D5">
      <w:pPr>
        <w:jc w:val="center"/>
        <w:rPr>
          <w:rFonts w:ascii="Times New Roman" w:hAnsi="Times New Roman"/>
          <w:noProof/>
        </w:rPr>
      </w:pPr>
    </w:p>
    <w:p w14:paraId="0D07906B" w14:textId="77777777" w:rsidR="009539D5" w:rsidRPr="009539D5" w:rsidRDefault="009539D5" w:rsidP="009539D5">
      <w:pPr>
        <w:pStyle w:val="jucase0"/>
        <w:ind w:firstLine="0"/>
        <w:jc w:val="center"/>
        <w:rPr>
          <w:noProof/>
          <w:color w:val="FF0000"/>
          <w:sz w:val="28"/>
          <w:szCs w:val="32"/>
          <w:u w:val="single"/>
        </w:rPr>
      </w:pPr>
      <w:r>
        <w:rPr>
          <w:color w:val="FF0000"/>
          <w:sz w:val="28"/>
          <w:u w:val="single"/>
        </w:rPr>
        <w:t>GALĪGĀ REDAKCIJA</w:t>
      </w:r>
    </w:p>
    <w:p w14:paraId="763C19D5" w14:textId="3B6DA694" w:rsidR="009539D5" w:rsidRPr="009539D5" w:rsidRDefault="009539D5" w:rsidP="009539D5">
      <w:pPr>
        <w:pStyle w:val="jupara"/>
        <w:tabs>
          <w:tab w:val="left" w:pos="4650"/>
        </w:tabs>
        <w:ind w:firstLine="0"/>
        <w:jc w:val="center"/>
        <w:rPr>
          <w:noProof/>
          <w:color w:val="FF0000"/>
          <w:sz w:val="28"/>
          <w:szCs w:val="32"/>
          <w:lang w:val="en-US"/>
        </w:rPr>
      </w:pPr>
    </w:p>
    <w:p w14:paraId="7AB7ECB9" w14:textId="77777777" w:rsidR="009539D5" w:rsidRPr="009539D5" w:rsidRDefault="009539D5" w:rsidP="009539D5">
      <w:pPr>
        <w:pStyle w:val="jupara"/>
        <w:ind w:firstLine="0"/>
        <w:jc w:val="center"/>
        <w:rPr>
          <w:noProof/>
          <w:color w:val="FF0000"/>
          <w:sz w:val="28"/>
          <w:szCs w:val="32"/>
        </w:rPr>
      </w:pPr>
      <w:r>
        <w:rPr>
          <w:color w:val="FF0000"/>
          <w:sz w:val="28"/>
        </w:rPr>
        <w:t>04.09.2015.</w:t>
      </w:r>
    </w:p>
    <w:p w14:paraId="7D016838" w14:textId="77777777" w:rsidR="009539D5" w:rsidRPr="009539D5" w:rsidRDefault="009539D5" w:rsidP="009539D5">
      <w:pPr>
        <w:pStyle w:val="jupara"/>
        <w:ind w:firstLine="0"/>
        <w:jc w:val="center"/>
        <w:rPr>
          <w:noProof/>
          <w:lang w:val="en-US"/>
        </w:rPr>
      </w:pPr>
    </w:p>
    <w:p w14:paraId="3A0825A7" w14:textId="5D4CB641" w:rsidR="009539D5" w:rsidRDefault="009539D5" w:rsidP="009539D5">
      <w:pPr>
        <w:jc w:val="center"/>
        <w:rPr>
          <w:rFonts w:ascii="Times New Roman" w:hAnsi="Times New Roman"/>
          <w:i/>
          <w:iCs/>
          <w:noProof/>
        </w:rPr>
      </w:pPr>
      <w:r>
        <w:rPr>
          <w:rFonts w:ascii="Times New Roman" w:hAnsi="Times New Roman"/>
          <w:i/>
        </w:rPr>
        <w:t>Spriedums ir galīgs.</w:t>
      </w:r>
    </w:p>
    <w:p w14:paraId="62F8C410" w14:textId="7C867B97" w:rsidR="009539D5" w:rsidRDefault="009539D5" w:rsidP="009539D5">
      <w:pPr>
        <w:jc w:val="center"/>
        <w:rPr>
          <w:rFonts w:ascii="Times New Roman" w:hAnsi="Times New Roman"/>
          <w:i/>
          <w:iCs/>
          <w:noProof/>
        </w:rPr>
      </w:pPr>
    </w:p>
    <w:p w14:paraId="4ECBFE0F" w14:textId="77777777" w:rsidR="009539D5" w:rsidRDefault="009539D5" w:rsidP="009539D5">
      <w:pPr>
        <w:jc w:val="center"/>
        <w:rPr>
          <w:rFonts w:ascii="Times New Roman" w:hAnsi="Times New Roman"/>
          <w:i/>
          <w:iCs/>
          <w:noProof/>
        </w:rPr>
      </w:pPr>
    </w:p>
    <w:p w14:paraId="52691EFB" w14:textId="77777777" w:rsidR="00411064" w:rsidRPr="000F6174" w:rsidRDefault="00411064" w:rsidP="00411064">
      <w:pPr>
        <w:jc w:val="center"/>
        <w:rPr>
          <w:rFonts w:asciiTheme="majorHAnsi" w:hAnsiTheme="majorHAnsi" w:cstheme="majorHAnsi"/>
          <w:noProof/>
          <w:sz w:val="18"/>
          <w:szCs w:val="18"/>
        </w:rPr>
      </w:pPr>
      <w:r>
        <w:rPr>
          <w:rFonts w:asciiTheme="majorHAnsi" w:hAnsiTheme="majorHAnsi"/>
          <w:sz w:val="18"/>
        </w:rPr>
        <w:t>EIROPAS PADOME</w:t>
      </w:r>
    </w:p>
    <w:p w14:paraId="25D656A8" w14:textId="18750181" w:rsidR="00411064" w:rsidRPr="000F6174" w:rsidRDefault="00411064" w:rsidP="00411064">
      <w:pPr>
        <w:jc w:val="center"/>
        <w:rPr>
          <w:rFonts w:asciiTheme="majorHAnsi" w:hAnsiTheme="majorHAnsi" w:cstheme="majorHAnsi"/>
          <w:noProof/>
        </w:rPr>
      </w:pPr>
      <w:r>
        <w:rPr>
          <w:rFonts w:asciiTheme="majorHAnsi" w:hAnsiTheme="majorHAnsi"/>
          <w:noProof/>
        </w:rPr>
        <w:drawing>
          <wp:inline distT="0" distB="0" distL="0" distR="0" wp14:anchorId="35E9DBE1" wp14:editId="0CAE5EBC">
            <wp:extent cx="769620" cy="454660"/>
            <wp:effectExtent l="0" t="0" r="0" b="2540"/>
            <wp:docPr id="2" name="Picture 2" descr="A picture containing text, screensho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lipart, picture frame&#10;&#10;Description automatically generated"/>
                    <pic:cNvPicPr/>
                  </pic:nvPicPr>
                  <pic:blipFill rotWithShape="1">
                    <a:blip r:embed="rId10"/>
                    <a:srcRect t="5291"/>
                    <a:stretch/>
                  </pic:blipFill>
                  <pic:spPr bwMode="auto">
                    <a:xfrm>
                      <a:off x="0" y="0"/>
                      <a:ext cx="769687" cy="454700"/>
                    </a:xfrm>
                    <a:prstGeom prst="rect">
                      <a:avLst/>
                    </a:prstGeom>
                    <a:ln>
                      <a:noFill/>
                    </a:ln>
                    <a:extLst>
                      <a:ext uri="{53640926-AAD7-44D8-BBD7-CCE9431645EC}">
                        <a14:shadowObscured xmlns:a14="http://schemas.microsoft.com/office/drawing/2010/main"/>
                      </a:ext>
                    </a:extLst>
                  </pic:spPr>
                </pic:pic>
              </a:graphicData>
            </a:graphic>
          </wp:inline>
        </w:drawing>
      </w:r>
    </w:p>
    <w:p w14:paraId="2AC72BD9" w14:textId="77777777" w:rsidR="00411064" w:rsidRPr="000F6174" w:rsidRDefault="00411064" w:rsidP="00411064">
      <w:pPr>
        <w:jc w:val="center"/>
        <w:rPr>
          <w:rFonts w:asciiTheme="majorHAnsi" w:hAnsiTheme="majorHAnsi" w:cstheme="majorHAnsi"/>
          <w:noProof/>
          <w:sz w:val="18"/>
          <w:szCs w:val="18"/>
        </w:rPr>
      </w:pPr>
      <w:r>
        <w:rPr>
          <w:rFonts w:asciiTheme="majorHAnsi" w:hAnsiTheme="majorHAnsi"/>
          <w:i/>
          <w:sz w:val="18"/>
        </w:rPr>
        <w:t>CONSEIL DE L’EUROPE</w:t>
      </w:r>
    </w:p>
    <w:p w14:paraId="65995481" w14:textId="77777777" w:rsidR="009539D5" w:rsidRPr="009539D5" w:rsidRDefault="009539D5" w:rsidP="009539D5">
      <w:pPr>
        <w:rPr>
          <w:rFonts w:ascii="Times New Roman" w:hAnsi="Times New Roman"/>
          <w:b/>
          <w:i/>
          <w:noProof/>
        </w:rPr>
      </w:pPr>
      <w:r>
        <w:br w:type="page"/>
      </w:r>
    </w:p>
    <w:p w14:paraId="38DD7D1D" w14:textId="77777777" w:rsidR="009539D5" w:rsidRPr="009539D5" w:rsidRDefault="009539D5" w:rsidP="009539D5">
      <w:pPr>
        <w:pStyle w:val="JuCase"/>
        <w:ind w:firstLine="0"/>
        <w:rPr>
          <w:rFonts w:ascii="Times New Roman" w:hAnsi="Times New Roman"/>
          <w:b w:val="0"/>
          <w:noProof/>
        </w:rPr>
      </w:pPr>
    </w:p>
    <w:p w14:paraId="1D7F1029" w14:textId="3C956C1D" w:rsidR="009539D5" w:rsidRPr="00E33B95" w:rsidRDefault="009539D5" w:rsidP="000569C3">
      <w:pPr>
        <w:pStyle w:val="JuCase"/>
        <w:rPr>
          <w:rFonts w:ascii="Times New Roman" w:hAnsi="Times New Roman"/>
          <w:noProof/>
        </w:rPr>
      </w:pPr>
      <w:r>
        <w:rPr>
          <w:rFonts w:ascii="Times New Roman" w:hAnsi="Times New Roman"/>
        </w:rPr>
        <w:t>Lietā “Ruslans Jakovenko pret Ukrainu”</w:t>
      </w:r>
    </w:p>
    <w:p w14:paraId="63EBEB3F" w14:textId="77777777" w:rsidR="009539D5" w:rsidRPr="009539D5" w:rsidRDefault="009539D5" w:rsidP="000569C3">
      <w:pPr>
        <w:pStyle w:val="ECHRPara"/>
        <w:rPr>
          <w:rFonts w:ascii="Times New Roman" w:hAnsi="Times New Roman"/>
          <w:noProof/>
        </w:rPr>
      </w:pPr>
      <w:r>
        <w:rPr>
          <w:rFonts w:ascii="Times New Roman" w:hAnsi="Times New Roman"/>
        </w:rPr>
        <w:t>Eiropas Cilvēktiesību tiesa (Piektā nodaļa), sanākusi kā palāta šādā sastāvā:</w:t>
      </w:r>
    </w:p>
    <w:p w14:paraId="37F20A32" w14:textId="3B494BE8"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i/>
          <w:iCs/>
        </w:rPr>
        <w:t>priekšsēdētājs</w:t>
      </w:r>
      <w:r>
        <w:rPr>
          <w:rFonts w:ascii="Times New Roman" w:hAnsi="Times New Roman"/>
        </w:rPr>
        <w:t xml:space="preserve"> Marks Viligērs [</w:t>
      </w:r>
      <w:r>
        <w:rPr>
          <w:rFonts w:ascii="Times New Roman" w:hAnsi="Times New Roman"/>
          <w:i/>
          <w:iCs/>
        </w:rPr>
        <w:t>Mark Villiger</w:t>
      </w:r>
      <w:r>
        <w:rPr>
          <w:rFonts w:ascii="Times New Roman" w:hAnsi="Times New Roman"/>
        </w:rPr>
        <w:t>],</w:t>
      </w:r>
    </w:p>
    <w:p w14:paraId="0AA20D67" w14:textId="05F1E31E"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i/>
          <w:iCs/>
        </w:rPr>
        <w:t>tiesneši</w:t>
      </w:r>
      <w:r>
        <w:rPr>
          <w:rFonts w:ascii="Times New Roman" w:hAnsi="Times New Roman"/>
        </w:rPr>
        <w:t xml:space="preserve"> Angelika Nusbergere [</w:t>
      </w:r>
      <w:r>
        <w:rPr>
          <w:rFonts w:ascii="Times New Roman" w:hAnsi="Times New Roman"/>
          <w:i/>
          <w:iCs/>
        </w:rPr>
        <w:t>Angelika Nußberger</w:t>
      </w:r>
      <w:r>
        <w:rPr>
          <w:rFonts w:ascii="Times New Roman" w:hAnsi="Times New Roman"/>
        </w:rPr>
        <w:t>],</w:t>
      </w:r>
    </w:p>
    <w:p w14:paraId="5006C059" w14:textId="2BA2B597"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r>
        <w:rPr>
          <w:rFonts w:ascii="Times New Roman" w:hAnsi="Times New Roman"/>
        </w:rPr>
        <w:t>Boštjans M. Zupančičs [</w:t>
      </w:r>
      <w:r>
        <w:rPr>
          <w:rFonts w:ascii="Times New Roman" w:hAnsi="Times New Roman"/>
          <w:i/>
          <w:iCs/>
        </w:rPr>
        <w:t>Boštjan M. Zupančič</w:t>
      </w:r>
      <w:r>
        <w:rPr>
          <w:rFonts w:ascii="Times New Roman" w:hAnsi="Times New Roman"/>
        </w:rPr>
        <w:t>],</w:t>
      </w:r>
    </w:p>
    <w:p w14:paraId="67E0585C" w14:textId="1C1D2478"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r>
        <w:rPr>
          <w:rFonts w:ascii="Times New Roman" w:hAnsi="Times New Roman"/>
        </w:rPr>
        <w:t>Ganna Judkivska [</w:t>
      </w:r>
      <w:r>
        <w:rPr>
          <w:rFonts w:ascii="Times New Roman" w:hAnsi="Times New Roman"/>
          <w:i/>
          <w:iCs/>
        </w:rPr>
        <w:t>Ganna Yudkivska</w:t>
      </w:r>
      <w:r>
        <w:rPr>
          <w:rFonts w:ascii="Times New Roman" w:hAnsi="Times New Roman"/>
        </w:rPr>
        <w:t>],</w:t>
      </w:r>
    </w:p>
    <w:p w14:paraId="45546E7D" w14:textId="250CD56E"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rPr>
        <w:t>Vinsents E. de Gaetāno [</w:t>
      </w:r>
      <w:r>
        <w:rPr>
          <w:rFonts w:ascii="Times New Roman" w:hAnsi="Times New Roman"/>
          <w:i/>
          <w:iCs/>
        </w:rPr>
        <w:t>Vincent A. De Gaetano</w:t>
      </w:r>
      <w:r>
        <w:rPr>
          <w:rFonts w:ascii="Times New Roman" w:hAnsi="Times New Roman"/>
        </w:rPr>
        <w:t>],</w:t>
      </w:r>
    </w:p>
    <w:p w14:paraId="7A8A3ACD" w14:textId="78649B86"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rPr>
        <w:t>Andrē Potokī [</w:t>
      </w:r>
      <w:r>
        <w:rPr>
          <w:rFonts w:ascii="Times New Roman" w:hAnsi="Times New Roman"/>
          <w:i/>
          <w:iCs/>
        </w:rPr>
        <w:t>André Potocki</w:t>
      </w:r>
      <w:r>
        <w:rPr>
          <w:rFonts w:ascii="Times New Roman" w:hAnsi="Times New Roman"/>
        </w:rPr>
        <w:t>],</w:t>
      </w:r>
    </w:p>
    <w:p w14:paraId="7ECF3651" w14:textId="46AF5738"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rPr>
        <w:t>Alešs Pejhals [</w:t>
      </w:r>
      <w:r>
        <w:rPr>
          <w:rFonts w:ascii="Times New Roman" w:hAnsi="Times New Roman"/>
          <w:i/>
          <w:iCs/>
        </w:rPr>
        <w:t>Aleš Pejchal</w:t>
      </w:r>
      <w:r>
        <w:rPr>
          <w:rFonts w:ascii="Times New Roman" w:hAnsi="Times New Roman"/>
        </w:rPr>
        <w:t>]</w:t>
      </w:r>
    </w:p>
    <w:p w14:paraId="6CACCE97" w14:textId="23FEBE17"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r>
        <w:rPr>
          <w:rFonts w:ascii="Times New Roman" w:hAnsi="Times New Roman"/>
        </w:rPr>
        <w:t xml:space="preserve">un </w:t>
      </w:r>
      <w:r>
        <w:rPr>
          <w:rFonts w:ascii="Times New Roman" w:hAnsi="Times New Roman"/>
          <w:i/>
          <w:iCs/>
        </w:rPr>
        <w:t>nodaļas sekretāra palīgs</w:t>
      </w:r>
      <w:r>
        <w:rPr>
          <w:rFonts w:ascii="Times New Roman" w:hAnsi="Times New Roman"/>
        </w:rPr>
        <w:t xml:space="preserve"> Milans Blaško [</w:t>
      </w:r>
      <w:r>
        <w:rPr>
          <w:rFonts w:ascii="Times New Roman" w:hAnsi="Times New Roman"/>
          <w:i/>
          <w:iCs/>
        </w:rPr>
        <w:t>Milan Blaško</w:t>
      </w:r>
      <w:r>
        <w:rPr>
          <w:rFonts w:ascii="Times New Roman" w:hAnsi="Times New Roman"/>
        </w:rPr>
        <w:t>]</w:t>
      </w:r>
    </w:p>
    <w:p w14:paraId="3C7E569D" w14:textId="77777777" w:rsidR="009539D5" w:rsidRPr="009539D5" w:rsidRDefault="009539D5" w:rsidP="000569C3">
      <w:pPr>
        <w:pStyle w:val="ECHRPara"/>
        <w:rPr>
          <w:rFonts w:ascii="Times New Roman" w:hAnsi="Times New Roman"/>
          <w:noProof/>
        </w:rPr>
      </w:pPr>
      <w:r>
        <w:rPr>
          <w:rFonts w:ascii="Times New Roman" w:hAnsi="Times New Roman"/>
        </w:rPr>
        <w:t>pēc apspriešanās slēgtā sēdē 2015. gada 21. aprīlī</w:t>
      </w:r>
    </w:p>
    <w:p w14:paraId="55CDA445" w14:textId="77777777" w:rsidR="009539D5" w:rsidRPr="009539D5" w:rsidRDefault="009539D5" w:rsidP="000569C3">
      <w:pPr>
        <w:pStyle w:val="ECHRPara"/>
        <w:rPr>
          <w:rFonts w:ascii="Times New Roman" w:hAnsi="Times New Roman"/>
          <w:noProof/>
        </w:rPr>
      </w:pPr>
      <w:r>
        <w:rPr>
          <w:rFonts w:ascii="Times New Roman" w:hAnsi="Times New Roman"/>
        </w:rPr>
        <w:t>pasludina šo spriedumu, kas pieņemts attiecīgajā datumā.</w:t>
      </w:r>
    </w:p>
    <w:p w14:paraId="7D9DC2F0" w14:textId="77777777" w:rsidR="009539D5" w:rsidRDefault="009539D5" w:rsidP="009539D5">
      <w:pPr>
        <w:pStyle w:val="ECHRTitle1"/>
        <w:spacing w:before="0" w:after="0"/>
        <w:outlineLvl w:val="9"/>
        <w:rPr>
          <w:rFonts w:ascii="Times New Roman" w:hAnsi="Times New Roman"/>
          <w:noProof/>
          <w:sz w:val="24"/>
        </w:rPr>
      </w:pPr>
    </w:p>
    <w:p w14:paraId="4D23BFBC" w14:textId="284C5C30"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PROCEDŪRA</w:t>
      </w:r>
    </w:p>
    <w:p w14:paraId="14795F9A" w14:textId="77777777" w:rsidR="009539D5" w:rsidRPr="009539D5" w:rsidRDefault="009539D5" w:rsidP="009539D5">
      <w:pPr>
        <w:pStyle w:val="ECHRPara"/>
      </w:pPr>
    </w:p>
    <w:p w14:paraId="6F7F72E0" w14:textId="1A361781" w:rsidR="009539D5" w:rsidRPr="009539D5" w:rsidRDefault="009539D5" w:rsidP="009539D5">
      <w:pPr>
        <w:pStyle w:val="ECHRPara"/>
        <w:rPr>
          <w:rFonts w:ascii="Times New Roman" w:hAnsi="Times New Roman"/>
          <w:noProof/>
        </w:rPr>
      </w:pPr>
      <w:r>
        <w:rPr>
          <w:rFonts w:ascii="Times New Roman" w:hAnsi="Times New Roman"/>
        </w:rPr>
        <w:t>1. Lieta ierosināta, ņemot vērā pieteikumu (Nr. 5425/11) pret Ukrainu, ko saskaņā ar Cilvēktiesību un pamatbrīvību aizsardzības konvencijas (turpmāk tekstā – “Konvencija”) 34. pantu 2011. gada 17. janvārī Tiesai iesniedza Ukrainas pilsonis Ruslans Anatolijovičs Jakovenko [</w:t>
      </w:r>
      <w:r>
        <w:rPr>
          <w:rFonts w:ascii="Times New Roman" w:hAnsi="Times New Roman"/>
          <w:i/>
          <w:iCs/>
        </w:rPr>
        <w:t>Ruslan Anatoliyovych Yakovenko</w:t>
      </w:r>
      <w:r>
        <w:rPr>
          <w:rFonts w:ascii="Times New Roman" w:hAnsi="Times New Roman"/>
        </w:rPr>
        <w:t>] (turpmāk tekstā – “pieteikuma iesniedzējs”).</w:t>
      </w:r>
    </w:p>
    <w:p w14:paraId="0766E494" w14:textId="3F421F33" w:rsidR="009539D5" w:rsidRPr="009539D5" w:rsidRDefault="009539D5" w:rsidP="009539D5">
      <w:pPr>
        <w:pStyle w:val="ECHRPara"/>
        <w:rPr>
          <w:rFonts w:ascii="Times New Roman" w:hAnsi="Times New Roman"/>
          <w:noProof/>
        </w:rPr>
      </w:pPr>
      <w:r>
        <w:rPr>
          <w:rFonts w:ascii="Times New Roman" w:hAnsi="Times New Roman"/>
        </w:rPr>
        <w:t>2. Pieteikuma iesniedzēju pārstāvēja aizstāvis O. V. Levickis, Kijivā praktizējošs advokāts. Ukrainas valdību (turpmāk tekstā – “valdība”) pārstāvēja tā brīža pilnvarotais pārstāvis N. Kuļčitskis [</w:t>
      </w:r>
      <w:r>
        <w:rPr>
          <w:rFonts w:ascii="Times New Roman" w:hAnsi="Times New Roman"/>
          <w:i/>
          <w:iCs/>
        </w:rPr>
        <w:t>N. Kulchytskyy</w:t>
      </w:r>
      <w:r>
        <w:rPr>
          <w:rFonts w:ascii="Times New Roman" w:hAnsi="Times New Roman"/>
        </w:rPr>
        <w:t>].</w:t>
      </w:r>
    </w:p>
    <w:p w14:paraId="115BB625" w14:textId="4D713E64" w:rsidR="009539D5" w:rsidRPr="009539D5" w:rsidRDefault="009539D5" w:rsidP="009539D5">
      <w:pPr>
        <w:pStyle w:val="ECHRPara"/>
        <w:rPr>
          <w:rFonts w:ascii="Times New Roman" w:hAnsi="Times New Roman"/>
          <w:noProof/>
        </w:rPr>
      </w:pPr>
      <w:r>
        <w:rPr>
          <w:rFonts w:ascii="Times New Roman" w:hAnsi="Times New Roman"/>
        </w:rPr>
        <w:t>3. Pieteikuma iesniedzējs sūdzējās par viņa turēšanas apcietinājumā prettiesiskumu un viņa pārsūdzības tiesību kriminālprocesā pārkāpumu.</w:t>
      </w:r>
    </w:p>
    <w:p w14:paraId="06675BA6" w14:textId="2C8F462C" w:rsidR="009539D5" w:rsidRPr="009539D5" w:rsidRDefault="009539D5" w:rsidP="009539D5">
      <w:pPr>
        <w:pStyle w:val="ECHRPara"/>
        <w:rPr>
          <w:rFonts w:ascii="Times New Roman" w:hAnsi="Times New Roman"/>
          <w:noProof/>
        </w:rPr>
      </w:pPr>
      <w:r>
        <w:rPr>
          <w:rFonts w:ascii="Times New Roman" w:hAnsi="Times New Roman"/>
        </w:rPr>
        <w:t>4. Valdībai par pieteikumu tika paziņots 2012. gada 12. decembrī.</w:t>
      </w:r>
    </w:p>
    <w:p w14:paraId="5850E92B" w14:textId="77777777" w:rsidR="009539D5" w:rsidRDefault="009539D5" w:rsidP="009539D5">
      <w:pPr>
        <w:pStyle w:val="ECHRTitle1"/>
        <w:spacing w:before="0" w:after="0"/>
        <w:ind w:firstLine="284"/>
        <w:outlineLvl w:val="9"/>
        <w:rPr>
          <w:rFonts w:ascii="Times New Roman" w:hAnsi="Times New Roman"/>
          <w:noProof/>
          <w:sz w:val="24"/>
        </w:rPr>
      </w:pPr>
    </w:p>
    <w:p w14:paraId="4633973E" w14:textId="330E07EA"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FAKTISKIE APSTĀKĻI</w:t>
      </w:r>
    </w:p>
    <w:p w14:paraId="3C526810" w14:textId="77777777" w:rsidR="009539D5" w:rsidRPr="009539D5" w:rsidRDefault="009539D5" w:rsidP="009539D5">
      <w:pPr>
        <w:pStyle w:val="ECHRPara"/>
      </w:pPr>
    </w:p>
    <w:p w14:paraId="443DF83F" w14:textId="406EEF4D"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 LIETAS APSTĀKĻI</w:t>
      </w:r>
    </w:p>
    <w:p w14:paraId="7ADF2D5E" w14:textId="77777777" w:rsidR="009539D5" w:rsidRPr="009539D5" w:rsidRDefault="009539D5" w:rsidP="009539D5">
      <w:pPr>
        <w:pStyle w:val="ECHRPara"/>
      </w:pPr>
    </w:p>
    <w:p w14:paraId="186950BF" w14:textId="6E6957C6" w:rsidR="009539D5" w:rsidRPr="009539D5" w:rsidRDefault="009539D5" w:rsidP="009539D5">
      <w:pPr>
        <w:pStyle w:val="ECHRPara"/>
        <w:rPr>
          <w:rFonts w:ascii="Times New Roman" w:hAnsi="Times New Roman"/>
          <w:noProof/>
        </w:rPr>
      </w:pPr>
      <w:r>
        <w:rPr>
          <w:rFonts w:ascii="Times New Roman" w:hAnsi="Times New Roman"/>
        </w:rPr>
        <w:t>5. Pieteikuma iesniedzējs ir dzimis 1979. gadā un dzīvo Korolivkā, Kijivas apgabalā.</w:t>
      </w:r>
    </w:p>
    <w:p w14:paraId="1B4B6A48" w14:textId="26C890CF" w:rsidR="009539D5" w:rsidRPr="009539D5" w:rsidRDefault="009539D5" w:rsidP="009539D5">
      <w:pPr>
        <w:pStyle w:val="ECHRPara"/>
        <w:rPr>
          <w:rFonts w:ascii="Times New Roman" w:hAnsi="Times New Roman"/>
          <w:noProof/>
        </w:rPr>
      </w:pPr>
      <w:r>
        <w:rPr>
          <w:rFonts w:ascii="Times New Roman" w:hAnsi="Times New Roman"/>
        </w:rPr>
        <w:t>6. 2010. gada 12. jūlijā Bilacerkvas pilsētas tiesa (turpmāk tekstā – “Bilacerkvas tiesa”) atzina pieteikuma iesniedzēju par vainīgu smagu miesas bojājumu nodarīšanā konkrētai personai N. 2006. gada 12. maijā. Lai arī par šāda veida noziegumu ir paredzēts brīvības atņemšanas sods uz laiku no pieciem līdz astoņiem gadiem, tiesa uzskatīja par iespējamu piemērot pieteikuma iesniedzējam maigāku sodu. Tā jo īpaši ņēma vērā to, ka viņš atzina savu vainu un izdarīto nožēloja. Attiecīgi Bilacerkvas tiesa piesprieda pieteikuma iesniedzējam brīvības atņemšanu sodu uz četriem gadiem un septiņiem mēnešiem. Kā arī tā nolēma pieteikuma iesniedzējam izciestajā soda daļā ietvert laiku no 2005. gada 20. oktobra līdz 2006. gada 3. maijam (sešus mēnešus un četrpadsmit dienas), kad viņš bija aizturēts citas krimināllietas ietvaros. Visbeidzot, nosakot iesniedzējam sodu, tiesa ņēma vērā, ka viņš “vairāk nekā četrus gadus pavadīja [pirmstiesas] apcietinājuma vietā, kur apcietinājuma apstākļi bija ievērojami bargāki nekā ieslodzījuma vietā pēc notiesāšanas, un iepriekšējie spriedumi attiecībā uz viņu tika atcelti”. Nav pieejama plašāka informācija par pieteikuma iesniedzēja aizturēšanu pirms tam, citām krimināllietām, kurās viņš ir iesaistīs, vai atceltajiem spriedumiem.</w:t>
      </w:r>
    </w:p>
    <w:p w14:paraId="37391D28" w14:textId="3FBCE8BB" w:rsidR="009539D5" w:rsidRPr="009539D5" w:rsidRDefault="009539D5" w:rsidP="009539D5">
      <w:pPr>
        <w:pStyle w:val="ECHRPara"/>
        <w:rPr>
          <w:rFonts w:ascii="Times New Roman" w:hAnsi="Times New Roman"/>
          <w:noProof/>
        </w:rPr>
      </w:pPr>
      <w:r>
        <w:rPr>
          <w:rFonts w:ascii="Times New Roman" w:hAnsi="Times New Roman"/>
        </w:rPr>
        <w:t>7. Sprieduma rezolutīvajā daļā Bilacerkvas tiesa turklāt nolēma, ka pieteikuma iesniedzējam kā drošības līdzekli jāturpina piemērot atrašanos pirmstiesas apcietinājuma iestādē (</w:t>
      </w:r>
      <w:r>
        <w:rPr>
          <w:rFonts w:ascii="Times New Roman" w:hAnsi="Times New Roman"/>
          <w:i/>
          <w:iCs/>
        </w:rPr>
        <w:t>SIZO</w:t>
      </w:r>
      <w:r>
        <w:rPr>
          <w:rFonts w:ascii="Times New Roman" w:hAnsi="Times New Roman"/>
        </w:rPr>
        <w:t>), līdz spriedums kļūst galīgs. Tā arī norādīja, ka spriedumu var pārsūdzēt piecpadsmit dienu laikā no tā pasludināšanas dienas.</w:t>
      </w:r>
    </w:p>
    <w:p w14:paraId="25204892" w14:textId="2093A215" w:rsidR="009539D5" w:rsidRPr="009539D5" w:rsidRDefault="009539D5" w:rsidP="009539D5">
      <w:pPr>
        <w:pStyle w:val="ECHRPara"/>
        <w:rPr>
          <w:rFonts w:ascii="Times New Roman" w:hAnsi="Times New Roman"/>
          <w:noProof/>
        </w:rPr>
      </w:pPr>
      <w:r>
        <w:rPr>
          <w:rFonts w:ascii="Times New Roman" w:hAnsi="Times New Roman"/>
        </w:rPr>
        <w:lastRenderedPageBreak/>
        <w:t xml:space="preserve">8. 2010. gada 15. jūlijā pieteikuma iesniedzējam beidzās soda termiņš, un viņš lūdza </w:t>
      </w:r>
      <w:r>
        <w:rPr>
          <w:rFonts w:ascii="Times New Roman" w:hAnsi="Times New Roman"/>
          <w:i/>
          <w:iCs/>
        </w:rPr>
        <w:t>SIZO</w:t>
      </w:r>
      <w:r>
        <w:rPr>
          <w:rFonts w:ascii="Times New Roman" w:hAnsi="Times New Roman"/>
        </w:rPr>
        <w:t xml:space="preserve"> administrāciju viņu atbrīvot. Viņa lūgums tika noraidīts. Tomēr tajā pašā dienā </w:t>
      </w:r>
      <w:r>
        <w:rPr>
          <w:rFonts w:ascii="Times New Roman" w:hAnsi="Times New Roman"/>
          <w:i/>
          <w:iCs/>
        </w:rPr>
        <w:t>SIZO</w:t>
      </w:r>
      <w:r>
        <w:rPr>
          <w:rFonts w:ascii="Times New Roman" w:hAnsi="Times New Roman"/>
        </w:rPr>
        <w:t xml:space="preserve"> administrācija vērsās Bilacerkvas tiesā, lūdzot atļauju pieteikuma iesniedzēju atbrīvot, ar nosacījumu, ka viņš apņemas nebēgt, ņemot vērā to, ka viņš ir pilnībā izcietis brīvības atņemšanas sodu. Atbilde netika saņemta.</w:t>
      </w:r>
    </w:p>
    <w:p w14:paraId="628CD5FD" w14:textId="5714E78B" w:rsidR="009539D5" w:rsidRPr="009539D5" w:rsidRDefault="009539D5" w:rsidP="009539D5">
      <w:pPr>
        <w:pStyle w:val="ECHRPara"/>
        <w:rPr>
          <w:rFonts w:ascii="Times New Roman" w:hAnsi="Times New Roman"/>
          <w:noProof/>
        </w:rPr>
      </w:pPr>
      <w:r>
        <w:rPr>
          <w:rFonts w:ascii="Times New Roman" w:hAnsi="Times New Roman"/>
        </w:rPr>
        <w:t xml:space="preserve">9. 2010. gada 19. jūlijā pieteikuma iesniedzēja advokāts vēlreiz vērsās </w:t>
      </w:r>
      <w:r>
        <w:rPr>
          <w:rFonts w:ascii="Times New Roman" w:hAnsi="Times New Roman"/>
          <w:i/>
          <w:iCs/>
        </w:rPr>
        <w:t>SIZO</w:t>
      </w:r>
      <w:r>
        <w:rPr>
          <w:rFonts w:ascii="Times New Roman" w:hAnsi="Times New Roman"/>
        </w:rPr>
        <w:t xml:space="preserve"> administrācijā ar lūgumu pieteikuma iesniedzēju nekavējoties atbrīvot. Viņš īpaši norādīja, ka nav pamata viņa klientu turpināt turēt apcietinājumā. Šīs vēstules kopija tika nosūtīta arī Kijivas apgabala prokuratūrai.</w:t>
      </w:r>
    </w:p>
    <w:p w14:paraId="4FFA39A7" w14:textId="6DDDD944" w:rsidR="009539D5" w:rsidRPr="009539D5" w:rsidRDefault="009539D5" w:rsidP="009539D5">
      <w:pPr>
        <w:pStyle w:val="ECHRPara"/>
        <w:rPr>
          <w:rFonts w:ascii="Times New Roman" w:hAnsi="Times New Roman"/>
          <w:noProof/>
        </w:rPr>
      </w:pPr>
      <w:r>
        <w:rPr>
          <w:rFonts w:ascii="Times New Roman" w:hAnsi="Times New Roman"/>
        </w:rPr>
        <w:t>10. 2010. gada 27. jūlijā beidzās 2010. gada 12. jūlija sprieduma piecpadsmit dienu pārsūdzības termiņš, un, tā kā tas netika pārsūdzēts, spriedums kļuva galīgs.</w:t>
      </w:r>
    </w:p>
    <w:p w14:paraId="4D82A757" w14:textId="16CCA87B" w:rsidR="009539D5" w:rsidRPr="009539D5" w:rsidRDefault="009539D5" w:rsidP="009539D5">
      <w:pPr>
        <w:pStyle w:val="ECHRPara"/>
        <w:rPr>
          <w:rFonts w:ascii="Times New Roman" w:hAnsi="Times New Roman"/>
          <w:noProof/>
        </w:rPr>
      </w:pPr>
      <w:r>
        <w:rPr>
          <w:rFonts w:ascii="Times New Roman" w:hAnsi="Times New Roman"/>
        </w:rPr>
        <w:t xml:space="preserve">11. Tajā pašā dienā </w:t>
      </w:r>
      <w:r>
        <w:rPr>
          <w:rFonts w:ascii="Times New Roman" w:hAnsi="Times New Roman"/>
          <w:i/>
          <w:iCs/>
        </w:rPr>
        <w:t>SIZO</w:t>
      </w:r>
      <w:r>
        <w:rPr>
          <w:rFonts w:ascii="Times New Roman" w:hAnsi="Times New Roman"/>
        </w:rPr>
        <w:t xml:space="preserve"> administrācija rakstveidā vērsās pie pieteikuma iesniedzēja advokāta, paziņojot, ka tā nevar atbrīvot iesniedzēju, kamēr viņam nav mainīts drošības līdzeklis vai spriedums nav kļuvis galīgs. Vēstulē bija norādīts, ka jebkurā gadījumā Bilacerkvas tiesai ir jādod atļauja pieteikuma iesniedzēja atbrīvošanai.</w:t>
      </w:r>
    </w:p>
    <w:p w14:paraId="285A8F1F" w14:textId="44BD6426" w:rsidR="009539D5" w:rsidRPr="009539D5" w:rsidRDefault="009539D5" w:rsidP="009539D5">
      <w:pPr>
        <w:pStyle w:val="ECHRPara"/>
        <w:rPr>
          <w:rFonts w:ascii="Times New Roman" w:hAnsi="Times New Roman"/>
          <w:noProof/>
        </w:rPr>
      </w:pPr>
      <w:r>
        <w:rPr>
          <w:rFonts w:ascii="Times New Roman" w:hAnsi="Times New Roman"/>
        </w:rPr>
        <w:t xml:space="preserve">12. 2010. gada 29. jūlijā </w:t>
      </w:r>
      <w:r>
        <w:rPr>
          <w:rFonts w:ascii="Times New Roman" w:hAnsi="Times New Roman"/>
          <w:i/>
          <w:iCs/>
        </w:rPr>
        <w:t>SIZO</w:t>
      </w:r>
      <w:r>
        <w:rPr>
          <w:rFonts w:ascii="Times New Roman" w:hAnsi="Times New Roman"/>
        </w:rPr>
        <w:t xml:space="preserve"> saņēma tiesas rīkojumu par galīgā sprieduma izpildi, un pieteikuma iesniedzējs tika atbrīvots.</w:t>
      </w:r>
    </w:p>
    <w:p w14:paraId="35315BEC" w14:textId="5EDC6B87" w:rsidR="009539D5" w:rsidRDefault="009539D5" w:rsidP="009539D5">
      <w:pPr>
        <w:pStyle w:val="ECHRPara"/>
        <w:rPr>
          <w:rFonts w:ascii="Times New Roman" w:hAnsi="Times New Roman"/>
          <w:noProof/>
        </w:rPr>
      </w:pPr>
      <w:r>
        <w:rPr>
          <w:rFonts w:ascii="Times New Roman" w:hAnsi="Times New Roman"/>
        </w:rPr>
        <w:t>13. 2010. gada 5. augustā Valsts ieslodzījuma vietu pārvalde pieteikuma iesniedzēja advokātam, atbildot uz viņa sūdzībām par pieteikuma iesniedzēja novēlotu atbrīvošanu, rakstveidā norādīja, ka nav noticis Kriminālprocesa kodeksa pārkāpums.</w:t>
      </w:r>
    </w:p>
    <w:p w14:paraId="491607F6" w14:textId="77777777" w:rsidR="009539D5" w:rsidRPr="009539D5" w:rsidRDefault="009539D5" w:rsidP="009539D5">
      <w:pPr>
        <w:pStyle w:val="ECHRPara"/>
        <w:ind w:firstLine="0"/>
        <w:rPr>
          <w:rFonts w:ascii="Times New Roman" w:hAnsi="Times New Roman"/>
          <w:noProof/>
        </w:rPr>
      </w:pPr>
    </w:p>
    <w:p w14:paraId="41A04766" w14:textId="6D3C541D"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II. ATTIECĪGAJĀ LAIKĀ PIEMĒROJAMIE VALSTS TIESĪBU AKTI</w:t>
      </w:r>
    </w:p>
    <w:p w14:paraId="3E73BE04" w14:textId="77777777" w:rsidR="009539D5" w:rsidRPr="009539D5" w:rsidRDefault="009539D5" w:rsidP="009539D5">
      <w:pPr>
        <w:pStyle w:val="ECHRPara"/>
      </w:pPr>
    </w:p>
    <w:p w14:paraId="3CDFE5A7" w14:textId="794D856D"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A. Kriminālprocesa kodekss (1960)</w:t>
      </w:r>
    </w:p>
    <w:p w14:paraId="2E04AEF8" w14:textId="77777777" w:rsidR="009539D5" w:rsidRPr="009539D5" w:rsidRDefault="009539D5" w:rsidP="009539D5">
      <w:pPr>
        <w:pStyle w:val="ECHRPara"/>
      </w:pPr>
    </w:p>
    <w:p w14:paraId="747A0A16" w14:textId="0FB7E523" w:rsidR="009539D5" w:rsidRPr="009539D5" w:rsidRDefault="009539D5" w:rsidP="009539D5">
      <w:pPr>
        <w:pStyle w:val="ECHRPara"/>
        <w:rPr>
          <w:rFonts w:ascii="Times New Roman" w:hAnsi="Times New Roman"/>
          <w:noProof/>
        </w:rPr>
      </w:pPr>
      <w:r>
        <w:rPr>
          <w:rFonts w:ascii="Times New Roman" w:hAnsi="Times New Roman"/>
        </w:rPr>
        <w:t>14. 148. pantā bija noteikts drošības līdzekļu piemērošanas mērķis un pamati. Tajā jo īpaši noteikts, ka drošības līdzeklis bija jāpiemēro, ja bija pietiekams pamats uzskatīt, ka aizdomās turētais, apsūdzētais, atbildētājs vai notiesātais mēģinās aizbēgt, nepildīs procesuālos lēmumus, traucēs patiesības noskaidrošanai lietā vai veiks noziedzīgas darbības.</w:t>
      </w:r>
    </w:p>
    <w:p w14:paraId="08E1E6B5" w14:textId="3D3E36AF" w:rsidR="009539D5" w:rsidRPr="009539D5" w:rsidRDefault="009539D5" w:rsidP="009539D5">
      <w:pPr>
        <w:pStyle w:val="ECHRPara"/>
        <w:rPr>
          <w:rFonts w:ascii="Times New Roman" w:hAnsi="Times New Roman"/>
          <w:noProof/>
        </w:rPr>
      </w:pPr>
      <w:r>
        <w:rPr>
          <w:rFonts w:ascii="Times New Roman" w:hAnsi="Times New Roman"/>
        </w:rPr>
        <w:t>15. Tajā tiesvedības stadijā aizturēto varēja atbrīvot, tikai pamatojoties uz attiecīgu tiesneša vai tiesas lēmumu (165. pants). Turklāt, kā paredzēts 165. pantā, drošības līdzekli varēja atcelt vai grozīt, ja iepriekš piemēroto drošības līdzekli vairs nebija nepieciešamības turpināt piemērot.</w:t>
      </w:r>
    </w:p>
    <w:p w14:paraId="5D5C52D8" w14:textId="39AD1F08" w:rsidR="009539D5" w:rsidRPr="009539D5" w:rsidRDefault="009539D5" w:rsidP="009539D5">
      <w:pPr>
        <w:pStyle w:val="ECHRPara"/>
        <w:rPr>
          <w:rFonts w:ascii="Times New Roman" w:hAnsi="Times New Roman"/>
          <w:noProof/>
        </w:rPr>
      </w:pPr>
      <w:r>
        <w:rPr>
          <w:rFonts w:ascii="Times New Roman" w:hAnsi="Times New Roman"/>
        </w:rPr>
        <w:t xml:space="preserve">16. Lai arī pirmstiesas izmeklēšanas laikā aizturēšanas iestādes administrācijai aizturētais bija nekavējoties jāatbrīvo, ja viņam bija beidzies apcietinājuma termiņš, un līdz tam laikam nebija saņemts tiesas nolēmums par tā pagarināšanu (156. pants </w:t>
      </w:r>
      <w:r>
        <w:rPr>
          <w:rFonts w:ascii="Times New Roman" w:hAnsi="Times New Roman"/>
          <w:i/>
          <w:iCs/>
        </w:rPr>
        <w:t>in fine</w:t>
      </w:r>
      <w:r>
        <w:rPr>
          <w:rFonts w:ascii="Times New Roman" w:hAnsi="Times New Roman"/>
        </w:rPr>
        <w:t>), šāds noteikums nepastāvēja attiecībā uz aizturētā atbrīvošanas procedūru tajā tiesvedības stadijā.</w:t>
      </w:r>
    </w:p>
    <w:p w14:paraId="39E2FEF0" w14:textId="75B999A7" w:rsidR="009539D5" w:rsidRPr="009539D5" w:rsidRDefault="009539D5" w:rsidP="009539D5">
      <w:pPr>
        <w:pStyle w:val="ECHRPara"/>
        <w:rPr>
          <w:rFonts w:ascii="Times New Roman" w:hAnsi="Times New Roman"/>
          <w:noProof/>
        </w:rPr>
      </w:pPr>
      <w:r>
        <w:rPr>
          <w:rFonts w:ascii="Times New Roman" w:hAnsi="Times New Roman"/>
        </w:rPr>
        <w:t>17. 274. pants attiecās uz drošības līdzekļa piemērošanu, atcelšanu vai grozīšanu tiesvedības tiesā. Tas uzlika tiesai pienākumu vadīties pēc attiecīgajiem 13. nodaļas noteikumiem (“Drošības līdzekļi”, 148. līdz 165-3. pants).</w:t>
      </w:r>
    </w:p>
    <w:p w14:paraId="545B0831" w14:textId="3221C5D8" w:rsidR="009539D5" w:rsidRPr="009539D5" w:rsidRDefault="009539D5" w:rsidP="009539D5">
      <w:pPr>
        <w:pStyle w:val="ECHRPara"/>
        <w:rPr>
          <w:rFonts w:ascii="Times New Roman" w:hAnsi="Times New Roman"/>
          <w:noProof/>
        </w:rPr>
      </w:pPr>
      <w:r>
        <w:rPr>
          <w:rFonts w:ascii="Times New Roman" w:hAnsi="Times New Roman"/>
        </w:rPr>
        <w:t>18. 324. pantā noteikts, ka tiesai, kas pieņem spriedumu, pirmām kārtām ir jālemj par drošības līdzekli, kas jāpiemēro notiesātajam līdz spriedums kļūst galīgs.</w:t>
      </w:r>
    </w:p>
    <w:p w14:paraId="435612D2" w14:textId="765FC3FE" w:rsidR="009539D5" w:rsidRPr="009539D5" w:rsidRDefault="009539D5" w:rsidP="009539D5">
      <w:pPr>
        <w:pStyle w:val="ECHRPara"/>
        <w:rPr>
          <w:rFonts w:ascii="Times New Roman" w:hAnsi="Times New Roman"/>
          <w:noProof/>
        </w:rPr>
      </w:pPr>
      <w:r>
        <w:rPr>
          <w:rFonts w:ascii="Times New Roman" w:hAnsi="Times New Roman"/>
        </w:rPr>
        <w:t>19. 343. pants pēc būtības atkārtoti izklāsta minēto noteikumu, tālāk norādot, ka tiesa notiesātajam kā drošības līdzekli var piemērot apcietinājumu, tikai uz 13. nodaļas attiecīgajos noteikumos paredzētā pamata.</w:t>
      </w:r>
    </w:p>
    <w:p w14:paraId="581CE604" w14:textId="1CB4F779" w:rsidR="009539D5" w:rsidRPr="009539D5" w:rsidRDefault="009539D5" w:rsidP="009539D5">
      <w:pPr>
        <w:pStyle w:val="ECHRPara"/>
        <w:rPr>
          <w:rFonts w:ascii="Times New Roman" w:hAnsi="Times New Roman"/>
          <w:noProof/>
        </w:rPr>
      </w:pPr>
      <w:r>
        <w:rPr>
          <w:rFonts w:ascii="Times New Roman" w:hAnsi="Times New Roman"/>
        </w:rPr>
        <w:t>20. 358. pantā bija norādīti jautājumi, kurus apelācijas instances tiesa varēja izskatīt sagatavošanas sēdē. Tā varēja lemt par drošības līdzekļa grozīšanu, atcelšanu vai piemērošanu notiesātajam.</w:t>
      </w:r>
    </w:p>
    <w:p w14:paraId="67B11E96" w14:textId="38F2E859" w:rsidR="009539D5" w:rsidRDefault="009539D5" w:rsidP="009539D5">
      <w:pPr>
        <w:pStyle w:val="ECHRPara"/>
        <w:rPr>
          <w:rFonts w:ascii="Times New Roman" w:hAnsi="Times New Roman"/>
          <w:noProof/>
        </w:rPr>
      </w:pPr>
      <w:r>
        <w:rPr>
          <w:rFonts w:ascii="Times New Roman" w:hAnsi="Times New Roman"/>
        </w:rPr>
        <w:t xml:space="preserve">21. Saskaņā ar 401. pantu spriedums kļūst galīgs, ja tas netiek pārsūdzēts apelācijas kārtībā pirms tiesību aktos noteiktā termiņa (piecpadsmit dienu laikā no tā pasludināšanas – </w:t>
      </w:r>
      <w:r>
        <w:rPr>
          <w:rFonts w:ascii="Times New Roman" w:hAnsi="Times New Roman"/>
        </w:rPr>
        <w:lastRenderedPageBreak/>
        <w:t>349. pants). Ja ir iesniegta apelācijas sūdzība, spriedums (ja tas netiek atcelts) kļūst galīgs pēc lietas izskatīšanas apelācijas instances tiesā. Attaisnojošs spriedums vai spriedums, ar kuru ir atcelts sods, jāizpilda nekavējoties, savukārt notiesājošs spriedums jāizpilda, tam kļūstot galīgam. 404. pants paredzēja, ka tiesai, kas taisījusi spriedumu, lieta jānodod izpildei ne vēlāk kā trīs dienas pēc tam, kad spriedums kļuvis galīgs.</w:t>
      </w:r>
    </w:p>
    <w:p w14:paraId="59C86C2E" w14:textId="77777777" w:rsidR="009539D5" w:rsidRPr="009539D5" w:rsidRDefault="009539D5" w:rsidP="009539D5">
      <w:pPr>
        <w:pStyle w:val="ECHRPara"/>
        <w:rPr>
          <w:rFonts w:ascii="Times New Roman" w:hAnsi="Times New Roman"/>
          <w:noProof/>
        </w:rPr>
      </w:pPr>
    </w:p>
    <w:p w14:paraId="10EF595B" w14:textId="78EB165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Civilkodekss (2003)</w:t>
      </w:r>
    </w:p>
    <w:p w14:paraId="6DC534EA" w14:textId="77777777" w:rsidR="009539D5" w:rsidRPr="009539D5" w:rsidRDefault="009539D5" w:rsidP="009539D5">
      <w:pPr>
        <w:pStyle w:val="ECHRPara"/>
      </w:pPr>
    </w:p>
    <w:p w14:paraId="4943AB02" w14:textId="418BD418" w:rsidR="009539D5" w:rsidRDefault="009539D5" w:rsidP="0036434A">
      <w:pPr>
        <w:pStyle w:val="ECHRPara"/>
        <w:rPr>
          <w:rFonts w:ascii="Times New Roman" w:hAnsi="Times New Roman"/>
          <w:noProof/>
        </w:rPr>
      </w:pPr>
      <w:r>
        <w:rPr>
          <w:rFonts w:ascii="Times New Roman" w:hAnsi="Times New Roman"/>
        </w:rPr>
        <w:t>22. 1176. pants uzlika valstij pienākumu “pilnībā atlīdzināt personai kaitējumu, kas tai nodarīts ar prettiesisku notiesāšanu, prettiesisku saukšanu pie kriminālatbildības, prettiesisku drošības līdzekļa [vai] apcietinājuma piemērošanu .. neatkarīgi no izmeklēšanas iestāžu, pirmstiesas izmeklēšanas iestāžu, prokuratūras vai tiesu amatpersonu vainas” (pirmā daļa). Turklāt tajā norādīts, ka “tiesības uz tāda kaitējuma atlīdzināšanu, kas personai nodarīts izmeklēšanas iestāžu, pirmstiesas izmeklēšanas iestāžu, prokuratūras vai tiesas prettiesisku darbību dēļ [rodas] likumā paredzētajos gadījumos” (otrā daļa).</w:t>
      </w:r>
    </w:p>
    <w:p w14:paraId="2C546387" w14:textId="77777777" w:rsidR="009539D5" w:rsidRPr="009539D5" w:rsidRDefault="009539D5" w:rsidP="009539D5">
      <w:pPr>
        <w:pStyle w:val="ECHRPara"/>
        <w:ind w:firstLine="0"/>
        <w:rPr>
          <w:rFonts w:ascii="Times New Roman" w:hAnsi="Times New Roman"/>
          <w:noProof/>
        </w:rPr>
      </w:pPr>
    </w:p>
    <w:p w14:paraId="44045959" w14:textId="3C7AFE7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C. 1994. gada Ukrainas likums par kārtību, kādā tiek atlīdzināts kaitējums, kas pilsoņiem nodarīts ar izmeklēšanas iestāžu, pirmstiesas izmeklēšanas iestāžu, prokuratūras un tiesas prettiesiskām darbībām (Kaitējuma atlīdzināšanas likums)</w:t>
      </w:r>
    </w:p>
    <w:p w14:paraId="558125EC" w14:textId="77777777" w:rsidR="009539D5" w:rsidRPr="009539D5" w:rsidRDefault="009539D5" w:rsidP="009539D5">
      <w:pPr>
        <w:pStyle w:val="ECHRPara"/>
      </w:pPr>
    </w:p>
    <w:p w14:paraId="75E47B34" w14:textId="04F9D2A5" w:rsidR="009539D5" w:rsidRPr="009539D5" w:rsidRDefault="009539D5" w:rsidP="0036434A">
      <w:pPr>
        <w:pStyle w:val="ECHRPara"/>
        <w:rPr>
          <w:rFonts w:ascii="Times New Roman" w:hAnsi="Times New Roman"/>
          <w:noProof/>
        </w:rPr>
      </w:pPr>
      <w:r>
        <w:rPr>
          <w:rFonts w:ascii="Times New Roman" w:hAnsi="Times New Roman"/>
        </w:rPr>
        <w:t>23. Saskaņā ar 1. pantu personai bija tiesības uz tāda kaitējuma atlīdzināšanu, kas nodarīts, pirmām kārtām ar prettiesisku notiesāšanu, prettiesisku apsūdzību, prettiesisku apcietinājuma piemērošanu vai turēšanu apcietinājumā. Norādītajos gadījumos kaitējums bija jāatlīdzina neatkarīgi no tā, vai vainīgas bija izmeklēšanas iestāžu, pirmstiesas izmeklēšanas iestāžu, prokuratūras vai tiesas amatpersonas.</w:t>
      </w:r>
    </w:p>
    <w:p w14:paraId="59576BDB" w14:textId="5698B0E4" w:rsidR="009539D5" w:rsidRDefault="009539D5" w:rsidP="0036434A">
      <w:pPr>
        <w:pStyle w:val="ECHRPara"/>
        <w:rPr>
          <w:rFonts w:ascii="Times New Roman" w:hAnsi="Times New Roman"/>
          <w:noProof/>
        </w:rPr>
      </w:pPr>
      <w:r>
        <w:rPr>
          <w:rFonts w:ascii="Times New Roman" w:hAnsi="Times New Roman"/>
        </w:rPr>
        <w:t xml:space="preserve">24. 2. nodaļā minēti gadījumi, kuros radās tiesības uz atlīdzinājumu. Tie ietvēra: 1) attaisnojošu spriedumu; 1-1) tiesas lēmumu, kurā jo īpaši atzīts, ka aizturēšana bija prettiesiska, un 2) kriminālprocesa pārtraukšanu, pamatojoties uz </w:t>
      </w:r>
      <w:r>
        <w:rPr>
          <w:rFonts w:ascii="Times New Roman" w:hAnsi="Times New Roman"/>
          <w:i/>
        </w:rPr>
        <w:t>corpus delicti</w:t>
      </w:r>
      <w:r>
        <w:rPr>
          <w:rFonts w:ascii="Times New Roman" w:hAnsi="Times New Roman"/>
        </w:rPr>
        <w:t xml:space="preserve"> vai apsūdzētā vainas pierādījumu trūkumu.</w:t>
      </w:r>
    </w:p>
    <w:p w14:paraId="3AC6F2B8" w14:textId="77777777" w:rsidR="009539D5" w:rsidRPr="009539D5" w:rsidRDefault="009539D5" w:rsidP="009539D5">
      <w:pPr>
        <w:pStyle w:val="ECHRPara"/>
        <w:ind w:firstLine="0"/>
        <w:rPr>
          <w:rFonts w:ascii="Times New Roman" w:hAnsi="Times New Roman"/>
          <w:noProof/>
        </w:rPr>
      </w:pPr>
    </w:p>
    <w:p w14:paraId="09D1950B" w14:textId="7D5A5927"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JURIDISKAIS PAMATOJUMS</w:t>
      </w:r>
    </w:p>
    <w:p w14:paraId="0E1B24FB" w14:textId="77777777" w:rsidR="009539D5" w:rsidRPr="009539D5" w:rsidRDefault="009539D5" w:rsidP="009539D5">
      <w:pPr>
        <w:pStyle w:val="ECHRPara"/>
      </w:pPr>
    </w:p>
    <w:p w14:paraId="484F6A5D" w14:textId="426675BE"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 KONVENCIJAS 5. PANTA 1. PUNKTA IESPĒJAMAIS PĀRKĀPUMS</w:t>
      </w:r>
    </w:p>
    <w:p w14:paraId="6FBFDB94" w14:textId="77777777" w:rsidR="009539D5" w:rsidRPr="009539D5" w:rsidRDefault="009539D5" w:rsidP="009539D5">
      <w:pPr>
        <w:pStyle w:val="ECHRPara"/>
      </w:pPr>
    </w:p>
    <w:p w14:paraId="29B04170" w14:textId="2E57A9A3" w:rsidR="009539D5" w:rsidRDefault="009539D5" w:rsidP="0036434A">
      <w:pPr>
        <w:pStyle w:val="ECHRPara"/>
        <w:rPr>
          <w:rFonts w:ascii="Times New Roman" w:hAnsi="Times New Roman"/>
          <w:noProof/>
        </w:rPr>
      </w:pPr>
      <w:r>
        <w:rPr>
          <w:rFonts w:ascii="Times New Roman" w:hAnsi="Times New Roman"/>
        </w:rPr>
        <w:t>25. Pieteikuma iesniedzējs sūdzējās, ka viņa aizturēšana no 2010. gada 15. līdz 29. jūlijam bija prettiesiska. Viņš to pamatoja ar Konvencijas 5. panta 1. punktu, kura attiecīgajā daļā noteikts:</w:t>
      </w:r>
    </w:p>
    <w:p w14:paraId="7413A934" w14:textId="77777777" w:rsidR="009539D5" w:rsidRPr="009539D5" w:rsidRDefault="009539D5" w:rsidP="009539D5">
      <w:pPr>
        <w:pStyle w:val="ECHRPara"/>
        <w:ind w:firstLine="0"/>
        <w:rPr>
          <w:rFonts w:ascii="Times New Roman" w:hAnsi="Times New Roman"/>
          <w:noProof/>
        </w:rPr>
      </w:pPr>
    </w:p>
    <w:p w14:paraId="69CB1C62" w14:textId="52EE335C"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“1. Ikvienam ir tiesības uz brīvību un personas neaizskaramību. Nevienam nedrīkst atņemt brīvību, izņemot sekojošos gadījumos un saskaņā ar likumā noteikto kārtību:</w:t>
      </w:r>
    </w:p>
    <w:p w14:paraId="300CCC5F" w14:textId="6E3B7728"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a) ja persona tiek tiesiski aizturēta uz kompetentas tiesas sprieduma pamata;</w:t>
      </w:r>
    </w:p>
    <w:p w14:paraId="76091A25" w14:textId="77777777"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w:t>
      </w:r>
    </w:p>
    <w:p w14:paraId="563D0223" w14:textId="7B4101CD"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14:paraId="7D87ECED" w14:textId="00985B5F" w:rsid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w:t>
      </w:r>
    </w:p>
    <w:p w14:paraId="6FF5FD1D" w14:textId="77777777" w:rsidR="009539D5" w:rsidRPr="009539D5" w:rsidRDefault="009539D5" w:rsidP="009539D5">
      <w:pPr>
        <w:pStyle w:val="ECHRParaQuote"/>
        <w:spacing w:before="0" w:after="0"/>
        <w:ind w:left="284" w:firstLine="0"/>
        <w:rPr>
          <w:rFonts w:ascii="Times New Roman" w:hAnsi="Times New Roman"/>
          <w:noProof/>
          <w:sz w:val="24"/>
        </w:rPr>
      </w:pPr>
    </w:p>
    <w:p w14:paraId="629935BC" w14:textId="4AFC24D1" w:rsidR="009539D5" w:rsidRDefault="009539D5" w:rsidP="008F1BFB">
      <w:pPr>
        <w:pStyle w:val="ECHRHeading2"/>
        <w:spacing w:before="0" w:after="0"/>
        <w:ind w:left="0" w:firstLine="0"/>
        <w:outlineLvl w:val="9"/>
        <w:rPr>
          <w:rFonts w:ascii="Times New Roman" w:hAnsi="Times New Roman"/>
          <w:noProof/>
        </w:rPr>
      </w:pPr>
      <w:r>
        <w:rPr>
          <w:rFonts w:ascii="Times New Roman" w:hAnsi="Times New Roman"/>
        </w:rPr>
        <w:lastRenderedPageBreak/>
        <w:t>A. Pieņemamība</w:t>
      </w:r>
    </w:p>
    <w:p w14:paraId="461D3EDE" w14:textId="77777777" w:rsidR="009539D5" w:rsidRPr="009539D5" w:rsidRDefault="009539D5" w:rsidP="008F1BFB">
      <w:pPr>
        <w:pStyle w:val="ECHRPara"/>
        <w:keepNext/>
        <w:keepLines/>
      </w:pPr>
    </w:p>
    <w:p w14:paraId="2AAF4E08" w14:textId="6B01956D" w:rsidR="009539D5" w:rsidRDefault="009539D5" w:rsidP="008F1BFB">
      <w:pPr>
        <w:pStyle w:val="ECHRHeading3"/>
        <w:spacing w:before="0" w:after="0"/>
        <w:ind w:left="0" w:firstLine="0"/>
        <w:outlineLvl w:val="9"/>
        <w:rPr>
          <w:rFonts w:ascii="Times New Roman" w:hAnsi="Times New Roman"/>
          <w:noProof/>
        </w:rPr>
      </w:pPr>
      <w:r>
        <w:rPr>
          <w:rFonts w:ascii="Times New Roman" w:hAnsi="Times New Roman"/>
        </w:rPr>
        <w:t>1. Visu valsts tiesiskās aizsardzības līdzekļu izmantošana</w:t>
      </w:r>
    </w:p>
    <w:p w14:paraId="36CE5B14" w14:textId="77777777" w:rsidR="009539D5" w:rsidRPr="009539D5" w:rsidRDefault="009539D5" w:rsidP="009539D5">
      <w:pPr>
        <w:pStyle w:val="ECHRPara"/>
      </w:pPr>
    </w:p>
    <w:p w14:paraId="22514F7E" w14:textId="2588D812"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a) Pušu argumenti</w:t>
      </w:r>
    </w:p>
    <w:p w14:paraId="0DD60129" w14:textId="77777777" w:rsidR="009539D5" w:rsidRPr="009539D5" w:rsidRDefault="009539D5" w:rsidP="009539D5">
      <w:pPr>
        <w:pStyle w:val="ECHRPara"/>
      </w:pPr>
    </w:p>
    <w:p w14:paraId="24634C4C" w14:textId="510CFCB0" w:rsidR="009539D5" w:rsidRPr="009539D5" w:rsidRDefault="009539D5" w:rsidP="009539D5">
      <w:pPr>
        <w:pStyle w:val="ECHRPara"/>
        <w:rPr>
          <w:rFonts w:ascii="Times New Roman" w:hAnsi="Times New Roman"/>
          <w:noProof/>
        </w:rPr>
      </w:pPr>
      <w:r>
        <w:rPr>
          <w:rFonts w:ascii="Times New Roman" w:hAnsi="Times New Roman"/>
        </w:rPr>
        <w:t>26. Valdība iebilda, ka pieteikuma iesniedzējs nebija ievērojis noteikumu par visu valsts tiesiskās aizsardzības līdzekļu izmantošanu. Tā atzina, ka viņa aizturēšana no 2010. gada 15. jūlija līdz 29. jūlijam patiešām bija nepamatota. Pamatojoties uz Civilkodeksa 1176. pantu (skat. 22. punktu iepriekš), tā apgalvoja, ka pieteikuma iesniedzējam bija tiesības lūgt atlīdzināt kaitējumu, bet viņš nav izmantojis šo tiesiskās aizsardzības līdzekli.</w:t>
      </w:r>
    </w:p>
    <w:p w14:paraId="1072C9F1" w14:textId="25B66CAC" w:rsidR="009539D5" w:rsidRDefault="009539D5" w:rsidP="009539D5">
      <w:pPr>
        <w:pStyle w:val="ECHRPara"/>
        <w:rPr>
          <w:rFonts w:ascii="Times New Roman" w:hAnsi="Times New Roman"/>
          <w:noProof/>
        </w:rPr>
      </w:pPr>
      <w:r>
        <w:rPr>
          <w:rFonts w:ascii="Times New Roman" w:hAnsi="Times New Roman"/>
        </w:rPr>
        <w:t xml:space="preserve">27. Pieteikuma iesniedzējs tam nepiekrita. Viņš norādīja: lai tiesiskās aizsardzības līdzeklis būtu efektīvs viņa gadījumā, tam bija jānodrošina viņa atbrīvošana uzreiz pēc brīvības atņemšanas soda termiņa beigām. Viņš </w:t>
      </w:r>
      <w:r>
        <w:rPr>
          <w:rFonts w:ascii="Times New Roman" w:hAnsi="Times New Roman"/>
          <w:i/>
          <w:iCs/>
        </w:rPr>
        <w:t>SIZO</w:t>
      </w:r>
      <w:r>
        <w:rPr>
          <w:rFonts w:ascii="Times New Roman" w:hAnsi="Times New Roman"/>
        </w:rPr>
        <w:t xml:space="preserve"> administrācijai un kriminālvajāšanas iestādēm bija iesniedzis pieteikumu par atbrīvošanu. Tomēr </w:t>
      </w:r>
      <w:r>
        <w:rPr>
          <w:rFonts w:ascii="Times New Roman" w:hAnsi="Times New Roman"/>
          <w:i/>
          <w:iCs/>
        </w:rPr>
        <w:t>SIZO</w:t>
      </w:r>
      <w:r>
        <w:rPr>
          <w:rFonts w:ascii="Times New Roman" w:hAnsi="Times New Roman"/>
        </w:rPr>
        <w:t xml:space="preserve"> administrācija uzskatīja, ka viņu nevar atbrīvot līdz spriedums kļūst galīgs. Savukārt prokuratūra vispār neuzskatīja par nepieciešamu iesaistīties.</w:t>
      </w:r>
    </w:p>
    <w:p w14:paraId="6273C41F" w14:textId="77777777" w:rsidR="009539D5" w:rsidRPr="009539D5" w:rsidRDefault="009539D5" w:rsidP="009539D5">
      <w:pPr>
        <w:pStyle w:val="ECHRPara"/>
        <w:rPr>
          <w:rFonts w:ascii="Times New Roman" w:hAnsi="Times New Roman"/>
          <w:noProof/>
        </w:rPr>
      </w:pPr>
    </w:p>
    <w:p w14:paraId="1EB9DD39" w14:textId="0E37B79A"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b) Tiesas vērtējums</w:t>
      </w:r>
    </w:p>
    <w:p w14:paraId="0A8B365C" w14:textId="77777777" w:rsidR="009539D5" w:rsidRPr="009539D5" w:rsidRDefault="009539D5" w:rsidP="009539D5">
      <w:pPr>
        <w:pStyle w:val="ECHRPara"/>
      </w:pPr>
    </w:p>
    <w:p w14:paraId="5B688FCC" w14:textId="19B12FBB"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 Vispārējie tiesu prakses principi</w:t>
      </w:r>
    </w:p>
    <w:p w14:paraId="3D80D746" w14:textId="77777777" w:rsidR="009539D5" w:rsidRPr="009539D5" w:rsidRDefault="009539D5" w:rsidP="009539D5">
      <w:pPr>
        <w:pStyle w:val="ECHRPara"/>
      </w:pPr>
    </w:p>
    <w:p w14:paraId="556178DF" w14:textId="323B0D43" w:rsidR="009539D5" w:rsidRPr="009539D5" w:rsidRDefault="009539D5" w:rsidP="009539D5">
      <w:pPr>
        <w:pStyle w:val="ECHRPara"/>
        <w:rPr>
          <w:rFonts w:ascii="Times New Roman" w:hAnsi="Times New Roman"/>
          <w:noProof/>
        </w:rPr>
      </w:pPr>
      <w:r>
        <w:rPr>
          <w:rFonts w:ascii="Times New Roman" w:hAnsi="Times New Roman"/>
        </w:rPr>
        <w:t>28. Tiesa norāda, ka visu valsts līmeņa tiesiskās aizsardzības līdzekļu izmantošanas noteikums ir balstīts uz pieņēmumu, kas atspoguļots Konvencijas 13. pantā, ar kuru tas ir cieši saistīts, ka valsts tiesību sistēmai ir jānodrošina efektīvs tiesiskās aizsardzības līdzeklis, kas ļauj pēc būtības izskatīt saistībā ar Konvenciju iesniegtu pierādāmu sūdzību un to atbilstīgi apmierināt. Tādējādi tas ir būtisks tāda principa aspekts, ka Konvencijā noteiktais aizsardzības mehānisms ir pakārtots valsts sistēmām, ar ko aizsargā cilvēktiesības (skat. 2012. gada 10. janvāra sprieduma lietā Nr. 42525/07 un Nr. 60800/08 “Anaņjevs [</w:t>
      </w:r>
      <w:r>
        <w:rPr>
          <w:rFonts w:ascii="Times New Roman" w:hAnsi="Times New Roman"/>
          <w:i/>
          <w:iCs/>
        </w:rPr>
        <w:t>Ananyev</w:t>
      </w:r>
      <w:r>
        <w:rPr>
          <w:rFonts w:ascii="Times New Roman" w:hAnsi="Times New Roman"/>
        </w:rPr>
        <w:t xml:space="preserve">] un citi pret Krieviju” </w:t>
      </w:r>
      <w:r>
        <w:rPr>
          <w:rFonts w:ascii="Times New Roman" w:hAnsi="Times New Roman"/>
          <w:snapToGrid w:val="0"/>
        </w:rPr>
        <w:t>93. punktu</w:t>
      </w:r>
      <w:r>
        <w:rPr>
          <w:rFonts w:ascii="Times New Roman" w:hAnsi="Times New Roman"/>
        </w:rPr>
        <w:t xml:space="preserve"> ar turpmākajām atsaucēm).</w:t>
      </w:r>
    </w:p>
    <w:p w14:paraId="1766F535" w14:textId="5BCD489C" w:rsidR="009539D5" w:rsidRPr="009539D5" w:rsidRDefault="009539D5" w:rsidP="009539D5">
      <w:pPr>
        <w:pStyle w:val="ECHRPara"/>
        <w:rPr>
          <w:rFonts w:ascii="Times New Roman" w:hAnsi="Times New Roman"/>
          <w:noProof/>
        </w:rPr>
      </w:pPr>
      <w:r>
        <w:rPr>
          <w:rFonts w:ascii="Times New Roman" w:hAnsi="Times New Roman"/>
        </w:rPr>
        <w:t>29. Parasti pieteikuma iesniedzējam ir jāizmanto tikai tādi valsts tiesiskās aizsardzības līdzekļi, kas ir pieejami un ir pietiekami, lai atlīdzinātu par iespējami pieļautajiem pārkāpumiem. Šiem tiesiskās aizsardzības līdzekļiem jāpastāv ne tikai teorētiski, bet arī praktiski, jo pretējā gadījumā tiem nebūs vajadzīgās pieejamības un efektivitātes. Valdībai, kas apgalvo, ka visi tiesiskās aizsardzības līdzekļi nav pilnībā izmantoti, ir jāpārliecina Tiesa saistībā ar šiem jautājumiem, proti, ka tiesiskās aizsardzības līdzeklis, uz kuru tā atsaucas, bija pieejams un spēja nodrošināt atlīdzināšanu saistībā ar pieteikuma iesniedzēja sūdzībām, un deva saprātīgas izredzes uz veiksmīgu iznākumu. Tomēr, tiklīdz ir gūta pārliecība saistībā ar šo pierādīšanas pienākumu, pieteikuma iesniedzējiem ir jāpierāda, ka valdības piedāvātais tiesiskās aizsardzības līdzeklis patiešām tika izmantots vai kāda iemesla dēļ viņa gadījumā bija neatbilstošs un neefektīvs, vai pastāvēja īpaši apstākļi, kas atbrīvo viņu no prasības to izmantot (skat. 2006. gada 28. marta sprieduma lietā Nr. 72286/01 “Meļņiks [</w:t>
      </w:r>
      <w:r>
        <w:rPr>
          <w:rFonts w:ascii="Times New Roman" w:hAnsi="Times New Roman"/>
          <w:i/>
          <w:iCs/>
        </w:rPr>
        <w:t>Melnik</w:t>
      </w:r>
      <w:r>
        <w:rPr>
          <w:rFonts w:ascii="Times New Roman" w:hAnsi="Times New Roman"/>
        </w:rPr>
        <w:t>] pret Ukrainu” 67. punktu).</w:t>
      </w:r>
    </w:p>
    <w:p w14:paraId="63D99ED6" w14:textId="2DF64B05" w:rsidR="009539D5" w:rsidRDefault="009539D5" w:rsidP="009539D5">
      <w:pPr>
        <w:pStyle w:val="ECHRPara"/>
        <w:rPr>
          <w:rFonts w:ascii="Times New Roman" w:hAnsi="Times New Roman"/>
          <w:noProof/>
        </w:rPr>
      </w:pPr>
      <w:r>
        <w:rPr>
          <w:rFonts w:ascii="Times New Roman" w:hAnsi="Times New Roman"/>
        </w:rPr>
        <w:t xml:space="preserve">30. Tiesa turklāt norāda, ka gadījumā, ja runa ir par 5. panta 1. punkta pārkāpumu, Konvencijas 5. panta 4. un 5. punkts ir </w:t>
      </w:r>
      <w:r>
        <w:rPr>
          <w:rFonts w:ascii="Times New Roman" w:hAnsi="Times New Roman"/>
          <w:i/>
        </w:rPr>
        <w:t>lex specialis</w:t>
      </w:r>
      <w:r>
        <w:rPr>
          <w:rFonts w:ascii="Times New Roman" w:hAnsi="Times New Roman"/>
        </w:rPr>
        <w:t xml:space="preserve"> attiecībā uz vispārīgākām 13. panta prasībām (skat. 2006. gada 9. maija spriedumu lietā “Dimitrovs [</w:t>
      </w:r>
      <w:r>
        <w:rPr>
          <w:rFonts w:ascii="Times New Roman" w:hAnsi="Times New Roman"/>
          <w:i/>
          <w:iCs/>
        </w:rPr>
        <w:t>Dimitrov</w:t>
      </w:r>
      <w:r>
        <w:rPr>
          <w:rFonts w:ascii="Times New Roman" w:hAnsi="Times New Roman"/>
        </w:rPr>
        <w:t>] pret Bulgāriju” (lēmums) Nr. 55861/00). Attiecīgi, lai izlemtu, vai pieteikuma iesniedzējam bija jāizmanto konkrēts valsts līmeņa tiesiskās aizsardzības līdzeklis saistībā ar viņa sūdzību saskaņā ar Konvencijas 5. panta 1. punktu, Tiesai ir jāizvērtē šā tiesiskās aizsardzības līdzekļa efektivitāte no iepriekšminēto noteikumu aspekta.</w:t>
      </w:r>
    </w:p>
    <w:p w14:paraId="5CA8D2E2" w14:textId="77777777" w:rsidR="009539D5" w:rsidRPr="009539D5" w:rsidRDefault="009539D5" w:rsidP="009539D5">
      <w:pPr>
        <w:pStyle w:val="ECHRPara"/>
        <w:rPr>
          <w:rFonts w:ascii="Times New Roman" w:hAnsi="Times New Roman"/>
          <w:noProof/>
        </w:rPr>
      </w:pPr>
    </w:p>
    <w:p w14:paraId="2EAF5481" w14:textId="53AF20A9"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ii) Preventīva tiesiskās aizsardzības līdzekļa esība atbilstoši 5. panta 4. punktam</w:t>
      </w:r>
    </w:p>
    <w:p w14:paraId="0084D734" w14:textId="77777777" w:rsidR="009539D5" w:rsidRPr="009539D5" w:rsidRDefault="009539D5" w:rsidP="009539D5">
      <w:pPr>
        <w:pStyle w:val="ECHRPara"/>
      </w:pPr>
    </w:p>
    <w:p w14:paraId="1749ADC3" w14:textId="68D3416E" w:rsidR="009539D5" w:rsidRPr="009539D5" w:rsidRDefault="009539D5" w:rsidP="009539D5">
      <w:pPr>
        <w:pStyle w:val="ECHRPara"/>
        <w:rPr>
          <w:rFonts w:ascii="Times New Roman" w:hAnsi="Times New Roman"/>
          <w:noProof/>
        </w:rPr>
      </w:pPr>
      <w:r>
        <w:rPr>
          <w:rFonts w:ascii="Times New Roman" w:hAnsi="Times New Roman"/>
        </w:rPr>
        <w:t>31. Tiesa norāda, ka no dienas, kad tiek izlemts par apsūdzību, pat ja tikai pirmās instances tiesā, atbildētājs tiek turēts apcietinājumā “uz kompetentas tiesas sprieduma pamata” 5. panta 1. punkta a) apakšpunkta izpratnē (skat. 46.–51. punktu zemāk, lai sīkāk iepazītos ar attiecīgajiem Tiesas judikatūrā noteiktajiem principiem).</w:t>
      </w:r>
    </w:p>
    <w:p w14:paraId="009BBD9A" w14:textId="2B159C55" w:rsidR="009539D5" w:rsidRPr="009539D5" w:rsidRDefault="009539D5" w:rsidP="009539D5">
      <w:pPr>
        <w:pStyle w:val="ECHRPara"/>
        <w:rPr>
          <w:rFonts w:ascii="Times New Roman" w:hAnsi="Times New Roman"/>
          <w:noProof/>
        </w:rPr>
      </w:pPr>
      <w:r>
        <w:rPr>
          <w:rFonts w:ascii="Times New Roman" w:hAnsi="Times New Roman"/>
        </w:rPr>
        <w:t>32. Tiesa savā judikatūrā atzina, ka šādos apstākļos 5. panta 4. punktā noteiktā tiesas uzraudzība pār brīvības atņemšanu tiek uzskatīta par jau ietvertu sākotnējā notiesāšanā un sodā. Tomēr ikreiz, kad rodas jauni jautājumi, kas ietekmē šādas turēšanas apcietinājumā likumību, tiek atkārtoti ņemts vērā 5. panta 4. punkts (skat. 2005. gada 24. marta sprieduma lietā Nr. 9808/02 “Stoičkovs [</w:t>
      </w:r>
      <w:r>
        <w:rPr>
          <w:rFonts w:ascii="Times New Roman" w:hAnsi="Times New Roman"/>
          <w:i/>
          <w:iCs/>
        </w:rPr>
        <w:t>Stoichkov</w:t>
      </w:r>
      <w:r>
        <w:rPr>
          <w:rFonts w:ascii="Times New Roman" w:hAnsi="Times New Roman"/>
        </w:rPr>
        <w:t>] pret Bulgāriju” 64.–65. punktu ar turpmākajām atsaucēm kā piemēru no jaunākas judikatūras).</w:t>
      </w:r>
    </w:p>
    <w:p w14:paraId="71C5736A" w14:textId="56299E2F" w:rsidR="009539D5" w:rsidRPr="009539D5" w:rsidRDefault="009539D5" w:rsidP="009539D5">
      <w:pPr>
        <w:pStyle w:val="ECHRPara"/>
        <w:rPr>
          <w:rFonts w:ascii="Times New Roman" w:hAnsi="Times New Roman"/>
          <w:noProof/>
        </w:rPr>
      </w:pPr>
      <w:r>
        <w:rPr>
          <w:rFonts w:ascii="Times New Roman" w:hAnsi="Times New Roman"/>
        </w:rPr>
        <w:t>33. Tiesa ir gatava pieņemt, ka šajā gadījumā pieteikuma iesniedzējam radās jauns jautājums par viņa turēšanas apcietinājumā likumību pēc tam, kad viņam bija beidzies brīvības atņemšanas soda termiņš, bet viņš netika atbrīvots. Tajā stadijā viņam nebija iespējas uzsākt tiesvedību, kurā ātri tiktu izlemts par viņa turpmākās turēšanas apcietinājumā likumību un tiktu izdots rīkojums par viņa atbrīvošanu. Tādējādi lieta vairs netika izskatīta pirmās instances tiesā. Kas attiecas uz parastu apelācijas sūdzību, tās izskatīšana, visticamāk, būtu ilgāka nekā turēšana apcietinājumā, par kuru pieteikuma iesniedzējs sūdzējās (divpadsmit dienas). Turklāt pastāv iespēja, ka, iesniedzot apelācijas sūdzību, viņam kā drošības līdzeklis būtu bijis jāpagarina turēšanas apcietinājumā termiņš, līdz spriedums kļūst galīgs. Tomēr tiesa šo jautājumu analizēs sīkāk.</w:t>
      </w:r>
    </w:p>
    <w:p w14:paraId="3EE9ABBC" w14:textId="3CCB1107" w:rsidR="009539D5" w:rsidRPr="009539D5" w:rsidRDefault="009539D5" w:rsidP="009539D5">
      <w:pPr>
        <w:pStyle w:val="ECHRPara"/>
        <w:rPr>
          <w:rFonts w:ascii="Times New Roman" w:hAnsi="Times New Roman"/>
          <w:noProof/>
        </w:rPr>
      </w:pPr>
      <w:r>
        <w:rPr>
          <w:rFonts w:ascii="Times New Roman" w:hAnsi="Times New Roman"/>
        </w:rPr>
        <w:t xml:space="preserve">34. Kas attiecas uz pieteikuma iesniedzēja pieteikumiem </w:t>
      </w:r>
      <w:r>
        <w:rPr>
          <w:rFonts w:ascii="Times New Roman" w:hAnsi="Times New Roman"/>
          <w:i/>
          <w:iCs/>
        </w:rPr>
        <w:t>SIZO</w:t>
      </w:r>
      <w:r>
        <w:rPr>
          <w:rFonts w:ascii="Times New Roman" w:hAnsi="Times New Roman"/>
        </w:rPr>
        <w:t xml:space="preserve"> administrācijai un kriminālvajāšanas iestādēm, šīs iestādes nebija “tiesa” Konvencijas 5. panta 4. punkta izpratnē.</w:t>
      </w:r>
    </w:p>
    <w:p w14:paraId="256E24D7" w14:textId="5FE27B17" w:rsidR="009539D5" w:rsidRDefault="009539D5" w:rsidP="009539D5">
      <w:pPr>
        <w:pStyle w:val="ECHRPara"/>
        <w:rPr>
          <w:rFonts w:ascii="Times New Roman" w:hAnsi="Times New Roman"/>
          <w:noProof/>
        </w:rPr>
      </w:pPr>
      <w:r>
        <w:rPr>
          <w:rFonts w:ascii="Times New Roman" w:hAnsi="Times New Roman"/>
        </w:rPr>
        <w:t>35. No tā izriet, ka pieteikuma iesniedzējam nebija efektīvu valsts līmeņa tiesiskās aizsardzības līdzekļu, ko varēja izmantot, lai izbeigtu iespējamo 5. panta 1. punkta pārkāpumu.</w:t>
      </w:r>
    </w:p>
    <w:p w14:paraId="0E991DD1" w14:textId="77777777" w:rsidR="009539D5" w:rsidRPr="009539D5" w:rsidRDefault="009539D5" w:rsidP="009539D5">
      <w:pPr>
        <w:pStyle w:val="ECHRPara"/>
        <w:rPr>
          <w:rFonts w:ascii="Times New Roman" w:hAnsi="Times New Roman"/>
          <w:noProof/>
        </w:rPr>
      </w:pPr>
    </w:p>
    <w:p w14:paraId="0D8801E8" w14:textId="23198317"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iii) Kompensējoša tiesiskās aizsardzības līdzekļa esība saskaņā ar 5. panta 5. punktu</w:t>
      </w:r>
    </w:p>
    <w:p w14:paraId="24C6CA9F" w14:textId="77777777" w:rsidR="009539D5" w:rsidRPr="009539D5" w:rsidRDefault="009539D5" w:rsidP="009539D5">
      <w:pPr>
        <w:pStyle w:val="ECHRPara"/>
      </w:pPr>
    </w:p>
    <w:p w14:paraId="35BDE4CB" w14:textId="6871DF5B" w:rsidR="009539D5" w:rsidRPr="009539D5" w:rsidRDefault="009539D5" w:rsidP="009539D5">
      <w:pPr>
        <w:pStyle w:val="ECHRPara"/>
        <w:rPr>
          <w:rFonts w:ascii="Times New Roman" w:hAnsi="Times New Roman"/>
          <w:noProof/>
        </w:rPr>
      </w:pPr>
      <w:r>
        <w:rPr>
          <w:rFonts w:ascii="Times New Roman" w:hAnsi="Times New Roman"/>
        </w:rPr>
        <w:t>36. Tiesa atkārtoti norāda, ka Konvencijas 5. panta 5. punkts tiek ievērots, ja ir iespējams pieprasīt atlīdzinājumu par brīvības atņemšanu, kas notikusi, pārkāpjot 5. panta 1.–4. punktā norādīto, ja šo brīvības atņemšanu ir konstatējusi valsts iestāde vai Tiesa. 5. panta 5. punktā garantēto tiesību uz atlīdzinājumu efektīva izmantošana ir jānodrošina ar pietiekamu noteiktības pakāpi (skat. 2008. gada 16. oktobra sprieduma lietā Nr. 16159/03 “Lobanovs [</w:t>
      </w:r>
      <w:r>
        <w:rPr>
          <w:rFonts w:ascii="Times New Roman" w:hAnsi="Times New Roman"/>
          <w:i/>
          <w:iCs/>
        </w:rPr>
        <w:t>Lobanov</w:t>
      </w:r>
      <w:r>
        <w:rPr>
          <w:rFonts w:ascii="Times New Roman" w:hAnsi="Times New Roman"/>
        </w:rPr>
        <w:t>] pret Krieviju”54. punktu ar turpmākajām atsaucēm).</w:t>
      </w:r>
    </w:p>
    <w:p w14:paraId="50FF0C79" w14:textId="1A288781" w:rsidR="009539D5" w:rsidRPr="009539D5" w:rsidRDefault="009539D5" w:rsidP="009539D5">
      <w:pPr>
        <w:pStyle w:val="ECHRPara"/>
        <w:rPr>
          <w:rFonts w:ascii="Times New Roman" w:hAnsi="Times New Roman"/>
          <w:noProof/>
        </w:rPr>
      </w:pPr>
      <w:r>
        <w:rPr>
          <w:rFonts w:ascii="Times New Roman" w:hAnsi="Times New Roman"/>
        </w:rPr>
        <w:t>37. Tiesa atzīmē, ka šajā lietā valdība aprobežojās ar savu iebildumu apgalvojumam, ka iesniedzēja aizturēšana ir bijusi nepamatota un ka viņš var prasīt zaudējumu atlīdzināšanu saskaņā ar Civilkodeksa 1176. pantu. Tomēr tiesa norāda, ka šis noteikums ir formulēts diezgan vispārīgi: tas nenosaka juridiskus priekšnoteikumus atlīdzinājuma pieprasīšanai, kā arī neparedz īpašus mehānismus vai kārtību. Tā vietā 1176. pants ietver atsauci uz atsevišķu likumu, kas regulē šos jautājumus. Šķiet, ka jāpiemēro īpašais likums par kaitējuma atlīdzināšanu (skat. 23.–24. punktu iepriekš). Valdība savos apsvērumos neminēja šo likumu. Tā arī nenorādīja, kura valsts tiesību aktu norma ar pieteikuma iesniedzēja turēšanu apcietinājumā faktiski pārkāpta. Valdība nav arī norādījusi uz atbilstošu valsts tiesu praksi šajā sakarā. Līdz ar to nav skaidrs, uz kāda pamata un ar kādiem mehānismiem pieteikuma iesniedzējs varēja panākt, lai valsts līmeņa tiesa atzītu, ka viņa aizturēšana ir bijusi nelikumīga, un varēja prasīt kaitējuma atlīdzināšanu šajā sakarā.</w:t>
      </w:r>
    </w:p>
    <w:p w14:paraId="638E57CB" w14:textId="7957F140" w:rsidR="009539D5" w:rsidRDefault="009539D5" w:rsidP="007158B6">
      <w:pPr>
        <w:pStyle w:val="ECHRPara"/>
        <w:ind w:firstLine="142"/>
        <w:rPr>
          <w:rFonts w:ascii="Times New Roman" w:hAnsi="Times New Roman"/>
          <w:noProof/>
        </w:rPr>
      </w:pPr>
      <w:r>
        <w:rPr>
          <w:rFonts w:ascii="Times New Roman" w:hAnsi="Times New Roman"/>
        </w:rPr>
        <w:t>38. Šādos apstākļos Tiesu nepārliecina valdības arguments, ka viņu ierosinātais tiesiskās aizsardzības līdzeklis bija efektīvs un iesniedzējam tas bija jāizmanto.</w:t>
      </w:r>
    </w:p>
    <w:p w14:paraId="3DCF2CFF" w14:textId="77777777" w:rsidR="009539D5" w:rsidRPr="009539D5" w:rsidRDefault="009539D5" w:rsidP="009539D5">
      <w:pPr>
        <w:pStyle w:val="ECHRPara"/>
        <w:ind w:firstLine="0"/>
        <w:rPr>
          <w:rFonts w:ascii="Times New Roman" w:hAnsi="Times New Roman"/>
          <w:noProof/>
        </w:rPr>
      </w:pPr>
    </w:p>
    <w:p w14:paraId="66CAFEC7" w14:textId="4FFDF925"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iv) Secinājums</w:t>
      </w:r>
    </w:p>
    <w:p w14:paraId="5D4BD75B" w14:textId="77777777" w:rsidR="009539D5" w:rsidRPr="009539D5" w:rsidRDefault="009539D5" w:rsidP="009539D5">
      <w:pPr>
        <w:pStyle w:val="ECHRPara"/>
      </w:pPr>
    </w:p>
    <w:p w14:paraId="149D180C" w14:textId="4191B2DF" w:rsidR="009539D5" w:rsidRDefault="009539D5" w:rsidP="009539D5">
      <w:pPr>
        <w:pStyle w:val="ECHRPara"/>
        <w:rPr>
          <w:rFonts w:ascii="Times New Roman" w:hAnsi="Times New Roman"/>
          <w:noProof/>
        </w:rPr>
      </w:pPr>
      <w:r>
        <w:rPr>
          <w:rFonts w:ascii="Times New Roman" w:hAnsi="Times New Roman"/>
        </w:rPr>
        <w:t>39. Ņemot vērā iepriekš minētos apsvērumus, Tiesa secina, ka pieteikuma iesniedzēja rīcībā nebija neviena efektīva valsts līmeņa tiesiskās aizsardzības līdzekļa, ko izmantot attiecībā uz viņa sūdzību saskaņā ar Konvencijas 5. panta 1. punktu. Tādēļ Tiesa noraida valdības iebildumu šajā sakarā.</w:t>
      </w:r>
    </w:p>
    <w:p w14:paraId="0D87F5AC" w14:textId="77777777" w:rsidR="009539D5" w:rsidRPr="009539D5" w:rsidRDefault="009539D5" w:rsidP="009539D5">
      <w:pPr>
        <w:pStyle w:val="ECHRPara"/>
        <w:ind w:firstLine="0"/>
        <w:rPr>
          <w:rFonts w:ascii="Times New Roman" w:hAnsi="Times New Roman"/>
          <w:noProof/>
        </w:rPr>
      </w:pPr>
    </w:p>
    <w:p w14:paraId="69B05295" w14:textId="33E88719"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2. Citi apsvērumi par pieņemamību</w:t>
      </w:r>
    </w:p>
    <w:p w14:paraId="7A93AC16" w14:textId="77777777" w:rsidR="009539D5" w:rsidRPr="009539D5" w:rsidRDefault="009539D5" w:rsidP="009539D5">
      <w:pPr>
        <w:pStyle w:val="ECHRPara"/>
      </w:pPr>
    </w:p>
    <w:p w14:paraId="2C5D103F" w14:textId="2624D52F" w:rsidR="009539D5" w:rsidRDefault="009539D5" w:rsidP="009539D5">
      <w:pPr>
        <w:pStyle w:val="ECHRPara"/>
        <w:rPr>
          <w:rFonts w:ascii="Times New Roman" w:hAnsi="Times New Roman"/>
          <w:noProof/>
        </w:rPr>
      </w:pPr>
      <w:r>
        <w:rPr>
          <w:rFonts w:ascii="Times New Roman" w:hAnsi="Times New Roman"/>
        </w:rPr>
        <w:t>40. Tiesa norāda, ka šī sūdzība nav acīmredzami nepamatota Konvencijas 35. panta 3. punkta a) apakšpunkta nozīmē. Tā nav nepieņemama arī kādu citu iemeslu dēļ. Tāpēc tā jāatzīst par pieņemamu.</w:t>
      </w:r>
    </w:p>
    <w:p w14:paraId="6E1333A1" w14:textId="77777777" w:rsidR="009539D5" w:rsidRPr="009539D5" w:rsidRDefault="009539D5" w:rsidP="009539D5">
      <w:pPr>
        <w:pStyle w:val="ECHRPara"/>
        <w:ind w:firstLine="0"/>
        <w:rPr>
          <w:rFonts w:ascii="Times New Roman" w:hAnsi="Times New Roman"/>
          <w:noProof/>
        </w:rPr>
      </w:pPr>
    </w:p>
    <w:p w14:paraId="09450CDE" w14:textId="0E3DB850"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Lietas būtība</w:t>
      </w:r>
    </w:p>
    <w:p w14:paraId="70D49353" w14:textId="77777777" w:rsidR="009539D5" w:rsidRPr="009539D5" w:rsidRDefault="009539D5" w:rsidP="009539D5">
      <w:pPr>
        <w:pStyle w:val="ECHRPara"/>
      </w:pPr>
    </w:p>
    <w:p w14:paraId="390B5B2B" w14:textId="71B0933C"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1. Pušu argumenti</w:t>
      </w:r>
    </w:p>
    <w:p w14:paraId="1E0D466E" w14:textId="77777777" w:rsidR="009539D5" w:rsidRPr="009539D5" w:rsidRDefault="009539D5" w:rsidP="009539D5">
      <w:pPr>
        <w:pStyle w:val="ECHRPara"/>
      </w:pPr>
    </w:p>
    <w:p w14:paraId="03B55525" w14:textId="186F8E94" w:rsidR="009539D5" w:rsidRPr="009539D5" w:rsidRDefault="009539D5" w:rsidP="009539D5">
      <w:pPr>
        <w:pStyle w:val="ECHRPara"/>
        <w:rPr>
          <w:rFonts w:ascii="Times New Roman" w:hAnsi="Times New Roman"/>
          <w:noProof/>
        </w:rPr>
      </w:pPr>
      <w:r>
        <w:rPr>
          <w:rFonts w:ascii="Times New Roman" w:hAnsi="Times New Roman"/>
        </w:rPr>
        <w:t>41. Pieteikuma iesniedzējs norādīja, ka viņa turēšana apcietinājumā no 2010. gada 15. līdz 29. jūlijam bija nepamatota un tādējādi bija pretrunā Konvencijas 5. panta 1. punktam.</w:t>
      </w:r>
    </w:p>
    <w:p w14:paraId="5E901BB8" w14:textId="7E53B782" w:rsidR="009539D5" w:rsidRDefault="009539D5" w:rsidP="009539D5">
      <w:pPr>
        <w:pStyle w:val="ECHRPara"/>
        <w:rPr>
          <w:rFonts w:ascii="Times New Roman" w:hAnsi="Times New Roman"/>
          <w:noProof/>
        </w:rPr>
      </w:pPr>
      <w:r>
        <w:rPr>
          <w:rFonts w:ascii="Times New Roman" w:hAnsi="Times New Roman"/>
        </w:rPr>
        <w:t>42. Valdība savos apsvērumos par šīs sūdzības pieņemamību (skat. 26. punktu iepriekš) piekrita pieteikuma iesniedzējam šajā argumentā. Tomēr tā par sūdzības būtību neiesniedza nekādus apsvērumus.</w:t>
      </w:r>
    </w:p>
    <w:p w14:paraId="6CB3F65A" w14:textId="77777777" w:rsidR="009539D5" w:rsidRPr="009539D5" w:rsidRDefault="009539D5" w:rsidP="009539D5">
      <w:pPr>
        <w:pStyle w:val="ECHRPara"/>
        <w:ind w:firstLine="0"/>
        <w:rPr>
          <w:rFonts w:ascii="Times New Roman" w:hAnsi="Times New Roman"/>
          <w:noProof/>
        </w:rPr>
      </w:pPr>
    </w:p>
    <w:p w14:paraId="59845349" w14:textId="4EFECBE9"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2. Tiesas vērtējums</w:t>
      </w:r>
    </w:p>
    <w:p w14:paraId="1FE1952B" w14:textId="77777777" w:rsidR="009539D5" w:rsidRPr="009539D5" w:rsidRDefault="009539D5" w:rsidP="009539D5">
      <w:pPr>
        <w:pStyle w:val="ECHRPara"/>
      </w:pPr>
    </w:p>
    <w:p w14:paraId="447BF182" w14:textId="3FE938A2" w:rsidR="009539D5" w:rsidRPr="009539D5" w:rsidRDefault="009539D5" w:rsidP="0036434A">
      <w:pPr>
        <w:pStyle w:val="ECHRPara"/>
        <w:rPr>
          <w:rFonts w:ascii="Times New Roman" w:hAnsi="Times New Roman"/>
          <w:noProof/>
        </w:rPr>
      </w:pPr>
      <w:r>
        <w:rPr>
          <w:rFonts w:ascii="Times New Roman" w:hAnsi="Times New Roman"/>
        </w:rPr>
        <w:t>43. Tiesa uzskata, ka, lai veiktu analīzi, pieteikuma iesniedzēja turēšana apcietinājumā ir jāiedala divos atšķirīgos periodos:</w:t>
      </w:r>
    </w:p>
    <w:p w14:paraId="61ECE7D5" w14:textId="63491EA6" w:rsidR="009539D5" w:rsidRPr="009539D5" w:rsidRDefault="009539D5" w:rsidP="0036434A">
      <w:pPr>
        <w:pStyle w:val="JuParaSub"/>
        <w:ind w:left="426"/>
        <w:rPr>
          <w:rFonts w:ascii="Times New Roman" w:hAnsi="Times New Roman"/>
          <w:noProof/>
        </w:rPr>
      </w:pPr>
      <w:r>
        <w:rPr>
          <w:rFonts w:ascii="Times New Roman" w:hAnsi="Times New Roman"/>
        </w:rPr>
        <w:t>a) no 2010. gada 15. līdz 27. jūlijam, tas ir, pēc pirmās instances tiesas sprieduma pasludināšanas un pirms tas kļūst galīgs, un</w:t>
      </w:r>
    </w:p>
    <w:p w14:paraId="5886CDE3" w14:textId="680A8266" w:rsidR="009539D5" w:rsidRPr="009539D5" w:rsidRDefault="009539D5" w:rsidP="0036434A">
      <w:pPr>
        <w:pStyle w:val="JuParaSub"/>
        <w:ind w:left="426"/>
        <w:rPr>
          <w:rFonts w:ascii="Times New Roman" w:hAnsi="Times New Roman"/>
          <w:noProof/>
        </w:rPr>
      </w:pPr>
      <w:r>
        <w:rPr>
          <w:rFonts w:ascii="Times New Roman" w:hAnsi="Times New Roman"/>
        </w:rPr>
        <w:t>b) turpmākās divas dienas no 2010. gada 27. līdz 29. jūlijam, kas ir laiks, ko iestādēm vajadzēja, lai pabeigtu visas administratīvās formalitātes un īstenotu pieteikuma iesniedzēja atbrīvošanu pēc tam, kad pirmās instances tiesas spriedums kļuva galīgs.</w:t>
      </w:r>
    </w:p>
    <w:p w14:paraId="469572CD" w14:textId="3C0A9F70" w:rsidR="009539D5" w:rsidRDefault="009539D5" w:rsidP="0036434A">
      <w:pPr>
        <w:pStyle w:val="ECHRPara"/>
        <w:rPr>
          <w:rFonts w:ascii="Times New Roman" w:hAnsi="Times New Roman"/>
          <w:noProof/>
        </w:rPr>
      </w:pPr>
      <w:r>
        <w:rPr>
          <w:rFonts w:ascii="Times New Roman" w:hAnsi="Times New Roman"/>
        </w:rPr>
        <w:t>44. Tiesa pārbauda katru pieteikuma iesniedzēja apcietinājumā turēšanas periodu atsevišķi, lai noskaidrotu, vai tas atbilda Konvencijas 5. panta 1. punktam.</w:t>
      </w:r>
    </w:p>
    <w:p w14:paraId="7E936B5E" w14:textId="77777777" w:rsidR="009539D5" w:rsidRPr="009539D5" w:rsidRDefault="009539D5" w:rsidP="009539D5">
      <w:pPr>
        <w:pStyle w:val="ECHRPara"/>
        <w:ind w:firstLine="0"/>
        <w:rPr>
          <w:rFonts w:ascii="Times New Roman" w:hAnsi="Times New Roman"/>
          <w:noProof/>
        </w:rPr>
      </w:pPr>
    </w:p>
    <w:p w14:paraId="6E620D8B" w14:textId="788AF3A0"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a) Pieteikuma iesniedzēja turēšana apcietinājumā no 2010. gada 15. līdz 27. jūlijam</w:t>
      </w:r>
    </w:p>
    <w:p w14:paraId="05B13258" w14:textId="77777777" w:rsidR="009539D5" w:rsidRPr="009539D5" w:rsidRDefault="009539D5" w:rsidP="009539D5">
      <w:pPr>
        <w:pStyle w:val="ECHRPara"/>
      </w:pPr>
    </w:p>
    <w:p w14:paraId="42AE7CFD" w14:textId="79E51F20" w:rsidR="009539D5" w:rsidRDefault="009539D5" w:rsidP="009539D5">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sz w:val="24"/>
        </w:rPr>
        <w:t>i) Pieteikuma iesniedzēja brīvības atņemšanas pamatojums</w:t>
      </w:r>
    </w:p>
    <w:p w14:paraId="65E80190" w14:textId="77777777" w:rsidR="009539D5" w:rsidRPr="009539D5" w:rsidRDefault="009539D5" w:rsidP="009539D5">
      <w:pPr>
        <w:pStyle w:val="ECHRPara"/>
      </w:pPr>
    </w:p>
    <w:p w14:paraId="3AFDDA8A" w14:textId="1090E3BB"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α) Vispārējie tiesu prakses principi</w:t>
      </w:r>
    </w:p>
    <w:p w14:paraId="217D3E6C" w14:textId="77777777" w:rsidR="009539D5" w:rsidRPr="009539D5" w:rsidRDefault="009539D5" w:rsidP="009539D5">
      <w:pPr>
        <w:pStyle w:val="ECHRPara"/>
        <w:rPr>
          <w:lang w:bidi="en-US"/>
        </w:rPr>
      </w:pPr>
    </w:p>
    <w:p w14:paraId="37B5B7CD" w14:textId="6A87123C" w:rsidR="009539D5" w:rsidRPr="009539D5" w:rsidRDefault="009539D5" w:rsidP="009539D5">
      <w:pPr>
        <w:pStyle w:val="ECHRPara"/>
        <w:rPr>
          <w:rFonts w:ascii="Times New Roman" w:hAnsi="Times New Roman"/>
          <w:noProof/>
          <w:snapToGrid w:val="0"/>
          <w:szCs w:val="24"/>
        </w:rPr>
      </w:pPr>
      <w:r>
        <w:rPr>
          <w:rFonts w:ascii="Times New Roman" w:hAnsi="Times New Roman"/>
        </w:rPr>
        <w:t>45. Tiesa atkārtoti norāda, ka 5. pantā ir nostiprinātas cilvēka pamattiesības, proti, fiziskas personas aizsardzība no patvaļīgas valsts iejaukšanās viņa tiesībās uz brīvību. 5. panta 1. punkta a) līdz f) apakšpunktā ir ietverts pilnīgs to pieļaujamo pamatu saraksts, kuru dēļ personām var tikt atņemta brīvība, un brīvības atņemšana atbilst 5. panta 1. punktam tikai tad, ja tās pamats ir ietverts šajos minētajos pamatos (skat. cita starpā sprieduma lietā Nr. 39692/09 (un divi citi) “Ostins [</w:t>
      </w:r>
      <w:r>
        <w:rPr>
          <w:rFonts w:ascii="Times New Roman" w:hAnsi="Times New Roman"/>
          <w:i/>
          <w:iCs/>
        </w:rPr>
        <w:t>Austin</w:t>
      </w:r>
      <w:r>
        <w:rPr>
          <w:rFonts w:ascii="Times New Roman" w:hAnsi="Times New Roman"/>
        </w:rPr>
        <w:t>] un citi pret Apvienoto Karalisti” [</w:t>
      </w:r>
      <w:r>
        <w:rPr>
          <w:rFonts w:ascii="Times New Roman" w:hAnsi="Times New Roman"/>
          <w:i/>
          <w:iCs/>
        </w:rPr>
        <w:t>GC</w:t>
      </w:r>
      <w:r>
        <w:rPr>
          <w:rFonts w:ascii="Times New Roman" w:hAnsi="Times New Roman"/>
        </w:rPr>
        <w:t xml:space="preserve">] </w:t>
      </w:r>
      <w:r>
        <w:rPr>
          <w:rFonts w:ascii="Times New Roman" w:hAnsi="Times New Roman"/>
          <w:snapToGrid w:val="0"/>
        </w:rPr>
        <w:t>60. punktu, ECT 2012).</w:t>
      </w:r>
    </w:p>
    <w:p w14:paraId="5158FAE1" w14:textId="4A52ED1E" w:rsidR="009539D5" w:rsidRPr="009539D5" w:rsidRDefault="009539D5" w:rsidP="009539D5">
      <w:pPr>
        <w:pStyle w:val="ECHRPara"/>
        <w:rPr>
          <w:rFonts w:ascii="Times New Roman" w:hAnsi="Times New Roman"/>
          <w:noProof/>
        </w:rPr>
      </w:pPr>
      <w:r>
        <w:rPr>
          <w:rFonts w:ascii="Times New Roman" w:hAnsi="Times New Roman"/>
        </w:rPr>
        <w:t xml:space="preserve">46. Tiesa norāda, ka atbildētājs tiek uzskatīts par aizturētu “pēc notiesāšanas kompetentā tiesā” 5. panta 1. punkta a) apakšpunkta izpratnē pēc sprieduma pasludināšanas pirmajā </w:t>
      </w:r>
      <w:r>
        <w:rPr>
          <w:rFonts w:ascii="Times New Roman" w:hAnsi="Times New Roman"/>
        </w:rPr>
        <w:lastRenderedPageBreak/>
        <w:t>instancē, pat ja tas vēl nav izpildāms un ir pārsūdzams. Tiesa šajā sakarā atzina, ka frāzi “pēc notiesāšanas” nevar interpretēt tikai attiecībā uz galīgu notiesājošu spriedumu, jo tas izslēdz to notiesāto personu apcietināšanu tiesas sēdē, kas ierodas tiesā, vēl esot brīvībā, neatkarīgi no tā, kādi tiesiskās aizsardzības līdzekļi tām joprojām ir pieejami (skat. 1968. gada 27. jūnija sprieduma lietā “Vemhofs [</w:t>
      </w:r>
      <w:r>
        <w:rPr>
          <w:rFonts w:ascii="Times New Roman" w:hAnsi="Times New Roman"/>
          <w:i/>
          <w:iCs/>
        </w:rPr>
        <w:t>Wemhoff</w:t>
      </w:r>
      <w:r>
        <w:rPr>
          <w:rFonts w:ascii="Times New Roman" w:hAnsi="Times New Roman"/>
        </w:rPr>
        <w:t>] pret Vāciju” 9. punktu 23. lpp., A sērija, Nr. 7). Turklāt personu, kas notiesāta pirmajā instancē un atrodas apcietinājumā līdz apelācijas sūdzības izskatīšanai, nevar uzskatīt par apcietinātu, lai nodotu viņu kompetentai tiesu iestādei sakarā ar pamatotām aizdomām par noziedzīga nodarījuma izdarīšanu saskaņā ar 5. panta 1. punkta c) apakšpunktu (skat. jo īpaši 2007. gada 16. janvāra sprieduma lietā Nr. 27561/02 “Solmazs [</w:t>
      </w:r>
      <w:r>
        <w:rPr>
          <w:rFonts w:ascii="Times New Roman" w:hAnsi="Times New Roman"/>
          <w:i/>
          <w:iCs/>
        </w:rPr>
        <w:t>Solmaz</w:t>
      </w:r>
      <w:r>
        <w:rPr>
          <w:rFonts w:ascii="Times New Roman" w:hAnsi="Times New Roman"/>
        </w:rPr>
        <w:t>] pret Turciju” 25. punktu).</w:t>
      </w:r>
    </w:p>
    <w:p w14:paraId="5D9D678C" w14:textId="7F247CB9" w:rsidR="009539D5" w:rsidRPr="009539D5" w:rsidRDefault="009539D5" w:rsidP="009539D5">
      <w:pPr>
        <w:pStyle w:val="ECHRPara"/>
        <w:rPr>
          <w:rFonts w:ascii="Times New Roman" w:hAnsi="Times New Roman"/>
          <w:noProof/>
        </w:rPr>
      </w:pPr>
      <w:r>
        <w:rPr>
          <w:rFonts w:ascii="Times New Roman" w:hAnsi="Times New Roman"/>
        </w:rPr>
        <w:t>47. Tiesa savā judikatūrā ir konsekventi norādījusi, ka tā ņem vērā būtiskas atšķirības starp Līgumslēdzējām valstīm jautājumā par to, vai pirmajā instancē notiesātā persona ir sākusi izciest brīvības atņemšanas sodu līdz apelācijas sūdzības izskatīšanai. Tomēr Tiesa atkārtoti norāda, ka Konvencijas 5. panta svarīgās garantijas nav atkarīgas no valsts tiesību aktiem (skat. 1990. gada 28. marta sprieduma lietā “B. pret Austriju” 39. punktu, A sērija, Nr. 175, un iepriekš minētā sprieduma Solmaza lietā 26. punktu). Tādējādi, pat ja dalībvalsts tiesību akti paredz, ka sods kļūst galīgs tikai pēc visa pārsūdzēšanas procesa beigām, Konvencijas izpratnē pirmstiesas apcietinājums beidzas ar vainas konstatāciju un pirmajā instancē piespriesto sodu (skat. iepriekš minētā sprieduma lietā “Solmazs pret Turciju” 26. punktu).</w:t>
      </w:r>
    </w:p>
    <w:p w14:paraId="7A9A4F94" w14:textId="538933D2" w:rsidR="009539D5" w:rsidRPr="009539D5" w:rsidRDefault="009539D5" w:rsidP="009539D5">
      <w:pPr>
        <w:pStyle w:val="ECHRPara"/>
        <w:rPr>
          <w:rFonts w:ascii="Times New Roman" w:hAnsi="Times New Roman"/>
          <w:noProof/>
        </w:rPr>
      </w:pPr>
      <w:r>
        <w:rPr>
          <w:rFonts w:ascii="Times New Roman" w:hAnsi="Times New Roman"/>
        </w:rPr>
        <w:t>48. Piemēram, lietā “Grubičs [</w:t>
      </w:r>
      <w:r>
        <w:rPr>
          <w:rFonts w:ascii="Times New Roman" w:hAnsi="Times New Roman"/>
          <w:i/>
          <w:iCs/>
        </w:rPr>
        <w:t>Grubić</w:t>
      </w:r>
      <w:r>
        <w:rPr>
          <w:rFonts w:ascii="Times New Roman" w:hAnsi="Times New Roman"/>
        </w:rPr>
        <w:t>] pret Horvātiju” (2012. gada 30. oktobra sprieduma Nr. 5384/11 30.–45. punkts) pieteikuma iesniedzējs, kuru pirmās instances tiesa notiesāja un kuram tā piesprieda brīvības atņemšanas sodu uz trīsdesmit gadiem, sūdzējās, ka viņu nelikumīgi turēja apcietinājumā vairākus mēnešus pēc sprieduma pasludināšanas pirmajā instancē. Saskaņā ar valsts tiesību aktiem viņa turēšana apcietinājumā šajā laika posmā joprojām tika uzskatīta par “pirmstiesas apcietinājumu”. Tiesa izskatīja viņa sūdzību no Konvencijas 5. panta 1. punkta a) apakšpunkta aspekta un nekonstatēja nekādas patvaļas pazīmes.</w:t>
      </w:r>
    </w:p>
    <w:p w14:paraId="0CEBEC49" w14:textId="5F2402BB" w:rsidR="009539D5" w:rsidRPr="009539D5" w:rsidRDefault="009539D5" w:rsidP="009539D5">
      <w:pPr>
        <w:pStyle w:val="ECHRPara"/>
        <w:rPr>
          <w:rFonts w:ascii="Times New Roman" w:hAnsi="Times New Roman"/>
          <w:noProof/>
        </w:rPr>
      </w:pPr>
      <w:r>
        <w:rPr>
          <w:rFonts w:ascii="Times New Roman" w:hAnsi="Times New Roman"/>
        </w:rPr>
        <w:t>49. Turklāt Tiesa savā judikatūrā ir atzinusi, ka vārds “notiesāšana” 5. panta 1. punkta a) apakšpunkta izpratnē, ņemot vērā tekstu franču valodā (“</w:t>
      </w:r>
      <w:r>
        <w:rPr>
          <w:rFonts w:ascii="Times New Roman" w:hAnsi="Times New Roman"/>
          <w:i/>
          <w:iCs/>
        </w:rPr>
        <w:t>condamnation</w:t>
      </w:r>
      <w:r>
        <w:rPr>
          <w:rFonts w:ascii="Times New Roman" w:hAnsi="Times New Roman"/>
        </w:rPr>
        <w:t>”), ir jāinterpretē kā tāds, kas apzīmē gan vainas konstatāciju pēc tam, kad saskaņā ar likumu ir konstatēts, ka ir noticis noziedzīgs nodarījums, gan soda vai cita ar brīvības atņemšanu saistīta drošības līdzekļa piemērošanu (skat. 1980. gada 6. novembra sprieduma lietā “Grucardi [</w:t>
      </w:r>
      <w:r>
        <w:rPr>
          <w:rFonts w:ascii="Times New Roman" w:hAnsi="Times New Roman"/>
          <w:i/>
          <w:iCs/>
        </w:rPr>
        <w:t>Guzzardi</w:t>
      </w:r>
      <w:r>
        <w:rPr>
          <w:rFonts w:ascii="Times New Roman" w:hAnsi="Times New Roman"/>
        </w:rPr>
        <w:t>] pret Itāliju” 100. punktu, A sērija, Nr. 39; 1982. gada 24. jūnija sprieduma lietā “Van Drogenbrūks [</w:t>
      </w:r>
      <w:r>
        <w:rPr>
          <w:rFonts w:ascii="Times New Roman" w:hAnsi="Times New Roman"/>
          <w:i/>
          <w:iCs/>
        </w:rPr>
        <w:t>Van Droogenbroeck</w:t>
      </w:r>
      <w:r>
        <w:rPr>
          <w:rFonts w:ascii="Times New Roman" w:hAnsi="Times New Roman"/>
        </w:rPr>
        <w:t>] pret Beļģiju” 35. punktu, A sērija, Nr. 50, un jaunāku judikatūru – sprieduma lietā Nr. 42750/09 “Del Rio Prada [</w:t>
      </w:r>
      <w:r>
        <w:rPr>
          <w:rFonts w:ascii="Times New Roman" w:hAnsi="Times New Roman"/>
          <w:i/>
          <w:iCs/>
        </w:rPr>
        <w:t>Del Río Prada</w:t>
      </w:r>
      <w:r>
        <w:rPr>
          <w:rFonts w:ascii="Times New Roman" w:hAnsi="Times New Roman"/>
        </w:rPr>
        <w:t>] pret Spāniju” [</w:t>
      </w:r>
      <w:r>
        <w:rPr>
          <w:rFonts w:ascii="Times New Roman" w:hAnsi="Times New Roman"/>
          <w:i/>
          <w:iCs/>
        </w:rPr>
        <w:t>GC</w:t>
      </w:r>
      <w:r>
        <w:rPr>
          <w:rFonts w:ascii="Times New Roman" w:hAnsi="Times New Roman"/>
        </w:rPr>
        <w:t>]</w:t>
      </w:r>
      <w:r>
        <w:rPr>
          <w:rFonts w:ascii="Times New Roman" w:hAnsi="Times New Roman"/>
          <w:snapToGrid w:val="0"/>
        </w:rPr>
        <w:t xml:space="preserve"> 123. </w:t>
      </w:r>
      <w:r>
        <w:rPr>
          <w:rFonts w:ascii="Times New Roman" w:hAnsi="Times New Roman"/>
        </w:rPr>
        <w:t>punktu, ECT 2013).</w:t>
      </w:r>
    </w:p>
    <w:p w14:paraId="51D46863" w14:textId="4D46C306" w:rsidR="009539D5" w:rsidRPr="009539D5" w:rsidRDefault="009539D5" w:rsidP="009539D5">
      <w:pPr>
        <w:pStyle w:val="ECHRPara"/>
        <w:rPr>
          <w:rFonts w:ascii="Times New Roman" w:hAnsi="Times New Roman"/>
          <w:noProof/>
          <w:snapToGrid w:val="0"/>
        </w:rPr>
      </w:pPr>
      <w:r>
        <w:rPr>
          <w:rFonts w:ascii="Times New Roman" w:hAnsi="Times New Roman"/>
          <w:snapToGrid w:val="0"/>
        </w:rPr>
        <w:t>50. Turklāt 5. panta 1. punkta a) apakšpunktā</w:t>
      </w:r>
      <w:r>
        <w:rPr>
          <w:rFonts w:ascii="Times New Roman" w:hAnsi="Times New Roman"/>
        </w:rPr>
        <w:t xml:space="preserve"> </w:t>
      </w:r>
      <w:r>
        <w:rPr>
          <w:rFonts w:ascii="Times New Roman" w:hAnsi="Times New Roman"/>
          <w:snapToGrid w:val="0"/>
        </w:rPr>
        <w:t>vārds “pēc” nenozīmē tikai to, ka apcietinājuma piemērošanai ir jānotiek pēc notiesāšanas laika ziņā: apcietinājuma piemērošanai bez tam jāizriet no notiesāšanas, “jāseko tai un jābūt atkarīgai” no tās vai jābūt “saskaņā ar” to. Proti, ir jābūt pietiekamai cēloņsakarībai starp notiesājošu spriedumu un attiecīgo brīvības atņemšanu (skat.</w:t>
      </w:r>
      <w:r>
        <w:rPr>
          <w:rFonts w:ascii="Times New Roman" w:hAnsi="Times New Roman"/>
        </w:rPr>
        <w:t xml:space="preserve"> 2013. gada 10. decembra sprieduma lietā Nr. 10511/10 “Marijs [</w:t>
      </w:r>
      <w:r>
        <w:rPr>
          <w:rFonts w:ascii="Times New Roman" w:hAnsi="Times New Roman"/>
          <w:i/>
          <w:iCs/>
        </w:rPr>
        <w:t>Murray</w:t>
      </w:r>
      <w:r>
        <w:rPr>
          <w:rFonts w:ascii="Times New Roman" w:hAnsi="Times New Roman"/>
        </w:rPr>
        <w:t xml:space="preserve">] pret Nīderlandi” </w:t>
      </w:r>
      <w:r>
        <w:rPr>
          <w:rFonts w:ascii="Times New Roman" w:hAnsi="Times New Roman"/>
          <w:snapToGrid w:val="0"/>
        </w:rPr>
        <w:t>77. punktu</w:t>
      </w:r>
      <w:r>
        <w:rPr>
          <w:rFonts w:ascii="Times New Roman" w:hAnsi="Times New Roman"/>
        </w:rPr>
        <w:t xml:space="preserve"> </w:t>
      </w:r>
      <w:r>
        <w:rPr>
          <w:rFonts w:ascii="Times New Roman" w:hAnsi="Times New Roman"/>
          <w:snapToGrid w:val="0"/>
        </w:rPr>
        <w:t>ar turpmākām atsaucēm).</w:t>
      </w:r>
    </w:p>
    <w:p w14:paraId="5CB57CD3" w14:textId="52CEACD9" w:rsidR="009539D5" w:rsidRDefault="009539D5" w:rsidP="009539D5">
      <w:pPr>
        <w:pStyle w:val="ECHRPara"/>
        <w:rPr>
          <w:rFonts w:ascii="Times New Roman" w:hAnsi="Times New Roman"/>
          <w:noProof/>
        </w:rPr>
      </w:pPr>
      <w:r>
        <w:rPr>
          <w:rFonts w:ascii="Times New Roman" w:hAnsi="Times New Roman"/>
        </w:rPr>
        <w:t xml:space="preserve">51. Tādējādi Tiesa iepriekš ir atzinusi, ka dažādi preventīvā apcietinājuma veidi, kas pārsniedz brīvības atņemšanas sodu, bija iesniedzēja aizturēšana “pēc notiesāšanas kompetentā tiesā” (skat., piemēram, sprieduma lietā “Van Drogenbrūks pret Beļģiju” 33.–42. punktu, sprieduma lietā </w:t>
      </w:r>
      <w:r>
        <w:rPr>
          <w:rFonts w:ascii="Times New Roman" w:hAnsi="Times New Roman"/>
          <w:snapToGrid w:val="0"/>
        </w:rPr>
        <w:t>Nr.</w:t>
      </w:r>
      <w:r>
        <w:rPr>
          <w:rFonts w:ascii="Times New Roman" w:hAnsi="Times New Roman"/>
        </w:rPr>
        <w:t> 19359/04 “M. pret Vāciju” 96. punktu, ECT 2009, un 2012. gada 18. septembra sprieduma lietā Nr. 25119/09 (un divi citi) “Džeimss [</w:t>
      </w:r>
      <w:r>
        <w:rPr>
          <w:rFonts w:ascii="Times New Roman" w:hAnsi="Times New Roman"/>
          <w:i/>
          <w:iCs/>
        </w:rPr>
        <w:t>James</w:t>
      </w:r>
      <w:r>
        <w:rPr>
          <w:rFonts w:ascii="Times New Roman" w:hAnsi="Times New Roman"/>
        </w:rPr>
        <w:t>], Velss [</w:t>
      </w:r>
      <w:r>
        <w:rPr>
          <w:rFonts w:ascii="Times New Roman" w:hAnsi="Times New Roman"/>
          <w:i/>
          <w:iCs/>
        </w:rPr>
        <w:t>Wells</w:t>
      </w:r>
      <w:r>
        <w:rPr>
          <w:rFonts w:ascii="Times New Roman" w:hAnsi="Times New Roman"/>
        </w:rPr>
        <w:t>] un Lī [</w:t>
      </w:r>
      <w:r>
        <w:rPr>
          <w:rFonts w:ascii="Times New Roman" w:hAnsi="Times New Roman"/>
          <w:i/>
          <w:iCs/>
        </w:rPr>
        <w:t>Lee</w:t>
      </w:r>
      <w:r>
        <w:rPr>
          <w:rFonts w:ascii="Times New Roman" w:hAnsi="Times New Roman"/>
        </w:rPr>
        <w:t xml:space="preserve">] pret Apvienoto Karalisti” </w:t>
      </w:r>
      <w:r>
        <w:rPr>
          <w:rFonts w:ascii="Times New Roman" w:hAnsi="Times New Roman"/>
          <w:snapToGrid w:val="0"/>
        </w:rPr>
        <w:t xml:space="preserve">197.–199. punktu). </w:t>
      </w:r>
      <w:r>
        <w:rPr>
          <w:rFonts w:ascii="Times New Roman" w:hAnsi="Times New Roman"/>
        </w:rPr>
        <w:t>Izskatāmā apcietinājuma piemērošana šādos apstākļos nebija soda daļa, bet drīzāk izrietēja no cita “drošības līdzekļa, kas saistīts ar brīvības atņemšanu”, kā minēts iepriekš 49. punktā.</w:t>
      </w:r>
    </w:p>
    <w:p w14:paraId="5DC9D520" w14:textId="77777777" w:rsidR="009539D5" w:rsidRPr="009539D5" w:rsidRDefault="009539D5" w:rsidP="009539D5">
      <w:pPr>
        <w:pStyle w:val="ECHRPara"/>
        <w:rPr>
          <w:rFonts w:ascii="Times New Roman" w:hAnsi="Times New Roman"/>
          <w:noProof/>
        </w:rPr>
      </w:pPr>
    </w:p>
    <w:p w14:paraId="398282D8" w14:textId="1518DDA4"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lastRenderedPageBreak/>
        <w:t>β) Iepriekš minēto principu piemērošana izskatāmajai lietai</w:t>
      </w:r>
    </w:p>
    <w:p w14:paraId="75FBAAA7" w14:textId="77777777" w:rsidR="009539D5" w:rsidRPr="009539D5" w:rsidRDefault="009539D5" w:rsidP="009539D5">
      <w:pPr>
        <w:pStyle w:val="ECHRPara"/>
        <w:rPr>
          <w:lang w:bidi="en-US"/>
        </w:rPr>
      </w:pPr>
    </w:p>
    <w:p w14:paraId="5EE26A4A" w14:textId="194779E8" w:rsidR="009539D5" w:rsidRPr="009539D5" w:rsidRDefault="009539D5" w:rsidP="009539D5">
      <w:pPr>
        <w:pStyle w:val="ECHRPara"/>
        <w:rPr>
          <w:rFonts w:ascii="Times New Roman" w:hAnsi="Times New Roman"/>
          <w:noProof/>
        </w:rPr>
      </w:pPr>
      <w:r>
        <w:rPr>
          <w:rFonts w:ascii="Times New Roman" w:hAnsi="Times New Roman"/>
        </w:rPr>
        <w:t>52. Tiesa norāda, ka pieteikuma iesniedzēja turēšana apcietinājumā šajā laika posmā notika pēc sprieduma pasludināšanas krimināllietā, taču saskaņā ar valsts tiesību aktiem tas joprojām tika uzskatīts par “pirmstiesas apcietinājumu”.</w:t>
      </w:r>
    </w:p>
    <w:p w14:paraId="2F148036" w14:textId="365E8B72" w:rsidR="009539D5" w:rsidRPr="009539D5" w:rsidRDefault="009539D5" w:rsidP="009539D5">
      <w:pPr>
        <w:pStyle w:val="ECHRPara"/>
        <w:rPr>
          <w:rFonts w:ascii="Times New Roman" w:hAnsi="Times New Roman"/>
          <w:noProof/>
        </w:rPr>
      </w:pPr>
      <w:r>
        <w:rPr>
          <w:rFonts w:ascii="Times New Roman" w:hAnsi="Times New Roman"/>
        </w:rPr>
        <w:t>53. Neatkarīgi no klasifikācijas valsts līmenī Tiesa norāda, ka uz šo laiku, kad pieteikuma iesniedzējs tika turēts apcietinājumā, vairs neattiecas 5. panta 1. punkta c) apakšpunkts (skat. iepriekš jo īpaši 46. punktu). Atliek noskaidrot, vai šī turēšana apcietinājumā bija pamatota saskaņā ar Konvencijas 5. panta 1. punkta a) </w:t>
      </w:r>
      <w:r>
        <w:rPr>
          <w:rFonts w:ascii="Times New Roman" w:hAnsi="Times New Roman"/>
          <w:snapToGrid w:val="0"/>
        </w:rPr>
        <w:t>apakšpunktu</w:t>
      </w:r>
      <w:r>
        <w:rPr>
          <w:rFonts w:ascii="Times New Roman" w:hAnsi="Times New Roman"/>
        </w:rPr>
        <w:t>, jo principā neviens cits šā noteikuma apakšpunkts konkrētajai situācijai nav piemērojams.</w:t>
      </w:r>
    </w:p>
    <w:p w14:paraId="40875D9A" w14:textId="7883C2E8" w:rsidR="009539D5" w:rsidRPr="009539D5" w:rsidRDefault="009539D5" w:rsidP="009539D5">
      <w:pPr>
        <w:pStyle w:val="ECHRPara"/>
        <w:rPr>
          <w:rFonts w:ascii="Times New Roman" w:hAnsi="Times New Roman"/>
          <w:noProof/>
        </w:rPr>
      </w:pPr>
      <w:r>
        <w:rPr>
          <w:rFonts w:ascii="Times New Roman" w:hAnsi="Times New Roman"/>
        </w:rPr>
        <w:t>54. Tiesa norāda, ka 2010. gada 12. jūlija spriedumā bija paredzēti divi atsevišķi pasākumi, kas saistīti ar pieteikuma iesniedzēja brīvības atņemšanu: pirmkārt, brīvības atņemšanas sods un, otrkārt, pieteikuma iesniedzēja apcietinājums kā drošības līdzeklis līdz spriedums kļuva galīgs. Lai gan piespriestā soda termiņš beidzās pēc trīs dienām, otrajam pasākumam bija jāturpinās vismaz vēl divpadsmit dienas, ņemot vērā piecpadsmit dienu termiņu, kas paredzēts apelācijas sūdzību iesniegšanai. Ja pieteikuma iesniedzējs būtu iesniedzis apelācijas sūdzību, viņa apcietinājumā turēšanas laiks būtu vēl ilgāks un būtu atkarīgs no laika, kas apelācijas instances tiesai nepieciešams viņa lietas izskatīšanai.</w:t>
      </w:r>
    </w:p>
    <w:p w14:paraId="241EA973" w14:textId="371890EC" w:rsidR="009539D5" w:rsidRPr="009539D5" w:rsidRDefault="009539D5" w:rsidP="009539D5">
      <w:pPr>
        <w:pStyle w:val="ECHRPara"/>
        <w:rPr>
          <w:rFonts w:ascii="Times New Roman" w:hAnsi="Times New Roman"/>
          <w:noProof/>
        </w:rPr>
      </w:pPr>
      <w:r>
        <w:rPr>
          <w:rFonts w:ascii="Times New Roman" w:hAnsi="Times New Roman"/>
        </w:rPr>
        <w:t>55. Attiecīgi Tiesa uzskata, ka, lai gan turēšana apcietinājumā, par kuru pieteikuma iesniedzējs sūdzējās, notika pēc tam, kad viņam piespriestais brīvības atņemšanas sods bija pilnībā izciests, to var uzskatīt par vēl vienu “ar brīvības atņemšanu saistītu drošības līdzekli”, kas bija “pēc notiesāšanas” 5. panta 1. punkta a) apakšpunkta nozīmē.</w:t>
      </w:r>
    </w:p>
    <w:p w14:paraId="475765B6" w14:textId="05723536" w:rsidR="009539D5" w:rsidRDefault="009539D5" w:rsidP="009539D5">
      <w:pPr>
        <w:pStyle w:val="ECHRPara"/>
        <w:rPr>
          <w:rFonts w:ascii="Times New Roman" w:hAnsi="Times New Roman"/>
          <w:noProof/>
        </w:rPr>
      </w:pPr>
      <w:r>
        <w:rPr>
          <w:rFonts w:ascii="Times New Roman" w:hAnsi="Times New Roman"/>
        </w:rPr>
        <w:t>56. Rezumējot, Tiesa secina, ka uz šo pieteikuma iesniedzēja turēšanas apcietinājumā periodu attiecas izņēmums, kas noteikts Konvencijas 5. panta 1. punkta a) apakšpunktā. Tomēr ir jānoskaidro, vai šis noteikums tika ievērots.</w:t>
      </w:r>
    </w:p>
    <w:p w14:paraId="096FFDB6" w14:textId="77777777" w:rsidR="009539D5" w:rsidRPr="009539D5" w:rsidRDefault="009539D5" w:rsidP="009539D5">
      <w:pPr>
        <w:pStyle w:val="ECHRPara"/>
        <w:rPr>
          <w:rFonts w:ascii="Times New Roman" w:hAnsi="Times New Roman"/>
          <w:noProof/>
        </w:rPr>
      </w:pPr>
    </w:p>
    <w:p w14:paraId="7EE5D526" w14:textId="2864DF39"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ii) Pieteikuma iesniedzēja turēšanas apcietinājumā likumīgums laika posmā no 2010. gada 15. līdz 27. jūlijam</w:t>
      </w:r>
    </w:p>
    <w:p w14:paraId="40D458B6" w14:textId="77777777" w:rsidR="009539D5" w:rsidRPr="009539D5" w:rsidRDefault="009539D5" w:rsidP="009539D5">
      <w:pPr>
        <w:pStyle w:val="ECHRPara"/>
      </w:pPr>
    </w:p>
    <w:p w14:paraId="522F116F" w14:textId="2D5C1124"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α) Vispārējie tiesu prakses principi</w:t>
      </w:r>
    </w:p>
    <w:p w14:paraId="400A4F72" w14:textId="77777777" w:rsidR="009539D5" w:rsidRPr="009539D5" w:rsidRDefault="009539D5" w:rsidP="009539D5">
      <w:pPr>
        <w:pStyle w:val="ECHRPara"/>
        <w:rPr>
          <w:lang w:bidi="en-US"/>
        </w:rPr>
      </w:pPr>
    </w:p>
    <w:p w14:paraId="72BCA843" w14:textId="2D91F7AD" w:rsidR="009539D5" w:rsidRPr="009539D5" w:rsidRDefault="009539D5" w:rsidP="0046587B">
      <w:pPr>
        <w:pStyle w:val="ECHRPara"/>
        <w:rPr>
          <w:rFonts w:ascii="Times New Roman" w:hAnsi="Times New Roman"/>
          <w:noProof/>
        </w:rPr>
      </w:pPr>
      <w:r>
        <w:rPr>
          <w:rFonts w:ascii="Times New Roman" w:hAnsi="Times New Roman"/>
        </w:rPr>
        <w:t>57. Tiesa atkārtoti norāda, ka brīvības atņemšanai papildus tam, ka uz to attiecas kāds no 5. panta 1. punkta a) līdz f) apakšpunktā minētajiem izņēmumiem, ir jābūt “likumīgai”. Runājot par apcietinājuma “likumību”, tostarp par to, vai ir ievērota “likumā noteiktā kārtība”, Konvencija būtībā atsaucas uz valsts tiesību aktiem un nosaka pienākumu ievērot materiālās un procesuālās tiesību normas (skat. 1998. gada 2. septembra sprieduma lietā “Erkalo [</w:t>
      </w:r>
      <w:r>
        <w:rPr>
          <w:rFonts w:ascii="Times New Roman" w:hAnsi="Times New Roman"/>
          <w:i/>
          <w:iCs/>
        </w:rPr>
        <w:t>Erkalo</w:t>
      </w:r>
      <w:r>
        <w:rPr>
          <w:rFonts w:ascii="Times New Roman" w:hAnsi="Times New Roman"/>
        </w:rPr>
        <w:t xml:space="preserve">] pret Nīderlandi” 52. punktu, </w:t>
      </w:r>
      <w:r>
        <w:rPr>
          <w:rFonts w:ascii="Times New Roman" w:hAnsi="Times New Roman"/>
          <w:i/>
        </w:rPr>
        <w:t>Reports of Judgments and Decisions</w:t>
      </w:r>
      <w:r>
        <w:rPr>
          <w:rFonts w:ascii="Times New Roman" w:hAnsi="Times New Roman"/>
        </w:rPr>
        <w:t xml:space="preserve"> 1998</w:t>
      </w:r>
      <w:r>
        <w:rPr>
          <w:rFonts w:ascii="Times New Roman" w:hAnsi="Times New Roman"/>
        </w:rPr>
        <w:noBreakHyphen/>
        <w:t>VI, un sprieduma lietā Nr. 28358/95 “Baranovskis [</w:t>
      </w:r>
      <w:r>
        <w:rPr>
          <w:rFonts w:ascii="Times New Roman" w:hAnsi="Times New Roman"/>
          <w:i/>
          <w:iCs/>
        </w:rPr>
        <w:t>Baranowski</w:t>
      </w:r>
      <w:r>
        <w:rPr>
          <w:rFonts w:ascii="Times New Roman" w:hAnsi="Times New Roman"/>
        </w:rPr>
        <w:t>] pret Poliju” 50. punktu, ECT 2000</w:t>
      </w:r>
      <w:r>
        <w:rPr>
          <w:rFonts w:ascii="Times New Roman" w:hAnsi="Times New Roman"/>
        </w:rPr>
        <w:noBreakHyphen/>
        <w:t>III).</w:t>
      </w:r>
    </w:p>
    <w:p w14:paraId="4A90037B" w14:textId="065D359C" w:rsidR="009539D5" w:rsidRPr="009539D5" w:rsidRDefault="009539D5" w:rsidP="0046587B">
      <w:pPr>
        <w:pStyle w:val="ECHRPara"/>
        <w:rPr>
          <w:rFonts w:ascii="Times New Roman" w:hAnsi="Times New Roman"/>
          <w:i/>
          <w:noProof/>
        </w:rPr>
      </w:pPr>
      <w:r>
        <w:rPr>
          <w:rFonts w:ascii="Times New Roman" w:hAnsi="Times New Roman"/>
        </w:rPr>
        <w:t xml:space="preserve">58. Izvērtējot, vai turēšana apcietinājumā ir likumīga, Tiesai arī jāpārliecinās, vai paši valsts tiesību akti atbilst Konvencijai, tostarp tajā paustajiem vai ietvertajiem vispārējiem principiem. “Tiesību aktu kvalitāte” nozīmē, ka gadījumos, kad valsts tiesību akti ļauj piemērot brīvības atņemšanu, šai normai jābūt pietiekami pieejamai, precīzai un tās piemērošanai jābūt pietiekami paredzamai, lai novērstu jebkuru patvaļas risku. Konvencijas noteiktais “likumīguma” standarts prasa, lai visi tiesību akti būtu pietiekami precīzi, kas dotu iespēju personai, ja nepieciešams, ar atbilstoša padoma palīdzību līdz attiecīgajos apstākļos saprātīgai pakāpei paredzēt sekas, ko var izraisīt konkrēta darbība. Attiecībā uz brīvības atņemšanu ir svarīgi, lai valsts tiesību aktos ir skaidri definēti apcietinājuma piemērošanas nosacījumi (skat. sprieduma Del Rio Prada lietā, kas citēts iepriekš, </w:t>
      </w:r>
      <w:r>
        <w:rPr>
          <w:rFonts w:ascii="Times New Roman" w:hAnsi="Times New Roman"/>
          <w:snapToGrid w:val="0"/>
        </w:rPr>
        <w:t>125</w:t>
      </w:r>
      <w:r>
        <w:rPr>
          <w:rFonts w:ascii="Times New Roman" w:hAnsi="Times New Roman"/>
        </w:rPr>
        <w:t>. punktu ar turpmākajām atsaucēm).</w:t>
      </w:r>
    </w:p>
    <w:p w14:paraId="11E26A51" w14:textId="7BBE8EC3" w:rsidR="009539D5" w:rsidRPr="009539D5" w:rsidRDefault="009539D5" w:rsidP="0046587B">
      <w:pPr>
        <w:pStyle w:val="ECHRPara"/>
        <w:rPr>
          <w:rFonts w:ascii="Times New Roman" w:hAnsi="Times New Roman"/>
          <w:noProof/>
        </w:rPr>
      </w:pPr>
      <w:r>
        <w:rPr>
          <w:rFonts w:ascii="Times New Roman" w:hAnsi="Times New Roman"/>
        </w:rPr>
        <w:t xml:space="preserve">59. Turklāt patvaļīga turēšana apcietinājumā nevar atbilst 5. panta 1. punktam, jo jēdziens “patvaļa” šajā kontekstā pārsniedz neatbilstību valsts tiesību aktiem. Līdz ar to brīvības </w:t>
      </w:r>
      <w:r>
        <w:rPr>
          <w:rFonts w:ascii="Times New Roman" w:hAnsi="Times New Roman"/>
        </w:rPr>
        <w:lastRenderedPageBreak/>
        <w:t>atņemšana, kas ir likumīga saskaņā ar valsts tiesību aktiem, tomēr var būt patvaļīga un tādēļ pretrunā Konvencijai (skat. 2009. gada 9. jūlija sprieduma lietā Nr. 11364/03 “Mūrens [</w:t>
      </w:r>
      <w:r>
        <w:rPr>
          <w:rFonts w:ascii="Times New Roman" w:hAnsi="Times New Roman"/>
          <w:i/>
          <w:iCs/>
        </w:rPr>
        <w:t>Mooren</w:t>
      </w:r>
      <w:r>
        <w:rPr>
          <w:rFonts w:ascii="Times New Roman" w:hAnsi="Times New Roman"/>
        </w:rPr>
        <w:t>] pret Vāciju” [</w:t>
      </w:r>
      <w:r>
        <w:rPr>
          <w:rFonts w:ascii="Times New Roman" w:hAnsi="Times New Roman"/>
          <w:i/>
          <w:iCs/>
        </w:rPr>
        <w:t>GC</w:t>
      </w:r>
      <w:r>
        <w:rPr>
          <w:rFonts w:ascii="Times New Roman" w:hAnsi="Times New Roman"/>
        </w:rPr>
        <w:t xml:space="preserve">] </w:t>
      </w:r>
      <w:r>
        <w:rPr>
          <w:rFonts w:ascii="Times New Roman" w:hAnsi="Times New Roman"/>
          <w:snapToGrid w:val="0"/>
        </w:rPr>
        <w:t>77</w:t>
      </w:r>
      <w:r>
        <w:rPr>
          <w:rFonts w:ascii="Times New Roman" w:hAnsi="Times New Roman"/>
        </w:rPr>
        <w:t>. pantu).</w:t>
      </w:r>
    </w:p>
    <w:p w14:paraId="361556BB" w14:textId="561D508E" w:rsidR="009539D5" w:rsidRPr="009539D5" w:rsidRDefault="009539D5" w:rsidP="0046587B">
      <w:pPr>
        <w:pStyle w:val="ECHRPara"/>
        <w:rPr>
          <w:rFonts w:ascii="Times New Roman" w:hAnsi="Times New Roman"/>
          <w:noProof/>
        </w:rPr>
      </w:pPr>
      <w:r>
        <w:rPr>
          <w:rFonts w:ascii="Times New Roman" w:hAnsi="Times New Roman"/>
        </w:rPr>
        <w:t>60. Tiesa iepriekš nav vispārīgi definējusi, kāda iestāžu rīcība ir uzskatāma par “patvaļīgu” 5. panta 1. punkta izpratnē. Tomēr galvenie principi, kas ir izstrādāti katrā atsevišķā gadījumā, parāda, ka patvaļas jēdziens saistībā ar 5. pantu zināmā mērā atšķiras atkarībā no izskatāmā apcietinājuma veida (skat. sprieduma lietā Nr. 13229/03 “Saadi [</w:t>
      </w:r>
      <w:r>
        <w:rPr>
          <w:rFonts w:ascii="Times New Roman" w:hAnsi="Times New Roman"/>
          <w:i/>
          <w:iCs/>
        </w:rPr>
        <w:t>Saadi</w:t>
      </w:r>
      <w:r>
        <w:rPr>
          <w:rFonts w:ascii="Times New Roman" w:hAnsi="Times New Roman"/>
        </w:rPr>
        <w:t>] pret Apvienoto Karalisti” [</w:t>
      </w:r>
      <w:r>
        <w:rPr>
          <w:rFonts w:ascii="Times New Roman" w:hAnsi="Times New Roman"/>
          <w:i/>
          <w:iCs/>
        </w:rPr>
        <w:t>GC</w:t>
      </w:r>
      <w:r>
        <w:rPr>
          <w:rFonts w:ascii="Times New Roman" w:hAnsi="Times New Roman"/>
        </w:rPr>
        <w:t>] 68. punktu, ECT 2008, un 2012. gada 2. oktobra sprieduma lietā Nr. 41242/08 “Pleso [</w:t>
      </w:r>
      <w:r>
        <w:rPr>
          <w:rFonts w:ascii="Times New Roman" w:hAnsi="Times New Roman"/>
          <w:i/>
          <w:iCs/>
        </w:rPr>
        <w:t>Plesó</w:t>
      </w:r>
      <w:r>
        <w:rPr>
          <w:rFonts w:ascii="Times New Roman" w:hAnsi="Times New Roman"/>
        </w:rPr>
        <w:t xml:space="preserve">] pret Ungāriju” </w:t>
      </w:r>
      <w:r>
        <w:rPr>
          <w:rFonts w:ascii="Times New Roman" w:hAnsi="Times New Roman"/>
          <w:snapToGrid w:val="0"/>
        </w:rPr>
        <w:t xml:space="preserve">57. punktu). </w:t>
      </w:r>
      <w:r>
        <w:rPr>
          <w:rFonts w:ascii="Times New Roman" w:hAnsi="Times New Roman"/>
        </w:rPr>
        <w:t>Viens tiesas judikatūrā noteiktais vispārīgais princips, ir tāds, ka aizturēšana ir “patvaļīga”, ja, neskatoties uz atbilstību valsts tiesību aktiem, iestāžu rīcībai ir bijis ļauns nolūks vai tā bijusi maldinoša, vai ja valsts iestādes nav centušās pareizi piemērot attiecīgos tiesību aktus (skat. iepriekš citētā sprieduma Mūrena lietā 78. punktu).</w:t>
      </w:r>
    </w:p>
    <w:p w14:paraId="6BAD0B57" w14:textId="6696992F" w:rsidR="009539D5" w:rsidRDefault="009539D5" w:rsidP="0046587B">
      <w:pPr>
        <w:pStyle w:val="ECHRPara"/>
        <w:rPr>
          <w:rFonts w:ascii="Times New Roman" w:hAnsi="Times New Roman"/>
          <w:noProof/>
          <w:snapToGrid w:val="0"/>
        </w:rPr>
      </w:pPr>
      <w:r>
        <w:rPr>
          <w:rFonts w:ascii="Times New Roman" w:hAnsi="Times New Roman"/>
        </w:rPr>
        <w:t xml:space="preserve">61. Turklāt prasība, ka apcietinājums nedrīkst būt patvaļīgs, nozīmē vajadzību pēc samērīguma starp norādīto apcietināšanas pamatu un konkrēto apcietinājuma piemērošanu (skat. iepriekš minētā sprieduma Džeimsa, Velsa un Lī lietā </w:t>
      </w:r>
      <w:r>
        <w:rPr>
          <w:rFonts w:ascii="Times New Roman" w:hAnsi="Times New Roman"/>
          <w:snapToGrid w:val="0"/>
        </w:rPr>
        <w:t xml:space="preserve">195. punktu). </w:t>
      </w:r>
      <w:r>
        <w:rPr>
          <w:rFonts w:ascii="Times New Roman" w:hAnsi="Times New Roman"/>
        </w:rPr>
        <w:t>Konkrētajā gadījumā veicamās samērīguma pārbaudes apmērs atšķiras atkarībā no attiecīgā apcietinājuma veida. Sakarā ar apcietinājumu atbilstoši 5. panta 1. punkta a) apakšpunktam Tiesa kopumā ir guvusi pārliecību, ka lēmums par apcietinājuma soda piemērošanu un šī soda ilgums ir valsts iestāžu, nevis šīs Tiesas kompetencē (skat. 1999. gada 16. decembra sprieduma lietā Nr. 24724/94 “T. pret Apvienoto Karalisti” [</w:t>
      </w:r>
      <w:r>
        <w:rPr>
          <w:rFonts w:ascii="Times New Roman" w:hAnsi="Times New Roman"/>
          <w:i/>
          <w:iCs/>
        </w:rPr>
        <w:t>GC</w:t>
      </w:r>
      <w:r>
        <w:rPr>
          <w:rFonts w:ascii="Times New Roman" w:hAnsi="Times New Roman"/>
        </w:rPr>
        <w:t xml:space="preserve">] 103. punktu un iepriekš minētā sprieduma Saadi lietā 71. punktu). Vienlaikus izvērtējot, vai bija patvaļas pazīmes, pieteikuma iesniedzējus turot preventīvajā apcietinājumā, kas neietilpst sodā, bet uz ko tomēr attiecas 5. panta 1. punkta a) apakšpunkts, Tiesa atzina par nepieciešamu noteikt viņu turēšanas apcietinājumā mērķi saskaņā ar 5. panta 1. punkta a) apakšpunktu un veica samērīguma pārbaudi (skat. iepriekš minētā sprieduma Džeimsa, Velsa un Lī lietā </w:t>
      </w:r>
      <w:r>
        <w:rPr>
          <w:rFonts w:ascii="Times New Roman" w:hAnsi="Times New Roman"/>
          <w:snapToGrid w:val="0"/>
        </w:rPr>
        <w:t>205. punktu).</w:t>
      </w:r>
    </w:p>
    <w:p w14:paraId="3A7F98EF" w14:textId="77777777" w:rsidR="009539D5" w:rsidRPr="009539D5" w:rsidRDefault="009539D5" w:rsidP="009539D5">
      <w:pPr>
        <w:pStyle w:val="ECHRPara"/>
        <w:ind w:firstLine="0"/>
        <w:rPr>
          <w:rFonts w:ascii="Times New Roman" w:hAnsi="Times New Roman"/>
          <w:noProof/>
          <w:snapToGrid w:val="0"/>
        </w:rPr>
      </w:pPr>
    </w:p>
    <w:p w14:paraId="6898E66A" w14:textId="4C1AE223"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β) Iepriekš minēto principu piemērošana izskatāmajai lietai</w:t>
      </w:r>
    </w:p>
    <w:p w14:paraId="3E624656" w14:textId="77777777" w:rsidR="009539D5" w:rsidRPr="009539D5" w:rsidRDefault="009539D5" w:rsidP="009539D5">
      <w:pPr>
        <w:pStyle w:val="ECHRPara"/>
        <w:rPr>
          <w:lang w:bidi="en-US"/>
        </w:rPr>
      </w:pPr>
    </w:p>
    <w:p w14:paraId="4CCC5A3B" w14:textId="181139BE" w:rsidR="009539D5" w:rsidRPr="009539D5" w:rsidRDefault="009539D5" w:rsidP="0046587B">
      <w:pPr>
        <w:pStyle w:val="ECHRPara"/>
        <w:rPr>
          <w:rFonts w:ascii="Times New Roman" w:hAnsi="Times New Roman"/>
          <w:noProof/>
        </w:rPr>
      </w:pPr>
      <w:r>
        <w:rPr>
          <w:rFonts w:ascii="Times New Roman" w:hAnsi="Times New Roman"/>
        </w:rPr>
        <w:t>62. Tiesas skatījumā nepastāv pazīmes, ka Bilacerkvas tiesas lēmums paturēt pieteikuma iesniedzēju apcietinājumā līdz spriedums kļuva galīgs bija pretrunā valsts tiesību aktiem. Turklāt piemērojamās tiesību normas šķiet skaidras un piemērošanā paredzamas. Tādējādi Ukrainas Kriminālprocesa kodeksā ir skaidri noteikts, ka tiesai, kas pieņem spriedumu, ir jāizlemj, kurš drošības līdzeklis ir piemērojams notiesātajam līdz spriedums kļūst galīgs (skat. 18. punktu iepriekš). No valsts tiesību aktiem arī izriet, ka drošības līdzekļa piemērošanas ilgums nav atkarīgs no piespriestā brīvības atņemšanas soda ilguma un tāpēc var būt ilgāks par šo sodu.</w:t>
      </w:r>
    </w:p>
    <w:p w14:paraId="56AE6E96" w14:textId="404F2D7A" w:rsidR="009539D5" w:rsidRPr="009539D5" w:rsidRDefault="009539D5" w:rsidP="0046587B">
      <w:pPr>
        <w:pStyle w:val="ECHRPara"/>
        <w:rPr>
          <w:rFonts w:ascii="Times New Roman" w:hAnsi="Times New Roman"/>
          <w:noProof/>
        </w:rPr>
      </w:pPr>
      <w:r>
        <w:rPr>
          <w:rFonts w:ascii="Times New Roman" w:hAnsi="Times New Roman"/>
        </w:rPr>
        <w:t>63. Tiesai ir jāpārliecinās, ka pieteikuma iesniedzēja turēšana apcietinājumā attiecīgajā laika posmā, neraugoties uz tās atbilstību valsts tiesību aktiem, nebija patvaļīga un tādējādi nebija pretrunā Konvencijai.</w:t>
      </w:r>
    </w:p>
    <w:p w14:paraId="7CD55292" w14:textId="4D445353" w:rsidR="009539D5" w:rsidRPr="009539D5" w:rsidRDefault="009539D5" w:rsidP="0046587B">
      <w:pPr>
        <w:pStyle w:val="ECHRPara"/>
        <w:rPr>
          <w:rFonts w:ascii="Times New Roman" w:hAnsi="Times New Roman"/>
          <w:noProof/>
        </w:rPr>
      </w:pPr>
      <w:r>
        <w:rPr>
          <w:rFonts w:ascii="Times New Roman" w:hAnsi="Times New Roman"/>
        </w:rPr>
        <w:t>64. Tiesa neuzskata, ka Bilacerkvas tiesai, pieņemot lēmumu par pieteikuma iesniedzēja apcietinājuma kā drošības līdzekļa turpināšanu, bija ļauns nolūks. Vienlaikus Tiesa norāda, ka spriedumā šajā sakarā nebija nekāda pamatojuma, izņemot vispārēju paziņojumu par drošības līdzekļa piemērošanu rezolutīvajā daļā. Tādēļ iemesli, kādēļ tiesa, kas pieņem spriedumu, pieteikuma iesniedzējam nolēma turpināt piemērot apcietinājumu kā drošības līdzekli, bija neskaidri, jo īpaši ņemot vērā to, ka tas nozīmēja, ka apcietinājums pārsniegs piespriestā brīvības atņemšanas soda ilgumu.</w:t>
      </w:r>
    </w:p>
    <w:p w14:paraId="1ECDA254" w14:textId="71D7CCCA" w:rsidR="009539D5" w:rsidRPr="009539D5" w:rsidRDefault="009539D5" w:rsidP="0046587B">
      <w:pPr>
        <w:pStyle w:val="ECHRPara"/>
        <w:rPr>
          <w:rFonts w:ascii="Times New Roman" w:hAnsi="Times New Roman"/>
          <w:noProof/>
        </w:rPr>
      </w:pPr>
      <w:r>
        <w:rPr>
          <w:rFonts w:ascii="Times New Roman" w:hAnsi="Times New Roman"/>
        </w:rPr>
        <w:t xml:space="preserve">65. Tiesa pieļauj, ka var būt īpaši apsvērumi, kas neatkarīgi no brīvības atņemšanas soda ilguma ir par pamatu tāda drošības līdzekļa piemērošanai notiesātajam, kas saistīts ar brīvības atņemšanu un kura mērķis ir nodrošināt viņa pieejamību tiesvedībai apelācijas instancē, ja </w:t>
      </w:r>
      <w:r>
        <w:rPr>
          <w:rFonts w:ascii="Times New Roman" w:hAnsi="Times New Roman"/>
        </w:rPr>
        <w:lastRenderedPageBreak/>
        <w:t>pirmās instances tiesas spriedums tiek pārsūdzēts apelācijas kārtībā. Tomēr Bilacerkvas tiesas 2010. gada 12. jūlija spriedumā šādi apsvērumi netika norādīti un no tā neizriet. Tieši pretēji, tiesa ņēma vērā pieteikuma iesniedzēja sadarbību izmeklēšanā un uz tā pamata nolēma piemērot maigāku sodu, nekā paredzēts attiecīgajā tiesību normā (skat. 6. punktu iepriekš). Attiecīgi pieteikuma iesniedzēja turēšana apcietinājumā pēc brīvības atņemšanas soda termiņa beigām bija nepamatota. Tiesa šajā sakarā norāda, ka valdība savos apsvērumos to atzina (skat. 26. punktu iepriekš).</w:t>
      </w:r>
    </w:p>
    <w:p w14:paraId="51D92A96" w14:textId="5B31211D" w:rsidR="009539D5" w:rsidRDefault="009539D5" w:rsidP="00142D26">
      <w:pPr>
        <w:pStyle w:val="ECHRPara"/>
        <w:rPr>
          <w:rFonts w:ascii="Times New Roman" w:hAnsi="Times New Roman"/>
          <w:noProof/>
        </w:rPr>
      </w:pPr>
      <w:r>
        <w:rPr>
          <w:rFonts w:ascii="Times New Roman" w:hAnsi="Times New Roman"/>
        </w:rPr>
        <w:t>66. Ņemot vērā iepriekš minētos apsvērumus, Tiesa secina, ka pieteikuma iesniedzēja turēšana apcietinājumā no 2010. gada 15. līdz 27. jūlijam bija Konvencijas 5. panta 1. punkta pārkāpums.</w:t>
      </w:r>
    </w:p>
    <w:p w14:paraId="06D04781" w14:textId="77777777" w:rsidR="009539D5" w:rsidRPr="009539D5" w:rsidRDefault="009539D5" w:rsidP="009539D5">
      <w:pPr>
        <w:pStyle w:val="ECHRPara"/>
        <w:ind w:firstLine="0"/>
        <w:rPr>
          <w:rFonts w:ascii="Times New Roman" w:hAnsi="Times New Roman"/>
          <w:noProof/>
        </w:rPr>
      </w:pPr>
    </w:p>
    <w:p w14:paraId="13438D91" w14:textId="7F53DDE6"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b) Pieteikuma iesniedzēja turēšana apcietinājumā no 2010. gada 27. līdz 29. jūlijam</w:t>
      </w:r>
    </w:p>
    <w:p w14:paraId="4F74D00B" w14:textId="77777777" w:rsidR="009539D5" w:rsidRPr="009539D5" w:rsidRDefault="009539D5" w:rsidP="009539D5">
      <w:pPr>
        <w:pStyle w:val="ECHRPara"/>
      </w:pPr>
    </w:p>
    <w:p w14:paraId="219ABBAF" w14:textId="210EEC10" w:rsidR="009539D5" w:rsidRPr="009539D5" w:rsidRDefault="009539D5" w:rsidP="0046587B">
      <w:pPr>
        <w:pStyle w:val="ECHRPara"/>
        <w:rPr>
          <w:rFonts w:ascii="Times New Roman" w:hAnsi="Times New Roman"/>
          <w:noProof/>
        </w:rPr>
      </w:pPr>
      <w:r>
        <w:rPr>
          <w:rFonts w:ascii="Times New Roman" w:hAnsi="Times New Roman"/>
        </w:rPr>
        <w:t>67. Tiesa norāda, ka Bilacerkvas tiesas 2010. gada 12. jūlija spriedums kļuva galīgs 2010. gada 27. jūlijā. Līdz ar to pieteikuma iesniedzēja apcietinājumā turēšanas pamats, kas bija noteikts kā drošības līdzeklis līdz spriedums kļuva galīgs, beidza pastāvēt. Turklāt šis pieteikuma iesniedzēja apcietinājumā turēšanas periods nebija saistīts ar viņam piespriestā brīvības atņemšanas soda izpildi, jo tā termiņš jau bija beidzies.</w:t>
      </w:r>
    </w:p>
    <w:p w14:paraId="481EF168" w14:textId="0F622A82" w:rsidR="009539D5" w:rsidRPr="009539D5" w:rsidRDefault="009539D5" w:rsidP="0046587B">
      <w:pPr>
        <w:pStyle w:val="ECHRPara"/>
        <w:rPr>
          <w:rFonts w:ascii="Times New Roman" w:hAnsi="Times New Roman"/>
          <w:i/>
          <w:noProof/>
        </w:rPr>
      </w:pPr>
      <w:r>
        <w:rPr>
          <w:rFonts w:ascii="Times New Roman" w:hAnsi="Times New Roman"/>
        </w:rPr>
        <w:t>68. Tiesa atkārtoti norāda, ka zināma kavēšanās lēmuma par aizturētā atbrīvošanu izpildē ir saprotama un bieži vien neizbēgama, ņemot vērā praktiskos apsvērumus, ka saistīti ar tiesu darbu un īpašu formalitāšu ievērošanu. Tomēr valsts iestādēm jācenšas tā samazināt līdz minimumam (skat. 1995. gada 22. marta sprieduma lietā “Kvinns [</w:t>
      </w:r>
      <w:r>
        <w:rPr>
          <w:rFonts w:ascii="Times New Roman" w:hAnsi="Times New Roman"/>
          <w:i/>
          <w:iCs/>
        </w:rPr>
        <w:t>Quinn</w:t>
      </w:r>
      <w:r>
        <w:rPr>
          <w:rFonts w:ascii="Times New Roman" w:hAnsi="Times New Roman"/>
        </w:rPr>
        <w:t>] pret Franciju” 42. punktu, A sērija, Nr. 311, 1997. gada 1. jūlija sprieduma lietā “Džulia Manconi [</w:t>
      </w:r>
      <w:r>
        <w:rPr>
          <w:rFonts w:ascii="Times New Roman" w:hAnsi="Times New Roman"/>
          <w:i/>
          <w:iCs/>
        </w:rPr>
        <w:t>Giulia Manzoni</w:t>
      </w:r>
      <w:r>
        <w:rPr>
          <w:rFonts w:ascii="Times New Roman" w:hAnsi="Times New Roman"/>
        </w:rPr>
        <w:t xml:space="preserve">] pret Itāliju” 25. punktu </w:t>
      </w:r>
      <w:r>
        <w:rPr>
          <w:rFonts w:ascii="Times New Roman" w:hAnsi="Times New Roman"/>
          <w:i/>
        </w:rPr>
        <w:t>in fine</w:t>
      </w:r>
      <w:r>
        <w:rPr>
          <w:rFonts w:ascii="Times New Roman" w:hAnsi="Times New Roman"/>
        </w:rPr>
        <w:t xml:space="preserve">, </w:t>
      </w:r>
      <w:r>
        <w:rPr>
          <w:rFonts w:ascii="Times New Roman" w:hAnsi="Times New Roman"/>
          <w:i/>
          <w:iCs/>
        </w:rPr>
        <w:t>Reports</w:t>
      </w:r>
      <w:r>
        <w:rPr>
          <w:rFonts w:ascii="Times New Roman" w:hAnsi="Times New Roman"/>
          <w:i/>
        </w:rPr>
        <w:t xml:space="preserve"> </w:t>
      </w:r>
      <w:r>
        <w:rPr>
          <w:rFonts w:ascii="Times New Roman" w:hAnsi="Times New Roman"/>
        </w:rPr>
        <w:t>1997</w:t>
      </w:r>
      <w:r>
        <w:rPr>
          <w:rFonts w:ascii="Times New Roman" w:hAnsi="Times New Roman"/>
        </w:rPr>
        <w:noBreakHyphen/>
        <w:t xml:space="preserve">IV, 1997. gada 27. novembra sprieduma lietā “K.-F. pret Vāciju” 71. punktu, </w:t>
      </w:r>
      <w:r>
        <w:rPr>
          <w:rFonts w:ascii="Times New Roman" w:hAnsi="Times New Roman"/>
          <w:i/>
          <w:iCs/>
        </w:rPr>
        <w:t>Reports</w:t>
      </w:r>
      <w:r>
        <w:rPr>
          <w:rFonts w:ascii="Times New Roman" w:hAnsi="Times New Roman"/>
        </w:rPr>
        <w:t xml:space="preserve"> 1997</w:t>
      </w:r>
      <w:r>
        <w:rPr>
          <w:rFonts w:ascii="Times New Roman" w:hAnsi="Times New Roman"/>
        </w:rPr>
        <w:noBreakHyphen/>
        <w:t>VII, un sprieduma lietā Nr. 44955/98 “Mančīni [</w:t>
      </w:r>
      <w:r>
        <w:rPr>
          <w:rFonts w:ascii="Times New Roman" w:hAnsi="Times New Roman"/>
          <w:i/>
          <w:iCs/>
        </w:rPr>
        <w:t>Mancini</w:t>
      </w:r>
      <w:r>
        <w:rPr>
          <w:rFonts w:ascii="Times New Roman" w:hAnsi="Times New Roman"/>
        </w:rPr>
        <w:t>] pret Itāliju” 24. punktu, ECT 2001</w:t>
      </w:r>
      <w:r>
        <w:rPr>
          <w:rFonts w:ascii="Times New Roman" w:hAnsi="Times New Roman"/>
        </w:rPr>
        <w:noBreakHyphen/>
        <w:t>IX). Ar atbrīvošanu saistītās administratīvās formalitātes nevar būt par pamatu, lai attaisnotu aizkavēšanos, kas ir ilgāka par dažām stundām (skat. 2003. gada 30. janvāra sprieduma lietā Nr. 38884/97 “Nikolovs [</w:t>
      </w:r>
      <w:r>
        <w:rPr>
          <w:rFonts w:ascii="Times New Roman" w:hAnsi="Times New Roman"/>
          <w:i/>
          <w:iCs/>
        </w:rPr>
        <w:t>Nikolov</w:t>
      </w:r>
      <w:r>
        <w:rPr>
          <w:rFonts w:ascii="Times New Roman" w:hAnsi="Times New Roman"/>
        </w:rPr>
        <w:t>] pret Bulgāriju”</w:t>
      </w:r>
      <w:r>
        <w:rPr>
          <w:rStyle w:val="ju-005fpara--char"/>
          <w:rFonts w:ascii="Times New Roman" w:hAnsi="Times New Roman"/>
          <w:i/>
        </w:rPr>
        <w:t xml:space="preserve"> </w:t>
      </w:r>
      <w:r>
        <w:rPr>
          <w:rFonts w:ascii="Times New Roman" w:hAnsi="Times New Roman"/>
        </w:rPr>
        <w:t>82. punktu). Līgumslēdzējām valstīm tiesību sistēma ir jāorganizē tā, lai to tiesībaizsardzības iestādes spētu izpildīt pienākumu nepiemērot brīvības atņemšanu bez pamata (skat., piemēram, 2007. gada 28. jūnija sprieduma lietā Nr. 65734/01 “Šukardins [</w:t>
      </w:r>
      <w:r>
        <w:rPr>
          <w:rFonts w:ascii="Times New Roman" w:hAnsi="Times New Roman"/>
          <w:i/>
          <w:iCs/>
        </w:rPr>
        <w:t>Shukhardin</w:t>
      </w:r>
      <w:r>
        <w:rPr>
          <w:rFonts w:ascii="Times New Roman" w:hAnsi="Times New Roman"/>
        </w:rPr>
        <w:t>] pret Krieviju” 93. punktu un 2011. gada 10. novembra sprieduma lietā Nr. 19246/10 “Mokallals [</w:t>
      </w:r>
      <w:r>
        <w:rPr>
          <w:rFonts w:ascii="Times New Roman" w:hAnsi="Times New Roman"/>
          <w:i/>
          <w:iCs/>
        </w:rPr>
        <w:t>Mokallal</w:t>
      </w:r>
      <w:r>
        <w:rPr>
          <w:rFonts w:ascii="Times New Roman" w:hAnsi="Times New Roman"/>
        </w:rPr>
        <w:t xml:space="preserve">] pret Ukrainu” </w:t>
      </w:r>
      <w:r>
        <w:rPr>
          <w:rFonts w:ascii="Times New Roman" w:hAnsi="Times New Roman"/>
          <w:snapToGrid w:val="0"/>
        </w:rPr>
        <w:t>44. punktu).</w:t>
      </w:r>
      <w:bookmarkStart w:id="1" w:name="HIT1"/>
      <w:bookmarkEnd w:id="1"/>
    </w:p>
    <w:p w14:paraId="661FEB89" w14:textId="3BFCAD43" w:rsidR="009539D5" w:rsidRPr="009539D5" w:rsidRDefault="009539D5" w:rsidP="0046587B">
      <w:pPr>
        <w:pStyle w:val="ECHRPara"/>
        <w:rPr>
          <w:rFonts w:ascii="Times New Roman" w:hAnsi="Times New Roman"/>
          <w:noProof/>
        </w:rPr>
      </w:pPr>
      <w:r>
        <w:rPr>
          <w:rFonts w:ascii="Times New Roman" w:hAnsi="Times New Roman"/>
        </w:rPr>
        <w:t>69. Šajā gadījumā valsts iestādēm vajadzēja divas dienas, lai organizētu pieteikuma iesniedzēja atbrīvošanu, kad vairs nepastāvēja pamats viņa turēšanai apcietinājumā pēc tam, kad 2010. gada 12. jūlijā spriedums kļuva galīgs. Ņemot vērā to, ka tiesībām uz brīvību ir būtiska nozīme demokrātiskā sabiedrībā, atbildētājai valstij vajadzēja izmantot visus modernos sakaru līdzekļus, lai līdz minimumam samazinātu kavēšanos, izpildot lēmumu par pieteikuma iesniedzēja atbrīvošanu, kā to prasa attiecīgā tiesu prakse (skat. iepriekš citētā sprieduma Mokallala lietā</w:t>
      </w:r>
      <w:r>
        <w:rPr>
          <w:rFonts w:ascii="Times New Roman" w:hAnsi="Times New Roman"/>
          <w:snapToGrid w:val="0"/>
        </w:rPr>
        <w:t xml:space="preserve"> 44. punktu). </w:t>
      </w:r>
      <w:r>
        <w:rPr>
          <w:rFonts w:ascii="Times New Roman" w:hAnsi="Times New Roman"/>
        </w:rPr>
        <w:t>Tiesa nav guvusi pārliecību, ka Ukrainas iestādes ir izpildījušas šo prasību konkrētajā lietā.</w:t>
      </w:r>
    </w:p>
    <w:p w14:paraId="719BCEEB" w14:textId="4F5E09D7" w:rsidR="009539D5" w:rsidRDefault="009539D5" w:rsidP="0046587B">
      <w:pPr>
        <w:pStyle w:val="ECHRPara"/>
        <w:rPr>
          <w:rFonts w:ascii="Times New Roman" w:hAnsi="Times New Roman"/>
          <w:noProof/>
        </w:rPr>
      </w:pPr>
      <w:r>
        <w:rPr>
          <w:rFonts w:ascii="Times New Roman" w:hAnsi="Times New Roman"/>
        </w:rPr>
        <w:t>70. No tā izriet, ka pieteikuma iesniedzēja turēšana apcietinājumā šajā periodā nebija pamatota saskaņā ar Konvencijas 5. panta 1. punktu.</w:t>
      </w:r>
    </w:p>
    <w:p w14:paraId="65AC60C2" w14:textId="77777777" w:rsidR="009539D5" w:rsidRPr="009539D5" w:rsidRDefault="009539D5" w:rsidP="009539D5">
      <w:pPr>
        <w:pStyle w:val="ECHRPara"/>
        <w:ind w:firstLine="0"/>
        <w:rPr>
          <w:rFonts w:ascii="Times New Roman" w:hAnsi="Times New Roman"/>
          <w:noProof/>
        </w:rPr>
      </w:pPr>
    </w:p>
    <w:p w14:paraId="015DF9A6" w14:textId="2108E2A5"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c) Secinājums</w:t>
      </w:r>
    </w:p>
    <w:p w14:paraId="6CEBAA8E" w14:textId="77777777" w:rsidR="009539D5" w:rsidRPr="009539D5" w:rsidRDefault="009539D5" w:rsidP="009539D5">
      <w:pPr>
        <w:pStyle w:val="ECHRPara"/>
      </w:pPr>
    </w:p>
    <w:p w14:paraId="0D3EF48E" w14:textId="27FB08E4" w:rsidR="009539D5" w:rsidRDefault="009539D5" w:rsidP="0046587B">
      <w:pPr>
        <w:pStyle w:val="ECHRPara"/>
        <w:rPr>
          <w:rFonts w:ascii="Times New Roman" w:hAnsi="Times New Roman"/>
          <w:noProof/>
        </w:rPr>
      </w:pPr>
      <w:r>
        <w:rPr>
          <w:rFonts w:ascii="Times New Roman" w:hAnsi="Times New Roman"/>
        </w:rPr>
        <w:t>71. Ņemot vērā visus iepriekš minētos apsvērumus, Tiesa secina, ka ir noticis Konvencijas 5. panta 1. punkta pārkāpums attiecībā uz visu pieteikuma iesniedzēja turēšanas apcietinājumā periodu, par kuru tika iesniegta sūdzība (no 2010. gada 15. līdz 29. jūlijam).</w:t>
      </w:r>
    </w:p>
    <w:p w14:paraId="6490DDAE" w14:textId="77777777" w:rsidR="009539D5" w:rsidRPr="009539D5" w:rsidRDefault="009539D5" w:rsidP="009539D5">
      <w:pPr>
        <w:pStyle w:val="ECHRPara"/>
        <w:ind w:firstLine="0"/>
        <w:rPr>
          <w:rFonts w:ascii="Times New Roman" w:hAnsi="Times New Roman"/>
          <w:noProof/>
        </w:rPr>
      </w:pPr>
    </w:p>
    <w:p w14:paraId="4338953F" w14:textId="249547A9" w:rsidR="009539D5" w:rsidRDefault="009539D5" w:rsidP="009539D5">
      <w:pPr>
        <w:pStyle w:val="ECHRHeading1"/>
        <w:spacing w:before="0" w:after="0"/>
        <w:ind w:left="0" w:firstLine="0"/>
        <w:outlineLvl w:val="9"/>
        <w:rPr>
          <w:rFonts w:ascii="Times New Roman" w:hAnsi="Times New Roman"/>
          <w:caps/>
          <w:noProof/>
        </w:rPr>
      </w:pPr>
      <w:r>
        <w:rPr>
          <w:rFonts w:ascii="Times New Roman" w:hAnsi="Times New Roman"/>
        </w:rPr>
        <w:lastRenderedPageBreak/>
        <w:t>II. 7. protokola 2. panta 1. punkta IESPĒJAMAIS PĀRKĀPUMS</w:t>
      </w:r>
    </w:p>
    <w:p w14:paraId="0DEAE402" w14:textId="77777777" w:rsidR="009539D5" w:rsidRPr="009539D5" w:rsidRDefault="009539D5" w:rsidP="009539D5">
      <w:pPr>
        <w:pStyle w:val="ECHRPara"/>
      </w:pPr>
    </w:p>
    <w:p w14:paraId="6CC276ED" w14:textId="6DB90045" w:rsidR="009539D5" w:rsidRDefault="009539D5" w:rsidP="001972D4">
      <w:pPr>
        <w:pStyle w:val="ECHRPara"/>
        <w:rPr>
          <w:rFonts w:ascii="Times New Roman" w:hAnsi="Times New Roman"/>
          <w:noProof/>
        </w:rPr>
      </w:pPr>
      <w:r>
        <w:rPr>
          <w:rFonts w:ascii="Times New Roman" w:hAnsi="Times New Roman"/>
        </w:rPr>
        <w:t>72. Turklāt pieteikuma iesniedzējs, pamatojoties uz 7. protokola 2. pantu, sūdzībā norādīja, ka viņam faktiski ir liegtas tiesības pārsūdzēt spriedumu krimināllietā. Noteikumā, ar kuru tas ir pamatos, paredzēts:</w:t>
      </w:r>
    </w:p>
    <w:p w14:paraId="6D4C4C7A" w14:textId="77777777" w:rsidR="0046587B" w:rsidRPr="009539D5" w:rsidRDefault="0046587B" w:rsidP="009539D5">
      <w:pPr>
        <w:pStyle w:val="ECHRPara"/>
        <w:ind w:firstLine="0"/>
        <w:rPr>
          <w:rFonts w:ascii="Times New Roman" w:hAnsi="Times New Roman"/>
          <w:noProof/>
        </w:rPr>
      </w:pPr>
    </w:p>
    <w:p w14:paraId="7B594CF1" w14:textId="5D5A1BF2" w:rsidR="009539D5" w:rsidRPr="009539D5" w:rsidRDefault="009539D5" w:rsidP="002827B7">
      <w:pPr>
        <w:pStyle w:val="ECHRParaQuote"/>
        <w:spacing w:before="0" w:after="0"/>
        <w:ind w:left="284" w:firstLine="283"/>
        <w:rPr>
          <w:rFonts w:ascii="Times New Roman" w:hAnsi="Times New Roman"/>
          <w:noProof/>
          <w:sz w:val="24"/>
        </w:rPr>
      </w:pPr>
      <w:r>
        <w:rPr>
          <w:rFonts w:ascii="Times New Roman" w:hAnsi="Times New Roman"/>
          <w:sz w:val="24"/>
        </w:rPr>
        <w:t>“1. Ikvienam, kuru tiesa ir atzinusi par vainīgu noziedzīgā nodarījumā, ir tiesības uz vainas pierādījuma vai soda apmēra pārskatīšanu augstākā instancē. Šo tiesību izmantošanu, ieskaitot izmantošanas pamatu, nosaka likums.</w:t>
      </w:r>
    </w:p>
    <w:p w14:paraId="2BE9BAA7" w14:textId="0739CA64" w:rsidR="009539D5" w:rsidRDefault="009539D5" w:rsidP="002827B7">
      <w:pPr>
        <w:pStyle w:val="ECHRParaQuote"/>
        <w:spacing w:before="0" w:after="0"/>
        <w:ind w:left="284" w:firstLine="283"/>
        <w:rPr>
          <w:rFonts w:ascii="Times New Roman" w:hAnsi="Times New Roman"/>
          <w:noProof/>
          <w:sz w:val="24"/>
        </w:rPr>
      </w:pPr>
      <w:r>
        <w:rPr>
          <w:rFonts w:ascii="Times New Roman" w:hAnsi="Times New Roman"/>
          <w:sz w:val="24"/>
        </w:rPr>
        <w:t>2. Izņēmumi šo tiesību īstenošanā ir pieļaujami attiecībā uz vieglāka rakstura pārkāpumiem, kas noteikti likumā, vai gadījumos, kad attiecīgo personu pirmajā instancē ir notiesājusi augstākās tiesas instance vai šī persona ir notiesāta pēc attaisnojoša sprieduma pārsūdzēšanas.”</w:t>
      </w:r>
    </w:p>
    <w:p w14:paraId="4F161181" w14:textId="77777777" w:rsidR="009539D5" w:rsidRPr="009539D5" w:rsidRDefault="009539D5" w:rsidP="009539D5">
      <w:pPr>
        <w:pStyle w:val="ECHRParaQuote"/>
        <w:spacing w:before="0" w:after="0"/>
        <w:ind w:left="0" w:firstLine="0"/>
        <w:rPr>
          <w:rFonts w:ascii="Times New Roman" w:hAnsi="Times New Roman"/>
          <w:noProof/>
          <w:sz w:val="24"/>
        </w:rPr>
      </w:pPr>
    </w:p>
    <w:p w14:paraId="40AA714F" w14:textId="1CAA5E07" w:rsidR="009539D5" w:rsidRDefault="009539D5" w:rsidP="002827B7">
      <w:pPr>
        <w:pStyle w:val="ECHRHeading2"/>
        <w:spacing w:before="0" w:after="0"/>
        <w:ind w:left="0" w:firstLine="0"/>
        <w:outlineLvl w:val="9"/>
        <w:rPr>
          <w:rFonts w:ascii="Times New Roman" w:hAnsi="Times New Roman"/>
          <w:noProof/>
        </w:rPr>
      </w:pPr>
      <w:r>
        <w:rPr>
          <w:rFonts w:ascii="Times New Roman" w:hAnsi="Times New Roman"/>
        </w:rPr>
        <w:t>A. Pieņemamība</w:t>
      </w:r>
    </w:p>
    <w:p w14:paraId="4EE5F60E" w14:textId="77777777" w:rsidR="009539D5" w:rsidRPr="009539D5" w:rsidRDefault="009539D5" w:rsidP="002827B7">
      <w:pPr>
        <w:pStyle w:val="ECHRPara"/>
        <w:keepNext/>
        <w:keepLines/>
      </w:pPr>
    </w:p>
    <w:p w14:paraId="65C9B8F7" w14:textId="671D43CF" w:rsidR="009539D5" w:rsidRDefault="009539D5" w:rsidP="002827B7">
      <w:pPr>
        <w:pStyle w:val="ECHRPara"/>
        <w:keepNext/>
        <w:keepLines/>
        <w:rPr>
          <w:rFonts w:ascii="Times New Roman" w:hAnsi="Times New Roman"/>
          <w:noProof/>
        </w:rPr>
      </w:pPr>
      <w:r>
        <w:rPr>
          <w:rFonts w:ascii="Times New Roman" w:hAnsi="Times New Roman"/>
        </w:rPr>
        <w:t>73. Tiesa norāda, ka šī sūdzība nav acīmredzami nepamatota Konvencijas 35. panta 3. punkta a) apakšpunkta nozīmē. Tā nav nepieņemama arī kādu citu iemeslu dēļ. Tāpēc tā jāatzīst par pieņemamu.</w:t>
      </w:r>
    </w:p>
    <w:p w14:paraId="68BF5C66" w14:textId="77777777" w:rsidR="009539D5" w:rsidRPr="009539D5" w:rsidRDefault="009539D5" w:rsidP="009539D5">
      <w:pPr>
        <w:pStyle w:val="ECHRPara"/>
        <w:ind w:firstLine="0"/>
        <w:rPr>
          <w:rFonts w:ascii="Times New Roman" w:hAnsi="Times New Roman"/>
          <w:noProof/>
        </w:rPr>
      </w:pPr>
    </w:p>
    <w:p w14:paraId="06C9D0B3" w14:textId="1048AD1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Lietas būtība</w:t>
      </w:r>
    </w:p>
    <w:p w14:paraId="4F2524BF" w14:textId="77777777" w:rsidR="009539D5" w:rsidRPr="009539D5" w:rsidRDefault="009539D5" w:rsidP="009539D5">
      <w:pPr>
        <w:pStyle w:val="ECHRPara"/>
      </w:pPr>
    </w:p>
    <w:p w14:paraId="075804E6" w14:textId="7D548422" w:rsidR="009539D5" w:rsidRPr="009539D5" w:rsidRDefault="009539D5" w:rsidP="0046587B">
      <w:pPr>
        <w:pStyle w:val="ECHRPara"/>
        <w:rPr>
          <w:rFonts w:ascii="Times New Roman" w:hAnsi="Times New Roman"/>
          <w:noProof/>
        </w:rPr>
      </w:pPr>
      <w:r>
        <w:rPr>
          <w:rFonts w:ascii="Times New Roman" w:hAnsi="Times New Roman"/>
        </w:rPr>
        <w:t>74. Pieteikuma iesniedzējs apgalvo, ka viņam faktiski bija jāizvēlas starp tiesībām pārsūdzēt spriedumu krimināllietā, no vienas puses, un brīvību, no otras puses. Citiem vārdiem sakot, ja viņš nolemtu iesniegt apelācijas sūdzību, tas ievērojami aizkavētu viņa atbrīvošanu.</w:t>
      </w:r>
    </w:p>
    <w:p w14:paraId="56C0A2ED" w14:textId="693AFE6D" w:rsidR="009539D5" w:rsidRPr="009539D5" w:rsidRDefault="009539D5" w:rsidP="0046587B">
      <w:pPr>
        <w:pStyle w:val="ECHRPara"/>
        <w:rPr>
          <w:rFonts w:ascii="Times New Roman" w:hAnsi="Times New Roman"/>
          <w:noProof/>
        </w:rPr>
      </w:pPr>
      <w:r>
        <w:rPr>
          <w:rFonts w:ascii="Times New Roman" w:hAnsi="Times New Roman"/>
        </w:rPr>
        <w:t>75. Valdība nekomentēja pieteikuma iesniedzēja argumentu. Tā norādīja, ka saskaņā ar valsts tiesību aktiem viņam bija tiesības iesniegt apelācijas sūdzību par 2010. gada 12. jūlija spriedumu, taču viņš izvēlējās to nedarīt. Attiecīgi valdība norādīja, ka pieteikuma iesniedzēja tiesības saskaņā ar 7. protokola 2. pantu nav pārkāptas.</w:t>
      </w:r>
    </w:p>
    <w:p w14:paraId="373740DB" w14:textId="31BF4273" w:rsidR="009539D5" w:rsidRPr="009539D5" w:rsidRDefault="009539D5" w:rsidP="0046587B">
      <w:pPr>
        <w:pStyle w:val="ECHRPara"/>
        <w:rPr>
          <w:rFonts w:ascii="Times New Roman" w:hAnsi="Times New Roman"/>
          <w:noProof/>
        </w:rPr>
      </w:pPr>
      <w:r>
        <w:rPr>
          <w:rFonts w:ascii="Times New Roman" w:hAnsi="Times New Roman"/>
        </w:rPr>
        <w:t>76. Tiesa norāda, ka Līgumslēdzējām valstīm principā ir plaša rīcības brīvība, nosakot, kā ir īstenojamas Konvencijas 7. protokola 2. pantā noteiktās tiesības (skat. sprieduma lietā Nr. 29731/96 “Krombahs [</w:t>
      </w:r>
      <w:r>
        <w:rPr>
          <w:rFonts w:ascii="Times New Roman" w:hAnsi="Times New Roman"/>
          <w:i/>
          <w:iCs/>
        </w:rPr>
        <w:t>Krombach</w:t>
      </w:r>
      <w:r>
        <w:rPr>
          <w:rFonts w:ascii="Times New Roman" w:hAnsi="Times New Roman"/>
        </w:rPr>
        <w:t>] pret Franciju” 96. punktu, ECT 2001</w:t>
      </w:r>
      <w:r>
        <w:rPr>
          <w:rFonts w:ascii="Times New Roman" w:hAnsi="Times New Roman"/>
        </w:rPr>
        <w:noBreakHyphen/>
        <w:t>II).</w:t>
      </w:r>
    </w:p>
    <w:p w14:paraId="5DBFD478" w14:textId="1E2573A7" w:rsidR="009539D5" w:rsidRPr="009539D5" w:rsidRDefault="009539D5" w:rsidP="0046587B">
      <w:pPr>
        <w:pStyle w:val="ECHRPara"/>
        <w:rPr>
          <w:rFonts w:ascii="Times New Roman" w:hAnsi="Times New Roman"/>
          <w:noProof/>
        </w:rPr>
      </w:pPr>
      <w:r>
        <w:rPr>
          <w:rFonts w:ascii="Times New Roman" w:hAnsi="Times New Roman"/>
        </w:rPr>
        <w:t>77. Kā izriet no Tiesas judikatūras, šis noteikums galvenokārt regulē organizatoriskos jautājumus, piemēram, apelācijas instances tiesas pieejamību vai izskatīšanas tvērumu apelācijas tiesvedībā (skat., piemēram, lēmumu lietā “Pesti [</w:t>
      </w:r>
      <w:r>
        <w:rPr>
          <w:rFonts w:ascii="Times New Roman" w:hAnsi="Times New Roman"/>
          <w:i/>
          <w:iCs/>
        </w:rPr>
        <w:t>Pesti</w:t>
      </w:r>
      <w:r>
        <w:rPr>
          <w:rFonts w:ascii="Times New Roman" w:hAnsi="Times New Roman"/>
        </w:rPr>
        <w:t>] un Frodls [</w:t>
      </w:r>
      <w:r>
        <w:rPr>
          <w:rFonts w:ascii="Times New Roman" w:hAnsi="Times New Roman"/>
          <w:i/>
          <w:iCs/>
        </w:rPr>
        <w:t>Frodl</w:t>
      </w:r>
      <w:r>
        <w:rPr>
          <w:rFonts w:ascii="Times New Roman" w:hAnsi="Times New Roman"/>
        </w:rPr>
        <w:t>] pret Austriju”, Nr. 27618/95 un 27619/95, ECT 2000-I).</w:t>
      </w:r>
    </w:p>
    <w:p w14:paraId="2346E14D" w14:textId="508861B1" w:rsidR="009539D5" w:rsidRPr="009539D5" w:rsidRDefault="009539D5" w:rsidP="0046587B">
      <w:pPr>
        <w:pStyle w:val="ECHRPara"/>
        <w:rPr>
          <w:rFonts w:ascii="Times New Roman" w:hAnsi="Times New Roman"/>
          <w:noProof/>
        </w:rPr>
      </w:pPr>
      <w:r>
        <w:rPr>
          <w:rFonts w:ascii="Times New Roman" w:hAnsi="Times New Roman"/>
        </w:rPr>
        <w:t>78. Ciktāl tas attiecas uz pieejamības jautājumu, Tiesa uzskata par pieņemamu, ka dažās valstīs atbildētājam, kas vēlas pārsūdzēt spriedumu, dažkārt jālūdz atļauja. Tomēr saskaņā ar vispāratzītu tiesu praksi pēc analoģijas ar tiesībām vērsties tiesā, kas ietvertas Konvencijas 6. panta 1. punktā, visu to ierobežojumu, kas ietverti valsts tiesību aktos attiecībā uz 7. protokola 2. pantā noteiktajām tiesībām uz sprieduma pārskatīšanu, mērķim ir jābūt likumīgam, un tas nedrīkst pārkāpt šo tiesību būtību (skat. iepriekš citētā sprieduma Krombaha lietā 96. punktu, 2005. gada 6. septembra sprieduma lietā Nr. 61406/00 “Gurepka [</w:t>
      </w:r>
      <w:r>
        <w:rPr>
          <w:rFonts w:ascii="Times New Roman" w:hAnsi="Times New Roman"/>
          <w:i/>
        </w:rPr>
        <w:t>Gurepka</w:t>
      </w:r>
      <w:r>
        <w:rPr>
          <w:rFonts w:ascii="Times New Roman" w:hAnsi="Times New Roman"/>
        </w:rPr>
        <w:t>] pret Ukrainu” 59. punktu un 2007. gada 15. novembra sprieduma lietā Nr. 26986/03 “Galstjans [</w:t>
      </w:r>
      <w:r>
        <w:rPr>
          <w:rFonts w:ascii="Times New Roman" w:hAnsi="Times New Roman"/>
          <w:i/>
          <w:iCs/>
        </w:rPr>
        <w:t>Galstyan</w:t>
      </w:r>
      <w:r>
        <w:rPr>
          <w:rFonts w:ascii="Times New Roman" w:hAnsi="Times New Roman"/>
        </w:rPr>
        <w:t>] pret Armēniju” 125. punktu).</w:t>
      </w:r>
    </w:p>
    <w:p w14:paraId="713E1B6A" w14:textId="792266EE" w:rsidR="009539D5" w:rsidRPr="009539D5" w:rsidRDefault="009539D5" w:rsidP="0046587B">
      <w:pPr>
        <w:pStyle w:val="ECHRPara"/>
        <w:rPr>
          <w:rFonts w:ascii="Times New Roman" w:hAnsi="Times New Roman"/>
          <w:noProof/>
        </w:rPr>
      </w:pPr>
      <w:r>
        <w:rPr>
          <w:rFonts w:ascii="Times New Roman" w:hAnsi="Times New Roman"/>
        </w:rPr>
        <w:t>79. Tiesa atkārtoti norāda, ka Konvencijas mērķis ir nodrošināt nevis teorētiskas vai iluzoras tiesības, bet gan praktiskas un efektīvas tiesības. Tas jo īpaši attiecas uz tiesībām vērsties tiesā, ņemot vērā, ka tiesībām uz taisnīgu tiesu demokrātiskā sabiedrībā ir būtiska nozīme (skat. 1979. gada 9. oktobra sprieduma lietā “Ērija [</w:t>
      </w:r>
      <w:r>
        <w:rPr>
          <w:rFonts w:ascii="Times New Roman" w:hAnsi="Times New Roman"/>
          <w:i/>
          <w:iCs/>
        </w:rPr>
        <w:t>Airey</w:t>
      </w:r>
      <w:r>
        <w:rPr>
          <w:rFonts w:ascii="Times New Roman" w:hAnsi="Times New Roman"/>
        </w:rPr>
        <w:t>] pret Īriju” 24. punktu, A sērija, Nr. 32, un sprieduma lietā Nr. 38695/97 “Garsija Manibardo [</w:t>
      </w:r>
      <w:r>
        <w:rPr>
          <w:rFonts w:ascii="Times New Roman" w:hAnsi="Times New Roman"/>
          <w:i/>
          <w:iCs/>
        </w:rPr>
        <w:t>García Manibardo</w:t>
      </w:r>
      <w:r>
        <w:rPr>
          <w:rFonts w:ascii="Times New Roman" w:hAnsi="Times New Roman"/>
        </w:rPr>
        <w:t xml:space="preserve">] pret Spāniju” </w:t>
      </w:r>
      <w:r>
        <w:rPr>
          <w:rFonts w:ascii="Times New Roman" w:hAnsi="Times New Roman"/>
        </w:rPr>
        <w:lastRenderedPageBreak/>
        <w:t>43. punktu, ECT 2000</w:t>
      </w:r>
      <w:r>
        <w:rPr>
          <w:rFonts w:ascii="Times New Roman" w:hAnsi="Times New Roman"/>
        </w:rPr>
        <w:noBreakHyphen/>
        <w:t>II). Paturot prātā iepriekš minēto principu, Tiesa arī savā judikatūrā ir atzinusi, ka kavēklis faktiski var būt pretrunā Konvencijai tāpat kā juridisks šķērslis (skat. 1975. gada 21. februāra sprieduma lietā “Golders [</w:t>
      </w:r>
      <w:r>
        <w:rPr>
          <w:rFonts w:ascii="Times New Roman" w:hAnsi="Times New Roman"/>
          <w:i/>
          <w:iCs/>
        </w:rPr>
        <w:t>Golder</w:t>
      </w:r>
      <w:r>
        <w:rPr>
          <w:rFonts w:ascii="Times New Roman" w:hAnsi="Times New Roman"/>
        </w:rPr>
        <w:t>] pret Apvienoto Karalisti” 26. punktu, A sērija, Nr. 18, un sprieduma lietā Nr. 47848/08 “Juridisko resursu centrs Valentīna Kimpjana [</w:t>
      </w:r>
      <w:r>
        <w:rPr>
          <w:rFonts w:ascii="Times New Roman" w:hAnsi="Times New Roman"/>
          <w:i/>
          <w:iCs/>
        </w:rPr>
        <w:t>Valentin Câmpeanu</w:t>
      </w:r>
      <w:r>
        <w:rPr>
          <w:rFonts w:ascii="Times New Roman" w:hAnsi="Times New Roman"/>
        </w:rPr>
        <w:t>] vārdā pret Rumāniju” [</w:t>
      </w:r>
      <w:r>
        <w:rPr>
          <w:rFonts w:ascii="Times New Roman" w:hAnsi="Times New Roman"/>
          <w:i/>
          <w:iCs/>
        </w:rPr>
        <w:t>GC</w:t>
      </w:r>
      <w:r>
        <w:rPr>
          <w:rFonts w:ascii="Times New Roman" w:hAnsi="Times New Roman"/>
        </w:rPr>
        <w:t>] 113. punktu, ECT 2014, kā piemēru no nesenākas judikatūras).</w:t>
      </w:r>
    </w:p>
    <w:p w14:paraId="76AEA68B" w14:textId="5D104824" w:rsidR="009539D5" w:rsidRPr="009539D5" w:rsidRDefault="009539D5" w:rsidP="0046587B">
      <w:pPr>
        <w:pStyle w:val="ECHRPara"/>
        <w:rPr>
          <w:rFonts w:ascii="Times New Roman" w:hAnsi="Times New Roman"/>
          <w:noProof/>
        </w:rPr>
      </w:pPr>
      <w:r>
        <w:rPr>
          <w:rFonts w:ascii="Times New Roman" w:hAnsi="Times New Roman"/>
        </w:rPr>
        <w:t>80. Pievēršoties šai lietai, Tiesa norāda, ka Ukrainas tiesību aktos bija paredzēta skaidra kārtība sprieduma pārsūdzēšanai kriminālprocesā. Tiesa izvērtēs, vai pieteikuma iesniedzējam bija apgrūtināta tiesību iesniegt apelācijas sūdzību izmantošana, un, ja tā bija, vai var uzskatīt, ka šis kavēklis ir pārkāpis viņa 7. protokola 2. pantā ietverto tiesību būtību.</w:t>
      </w:r>
    </w:p>
    <w:p w14:paraId="25381836" w14:textId="11B6698B" w:rsidR="009539D5" w:rsidRPr="009539D5" w:rsidRDefault="009539D5" w:rsidP="0046587B">
      <w:pPr>
        <w:pStyle w:val="ECHRPara"/>
        <w:rPr>
          <w:rFonts w:ascii="Times New Roman" w:hAnsi="Times New Roman"/>
          <w:noProof/>
        </w:rPr>
      </w:pPr>
      <w:r>
        <w:rPr>
          <w:rFonts w:ascii="Times New Roman" w:hAnsi="Times New Roman"/>
        </w:rPr>
        <w:t>81. Tiesa norāda, ka valsts līmeņa tiesas uzskatīja, ka pieteikuma iesniedzējs jāpatur apcietinājumā kā drošības līdzeklis līdz pirmās instances tiesas spriedums kļūs galīgs, pat pēc tam, kad viņam ar šo spriedumu piespriestā brīvības atņemšanas soda termiņš jau bija beidzies. Ja spriedums netika pārsūdzēts, attiecīgais laika posms bija divpadsmit dienas. Ja pieteikuma iesniedzējs nolemtu iesniegt apelācijas sūdzību, tas uz nenoteiktu laiku aizkavētu to, ka spriedums kļūst galīgs.</w:t>
      </w:r>
    </w:p>
    <w:p w14:paraId="740590E0" w14:textId="0AD49B76" w:rsidR="009539D5" w:rsidRPr="009539D5" w:rsidRDefault="009539D5" w:rsidP="0046587B">
      <w:pPr>
        <w:pStyle w:val="ECHRPara"/>
        <w:rPr>
          <w:rFonts w:ascii="Times New Roman" w:hAnsi="Times New Roman"/>
          <w:noProof/>
        </w:rPr>
      </w:pPr>
      <w:r>
        <w:rPr>
          <w:rFonts w:ascii="Times New Roman" w:hAnsi="Times New Roman"/>
        </w:rPr>
        <w:t>82. Attiecīgi Tiesa piekrīt pieteikuma iesniedzēja argumentam, ka par tiesību uz pārsūdzību izmantošanu būtu jāmaksā ar brīvību, īpaši ņemot vērā to, ka viņa apcietinājumā turēšanas ilgums nebūtu bijis paredzams. Līdz ar to Tiesa konstatē, ka šis apstāklis ir aizskāris viņa 7. protokola 2. pantā noteikto tiesību būtību.</w:t>
      </w:r>
    </w:p>
    <w:p w14:paraId="1493E999" w14:textId="5EFF819C" w:rsidR="009539D5" w:rsidRDefault="009539D5" w:rsidP="001972D4">
      <w:pPr>
        <w:pStyle w:val="ECHRPara"/>
        <w:rPr>
          <w:rFonts w:ascii="Times New Roman" w:hAnsi="Times New Roman"/>
          <w:noProof/>
        </w:rPr>
      </w:pPr>
      <w:r>
        <w:rPr>
          <w:rFonts w:ascii="Times New Roman" w:hAnsi="Times New Roman"/>
        </w:rPr>
        <w:t>83. Tātad ir noticis šā noteikuma pārkāpums.</w:t>
      </w:r>
    </w:p>
    <w:p w14:paraId="0B1C2FCB" w14:textId="77777777" w:rsidR="009539D5" w:rsidRPr="009539D5" w:rsidRDefault="009539D5" w:rsidP="009539D5">
      <w:pPr>
        <w:pStyle w:val="ECHRPara"/>
        <w:ind w:firstLine="0"/>
        <w:rPr>
          <w:rFonts w:ascii="Times New Roman" w:hAnsi="Times New Roman"/>
          <w:noProof/>
        </w:rPr>
      </w:pPr>
    </w:p>
    <w:p w14:paraId="09754EC1" w14:textId="5362245C"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III. KONVENCIJAS 41. PANTA PIEMĒROŠANA</w:t>
      </w:r>
    </w:p>
    <w:p w14:paraId="7719BE4D" w14:textId="77777777" w:rsidR="009539D5" w:rsidRPr="009539D5" w:rsidRDefault="009539D5" w:rsidP="009539D5">
      <w:pPr>
        <w:pStyle w:val="ECHRPara"/>
      </w:pPr>
    </w:p>
    <w:p w14:paraId="745AF01E" w14:textId="54664511" w:rsidR="009539D5" w:rsidRDefault="009539D5" w:rsidP="002827B7">
      <w:pPr>
        <w:pStyle w:val="ECHRPara"/>
        <w:rPr>
          <w:rFonts w:ascii="Times New Roman" w:hAnsi="Times New Roman"/>
          <w:noProof/>
        </w:rPr>
      </w:pPr>
      <w:r>
        <w:rPr>
          <w:rFonts w:ascii="Times New Roman" w:hAnsi="Times New Roman"/>
        </w:rPr>
        <w:t>84. Konvencijas 41. pantā ir noteikts:</w:t>
      </w:r>
    </w:p>
    <w:p w14:paraId="72747763" w14:textId="77777777" w:rsidR="0046587B" w:rsidRPr="009539D5" w:rsidRDefault="0046587B" w:rsidP="009539D5">
      <w:pPr>
        <w:pStyle w:val="ECHRPara"/>
        <w:ind w:firstLine="0"/>
        <w:rPr>
          <w:rFonts w:ascii="Times New Roman" w:hAnsi="Times New Roman"/>
          <w:noProof/>
        </w:rPr>
      </w:pPr>
    </w:p>
    <w:p w14:paraId="5FBA9CF7" w14:textId="31A68ADB" w:rsidR="009539D5" w:rsidRDefault="009539D5" w:rsidP="002827B7">
      <w:pPr>
        <w:pStyle w:val="ECHRParaQuote"/>
        <w:keepNext/>
        <w:keepLines/>
        <w:spacing w:before="0" w:after="0"/>
        <w:ind w:left="284" w:firstLine="283"/>
        <w:rPr>
          <w:rFonts w:ascii="Times New Roman" w:hAnsi="Times New Roman"/>
          <w:noProof/>
          <w:sz w:val="24"/>
        </w:rPr>
      </w:pPr>
      <w:r>
        <w:rPr>
          <w:rFonts w:ascii="Times New Roman" w:hAnsi="Times New Roman"/>
          <w:sz w:val="24"/>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14:paraId="5D29C933" w14:textId="77777777" w:rsidR="009539D5" w:rsidRPr="009539D5" w:rsidRDefault="009539D5" w:rsidP="009539D5">
      <w:pPr>
        <w:pStyle w:val="ECHRParaQuote"/>
        <w:keepNext/>
        <w:keepLines/>
        <w:spacing w:before="0" w:after="0"/>
        <w:ind w:left="0" w:firstLine="0"/>
        <w:rPr>
          <w:rFonts w:ascii="Times New Roman" w:hAnsi="Times New Roman"/>
          <w:noProof/>
          <w:sz w:val="24"/>
        </w:rPr>
      </w:pPr>
    </w:p>
    <w:p w14:paraId="1524A97E" w14:textId="27189AF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A. Kaitējums</w:t>
      </w:r>
    </w:p>
    <w:p w14:paraId="75FDF614" w14:textId="77777777" w:rsidR="009539D5" w:rsidRPr="009539D5" w:rsidRDefault="009539D5" w:rsidP="009539D5">
      <w:pPr>
        <w:pStyle w:val="ECHRPara"/>
      </w:pPr>
    </w:p>
    <w:p w14:paraId="3A87009E" w14:textId="0593B426" w:rsidR="009539D5" w:rsidRPr="009539D5" w:rsidRDefault="009539D5" w:rsidP="0046587B">
      <w:pPr>
        <w:pStyle w:val="ECHRPara"/>
        <w:rPr>
          <w:rFonts w:ascii="Times New Roman" w:hAnsi="Times New Roman"/>
          <w:noProof/>
        </w:rPr>
      </w:pPr>
      <w:r>
        <w:rPr>
          <w:rFonts w:ascii="Times New Roman" w:hAnsi="Times New Roman"/>
        </w:rPr>
        <w:t>85. Pieteikuma iesniedzējs pieprasīja morālā kaitējuma atlīdzinājumu 3000 </w:t>
      </w:r>
      <w:r>
        <w:rPr>
          <w:rFonts w:ascii="Times New Roman" w:hAnsi="Times New Roman"/>
          <w:i/>
          <w:iCs/>
        </w:rPr>
        <w:t>euro</w:t>
      </w:r>
      <w:r>
        <w:rPr>
          <w:rFonts w:ascii="Times New Roman" w:hAnsi="Times New Roman"/>
        </w:rPr>
        <w:t xml:space="preserve"> (EUR) apmērā.</w:t>
      </w:r>
    </w:p>
    <w:p w14:paraId="682F8FED" w14:textId="7DBA6263" w:rsidR="009539D5" w:rsidRPr="009539D5" w:rsidRDefault="009539D5" w:rsidP="0046587B">
      <w:pPr>
        <w:pStyle w:val="ECHRPara"/>
        <w:rPr>
          <w:rFonts w:ascii="Times New Roman" w:hAnsi="Times New Roman"/>
          <w:noProof/>
        </w:rPr>
      </w:pPr>
      <w:r>
        <w:rPr>
          <w:rFonts w:ascii="Times New Roman" w:hAnsi="Times New Roman"/>
        </w:rPr>
        <w:t>86. Valdība to apstrīdēja, norādot, ka prasība ir nepamatota un pārmērīga.</w:t>
      </w:r>
    </w:p>
    <w:p w14:paraId="03B171D6" w14:textId="7ADB61AC" w:rsidR="009539D5" w:rsidRDefault="009539D5" w:rsidP="0046587B">
      <w:pPr>
        <w:pStyle w:val="ECHRPara"/>
        <w:rPr>
          <w:rFonts w:ascii="Times New Roman" w:hAnsi="Times New Roman"/>
          <w:noProof/>
        </w:rPr>
      </w:pPr>
      <w:r>
        <w:rPr>
          <w:rFonts w:ascii="Times New Roman" w:hAnsi="Times New Roman"/>
        </w:rPr>
        <w:t>87. Ievērojot visus šīs lietas apstākļus, Tiesa piekrīt, ka pieteikuma iesniedzējam ir nodarīts morālais kaitējums, kas nav atlīdzināms, tikai konstatējot pārkāpumu. Veicot taisnīgu novērtējumu, Tiesa šajā jautājumā apmierina pieteikuma iesniedzēja prasību pilnā apmērā.</w:t>
      </w:r>
    </w:p>
    <w:p w14:paraId="4D3EEEB5" w14:textId="77777777" w:rsidR="009539D5" w:rsidRPr="009539D5" w:rsidRDefault="009539D5" w:rsidP="009539D5">
      <w:pPr>
        <w:pStyle w:val="ECHRPara"/>
        <w:ind w:firstLine="0"/>
        <w:rPr>
          <w:rFonts w:ascii="Times New Roman" w:hAnsi="Times New Roman"/>
          <w:noProof/>
        </w:rPr>
      </w:pPr>
    </w:p>
    <w:p w14:paraId="4968C016" w14:textId="2AD6633D"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Tiesāšanās izmaksas un izdevumi</w:t>
      </w:r>
    </w:p>
    <w:p w14:paraId="7DA9EC4E" w14:textId="77777777" w:rsidR="009539D5" w:rsidRPr="009539D5" w:rsidRDefault="009539D5" w:rsidP="009539D5">
      <w:pPr>
        <w:pStyle w:val="ECHRPara"/>
      </w:pPr>
    </w:p>
    <w:p w14:paraId="529DDF50" w14:textId="45EB53D7" w:rsidR="009539D5" w:rsidRPr="009539D5" w:rsidRDefault="009539D5" w:rsidP="00BF68E4">
      <w:pPr>
        <w:pStyle w:val="ECHRPara"/>
        <w:rPr>
          <w:rFonts w:ascii="Times New Roman" w:hAnsi="Times New Roman"/>
          <w:noProof/>
        </w:rPr>
      </w:pPr>
      <w:r>
        <w:rPr>
          <w:rFonts w:ascii="Times New Roman" w:hAnsi="Times New Roman"/>
        </w:rPr>
        <w:t>88. Pieteikuma iesniedzējs pieprasīja arī 1330 EUR par tiesāšanās izdevumiem. Viņš lūdza tiesu pārskaitīt šo summu uz viņa pārstāvja bankas kontu.</w:t>
      </w:r>
    </w:p>
    <w:p w14:paraId="0D8CD94E" w14:textId="49A8EC67" w:rsidR="009539D5" w:rsidRPr="009539D5" w:rsidRDefault="009539D5" w:rsidP="00BF68E4">
      <w:pPr>
        <w:pStyle w:val="ECHRPara"/>
        <w:rPr>
          <w:rFonts w:ascii="Times New Roman" w:hAnsi="Times New Roman"/>
          <w:noProof/>
        </w:rPr>
      </w:pPr>
      <w:r>
        <w:rPr>
          <w:rFonts w:ascii="Times New Roman" w:hAnsi="Times New Roman"/>
        </w:rPr>
        <w:t>89. Valdība to apstrīdēja, norādot, ka minētā prasība ir pārmērīga.</w:t>
      </w:r>
    </w:p>
    <w:p w14:paraId="6F79459F" w14:textId="02586CE6" w:rsidR="009539D5" w:rsidRDefault="009539D5" w:rsidP="00BF68E4">
      <w:pPr>
        <w:pStyle w:val="ECHRPara"/>
        <w:rPr>
          <w:rFonts w:ascii="Times New Roman" w:hAnsi="Times New Roman"/>
          <w:noProof/>
        </w:rPr>
      </w:pPr>
      <w:r>
        <w:rPr>
          <w:rFonts w:ascii="Times New Roman" w:hAnsi="Times New Roman"/>
        </w:rPr>
        <w:t>90. Saskaņā ar Tiesas praksi pieteikuma iesniedzējam ir tiesības uz tiesāšanās izdevumu atlīdzību tikai tādā apmērā, kādā ir pierādīts, ka šie izdevumi ir faktiski bijuši, atbilst vajadzībām un to summa ir saprātīga. Šajā lietā, ņemot vērā tās rīcībā esošos dokumentus un iepriekšminētos kritērijus, Tiesa apmierina pieteikuma iesniedzēja prasību pilnā apmērā un piespriež izmaksāt viņam 1330 EUR par tiesāšanās izdevumiem.</w:t>
      </w:r>
    </w:p>
    <w:p w14:paraId="1556708D" w14:textId="77777777" w:rsidR="009539D5" w:rsidRPr="009539D5" w:rsidRDefault="009539D5" w:rsidP="009539D5">
      <w:pPr>
        <w:pStyle w:val="ECHRPara"/>
        <w:ind w:firstLine="0"/>
        <w:rPr>
          <w:rFonts w:ascii="Times New Roman" w:hAnsi="Times New Roman"/>
          <w:noProof/>
        </w:rPr>
      </w:pPr>
    </w:p>
    <w:p w14:paraId="1A70DF1F" w14:textId="30287F2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lastRenderedPageBreak/>
        <w:t>C. Standarta procentu likme</w:t>
      </w:r>
    </w:p>
    <w:p w14:paraId="1CA2F946" w14:textId="77777777" w:rsidR="009539D5" w:rsidRPr="009539D5" w:rsidRDefault="009539D5" w:rsidP="009539D5">
      <w:pPr>
        <w:pStyle w:val="ECHRPara"/>
      </w:pPr>
    </w:p>
    <w:p w14:paraId="772C7390" w14:textId="3341C0CE" w:rsidR="009539D5" w:rsidRDefault="009539D5" w:rsidP="00BF68E4">
      <w:pPr>
        <w:pStyle w:val="ECHRPara"/>
        <w:rPr>
          <w:rFonts w:ascii="Times New Roman" w:hAnsi="Times New Roman"/>
          <w:noProof/>
        </w:rPr>
      </w:pPr>
      <w:r>
        <w:rPr>
          <w:rFonts w:ascii="Times New Roman" w:hAnsi="Times New Roman"/>
        </w:rPr>
        <w:t>91. Tiesa uzskata, ka standarta procentu likme jāpamato ar Eiropas Centrālās bankas rezerves kreditēšanas likmi, kam pieskaitāmi trīs procentpunkti.</w:t>
      </w:r>
    </w:p>
    <w:p w14:paraId="7C8E7886" w14:textId="77777777" w:rsidR="009539D5" w:rsidRPr="009539D5" w:rsidRDefault="009539D5" w:rsidP="009539D5">
      <w:pPr>
        <w:pStyle w:val="ECHRPara"/>
        <w:ind w:firstLine="0"/>
        <w:rPr>
          <w:rFonts w:ascii="Times New Roman" w:hAnsi="Times New Roman"/>
          <w:noProof/>
        </w:rPr>
      </w:pPr>
    </w:p>
    <w:p w14:paraId="7F5A4A34" w14:textId="77777777"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ŠO IEMESLU DĒĻ TIESA VIENPRĀTĪGI</w:t>
      </w:r>
    </w:p>
    <w:p w14:paraId="00B65301" w14:textId="77777777" w:rsidR="00BF68E4" w:rsidRPr="00BF68E4" w:rsidRDefault="00BF68E4" w:rsidP="00BF68E4">
      <w:pPr>
        <w:pStyle w:val="ECHRPara"/>
      </w:pPr>
    </w:p>
    <w:p w14:paraId="45DDA680" w14:textId="3A734F76" w:rsidR="009539D5" w:rsidRPr="009539D5" w:rsidRDefault="009539D5" w:rsidP="009539D5">
      <w:pPr>
        <w:pStyle w:val="JuList"/>
        <w:ind w:left="0" w:firstLine="0"/>
        <w:rPr>
          <w:rFonts w:ascii="Times New Roman" w:hAnsi="Times New Roman"/>
          <w:noProof/>
        </w:rPr>
      </w:pPr>
      <w:r>
        <w:rPr>
          <w:rFonts w:ascii="Times New Roman" w:hAnsi="Times New Roman"/>
        </w:rPr>
        <w:t xml:space="preserve">1. </w:t>
      </w:r>
      <w:r>
        <w:rPr>
          <w:rFonts w:ascii="Times New Roman" w:hAnsi="Times New Roman"/>
          <w:i/>
          <w:iCs/>
        </w:rPr>
        <w:t>pasludina</w:t>
      </w:r>
      <w:r>
        <w:rPr>
          <w:rFonts w:ascii="Times New Roman" w:hAnsi="Times New Roman"/>
        </w:rPr>
        <w:t xml:space="preserve"> pieteikumu par pieņemamu;</w:t>
      </w:r>
    </w:p>
    <w:p w14:paraId="63494ED8" w14:textId="77777777" w:rsidR="009539D5" w:rsidRPr="009539D5" w:rsidRDefault="009539D5" w:rsidP="009539D5">
      <w:pPr>
        <w:pStyle w:val="JuList"/>
        <w:ind w:left="0" w:firstLine="0"/>
        <w:rPr>
          <w:rFonts w:ascii="Times New Roman" w:hAnsi="Times New Roman"/>
          <w:noProof/>
        </w:rPr>
      </w:pPr>
    </w:p>
    <w:p w14:paraId="0E62A637" w14:textId="735FAB07" w:rsidR="009539D5" w:rsidRPr="009539D5" w:rsidRDefault="009539D5" w:rsidP="009539D5">
      <w:pPr>
        <w:pStyle w:val="JuList"/>
        <w:ind w:left="0" w:firstLine="0"/>
        <w:rPr>
          <w:rFonts w:ascii="Times New Roman" w:hAnsi="Times New Roman"/>
          <w:noProof/>
        </w:rPr>
      </w:pPr>
      <w:r>
        <w:rPr>
          <w:rFonts w:ascii="Times New Roman" w:hAnsi="Times New Roman"/>
        </w:rPr>
        <w:t xml:space="preserve">2. </w:t>
      </w:r>
      <w:r>
        <w:rPr>
          <w:rFonts w:ascii="Times New Roman" w:hAnsi="Times New Roman"/>
          <w:i/>
          <w:iCs/>
        </w:rPr>
        <w:t>nospriež</w:t>
      </w:r>
      <w:r>
        <w:rPr>
          <w:rFonts w:ascii="Times New Roman" w:hAnsi="Times New Roman"/>
        </w:rPr>
        <w:t>, ka Konvencijas 5. panta 1. punkts ir pārkāpts;</w:t>
      </w:r>
    </w:p>
    <w:p w14:paraId="798F351D" w14:textId="77777777" w:rsidR="009539D5" w:rsidRPr="009539D5" w:rsidRDefault="009539D5" w:rsidP="009539D5">
      <w:pPr>
        <w:pStyle w:val="JuList"/>
        <w:ind w:left="0" w:firstLine="0"/>
        <w:rPr>
          <w:rFonts w:ascii="Times New Roman" w:hAnsi="Times New Roman"/>
          <w:noProof/>
        </w:rPr>
      </w:pPr>
    </w:p>
    <w:p w14:paraId="05F58F07" w14:textId="503D1D95" w:rsidR="009539D5" w:rsidRPr="009539D5" w:rsidRDefault="009539D5" w:rsidP="009539D5">
      <w:pPr>
        <w:pStyle w:val="JuList"/>
        <w:ind w:left="0" w:firstLine="0"/>
        <w:rPr>
          <w:rFonts w:ascii="Times New Roman" w:hAnsi="Times New Roman"/>
          <w:noProof/>
        </w:rPr>
      </w:pPr>
      <w:r>
        <w:rPr>
          <w:rFonts w:ascii="Times New Roman" w:hAnsi="Times New Roman"/>
        </w:rPr>
        <w:t xml:space="preserve">3. </w:t>
      </w:r>
      <w:r>
        <w:rPr>
          <w:rFonts w:ascii="Times New Roman" w:hAnsi="Times New Roman"/>
          <w:i/>
          <w:iCs/>
        </w:rPr>
        <w:t>nospriež</w:t>
      </w:r>
      <w:r>
        <w:rPr>
          <w:rFonts w:ascii="Times New Roman" w:hAnsi="Times New Roman"/>
        </w:rPr>
        <w:t>, ka Konvencijas 7. protokola 2. pants ir pārkāpts;</w:t>
      </w:r>
    </w:p>
    <w:p w14:paraId="387CABD4" w14:textId="77777777" w:rsidR="009539D5" w:rsidRPr="009539D5" w:rsidRDefault="009539D5" w:rsidP="009539D5">
      <w:pPr>
        <w:pStyle w:val="JuList"/>
        <w:ind w:left="0" w:firstLine="0"/>
        <w:rPr>
          <w:rFonts w:ascii="Times New Roman" w:hAnsi="Times New Roman"/>
          <w:noProof/>
        </w:rPr>
      </w:pPr>
    </w:p>
    <w:p w14:paraId="21D8A4E8" w14:textId="73032321" w:rsidR="009539D5" w:rsidRPr="009539D5" w:rsidRDefault="009539D5" w:rsidP="009539D5">
      <w:pPr>
        <w:pStyle w:val="JuList"/>
        <w:ind w:left="0" w:firstLine="0"/>
        <w:rPr>
          <w:rFonts w:ascii="Times New Roman" w:hAnsi="Times New Roman"/>
          <w:i/>
          <w:noProof/>
        </w:rPr>
      </w:pPr>
      <w:r>
        <w:rPr>
          <w:rFonts w:ascii="Times New Roman" w:hAnsi="Times New Roman"/>
        </w:rPr>
        <w:t xml:space="preserve">4. </w:t>
      </w:r>
      <w:r>
        <w:rPr>
          <w:rFonts w:ascii="Times New Roman" w:hAnsi="Times New Roman"/>
          <w:i/>
        </w:rPr>
        <w:t>nospriež</w:t>
      </w:r>
      <w:r>
        <w:rPr>
          <w:rFonts w:ascii="Times New Roman" w:hAnsi="Times New Roman"/>
          <w:i/>
          <w:iCs/>
        </w:rPr>
        <w:t>, ka</w:t>
      </w:r>
    </w:p>
    <w:p w14:paraId="0F3B174D" w14:textId="56E961ED" w:rsidR="009539D5" w:rsidRPr="009539D5" w:rsidRDefault="009539D5" w:rsidP="00465FB5">
      <w:pPr>
        <w:pStyle w:val="JuLista"/>
        <w:ind w:left="284"/>
        <w:rPr>
          <w:rFonts w:ascii="Times New Roman" w:hAnsi="Times New Roman"/>
          <w:noProof/>
        </w:rPr>
      </w:pPr>
      <w:r>
        <w:rPr>
          <w:rFonts w:ascii="Times New Roman" w:hAnsi="Times New Roman"/>
        </w:rPr>
        <w:t>a) atbildētājai valstij trīs mēnešu laikā no dienas, kad šis spriedums saskaņā ar Konvencijas 44. panta 2. punktu kļūst galīgs, ir jāsamaksā pieteikuma iesniedzējam šādas summas, kas konvertējamas atbildētājas valsts valūtā atbilstoši maksājuma dienā spēkā esošajam kursam:</w:t>
      </w:r>
    </w:p>
    <w:p w14:paraId="68F98F3B" w14:textId="15AF353A" w:rsidR="009539D5" w:rsidRPr="009539D5" w:rsidRDefault="009539D5" w:rsidP="00465FB5">
      <w:pPr>
        <w:pStyle w:val="JuListi"/>
        <w:ind w:left="567"/>
        <w:rPr>
          <w:rFonts w:ascii="Times New Roman" w:hAnsi="Times New Roman"/>
          <w:noProof/>
        </w:rPr>
      </w:pPr>
      <w:r>
        <w:rPr>
          <w:rFonts w:ascii="Times New Roman" w:hAnsi="Times New Roman"/>
        </w:rPr>
        <w:t xml:space="preserve">i) 3000 EUR (trīs tūkstoši </w:t>
      </w:r>
      <w:r>
        <w:rPr>
          <w:rFonts w:ascii="Times New Roman" w:hAnsi="Times New Roman"/>
          <w:i/>
          <w:iCs/>
        </w:rPr>
        <w:t>euro</w:t>
      </w:r>
      <w:r>
        <w:rPr>
          <w:rFonts w:ascii="Times New Roman" w:hAnsi="Times New Roman"/>
        </w:rPr>
        <w:t>), kā arī visi nodokļi, kas varētu būt piemērojami attiecībā uz morālā kaitējuma atlīdzinājumu;</w:t>
      </w:r>
    </w:p>
    <w:p w14:paraId="48F8B55B" w14:textId="0EA0ED4C" w:rsidR="009539D5" w:rsidRPr="009539D5" w:rsidRDefault="009539D5" w:rsidP="00465FB5">
      <w:pPr>
        <w:pStyle w:val="JuListi"/>
        <w:ind w:left="567"/>
        <w:rPr>
          <w:rFonts w:ascii="Times New Roman" w:hAnsi="Times New Roman"/>
          <w:noProof/>
        </w:rPr>
      </w:pPr>
      <w:r>
        <w:rPr>
          <w:rFonts w:ascii="Times New Roman" w:hAnsi="Times New Roman"/>
        </w:rPr>
        <w:t xml:space="preserve">ii) 1330 EUR (viens tūkstotis trīs simti trīsdesmit </w:t>
      </w:r>
      <w:r>
        <w:rPr>
          <w:rFonts w:ascii="Times New Roman" w:hAnsi="Times New Roman"/>
          <w:i/>
          <w:iCs/>
        </w:rPr>
        <w:t>euro</w:t>
      </w:r>
      <w:r>
        <w:rPr>
          <w:rFonts w:ascii="Times New Roman" w:hAnsi="Times New Roman"/>
        </w:rPr>
        <w:t>), kā arī visi nodokļi, kas varētu būt piemērojami pieteikuma iesniedzējam attiecībā uz tiesāšanās izdevumiem, veicot pārskaitījumu uz viņa pārstāvja bankas kontu;</w:t>
      </w:r>
    </w:p>
    <w:p w14:paraId="0852459E" w14:textId="241A92D7" w:rsidR="009539D5" w:rsidRPr="009539D5" w:rsidRDefault="009539D5" w:rsidP="00465FB5">
      <w:pPr>
        <w:pStyle w:val="JuLista"/>
        <w:ind w:left="284"/>
        <w:rPr>
          <w:rFonts w:ascii="Times New Roman" w:hAnsi="Times New Roman"/>
          <w:noProof/>
        </w:rPr>
      </w:pPr>
      <w:r>
        <w:rPr>
          <w:rFonts w:ascii="Times New Roman" w:hAnsi="Times New Roman"/>
        </w:rPr>
        <w:t>b) no dienas, kad pagājuši minētie trīs mēneši, līdz maksājuma veikšanai šīm summām pieskaitāmi procenti pēc vienkāršas likmes, kas vienāda ar Eiropas Centrālās bankas aizdevuma uz nakti procentu likmi kavējuma periodā, pieskaitot trīs procentpunktus.</w:t>
      </w:r>
    </w:p>
    <w:p w14:paraId="574584E8" w14:textId="77777777" w:rsidR="009539D5" w:rsidRPr="009539D5" w:rsidRDefault="009539D5" w:rsidP="009539D5">
      <w:pPr>
        <w:pStyle w:val="JuList"/>
        <w:ind w:left="0" w:firstLine="0"/>
        <w:rPr>
          <w:rFonts w:ascii="Times New Roman" w:hAnsi="Times New Roman"/>
          <w:noProof/>
        </w:rPr>
      </w:pPr>
    </w:p>
    <w:p w14:paraId="21088F33" w14:textId="77777777" w:rsidR="009539D5" w:rsidRDefault="009539D5" w:rsidP="001972D4">
      <w:pPr>
        <w:pStyle w:val="JuParaLast"/>
        <w:spacing w:before="0"/>
        <w:rPr>
          <w:rFonts w:ascii="Times New Roman" w:hAnsi="Times New Roman"/>
          <w:noProof/>
        </w:rPr>
      </w:pPr>
      <w:r>
        <w:rPr>
          <w:rFonts w:ascii="Times New Roman" w:hAnsi="Times New Roman"/>
        </w:rPr>
        <w:t>Sagatavots angļu valodā un paziņots rakstveidā 2015. gada 4. jūnijā saskaņā ar Tiesas reglamenta 77. panta 2. un 3. punktu.</w:t>
      </w:r>
    </w:p>
    <w:p w14:paraId="349E8BC1" w14:textId="77777777" w:rsidR="003A3C60" w:rsidRPr="003A3C60" w:rsidRDefault="003A3C60" w:rsidP="003A3C60">
      <w:pPr>
        <w:pStyle w:val="ECHRPara"/>
      </w:pPr>
    </w:p>
    <w:p w14:paraId="42EA4BC8" w14:textId="77777777" w:rsidR="00BF68E4" w:rsidRPr="00BF68E4" w:rsidRDefault="00BF68E4" w:rsidP="00BF68E4">
      <w:pPr>
        <w:pStyle w:val="ECHR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F68E4" w14:paraId="7CE256D1" w14:textId="77777777" w:rsidTr="003E11F8">
        <w:tc>
          <w:tcPr>
            <w:tcW w:w="4530" w:type="dxa"/>
          </w:tcPr>
          <w:p w14:paraId="66268922" w14:textId="6F69AE00" w:rsidR="00BF68E4" w:rsidRDefault="00BF68E4" w:rsidP="009539D5">
            <w:pPr>
              <w:pStyle w:val="JuSigned"/>
              <w:spacing w:before="0"/>
              <w:jc w:val="both"/>
              <w:rPr>
                <w:rFonts w:ascii="Times New Roman" w:hAnsi="Times New Roman"/>
                <w:noProof/>
              </w:rPr>
            </w:pPr>
            <w:r>
              <w:rPr>
                <w:rFonts w:ascii="Times New Roman" w:hAnsi="Times New Roman"/>
              </w:rPr>
              <w:t>Milans Blaško</w:t>
            </w:r>
          </w:p>
        </w:tc>
        <w:tc>
          <w:tcPr>
            <w:tcW w:w="4531" w:type="dxa"/>
          </w:tcPr>
          <w:p w14:paraId="6F67D1A3" w14:textId="4AA488AB" w:rsidR="00BF68E4" w:rsidRDefault="00BF68E4" w:rsidP="003A3C60">
            <w:pPr>
              <w:pStyle w:val="JuSigned"/>
              <w:spacing w:before="0"/>
              <w:ind w:left="2308"/>
              <w:jc w:val="both"/>
              <w:rPr>
                <w:rFonts w:ascii="Times New Roman" w:hAnsi="Times New Roman"/>
                <w:noProof/>
              </w:rPr>
            </w:pPr>
            <w:r>
              <w:rPr>
                <w:rFonts w:ascii="Times New Roman" w:hAnsi="Times New Roman"/>
              </w:rPr>
              <w:t>Marks Viligērs</w:t>
            </w:r>
          </w:p>
        </w:tc>
      </w:tr>
      <w:tr w:rsidR="00BF68E4" w14:paraId="7767D7B7" w14:textId="77777777" w:rsidTr="003E11F8">
        <w:tc>
          <w:tcPr>
            <w:tcW w:w="4530" w:type="dxa"/>
          </w:tcPr>
          <w:p w14:paraId="122992D4" w14:textId="22D65BB1" w:rsidR="00BF68E4" w:rsidRDefault="00BF68E4" w:rsidP="009539D5">
            <w:pPr>
              <w:pStyle w:val="JuSigned"/>
              <w:spacing w:before="0"/>
              <w:jc w:val="both"/>
              <w:rPr>
                <w:rFonts w:ascii="Times New Roman" w:hAnsi="Times New Roman"/>
                <w:noProof/>
              </w:rPr>
            </w:pPr>
            <w:r>
              <w:rPr>
                <w:rFonts w:ascii="Times New Roman" w:hAnsi="Times New Roman"/>
              </w:rPr>
              <w:t>sekretāra palīgs</w:t>
            </w:r>
          </w:p>
        </w:tc>
        <w:tc>
          <w:tcPr>
            <w:tcW w:w="4531" w:type="dxa"/>
          </w:tcPr>
          <w:p w14:paraId="5FF28F14" w14:textId="173154EA" w:rsidR="00BF68E4" w:rsidRDefault="00BF68E4" w:rsidP="003A3C60">
            <w:pPr>
              <w:pStyle w:val="JuSigned"/>
              <w:spacing w:before="0"/>
              <w:ind w:left="2308"/>
              <w:jc w:val="both"/>
              <w:rPr>
                <w:rFonts w:ascii="Times New Roman" w:hAnsi="Times New Roman"/>
                <w:noProof/>
              </w:rPr>
            </w:pPr>
            <w:r>
              <w:rPr>
                <w:rFonts w:ascii="Times New Roman" w:hAnsi="Times New Roman"/>
              </w:rPr>
              <w:t>priekšsēdētājs</w:t>
            </w:r>
          </w:p>
        </w:tc>
      </w:tr>
    </w:tbl>
    <w:p w14:paraId="1C791469" w14:textId="77777777" w:rsidR="00BF68E4" w:rsidRDefault="00BF68E4" w:rsidP="009539D5">
      <w:pPr>
        <w:pStyle w:val="JuParaLast"/>
        <w:spacing w:before="0"/>
        <w:ind w:firstLine="0"/>
        <w:rPr>
          <w:rFonts w:ascii="Times New Roman" w:hAnsi="Times New Roman"/>
          <w:noProof/>
        </w:rPr>
      </w:pPr>
    </w:p>
    <w:p w14:paraId="6CD7087A" w14:textId="606EF9FC" w:rsidR="009539D5" w:rsidRPr="009539D5" w:rsidRDefault="009539D5" w:rsidP="001972D4">
      <w:pPr>
        <w:pStyle w:val="JuParaLast"/>
        <w:spacing w:before="0"/>
        <w:rPr>
          <w:rFonts w:ascii="Times New Roman" w:hAnsi="Times New Roman"/>
          <w:noProof/>
        </w:rPr>
      </w:pPr>
      <w:r>
        <w:rPr>
          <w:rFonts w:ascii="Times New Roman" w:hAnsi="Times New Roman"/>
        </w:rPr>
        <w:t>Saskaņā ar Konvencijas 45. panta 2. punktu un Tiesas Reglamenta 74. panta 2. punktu šim spriedumam ir pievienots tiesneša Zupačiča atsevišķais viedoklis.</w:t>
      </w:r>
    </w:p>
    <w:p w14:paraId="43FD43B1" w14:textId="77777777" w:rsidR="009539D5" w:rsidRPr="009539D5" w:rsidRDefault="009539D5" w:rsidP="009539D5">
      <w:pPr>
        <w:rPr>
          <w:rFonts w:ascii="Times New Roman" w:hAnsi="Times New Roman"/>
          <w:noProof/>
        </w:rPr>
      </w:pPr>
    </w:p>
    <w:p w14:paraId="5BBF45E7" w14:textId="77777777" w:rsidR="009539D5" w:rsidRPr="009539D5" w:rsidRDefault="009539D5" w:rsidP="00BF68E4">
      <w:pPr>
        <w:pStyle w:val="JuInitialled"/>
        <w:spacing w:before="0"/>
        <w:rPr>
          <w:rFonts w:ascii="Times New Roman" w:hAnsi="Times New Roman"/>
          <w:noProof/>
        </w:rPr>
      </w:pPr>
      <w:r>
        <w:rPr>
          <w:rFonts w:ascii="Times New Roman" w:hAnsi="Times New Roman"/>
        </w:rPr>
        <w:t>M. V.</w:t>
      </w:r>
    </w:p>
    <w:p w14:paraId="241586EC" w14:textId="58FCC5D4" w:rsidR="009539D5" w:rsidRPr="009539D5" w:rsidRDefault="009539D5" w:rsidP="003E11F8">
      <w:pPr>
        <w:pStyle w:val="JuInitialled"/>
        <w:spacing w:before="0"/>
        <w:rPr>
          <w:rFonts w:ascii="Times New Roman" w:hAnsi="Times New Roman"/>
          <w:noProof/>
        </w:rPr>
      </w:pPr>
      <w:r>
        <w:rPr>
          <w:rFonts w:ascii="Times New Roman" w:hAnsi="Times New Roman"/>
        </w:rPr>
        <w:t>M. B.</w:t>
      </w:r>
    </w:p>
    <w:p w14:paraId="1F742BB1" w14:textId="77777777" w:rsidR="001972D4" w:rsidRDefault="001972D4">
      <w:pPr>
        <w:jc w:val="left"/>
        <w:rPr>
          <w:rFonts w:ascii="Times New Roman" w:hAnsi="Times New Roman"/>
        </w:rPr>
      </w:pPr>
      <w:r>
        <w:rPr>
          <w:rFonts w:ascii="Times New Roman" w:hAnsi="Times New Roman"/>
        </w:rPr>
        <w:br w:type="page"/>
      </w:r>
    </w:p>
    <w:p w14:paraId="4DF9A72C" w14:textId="1259F0B6" w:rsidR="009539D5" w:rsidRPr="009539D5" w:rsidRDefault="009539D5" w:rsidP="00BF68E4">
      <w:pPr>
        <w:pStyle w:val="ECHRTitleCentre1"/>
        <w:spacing w:after="0"/>
        <w:outlineLvl w:val="9"/>
        <w:rPr>
          <w:rFonts w:ascii="Times New Roman" w:hAnsi="Times New Roman"/>
          <w:noProof/>
          <w:sz w:val="24"/>
        </w:rPr>
      </w:pPr>
      <w:r>
        <w:rPr>
          <w:rFonts w:ascii="Times New Roman" w:hAnsi="Times New Roman"/>
          <w:sz w:val="24"/>
        </w:rPr>
        <w:lastRenderedPageBreak/>
        <w:t>TIESNEŠA ZUPAČIČA PIEKRĪTOŠAIS VIEDOKLIS</w:t>
      </w:r>
    </w:p>
    <w:p w14:paraId="7D8F322D" w14:textId="77777777" w:rsidR="009539D5" w:rsidRPr="009539D5" w:rsidRDefault="009539D5" w:rsidP="009539D5">
      <w:pPr>
        <w:pStyle w:val="OpiPara"/>
        <w:ind w:firstLine="0"/>
        <w:rPr>
          <w:rFonts w:ascii="Times New Roman" w:hAnsi="Times New Roman"/>
          <w:noProof/>
        </w:rPr>
      </w:pPr>
    </w:p>
    <w:p w14:paraId="7984D777" w14:textId="77777777" w:rsidR="009539D5" w:rsidRPr="009539D5" w:rsidRDefault="009539D5" w:rsidP="00BF68E4">
      <w:pPr>
        <w:pStyle w:val="OpiPara"/>
        <w:rPr>
          <w:rFonts w:ascii="Times New Roman" w:hAnsi="Times New Roman"/>
          <w:noProof/>
        </w:rPr>
      </w:pPr>
      <w:r>
        <w:rPr>
          <w:rFonts w:ascii="Times New Roman" w:hAnsi="Times New Roman"/>
        </w:rPr>
        <w:t xml:space="preserve">Šis gadījums mums parāda īstu “ieslodzītā dilemmu”. Ukrainas kriminālprocesa īpatnējā rakstura dēļ pieteikuma iesniedzējs visu apcietinājuma laiku pavadīja, esot “pirmstiesas apcietinājumā”, lai gan šis apcietinājums </w:t>
      </w:r>
      <w:r>
        <w:rPr>
          <w:rFonts w:ascii="Times New Roman" w:hAnsi="Times New Roman"/>
          <w:i/>
          <w:iCs/>
        </w:rPr>
        <w:t>de facto</w:t>
      </w:r>
      <w:r>
        <w:rPr>
          <w:rFonts w:ascii="Times New Roman" w:hAnsi="Times New Roman"/>
        </w:rPr>
        <w:t xml:space="preserve"> bija pēc tiesas un pirms sprieduma. Beigās tiesvedības tiesa noteica sodu, iekļaujot tajā visu “pirmstiesas” apcietinājumā pavadīto laiku. Attiecīgi pieteikuma iesniedzējs bija jāatbrīvo nekavējoties pēc sprieduma pasludināšanas.</w:t>
      </w:r>
    </w:p>
    <w:p w14:paraId="784AD874" w14:textId="77777777" w:rsidR="009539D5" w:rsidRPr="009539D5" w:rsidRDefault="009539D5" w:rsidP="005F4565">
      <w:pPr>
        <w:pStyle w:val="OpiPara"/>
        <w:rPr>
          <w:rFonts w:ascii="Times New Roman" w:hAnsi="Times New Roman"/>
          <w:noProof/>
        </w:rPr>
      </w:pPr>
      <w:r>
        <w:rPr>
          <w:rFonts w:ascii="Times New Roman" w:hAnsi="Times New Roman"/>
        </w:rPr>
        <w:t>Tādējādi pieteikuma iesniedzējam radās dilemma. Ja viņš pieņēma spriedumu un sodu kā galīgu, viņš varēja brīvi iziet no cietuma. Tomēr, ja viņš izvēlētos izmantot savas Konvencijā, Konstitūcijā un kriminālprocesā noteiktās pārsūdzības tiesības, viņam būtu lemts palikt “pirmstiesas” apcietinājumā.</w:t>
      </w:r>
    </w:p>
    <w:p w14:paraId="6A5ECD74" w14:textId="77777777" w:rsidR="009539D5" w:rsidRDefault="009539D5" w:rsidP="005F4565">
      <w:pPr>
        <w:pStyle w:val="OpiPara"/>
        <w:rPr>
          <w:rFonts w:ascii="Times New Roman" w:hAnsi="Times New Roman"/>
        </w:rPr>
      </w:pPr>
      <w:r>
        <w:rPr>
          <w:rFonts w:ascii="Times New Roman" w:hAnsi="Times New Roman"/>
        </w:rPr>
        <w:t>Proti, sistēmas īpatnības viņam neļāva izmantot pārsūdzības tiesības vai vismaz būtiski atturēja no to izmantošanas saskaņā ar 7. protokola 2. panta 1. punktu:</w:t>
      </w:r>
    </w:p>
    <w:p w14:paraId="5ADA0228" w14:textId="77777777" w:rsidR="001972D4" w:rsidRPr="009539D5" w:rsidRDefault="001972D4" w:rsidP="009539D5">
      <w:pPr>
        <w:pStyle w:val="OpiPara"/>
        <w:ind w:firstLine="0"/>
        <w:rPr>
          <w:rFonts w:ascii="Times New Roman" w:hAnsi="Times New Roman"/>
          <w:noProof/>
        </w:rPr>
      </w:pPr>
    </w:p>
    <w:p w14:paraId="51FCC9F5" w14:textId="77777777" w:rsidR="009539D5" w:rsidRDefault="009539D5" w:rsidP="00BF68E4">
      <w:pPr>
        <w:pStyle w:val="ECHRTitleCentre3"/>
        <w:spacing w:before="0" w:after="0"/>
        <w:outlineLvl w:val="9"/>
        <w:rPr>
          <w:rFonts w:ascii="Times New Roman" w:hAnsi="Times New Roman"/>
          <w:noProof/>
          <w:sz w:val="24"/>
        </w:rPr>
      </w:pPr>
      <w:r>
        <w:rPr>
          <w:rFonts w:ascii="Times New Roman" w:hAnsi="Times New Roman"/>
          <w:sz w:val="24"/>
        </w:rPr>
        <w:t>Pārsūdzības tiesības krimināllietās</w:t>
      </w:r>
    </w:p>
    <w:p w14:paraId="46F68C86" w14:textId="77777777" w:rsidR="00BF68E4" w:rsidRPr="00BF68E4" w:rsidRDefault="00BF68E4" w:rsidP="00BF68E4">
      <w:pPr>
        <w:pStyle w:val="ECHRParaQuote"/>
        <w:rPr>
          <w:lang w:bidi="en-US"/>
        </w:rPr>
      </w:pPr>
    </w:p>
    <w:p w14:paraId="69DCAEA4" w14:textId="0BA0D3EC" w:rsidR="009539D5" w:rsidRPr="009539D5" w:rsidRDefault="009539D5" w:rsidP="00465FB5">
      <w:pPr>
        <w:pStyle w:val="ECHRParaQuote"/>
        <w:spacing w:before="0" w:after="0"/>
        <w:ind w:left="284" w:firstLine="283"/>
        <w:rPr>
          <w:rFonts w:ascii="Times New Roman" w:hAnsi="Times New Roman"/>
          <w:noProof/>
          <w:sz w:val="24"/>
        </w:rPr>
      </w:pPr>
      <w:r>
        <w:rPr>
          <w:rFonts w:ascii="Times New Roman" w:hAnsi="Times New Roman"/>
          <w:sz w:val="24"/>
        </w:rPr>
        <w:t>“1. Ikvienam, kuru tiesa ir atzinusi par vainīgu noziedzīgā nodarījumā, ir tiesības uz vainas pierādījuma vai soda apmēra pārskatīšanu augstākā instancē. Šo tiesību izmantošanu, ieskaitot izmantošanas pamatu, nosaka likums.</w:t>
      </w:r>
    </w:p>
    <w:p w14:paraId="5224C655" w14:textId="48BC1893" w:rsidR="009539D5" w:rsidRDefault="009539D5" w:rsidP="00465FB5">
      <w:pPr>
        <w:pStyle w:val="ECHRParaQuote"/>
        <w:spacing w:before="0" w:after="0"/>
        <w:ind w:left="284" w:firstLine="283"/>
        <w:rPr>
          <w:rFonts w:ascii="Times New Roman" w:hAnsi="Times New Roman"/>
          <w:noProof/>
          <w:sz w:val="24"/>
        </w:rPr>
      </w:pPr>
      <w:r>
        <w:rPr>
          <w:rFonts w:ascii="Times New Roman" w:hAnsi="Times New Roman"/>
          <w:sz w:val="24"/>
        </w:rPr>
        <w:t>(..)”</w:t>
      </w:r>
    </w:p>
    <w:p w14:paraId="0E8F8146" w14:textId="77777777" w:rsidR="00BF68E4" w:rsidRPr="009539D5" w:rsidRDefault="00BF68E4" w:rsidP="00BF68E4">
      <w:pPr>
        <w:pStyle w:val="ECHRParaQuote"/>
        <w:spacing w:before="0" w:after="0"/>
        <w:ind w:left="284" w:firstLine="0"/>
        <w:rPr>
          <w:rFonts w:ascii="Times New Roman" w:hAnsi="Times New Roman"/>
          <w:noProof/>
          <w:sz w:val="24"/>
        </w:rPr>
      </w:pPr>
    </w:p>
    <w:p w14:paraId="67D99546" w14:textId="77777777" w:rsidR="009539D5" w:rsidRPr="009539D5" w:rsidRDefault="009539D5" w:rsidP="00BF68E4">
      <w:pPr>
        <w:pStyle w:val="OpiPara"/>
        <w:rPr>
          <w:rFonts w:ascii="Times New Roman" w:hAnsi="Times New Roman"/>
          <w:noProof/>
        </w:rPr>
      </w:pPr>
      <w:r>
        <w:rPr>
          <w:rFonts w:ascii="Times New Roman" w:hAnsi="Times New Roman"/>
        </w:rPr>
        <w:t>Es, protams, piekrītu šīs lietas iznākumam, bet ierosinu šeit aizdomāties par analoģiju ar labi zināmo kriminālprocesa prasību par tā saukto “</w:t>
      </w:r>
      <w:r>
        <w:rPr>
          <w:rFonts w:ascii="Times New Roman" w:hAnsi="Times New Roman"/>
          <w:i/>
        </w:rPr>
        <w:t>reformatio in peius</w:t>
      </w:r>
      <w:r>
        <w:rPr>
          <w:rFonts w:ascii="Times New Roman" w:hAnsi="Times New Roman"/>
        </w:rPr>
        <w:t xml:space="preserve"> aizliegumu”. Daži autori tiesību jomā apgalvo, ka šīs tiesības ir pielīdzināmas konstitucionālām tiesībām, proti, ka atbildētājam, ja viņš ir vienīgais apelācijas sūdzības iesniedzējs, ir jābūt pārliecībai, ka apelācijas kārtībā pārsūdzētais sods nebūs bargāks par zemākas instances tiesas piespriesto sodu.</w:t>
      </w:r>
      <w:r w:rsidRPr="009539D5">
        <w:rPr>
          <w:rStyle w:val="FootnoteReference"/>
          <w:rFonts w:ascii="Times New Roman" w:hAnsi="Times New Roman"/>
          <w:noProof/>
        </w:rPr>
        <w:footnoteReference w:id="1"/>
      </w:r>
    </w:p>
    <w:p w14:paraId="21409BF0" w14:textId="77777777" w:rsidR="009539D5" w:rsidRPr="009539D5" w:rsidRDefault="009539D5" w:rsidP="00BF68E4">
      <w:pPr>
        <w:pStyle w:val="OpiPara"/>
        <w:rPr>
          <w:rFonts w:ascii="Times New Roman" w:hAnsi="Times New Roman"/>
          <w:noProof/>
        </w:rPr>
      </w:pPr>
      <w:r>
        <w:rPr>
          <w:rFonts w:ascii="Times New Roman" w:hAnsi="Times New Roman"/>
        </w:rPr>
        <w:t xml:space="preserve">Tomēr Konvencijā vai tās protokolos šāda garantija nav paredzēta, un arī mēs neuzskatām, ka </w:t>
      </w:r>
      <w:r>
        <w:rPr>
          <w:rFonts w:ascii="Times New Roman" w:hAnsi="Times New Roman"/>
          <w:i/>
          <w:iCs/>
        </w:rPr>
        <w:t>reformatio in peius</w:t>
      </w:r>
      <w:r>
        <w:rPr>
          <w:rFonts w:ascii="Times New Roman" w:hAnsi="Times New Roman"/>
        </w:rPr>
        <w:t xml:space="preserve"> aizliegumam </w:t>
      </w:r>
      <w:r>
        <w:rPr>
          <w:rFonts w:ascii="Times New Roman" w:hAnsi="Times New Roman"/>
          <w:i/>
          <w:iCs/>
        </w:rPr>
        <w:t>per se</w:t>
      </w:r>
      <w:r>
        <w:rPr>
          <w:rFonts w:ascii="Times New Roman" w:hAnsi="Times New Roman"/>
        </w:rPr>
        <w:t xml:space="preserve"> ir konstitucionāla nozīme.</w:t>
      </w:r>
    </w:p>
    <w:p w14:paraId="46AB032E" w14:textId="77777777" w:rsidR="009539D5" w:rsidRPr="009539D5" w:rsidRDefault="009539D5" w:rsidP="00BF68E4">
      <w:pPr>
        <w:pStyle w:val="OpiPara"/>
        <w:rPr>
          <w:rFonts w:ascii="Times New Roman" w:hAnsi="Times New Roman"/>
          <w:noProof/>
        </w:rPr>
      </w:pPr>
      <w:r>
        <w:rPr>
          <w:rFonts w:ascii="Times New Roman" w:hAnsi="Times New Roman"/>
        </w:rPr>
        <w:t>Savukārt konstitucionāli svarīgas ir atbildētāja pārsūdzības tiesības. Tās saskaņā ar H. L. A. Hartu [</w:t>
      </w:r>
      <w:r>
        <w:rPr>
          <w:rFonts w:ascii="Times New Roman" w:hAnsi="Times New Roman"/>
          <w:i/>
          <w:iCs/>
        </w:rPr>
        <w:t>Hart</w:t>
      </w:r>
      <w:r>
        <w:rPr>
          <w:rFonts w:ascii="Times New Roman" w:hAnsi="Times New Roman"/>
        </w:rPr>
        <w:t xml:space="preserve">] veido </w:t>
      </w:r>
      <w:r>
        <w:rPr>
          <w:rFonts w:ascii="Times New Roman" w:hAnsi="Times New Roman"/>
          <w:i/>
          <w:iCs/>
        </w:rPr>
        <w:t>pavēlošo</w:t>
      </w:r>
      <w:r>
        <w:rPr>
          <w:rFonts w:ascii="Times New Roman" w:hAnsi="Times New Roman"/>
        </w:rPr>
        <w:t xml:space="preserve"> normu, savukārt </w:t>
      </w:r>
      <w:r>
        <w:rPr>
          <w:rFonts w:ascii="Times New Roman" w:hAnsi="Times New Roman"/>
          <w:i/>
          <w:iCs/>
        </w:rPr>
        <w:t>reformatio in peius</w:t>
      </w:r>
      <w:r>
        <w:rPr>
          <w:rFonts w:ascii="Times New Roman" w:hAnsi="Times New Roman"/>
        </w:rPr>
        <w:t xml:space="preserve"> aizliegums ir </w:t>
      </w:r>
      <w:r>
        <w:rPr>
          <w:rFonts w:ascii="Times New Roman" w:hAnsi="Times New Roman"/>
          <w:i/>
          <w:iCs/>
        </w:rPr>
        <w:t>instrumentāls</w:t>
      </w:r>
      <w:r>
        <w:rPr>
          <w:rFonts w:ascii="Times New Roman" w:hAnsi="Times New Roman"/>
        </w:rPr>
        <w:t xml:space="preserve"> noteikums attiecībā uz pavēlošo normu.</w:t>
      </w:r>
    </w:p>
    <w:p w14:paraId="29A5D002" w14:textId="77777777" w:rsidR="009539D5" w:rsidRPr="009539D5" w:rsidRDefault="009539D5" w:rsidP="00BF68E4">
      <w:pPr>
        <w:pStyle w:val="OpiPara"/>
        <w:rPr>
          <w:rFonts w:ascii="Times New Roman" w:hAnsi="Times New Roman"/>
          <w:noProof/>
        </w:rPr>
      </w:pPr>
      <w:r>
        <w:rPr>
          <w:rFonts w:ascii="Times New Roman" w:hAnsi="Times New Roman"/>
        </w:rPr>
        <w:t xml:space="preserve">Turpretim </w:t>
      </w:r>
      <w:r>
        <w:rPr>
          <w:rFonts w:ascii="Times New Roman" w:hAnsi="Times New Roman"/>
          <w:i/>
          <w:iCs/>
        </w:rPr>
        <w:t>reformatio in peius</w:t>
      </w:r>
      <w:r>
        <w:rPr>
          <w:rFonts w:ascii="Times New Roman" w:hAnsi="Times New Roman"/>
        </w:rPr>
        <w:t xml:space="preserve"> aizlieguma tiešā </w:t>
      </w:r>
      <w:r>
        <w:rPr>
          <w:rFonts w:ascii="Times New Roman" w:hAnsi="Times New Roman"/>
          <w:i/>
          <w:iCs/>
        </w:rPr>
        <w:t>ratio legis</w:t>
      </w:r>
      <w:r>
        <w:rPr>
          <w:rFonts w:ascii="Times New Roman" w:hAnsi="Times New Roman"/>
        </w:rPr>
        <w:t xml:space="preserve"> arī ir ļoti pragmatiska. Ja ir jānodrošina apelācijas instances tiesām piekļuve noteikta veida lietām, lai tās varētu racionalizēt tiesu praksi krimināltiesību jomā, apelācijas sūdzību iesniedzējus, kas notiesāti zemākas instances tiesās, nedrīkst atturēt no apelācijas sūdzību iesniegšanas.</w:t>
      </w:r>
    </w:p>
    <w:p w14:paraId="59299D77" w14:textId="77777777" w:rsidR="009539D5" w:rsidRPr="009539D5" w:rsidRDefault="009539D5" w:rsidP="00BF68E4">
      <w:pPr>
        <w:pStyle w:val="OpiPara"/>
        <w:rPr>
          <w:rFonts w:ascii="Times New Roman" w:hAnsi="Times New Roman"/>
          <w:noProof/>
        </w:rPr>
      </w:pPr>
      <w:r>
        <w:rPr>
          <w:rFonts w:ascii="Times New Roman" w:hAnsi="Times New Roman"/>
        </w:rPr>
        <w:t xml:space="preserve">Tomēr pat no šīs praktiskās perspektīvas </w:t>
      </w:r>
      <w:r>
        <w:rPr>
          <w:rFonts w:ascii="Times New Roman" w:hAnsi="Times New Roman"/>
          <w:i/>
          <w:iCs/>
        </w:rPr>
        <w:t>reformatio in peius</w:t>
      </w:r>
      <w:r>
        <w:rPr>
          <w:rFonts w:ascii="Times New Roman" w:hAnsi="Times New Roman"/>
        </w:rPr>
        <w:t xml:space="preserve"> aizliegums tiek uztverts kā tradicionālas tiesības tiem atbildētājiem, attiecībā uz kuriem nav pieņemts galīgs spriedums kontinentālajā kriminālprocesā; tas ir likumīgs viņu pēctiesas procesuālā stāvokļa papildinājums neatkarīgi no iepriekš minētās šaurākās </w:t>
      </w:r>
      <w:r>
        <w:rPr>
          <w:rFonts w:ascii="Times New Roman" w:hAnsi="Times New Roman"/>
          <w:i/>
        </w:rPr>
        <w:t>ratio legis</w:t>
      </w:r>
      <w:r>
        <w:rPr>
          <w:rFonts w:ascii="Times New Roman" w:hAnsi="Times New Roman"/>
        </w:rPr>
        <w:t>. Tāpēc šie atbildētāji varētu gūt no šīs garantijas labumu, pat ja tikai nelielu. Tādējādi, raugoties no viņu pašu, kā arī no tiesiskuma viedokļa, atbildētājiem kriminālprocesā nedrīkst pastāvēt apstākļi, kas būtiski attur no soda pārsūdzēšanas.</w:t>
      </w:r>
    </w:p>
    <w:p w14:paraId="2C8AB5AC" w14:textId="77777777" w:rsidR="009539D5" w:rsidRPr="009539D5" w:rsidRDefault="009539D5" w:rsidP="003E11F8">
      <w:pPr>
        <w:pStyle w:val="OpiPara"/>
        <w:rPr>
          <w:rFonts w:ascii="Times New Roman" w:hAnsi="Times New Roman"/>
          <w:noProof/>
        </w:rPr>
      </w:pPr>
      <w:r>
        <w:rPr>
          <w:rFonts w:ascii="Times New Roman" w:hAnsi="Times New Roman"/>
        </w:rPr>
        <w:t xml:space="preserve">Tomēr tieši tas notika mūsu izskatāmajā lietā. Ja atbildētājs būtu pārsūdzējis notiesājošo spriedumu, viņa “pirmstiesas” apcietinājuma termiņš tiktu pagarināts uz laiku, kas nepieciešams apelācijas instances tiesai, lai izskatītu lietu. Tāpēc viņam bija liegts pārsūdzēt </w:t>
      </w:r>
      <w:r>
        <w:rPr>
          <w:rFonts w:ascii="Times New Roman" w:hAnsi="Times New Roman"/>
        </w:rPr>
        <w:lastRenderedPageBreak/>
        <w:t>pirmās instances tiesas spriedumu. Attiecīgi viņa pārsūdzības tiesības, kas noteiktas 7. protokola 2. panta 1. punktā (</w:t>
      </w:r>
      <w:r>
        <w:rPr>
          <w:rFonts w:ascii="Times New Roman" w:hAnsi="Times New Roman"/>
          <w:i/>
          <w:iCs/>
        </w:rPr>
        <w:t>supra</w:t>
      </w:r>
      <w:r>
        <w:rPr>
          <w:rFonts w:ascii="Times New Roman" w:hAnsi="Times New Roman"/>
        </w:rPr>
        <w:t>), faktiski tika pārkāptas.</w:t>
      </w:r>
    </w:p>
    <w:p w14:paraId="60686059" w14:textId="77777777" w:rsidR="009539D5" w:rsidRPr="009539D5" w:rsidRDefault="009539D5" w:rsidP="003E11F8">
      <w:pPr>
        <w:pStyle w:val="OpiPara"/>
        <w:rPr>
          <w:rFonts w:ascii="Times New Roman" w:hAnsi="Times New Roman"/>
          <w:noProof/>
        </w:rPr>
      </w:pPr>
      <w:r>
        <w:rPr>
          <w:rFonts w:ascii="Times New Roman" w:hAnsi="Times New Roman"/>
        </w:rPr>
        <w:t xml:space="preserve">Ja mēs </w:t>
      </w:r>
      <w:r>
        <w:rPr>
          <w:rFonts w:ascii="Times New Roman" w:hAnsi="Times New Roman"/>
          <w:i/>
          <w:iCs/>
        </w:rPr>
        <w:t>in abstracto</w:t>
      </w:r>
      <w:r>
        <w:rPr>
          <w:rFonts w:ascii="Times New Roman" w:hAnsi="Times New Roman"/>
        </w:rPr>
        <w:t xml:space="preserve"> uzskatītu </w:t>
      </w:r>
      <w:r>
        <w:rPr>
          <w:rFonts w:ascii="Times New Roman" w:hAnsi="Times New Roman"/>
          <w:i/>
          <w:iCs/>
        </w:rPr>
        <w:t>reformatio in peius</w:t>
      </w:r>
      <w:r>
        <w:rPr>
          <w:rFonts w:ascii="Times New Roman" w:hAnsi="Times New Roman"/>
        </w:rPr>
        <w:t xml:space="preserve"> aizliegumu par procesuālām tiesībām, ar ko ir papildinātas pārsūdzības tiesības, šajā lietā notikusī atbildētāja atturēšana no pārsūdzības tiesību izmantošanas tiktu uzskatīta par tādu pašu </w:t>
      </w:r>
      <w:r>
        <w:rPr>
          <w:rFonts w:ascii="Times New Roman" w:hAnsi="Times New Roman"/>
          <w:i/>
          <w:iCs/>
        </w:rPr>
        <w:t>ratio legis</w:t>
      </w:r>
      <w:r>
        <w:rPr>
          <w:rFonts w:ascii="Times New Roman" w:hAnsi="Times New Roman"/>
        </w:rPr>
        <w:t xml:space="preserve"> pārkāpumu. Šā iemesla dēļ viņa lieta nenonāca apelācijas instances tiesā. Tomēr, ja apelācijas instances tiesai būtu iespēja izskatīt lietu, tas neapšaubāmi būtu viņa interesēs, </w:t>
      </w:r>
      <w:r>
        <w:rPr>
          <w:rFonts w:ascii="Times New Roman" w:hAnsi="Times New Roman"/>
          <w:i/>
          <w:iCs/>
        </w:rPr>
        <w:t>kā arī</w:t>
      </w:r>
      <w:r>
        <w:rPr>
          <w:rFonts w:ascii="Times New Roman" w:hAnsi="Times New Roman"/>
        </w:rPr>
        <w:t xml:space="preserve"> tiesiskuma interesēs.</w:t>
      </w:r>
    </w:p>
    <w:p w14:paraId="51F61C56" w14:textId="77777777" w:rsidR="009539D5" w:rsidRDefault="009539D5" w:rsidP="003E11F8">
      <w:pPr>
        <w:pStyle w:val="OpiPara"/>
        <w:rPr>
          <w:rFonts w:ascii="Times New Roman" w:hAnsi="Times New Roman"/>
          <w:noProof/>
        </w:rPr>
      </w:pPr>
      <w:r>
        <w:rPr>
          <w:rFonts w:ascii="Times New Roman" w:hAnsi="Times New Roman"/>
        </w:rPr>
        <w:t xml:space="preserve">Tomēr Konvencijā </w:t>
      </w:r>
      <w:r>
        <w:rPr>
          <w:rFonts w:ascii="Times New Roman" w:hAnsi="Times New Roman"/>
          <w:i/>
          <w:iCs/>
        </w:rPr>
        <w:t>reformatio in peius</w:t>
      </w:r>
      <w:r>
        <w:rPr>
          <w:rFonts w:ascii="Times New Roman" w:hAnsi="Times New Roman"/>
        </w:rPr>
        <w:t xml:space="preserve"> aizliegums vēl tieši nav atzīts par atbildētāja tiesībām. Turklāt par šo jautājumu nav Eiropas Cilvēktiesību tiesas judikatūras. Taču ideja, ka nedrīkst atturēt apelācijas sūdzību iesniedzējus, attiecas pat uz Strasbūras sistēmu. Kā norādīja tiesnesis Vojtičeks [</w:t>
      </w:r>
      <w:r>
        <w:rPr>
          <w:rFonts w:ascii="Times New Roman" w:hAnsi="Times New Roman"/>
          <w:i/>
          <w:iCs/>
        </w:rPr>
        <w:t>Wojtyczek</w:t>
      </w:r>
      <w:r>
        <w:rPr>
          <w:rFonts w:ascii="Times New Roman" w:hAnsi="Times New Roman"/>
        </w:rPr>
        <w:t>] sava atsevišķā viedokļa 11. punktā lietā “Janovecs [</w:t>
      </w:r>
      <w:r>
        <w:rPr>
          <w:rFonts w:ascii="Times New Roman" w:hAnsi="Times New Roman"/>
          <w:i/>
          <w:iCs/>
        </w:rPr>
        <w:t>Janowiec</w:t>
      </w:r>
      <w:r>
        <w:rPr>
          <w:rFonts w:ascii="Times New Roman" w:hAnsi="Times New Roman"/>
        </w:rPr>
        <w:t>] un citi pret Krieviju ([</w:t>
      </w:r>
      <w:r>
        <w:rPr>
          <w:rFonts w:ascii="Times New Roman" w:hAnsi="Times New Roman"/>
          <w:i/>
          <w:iCs/>
        </w:rPr>
        <w:t>GC</w:t>
      </w:r>
      <w:r>
        <w:rPr>
          <w:rFonts w:ascii="Times New Roman" w:hAnsi="Times New Roman"/>
        </w:rPr>
        <w:t>], Nr. 55508/07 un 29520/09, ECT 2013),</w:t>
      </w:r>
    </w:p>
    <w:p w14:paraId="312A7EAB" w14:textId="77777777" w:rsidR="003E11F8" w:rsidRPr="009539D5" w:rsidRDefault="003E11F8" w:rsidP="003E11F8">
      <w:pPr>
        <w:pStyle w:val="OpiPara"/>
        <w:rPr>
          <w:rFonts w:ascii="Times New Roman" w:hAnsi="Times New Roman"/>
          <w:noProof/>
        </w:rPr>
      </w:pPr>
    </w:p>
    <w:p w14:paraId="39FCDD77" w14:textId="77BABD1E" w:rsidR="009539D5" w:rsidRPr="009539D5" w:rsidRDefault="009539D5" w:rsidP="00465FB5">
      <w:pPr>
        <w:pStyle w:val="OpiQuot"/>
        <w:spacing w:before="0" w:after="0"/>
        <w:ind w:left="284" w:firstLine="283"/>
        <w:rPr>
          <w:rFonts w:ascii="Times New Roman" w:hAnsi="Times New Roman"/>
          <w:noProof/>
          <w:sz w:val="24"/>
        </w:rPr>
      </w:pPr>
      <w:r>
        <w:rPr>
          <w:rFonts w:ascii="Times New Roman" w:hAnsi="Times New Roman"/>
          <w:sz w:val="24"/>
        </w:rPr>
        <w:t xml:space="preserve">“jānorāda, ka šī lieta tika nodota izskatīšanai Lielajā palātā pēc pieteikuma iesniedzēju lūguma. Lai gan Konvencija neparedz </w:t>
      </w:r>
      <w:r>
        <w:rPr>
          <w:rFonts w:ascii="Times New Roman" w:hAnsi="Times New Roman"/>
          <w:i/>
          <w:iCs/>
          <w:sz w:val="24"/>
        </w:rPr>
        <w:t>reformatio in peius</w:t>
      </w:r>
      <w:r>
        <w:rPr>
          <w:rFonts w:ascii="Times New Roman" w:hAnsi="Times New Roman"/>
          <w:sz w:val="24"/>
        </w:rPr>
        <w:t xml:space="preserve"> aizliegumu, situācija ir paradoksāla, jo Konvencijas 43. pantā paredzētais tiesiskās aizsardzības līdzeklis, ko pieteikumu iesniedzēji izmanto, lai nodrošinātu [viņu] cilvēktiesību aizsardzību, bija par pamatu, lai pieņemtu Lielās palātas spriedumu, kas viņiem ir daudz nelabvēlīgāks nekā palātas spriedums.”</w:t>
      </w:r>
    </w:p>
    <w:p w14:paraId="34C8E796" w14:textId="77777777" w:rsidR="009539D5" w:rsidRPr="009539D5" w:rsidRDefault="009539D5" w:rsidP="009539D5">
      <w:pPr>
        <w:rPr>
          <w:rFonts w:ascii="Times New Roman" w:hAnsi="Times New Roman"/>
          <w:noProof/>
        </w:rPr>
      </w:pPr>
    </w:p>
    <w:sectPr w:rsidR="009539D5" w:rsidRPr="009539D5" w:rsidSect="009539D5">
      <w:headerReference w:type="default" r:id="rId11"/>
      <w:footerReference w:type="default" r:id="rId12"/>
      <w:headerReference w:type="first" r:id="rId13"/>
      <w:footerReference w:type="first" r:id="rId14"/>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7608" w14:textId="77777777" w:rsidR="00A33EB7" w:rsidRPr="009539D5" w:rsidRDefault="00A33EB7" w:rsidP="00014566">
      <w:pPr>
        <w:rPr>
          <w:noProof/>
        </w:rPr>
      </w:pPr>
      <w:r w:rsidRPr="009539D5">
        <w:rPr>
          <w:noProof/>
        </w:rPr>
        <w:separator/>
      </w:r>
    </w:p>
  </w:endnote>
  <w:endnote w:type="continuationSeparator" w:id="0">
    <w:p w14:paraId="714F0B50" w14:textId="77777777" w:rsidR="00A33EB7" w:rsidRPr="009539D5" w:rsidRDefault="00A33EB7" w:rsidP="00014566">
      <w:pPr>
        <w:rPr>
          <w:noProof/>
        </w:rPr>
      </w:pPr>
      <w:r w:rsidRPr="009539D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FA70" w14:textId="77777777" w:rsidR="00473278" w:rsidRPr="003E62C2" w:rsidRDefault="00473278" w:rsidP="00473278">
    <w:pPr>
      <w:pStyle w:val="Header"/>
      <w:tabs>
        <w:tab w:val="left" w:pos="9072"/>
      </w:tabs>
      <w:rPr>
        <w:rStyle w:val="PageNumber"/>
        <w:rFonts w:ascii="Times New Roman" w:hAnsi="Times New Roman" w:cs="Times New Roman"/>
        <w:noProof/>
        <w:sz w:val="20"/>
        <w:szCs w:val="20"/>
        <w:lang w:val="en-US"/>
      </w:rPr>
    </w:pPr>
  </w:p>
  <w:p w14:paraId="45BC8EE7" w14:textId="77777777" w:rsidR="00473278" w:rsidRPr="003E62C2" w:rsidRDefault="00473278" w:rsidP="00473278">
    <w:pPr>
      <w:pStyle w:val="Header"/>
      <w:tabs>
        <w:tab w:val="clear" w:pos="4536"/>
        <w:tab w:val="lef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DC30344" w14:textId="77777777" w:rsidR="00473278" w:rsidRPr="003E62C2" w:rsidRDefault="00473278" w:rsidP="00473278">
    <w:pPr>
      <w:pStyle w:val="Header"/>
      <w:tabs>
        <w:tab w:val="clear" w:pos="4536"/>
        <w:tab w:val="left" w:pos="3796"/>
      </w:tabs>
      <w:rPr>
        <w:rStyle w:val="PageNumber"/>
        <w:rFonts w:ascii="Times New Roman" w:hAnsi="Times New Roman" w:cs="Times New Roman"/>
        <w:noProof/>
        <w:sz w:val="20"/>
        <w:szCs w:val="20"/>
        <w:lang w:val="en-US"/>
      </w:rPr>
    </w:pPr>
  </w:p>
  <w:p w14:paraId="2E4AB310" w14:textId="272666BD" w:rsidR="006240BD" w:rsidRPr="00473278" w:rsidRDefault="00473278" w:rsidP="00473278">
    <w:pPr>
      <w:pStyle w:val="Footer"/>
      <w:tabs>
        <w:tab w:val="clear" w:pos="4536"/>
        <w:tab w:val="right" w:pos="9072"/>
      </w:tabs>
      <w:ind w:left="0"/>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630" w14:textId="77777777" w:rsidR="007314E4" w:rsidRPr="003E62C2" w:rsidRDefault="007314E4" w:rsidP="007314E4">
    <w:pPr>
      <w:pStyle w:val="Header"/>
      <w:tabs>
        <w:tab w:val="left" w:pos="9072"/>
      </w:tabs>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107FA9A6" w14:textId="77777777" w:rsidR="007314E4" w:rsidRPr="003E62C2" w:rsidRDefault="007314E4" w:rsidP="007314E4">
    <w:pPr>
      <w:pStyle w:val="Header"/>
      <w:tabs>
        <w:tab w:val="clear" w:pos="4536"/>
        <w:tab w:val="left" w:leader="underscore" w:pos="9072"/>
      </w:tabs>
      <w:rPr>
        <w:rFonts w:ascii="Times New Roman" w:hAnsi="Times New Roman"/>
        <w:noProof/>
        <w:sz w:val="20"/>
        <w:szCs w:val="18"/>
        <w:lang w:val="en-US"/>
      </w:rPr>
    </w:pPr>
    <w:r w:rsidRPr="003E62C2">
      <w:rPr>
        <w:rFonts w:ascii="Times New Roman" w:hAnsi="Times New Roman"/>
        <w:noProof/>
        <w:sz w:val="20"/>
        <w:szCs w:val="18"/>
        <w:lang w:val="en-US"/>
      </w:rPr>
      <w:tab/>
    </w:r>
  </w:p>
  <w:p w14:paraId="0C9C0299" w14:textId="77777777" w:rsidR="007314E4" w:rsidRPr="003E62C2" w:rsidRDefault="007314E4" w:rsidP="007314E4">
    <w:pPr>
      <w:pStyle w:val="Header"/>
      <w:tabs>
        <w:tab w:val="left" w:pos="9072"/>
      </w:tabs>
      <w:rPr>
        <w:rStyle w:val="PageNumber"/>
        <w:rFonts w:ascii="Times New Roman" w:hAnsi="Times New Roman"/>
        <w:noProof/>
        <w:sz w:val="20"/>
        <w:szCs w:val="18"/>
        <w:lang w:val="en-US"/>
      </w:rPr>
    </w:pPr>
  </w:p>
  <w:p w14:paraId="6D22C021" w14:textId="34430CDA" w:rsidR="008F7F3B" w:rsidRPr="007314E4" w:rsidRDefault="007314E4" w:rsidP="007314E4">
    <w:pPr>
      <w:pStyle w:val="Footer"/>
      <w:ind w:left="0"/>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6"/>
    <w:bookmarkEnd w:id="17"/>
    <w:bookmarkEnd w:id="18"/>
    <w:r w:rsidRPr="003E62C2">
      <w:rPr>
        <w:rFonts w:ascii="Times New Roman" w:hAnsi="Times New Roman"/>
        <w:noProof/>
        <w:sz w:val="20"/>
        <w:szCs w:val="18"/>
        <w:lang w:val="en-US"/>
      </w:rPr>
      <w:t>2</w:t>
    </w:r>
    <w:bookmarkEnd w:id="19"/>
    <w:bookmarkEnd w:id="20"/>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CDA0" w14:textId="77777777" w:rsidR="00A33EB7" w:rsidRPr="009539D5" w:rsidRDefault="00A33EB7" w:rsidP="00014566">
      <w:pPr>
        <w:rPr>
          <w:noProof/>
        </w:rPr>
      </w:pPr>
      <w:r w:rsidRPr="009539D5">
        <w:rPr>
          <w:noProof/>
        </w:rPr>
        <w:separator/>
      </w:r>
    </w:p>
  </w:footnote>
  <w:footnote w:type="continuationSeparator" w:id="0">
    <w:p w14:paraId="1D9A5A96" w14:textId="77777777" w:rsidR="00A33EB7" w:rsidRPr="009539D5" w:rsidRDefault="00A33EB7" w:rsidP="00014566">
      <w:pPr>
        <w:rPr>
          <w:noProof/>
        </w:rPr>
      </w:pPr>
      <w:r w:rsidRPr="009539D5">
        <w:rPr>
          <w:noProof/>
        </w:rPr>
        <w:continuationSeparator/>
      </w:r>
    </w:p>
  </w:footnote>
  <w:footnote w:id="1">
    <w:p w14:paraId="1A6938AA" w14:textId="4FB02A42" w:rsidR="009539D5" w:rsidRPr="009539D5" w:rsidRDefault="009539D5" w:rsidP="009539D5">
      <w:pPr>
        <w:pStyle w:val="FootnoteText"/>
        <w:rPr>
          <w:noProof/>
        </w:rPr>
      </w:pPr>
      <w:r>
        <w:t xml:space="preserve">1.  Skat., piemēram, publikāciju: C. Herke, D. Tóth, “Theoretical and Practical Issues of the Prohibition of </w:t>
      </w:r>
      <w:r>
        <w:rPr>
          <w:i/>
        </w:rPr>
        <w:t>Reformatio in Peius</w:t>
      </w:r>
      <w:r>
        <w:t xml:space="preserve"> in Hungary”, Issues of Business and Law, Volume 3 (2011), pieejama: www.herke.hu/tan/11litv.pdf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2D14" w14:textId="77777777" w:rsidR="00152D15" w:rsidRPr="003E62C2" w:rsidRDefault="00152D15" w:rsidP="00152D15">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62AC219E" w14:textId="77777777" w:rsidR="00152D15" w:rsidRPr="003E62C2" w:rsidRDefault="00152D15" w:rsidP="00152D15">
    <w:pPr>
      <w:pStyle w:val="Header"/>
      <w:tabs>
        <w:tab w:val="clear" w:pos="453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73148300" w14:textId="2AEBA9C4" w:rsidR="00773214" w:rsidRPr="009539D5" w:rsidRDefault="00773214" w:rsidP="009539D5">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A0A8" w14:textId="77777777" w:rsidR="008F7F3B" w:rsidRPr="003E62C2" w:rsidRDefault="008F7F3B" w:rsidP="008F7F3B">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17326AB6" w14:textId="77777777" w:rsidR="008F7F3B" w:rsidRDefault="008F7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77635E"/>
    <w:multiLevelType w:val="hybridMultilevel"/>
    <w:tmpl w:val="A34AF2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16540212">
    <w:abstractNumId w:val="12"/>
  </w:num>
  <w:num w:numId="2" w16cid:durableId="1760907600">
    <w:abstractNumId w:val="10"/>
  </w:num>
  <w:num w:numId="3" w16cid:durableId="1556550422">
    <w:abstractNumId w:val="9"/>
  </w:num>
  <w:num w:numId="4" w16cid:durableId="1461878043">
    <w:abstractNumId w:val="14"/>
  </w:num>
  <w:num w:numId="5" w16cid:durableId="1250768052">
    <w:abstractNumId w:val="7"/>
  </w:num>
  <w:num w:numId="6" w16cid:durableId="1075708620">
    <w:abstractNumId w:val="6"/>
  </w:num>
  <w:num w:numId="7" w16cid:durableId="109476612">
    <w:abstractNumId w:val="5"/>
  </w:num>
  <w:num w:numId="8" w16cid:durableId="1312294356">
    <w:abstractNumId w:val="4"/>
  </w:num>
  <w:num w:numId="9" w16cid:durableId="828401650">
    <w:abstractNumId w:val="8"/>
  </w:num>
  <w:num w:numId="10" w16cid:durableId="1658606146">
    <w:abstractNumId w:val="3"/>
  </w:num>
  <w:num w:numId="11" w16cid:durableId="1162813450">
    <w:abstractNumId w:val="2"/>
  </w:num>
  <w:num w:numId="12" w16cid:durableId="1471947185">
    <w:abstractNumId w:val="1"/>
  </w:num>
  <w:num w:numId="13" w16cid:durableId="503856870">
    <w:abstractNumId w:val="0"/>
  </w:num>
  <w:num w:numId="14" w16cid:durableId="2140949457">
    <w:abstractNumId w:val="13"/>
  </w:num>
  <w:num w:numId="15" w16cid:durableId="24564825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96BED"/>
    <w:rsid w:val="000041F8"/>
    <w:rsid w:val="000042A8"/>
    <w:rsid w:val="00004308"/>
    <w:rsid w:val="000058BA"/>
    <w:rsid w:val="00005BF0"/>
    <w:rsid w:val="00007154"/>
    <w:rsid w:val="000103AE"/>
    <w:rsid w:val="00011D69"/>
    <w:rsid w:val="00012AD3"/>
    <w:rsid w:val="00014566"/>
    <w:rsid w:val="000151A7"/>
    <w:rsid w:val="00015C2D"/>
    <w:rsid w:val="00015F00"/>
    <w:rsid w:val="00015F55"/>
    <w:rsid w:val="00016F62"/>
    <w:rsid w:val="00021D45"/>
    <w:rsid w:val="000224E5"/>
    <w:rsid w:val="00022983"/>
    <w:rsid w:val="00022C1D"/>
    <w:rsid w:val="0002343B"/>
    <w:rsid w:val="0002563E"/>
    <w:rsid w:val="00032339"/>
    <w:rsid w:val="00034987"/>
    <w:rsid w:val="000364B7"/>
    <w:rsid w:val="000372AB"/>
    <w:rsid w:val="00040CD4"/>
    <w:rsid w:val="0004338B"/>
    <w:rsid w:val="00044B46"/>
    <w:rsid w:val="00045B62"/>
    <w:rsid w:val="0004616B"/>
    <w:rsid w:val="0005093B"/>
    <w:rsid w:val="000569C3"/>
    <w:rsid w:val="0005717E"/>
    <w:rsid w:val="000602DF"/>
    <w:rsid w:val="00061B05"/>
    <w:rsid w:val="00062973"/>
    <w:rsid w:val="00062D5D"/>
    <w:rsid w:val="000632D5"/>
    <w:rsid w:val="000644EE"/>
    <w:rsid w:val="000718EA"/>
    <w:rsid w:val="00083442"/>
    <w:rsid w:val="00087CC6"/>
    <w:rsid w:val="000925AD"/>
    <w:rsid w:val="00094F42"/>
    <w:rsid w:val="000A162C"/>
    <w:rsid w:val="000A24EB"/>
    <w:rsid w:val="000A2DCC"/>
    <w:rsid w:val="000A6733"/>
    <w:rsid w:val="000B0D6A"/>
    <w:rsid w:val="000B289F"/>
    <w:rsid w:val="000B31A2"/>
    <w:rsid w:val="000B3641"/>
    <w:rsid w:val="000B5451"/>
    <w:rsid w:val="000B6923"/>
    <w:rsid w:val="000B7237"/>
    <w:rsid w:val="000B738D"/>
    <w:rsid w:val="000C033C"/>
    <w:rsid w:val="000C42F7"/>
    <w:rsid w:val="000C4752"/>
    <w:rsid w:val="000C5F3C"/>
    <w:rsid w:val="000C6DCC"/>
    <w:rsid w:val="000D17CC"/>
    <w:rsid w:val="000D3343"/>
    <w:rsid w:val="000D47AA"/>
    <w:rsid w:val="000D721F"/>
    <w:rsid w:val="000E069B"/>
    <w:rsid w:val="000E0E82"/>
    <w:rsid w:val="000E1DC5"/>
    <w:rsid w:val="000E2155"/>
    <w:rsid w:val="000E223F"/>
    <w:rsid w:val="000E6010"/>
    <w:rsid w:val="000E7D02"/>
    <w:rsid w:val="000E7D45"/>
    <w:rsid w:val="000F5379"/>
    <w:rsid w:val="000F5A9E"/>
    <w:rsid w:val="000F7851"/>
    <w:rsid w:val="001019A3"/>
    <w:rsid w:val="00101CC4"/>
    <w:rsid w:val="00104B4A"/>
    <w:rsid w:val="00104E23"/>
    <w:rsid w:val="001056AC"/>
    <w:rsid w:val="00107825"/>
    <w:rsid w:val="00110F3B"/>
    <w:rsid w:val="00111ABC"/>
    <w:rsid w:val="00111B0C"/>
    <w:rsid w:val="00117D8E"/>
    <w:rsid w:val="00120D6C"/>
    <w:rsid w:val="001257EC"/>
    <w:rsid w:val="00132389"/>
    <w:rsid w:val="00132C6A"/>
    <w:rsid w:val="00133D33"/>
    <w:rsid w:val="00134D64"/>
    <w:rsid w:val="00134F18"/>
    <w:rsid w:val="00135A30"/>
    <w:rsid w:val="0013612C"/>
    <w:rsid w:val="00137FF6"/>
    <w:rsid w:val="00141650"/>
    <w:rsid w:val="00141A53"/>
    <w:rsid w:val="001425B6"/>
    <w:rsid w:val="00142D26"/>
    <w:rsid w:val="001431FA"/>
    <w:rsid w:val="0014368D"/>
    <w:rsid w:val="001470D0"/>
    <w:rsid w:val="00152D15"/>
    <w:rsid w:val="00152D65"/>
    <w:rsid w:val="0015662A"/>
    <w:rsid w:val="00157D76"/>
    <w:rsid w:val="00162A12"/>
    <w:rsid w:val="00166530"/>
    <w:rsid w:val="00166B44"/>
    <w:rsid w:val="001748B4"/>
    <w:rsid w:val="00175A72"/>
    <w:rsid w:val="0017659E"/>
    <w:rsid w:val="001832BD"/>
    <w:rsid w:val="001833B1"/>
    <w:rsid w:val="00184856"/>
    <w:rsid w:val="0018562C"/>
    <w:rsid w:val="0018573D"/>
    <w:rsid w:val="00191827"/>
    <w:rsid w:val="00193BC9"/>
    <w:rsid w:val="001943B5"/>
    <w:rsid w:val="00195134"/>
    <w:rsid w:val="001972D4"/>
    <w:rsid w:val="001A145B"/>
    <w:rsid w:val="001A1AB6"/>
    <w:rsid w:val="001A2C31"/>
    <w:rsid w:val="001A57FF"/>
    <w:rsid w:val="001A674C"/>
    <w:rsid w:val="001B2E6A"/>
    <w:rsid w:val="001B3B24"/>
    <w:rsid w:val="001B7BD0"/>
    <w:rsid w:val="001C0F98"/>
    <w:rsid w:val="001C2A42"/>
    <w:rsid w:val="001C3BF8"/>
    <w:rsid w:val="001C47A9"/>
    <w:rsid w:val="001D032B"/>
    <w:rsid w:val="001D0633"/>
    <w:rsid w:val="001D1695"/>
    <w:rsid w:val="001D63ED"/>
    <w:rsid w:val="001D7348"/>
    <w:rsid w:val="001E035B"/>
    <w:rsid w:val="001E0961"/>
    <w:rsid w:val="001E1235"/>
    <w:rsid w:val="001E3536"/>
    <w:rsid w:val="001E3EAE"/>
    <w:rsid w:val="001E5822"/>
    <w:rsid w:val="001E5A9B"/>
    <w:rsid w:val="001E6F32"/>
    <w:rsid w:val="001E71DB"/>
    <w:rsid w:val="001F2145"/>
    <w:rsid w:val="001F271B"/>
    <w:rsid w:val="001F4A2D"/>
    <w:rsid w:val="001F6262"/>
    <w:rsid w:val="001F67B0"/>
    <w:rsid w:val="001F7B3D"/>
    <w:rsid w:val="002015B4"/>
    <w:rsid w:val="00205F9F"/>
    <w:rsid w:val="00210338"/>
    <w:rsid w:val="002115FC"/>
    <w:rsid w:val="002126E0"/>
    <w:rsid w:val="002133F8"/>
    <w:rsid w:val="0021423C"/>
    <w:rsid w:val="00214742"/>
    <w:rsid w:val="00221C2D"/>
    <w:rsid w:val="002266F5"/>
    <w:rsid w:val="00230D00"/>
    <w:rsid w:val="00231DF7"/>
    <w:rsid w:val="00231FD1"/>
    <w:rsid w:val="002339E0"/>
    <w:rsid w:val="00233CF8"/>
    <w:rsid w:val="0023575D"/>
    <w:rsid w:val="00237148"/>
    <w:rsid w:val="0024222D"/>
    <w:rsid w:val="00244B0E"/>
    <w:rsid w:val="00244F6C"/>
    <w:rsid w:val="00245762"/>
    <w:rsid w:val="00246C62"/>
    <w:rsid w:val="002509C5"/>
    <w:rsid w:val="002532C5"/>
    <w:rsid w:val="00256509"/>
    <w:rsid w:val="00260C03"/>
    <w:rsid w:val="00262AF8"/>
    <w:rsid w:val="002635ED"/>
    <w:rsid w:val="0026540E"/>
    <w:rsid w:val="00275123"/>
    <w:rsid w:val="00282240"/>
    <w:rsid w:val="002826CA"/>
    <w:rsid w:val="002827B7"/>
    <w:rsid w:val="0028572A"/>
    <w:rsid w:val="00286335"/>
    <w:rsid w:val="00287D2A"/>
    <w:rsid w:val="002948AD"/>
    <w:rsid w:val="002948D9"/>
    <w:rsid w:val="00294C92"/>
    <w:rsid w:val="002960E4"/>
    <w:rsid w:val="002A01CC"/>
    <w:rsid w:val="002A2699"/>
    <w:rsid w:val="002A447E"/>
    <w:rsid w:val="002A61B1"/>
    <w:rsid w:val="002A663C"/>
    <w:rsid w:val="002A7E7C"/>
    <w:rsid w:val="002B444B"/>
    <w:rsid w:val="002B5887"/>
    <w:rsid w:val="002B5BEA"/>
    <w:rsid w:val="002B7206"/>
    <w:rsid w:val="002B7589"/>
    <w:rsid w:val="002C0692"/>
    <w:rsid w:val="002C0C57"/>
    <w:rsid w:val="002C0E27"/>
    <w:rsid w:val="002C3040"/>
    <w:rsid w:val="002D022D"/>
    <w:rsid w:val="002D24BB"/>
    <w:rsid w:val="002D2FB2"/>
    <w:rsid w:val="002E0AAE"/>
    <w:rsid w:val="002E6E23"/>
    <w:rsid w:val="002F2AF7"/>
    <w:rsid w:val="002F6AB8"/>
    <w:rsid w:val="002F7E1C"/>
    <w:rsid w:val="0030081D"/>
    <w:rsid w:val="00301A75"/>
    <w:rsid w:val="003022A1"/>
    <w:rsid w:val="00302F70"/>
    <w:rsid w:val="0030336F"/>
    <w:rsid w:val="0030375E"/>
    <w:rsid w:val="00311E60"/>
    <w:rsid w:val="003129BB"/>
    <w:rsid w:val="00312A30"/>
    <w:rsid w:val="003141F4"/>
    <w:rsid w:val="003203F9"/>
    <w:rsid w:val="00320F72"/>
    <w:rsid w:val="003220E8"/>
    <w:rsid w:val="003230DB"/>
    <w:rsid w:val="0032463E"/>
    <w:rsid w:val="0032487A"/>
    <w:rsid w:val="00326224"/>
    <w:rsid w:val="003268DF"/>
    <w:rsid w:val="00331F4E"/>
    <w:rsid w:val="0033311C"/>
    <w:rsid w:val="00337EE4"/>
    <w:rsid w:val="00340FFD"/>
    <w:rsid w:val="00341EBB"/>
    <w:rsid w:val="00343476"/>
    <w:rsid w:val="003456CE"/>
    <w:rsid w:val="00346557"/>
    <w:rsid w:val="003506B1"/>
    <w:rsid w:val="00350F2C"/>
    <w:rsid w:val="003518B8"/>
    <w:rsid w:val="00352B38"/>
    <w:rsid w:val="00354323"/>
    <w:rsid w:val="003554DD"/>
    <w:rsid w:val="00356AC7"/>
    <w:rsid w:val="003609FA"/>
    <w:rsid w:val="0036434A"/>
    <w:rsid w:val="00370813"/>
    <w:rsid w:val="003710C8"/>
    <w:rsid w:val="00371D3F"/>
    <w:rsid w:val="003738C6"/>
    <w:rsid w:val="0037409F"/>
    <w:rsid w:val="003750BE"/>
    <w:rsid w:val="003767BA"/>
    <w:rsid w:val="00380D9A"/>
    <w:rsid w:val="00386BBA"/>
    <w:rsid w:val="00387B9D"/>
    <w:rsid w:val="00390ADC"/>
    <w:rsid w:val="0039364F"/>
    <w:rsid w:val="00396686"/>
    <w:rsid w:val="0039778E"/>
    <w:rsid w:val="003A34CE"/>
    <w:rsid w:val="003A3C60"/>
    <w:rsid w:val="003A4874"/>
    <w:rsid w:val="003B2BC2"/>
    <w:rsid w:val="003B4941"/>
    <w:rsid w:val="003B5918"/>
    <w:rsid w:val="003B5935"/>
    <w:rsid w:val="003C0299"/>
    <w:rsid w:val="003C0BD9"/>
    <w:rsid w:val="003C5714"/>
    <w:rsid w:val="003C5F5A"/>
    <w:rsid w:val="003C6B9F"/>
    <w:rsid w:val="003C6E2A"/>
    <w:rsid w:val="003D0299"/>
    <w:rsid w:val="003D4EF6"/>
    <w:rsid w:val="003D53CD"/>
    <w:rsid w:val="003D578F"/>
    <w:rsid w:val="003D61D8"/>
    <w:rsid w:val="003E11F8"/>
    <w:rsid w:val="003E4A3A"/>
    <w:rsid w:val="003E6D80"/>
    <w:rsid w:val="003F05FA"/>
    <w:rsid w:val="003F126F"/>
    <w:rsid w:val="003F1730"/>
    <w:rsid w:val="003F244A"/>
    <w:rsid w:val="003F2950"/>
    <w:rsid w:val="003F306A"/>
    <w:rsid w:val="003F30B8"/>
    <w:rsid w:val="003F3F4E"/>
    <w:rsid w:val="003F424D"/>
    <w:rsid w:val="003F4C45"/>
    <w:rsid w:val="003F5F7B"/>
    <w:rsid w:val="003F7D64"/>
    <w:rsid w:val="00405A29"/>
    <w:rsid w:val="00405B11"/>
    <w:rsid w:val="00405C6E"/>
    <w:rsid w:val="00410534"/>
    <w:rsid w:val="00411064"/>
    <w:rsid w:val="00414300"/>
    <w:rsid w:val="0042227D"/>
    <w:rsid w:val="00425C67"/>
    <w:rsid w:val="00427E7A"/>
    <w:rsid w:val="00427EC6"/>
    <w:rsid w:val="0043280C"/>
    <w:rsid w:val="0043538A"/>
    <w:rsid w:val="00436307"/>
    <w:rsid w:val="00436C49"/>
    <w:rsid w:val="00445366"/>
    <w:rsid w:val="00447F5B"/>
    <w:rsid w:val="00450892"/>
    <w:rsid w:val="00450F51"/>
    <w:rsid w:val="00453A6C"/>
    <w:rsid w:val="00461DB0"/>
    <w:rsid w:val="00463926"/>
    <w:rsid w:val="004646E0"/>
    <w:rsid w:val="00464C9A"/>
    <w:rsid w:val="0046587B"/>
    <w:rsid w:val="00465FB5"/>
    <w:rsid w:val="004729F9"/>
    <w:rsid w:val="00473278"/>
    <w:rsid w:val="00474A63"/>
    <w:rsid w:val="00474F3D"/>
    <w:rsid w:val="00477E3A"/>
    <w:rsid w:val="00480E8C"/>
    <w:rsid w:val="004813E1"/>
    <w:rsid w:val="00482F4B"/>
    <w:rsid w:val="00483E5F"/>
    <w:rsid w:val="00485C13"/>
    <w:rsid w:val="00485FF9"/>
    <w:rsid w:val="004907F0"/>
    <w:rsid w:val="0049140B"/>
    <w:rsid w:val="004923A5"/>
    <w:rsid w:val="00496B7D"/>
    <w:rsid w:val="00496BFB"/>
    <w:rsid w:val="00497434"/>
    <w:rsid w:val="004A013F"/>
    <w:rsid w:val="004A15C7"/>
    <w:rsid w:val="004B013B"/>
    <w:rsid w:val="004B112B"/>
    <w:rsid w:val="004B5F14"/>
    <w:rsid w:val="004B699F"/>
    <w:rsid w:val="004C01E4"/>
    <w:rsid w:val="004C086C"/>
    <w:rsid w:val="004C1F56"/>
    <w:rsid w:val="004C27BC"/>
    <w:rsid w:val="004C296F"/>
    <w:rsid w:val="004C74A6"/>
    <w:rsid w:val="004C7777"/>
    <w:rsid w:val="004D0A6A"/>
    <w:rsid w:val="004D15F3"/>
    <w:rsid w:val="004D212F"/>
    <w:rsid w:val="004D49F5"/>
    <w:rsid w:val="004D5311"/>
    <w:rsid w:val="004D5DCC"/>
    <w:rsid w:val="004D73A2"/>
    <w:rsid w:val="004E7DB9"/>
    <w:rsid w:val="004F10AF"/>
    <w:rsid w:val="004F11A4"/>
    <w:rsid w:val="004F2389"/>
    <w:rsid w:val="004F304D"/>
    <w:rsid w:val="004F4319"/>
    <w:rsid w:val="004F57EC"/>
    <w:rsid w:val="004F61BE"/>
    <w:rsid w:val="004F66B1"/>
    <w:rsid w:val="004F6EB1"/>
    <w:rsid w:val="00500024"/>
    <w:rsid w:val="0050012E"/>
    <w:rsid w:val="00501B13"/>
    <w:rsid w:val="005023E1"/>
    <w:rsid w:val="005110FE"/>
    <w:rsid w:val="00511C07"/>
    <w:rsid w:val="005173A6"/>
    <w:rsid w:val="00520BAA"/>
    <w:rsid w:val="0052279D"/>
    <w:rsid w:val="00523DD2"/>
    <w:rsid w:val="00524A5A"/>
    <w:rsid w:val="00525208"/>
    <w:rsid w:val="005257A5"/>
    <w:rsid w:val="005264C0"/>
    <w:rsid w:val="00526A8A"/>
    <w:rsid w:val="00531DF2"/>
    <w:rsid w:val="005367A7"/>
    <w:rsid w:val="005372B2"/>
    <w:rsid w:val="005442EE"/>
    <w:rsid w:val="00547118"/>
    <w:rsid w:val="00547353"/>
    <w:rsid w:val="005474E7"/>
    <w:rsid w:val="005512A3"/>
    <w:rsid w:val="0055275A"/>
    <w:rsid w:val="00555B0B"/>
    <w:rsid w:val="005578CE"/>
    <w:rsid w:val="00557FF4"/>
    <w:rsid w:val="00562586"/>
    <w:rsid w:val="00562781"/>
    <w:rsid w:val="00563E83"/>
    <w:rsid w:val="00567E76"/>
    <w:rsid w:val="005700A1"/>
    <w:rsid w:val="00571225"/>
    <w:rsid w:val="0057271C"/>
    <w:rsid w:val="00572845"/>
    <w:rsid w:val="00576A7C"/>
    <w:rsid w:val="00576D90"/>
    <w:rsid w:val="00592398"/>
    <w:rsid w:val="00592772"/>
    <w:rsid w:val="0059574A"/>
    <w:rsid w:val="00595D35"/>
    <w:rsid w:val="005A04CF"/>
    <w:rsid w:val="005A0A52"/>
    <w:rsid w:val="005A1B9B"/>
    <w:rsid w:val="005A400F"/>
    <w:rsid w:val="005A5EC7"/>
    <w:rsid w:val="005A6751"/>
    <w:rsid w:val="005A74B8"/>
    <w:rsid w:val="005B05CA"/>
    <w:rsid w:val="005B092E"/>
    <w:rsid w:val="005B152C"/>
    <w:rsid w:val="005B1EE0"/>
    <w:rsid w:val="005B2B24"/>
    <w:rsid w:val="005B40D6"/>
    <w:rsid w:val="005B4425"/>
    <w:rsid w:val="005B4B94"/>
    <w:rsid w:val="005B52A6"/>
    <w:rsid w:val="005B60BF"/>
    <w:rsid w:val="005C0557"/>
    <w:rsid w:val="005C3EE8"/>
    <w:rsid w:val="005C5CCA"/>
    <w:rsid w:val="005C6942"/>
    <w:rsid w:val="005D34F9"/>
    <w:rsid w:val="005D39BC"/>
    <w:rsid w:val="005D3F6B"/>
    <w:rsid w:val="005D4190"/>
    <w:rsid w:val="005D625E"/>
    <w:rsid w:val="005D67A3"/>
    <w:rsid w:val="005E28B3"/>
    <w:rsid w:val="005E2988"/>
    <w:rsid w:val="005E2A43"/>
    <w:rsid w:val="005E3085"/>
    <w:rsid w:val="005E67DF"/>
    <w:rsid w:val="005F1F63"/>
    <w:rsid w:val="005F3A08"/>
    <w:rsid w:val="005F4565"/>
    <w:rsid w:val="005F51E1"/>
    <w:rsid w:val="005F5775"/>
    <w:rsid w:val="00600A73"/>
    <w:rsid w:val="006027A1"/>
    <w:rsid w:val="00602EC8"/>
    <w:rsid w:val="006043A1"/>
    <w:rsid w:val="00604D4A"/>
    <w:rsid w:val="00607B75"/>
    <w:rsid w:val="00610A42"/>
    <w:rsid w:val="00611C80"/>
    <w:rsid w:val="0061216C"/>
    <w:rsid w:val="006123DD"/>
    <w:rsid w:val="006128A0"/>
    <w:rsid w:val="006154E0"/>
    <w:rsid w:val="00616F61"/>
    <w:rsid w:val="0061778D"/>
    <w:rsid w:val="00617823"/>
    <w:rsid w:val="00620692"/>
    <w:rsid w:val="006240BD"/>
    <w:rsid w:val="006242CA"/>
    <w:rsid w:val="00627507"/>
    <w:rsid w:val="00633717"/>
    <w:rsid w:val="006344E1"/>
    <w:rsid w:val="00640380"/>
    <w:rsid w:val="006451C0"/>
    <w:rsid w:val="006455FA"/>
    <w:rsid w:val="006468C8"/>
    <w:rsid w:val="00647FA4"/>
    <w:rsid w:val="006545C4"/>
    <w:rsid w:val="00655E5B"/>
    <w:rsid w:val="0065746E"/>
    <w:rsid w:val="00661971"/>
    <w:rsid w:val="00661CE8"/>
    <w:rsid w:val="006623D9"/>
    <w:rsid w:val="0066550C"/>
    <w:rsid w:val="006716F2"/>
    <w:rsid w:val="0068154C"/>
    <w:rsid w:val="00682BF2"/>
    <w:rsid w:val="006859CE"/>
    <w:rsid w:val="006861C6"/>
    <w:rsid w:val="00686430"/>
    <w:rsid w:val="00691270"/>
    <w:rsid w:val="00694342"/>
    <w:rsid w:val="00694833"/>
    <w:rsid w:val="00694BA8"/>
    <w:rsid w:val="006A037C"/>
    <w:rsid w:val="006A180D"/>
    <w:rsid w:val="006A1CC6"/>
    <w:rsid w:val="006A2445"/>
    <w:rsid w:val="006A36F4"/>
    <w:rsid w:val="006A406F"/>
    <w:rsid w:val="006A46E1"/>
    <w:rsid w:val="006A5D3A"/>
    <w:rsid w:val="006B1C2C"/>
    <w:rsid w:val="006B2744"/>
    <w:rsid w:val="006B2BFC"/>
    <w:rsid w:val="006C1760"/>
    <w:rsid w:val="006C23D4"/>
    <w:rsid w:val="006C2A13"/>
    <w:rsid w:val="006C444C"/>
    <w:rsid w:val="006C7BB0"/>
    <w:rsid w:val="006D04F6"/>
    <w:rsid w:val="006D088A"/>
    <w:rsid w:val="006D184F"/>
    <w:rsid w:val="006D3237"/>
    <w:rsid w:val="006D5826"/>
    <w:rsid w:val="006D6B1E"/>
    <w:rsid w:val="006E1E4E"/>
    <w:rsid w:val="006E2E37"/>
    <w:rsid w:val="006E3CF1"/>
    <w:rsid w:val="006E7E80"/>
    <w:rsid w:val="006F1DF9"/>
    <w:rsid w:val="006F2478"/>
    <w:rsid w:val="006F24DB"/>
    <w:rsid w:val="006F4861"/>
    <w:rsid w:val="006F48CA"/>
    <w:rsid w:val="006F64DD"/>
    <w:rsid w:val="007016D9"/>
    <w:rsid w:val="00705907"/>
    <w:rsid w:val="00706EE1"/>
    <w:rsid w:val="00711364"/>
    <w:rsid w:val="00715127"/>
    <w:rsid w:val="007158B6"/>
    <w:rsid w:val="00715E8E"/>
    <w:rsid w:val="0072290D"/>
    <w:rsid w:val="00723580"/>
    <w:rsid w:val="00723755"/>
    <w:rsid w:val="00725439"/>
    <w:rsid w:val="007311F0"/>
    <w:rsid w:val="0073127D"/>
    <w:rsid w:val="0073136C"/>
    <w:rsid w:val="007314E4"/>
    <w:rsid w:val="00731F0F"/>
    <w:rsid w:val="007327B3"/>
    <w:rsid w:val="00733250"/>
    <w:rsid w:val="00733A25"/>
    <w:rsid w:val="0073516D"/>
    <w:rsid w:val="007405EA"/>
    <w:rsid w:val="00741404"/>
    <w:rsid w:val="007449E5"/>
    <w:rsid w:val="00746C5A"/>
    <w:rsid w:val="00747FF0"/>
    <w:rsid w:val="00764D4E"/>
    <w:rsid w:val="00765A1F"/>
    <w:rsid w:val="00767CF3"/>
    <w:rsid w:val="00773214"/>
    <w:rsid w:val="00774AD7"/>
    <w:rsid w:val="00775B6D"/>
    <w:rsid w:val="00776D68"/>
    <w:rsid w:val="007776B4"/>
    <w:rsid w:val="00777859"/>
    <w:rsid w:val="00783152"/>
    <w:rsid w:val="007850EE"/>
    <w:rsid w:val="00785B95"/>
    <w:rsid w:val="00787BD8"/>
    <w:rsid w:val="00790638"/>
    <w:rsid w:val="00790E96"/>
    <w:rsid w:val="00793366"/>
    <w:rsid w:val="007963FF"/>
    <w:rsid w:val="007A6EA9"/>
    <w:rsid w:val="007A716F"/>
    <w:rsid w:val="007B15FE"/>
    <w:rsid w:val="007B270A"/>
    <w:rsid w:val="007B3DA6"/>
    <w:rsid w:val="007B6E2A"/>
    <w:rsid w:val="007C0695"/>
    <w:rsid w:val="007C419A"/>
    <w:rsid w:val="007C4CC8"/>
    <w:rsid w:val="007C5426"/>
    <w:rsid w:val="007C5798"/>
    <w:rsid w:val="007C7ECC"/>
    <w:rsid w:val="007D4832"/>
    <w:rsid w:val="007E21B2"/>
    <w:rsid w:val="007E2C4E"/>
    <w:rsid w:val="007E56BE"/>
    <w:rsid w:val="007E63B3"/>
    <w:rsid w:val="007F11A3"/>
    <w:rsid w:val="007F1905"/>
    <w:rsid w:val="007F6031"/>
    <w:rsid w:val="007F793D"/>
    <w:rsid w:val="00801300"/>
    <w:rsid w:val="00802C64"/>
    <w:rsid w:val="00803FCD"/>
    <w:rsid w:val="00805E52"/>
    <w:rsid w:val="008061D0"/>
    <w:rsid w:val="00806404"/>
    <w:rsid w:val="00810B38"/>
    <w:rsid w:val="008121B7"/>
    <w:rsid w:val="008143FF"/>
    <w:rsid w:val="00814BDC"/>
    <w:rsid w:val="00816938"/>
    <w:rsid w:val="008204C7"/>
    <w:rsid w:val="00820992"/>
    <w:rsid w:val="008222B7"/>
    <w:rsid w:val="00823602"/>
    <w:rsid w:val="008255F5"/>
    <w:rsid w:val="00827EC7"/>
    <w:rsid w:val="0083014E"/>
    <w:rsid w:val="008316AB"/>
    <w:rsid w:val="0083214A"/>
    <w:rsid w:val="00834220"/>
    <w:rsid w:val="00835A22"/>
    <w:rsid w:val="00841451"/>
    <w:rsid w:val="00842810"/>
    <w:rsid w:val="00844550"/>
    <w:rsid w:val="00845723"/>
    <w:rsid w:val="00845CBA"/>
    <w:rsid w:val="008475A9"/>
    <w:rsid w:val="00851EF9"/>
    <w:rsid w:val="008538E5"/>
    <w:rsid w:val="00855D35"/>
    <w:rsid w:val="0085608C"/>
    <w:rsid w:val="008577FD"/>
    <w:rsid w:val="00860B03"/>
    <w:rsid w:val="0086497A"/>
    <w:rsid w:val="00864BD8"/>
    <w:rsid w:val="0087100E"/>
    <w:rsid w:val="008713A1"/>
    <w:rsid w:val="008730F2"/>
    <w:rsid w:val="008754AB"/>
    <w:rsid w:val="008769EC"/>
    <w:rsid w:val="008803D7"/>
    <w:rsid w:val="0088060C"/>
    <w:rsid w:val="00886FBB"/>
    <w:rsid w:val="00893576"/>
    <w:rsid w:val="00893E73"/>
    <w:rsid w:val="008A30A2"/>
    <w:rsid w:val="008A43C4"/>
    <w:rsid w:val="008A5A54"/>
    <w:rsid w:val="008B02DC"/>
    <w:rsid w:val="008B57CE"/>
    <w:rsid w:val="008B659F"/>
    <w:rsid w:val="008C26DE"/>
    <w:rsid w:val="008C63D3"/>
    <w:rsid w:val="008D2225"/>
    <w:rsid w:val="008D3AD0"/>
    <w:rsid w:val="008D4752"/>
    <w:rsid w:val="008E1784"/>
    <w:rsid w:val="008E271C"/>
    <w:rsid w:val="008E418E"/>
    <w:rsid w:val="008E5BC6"/>
    <w:rsid w:val="008E6A25"/>
    <w:rsid w:val="008F1BFB"/>
    <w:rsid w:val="008F2F1E"/>
    <w:rsid w:val="008F5193"/>
    <w:rsid w:val="008F586A"/>
    <w:rsid w:val="008F7F3B"/>
    <w:rsid w:val="009013A7"/>
    <w:rsid w:val="009017FB"/>
    <w:rsid w:val="009017FC"/>
    <w:rsid w:val="0090308A"/>
    <w:rsid w:val="00903B43"/>
    <w:rsid w:val="0090506B"/>
    <w:rsid w:val="009050C9"/>
    <w:rsid w:val="00905FE6"/>
    <w:rsid w:val="00906192"/>
    <w:rsid w:val="009066FC"/>
    <w:rsid w:val="009125B7"/>
    <w:rsid w:val="009140A3"/>
    <w:rsid w:val="009144A2"/>
    <w:rsid w:val="00915012"/>
    <w:rsid w:val="0091510C"/>
    <w:rsid w:val="00916A0E"/>
    <w:rsid w:val="00923B44"/>
    <w:rsid w:val="00924552"/>
    <w:rsid w:val="009252AF"/>
    <w:rsid w:val="009259AC"/>
    <w:rsid w:val="00926F38"/>
    <w:rsid w:val="0092776B"/>
    <w:rsid w:val="00933AED"/>
    <w:rsid w:val="00934301"/>
    <w:rsid w:val="00936CD1"/>
    <w:rsid w:val="00940001"/>
    <w:rsid w:val="009413FE"/>
    <w:rsid w:val="00941747"/>
    <w:rsid w:val="00941EFB"/>
    <w:rsid w:val="00942794"/>
    <w:rsid w:val="00942CEA"/>
    <w:rsid w:val="00945034"/>
    <w:rsid w:val="00947AFB"/>
    <w:rsid w:val="009512A4"/>
    <w:rsid w:val="00951D7D"/>
    <w:rsid w:val="009539D5"/>
    <w:rsid w:val="00960768"/>
    <w:rsid w:val="0096238F"/>
    <w:rsid w:val="009630C7"/>
    <w:rsid w:val="00964BB1"/>
    <w:rsid w:val="009721B4"/>
    <w:rsid w:val="00972B55"/>
    <w:rsid w:val="00973403"/>
    <w:rsid w:val="00973B6C"/>
    <w:rsid w:val="009743B7"/>
    <w:rsid w:val="00974F0D"/>
    <w:rsid w:val="00975465"/>
    <w:rsid w:val="0098228B"/>
    <w:rsid w:val="009828DA"/>
    <w:rsid w:val="00985BAB"/>
    <w:rsid w:val="00990F48"/>
    <w:rsid w:val="00995733"/>
    <w:rsid w:val="00996342"/>
    <w:rsid w:val="00997CA5"/>
    <w:rsid w:val="00997F03"/>
    <w:rsid w:val="009A46DF"/>
    <w:rsid w:val="009A7ABC"/>
    <w:rsid w:val="009B1B5F"/>
    <w:rsid w:val="009B2EC2"/>
    <w:rsid w:val="009B6673"/>
    <w:rsid w:val="009B691F"/>
    <w:rsid w:val="009B7894"/>
    <w:rsid w:val="009C033C"/>
    <w:rsid w:val="009C191B"/>
    <w:rsid w:val="009C2BD6"/>
    <w:rsid w:val="009C2CF3"/>
    <w:rsid w:val="009C50BE"/>
    <w:rsid w:val="009C7E7F"/>
    <w:rsid w:val="009D1388"/>
    <w:rsid w:val="009D1652"/>
    <w:rsid w:val="009D5120"/>
    <w:rsid w:val="009D69FB"/>
    <w:rsid w:val="009E15A5"/>
    <w:rsid w:val="009E1F32"/>
    <w:rsid w:val="009E5385"/>
    <w:rsid w:val="009E5829"/>
    <w:rsid w:val="009E5F62"/>
    <w:rsid w:val="009E776C"/>
    <w:rsid w:val="009E7BD1"/>
    <w:rsid w:val="009F113A"/>
    <w:rsid w:val="009F262F"/>
    <w:rsid w:val="009F4911"/>
    <w:rsid w:val="009F6572"/>
    <w:rsid w:val="009F6E2A"/>
    <w:rsid w:val="00A018B6"/>
    <w:rsid w:val="00A1726E"/>
    <w:rsid w:val="00A204CF"/>
    <w:rsid w:val="00A23D49"/>
    <w:rsid w:val="00A2578E"/>
    <w:rsid w:val="00A27004"/>
    <w:rsid w:val="00A30C29"/>
    <w:rsid w:val="00A33EB7"/>
    <w:rsid w:val="00A33EB9"/>
    <w:rsid w:val="00A34DD6"/>
    <w:rsid w:val="00A36819"/>
    <w:rsid w:val="00A36989"/>
    <w:rsid w:val="00A418C0"/>
    <w:rsid w:val="00A43259"/>
    <w:rsid w:val="00A43628"/>
    <w:rsid w:val="00A5235A"/>
    <w:rsid w:val="00A54192"/>
    <w:rsid w:val="00A556C3"/>
    <w:rsid w:val="00A6035E"/>
    <w:rsid w:val="00A6144C"/>
    <w:rsid w:val="00A66617"/>
    <w:rsid w:val="00A671F8"/>
    <w:rsid w:val="00A67231"/>
    <w:rsid w:val="00A673A4"/>
    <w:rsid w:val="00A707AD"/>
    <w:rsid w:val="00A724AE"/>
    <w:rsid w:val="00A7254D"/>
    <w:rsid w:val="00A73214"/>
    <w:rsid w:val="00A73329"/>
    <w:rsid w:val="00A77921"/>
    <w:rsid w:val="00A81484"/>
    <w:rsid w:val="00A82359"/>
    <w:rsid w:val="00A865D2"/>
    <w:rsid w:val="00A8740F"/>
    <w:rsid w:val="00A87BDE"/>
    <w:rsid w:val="00A92BCF"/>
    <w:rsid w:val="00A94647"/>
    <w:rsid w:val="00A94C20"/>
    <w:rsid w:val="00A96C76"/>
    <w:rsid w:val="00A96FD0"/>
    <w:rsid w:val="00AA227F"/>
    <w:rsid w:val="00AA3BC7"/>
    <w:rsid w:val="00AA43E1"/>
    <w:rsid w:val="00AA4A71"/>
    <w:rsid w:val="00AA754A"/>
    <w:rsid w:val="00AB099E"/>
    <w:rsid w:val="00AB2065"/>
    <w:rsid w:val="00AB4328"/>
    <w:rsid w:val="00AB5FA0"/>
    <w:rsid w:val="00AB7846"/>
    <w:rsid w:val="00AC0B64"/>
    <w:rsid w:val="00AD0571"/>
    <w:rsid w:val="00AD0E88"/>
    <w:rsid w:val="00AD7BE1"/>
    <w:rsid w:val="00AE0A2E"/>
    <w:rsid w:val="00AE354C"/>
    <w:rsid w:val="00AE45EF"/>
    <w:rsid w:val="00AF0DAC"/>
    <w:rsid w:val="00AF1E6F"/>
    <w:rsid w:val="00AF32BB"/>
    <w:rsid w:val="00AF4B07"/>
    <w:rsid w:val="00AF58F1"/>
    <w:rsid w:val="00AF6186"/>
    <w:rsid w:val="00AF7A3A"/>
    <w:rsid w:val="00B016A7"/>
    <w:rsid w:val="00B05223"/>
    <w:rsid w:val="00B0583B"/>
    <w:rsid w:val="00B074AA"/>
    <w:rsid w:val="00B0799A"/>
    <w:rsid w:val="00B10C77"/>
    <w:rsid w:val="00B1299B"/>
    <w:rsid w:val="00B1573D"/>
    <w:rsid w:val="00B160DB"/>
    <w:rsid w:val="00B1635D"/>
    <w:rsid w:val="00B20836"/>
    <w:rsid w:val="00B21857"/>
    <w:rsid w:val="00B235BB"/>
    <w:rsid w:val="00B24B8D"/>
    <w:rsid w:val="00B2502E"/>
    <w:rsid w:val="00B27A44"/>
    <w:rsid w:val="00B30BBF"/>
    <w:rsid w:val="00B30FA2"/>
    <w:rsid w:val="00B33C03"/>
    <w:rsid w:val="00B3645F"/>
    <w:rsid w:val="00B41816"/>
    <w:rsid w:val="00B42D8A"/>
    <w:rsid w:val="00B432FE"/>
    <w:rsid w:val="00B44E56"/>
    <w:rsid w:val="00B46543"/>
    <w:rsid w:val="00B47D33"/>
    <w:rsid w:val="00B50677"/>
    <w:rsid w:val="00B52BE0"/>
    <w:rsid w:val="00B52FFD"/>
    <w:rsid w:val="00B54133"/>
    <w:rsid w:val="00B619A8"/>
    <w:rsid w:val="00B6699B"/>
    <w:rsid w:val="00B701ED"/>
    <w:rsid w:val="00B8086C"/>
    <w:rsid w:val="00B846A8"/>
    <w:rsid w:val="00B861B4"/>
    <w:rsid w:val="00B86DFE"/>
    <w:rsid w:val="00B87050"/>
    <w:rsid w:val="00B902CB"/>
    <w:rsid w:val="00B90990"/>
    <w:rsid w:val="00B91DE0"/>
    <w:rsid w:val="00B922FF"/>
    <w:rsid w:val="00B9281E"/>
    <w:rsid w:val="00B92BE7"/>
    <w:rsid w:val="00B93925"/>
    <w:rsid w:val="00B95187"/>
    <w:rsid w:val="00BA0A48"/>
    <w:rsid w:val="00BA1F3F"/>
    <w:rsid w:val="00BA2D55"/>
    <w:rsid w:val="00BA30FF"/>
    <w:rsid w:val="00BA401B"/>
    <w:rsid w:val="00BA71B1"/>
    <w:rsid w:val="00BB0637"/>
    <w:rsid w:val="00BB1C6B"/>
    <w:rsid w:val="00BB345F"/>
    <w:rsid w:val="00BB5883"/>
    <w:rsid w:val="00BB5C6B"/>
    <w:rsid w:val="00BB68EA"/>
    <w:rsid w:val="00BC1C27"/>
    <w:rsid w:val="00BC44C9"/>
    <w:rsid w:val="00BC6BBF"/>
    <w:rsid w:val="00BD1572"/>
    <w:rsid w:val="00BD25F0"/>
    <w:rsid w:val="00BD269B"/>
    <w:rsid w:val="00BD5069"/>
    <w:rsid w:val="00BE14E3"/>
    <w:rsid w:val="00BE1B03"/>
    <w:rsid w:val="00BE3774"/>
    <w:rsid w:val="00BE41E5"/>
    <w:rsid w:val="00BE53E7"/>
    <w:rsid w:val="00BE5EE6"/>
    <w:rsid w:val="00BE6E52"/>
    <w:rsid w:val="00BF0BBB"/>
    <w:rsid w:val="00BF22E6"/>
    <w:rsid w:val="00BF4109"/>
    <w:rsid w:val="00BF4CC3"/>
    <w:rsid w:val="00BF68E4"/>
    <w:rsid w:val="00C054C7"/>
    <w:rsid w:val="00C057B5"/>
    <w:rsid w:val="00C059A6"/>
    <w:rsid w:val="00C10928"/>
    <w:rsid w:val="00C13E24"/>
    <w:rsid w:val="00C16BE0"/>
    <w:rsid w:val="00C2044A"/>
    <w:rsid w:val="00C212EF"/>
    <w:rsid w:val="00C22687"/>
    <w:rsid w:val="00C2745A"/>
    <w:rsid w:val="00C32E4D"/>
    <w:rsid w:val="00C333A0"/>
    <w:rsid w:val="00C35DBD"/>
    <w:rsid w:val="00C36A81"/>
    <w:rsid w:val="00C41974"/>
    <w:rsid w:val="00C43909"/>
    <w:rsid w:val="00C447AD"/>
    <w:rsid w:val="00C4736D"/>
    <w:rsid w:val="00C523B3"/>
    <w:rsid w:val="00C53F4A"/>
    <w:rsid w:val="00C54125"/>
    <w:rsid w:val="00C55B54"/>
    <w:rsid w:val="00C6098E"/>
    <w:rsid w:val="00C6152C"/>
    <w:rsid w:val="00C621C2"/>
    <w:rsid w:val="00C63F34"/>
    <w:rsid w:val="00C7208A"/>
    <w:rsid w:val="00C7254D"/>
    <w:rsid w:val="00C74810"/>
    <w:rsid w:val="00C82249"/>
    <w:rsid w:val="00C82FE9"/>
    <w:rsid w:val="00C84DA9"/>
    <w:rsid w:val="00C90D68"/>
    <w:rsid w:val="00C9157B"/>
    <w:rsid w:val="00C9199F"/>
    <w:rsid w:val="00C939FE"/>
    <w:rsid w:val="00C94478"/>
    <w:rsid w:val="00C96BED"/>
    <w:rsid w:val="00CA1A60"/>
    <w:rsid w:val="00CA23B8"/>
    <w:rsid w:val="00CA4BDA"/>
    <w:rsid w:val="00CA6F48"/>
    <w:rsid w:val="00CB1F66"/>
    <w:rsid w:val="00CB2951"/>
    <w:rsid w:val="00CB4B2C"/>
    <w:rsid w:val="00CC16C4"/>
    <w:rsid w:val="00CC30BD"/>
    <w:rsid w:val="00CC70AF"/>
    <w:rsid w:val="00CD282B"/>
    <w:rsid w:val="00CD3ED4"/>
    <w:rsid w:val="00CD4057"/>
    <w:rsid w:val="00CD4C35"/>
    <w:rsid w:val="00CD7369"/>
    <w:rsid w:val="00CD77A7"/>
    <w:rsid w:val="00CE0B0E"/>
    <w:rsid w:val="00CE3831"/>
    <w:rsid w:val="00CE5FFE"/>
    <w:rsid w:val="00CF2E36"/>
    <w:rsid w:val="00CF5894"/>
    <w:rsid w:val="00CF61A3"/>
    <w:rsid w:val="00D00ABB"/>
    <w:rsid w:val="00D01430"/>
    <w:rsid w:val="00D02EEC"/>
    <w:rsid w:val="00D03551"/>
    <w:rsid w:val="00D06A63"/>
    <w:rsid w:val="00D07E0E"/>
    <w:rsid w:val="00D11478"/>
    <w:rsid w:val="00D14624"/>
    <w:rsid w:val="00D15ED0"/>
    <w:rsid w:val="00D21B3E"/>
    <w:rsid w:val="00D21FED"/>
    <w:rsid w:val="00D24251"/>
    <w:rsid w:val="00D2614A"/>
    <w:rsid w:val="00D32332"/>
    <w:rsid w:val="00D329EE"/>
    <w:rsid w:val="00D343E2"/>
    <w:rsid w:val="00D3462D"/>
    <w:rsid w:val="00D361A2"/>
    <w:rsid w:val="00D401A5"/>
    <w:rsid w:val="00D44C2E"/>
    <w:rsid w:val="00D453D3"/>
    <w:rsid w:val="00D45414"/>
    <w:rsid w:val="00D46255"/>
    <w:rsid w:val="00D47AC6"/>
    <w:rsid w:val="00D521E8"/>
    <w:rsid w:val="00D53C0F"/>
    <w:rsid w:val="00D566BD"/>
    <w:rsid w:val="00D57A4D"/>
    <w:rsid w:val="00D60AA7"/>
    <w:rsid w:val="00D60D87"/>
    <w:rsid w:val="00D61A7B"/>
    <w:rsid w:val="00D6435F"/>
    <w:rsid w:val="00D737EA"/>
    <w:rsid w:val="00D73AEF"/>
    <w:rsid w:val="00D75E28"/>
    <w:rsid w:val="00D772C2"/>
    <w:rsid w:val="00D8008E"/>
    <w:rsid w:val="00D818DE"/>
    <w:rsid w:val="00D82C45"/>
    <w:rsid w:val="00D83130"/>
    <w:rsid w:val="00D84B46"/>
    <w:rsid w:val="00D85D8C"/>
    <w:rsid w:val="00D8772C"/>
    <w:rsid w:val="00D908A8"/>
    <w:rsid w:val="00D92DA8"/>
    <w:rsid w:val="00D9486B"/>
    <w:rsid w:val="00D977B6"/>
    <w:rsid w:val="00D97C49"/>
    <w:rsid w:val="00DA4A31"/>
    <w:rsid w:val="00DA55E6"/>
    <w:rsid w:val="00DA5833"/>
    <w:rsid w:val="00DA7B04"/>
    <w:rsid w:val="00DB1641"/>
    <w:rsid w:val="00DB24B5"/>
    <w:rsid w:val="00DB2871"/>
    <w:rsid w:val="00DB36C2"/>
    <w:rsid w:val="00DB3E8E"/>
    <w:rsid w:val="00DB66AE"/>
    <w:rsid w:val="00DB7196"/>
    <w:rsid w:val="00DC169B"/>
    <w:rsid w:val="00DC2AB9"/>
    <w:rsid w:val="00DC3005"/>
    <w:rsid w:val="00DC35EF"/>
    <w:rsid w:val="00DC63F0"/>
    <w:rsid w:val="00DC677A"/>
    <w:rsid w:val="00DC7358"/>
    <w:rsid w:val="00DD5B01"/>
    <w:rsid w:val="00DD69CA"/>
    <w:rsid w:val="00DD6EE5"/>
    <w:rsid w:val="00DE2E1E"/>
    <w:rsid w:val="00DE386C"/>
    <w:rsid w:val="00DE4D35"/>
    <w:rsid w:val="00DE626E"/>
    <w:rsid w:val="00DE7F71"/>
    <w:rsid w:val="00DF0549"/>
    <w:rsid w:val="00DF098B"/>
    <w:rsid w:val="00DF11C4"/>
    <w:rsid w:val="00DF210C"/>
    <w:rsid w:val="00DF24A6"/>
    <w:rsid w:val="00DF4B6A"/>
    <w:rsid w:val="00DF579A"/>
    <w:rsid w:val="00E00988"/>
    <w:rsid w:val="00E02C09"/>
    <w:rsid w:val="00E03A7B"/>
    <w:rsid w:val="00E04D59"/>
    <w:rsid w:val="00E065C9"/>
    <w:rsid w:val="00E0723C"/>
    <w:rsid w:val="00E07DA1"/>
    <w:rsid w:val="00E10ED5"/>
    <w:rsid w:val="00E123CB"/>
    <w:rsid w:val="00E14210"/>
    <w:rsid w:val="00E14533"/>
    <w:rsid w:val="00E1557C"/>
    <w:rsid w:val="00E16D3B"/>
    <w:rsid w:val="00E20E13"/>
    <w:rsid w:val="00E21DBC"/>
    <w:rsid w:val="00E275D7"/>
    <w:rsid w:val="00E27DBE"/>
    <w:rsid w:val="00E30166"/>
    <w:rsid w:val="00E32AB1"/>
    <w:rsid w:val="00E33B95"/>
    <w:rsid w:val="00E362C2"/>
    <w:rsid w:val="00E36C71"/>
    <w:rsid w:val="00E37C09"/>
    <w:rsid w:val="00E40404"/>
    <w:rsid w:val="00E459C6"/>
    <w:rsid w:val="00E47589"/>
    <w:rsid w:val="00E53E6F"/>
    <w:rsid w:val="00E53EA8"/>
    <w:rsid w:val="00E549EF"/>
    <w:rsid w:val="00E56126"/>
    <w:rsid w:val="00E60708"/>
    <w:rsid w:val="00E625CA"/>
    <w:rsid w:val="00E64773"/>
    <w:rsid w:val="00E64915"/>
    <w:rsid w:val="00E64C55"/>
    <w:rsid w:val="00E64C8D"/>
    <w:rsid w:val="00E661D4"/>
    <w:rsid w:val="00E70091"/>
    <w:rsid w:val="00E71F59"/>
    <w:rsid w:val="00E720F5"/>
    <w:rsid w:val="00E76D47"/>
    <w:rsid w:val="00E77105"/>
    <w:rsid w:val="00E819FC"/>
    <w:rsid w:val="00E849F7"/>
    <w:rsid w:val="00E85A11"/>
    <w:rsid w:val="00E85DDE"/>
    <w:rsid w:val="00E90302"/>
    <w:rsid w:val="00E925C4"/>
    <w:rsid w:val="00E94128"/>
    <w:rsid w:val="00E94750"/>
    <w:rsid w:val="00E9597F"/>
    <w:rsid w:val="00E95D56"/>
    <w:rsid w:val="00E97200"/>
    <w:rsid w:val="00E97396"/>
    <w:rsid w:val="00EA185E"/>
    <w:rsid w:val="00EA592A"/>
    <w:rsid w:val="00EA7EF6"/>
    <w:rsid w:val="00EB14E4"/>
    <w:rsid w:val="00EB32A5"/>
    <w:rsid w:val="00EB34ED"/>
    <w:rsid w:val="00EB7BE0"/>
    <w:rsid w:val="00EC315E"/>
    <w:rsid w:val="00EC7423"/>
    <w:rsid w:val="00ED077C"/>
    <w:rsid w:val="00ED1190"/>
    <w:rsid w:val="00ED23D7"/>
    <w:rsid w:val="00ED2871"/>
    <w:rsid w:val="00ED6544"/>
    <w:rsid w:val="00ED7E14"/>
    <w:rsid w:val="00EE0277"/>
    <w:rsid w:val="00EE1DA9"/>
    <w:rsid w:val="00EE2FB0"/>
    <w:rsid w:val="00EE3E00"/>
    <w:rsid w:val="00EE5DD2"/>
    <w:rsid w:val="00EF356E"/>
    <w:rsid w:val="00EF41F1"/>
    <w:rsid w:val="00EF4F08"/>
    <w:rsid w:val="00EF54EE"/>
    <w:rsid w:val="00EF7252"/>
    <w:rsid w:val="00EF759F"/>
    <w:rsid w:val="00F00A79"/>
    <w:rsid w:val="00F00E86"/>
    <w:rsid w:val="00F0360D"/>
    <w:rsid w:val="00F04962"/>
    <w:rsid w:val="00F07C1E"/>
    <w:rsid w:val="00F102A1"/>
    <w:rsid w:val="00F105DB"/>
    <w:rsid w:val="00F12945"/>
    <w:rsid w:val="00F132BC"/>
    <w:rsid w:val="00F13D80"/>
    <w:rsid w:val="00F152AC"/>
    <w:rsid w:val="00F16AAA"/>
    <w:rsid w:val="00F16D8E"/>
    <w:rsid w:val="00F1757C"/>
    <w:rsid w:val="00F21161"/>
    <w:rsid w:val="00F218EF"/>
    <w:rsid w:val="00F21BC7"/>
    <w:rsid w:val="00F23F61"/>
    <w:rsid w:val="00F2458F"/>
    <w:rsid w:val="00F266A2"/>
    <w:rsid w:val="00F2779A"/>
    <w:rsid w:val="00F27BD2"/>
    <w:rsid w:val="00F3192C"/>
    <w:rsid w:val="00F32269"/>
    <w:rsid w:val="00F352EF"/>
    <w:rsid w:val="00F375F0"/>
    <w:rsid w:val="00F401BD"/>
    <w:rsid w:val="00F4540E"/>
    <w:rsid w:val="00F47476"/>
    <w:rsid w:val="00F478B6"/>
    <w:rsid w:val="00F544FC"/>
    <w:rsid w:val="00F549F0"/>
    <w:rsid w:val="00F54BEC"/>
    <w:rsid w:val="00F559EB"/>
    <w:rsid w:val="00F56A6F"/>
    <w:rsid w:val="00F5709C"/>
    <w:rsid w:val="00F57A2A"/>
    <w:rsid w:val="00F621D5"/>
    <w:rsid w:val="00F6246A"/>
    <w:rsid w:val="00F64EF1"/>
    <w:rsid w:val="00F6790A"/>
    <w:rsid w:val="00F71B8D"/>
    <w:rsid w:val="00F73CDC"/>
    <w:rsid w:val="00F74653"/>
    <w:rsid w:val="00F77879"/>
    <w:rsid w:val="00F8164A"/>
    <w:rsid w:val="00F8176A"/>
    <w:rsid w:val="00F8490C"/>
    <w:rsid w:val="00F85E13"/>
    <w:rsid w:val="00F869C5"/>
    <w:rsid w:val="00F8765F"/>
    <w:rsid w:val="00F90767"/>
    <w:rsid w:val="00F95EA6"/>
    <w:rsid w:val="00FA2C34"/>
    <w:rsid w:val="00FA685B"/>
    <w:rsid w:val="00FB0C01"/>
    <w:rsid w:val="00FB0DF5"/>
    <w:rsid w:val="00FB0F06"/>
    <w:rsid w:val="00FB3558"/>
    <w:rsid w:val="00FB3E0B"/>
    <w:rsid w:val="00FB76DD"/>
    <w:rsid w:val="00FC18F2"/>
    <w:rsid w:val="00FC241B"/>
    <w:rsid w:val="00FC2880"/>
    <w:rsid w:val="00FC39E5"/>
    <w:rsid w:val="00FC3A78"/>
    <w:rsid w:val="00FC4433"/>
    <w:rsid w:val="00FC5FFE"/>
    <w:rsid w:val="00FC6BC5"/>
    <w:rsid w:val="00FD1005"/>
    <w:rsid w:val="00FD3180"/>
    <w:rsid w:val="00FD3D3F"/>
    <w:rsid w:val="00FD4569"/>
    <w:rsid w:val="00FD5806"/>
    <w:rsid w:val="00FD6C75"/>
    <w:rsid w:val="00FD7B3B"/>
    <w:rsid w:val="00FE32F1"/>
    <w:rsid w:val="00FE5594"/>
    <w:rsid w:val="00FE71B3"/>
    <w:rsid w:val="00FF0C93"/>
    <w:rsid w:val="00FF239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4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8772C"/>
    <w:pPr>
      <w:jc w:val="both"/>
    </w:pPr>
    <w:rPr>
      <w:rFonts w:eastAsiaTheme="minorEastAsia"/>
      <w:sz w:val="24"/>
    </w:rPr>
  </w:style>
  <w:style w:type="paragraph" w:styleId="Heading1">
    <w:name w:val="heading 1"/>
    <w:basedOn w:val="Normal"/>
    <w:next w:val="Normal"/>
    <w:link w:val="Heading1Char"/>
    <w:uiPriority w:val="99"/>
    <w:semiHidden/>
    <w:rsid w:val="00D8772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D8772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D8772C"/>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D8772C"/>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D8772C"/>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D8772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D8772C"/>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D8772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D8772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772C"/>
    <w:rPr>
      <w:rFonts w:ascii="Tahoma" w:hAnsi="Tahoma" w:cs="Tahoma"/>
      <w:sz w:val="16"/>
      <w:szCs w:val="16"/>
    </w:rPr>
  </w:style>
  <w:style w:type="character" w:customStyle="1" w:styleId="BalloonTextChar">
    <w:name w:val="Balloon Text Char"/>
    <w:basedOn w:val="DefaultParagraphFont"/>
    <w:link w:val="BalloonText"/>
    <w:uiPriority w:val="99"/>
    <w:semiHidden/>
    <w:rsid w:val="00D8772C"/>
    <w:rPr>
      <w:rFonts w:ascii="Tahoma" w:eastAsiaTheme="minorEastAsia" w:hAnsi="Tahoma" w:cs="Tahoma"/>
      <w:sz w:val="16"/>
      <w:szCs w:val="16"/>
    </w:rPr>
  </w:style>
  <w:style w:type="character" w:styleId="BookTitle">
    <w:name w:val="Book Title"/>
    <w:uiPriority w:val="99"/>
    <w:semiHidden/>
    <w:qFormat/>
    <w:rsid w:val="00D8772C"/>
    <w:rPr>
      <w:i/>
      <w:iCs/>
      <w:smallCaps/>
      <w:spacing w:val="5"/>
    </w:rPr>
  </w:style>
  <w:style w:type="paragraph" w:customStyle="1" w:styleId="ECHRHeader">
    <w:name w:val="ECHR_Header"/>
    <w:aliases w:val="Ju_Header"/>
    <w:basedOn w:val="Header"/>
    <w:uiPriority w:val="4"/>
    <w:qFormat/>
    <w:rsid w:val="00D8772C"/>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D8772C"/>
  </w:style>
  <w:style w:type="character" w:styleId="Strong">
    <w:name w:val="Strong"/>
    <w:uiPriority w:val="99"/>
    <w:semiHidden/>
    <w:qFormat/>
    <w:rsid w:val="00D8772C"/>
    <w:rPr>
      <w:b/>
      <w:bCs/>
    </w:rPr>
  </w:style>
  <w:style w:type="paragraph" w:styleId="NoSpacing">
    <w:name w:val="No Spacing"/>
    <w:basedOn w:val="Normal"/>
    <w:link w:val="NoSpacingChar"/>
    <w:semiHidden/>
    <w:qFormat/>
    <w:rsid w:val="00D8772C"/>
  </w:style>
  <w:style w:type="character" w:customStyle="1" w:styleId="NoSpacingChar">
    <w:name w:val="No Spacing Char"/>
    <w:basedOn w:val="DefaultParagraphFont"/>
    <w:link w:val="NoSpacing"/>
    <w:semiHidden/>
    <w:rsid w:val="00D8772C"/>
    <w:rPr>
      <w:rFonts w:eastAsiaTheme="minorEastAsia"/>
      <w:sz w:val="24"/>
    </w:rPr>
  </w:style>
  <w:style w:type="paragraph" w:customStyle="1" w:styleId="ECHRFooter">
    <w:name w:val="ECHR_Footer"/>
    <w:aliases w:val="Footer_ECHR"/>
    <w:basedOn w:val="Footer"/>
    <w:uiPriority w:val="57"/>
    <w:semiHidden/>
    <w:rsid w:val="00D8772C"/>
    <w:pPr>
      <w:jc w:val="left"/>
    </w:pPr>
    <w:rPr>
      <w:sz w:val="8"/>
    </w:rPr>
  </w:style>
  <w:style w:type="paragraph" w:customStyle="1" w:styleId="ECHRFooterLine">
    <w:name w:val="ECHR_Footer_Line"/>
    <w:aliases w:val="Footer_Line"/>
    <w:basedOn w:val="Normal"/>
    <w:next w:val="ECHRFooter"/>
    <w:uiPriority w:val="57"/>
    <w:semiHidden/>
    <w:rsid w:val="00D8772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D8772C"/>
    <w:pPr>
      <w:numPr>
        <w:numId w:val="14"/>
      </w:numPr>
      <w:jc w:val="left"/>
    </w:pPr>
    <w:rPr>
      <w:b/>
    </w:rPr>
  </w:style>
  <w:style w:type="paragraph" w:customStyle="1" w:styleId="JuParaSub">
    <w:name w:val="Ju_Para_Sub"/>
    <w:basedOn w:val="ECHRPara"/>
    <w:uiPriority w:val="13"/>
    <w:qFormat/>
    <w:rsid w:val="00D8772C"/>
    <w:pPr>
      <w:ind w:left="284"/>
    </w:pPr>
  </w:style>
  <w:style w:type="paragraph" w:customStyle="1" w:styleId="ECHRTitleCentre3">
    <w:name w:val="ECHR_Title_Centre_3"/>
    <w:aliases w:val="Ju_H_Article"/>
    <w:basedOn w:val="Normal"/>
    <w:next w:val="ECHRParaQuote"/>
    <w:uiPriority w:val="27"/>
    <w:qFormat/>
    <w:rsid w:val="00D8772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D8772C"/>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D8772C"/>
  </w:style>
  <w:style w:type="paragraph" w:customStyle="1" w:styleId="JuInitialled">
    <w:name w:val="Ju_Initialled"/>
    <w:basedOn w:val="Normal"/>
    <w:uiPriority w:val="31"/>
    <w:qFormat/>
    <w:rsid w:val="00D8772C"/>
    <w:pPr>
      <w:tabs>
        <w:tab w:val="center" w:pos="6407"/>
      </w:tabs>
      <w:spacing w:before="720"/>
      <w:jc w:val="right"/>
    </w:pPr>
  </w:style>
  <w:style w:type="paragraph" w:customStyle="1" w:styleId="OpiQuot">
    <w:name w:val="Opi_Quot"/>
    <w:basedOn w:val="ECHRParaQuote"/>
    <w:uiPriority w:val="48"/>
    <w:semiHidden/>
    <w:qFormat/>
    <w:rsid w:val="00D8772C"/>
  </w:style>
  <w:style w:type="paragraph" w:customStyle="1" w:styleId="OpiQuotSub">
    <w:name w:val="Opi_Quot_Sub"/>
    <w:basedOn w:val="JuQuotSub"/>
    <w:uiPriority w:val="49"/>
    <w:semiHidden/>
    <w:qFormat/>
    <w:rsid w:val="00D8772C"/>
  </w:style>
  <w:style w:type="paragraph" w:customStyle="1" w:styleId="ECHRTitleCentre2">
    <w:name w:val="ECHR_Title_Centre_2"/>
    <w:aliases w:val="Dec_H_Case"/>
    <w:basedOn w:val="Normal"/>
    <w:next w:val="ECHRPara"/>
    <w:uiPriority w:val="8"/>
    <w:qFormat/>
    <w:rsid w:val="00D8772C"/>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D8772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D8772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link w:val="JuH1Char"/>
    <w:uiPriority w:val="21"/>
    <w:qFormat/>
    <w:rsid w:val="00D8772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D8772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D8772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F102A1"/>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D8772C"/>
    <w:pPr>
      <w:keepNext/>
      <w:keepLines/>
      <w:spacing w:before="240" w:after="120"/>
      <w:ind w:left="1236"/>
    </w:pPr>
    <w:rPr>
      <w:sz w:val="20"/>
    </w:rPr>
  </w:style>
  <w:style w:type="paragraph" w:customStyle="1" w:styleId="JuTitle">
    <w:name w:val="Ju_Title"/>
    <w:basedOn w:val="Normal"/>
    <w:next w:val="ECHRPara"/>
    <w:uiPriority w:val="3"/>
    <w:qFormat/>
    <w:rsid w:val="00D8772C"/>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D8772C"/>
    <w:pPr>
      <w:ind w:left="567"/>
    </w:pPr>
  </w:style>
  <w:style w:type="paragraph" w:customStyle="1" w:styleId="OpiHA">
    <w:name w:val="Opi_H_A"/>
    <w:basedOn w:val="ECHRHeading1"/>
    <w:next w:val="OpiPara"/>
    <w:uiPriority w:val="41"/>
    <w:semiHidden/>
    <w:qFormat/>
    <w:rsid w:val="00D8772C"/>
    <w:pPr>
      <w:tabs>
        <w:tab w:val="clear" w:pos="357"/>
      </w:tabs>
      <w:outlineLvl w:val="1"/>
    </w:pPr>
    <w:rPr>
      <w:b/>
    </w:rPr>
  </w:style>
  <w:style w:type="paragraph" w:styleId="Header">
    <w:name w:val="header"/>
    <w:basedOn w:val="Normal"/>
    <w:link w:val="HeaderChar"/>
    <w:rsid w:val="00D8772C"/>
    <w:pPr>
      <w:tabs>
        <w:tab w:val="center" w:pos="4536"/>
        <w:tab w:val="right" w:pos="9072"/>
      </w:tabs>
    </w:pPr>
    <w:rPr>
      <w:rFonts w:eastAsiaTheme="minorHAnsi"/>
    </w:rPr>
  </w:style>
  <w:style w:type="character" w:customStyle="1" w:styleId="HeaderChar">
    <w:name w:val="Header Char"/>
    <w:basedOn w:val="DefaultParagraphFont"/>
    <w:link w:val="Header"/>
    <w:rsid w:val="00D8772C"/>
    <w:rPr>
      <w:sz w:val="24"/>
    </w:rPr>
  </w:style>
  <w:style w:type="character" w:customStyle="1" w:styleId="Heading1Char">
    <w:name w:val="Heading 1 Char"/>
    <w:basedOn w:val="DefaultParagraphFont"/>
    <w:link w:val="Heading1"/>
    <w:uiPriority w:val="99"/>
    <w:semiHidden/>
    <w:rsid w:val="00D8772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D8772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Heading2"/>
    <w:next w:val="ECHRPara"/>
    <w:link w:val="JuHAChar"/>
    <w:uiPriority w:val="20"/>
    <w:qFormat/>
    <w:rsid w:val="00D8772C"/>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D8772C"/>
    <w:rPr>
      <w:rFonts w:asciiTheme="majorHAnsi" w:eastAsiaTheme="majorEastAsia" w:hAnsiTheme="majorHAnsi" w:cstheme="majorBidi"/>
      <w:b/>
      <w:bCs/>
      <w:color w:val="4D4D4D"/>
      <w:sz w:val="26"/>
      <w:szCs w:val="26"/>
    </w:rPr>
  </w:style>
  <w:style w:type="character" w:customStyle="1" w:styleId="JUNAMES">
    <w:name w:val="JU_NAMES"/>
    <w:uiPriority w:val="17"/>
    <w:qFormat/>
    <w:rsid w:val="00D8772C"/>
    <w:rPr>
      <w:caps w:val="0"/>
      <w:smallCaps/>
    </w:rPr>
  </w:style>
  <w:style w:type="paragraph" w:customStyle="1" w:styleId="JuCase">
    <w:name w:val="Ju_Case"/>
    <w:basedOn w:val="Normal"/>
    <w:next w:val="ECHRPara"/>
    <w:uiPriority w:val="10"/>
    <w:rsid w:val="00D8772C"/>
    <w:pPr>
      <w:ind w:firstLine="284"/>
    </w:pPr>
    <w:rPr>
      <w:b/>
    </w:rPr>
  </w:style>
  <w:style w:type="character" w:customStyle="1" w:styleId="Heading3Char">
    <w:name w:val="Heading 3 Char"/>
    <w:basedOn w:val="DefaultParagraphFont"/>
    <w:link w:val="Heading3"/>
    <w:uiPriority w:val="99"/>
    <w:semiHidden/>
    <w:rsid w:val="00D8772C"/>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D8772C"/>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D8772C"/>
    <w:rPr>
      <w:rFonts w:asciiTheme="majorHAnsi" w:eastAsiaTheme="majorEastAsia" w:hAnsiTheme="majorHAnsi" w:cstheme="majorBidi"/>
      <w:b/>
      <w:bCs/>
      <w:color w:val="808080"/>
      <w:sz w:val="24"/>
    </w:rPr>
  </w:style>
  <w:style w:type="character" w:styleId="SubtleEmphasis">
    <w:name w:val="Subtle Emphasis"/>
    <w:uiPriority w:val="99"/>
    <w:semiHidden/>
    <w:qFormat/>
    <w:rsid w:val="00D8772C"/>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D8772C"/>
    <w:pPr>
      <w:keepNext/>
      <w:keepLines/>
      <w:spacing w:before="720" w:after="240"/>
      <w:outlineLvl w:val="0"/>
    </w:pPr>
    <w:rPr>
      <w:rFonts w:asciiTheme="majorHAnsi" w:hAnsiTheme="majorHAnsi"/>
      <w:sz w:val="28"/>
    </w:rPr>
  </w:style>
  <w:style w:type="character" w:styleId="Emphasis">
    <w:name w:val="Emphasis"/>
    <w:uiPriority w:val="99"/>
    <w:semiHidden/>
    <w:qFormat/>
    <w:rsid w:val="00D8772C"/>
    <w:rPr>
      <w:b/>
      <w:bCs/>
      <w:i/>
      <w:iCs/>
      <w:spacing w:val="10"/>
      <w:bdr w:val="none" w:sz="0" w:space="0" w:color="auto"/>
      <w:shd w:val="clear" w:color="auto" w:fill="auto"/>
    </w:rPr>
  </w:style>
  <w:style w:type="paragraph" w:styleId="Footer">
    <w:name w:val="footer"/>
    <w:basedOn w:val="Normal"/>
    <w:link w:val="FooterChar"/>
    <w:rsid w:val="00D8772C"/>
    <w:pPr>
      <w:tabs>
        <w:tab w:val="center" w:pos="4536"/>
        <w:tab w:val="right" w:pos="9696"/>
      </w:tabs>
      <w:ind w:left="-680" w:right="-680"/>
    </w:pPr>
    <w:rPr>
      <w:rFonts w:eastAsiaTheme="minorHAnsi"/>
    </w:rPr>
  </w:style>
  <w:style w:type="character" w:customStyle="1" w:styleId="FooterChar">
    <w:name w:val="Footer Char"/>
    <w:basedOn w:val="DefaultParagraphFont"/>
    <w:link w:val="Footer"/>
    <w:rsid w:val="00D8772C"/>
    <w:rPr>
      <w:sz w:val="24"/>
    </w:rPr>
  </w:style>
  <w:style w:type="character" w:styleId="FootnoteReference">
    <w:name w:val="footnote reference"/>
    <w:basedOn w:val="DefaultParagraphFont"/>
    <w:uiPriority w:val="99"/>
    <w:semiHidden/>
    <w:rsid w:val="00D8772C"/>
    <w:rPr>
      <w:vertAlign w:val="superscript"/>
    </w:rPr>
  </w:style>
  <w:style w:type="paragraph" w:styleId="FootnoteText">
    <w:name w:val="footnote text"/>
    <w:basedOn w:val="Normal"/>
    <w:link w:val="FootnoteTextChar"/>
    <w:uiPriority w:val="99"/>
    <w:semiHidden/>
    <w:rsid w:val="00D8772C"/>
    <w:rPr>
      <w:sz w:val="20"/>
      <w:szCs w:val="20"/>
    </w:rPr>
  </w:style>
  <w:style w:type="character" w:customStyle="1" w:styleId="FootnoteTextChar">
    <w:name w:val="Footnote Text Char"/>
    <w:basedOn w:val="DefaultParagraphFont"/>
    <w:link w:val="FootnoteText"/>
    <w:uiPriority w:val="99"/>
    <w:semiHidden/>
    <w:rsid w:val="00D8772C"/>
    <w:rPr>
      <w:rFonts w:eastAsiaTheme="minorEastAsia"/>
      <w:sz w:val="20"/>
      <w:szCs w:val="20"/>
    </w:rPr>
  </w:style>
  <w:style w:type="character" w:customStyle="1" w:styleId="Heading6Char">
    <w:name w:val="Heading 6 Char"/>
    <w:basedOn w:val="DefaultParagraphFont"/>
    <w:link w:val="Heading6"/>
    <w:uiPriority w:val="99"/>
    <w:semiHidden/>
    <w:rsid w:val="00D8772C"/>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D8772C"/>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D8772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D8772C"/>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D8772C"/>
    <w:rPr>
      <w:color w:val="0072BC" w:themeColor="hyperlink"/>
      <w:u w:val="single"/>
    </w:rPr>
  </w:style>
  <w:style w:type="character" w:styleId="IntenseEmphasis">
    <w:name w:val="Intense Emphasis"/>
    <w:uiPriority w:val="99"/>
    <w:semiHidden/>
    <w:qFormat/>
    <w:rsid w:val="00D8772C"/>
    <w:rPr>
      <w:b/>
      <w:bCs/>
    </w:rPr>
  </w:style>
  <w:style w:type="paragraph" w:styleId="IntenseQuote">
    <w:name w:val="Intense Quote"/>
    <w:basedOn w:val="Normal"/>
    <w:next w:val="Normal"/>
    <w:link w:val="IntenseQuoteChar"/>
    <w:uiPriority w:val="99"/>
    <w:semiHidden/>
    <w:qFormat/>
    <w:rsid w:val="00D8772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D8772C"/>
    <w:rPr>
      <w:rFonts w:eastAsiaTheme="minorEastAsia"/>
      <w:b/>
      <w:bCs/>
      <w:i/>
      <w:iCs/>
      <w:sz w:val="24"/>
      <w:lang w:bidi="en-US"/>
    </w:rPr>
  </w:style>
  <w:style w:type="character" w:styleId="IntenseReference">
    <w:name w:val="Intense Reference"/>
    <w:uiPriority w:val="99"/>
    <w:semiHidden/>
    <w:qFormat/>
    <w:rsid w:val="00D8772C"/>
    <w:rPr>
      <w:smallCaps/>
      <w:spacing w:val="5"/>
      <w:u w:val="single"/>
    </w:rPr>
  </w:style>
  <w:style w:type="paragraph" w:styleId="ListParagraph">
    <w:name w:val="List Paragraph"/>
    <w:basedOn w:val="Normal"/>
    <w:uiPriority w:val="99"/>
    <w:semiHidden/>
    <w:qFormat/>
    <w:rsid w:val="00D8772C"/>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D8772C"/>
    <w:pPr>
      <w:spacing w:before="200"/>
      <w:ind w:left="360" w:right="360"/>
    </w:pPr>
    <w:rPr>
      <w:i/>
      <w:iCs/>
      <w:lang w:bidi="en-US"/>
    </w:rPr>
  </w:style>
  <w:style w:type="character" w:customStyle="1" w:styleId="QuoteChar">
    <w:name w:val="Quote Char"/>
    <w:basedOn w:val="DefaultParagraphFont"/>
    <w:link w:val="Quote"/>
    <w:uiPriority w:val="99"/>
    <w:semiHidden/>
    <w:rsid w:val="00D8772C"/>
    <w:rPr>
      <w:rFonts w:eastAsiaTheme="minorEastAsia"/>
      <w:i/>
      <w:iCs/>
      <w:sz w:val="24"/>
      <w:lang w:bidi="en-US"/>
    </w:rPr>
  </w:style>
  <w:style w:type="character" w:styleId="SubtleReference">
    <w:name w:val="Subtle Reference"/>
    <w:uiPriority w:val="99"/>
    <w:semiHidden/>
    <w:qFormat/>
    <w:rsid w:val="00D8772C"/>
    <w:rPr>
      <w:smallCaps/>
    </w:rPr>
  </w:style>
  <w:style w:type="table" w:styleId="TableGrid">
    <w:name w:val="Table Grid"/>
    <w:basedOn w:val="TableNormal"/>
    <w:uiPriority w:val="59"/>
    <w:rsid w:val="00D877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8772C"/>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D8772C"/>
    <w:pPr>
      <w:spacing w:after="60"/>
      <w:ind w:left="680" w:right="340" w:hanging="340"/>
    </w:pPr>
  </w:style>
  <w:style w:type="paragraph" w:styleId="TOC3">
    <w:name w:val="toc 3"/>
    <w:basedOn w:val="Normal"/>
    <w:next w:val="Normal"/>
    <w:autoRedefine/>
    <w:uiPriority w:val="99"/>
    <w:semiHidden/>
    <w:rsid w:val="00D8772C"/>
    <w:pPr>
      <w:spacing w:after="60"/>
      <w:ind w:left="1020" w:right="340" w:hanging="340"/>
    </w:pPr>
  </w:style>
  <w:style w:type="paragraph" w:styleId="TOC4">
    <w:name w:val="toc 4"/>
    <w:basedOn w:val="Normal"/>
    <w:next w:val="Normal"/>
    <w:autoRedefine/>
    <w:uiPriority w:val="99"/>
    <w:semiHidden/>
    <w:rsid w:val="00D8772C"/>
    <w:pPr>
      <w:tabs>
        <w:tab w:val="right" w:leader="dot" w:pos="9017"/>
      </w:tabs>
      <w:spacing w:after="60"/>
      <w:ind w:left="1361" w:right="340" w:hanging="340"/>
    </w:pPr>
  </w:style>
  <w:style w:type="paragraph" w:styleId="TOC5">
    <w:name w:val="toc 5"/>
    <w:basedOn w:val="Normal"/>
    <w:next w:val="Normal"/>
    <w:autoRedefine/>
    <w:uiPriority w:val="99"/>
    <w:semiHidden/>
    <w:rsid w:val="00D8772C"/>
    <w:pPr>
      <w:spacing w:after="60"/>
      <w:ind w:left="1701" w:right="340" w:hanging="340"/>
    </w:pPr>
  </w:style>
  <w:style w:type="paragraph" w:styleId="TOCHeading">
    <w:name w:val="TOC Heading"/>
    <w:basedOn w:val="Heading1"/>
    <w:next w:val="Normal"/>
    <w:uiPriority w:val="99"/>
    <w:semiHidden/>
    <w:qFormat/>
    <w:rsid w:val="00D8772C"/>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D8772C"/>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D8772C"/>
    <w:pPr>
      <w:spacing w:before="120" w:after="120"/>
      <w:ind w:left="425" w:firstLine="142"/>
    </w:pPr>
    <w:rPr>
      <w:sz w:val="20"/>
    </w:rPr>
  </w:style>
  <w:style w:type="paragraph" w:customStyle="1" w:styleId="ECHRPara">
    <w:name w:val="ECHR_Para"/>
    <w:aliases w:val="Ju_Para"/>
    <w:basedOn w:val="Normal"/>
    <w:link w:val="ECHRParaChar"/>
    <w:uiPriority w:val="12"/>
    <w:qFormat/>
    <w:rsid w:val="00D8772C"/>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8772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8772C"/>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D8772C"/>
    <w:pPr>
      <w:ind w:left="340" w:hanging="340"/>
    </w:pPr>
  </w:style>
  <w:style w:type="paragraph" w:customStyle="1" w:styleId="JuSigned">
    <w:name w:val="Ju_Signed"/>
    <w:basedOn w:val="Normal"/>
    <w:next w:val="JuParaLast"/>
    <w:uiPriority w:val="32"/>
    <w:qFormat/>
    <w:rsid w:val="00D8772C"/>
    <w:pPr>
      <w:tabs>
        <w:tab w:val="center" w:pos="851"/>
        <w:tab w:val="center" w:pos="6407"/>
      </w:tabs>
      <w:spacing w:before="720"/>
      <w:jc w:val="left"/>
    </w:pPr>
  </w:style>
  <w:style w:type="paragraph" w:customStyle="1" w:styleId="JuParaLast">
    <w:name w:val="Ju_Para_Last"/>
    <w:basedOn w:val="Normal"/>
    <w:next w:val="ECHRPara"/>
    <w:uiPriority w:val="30"/>
    <w:qFormat/>
    <w:rsid w:val="00D8772C"/>
    <w:pPr>
      <w:keepNext/>
      <w:keepLines/>
      <w:spacing w:before="240"/>
      <w:ind w:firstLine="284"/>
    </w:pPr>
  </w:style>
  <w:style w:type="character" w:customStyle="1" w:styleId="JuITMark">
    <w:name w:val="Ju_ITMark"/>
    <w:basedOn w:val="DefaultParagraphFont"/>
    <w:uiPriority w:val="38"/>
    <w:qFormat/>
    <w:rsid w:val="00D8772C"/>
    <w:rPr>
      <w:vanish w:val="0"/>
      <w:color w:val="auto"/>
      <w:sz w:val="14"/>
    </w:rPr>
  </w:style>
  <w:style w:type="character" w:styleId="PageNumber">
    <w:name w:val="page number"/>
    <w:semiHidden/>
    <w:rsid w:val="00014566"/>
    <w:rPr>
      <w:sz w:val="18"/>
    </w:rPr>
  </w:style>
  <w:style w:type="paragraph" w:customStyle="1" w:styleId="JuLista">
    <w:name w:val="Ju_List_a"/>
    <w:basedOn w:val="JuList"/>
    <w:uiPriority w:val="28"/>
    <w:qFormat/>
    <w:rsid w:val="00D8772C"/>
    <w:pPr>
      <w:ind w:left="346" w:firstLine="0"/>
    </w:pPr>
  </w:style>
  <w:style w:type="paragraph" w:customStyle="1" w:styleId="JuListi">
    <w:name w:val="Ju_List_i"/>
    <w:basedOn w:val="Normal"/>
    <w:next w:val="JuLista"/>
    <w:uiPriority w:val="28"/>
    <w:qFormat/>
    <w:rsid w:val="00D8772C"/>
    <w:pPr>
      <w:ind w:left="794"/>
    </w:p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semiHidden/>
    <w:qFormat/>
    <w:rsid w:val="00D8772C"/>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D8772C"/>
  </w:style>
  <w:style w:type="paragraph" w:styleId="Subtitle">
    <w:name w:val="Subtitle"/>
    <w:basedOn w:val="Normal"/>
    <w:next w:val="Normal"/>
    <w:link w:val="SubtitleChar"/>
    <w:uiPriority w:val="99"/>
    <w:semiHidden/>
    <w:qFormat/>
    <w:rsid w:val="00D8772C"/>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D8772C"/>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fr-FR"/>
    </w:rPr>
  </w:style>
  <w:style w:type="table" w:styleId="MediumGrid1">
    <w:name w:val="Medium Grid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12"/>
    <w:rsid w:val="008C63D3"/>
    <w:rPr>
      <w:rFonts w:eastAsiaTheme="minorEastAsia"/>
      <w:sz w:val="24"/>
    </w:rPr>
  </w:style>
  <w:style w:type="paragraph" w:customStyle="1" w:styleId="JuCourt">
    <w:name w:val="Ju_Court"/>
    <w:basedOn w:val="Normal"/>
    <w:next w:val="Normal"/>
    <w:uiPriority w:val="16"/>
    <w:qFormat/>
    <w:rsid w:val="00D8772C"/>
    <w:pPr>
      <w:tabs>
        <w:tab w:val="left" w:pos="907"/>
        <w:tab w:val="left" w:pos="1701"/>
        <w:tab w:val="right" w:pos="7371"/>
      </w:tabs>
      <w:spacing w:before="240"/>
      <w:ind w:left="397" w:hanging="397"/>
      <w:jc w:val="left"/>
    </w:pPr>
    <w:rPr>
      <w:lang w:bidi="en-US"/>
    </w:rPr>
  </w:style>
  <w:style w:type="character" w:customStyle="1" w:styleId="JuH1Char">
    <w:name w:val="Ju_H_1. Char"/>
    <w:basedOn w:val="DefaultParagraphFont"/>
    <w:link w:val="ECHRHeading3"/>
    <w:uiPriority w:val="21"/>
    <w:rsid w:val="00F1757C"/>
    <w:rPr>
      <w:rFonts w:asciiTheme="majorHAnsi" w:eastAsiaTheme="majorEastAsia" w:hAnsiTheme="majorHAnsi" w:cstheme="majorBidi"/>
      <w:bCs/>
      <w:i/>
      <w:sz w:val="24"/>
    </w:rPr>
  </w:style>
  <w:style w:type="character" w:customStyle="1" w:styleId="JuHAChar">
    <w:name w:val="Ju_H_A Char"/>
    <w:link w:val="ECHRHeading2"/>
    <w:uiPriority w:val="20"/>
    <w:rsid w:val="00BE6E52"/>
    <w:rPr>
      <w:rFonts w:asciiTheme="majorHAnsi" w:eastAsiaTheme="majorEastAsia" w:hAnsiTheme="majorHAnsi" w:cstheme="majorBidi"/>
      <w:b/>
      <w:bCs/>
      <w:sz w:val="24"/>
      <w:szCs w:val="26"/>
    </w:rPr>
  </w:style>
  <w:style w:type="paragraph" w:customStyle="1" w:styleId="DecList">
    <w:name w:val="Dec_List"/>
    <w:basedOn w:val="Normal"/>
    <w:uiPriority w:val="9"/>
    <w:qFormat/>
    <w:rsid w:val="00D8772C"/>
    <w:pPr>
      <w:spacing w:before="240"/>
      <w:ind w:left="284"/>
    </w:pPr>
  </w:style>
  <w:style w:type="paragraph" w:customStyle="1" w:styleId="OpiH1">
    <w:name w:val="Opi_H_1"/>
    <w:basedOn w:val="ECHRHeading2"/>
    <w:uiPriority w:val="42"/>
    <w:semiHidden/>
    <w:qFormat/>
    <w:rsid w:val="00D8772C"/>
    <w:pPr>
      <w:ind w:left="635" w:hanging="357"/>
      <w:outlineLvl w:val="2"/>
    </w:pPr>
  </w:style>
  <w:style w:type="paragraph" w:customStyle="1" w:styleId="OpiHa0">
    <w:name w:val="Opi_H_a"/>
    <w:basedOn w:val="ECHRHeading3"/>
    <w:uiPriority w:val="43"/>
    <w:semiHidden/>
    <w:qFormat/>
    <w:rsid w:val="00D8772C"/>
    <w:pPr>
      <w:ind w:left="833" w:hanging="357"/>
      <w:outlineLvl w:val="3"/>
    </w:pPr>
    <w:rPr>
      <w:b/>
      <w:i w:val="0"/>
      <w:sz w:val="20"/>
    </w:rPr>
  </w:style>
  <w:style w:type="paragraph" w:customStyle="1" w:styleId="OpiHi">
    <w:name w:val="Opi_H_i"/>
    <w:basedOn w:val="ECHRHeading4"/>
    <w:uiPriority w:val="44"/>
    <w:semiHidden/>
    <w:qFormat/>
    <w:rsid w:val="00D8772C"/>
    <w:pPr>
      <w:ind w:left="1037" w:hanging="357"/>
      <w:outlineLvl w:val="4"/>
    </w:pPr>
    <w:rPr>
      <w:b w:val="0"/>
      <w:i/>
    </w:rPr>
  </w:style>
  <w:style w:type="character" w:customStyle="1" w:styleId="ju-005fpara--char">
    <w:name w:val="ju-005fpara--char"/>
    <w:basedOn w:val="DefaultParagraphFont"/>
    <w:rsid w:val="001D0633"/>
  </w:style>
  <w:style w:type="paragraph" w:customStyle="1" w:styleId="DummyStyle">
    <w:name w:val="Dummy_Style"/>
    <w:basedOn w:val="Normal"/>
    <w:semiHidden/>
    <w:qFormat/>
    <w:rsid w:val="00D8772C"/>
    <w:rPr>
      <w:color w:val="00B050"/>
      <w:lang w:bidi="en-US"/>
    </w:rPr>
  </w:style>
  <w:style w:type="paragraph" w:customStyle="1" w:styleId="jupara">
    <w:name w:val="jupara"/>
    <w:basedOn w:val="Normal"/>
    <w:rsid w:val="006C1760"/>
    <w:pPr>
      <w:ind w:firstLine="284"/>
    </w:pPr>
    <w:rPr>
      <w:rFonts w:ascii="Times New Roman" w:eastAsia="Times New Roman" w:hAnsi="Times New Roman" w:cs="Times New Roman"/>
      <w:szCs w:val="24"/>
      <w:lang w:eastAsia="en-GB"/>
    </w:rPr>
  </w:style>
  <w:style w:type="paragraph" w:customStyle="1" w:styleId="jucase0">
    <w:name w:val="jucase"/>
    <w:basedOn w:val="Normal"/>
    <w:rsid w:val="006C1760"/>
    <w:pPr>
      <w:ind w:firstLine="284"/>
    </w:pPr>
    <w:rPr>
      <w:rFonts w:ascii="Times New Roman" w:eastAsia="Times New Roman" w:hAnsi="Times New Roman" w:cs="Times New Roman"/>
      <w:b/>
      <w:bCs/>
      <w:szCs w:val="24"/>
      <w:lang w:eastAsia="en-GB"/>
    </w:rPr>
  </w:style>
  <w:style w:type="paragraph" w:styleId="Revision">
    <w:name w:val="Revision"/>
    <w:hidden/>
    <w:uiPriority w:val="99"/>
    <w:semiHidden/>
    <w:rsid w:val="00371D3F"/>
    <w:rPr>
      <w:rFonts w:eastAsiaTheme="minorEastAsia"/>
      <w:sz w:val="24"/>
    </w:rPr>
  </w:style>
  <w:style w:type="paragraph" w:customStyle="1" w:styleId="OpiHArticle">
    <w:name w:val="Opi_H_Article"/>
    <w:basedOn w:val="ECHRParaQuote"/>
    <w:rsid w:val="00371D3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873883490">
          <w:marLeft w:val="0"/>
          <w:marRight w:val="0"/>
          <w:marTop w:val="0"/>
          <w:marBottom w:val="0"/>
          <w:divBdr>
            <w:top w:val="none" w:sz="0" w:space="0" w:color="auto"/>
            <w:left w:val="none" w:sz="0" w:space="0" w:color="auto"/>
            <w:bottom w:val="none" w:sz="0" w:space="0" w:color="auto"/>
            <w:right w:val="none" w:sz="0" w:space="0" w:color="auto"/>
          </w:divBdr>
          <w:divsChild>
            <w:div w:id="1141191123">
              <w:marLeft w:val="0"/>
              <w:marRight w:val="0"/>
              <w:marTop w:val="0"/>
              <w:marBottom w:val="0"/>
              <w:divBdr>
                <w:top w:val="none" w:sz="0" w:space="0" w:color="auto"/>
                <w:left w:val="none" w:sz="0" w:space="0" w:color="auto"/>
                <w:bottom w:val="none" w:sz="0" w:space="0" w:color="auto"/>
                <w:right w:val="none" w:sz="0" w:space="0" w:color="auto"/>
              </w:divBdr>
              <w:divsChild>
                <w:div w:id="1922837145">
                  <w:marLeft w:val="0"/>
                  <w:marRight w:val="0"/>
                  <w:marTop w:val="0"/>
                  <w:marBottom w:val="0"/>
                  <w:divBdr>
                    <w:top w:val="none" w:sz="0" w:space="0" w:color="auto"/>
                    <w:left w:val="none" w:sz="0" w:space="0" w:color="auto"/>
                    <w:bottom w:val="none" w:sz="0" w:space="0" w:color="auto"/>
                    <w:right w:val="none" w:sz="0" w:space="0" w:color="auto"/>
                  </w:divBdr>
                  <w:divsChild>
                    <w:div w:id="26954783">
                      <w:marLeft w:val="0"/>
                      <w:marRight w:val="0"/>
                      <w:marTop w:val="0"/>
                      <w:marBottom w:val="0"/>
                      <w:divBdr>
                        <w:top w:val="none" w:sz="0" w:space="0" w:color="auto"/>
                        <w:left w:val="none" w:sz="0" w:space="0" w:color="auto"/>
                        <w:bottom w:val="none" w:sz="0" w:space="0" w:color="auto"/>
                        <w:right w:val="none" w:sz="0" w:space="0" w:color="auto"/>
                      </w:divBdr>
                      <w:divsChild>
                        <w:div w:id="744686465">
                          <w:marLeft w:val="0"/>
                          <w:marRight w:val="0"/>
                          <w:marTop w:val="0"/>
                          <w:marBottom w:val="0"/>
                          <w:divBdr>
                            <w:top w:val="none" w:sz="0" w:space="0" w:color="auto"/>
                            <w:left w:val="none" w:sz="0" w:space="0" w:color="auto"/>
                            <w:bottom w:val="none" w:sz="0" w:space="0" w:color="auto"/>
                            <w:right w:val="none" w:sz="0" w:space="0" w:color="auto"/>
                          </w:divBdr>
                          <w:divsChild>
                            <w:div w:id="21250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2661">
      <w:bodyDiv w:val="1"/>
      <w:marLeft w:val="0"/>
      <w:marRight w:val="0"/>
      <w:marTop w:val="0"/>
      <w:marBottom w:val="0"/>
      <w:divBdr>
        <w:top w:val="none" w:sz="0" w:space="0" w:color="auto"/>
        <w:left w:val="none" w:sz="0" w:space="0" w:color="auto"/>
        <w:bottom w:val="none" w:sz="0" w:space="0" w:color="auto"/>
        <w:right w:val="none" w:sz="0" w:space="0" w:color="auto"/>
      </w:divBdr>
      <w:divsChild>
        <w:div w:id="67507055">
          <w:marLeft w:val="0"/>
          <w:marRight w:val="0"/>
          <w:marTop w:val="0"/>
          <w:marBottom w:val="0"/>
          <w:divBdr>
            <w:top w:val="none" w:sz="0" w:space="0" w:color="auto"/>
            <w:left w:val="none" w:sz="0" w:space="0" w:color="auto"/>
            <w:bottom w:val="none" w:sz="0" w:space="0" w:color="auto"/>
            <w:right w:val="none" w:sz="0" w:space="0" w:color="auto"/>
          </w:divBdr>
          <w:divsChild>
            <w:div w:id="1194802390">
              <w:marLeft w:val="0"/>
              <w:marRight w:val="0"/>
              <w:marTop w:val="0"/>
              <w:marBottom w:val="0"/>
              <w:divBdr>
                <w:top w:val="none" w:sz="0" w:space="0" w:color="auto"/>
                <w:left w:val="none" w:sz="0" w:space="0" w:color="auto"/>
                <w:bottom w:val="none" w:sz="0" w:space="0" w:color="auto"/>
                <w:right w:val="none" w:sz="0" w:space="0" w:color="auto"/>
              </w:divBdr>
              <w:divsChild>
                <w:div w:id="1599564389">
                  <w:marLeft w:val="0"/>
                  <w:marRight w:val="0"/>
                  <w:marTop w:val="0"/>
                  <w:marBottom w:val="0"/>
                  <w:divBdr>
                    <w:top w:val="none" w:sz="0" w:space="0" w:color="auto"/>
                    <w:left w:val="none" w:sz="0" w:space="0" w:color="auto"/>
                    <w:bottom w:val="none" w:sz="0" w:space="0" w:color="auto"/>
                    <w:right w:val="none" w:sz="0" w:space="0" w:color="auto"/>
                  </w:divBdr>
                  <w:divsChild>
                    <w:div w:id="1338340086">
                      <w:marLeft w:val="0"/>
                      <w:marRight w:val="0"/>
                      <w:marTop w:val="0"/>
                      <w:marBottom w:val="0"/>
                      <w:divBdr>
                        <w:top w:val="none" w:sz="0" w:space="0" w:color="auto"/>
                        <w:left w:val="none" w:sz="0" w:space="0" w:color="auto"/>
                        <w:bottom w:val="none" w:sz="0" w:space="0" w:color="auto"/>
                        <w:right w:val="none" w:sz="0" w:space="0" w:color="auto"/>
                      </w:divBdr>
                      <w:divsChild>
                        <w:div w:id="931276534">
                          <w:marLeft w:val="0"/>
                          <w:marRight w:val="0"/>
                          <w:marTop w:val="0"/>
                          <w:marBottom w:val="0"/>
                          <w:divBdr>
                            <w:top w:val="none" w:sz="0" w:space="0" w:color="auto"/>
                            <w:left w:val="none" w:sz="0" w:space="0" w:color="auto"/>
                            <w:bottom w:val="none" w:sz="0" w:space="0" w:color="auto"/>
                            <w:right w:val="none" w:sz="0" w:space="0" w:color="auto"/>
                          </w:divBdr>
                          <w:divsChild>
                            <w:div w:id="5326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69924">
      <w:bodyDiv w:val="1"/>
      <w:marLeft w:val="0"/>
      <w:marRight w:val="0"/>
      <w:marTop w:val="0"/>
      <w:marBottom w:val="0"/>
      <w:divBdr>
        <w:top w:val="none" w:sz="0" w:space="0" w:color="auto"/>
        <w:left w:val="none" w:sz="0" w:space="0" w:color="auto"/>
        <w:bottom w:val="none" w:sz="0" w:space="0" w:color="auto"/>
        <w:right w:val="none" w:sz="0" w:space="0" w:color="auto"/>
      </w:divBdr>
      <w:divsChild>
        <w:div w:id="838272414">
          <w:marLeft w:val="0"/>
          <w:marRight w:val="0"/>
          <w:marTop w:val="0"/>
          <w:marBottom w:val="0"/>
          <w:divBdr>
            <w:top w:val="none" w:sz="0" w:space="0" w:color="auto"/>
            <w:left w:val="none" w:sz="0" w:space="0" w:color="auto"/>
            <w:bottom w:val="none" w:sz="0" w:space="0" w:color="auto"/>
            <w:right w:val="none" w:sz="0" w:space="0" w:color="auto"/>
          </w:divBdr>
          <w:divsChild>
            <w:div w:id="288711795">
              <w:marLeft w:val="0"/>
              <w:marRight w:val="0"/>
              <w:marTop w:val="0"/>
              <w:marBottom w:val="0"/>
              <w:divBdr>
                <w:top w:val="none" w:sz="0" w:space="0" w:color="auto"/>
                <w:left w:val="none" w:sz="0" w:space="0" w:color="auto"/>
                <w:bottom w:val="none" w:sz="0" w:space="0" w:color="auto"/>
                <w:right w:val="none" w:sz="0" w:space="0" w:color="auto"/>
              </w:divBdr>
              <w:divsChild>
                <w:div w:id="1196112764">
                  <w:marLeft w:val="0"/>
                  <w:marRight w:val="0"/>
                  <w:marTop w:val="0"/>
                  <w:marBottom w:val="0"/>
                  <w:divBdr>
                    <w:top w:val="none" w:sz="0" w:space="0" w:color="auto"/>
                    <w:left w:val="none" w:sz="0" w:space="0" w:color="auto"/>
                    <w:bottom w:val="none" w:sz="0" w:space="0" w:color="auto"/>
                    <w:right w:val="none" w:sz="0" w:space="0" w:color="auto"/>
                  </w:divBdr>
                  <w:divsChild>
                    <w:div w:id="1308169840">
                      <w:marLeft w:val="0"/>
                      <w:marRight w:val="0"/>
                      <w:marTop w:val="0"/>
                      <w:marBottom w:val="0"/>
                      <w:divBdr>
                        <w:top w:val="none" w:sz="0" w:space="0" w:color="auto"/>
                        <w:left w:val="none" w:sz="0" w:space="0" w:color="auto"/>
                        <w:bottom w:val="none" w:sz="0" w:space="0" w:color="auto"/>
                        <w:right w:val="none" w:sz="0" w:space="0" w:color="auto"/>
                      </w:divBdr>
                      <w:divsChild>
                        <w:div w:id="824933523">
                          <w:marLeft w:val="0"/>
                          <w:marRight w:val="0"/>
                          <w:marTop w:val="0"/>
                          <w:marBottom w:val="0"/>
                          <w:divBdr>
                            <w:top w:val="none" w:sz="0" w:space="0" w:color="auto"/>
                            <w:left w:val="none" w:sz="0" w:space="0" w:color="auto"/>
                            <w:bottom w:val="none" w:sz="0" w:space="0" w:color="auto"/>
                            <w:right w:val="none" w:sz="0" w:space="0" w:color="auto"/>
                          </w:divBdr>
                          <w:divsChild>
                            <w:div w:id="1763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26457">
      <w:bodyDiv w:val="1"/>
      <w:marLeft w:val="0"/>
      <w:marRight w:val="0"/>
      <w:marTop w:val="0"/>
      <w:marBottom w:val="0"/>
      <w:divBdr>
        <w:top w:val="none" w:sz="0" w:space="0" w:color="auto"/>
        <w:left w:val="none" w:sz="0" w:space="0" w:color="auto"/>
        <w:bottom w:val="none" w:sz="0" w:space="0" w:color="auto"/>
        <w:right w:val="none" w:sz="0" w:space="0" w:color="auto"/>
      </w:divBdr>
      <w:divsChild>
        <w:div w:id="633950578">
          <w:marLeft w:val="0"/>
          <w:marRight w:val="0"/>
          <w:marTop w:val="0"/>
          <w:marBottom w:val="0"/>
          <w:divBdr>
            <w:top w:val="none" w:sz="0" w:space="0" w:color="auto"/>
            <w:left w:val="none" w:sz="0" w:space="0" w:color="auto"/>
            <w:bottom w:val="none" w:sz="0" w:space="0" w:color="auto"/>
            <w:right w:val="none" w:sz="0" w:space="0" w:color="auto"/>
          </w:divBdr>
          <w:divsChild>
            <w:div w:id="1494030472">
              <w:marLeft w:val="0"/>
              <w:marRight w:val="0"/>
              <w:marTop w:val="0"/>
              <w:marBottom w:val="0"/>
              <w:divBdr>
                <w:top w:val="none" w:sz="0" w:space="0" w:color="auto"/>
                <w:left w:val="none" w:sz="0" w:space="0" w:color="auto"/>
                <w:bottom w:val="none" w:sz="0" w:space="0" w:color="auto"/>
                <w:right w:val="none" w:sz="0" w:space="0" w:color="auto"/>
              </w:divBdr>
              <w:divsChild>
                <w:div w:id="928080949">
                  <w:marLeft w:val="0"/>
                  <w:marRight w:val="0"/>
                  <w:marTop w:val="0"/>
                  <w:marBottom w:val="0"/>
                  <w:divBdr>
                    <w:top w:val="none" w:sz="0" w:space="0" w:color="auto"/>
                    <w:left w:val="none" w:sz="0" w:space="0" w:color="auto"/>
                    <w:bottom w:val="none" w:sz="0" w:space="0" w:color="auto"/>
                    <w:right w:val="none" w:sz="0" w:space="0" w:color="auto"/>
                  </w:divBdr>
                  <w:divsChild>
                    <w:div w:id="1821578700">
                      <w:marLeft w:val="0"/>
                      <w:marRight w:val="0"/>
                      <w:marTop w:val="0"/>
                      <w:marBottom w:val="0"/>
                      <w:divBdr>
                        <w:top w:val="none" w:sz="0" w:space="0" w:color="auto"/>
                        <w:left w:val="none" w:sz="0" w:space="0" w:color="auto"/>
                        <w:bottom w:val="none" w:sz="0" w:space="0" w:color="auto"/>
                        <w:right w:val="none" w:sz="0" w:space="0" w:color="auto"/>
                      </w:divBdr>
                      <w:divsChild>
                        <w:div w:id="740713900">
                          <w:marLeft w:val="0"/>
                          <w:marRight w:val="0"/>
                          <w:marTop w:val="0"/>
                          <w:marBottom w:val="0"/>
                          <w:divBdr>
                            <w:top w:val="none" w:sz="0" w:space="0" w:color="auto"/>
                            <w:left w:val="none" w:sz="0" w:space="0" w:color="auto"/>
                            <w:bottom w:val="none" w:sz="0" w:space="0" w:color="auto"/>
                            <w:right w:val="none" w:sz="0" w:space="0" w:color="auto"/>
                          </w:divBdr>
                        </w:div>
                        <w:div w:id="5668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09986">
      <w:bodyDiv w:val="1"/>
      <w:marLeft w:val="0"/>
      <w:marRight w:val="0"/>
      <w:marTop w:val="0"/>
      <w:marBottom w:val="0"/>
      <w:divBdr>
        <w:top w:val="none" w:sz="0" w:space="0" w:color="auto"/>
        <w:left w:val="none" w:sz="0" w:space="0" w:color="auto"/>
        <w:bottom w:val="none" w:sz="0" w:space="0" w:color="auto"/>
        <w:right w:val="none" w:sz="0" w:space="0" w:color="auto"/>
      </w:divBdr>
      <w:divsChild>
        <w:div w:id="262887675">
          <w:marLeft w:val="0"/>
          <w:marRight w:val="0"/>
          <w:marTop w:val="0"/>
          <w:marBottom w:val="0"/>
          <w:divBdr>
            <w:top w:val="none" w:sz="0" w:space="0" w:color="auto"/>
            <w:left w:val="none" w:sz="0" w:space="0" w:color="auto"/>
            <w:bottom w:val="none" w:sz="0" w:space="0" w:color="auto"/>
            <w:right w:val="none" w:sz="0" w:space="0" w:color="auto"/>
          </w:divBdr>
          <w:divsChild>
            <w:div w:id="691996069">
              <w:marLeft w:val="0"/>
              <w:marRight w:val="0"/>
              <w:marTop w:val="0"/>
              <w:marBottom w:val="0"/>
              <w:divBdr>
                <w:top w:val="none" w:sz="0" w:space="0" w:color="auto"/>
                <w:left w:val="none" w:sz="0" w:space="0" w:color="auto"/>
                <w:bottom w:val="none" w:sz="0" w:space="0" w:color="auto"/>
                <w:right w:val="none" w:sz="0" w:space="0" w:color="auto"/>
              </w:divBdr>
              <w:divsChild>
                <w:div w:id="891387650">
                  <w:marLeft w:val="0"/>
                  <w:marRight w:val="0"/>
                  <w:marTop w:val="0"/>
                  <w:marBottom w:val="0"/>
                  <w:divBdr>
                    <w:top w:val="none" w:sz="0" w:space="0" w:color="auto"/>
                    <w:left w:val="none" w:sz="0" w:space="0" w:color="auto"/>
                    <w:bottom w:val="none" w:sz="0" w:space="0" w:color="auto"/>
                    <w:right w:val="none" w:sz="0" w:space="0" w:color="auto"/>
                  </w:divBdr>
                  <w:divsChild>
                    <w:div w:id="965433295">
                      <w:marLeft w:val="0"/>
                      <w:marRight w:val="0"/>
                      <w:marTop w:val="0"/>
                      <w:marBottom w:val="0"/>
                      <w:divBdr>
                        <w:top w:val="none" w:sz="0" w:space="0" w:color="auto"/>
                        <w:left w:val="none" w:sz="0" w:space="0" w:color="auto"/>
                        <w:bottom w:val="none" w:sz="0" w:space="0" w:color="auto"/>
                        <w:right w:val="none" w:sz="0" w:space="0" w:color="auto"/>
                      </w:divBdr>
                      <w:divsChild>
                        <w:div w:id="1798374652">
                          <w:marLeft w:val="0"/>
                          <w:marRight w:val="0"/>
                          <w:marTop w:val="0"/>
                          <w:marBottom w:val="0"/>
                          <w:divBdr>
                            <w:top w:val="none" w:sz="0" w:space="0" w:color="auto"/>
                            <w:left w:val="none" w:sz="0" w:space="0" w:color="auto"/>
                            <w:bottom w:val="none" w:sz="0" w:space="0" w:color="auto"/>
                            <w:right w:val="none" w:sz="0" w:space="0" w:color="auto"/>
                          </w:divBdr>
                          <w:divsChild>
                            <w:div w:id="17090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3606">
      <w:bodyDiv w:val="1"/>
      <w:marLeft w:val="0"/>
      <w:marRight w:val="0"/>
      <w:marTop w:val="0"/>
      <w:marBottom w:val="0"/>
      <w:divBdr>
        <w:top w:val="none" w:sz="0" w:space="0" w:color="auto"/>
        <w:left w:val="none" w:sz="0" w:space="0" w:color="auto"/>
        <w:bottom w:val="none" w:sz="0" w:space="0" w:color="auto"/>
        <w:right w:val="none" w:sz="0" w:space="0" w:color="auto"/>
      </w:divBdr>
      <w:divsChild>
        <w:div w:id="1986814601">
          <w:marLeft w:val="0"/>
          <w:marRight w:val="0"/>
          <w:marTop w:val="0"/>
          <w:marBottom w:val="0"/>
          <w:divBdr>
            <w:top w:val="none" w:sz="0" w:space="0" w:color="auto"/>
            <w:left w:val="none" w:sz="0" w:space="0" w:color="auto"/>
            <w:bottom w:val="none" w:sz="0" w:space="0" w:color="auto"/>
            <w:right w:val="none" w:sz="0" w:space="0" w:color="auto"/>
          </w:divBdr>
          <w:divsChild>
            <w:div w:id="2067412919">
              <w:marLeft w:val="0"/>
              <w:marRight w:val="0"/>
              <w:marTop w:val="0"/>
              <w:marBottom w:val="0"/>
              <w:divBdr>
                <w:top w:val="none" w:sz="0" w:space="0" w:color="auto"/>
                <w:left w:val="none" w:sz="0" w:space="0" w:color="auto"/>
                <w:bottom w:val="none" w:sz="0" w:space="0" w:color="auto"/>
                <w:right w:val="none" w:sz="0" w:space="0" w:color="auto"/>
              </w:divBdr>
              <w:divsChild>
                <w:div w:id="1420979444">
                  <w:marLeft w:val="0"/>
                  <w:marRight w:val="0"/>
                  <w:marTop w:val="0"/>
                  <w:marBottom w:val="0"/>
                  <w:divBdr>
                    <w:top w:val="none" w:sz="0" w:space="0" w:color="auto"/>
                    <w:left w:val="none" w:sz="0" w:space="0" w:color="auto"/>
                    <w:bottom w:val="none" w:sz="0" w:space="0" w:color="auto"/>
                    <w:right w:val="none" w:sz="0" w:space="0" w:color="auto"/>
                  </w:divBdr>
                  <w:divsChild>
                    <w:div w:id="339280568">
                      <w:marLeft w:val="0"/>
                      <w:marRight w:val="0"/>
                      <w:marTop w:val="0"/>
                      <w:marBottom w:val="0"/>
                      <w:divBdr>
                        <w:top w:val="none" w:sz="0" w:space="0" w:color="auto"/>
                        <w:left w:val="none" w:sz="0" w:space="0" w:color="auto"/>
                        <w:bottom w:val="none" w:sz="0" w:space="0" w:color="auto"/>
                        <w:right w:val="none" w:sz="0" w:space="0" w:color="auto"/>
                      </w:divBdr>
                      <w:divsChild>
                        <w:div w:id="1224021848">
                          <w:marLeft w:val="0"/>
                          <w:marRight w:val="0"/>
                          <w:marTop w:val="0"/>
                          <w:marBottom w:val="0"/>
                          <w:divBdr>
                            <w:top w:val="none" w:sz="0" w:space="0" w:color="auto"/>
                            <w:left w:val="none" w:sz="0" w:space="0" w:color="auto"/>
                            <w:bottom w:val="none" w:sz="0" w:space="0" w:color="auto"/>
                            <w:right w:val="none" w:sz="0" w:space="0" w:color="auto"/>
                          </w:divBdr>
                          <w:divsChild>
                            <w:div w:id="12341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99611">
      <w:bodyDiv w:val="1"/>
      <w:marLeft w:val="0"/>
      <w:marRight w:val="0"/>
      <w:marTop w:val="0"/>
      <w:marBottom w:val="0"/>
      <w:divBdr>
        <w:top w:val="none" w:sz="0" w:space="0" w:color="auto"/>
        <w:left w:val="none" w:sz="0" w:space="0" w:color="auto"/>
        <w:bottom w:val="none" w:sz="0" w:space="0" w:color="auto"/>
        <w:right w:val="none" w:sz="0" w:space="0" w:color="auto"/>
      </w:divBdr>
      <w:divsChild>
        <w:div w:id="1947156213">
          <w:marLeft w:val="0"/>
          <w:marRight w:val="0"/>
          <w:marTop w:val="0"/>
          <w:marBottom w:val="0"/>
          <w:divBdr>
            <w:top w:val="none" w:sz="0" w:space="0" w:color="auto"/>
            <w:left w:val="none" w:sz="0" w:space="0" w:color="auto"/>
            <w:bottom w:val="none" w:sz="0" w:space="0" w:color="auto"/>
            <w:right w:val="none" w:sz="0" w:space="0" w:color="auto"/>
          </w:divBdr>
          <w:divsChild>
            <w:div w:id="273488113">
              <w:marLeft w:val="0"/>
              <w:marRight w:val="0"/>
              <w:marTop w:val="0"/>
              <w:marBottom w:val="0"/>
              <w:divBdr>
                <w:top w:val="none" w:sz="0" w:space="0" w:color="auto"/>
                <w:left w:val="none" w:sz="0" w:space="0" w:color="auto"/>
                <w:bottom w:val="none" w:sz="0" w:space="0" w:color="auto"/>
                <w:right w:val="none" w:sz="0" w:space="0" w:color="auto"/>
              </w:divBdr>
              <w:divsChild>
                <w:div w:id="763913046">
                  <w:marLeft w:val="0"/>
                  <w:marRight w:val="0"/>
                  <w:marTop w:val="0"/>
                  <w:marBottom w:val="0"/>
                  <w:divBdr>
                    <w:top w:val="none" w:sz="0" w:space="0" w:color="auto"/>
                    <w:left w:val="none" w:sz="0" w:space="0" w:color="auto"/>
                    <w:bottom w:val="none" w:sz="0" w:space="0" w:color="auto"/>
                    <w:right w:val="none" w:sz="0" w:space="0" w:color="auto"/>
                  </w:divBdr>
                  <w:divsChild>
                    <w:div w:id="409891259">
                      <w:marLeft w:val="0"/>
                      <w:marRight w:val="0"/>
                      <w:marTop w:val="0"/>
                      <w:marBottom w:val="0"/>
                      <w:divBdr>
                        <w:top w:val="none" w:sz="0" w:space="0" w:color="auto"/>
                        <w:left w:val="none" w:sz="0" w:space="0" w:color="auto"/>
                        <w:bottom w:val="none" w:sz="0" w:space="0" w:color="auto"/>
                        <w:right w:val="none" w:sz="0" w:space="0" w:color="auto"/>
                      </w:divBdr>
                      <w:divsChild>
                        <w:div w:id="1569993826">
                          <w:marLeft w:val="0"/>
                          <w:marRight w:val="0"/>
                          <w:marTop w:val="0"/>
                          <w:marBottom w:val="0"/>
                          <w:divBdr>
                            <w:top w:val="none" w:sz="0" w:space="0" w:color="auto"/>
                            <w:left w:val="none" w:sz="0" w:space="0" w:color="auto"/>
                            <w:bottom w:val="none" w:sz="0" w:space="0" w:color="auto"/>
                            <w:right w:val="none" w:sz="0" w:space="0" w:color="auto"/>
                          </w:divBdr>
                          <w:divsChild>
                            <w:div w:id="1640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39389">
      <w:bodyDiv w:val="1"/>
      <w:marLeft w:val="0"/>
      <w:marRight w:val="0"/>
      <w:marTop w:val="0"/>
      <w:marBottom w:val="0"/>
      <w:divBdr>
        <w:top w:val="none" w:sz="0" w:space="0" w:color="auto"/>
        <w:left w:val="none" w:sz="0" w:space="0" w:color="auto"/>
        <w:bottom w:val="none" w:sz="0" w:space="0" w:color="auto"/>
        <w:right w:val="none" w:sz="0" w:space="0" w:color="auto"/>
      </w:divBdr>
      <w:divsChild>
        <w:div w:id="1213350235">
          <w:marLeft w:val="0"/>
          <w:marRight w:val="0"/>
          <w:marTop w:val="0"/>
          <w:marBottom w:val="0"/>
          <w:divBdr>
            <w:top w:val="none" w:sz="0" w:space="0" w:color="auto"/>
            <w:left w:val="none" w:sz="0" w:space="0" w:color="auto"/>
            <w:bottom w:val="none" w:sz="0" w:space="0" w:color="auto"/>
            <w:right w:val="none" w:sz="0" w:space="0" w:color="auto"/>
          </w:divBdr>
          <w:divsChild>
            <w:div w:id="988635678">
              <w:marLeft w:val="0"/>
              <w:marRight w:val="0"/>
              <w:marTop w:val="0"/>
              <w:marBottom w:val="0"/>
              <w:divBdr>
                <w:top w:val="none" w:sz="0" w:space="0" w:color="auto"/>
                <w:left w:val="none" w:sz="0" w:space="0" w:color="auto"/>
                <w:bottom w:val="none" w:sz="0" w:space="0" w:color="auto"/>
                <w:right w:val="none" w:sz="0" w:space="0" w:color="auto"/>
              </w:divBdr>
              <w:divsChild>
                <w:div w:id="1633485762">
                  <w:marLeft w:val="0"/>
                  <w:marRight w:val="0"/>
                  <w:marTop w:val="0"/>
                  <w:marBottom w:val="0"/>
                  <w:divBdr>
                    <w:top w:val="none" w:sz="0" w:space="0" w:color="auto"/>
                    <w:left w:val="none" w:sz="0" w:space="0" w:color="auto"/>
                    <w:bottom w:val="none" w:sz="0" w:space="0" w:color="auto"/>
                    <w:right w:val="none" w:sz="0" w:space="0" w:color="auto"/>
                  </w:divBdr>
                  <w:divsChild>
                    <w:div w:id="200678938">
                      <w:marLeft w:val="0"/>
                      <w:marRight w:val="0"/>
                      <w:marTop w:val="0"/>
                      <w:marBottom w:val="0"/>
                      <w:divBdr>
                        <w:top w:val="none" w:sz="0" w:space="0" w:color="auto"/>
                        <w:left w:val="none" w:sz="0" w:space="0" w:color="auto"/>
                        <w:bottom w:val="none" w:sz="0" w:space="0" w:color="auto"/>
                        <w:right w:val="none" w:sz="0" w:space="0" w:color="auto"/>
                      </w:divBdr>
                      <w:divsChild>
                        <w:div w:id="1724602141">
                          <w:marLeft w:val="0"/>
                          <w:marRight w:val="0"/>
                          <w:marTop w:val="0"/>
                          <w:marBottom w:val="0"/>
                          <w:divBdr>
                            <w:top w:val="none" w:sz="0" w:space="0" w:color="auto"/>
                            <w:left w:val="none" w:sz="0" w:space="0" w:color="auto"/>
                            <w:bottom w:val="none" w:sz="0" w:space="0" w:color="auto"/>
                            <w:right w:val="none" w:sz="0" w:space="0" w:color="auto"/>
                          </w:divBdr>
                          <w:divsChild>
                            <w:div w:id="4595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367">
      <w:bodyDiv w:val="1"/>
      <w:marLeft w:val="0"/>
      <w:marRight w:val="0"/>
      <w:marTop w:val="0"/>
      <w:marBottom w:val="0"/>
      <w:divBdr>
        <w:top w:val="none" w:sz="0" w:space="0" w:color="auto"/>
        <w:left w:val="none" w:sz="0" w:space="0" w:color="auto"/>
        <w:bottom w:val="none" w:sz="0" w:space="0" w:color="auto"/>
        <w:right w:val="none" w:sz="0" w:space="0" w:color="auto"/>
      </w:divBdr>
      <w:divsChild>
        <w:div w:id="956790738">
          <w:marLeft w:val="0"/>
          <w:marRight w:val="0"/>
          <w:marTop w:val="0"/>
          <w:marBottom w:val="0"/>
          <w:divBdr>
            <w:top w:val="none" w:sz="0" w:space="0" w:color="auto"/>
            <w:left w:val="none" w:sz="0" w:space="0" w:color="auto"/>
            <w:bottom w:val="none" w:sz="0" w:space="0" w:color="auto"/>
            <w:right w:val="none" w:sz="0" w:space="0" w:color="auto"/>
          </w:divBdr>
          <w:divsChild>
            <w:div w:id="525406738">
              <w:marLeft w:val="0"/>
              <w:marRight w:val="0"/>
              <w:marTop w:val="0"/>
              <w:marBottom w:val="0"/>
              <w:divBdr>
                <w:top w:val="none" w:sz="0" w:space="0" w:color="auto"/>
                <w:left w:val="none" w:sz="0" w:space="0" w:color="auto"/>
                <w:bottom w:val="none" w:sz="0" w:space="0" w:color="auto"/>
                <w:right w:val="none" w:sz="0" w:space="0" w:color="auto"/>
              </w:divBdr>
              <w:divsChild>
                <w:div w:id="2063629491">
                  <w:marLeft w:val="0"/>
                  <w:marRight w:val="0"/>
                  <w:marTop w:val="0"/>
                  <w:marBottom w:val="0"/>
                  <w:divBdr>
                    <w:top w:val="none" w:sz="0" w:space="0" w:color="auto"/>
                    <w:left w:val="none" w:sz="0" w:space="0" w:color="auto"/>
                    <w:bottom w:val="none" w:sz="0" w:space="0" w:color="auto"/>
                    <w:right w:val="none" w:sz="0" w:space="0" w:color="auto"/>
                  </w:divBdr>
                  <w:divsChild>
                    <w:div w:id="30961558">
                      <w:marLeft w:val="0"/>
                      <w:marRight w:val="0"/>
                      <w:marTop w:val="0"/>
                      <w:marBottom w:val="0"/>
                      <w:divBdr>
                        <w:top w:val="none" w:sz="0" w:space="0" w:color="auto"/>
                        <w:left w:val="none" w:sz="0" w:space="0" w:color="auto"/>
                        <w:bottom w:val="none" w:sz="0" w:space="0" w:color="auto"/>
                        <w:right w:val="none" w:sz="0" w:space="0" w:color="auto"/>
                      </w:divBdr>
                      <w:divsChild>
                        <w:div w:id="378406972">
                          <w:marLeft w:val="0"/>
                          <w:marRight w:val="0"/>
                          <w:marTop w:val="0"/>
                          <w:marBottom w:val="0"/>
                          <w:divBdr>
                            <w:top w:val="none" w:sz="0" w:space="0" w:color="auto"/>
                            <w:left w:val="none" w:sz="0" w:space="0" w:color="auto"/>
                            <w:bottom w:val="none" w:sz="0" w:space="0" w:color="auto"/>
                            <w:right w:val="none" w:sz="0" w:space="0" w:color="auto"/>
                          </w:divBdr>
                          <w:divsChild>
                            <w:div w:id="5727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5737">
      <w:bodyDiv w:val="1"/>
      <w:marLeft w:val="0"/>
      <w:marRight w:val="0"/>
      <w:marTop w:val="0"/>
      <w:marBottom w:val="0"/>
      <w:divBdr>
        <w:top w:val="none" w:sz="0" w:space="0" w:color="auto"/>
        <w:left w:val="none" w:sz="0" w:space="0" w:color="auto"/>
        <w:bottom w:val="none" w:sz="0" w:space="0" w:color="auto"/>
        <w:right w:val="none" w:sz="0" w:space="0" w:color="auto"/>
      </w:divBdr>
    </w:div>
    <w:div w:id="1411349138">
      <w:bodyDiv w:val="1"/>
      <w:marLeft w:val="0"/>
      <w:marRight w:val="0"/>
      <w:marTop w:val="0"/>
      <w:marBottom w:val="0"/>
      <w:divBdr>
        <w:top w:val="none" w:sz="0" w:space="0" w:color="auto"/>
        <w:left w:val="none" w:sz="0" w:space="0" w:color="auto"/>
        <w:bottom w:val="none" w:sz="0" w:space="0" w:color="auto"/>
        <w:right w:val="none" w:sz="0" w:space="0" w:color="auto"/>
      </w:divBdr>
      <w:divsChild>
        <w:div w:id="429787482">
          <w:marLeft w:val="0"/>
          <w:marRight w:val="0"/>
          <w:marTop w:val="0"/>
          <w:marBottom w:val="0"/>
          <w:divBdr>
            <w:top w:val="none" w:sz="0" w:space="0" w:color="auto"/>
            <w:left w:val="none" w:sz="0" w:space="0" w:color="auto"/>
            <w:bottom w:val="none" w:sz="0" w:space="0" w:color="auto"/>
            <w:right w:val="none" w:sz="0" w:space="0" w:color="auto"/>
          </w:divBdr>
          <w:divsChild>
            <w:div w:id="2077118884">
              <w:marLeft w:val="0"/>
              <w:marRight w:val="0"/>
              <w:marTop w:val="0"/>
              <w:marBottom w:val="0"/>
              <w:divBdr>
                <w:top w:val="none" w:sz="0" w:space="0" w:color="auto"/>
                <w:left w:val="none" w:sz="0" w:space="0" w:color="auto"/>
                <w:bottom w:val="none" w:sz="0" w:space="0" w:color="auto"/>
                <w:right w:val="none" w:sz="0" w:space="0" w:color="auto"/>
              </w:divBdr>
              <w:divsChild>
                <w:div w:id="1647734304">
                  <w:marLeft w:val="0"/>
                  <w:marRight w:val="0"/>
                  <w:marTop w:val="0"/>
                  <w:marBottom w:val="0"/>
                  <w:divBdr>
                    <w:top w:val="none" w:sz="0" w:space="0" w:color="auto"/>
                    <w:left w:val="none" w:sz="0" w:space="0" w:color="auto"/>
                    <w:bottom w:val="none" w:sz="0" w:space="0" w:color="auto"/>
                    <w:right w:val="none" w:sz="0" w:space="0" w:color="auto"/>
                  </w:divBdr>
                  <w:divsChild>
                    <w:div w:id="1288929078">
                      <w:marLeft w:val="0"/>
                      <w:marRight w:val="0"/>
                      <w:marTop w:val="0"/>
                      <w:marBottom w:val="0"/>
                      <w:divBdr>
                        <w:top w:val="none" w:sz="0" w:space="0" w:color="auto"/>
                        <w:left w:val="none" w:sz="0" w:space="0" w:color="auto"/>
                        <w:bottom w:val="none" w:sz="0" w:space="0" w:color="auto"/>
                        <w:right w:val="none" w:sz="0" w:space="0" w:color="auto"/>
                      </w:divBdr>
                      <w:divsChild>
                        <w:div w:id="214708509">
                          <w:marLeft w:val="0"/>
                          <w:marRight w:val="0"/>
                          <w:marTop w:val="0"/>
                          <w:marBottom w:val="0"/>
                          <w:divBdr>
                            <w:top w:val="none" w:sz="0" w:space="0" w:color="auto"/>
                            <w:left w:val="none" w:sz="0" w:space="0" w:color="auto"/>
                            <w:bottom w:val="none" w:sz="0" w:space="0" w:color="auto"/>
                            <w:right w:val="none" w:sz="0" w:space="0" w:color="auto"/>
                          </w:divBdr>
                          <w:divsChild>
                            <w:div w:id="10223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819615354">
      <w:bodyDiv w:val="1"/>
      <w:marLeft w:val="0"/>
      <w:marRight w:val="0"/>
      <w:marTop w:val="0"/>
      <w:marBottom w:val="0"/>
      <w:divBdr>
        <w:top w:val="none" w:sz="0" w:space="0" w:color="auto"/>
        <w:left w:val="none" w:sz="0" w:space="0" w:color="auto"/>
        <w:bottom w:val="none" w:sz="0" w:space="0" w:color="auto"/>
        <w:right w:val="none" w:sz="0" w:space="0" w:color="auto"/>
      </w:divBdr>
      <w:divsChild>
        <w:div w:id="1163395969">
          <w:marLeft w:val="0"/>
          <w:marRight w:val="0"/>
          <w:marTop w:val="0"/>
          <w:marBottom w:val="0"/>
          <w:divBdr>
            <w:top w:val="none" w:sz="0" w:space="0" w:color="auto"/>
            <w:left w:val="none" w:sz="0" w:space="0" w:color="auto"/>
            <w:bottom w:val="none" w:sz="0" w:space="0" w:color="auto"/>
            <w:right w:val="none" w:sz="0" w:space="0" w:color="auto"/>
          </w:divBdr>
          <w:divsChild>
            <w:div w:id="779450785">
              <w:marLeft w:val="0"/>
              <w:marRight w:val="0"/>
              <w:marTop w:val="0"/>
              <w:marBottom w:val="0"/>
              <w:divBdr>
                <w:top w:val="none" w:sz="0" w:space="0" w:color="auto"/>
                <w:left w:val="none" w:sz="0" w:space="0" w:color="auto"/>
                <w:bottom w:val="none" w:sz="0" w:space="0" w:color="auto"/>
                <w:right w:val="none" w:sz="0" w:space="0" w:color="auto"/>
              </w:divBdr>
              <w:divsChild>
                <w:div w:id="588736557">
                  <w:marLeft w:val="0"/>
                  <w:marRight w:val="0"/>
                  <w:marTop w:val="0"/>
                  <w:marBottom w:val="0"/>
                  <w:divBdr>
                    <w:top w:val="none" w:sz="0" w:space="0" w:color="auto"/>
                    <w:left w:val="none" w:sz="0" w:space="0" w:color="auto"/>
                    <w:bottom w:val="none" w:sz="0" w:space="0" w:color="auto"/>
                    <w:right w:val="none" w:sz="0" w:space="0" w:color="auto"/>
                  </w:divBdr>
                  <w:divsChild>
                    <w:div w:id="1529562671">
                      <w:marLeft w:val="0"/>
                      <w:marRight w:val="0"/>
                      <w:marTop w:val="0"/>
                      <w:marBottom w:val="0"/>
                      <w:divBdr>
                        <w:top w:val="none" w:sz="0" w:space="0" w:color="auto"/>
                        <w:left w:val="none" w:sz="0" w:space="0" w:color="auto"/>
                        <w:bottom w:val="none" w:sz="0" w:space="0" w:color="auto"/>
                        <w:right w:val="none" w:sz="0" w:space="0" w:color="auto"/>
                      </w:divBdr>
                      <w:divsChild>
                        <w:div w:id="206574736">
                          <w:marLeft w:val="0"/>
                          <w:marRight w:val="0"/>
                          <w:marTop w:val="0"/>
                          <w:marBottom w:val="0"/>
                          <w:divBdr>
                            <w:top w:val="none" w:sz="0" w:space="0" w:color="auto"/>
                            <w:left w:val="none" w:sz="0" w:space="0" w:color="auto"/>
                            <w:bottom w:val="none" w:sz="0" w:space="0" w:color="auto"/>
                            <w:right w:val="none" w:sz="0" w:space="0" w:color="auto"/>
                          </w:divBdr>
                          <w:divsChild>
                            <w:div w:id="9797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9846">
      <w:bodyDiv w:val="1"/>
      <w:marLeft w:val="0"/>
      <w:marRight w:val="0"/>
      <w:marTop w:val="0"/>
      <w:marBottom w:val="0"/>
      <w:divBdr>
        <w:top w:val="none" w:sz="0" w:space="0" w:color="auto"/>
        <w:left w:val="none" w:sz="0" w:space="0" w:color="auto"/>
        <w:bottom w:val="none" w:sz="0" w:space="0" w:color="auto"/>
        <w:right w:val="none" w:sz="0" w:space="0" w:color="auto"/>
      </w:divBdr>
      <w:divsChild>
        <w:div w:id="1812136243">
          <w:marLeft w:val="0"/>
          <w:marRight w:val="0"/>
          <w:marTop w:val="0"/>
          <w:marBottom w:val="0"/>
          <w:divBdr>
            <w:top w:val="none" w:sz="0" w:space="0" w:color="auto"/>
            <w:left w:val="none" w:sz="0" w:space="0" w:color="auto"/>
            <w:bottom w:val="none" w:sz="0" w:space="0" w:color="auto"/>
            <w:right w:val="none" w:sz="0" w:space="0" w:color="auto"/>
          </w:divBdr>
          <w:divsChild>
            <w:div w:id="2053726875">
              <w:marLeft w:val="0"/>
              <w:marRight w:val="0"/>
              <w:marTop w:val="0"/>
              <w:marBottom w:val="0"/>
              <w:divBdr>
                <w:top w:val="none" w:sz="0" w:space="0" w:color="auto"/>
                <w:left w:val="none" w:sz="0" w:space="0" w:color="auto"/>
                <w:bottom w:val="none" w:sz="0" w:space="0" w:color="auto"/>
                <w:right w:val="none" w:sz="0" w:space="0" w:color="auto"/>
              </w:divBdr>
              <w:divsChild>
                <w:div w:id="1758865217">
                  <w:marLeft w:val="0"/>
                  <w:marRight w:val="0"/>
                  <w:marTop w:val="0"/>
                  <w:marBottom w:val="0"/>
                  <w:divBdr>
                    <w:top w:val="none" w:sz="0" w:space="0" w:color="auto"/>
                    <w:left w:val="none" w:sz="0" w:space="0" w:color="auto"/>
                    <w:bottom w:val="none" w:sz="0" w:space="0" w:color="auto"/>
                    <w:right w:val="none" w:sz="0" w:space="0" w:color="auto"/>
                  </w:divBdr>
                  <w:divsChild>
                    <w:div w:id="1999191604">
                      <w:marLeft w:val="0"/>
                      <w:marRight w:val="0"/>
                      <w:marTop w:val="0"/>
                      <w:marBottom w:val="0"/>
                      <w:divBdr>
                        <w:top w:val="none" w:sz="0" w:space="0" w:color="auto"/>
                        <w:left w:val="none" w:sz="0" w:space="0" w:color="auto"/>
                        <w:bottom w:val="none" w:sz="0" w:space="0" w:color="auto"/>
                        <w:right w:val="none" w:sz="0" w:space="0" w:color="auto"/>
                      </w:divBdr>
                      <w:divsChild>
                        <w:div w:id="151727774">
                          <w:marLeft w:val="0"/>
                          <w:marRight w:val="0"/>
                          <w:marTop w:val="0"/>
                          <w:marBottom w:val="0"/>
                          <w:divBdr>
                            <w:top w:val="none" w:sz="0" w:space="0" w:color="auto"/>
                            <w:left w:val="none" w:sz="0" w:space="0" w:color="auto"/>
                            <w:bottom w:val="none" w:sz="0" w:space="0" w:color="auto"/>
                            <w:right w:val="none" w:sz="0" w:space="0" w:color="auto"/>
                          </w:divBdr>
                          <w:divsChild>
                            <w:div w:id="12642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5106">
      <w:bodyDiv w:val="1"/>
      <w:marLeft w:val="0"/>
      <w:marRight w:val="0"/>
      <w:marTop w:val="0"/>
      <w:marBottom w:val="0"/>
      <w:divBdr>
        <w:top w:val="none" w:sz="0" w:space="0" w:color="auto"/>
        <w:left w:val="none" w:sz="0" w:space="0" w:color="auto"/>
        <w:bottom w:val="none" w:sz="0" w:space="0" w:color="auto"/>
        <w:right w:val="none" w:sz="0" w:space="0" w:color="auto"/>
      </w:divBdr>
      <w:divsChild>
        <w:div w:id="2011055138">
          <w:marLeft w:val="0"/>
          <w:marRight w:val="0"/>
          <w:marTop w:val="0"/>
          <w:marBottom w:val="0"/>
          <w:divBdr>
            <w:top w:val="none" w:sz="0" w:space="0" w:color="auto"/>
            <w:left w:val="none" w:sz="0" w:space="0" w:color="auto"/>
            <w:bottom w:val="none" w:sz="0" w:space="0" w:color="auto"/>
            <w:right w:val="none" w:sz="0" w:space="0" w:color="auto"/>
          </w:divBdr>
          <w:divsChild>
            <w:div w:id="1119760053">
              <w:marLeft w:val="0"/>
              <w:marRight w:val="0"/>
              <w:marTop w:val="0"/>
              <w:marBottom w:val="0"/>
              <w:divBdr>
                <w:top w:val="none" w:sz="0" w:space="0" w:color="auto"/>
                <w:left w:val="none" w:sz="0" w:space="0" w:color="auto"/>
                <w:bottom w:val="none" w:sz="0" w:space="0" w:color="auto"/>
                <w:right w:val="none" w:sz="0" w:space="0" w:color="auto"/>
              </w:divBdr>
              <w:divsChild>
                <w:div w:id="1693457628">
                  <w:marLeft w:val="0"/>
                  <w:marRight w:val="0"/>
                  <w:marTop w:val="0"/>
                  <w:marBottom w:val="0"/>
                  <w:divBdr>
                    <w:top w:val="none" w:sz="0" w:space="0" w:color="auto"/>
                    <w:left w:val="none" w:sz="0" w:space="0" w:color="auto"/>
                    <w:bottom w:val="none" w:sz="0" w:space="0" w:color="auto"/>
                    <w:right w:val="none" w:sz="0" w:space="0" w:color="auto"/>
                  </w:divBdr>
                  <w:divsChild>
                    <w:div w:id="619803448">
                      <w:marLeft w:val="0"/>
                      <w:marRight w:val="0"/>
                      <w:marTop w:val="0"/>
                      <w:marBottom w:val="0"/>
                      <w:divBdr>
                        <w:top w:val="none" w:sz="0" w:space="0" w:color="auto"/>
                        <w:left w:val="none" w:sz="0" w:space="0" w:color="auto"/>
                        <w:bottom w:val="none" w:sz="0" w:space="0" w:color="auto"/>
                        <w:right w:val="none" w:sz="0" w:space="0" w:color="auto"/>
                      </w:divBdr>
                      <w:divsChild>
                        <w:div w:id="1512063001">
                          <w:marLeft w:val="0"/>
                          <w:marRight w:val="0"/>
                          <w:marTop w:val="0"/>
                          <w:marBottom w:val="0"/>
                          <w:divBdr>
                            <w:top w:val="none" w:sz="0" w:space="0" w:color="auto"/>
                            <w:left w:val="none" w:sz="0" w:space="0" w:color="auto"/>
                            <w:bottom w:val="none" w:sz="0" w:space="0" w:color="auto"/>
                            <w:right w:val="none" w:sz="0" w:space="0" w:color="auto"/>
                          </w:divBdr>
                          <w:divsChild>
                            <w:div w:id="4246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75671">
      <w:bodyDiv w:val="1"/>
      <w:marLeft w:val="0"/>
      <w:marRight w:val="0"/>
      <w:marTop w:val="0"/>
      <w:marBottom w:val="0"/>
      <w:divBdr>
        <w:top w:val="none" w:sz="0" w:space="0" w:color="auto"/>
        <w:left w:val="none" w:sz="0" w:space="0" w:color="auto"/>
        <w:bottom w:val="none" w:sz="0" w:space="0" w:color="auto"/>
        <w:right w:val="none" w:sz="0" w:space="0" w:color="auto"/>
      </w:divBdr>
      <w:divsChild>
        <w:div w:id="1199851071">
          <w:marLeft w:val="0"/>
          <w:marRight w:val="0"/>
          <w:marTop w:val="0"/>
          <w:marBottom w:val="0"/>
          <w:divBdr>
            <w:top w:val="none" w:sz="0" w:space="0" w:color="auto"/>
            <w:left w:val="none" w:sz="0" w:space="0" w:color="auto"/>
            <w:bottom w:val="none" w:sz="0" w:space="0" w:color="auto"/>
            <w:right w:val="none" w:sz="0" w:space="0" w:color="auto"/>
          </w:divBdr>
          <w:divsChild>
            <w:div w:id="847477440">
              <w:marLeft w:val="0"/>
              <w:marRight w:val="0"/>
              <w:marTop w:val="0"/>
              <w:marBottom w:val="0"/>
              <w:divBdr>
                <w:top w:val="none" w:sz="0" w:space="0" w:color="auto"/>
                <w:left w:val="none" w:sz="0" w:space="0" w:color="auto"/>
                <w:bottom w:val="none" w:sz="0" w:space="0" w:color="auto"/>
                <w:right w:val="none" w:sz="0" w:space="0" w:color="auto"/>
              </w:divBdr>
              <w:divsChild>
                <w:div w:id="1952009566">
                  <w:marLeft w:val="0"/>
                  <w:marRight w:val="0"/>
                  <w:marTop w:val="0"/>
                  <w:marBottom w:val="0"/>
                  <w:divBdr>
                    <w:top w:val="none" w:sz="0" w:space="0" w:color="auto"/>
                    <w:left w:val="none" w:sz="0" w:space="0" w:color="auto"/>
                    <w:bottom w:val="none" w:sz="0" w:space="0" w:color="auto"/>
                    <w:right w:val="none" w:sz="0" w:space="0" w:color="auto"/>
                  </w:divBdr>
                  <w:divsChild>
                    <w:div w:id="235089940">
                      <w:marLeft w:val="0"/>
                      <w:marRight w:val="0"/>
                      <w:marTop w:val="0"/>
                      <w:marBottom w:val="0"/>
                      <w:divBdr>
                        <w:top w:val="none" w:sz="0" w:space="0" w:color="auto"/>
                        <w:left w:val="none" w:sz="0" w:space="0" w:color="auto"/>
                        <w:bottom w:val="none" w:sz="0" w:space="0" w:color="auto"/>
                        <w:right w:val="none" w:sz="0" w:space="0" w:color="auto"/>
                      </w:divBdr>
                      <w:divsChild>
                        <w:div w:id="16086231">
                          <w:marLeft w:val="0"/>
                          <w:marRight w:val="0"/>
                          <w:marTop w:val="0"/>
                          <w:marBottom w:val="0"/>
                          <w:divBdr>
                            <w:top w:val="none" w:sz="0" w:space="0" w:color="auto"/>
                            <w:left w:val="none" w:sz="0" w:space="0" w:color="auto"/>
                            <w:bottom w:val="none" w:sz="0" w:space="0" w:color="auto"/>
                            <w:right w:val="none" w:sz="0" w:space="0" w:color="auto"/>
                          </w:divBdr>
                          <w:divsChild>
                            <w:div w:id="18029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08BE6-E8CB-4859-8FAD-8DC626626EBA}">
  <ds:schemaRefs>
    <ds:schemaRef ds:uri="http://schemas.microsoft.com/sharepoint/v3/contenttype/forms"/>
  </ds:schemaRefs>
</ds:datastoreItem>
</file>

<file path=customXml/itemProps2.xml><?xml version="1.0" encoding="utf-8"?>
<ds:datastoreItem xmlns:ds="http://schemas.openxmlformats.org/officeDocument/2006/customXml" ds:itemID="{3F79E479-BB1B-4FCD-AAFE-6AC47FF1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31031</Words>
  <Characters>17689</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2022-10-20T14:03:00Z</dcterms:created>
  <dcterms:modified xsi:type="dcterms:W3CDTF">2023-03-09T11:01:00Z</dcterms:modified>
  <cp:category/>
</cp:coreProperties>
</file>