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B9E3" w14:textId="77777777" w:rsidR="007F0CFD" w:rsidRPr="004E7BEB" w:rsidRDefault="007F0CFD" w:rsidP="007F0CFD">
      <w:pPr>
        <w:jc w:val="both"/>
        <w:rPr>
          <w:rFonts w:ascii="Times New Roman" w:eastAsia="Times New Roman" w:hAnsi="Times New Roman" w:cs="Times New Roman"/>
          <w:noProof/>
          <w:sz w:val="24"/>
          <w:szCs w:val="24"/>
        </w:rPr>
      </w:pPr>
    </w:p>
    <w:p w14:paraId="1A2E27E9" w14:textId="77777777" w:rsidR="007F0CFD" w:rsidRPr="004E7BEB" w:rsidRDefault="007F0CFD" w:rsidP="007F0CFD">
      <w:pPr>
        <w:jc w:val="center"/>
        <w:rPr>
          <w:rFonts w:ascii="Times New Roman" w:eastAsia="Times New Roman" w:hAnsi="Times New Roman" w:cs="Times New Roman"/>
          <w:noProof/>
          <w:sz w:val="24"/>
          <w:szCs w:val="24"/>
        </w:rPr>
      </w:pPr>
      <w:r w:rsidRPr="004E7BEB">
        <w:rPr>
          <w:rFonts w:ascii="Times New Roman" w:hAnsi="Times New Roman"/>
          <w:noProof/>
          <w:sz w:val="24"/>
        </w:rPr>
        <w:drawing>
          <wp:inline distT="0" distB="0" distL="0" distR="0" wp14:anchorId="0444D957" wp14:editId="60529141">
            <wp:extent cx="2276793" cy="2124371"/>
            <wp:effectExtent l="0" t="0" r="952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a:stretch>
                      <a:fillRect/>
                    </a:stretch>
                  </pic:blipFill>
                  <pic:spPr>
                    <a:xfrm>
                      <a:off x="0" y="0"/>
                      <a:ext cx="2276793" cy="2124371"/>
                    </a:xfrm>
                    <a:prstGeom prst="rect">
                      <a:avLst/>
                    </a:prstGeom>
                  </pic:spPr>
                </pic:pic>
              </a:graphicData>
            </a:graphic>
          </wp:inline>
        </w:drawing>
      </w:r>
    </w:p>
    <w:p w14:paraId="77BDE597" w14:textId="77777777" w:rsidR="007F0CFD" w:rsidRPr="004E7BEB" w:rsidRDefault="007F0CFD" w:rsidP="007F0CFD">
      <w:pPr>
        <w:jc w:val="both"/>
        <w:rPr>
          <w:rFonts w:ascii="Times New Roman" w:eastAsia="Times New Roman" w:hAnsi="Times New Roman" w:cs="Times New Roman"/>
          <w:noProof/>
          <w:sz w:val="24"/>
          <w:szCs w:val="24"/>
        </w:rPr>
      </w:pPr>
    </w:p>
    <w:p w14:paraId="4B1DCACA" w14:textId="77777777" w:rsidR="007F0CFD" w:rsidRPr="004E7BEB" w:rsidRDefault="007F0CFD" w:rsidP="007F0CFD">
      <w:pPr>
        <w:jc w:val="both"/>
        <w:rPr>
          <w:rFonts w:ascii="Times New Roman" w:eastAsia="Times New Roman" w:hAnsi="Times New Roman" w:cs="Times New Roman"/>
          <w:noProof/>
          <w:sz w:val="24"/>
          <w:szCs w:val="24"/>
        </w:rPr>
      </w:pPr>
    </w:p>
    <w:p w14:paraId="50F987D1" w14:textId="77777777" w:rsidR="007F0CFD" w:rsidRPr="004E7BEB" w:rsidRDefault="007F0CFD" w:rsidP="007F0CFD">
      <w:pPr>
        <w:jc w:val="both"/>
        <w:rPr>
          <w:rFonts w:ascii="Times New Roman" w:eastAsia="Times New Roman" w:hAnsi="Times New Roman" w:cs="Times New Roman"/>
          <w:noProof/>
          <w:sz w:val="24"/>
          <w:szCs w:val="24"/>
        </w:rPr>
      </w:pPr>
    </w:p>
    <w:p w14:paraId="0FDC2E00" w14:textId="77777777" w:rsidR="007F0CFD" w:rsidRPr="004E7BEB" w:rsidRDefault="007F0CFD" w:rsidP="007F0CFD">
      <w:pPr>
        <w:jc w:val="both"/>
        <w:rPr>
          <w:rFonts w:ascii="Times New Roman" w:eastAsia="Times New Roman" w:hAnsi="Times New Roman" w:cs="Times New Roman"/>
          <w:noProof/>
          <w:sz w:val="24"/>
          <w:szCs w:val="24"/>
        </w:rPr>
      </w:pPr>
    </w:p>
    <w:p w14:paraId="0CDD7E02" w14:textId="77777777" w:rsidR="007F0CFD" w:rsidRPr="004E7BEB" w:rsidRDefault="007F0CFD" w:rsidP="007F0CFD">
      <w:pPr>
        <w:ind w:left="1379" w:right="1380"/>
        <w:jc w:val="center"/>
        <w:rPr>
          <w:rFonts w:ascii="Times New Roman" w:hAnsi="Times New Roman"/>
          <w:b/>
          <w:noProof/>
          <w:sz w:val="48"/>
          <w:szCs w:val="20"/>
        </w:rPr>
      </w:pPr>
      <w:r w:rsidRPr="004E7BEB">
        <w:rPr>
          <w:rFonts w:ascii="Times New Roman" w:hAnsi="Times New Roman"/>
          <w:b/>
          <w:i/>
          <w:iCs/>
          <w:sz w:val="48"/>
        </w:rPr>
        <w:t>ILAC</w:t>
      </w:r>
      <w:r w:rsidRPr="004E7BEB">
        <w:rPr>
          <w:rFonts w:ascii="Times New Roman" w:hAnsi="Times New Roman"/>
          <w:b/>
          <w:sz w:val="48"/>
        </w:rPr>
        <w:t xml:space="preserve"> politika attiecībā uz mērījumu rezultātu metroloģisko izsekojamību</w:t>
      </w:r>
    </w:p>
    <w:p w14:paraId="2837DB8F" w14:textId="77777777" w:rsidR="007F0CFD" w:rsidRPr="004E7BEB" w:rsidRDefault="007F0CFD" w:rsidP="007F0CFD">
      <w:pPr>
        <w:jc w:val="both"/>
        <w:rPr>
          <w:rFonts w:ascii="Times New Roman" w:eastAsia="Times New Roman" w:hAnsi="Times New Roman" w:cs="Times New Roman"/>
          <w:noProof/>
          <w:sz w:val="24"/>
          <w:szCs w:val="24"/>
        </w:rPr>
      </w:pPr>
    </w:p>
    <w:p w14:paraId="01EEC5B5" w14:textId="77777777" w:rsidR="007F0CFD" w:rsidRPr="004E7BEB" w:rsidRDefault="007F0CFD" w:rsidP="007F0CFD">
      <w:pPr>
        <w:jc w:val="both"/>
        <w:rPr>
          <w:rFonts w:ascii="Times New Roman" w:eastAsia="Times New Roman" w:hAnsi="Times New Roman" w:cs="Times New Roman"/>
          <w:noProof/>
          <w:sz w:val="24"/>
          <w:szCs w:val="24"/>
        </w:rPr>
      </w:pPr>
    </w:p>
    <w:p w14:paraId="4023728B" w14:textId="77777777" w:rsidR="007F0CFD" w:rsidRPr="004E7BEB" w:rsidRDefault="007F0CFD" w:rsidP="007F0CFD">
      <w:pPr>
        <w:jc w:val="both"/>
        <w:rPr>
          <w:rFonts w:ascii="Times New Roman" w:eastAsia="Times New Roman" w:hAnsi="Times New Roman" w:cs="Times New Roman"/>
          <w:noProof/>
          <w:sz w:val="24"/>
          <w:szCs w:val="24"/>
        </w:rPr>
      </w:pPr>
    </w:p>
    <w:p w14:paraId="2AEE0468" w14:textId="77777777" w:rsidR="007F0CFD" w:rsidRPr="004E7BEB" w:rsidRDefault="007F0CFD" w:rsidP="007F0CFD">
      <w:pPr>
        <w:jc w:val="both"/>
        <w:rPr>
          <w:rFonts w:ascii="Times New Roman" w:eastAsia="Times New Roman" w:hAnsi="Times New Roman" w:cs="Times New Roman"/>
          <w:noProof/>
          <w:sz w:val="24"/>
          <w:szCs w:val="24"/>
        </w:rPr>
      </w:pPr>
    </w:p>
    <w:p w14:paraId="082BE652" w14:textId="77777777" w:rsidR="007F0CFD" w:rsidRPr="004E7BEB" w:rsidRDefault="007F0CFD" w:rsidP="007F0CFD">
      <w:pPr>
        <w:jc w:val="both"/>
        <w:rPr>
          <w:rFonts w:ascii="Times New Roman" w:eastAsia="Times New Roman" w:hAnsi="Times New Roman" w:cs="Times New Roman"/>
          <w:noProof/>
          <w:sz w:val="24"/>
          <w:szCs w:val="24"/>
        </w:rPr>
      </w:pPr>
    </w:p>
    <w:p w14:paraId="172F97C8" w14:textId="77777777" w:rsidR="007F0CFD" w:rsidRPr="004E7BEB" w:rsidRDefault="007F0CFD" w:rsidP="007F0CFD">
      <w:pPr>
        <w:jc w:val="both"/>
        <w:rPr>
          <w:rFonts w:ascii="Times New Roman" w:eastAsia="Times New Roman" w:hAnsi="Times New Roman" w:cs="Times New Roman"/>
          <w:noProof/>
          <w:sz w:val="24"/>
          <w:szCs w:val="24"/>
        </w:rPr>
      </w:pPr>
    </w:p>
    <w:p w14:paraId="17DE8BC8" w14:textId="77777777" w:rsidR="007F0CFD" w:rsidRPr="004E7BEB" w:rsidRDefault="007F0CFD" w:rsidP="007F0CFD">
      <w:pPr>
        <w:jc w:val="both"/>
        <w:rPr>
          <w:rFonts w:ascii="Times New Roman" w:eastAsia="Times New Roman" w:hAnsi="Times New Roman" w:cs="Times New Roman"/>
          <w:noProof/>
          <w:sz w:val="24"/>
          <w:szCs w:val="24"/>
        </w:rPr>
      </w:pPr>
    </w:p>
    <w:p w14:paraId="4FA52D01" w14:textId="77777777" w:rsidR="007F0CFD" w:rsidRPr="004E7BEB" w:rsidRDefault="007F0CFD" w:rsidP="007F0CFD">
      <w:pPr>
        <w:jc w:val="both"/>
        <w:rPr>
          <w:rFonts w:ascii="Times New Roman" w:eastAsia="Times New Roman" w:hAnsi="Times New Roman" w:cs="Times New Roman"/>
          <w:noProof/>
          <w:sz w:val="24"/>
          <w:szCs w:val="24"/>
        </w:rPr>
      </w:pPr>
    </w:p>
    <w:p w14:paraId="0EBC65CB" w14:textId="77777777" w:rsidR="007F0CFD" w:rsidRPr="004E7BEB" w:rsidRDefault="007F0CFD" w:rsidP="007F0CFD">
      <w:pPr>
        <w:jc w:val="both"/>
        <w:rPr>
          <w:rFonts w:ascii="Times New Roman" w:eastAsia="Times New Roman" w:hAnsi="Times New Roman" w:cs="Times New Roman"/>
          <w:noProof/>
          <w:sz w:val="24"/>
          <w:szCs w:val="24"/>
        </w:rPr>
      </w:pPr>
    </w:p>
    <w:p w14:paraId="6C99DBD5" w14:textId="77777777" w:rsidR="007F0CFD" w:rsidRPr="004E7BEB" w:rsidRDefault="007F0CFD" w:rsidP="007F0CFD">
      <w:pPr>
        <w:jc w:val="both"/>
        <w:rPr>
          <w:rFonts w:ascii="Times New Roman" w:eastAsia="Times New Roman" w:hAnsi="Times New Roman" w:cs="Times New Roman"/>
          <w:noProof/>
          <w:sz w:val="24"/>
          <w:szCs w:val="24"/>
        </w:rPr>
      </w:pPr>
    </w:p>
    <w:p w14:paraId="65937855" w14:textId="77777777" w:rsidR="007F0CFD" w:rsidRPr="004E7BEB" w:rsidRDefault="007F0CFD" w:rsidP="007F0CFD">
      <w:pPr>
        <w:jc w:val="both"/>
        <w:rPr>
          <w:rFonts w:ascii="Times New Roman" w:eastAsia="Times New Roman" w:hAnsi="Times New Roman" w:cs="Times New Roman"/>
          <w:noProof/>
          <w:sz w:val="24"/>
          <w:szCs w:val="24"/>
        </w:rPr>
      </w:pPr>
    </w:p>
    <w:p w14:paraId="657C3BC1" w14:textId="77777777" w:rsidR="007F0CFD" w:rsidRPr="004E7BEB" w:rsidRDefault="007F0CFD" w:rsidP="007F0CFD">
      <w:pPr>
        <w:jc w:val="both"/>
        <w:rPr>
          <w:rFonts w:ascii="Times New Roman" w:eastAsia="Times New Roman" w:hAnsi="Times New Roman" w:cs="Times New Roman"/>
          <w:noProof/>
          <w:sz w:val="24"/>
          <w:szCs w:val="24"/>
        </w:rPr>
      </w:pPr>
    </w:p>
    <w:p w14:paraId="6A0D4403" w14:textId="77777777" w:rsidR="007F0CFD" w:rsidRPr="004E7BEB" w:rsidRDefault="007F0CFD" w:rsidP="007F0CFD">
      <w:pPr>
        <w:jc w:val="both"/>
        <w:rPr>
          <w:rFonts w:ascii="Times New Roman" w:eastAsia="Times New Roman" w:hAnsi="Times New Roman" w:cs="Times New Roman"/>
          <w:noProof/>
          <w:sz w:val="24"/>
          <w:szCs w:val="24"/>
        </w:rPr>
      </w:pPr>
    </w:p>
    <w:p w14:paraId="19F70C52" w14:textId="77777777" w:rsidR="007F0CFD" w:rsidRPr="004E7BEB" w:rsidRDefault="007F0CFD" w:rsidP="007F0CFD">
      <w:pPr>
        <w:jc w:val="both"/>
        <w:rPr>
          <w:rFonts w:ascii="Times New Roman" w:eastAsia="Times New Roman" w:hAnsi="Times New Roman" w:cs="Times New Roman"/>
          <w:noProof/>
          <w:sz w:val="24"/>
          <w:szCs w:val="24"/>
        </w:rPr>
      </w:pPr>
    </w:p>
    <w:p w14:paraId="35A0687A" w14:textId="77777777" w:rsidR="007F0CFD" w:rsidRPr="004E7BEB" w:rsidRDefault="007F0CFD" w:rsidP="007F0CFD">
      <w:pPr>
        <w:jc w:val="both"/>
        <w:rPr>
          <w:rFonts w:ascii="Times New Roman" w:eastAsia="Times New Roman" w:hAnsi="Times New Roman" w:cs="Times New Roman"/>
          <w:noProof/>
          <w:sz w:val="24"/>
          <w:szCs w:val="24"/>
        </w:rPr>
      </w:pPr>
    </w:p>
    <w:p w14:paraId="65D4DD1F" w14:textId="77777777" w:rsidR="007F0CFD" w:rsidRPr="004E7BEB" w:rsidRDefault="007F0CFD" w:rsidP="007F0CFD">
      <w:pPr>
        <w:jc w:val="both"/>
        <w:rPr>
          <w:rFonts w:ascii="Times New Roman" w:eastAsia="Times New Roman" w:hAnsi="Times New Roman" w:cs="Times New Roman"/>
          <w:noProof/>
          <w:sz w:val="24"/>
          <w:szCs w:val="24"/>
        </w:rPr>
      </w:pPr>
    </w:p>
    <w:p w14:paraId="3233CF12" w14:textId="77777777" w:rsidR="007F0CFD" w:rsidRPr="004E7BEB" w:rsidRDefault="007F0CFD" w:rsidP="007F0CFD">
      <w:pPr>
        <w:jc w:val="both"/>
        <w:rPr>
          <w:rFonts w:ascii="Times New Roman" w:eastAsia="Times New Roman" w:hAnsi="Times New Roman" w:cs="Times New Roman"/>
          <w:noProof/>
          <w:sz w:val="24"/>
          <w:szCs w:val="24"/>
        </w:rPr>
      </w:pPr>
    </w:p>
    <w:p w14:paraId="089BB318" w14:textId="77777777" w:rsidR="007F0CFD" w:rsidRPr="004E7BEB" w:rsidRDefault="007F0CFD" w:rsidP="007F0CFD">
      <w:pPr>
        <w:jc w:val="both"/>
        <w:rPr>
          <w:rFonts w:ascii="Times New Roman" w:eastAsia="Times New Roman" w:hAnsi="Times New Roman" w:cs="Times New Roman"/>
          <w:noProof/>
          <w:sz w:val="24"/>
          <w:szCs w:val="24"/>
        </w:rPr>
      </w:pPr>
    </w:p>
    <w:p w14:paraId="5832531E" w14:textId="77777777" w:rsidR="007F0CFD" w:rsidRPr="004E7BEB" w:rsidRDefault="007F0CFD" w:rsidP="007F0CFD">
      <w:pPr>
        <w:jc w:val="both"/>
        <w:rPr>
          <w:rFonts w:ascii="Times New Roman" w:eastAsia="Times New Roman" w:hAnsi="Times New Roman" w:cs="Times New Roman"/>
          <w:noProof/>
          <w:sz w:val="24"/>
          <w:szCs w:val="24"/>
        </w:rPr>
      </w:pPr>
    </w:p>
    <w:p w14:paraId="1DAB96F8" w14:textId="77777777" w:rsidR="007F0CFD" w:rsidRPr="004E7BEB" w:rsidRDefault="007F0CFD" w:rsidP="007F0CFD">
      <w:pPr>
        <w:jc w:val="both"/>
        <w:rPr>
          <w:rFonts w:ascii="Times New Roman" w:eastAsia="Times New Roman" w:hAnsi="Times New Roman" w:cs="Times New Roman"/>
          <w:noProof/>
          <w:sz w:val="24"/>
          <w:szCs w:val="24"/>
        </w:rPr>
      </w:pPr>
    </w:p>
    <w:p w14:paraId="5ACB5F3D" w14:textId="77777777" w:rsidR="007F0CFD" w:rsidRPr="004E7BEB" w:rsidRDefault="007F0CFD" w:rsidP="007F0CFD">
      <w:pPr>
        <w:jc w:val="both"/>
        <w:rPr>
          <w:rFonts w:ascii="Times New Roman" w:eastAsia="Times New Roman" w:hAnsi="Times New Roman" w:cs="Times New Roman"/>
          <w:noProof/>
          <w:sz w:val="24"/>
          <w:szCs w:val="24"/>
        </w:rPr>
      </w:pPr>
    </w:p>
    <w:p w14:paraId="47119B60" w14:textId="77777777" w:rsidR="007F0CFD" w:rsidRPr="004E7BEB" w:rsidRDefault="007F0CFD" w:rsidP="007F0CFD">
      <w:pPr>
        <w:jc w:val="both"/>
        <w:rPr>
          <w:rFonts w:ascii="Times New Roman" w:eastAsia="Times New Roman" w:hAnsi="Times New Roman" w:cs="Times New Roman"/>
          <w:noProof/>
          <w:sz w:val="24"/>
          <w:szCs w:val="24"/>
        </w:rPr>
      </w:pPr>
    </w:p>
    <w:p w14:paraId="09828127" w14:textId="77777777" w:rsidR="007F0CFD" w:rsidRPr="004E7BEB" w:rsidRDefault="007F0CFD" w:rsidP="007F0CFD">
      <w:pPr>
        <w:jc w:val="both"/>
        <w:rPr>
          <w:rFonts w:ascii="Times New Roman" w:eastAsia="Times New Roman" w:hAnsi="Times New Roman" w:cs="Times New Roman"/>
          <w:noProof/>
          <w:sz w:val="24"/>
          <w:szCs w:val="24"/>
        </w:rPr>
      </w:pPr>
    </w:p>
    <w:p w14:paraId="6EA16F62" w14:textId="77777777" w:rsidR="007F0CFD" w:rsidRPr="004E7BEB" w:rsidRDefault="007F0CFD" w:rsidP="007F0CFD">
      <w:pPr>
        <w:jc w:val="both"/>
        <w:rPr>
          <w:rFonts w:ascii="Times New Roman" w:eastAsia="Times New Roman" w:hAnsi="Times New Roman" w:cs="Times New Roman"/>
          <w:noProof/>
          <w:sz w:val="24"/>
          <w:szCs w:val="24"/>
        </w:rPr>
      </w:pPr>
    </w:p>
    <w:p w14:paraId="423B07F9" w14:textId="77777777" w:rsidR="007F0CFD" w:rsidRPr="004E7BEB" w:rsidRDefault="007F0CFD" w:rsidP="007F0CFD">
      <w:pPr>
        <w:jc w:val="both"/>
        <w:rPr>
          <w:rFonts w:ascii="Times New Roman" w:eastAsia="Times New Roman" w:hAnsi="Times New Roman" w:cs="Times New Roman"/>
          <w:noProof/>
          <w:sz w:val="24"/>
          <w:szCs w:val="24"/>
        </w:rPr>
      </w:pPr>
    </w:p>
    <w:p w14:paraId="6DADC195" w14:textId="77777777" w:rsidR="007F0CFD" w:rsidRPr="004E7BEB" w:rsidRDefault="007F0CFD" w:rsidP="007F0CFD">
      <w:pPr>
        <w:jc w:val="both"/>
        <w:rPr>
          <w:rFonts w:ascii="Times New Roman" w:eastAsia="Times New Roman" w:hAnsi="Times New Roman" w:cs="Times New Roman"/>
          <w:noProof/>
          <w:sz w:val="24"/>
          <w:szCs w:val="24"/>
        </w:rPr>
      </w:pPr>
    </w:p>
    <w:p w14:paraId="3DE86112"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ILAC-P10:07/2020</w:t>
      </w:r>
    </w:p>
    <w:p w14:paraId="16E0D7C4" w14:textId="77777777" w:rsidR="007F0CFD" w:rsidRPr="004E7BEB" w:rsidRDefault="007F0CFD" w:rsidP="007F0CFD">
      <w:pPr>
        <w:rPr>
          <w:rFonts w:ascii="Times New Roman" w:eastAsia="Times New Roman" w:hAnsi="Times New Roman" w:cs="Times New Roman"/>
          <w:noProof/>
          <w:sz w:val="24"/>
          <w:szCs w:val="24"/>
        </w:rPr>
      </w:pPr>
      <w:r w:rsidRPr="004E7BEB">
        <w:rPr>
          <w:rFonts w:ascii="Times New Roman" w:hAnsi="Times New Roman"/>
        </w:rPr>
        <w:br w:type="page"/>
      </w:r>
    </w:p>
    <w:p w14:paraId="4AC24714" w14:textId="77777777" w:rsidR="007F0CFD" w:rsidRPr="004E7BEB" w:rsidRDefault="007F0CFD" w:rsidP="007F0CFD">
      <w:pPr>
        <w:jc w:val="both"/>
        <w:rPr>
          <w:rFonts w:ascii="Times New Roman" w:eastAsia="Times New Roman" w:hAnsi="Times New Roman" w:cs="Times New Roman"/>
          <w:noProof/>
          <w:sz w:val="24"/>
          <w:szCs w:val="24"/>
        </w:rPr>
      </w:pPr>
    </w:p>
    <w:p w14:paraId="1A2DB20B"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 xml:space="preserve">Par </w:t>
      </w:r>
      <w:r w:rsidRPr="004E7BEB">
        <w:rPr>
          <w:rFonts w:ascii="Times New Roman" w:hAnsi="Times New Roman"/>
          <w:b/>
          <w:i/>
          <w:iCs/>
          <w:sz w:val="24"/>
        </w:rPr>
        <w:t>ILAC</w:t>
      </w:r>
    </w:p>
    <w:p w14:paraId="6614196C" w14:textId="77777777" w:rsidR="007F0CFD" w:rsidRPr="004E7BEB" w:rsidRDefault="007F0CFD" w:rsidP="007F0CFD">
      <w:pPr>
        <w:jc w:val="both"/>
        <w:rPr>
          <w:rFonts w:ascii="Times New Roman" w:eastAsia="Times New Roman" w:hAnsi="Times New Roman" w:cs="Times New Roman"/>
          <w:b/>
          <w:bCs/>
          <w:noProof/>
          <w:sz w:val="24"/>
          <w:szCs w:val="24"/>
        </w:rPr>
      </w:pPr>
    </w:p>
    <w:p w14:paraId="2C2044BD"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i/>
          <w:iCs/>
          <w:sz w:val="24"/>
        </w:rPr>
        <w:t>ILAC</w:t>
      </w:r>
      <w:r w:rsidRPr="004E7BEB">
        <w:rPr>
          <w:rFonts w:ascii="Times New Roman" w:hAnsi="Times New Roman"/>
          <w:sz w:val="24"/>
        </w:rPr>
        <w:t xml:space="preserve"> ir starptautiska asociācija laboratoriju, inspicēšanas institūciju, prasmes pārbaudes organizētāju un references materiālu ražotāju akreditācijas jomā, un tās dalībnieki ir akreditācijas iestādes (AI) un ieinteresētās organizācijas visā pasaulē.</w:t>
      </w:r>
    </w:p>
    <w:p w14:paraId="6CF9CDD7" w14:textId="77777777" w:rsidR="007F0CFD" w:rsidRPr="004E7BEB" w:rsidRDefault="007F0CFD" w:rsidP="007F0CFD">
      <w:pPr>
        <w:jc w:val="both"/>
        <w:rPr>
          <w:rFonts w:ascii="Times New Roman" w:eastAsia="Times New Roman" w:hAnsi="Times New Roman" w:cs="Times New Roman"/>
          <w:noProof/>
          <w:sz w:val="24"/>
          <w:szCs w:val="24"/>
        </w:rPr>
      </w:pPr>
    </w:p>
    <w:p w14:paraId="465AA060"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Tā ir pārstāvošā organizācija, kas nodarbojas ar:</w:t>
      </w:r>
    </w:p>
    <w:p w14:paraId="1DC752AD" w14:textId="77777777" w:rsidR="007F0CFD" w:rsidRPr="004E7BEB" w:rsidRDefault="007F0CFD" w:rsidP="007F0CFD">
      <w:pPr>
        <w:numPr>
          <w:ilvl w:val="0"/>
          <w:numId w:val="6"/>
        </w:numPr>
        <w:tabs>
          <w:tab w:val="left" w:pos="851"/>
        </w:tabs>
        <w:ind w:left="284" w:firstLine="0"/>
        <w:jc w:val="both"/>
        <w:rPr>
          <w:rFonts w:ascii="Times New Roman" w:hAnsi="Times New Roman" w:cs="Times New Roman"/>
          <w:noProof/>
          <w:sz w:val="24"/>
          <w:szCs w:val="24"/>
        </w:rPr>
      </w:pPr>
      <w:r w:rsidRPr="004E7BEB">
        <w:rPr>
          <w:rFonts w:ascii="Times New Roman" w:hAnsi="Times New Roman"/>
          <w:sz w:val="24"/>
        </w:rPr>
        <w:t>akreditācijas prakses un procedūru izstrādi;</w:t>
      </w:r>
    </w:p>
    <w:p w14:paraId="02BB7B7C" w14:textId="77777777" w:rsidR="007F0CFD" w:rsidRPr="004E7BEB" w:rsidRDefault="007F0CFD" w:rsidP="007F0CFD">
      <w:pPr>
        <w:numPr>
          <w:ilvl w:val="0"/>
          <w:numId w:val="6"/>
        </w:numPr>
        <w:tabs>
          <w:tab w:val="left" w:pos="851"/>
        </w:tabs>
        <w:ind w:left="284" w:firstLine="0"/>
        <w:jc w:val="both"/>
        <w:rPr>
          <w:rFonts w:ascii="Times New Roman" w:hAnsi="Times New Roman" w:cs="Times New Roman"/>
          <w:noProof/>
          <w:sz w:val="24"/>
          <w:szCs w:val="24"/>
        </w:rPr>
      </w:pPr>
      <w:r w:rsidRPr="004E7BEB">
        <w:rPr>
          <w:rFonts w:ascii="Times New Roman" w:hAnsi="Times New Roman"/>
          <w:sz w:val="24"/>
        </w:rPr>
        <w:t>akreditācijas kā tirdzniecības atvieglošanas rīka veicināšanu;</w:t>
      </w:r>
    </w:p>
    <w:p w14:paraId="6D7D0635" w14:textId="77777777" w:rsidR="007F0CFD" w:rsidRPr="004E7BEB" w:rsidRDefault="007F0CFD" w:rsidP="007F0CFD">
      <w:pPr>
        <w:numPr>
          <w:ilvl w:val="0"/>
          <w:numId w:val="6"/>
        </w:numPr>
        <w:tabs>
          <w:tab w:val="left" w:pos="851"/>
        </w:tabs>
        <w:ind w:left="284" w:firstLine="0"/>
        <w:jc w:val="both"/>
        <w:rPr>
          <w:rFonts w:ascii="Times New Roman" w:hAnsi="Times New Roman" w:cs="Times New Roman"/>
          <w:noProof/>
          <w:sz w:val="24"/>
          <w:szCs w:val="24"/>
        </w:rPr>
      </w:pPr>
      <w:r w:rsidRPr="004E7BEB">
        <w:rPr>
          <w:rFonts w:ascii="Times New Roman" w:hAnsi="Times New Roman"/>
          <w:sz w:val="24"/>
        </w:rPr>
        <w:t>vietējā un valsts līmeņa pakalpojumu sniegšanas atbalstu;</w:t>
      </w:r>
    </w:p>
    <w:p w14:paraId="70640801" w14:textId="77777777" w:rsidR="007F0CFD" w:rsidRPr="004E7BEB" w:rsidRDefault="007F0CFD" w:rsidP="007F0CFD">
      <w:pPr>
        <w:numPr>
          <w:ilvl w:val="0"/>
          <w:numId w:val="6"/>
        </w:numPr>
        <w:tabs>
          <w:tab w:val="left" w:pos="851"/>
        </w:tabs>
        <w:ind w:left="284" w:firstLine="0"/>
        <w:jc w:val="both"/>
        <w:rPr>
          <w:rFonts w:ascii="Times New Roman" w:hAnsi="Times New Roman" w:cs="Times New Roman"/>
          <w:noProof/>
          <w:sz w:val="24"/>
          <w:szCs w:val="24"/>
        </w:rPr>
      </w:pPr>
      <w:r w:rsidRPr="004E7BEB">
        <w:rPr>
          <w:rFonts w:ascii="Times New Roman" w:hAnsi="Times New Roman"/>
          <w:sz w:val="24"/>
        </w:rPr>
        <w:t>palīdzību akreditācijas sistēmu izstrādē;</w:t>
      </w:r>
    </w:p>
    <w:p w14:paraId="4893FCBC" w14:textId="77777777" w:rsidR="007F0CFD" w:rsidRPr="004E7BEB" w:rsidRDefault="007F0CFD" w:rsidP="007F0CFD">
      <w:pPr>
        <w:numPr>
          <w:ilvl w:val="0"/>
          <w:numId w:val="6"/>
        </w:numPr>
        <w:tabs>
          <w:tab w:val="left" w:pos="851"/>
        </w:tabs>
        <w:ind w:left="284" w:firstLine="0"/>
        <w:jc w:val="both"/>
        <w:rPr>
          <w:rFonts w:ascii="Times New Roman" w:hAnsi="Times New Roman" w:cs="Times New Roman"/>
          <w:noProof/>
          <w:sz w:val="24"/>
          <w:szCs w:val="24"/>
        </w:rPr>
      </w:pPr>
      <w:r w:rsidRPr="004E7BEB">
        <w:rPr>
          <w:rFonts w:ascii="Times New Roman" w:hAnsi="Times New Roman"/>
          <w:sz w:val="24"/>
        </w:rPr>
        <w:t>kompetento testēšanas (tostarp medicīnas) un kalibrēšanas laboratoriju, inspicēšanas institūciju, prasmes pārbaudes organizētāju un references materiālu ražotāju atzīšanu visā pasaulē.</w:t>
      </w:r>
    </w:p>
    <w:p w14:paraId="70538133" w14:textId="77777777" w:rsidR="007F0CFD" w:rsidRPr="004E7BEB" w:rsidRDefault="007F0CFD" w:rsidP="007F0CFD">
      <w:pPr>
        <w:jc w:val="both"/>
        <w:rPr>
          <w:rFonts w:ascii="Times New Roman" w:eastAsia="Times New Roman" w:hAnsi="Times New Roman" w:cs="Times New Roman"/>
          <w:noProof/>
          <w:sz w:val="24"/>
          <w:szCs w:val="24"/>
        </w:rPr>
      </w:pPr>
    </w:p>
    <w:p w14:paraId="4E90779D"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i/>
          <w:iCs/>
          <w:sz w:val="24"/>
        </w:rPr>
        <w:t>ILAC</w:t>
      </w:r>
      <w:r w:rsidRPr="004E7BEB">
        <w:rPr>
          <w:rFonts w:ascii="Times New Roman" w:hAnsi="Times New Roman"/>
          <w:sz w:val="24"/>
        </w:rPr>
        <w:t xml:space="preserve"> aktīvi sadarbojas ar citām attiecīgajām starptautiskajām organizācijām, lai īstenotu šos mērķus.</w:t>
      </w:r>
    </w:p>
    <w:p w14:paraId="1749A611" w14:textId="77777777" w:rsidR="007F0CFD" w:rsidRPr="004E7BEB" w:rsidRDefault="007F0CFD" w:rsidP="007F0CFD">
      <w:pPr>
        <w:jc w:val="both"/>
        <w:rPr>
          <w:rFonts w:ascii="Times New Roman" w:eastAsia="Times New Roman" w:hAnsi="Times New Roman" w:cs="Times New Roman"/>
          <w:noProof/>
          <w:sz w:val="24"/>
          <w:szCs w:val="24"/>
        </w:rPr>
      </w:pPr>
    </w:p>
    <w:p w14:paraId="7F74A074" w14:textId="77777777" w:rsidR="007F0CFD" w:rsidRPr="004E7BEB" w:rsidRDefault="007F0CFD" w:rsidP="007F0CFD">
      <w:pPr>
        <w:jc w:val="both"/>
        <w:rPr>
          <w:rFonts w:ascii="Times New Roman" w:eastAsia="Times New Roman" w:hAnsi="Times New Roman" w:cs="Times New Roman"/>
          <w:noProof/>
          <w:sz w:val="24"/>
          <w:szCs w:val="24"/>
        </w:rPr>
      </w:pPr>
      <w:r w:rsidRPr="004E7BEB">
        <w:rPr>
          <w:rFonts w:ascii="Times New Roman" w:hAnsi="Times New Roman"/>
          <w:i/>
          <w:iCs/>
          <w:sz w:val="24"/>
        </w:rPr>
        <w:t>ILAC</w:t>
      </w:r>
      <w:r w:rsidRPr="004E7BEB">
        <w:rPr>
          <w:rFonts w:ascii="Times New Roman" w:hAnsi="Times New Roman"/>
          <w:sz w:val="24"/>
        </w:rPr>
        <w:t xml:space="preserve"> veicina tirdzniecību un atbalsta regulatorus, īstenojot pasaules mērogā akreditācijas iestāžu (AI) savstarpējas atzīšanas nolīgumu – </w:t>
      </w:r>
      <w:r w:rsidRPr="004E7BEB">
        <w:rPr>
          <w:rFonts w:ascii="Times New Roman" w:hAnsi="Times New Roman"/>
          <w:i/>
          <w:iCs/>
          <w:sz w:val="24"/>
        </w:rPr>
        <w:t>ILAC</w:t>
      </w:r>
      <w:r w:rsidRPr="004E7BEB">
        <w:rPr>
          <w:rFonts w:ascii="Times New Roman" w:hAnsi="Times New Roman"/>
          <w:sz w:val="24"/>
        </w:rPr>
        <w:t xml:space="preserve"> nolīgumu. Dati un testēšanas rezultāti, ko izdevušas </w:t>
      </w:r>
      <w:r w:rsidRPr="004E7BEB">
        <w:rPr>
          <w:rFonts w:ascii="Times New Roman" w:hAnsi="Times New Roman"/>
          <w:i/>
          <w:iCs/>
          <w:sz w:val="24"/>
        </w:rPr>
        <w:t>ILAC</w:t>
      </w:r>
      <w:r w:rsidRPr="004E7BEB">
        <w:rPr>
          <w:rFonts w:ascii="Times New Roman" w:hAnsi="Times New Roman"/>
          <w:sz w:val="24"/>
        </w:rPr>
        <w:t xml:space="preserve"> akreditācijas iestādes locekļu akreditētās laboratorijas un inspicēšanas institūcijas, kopā dēvētas par atbilstības novērtēšanas institūcijām (ANI), izmantojot šo nolīgumu, tiek atzīti visā pasaulē. Tāpēc tiek mazināti tehniskie tirdzniecības šķēršļi, piemēram, produktu atkārtota testēšana ikreiz, kad tie ienāk jaunā ekonomikā, lai palīdzētu īstenot brīvas tirdzniecības mērķi “vienreiz akreditēts, visur atzīts”.</w:t>
      </w:r>
    </w:p>
    <w:p w14:paraId="383C90E1" w14:textId="77777777" w:rsidR="007F0CFD" w:rsidRPr="004E7BEB" w:rsidRDefault="007F0CFD" w:rsidP="007F0CFD">
      <w:pPr>
        <w:jc w:val="both"/>
        <w:rPr>
          <w:rFonts w:ascii="Times New Roman" w:eastAsia="Times New Roman" w:hAnsi="Times New Roman" w:cs="Times New Roman"/>
          <w:noProof/>
          <w:sz w:val="24"/>
          <w:szCs w:val="24"/>
        </w:rPr>
      </w:pPr>
    </w:p>
    <w:p w14:paraId="068EE2A1"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Turklāt akreditācija mazina riskus uzņēmumiem un to klientiem, garantējot, ka akreditētas ANI ir kompetentas veikt darbu, ko tās uzņemas savā akreditācijas jomā.</w:t>
      </w:r>
    </w:p>
    <w:p w14:paraId="3298FAA1" w14:textId="77777777" w:rsidR="007F0CFD" w:rsidRPr="004E7BEB" w:rsidRDefault="007F0CFD" w:rsidP="007F0CFD">
      <w:pPr>
        <w:jc w:val="both"/>
        <w:rPr>
          <w:rFonts w:ascii="Times New Roman" w:eastAsia="Times New Roman" w:hAnsi="Times New Roman" w:cs="Times New Roman"/>
          <w:noProof/>
          <w:sz w:val="24"/>
          <w:szCs w:val="24"/>
        </w:rPr>
      </w:pPr>
    </w:p>
    <w:p w14:paraId="31D3B88C"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Turklāt regulatori plaši izmanto akreditēto iestāžu rezultātus sabiedrības labumam, sniedzot tādus pakalpojumus, kas veicina nepiesārņotu vidi, nekaitīgu pārtiku, tīru ūdeni, elektroapgādes, veselības un sociālās aprūpes pakalpojumus.</w:t>
      </w:r>
    </w:p>
    <w:p w14:paraId="225BA655" w14:textId="77777777" w:rsidR="007F0CFD" w:rsidRPr="004E7BEB" w:rsidRDefault="007F0CFD" w:rsidP="007F0CFD">
      <w:pPr>
        <w:jc w:val="both"/>
        <w:rPr>
          <w:rFonts w:ascii="Times New Roman" w:eastAsia="Times New Roman" w:hAnsi="Times New Roman" w:cs="Times New Roman"/>
          <w:noProof/>
          <w:sz w:val="24"/>
          <w:szCs w:val="24"/>
        </w:rPr>
      </w:pPr>
    </w:p>
    <w:p w14:paraId="3108CBB1"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 xml:space="preserve">Akreditācijas iestādēm, kas ir </w:t>
      </w:r>
      <w:r w:rsidRPr="004E7BEB">
        <w:rPr>
          <w:rFonts w:ascii="Times New Roman" w:hAnsi="Times New Roman"/>
          <w:i/>
          <w:iCs/>
          <w:sz w:val="24"/>
        </w:rPr>
        <w:t>ILAC</w:t>
      </w:r>
      <w:r w:rsidRPr="004E7BEB">
        <w:rPr>
          <w:rFonts w:ascii="Times New Roman" w:hAnsi="Times New Roman"/>
          <w:sz w:val="24"/>
        </w:rPr>
        <w:t xml:space="preserve"> locekles, un ANI, ko tās akreditē, ir jāpilda attiecīgie starptautiskie standarti un piemērojamie </w:t>
      </w:r>
      <w:r w:rsidRPr="004E7BEB">
        <w:rPr>
          <w:rFonts w:ascii="Times New Roman" w:hAnsi="Times New Roman"/>
          <w:i/>
          <w:iCs/>
          <w:sz w:val="24"/>
        </w:rPr>
        <w:t>ILAC</w:t>
      </w:r>
      <w:r w:rsidRPr="004E7BEB">
        <w:rPr>
          <w:rFonts w:ascii="Times New Roman" w:hAnsi="Times New Roman"/>
          <w:sz w:val="24"/>
        </w:rPr>
        <w:t xml:space="preserve"> prasību dokumenti šo standartu saskaņotai īstenošanai.</w:t>
      </w:r>
    </w:p>
    <w:p w14:paraId="397B23B6" w14:textId="77777777" w:rsidR="007F0CFD" w:rsidRPr="004E7BEB" w:rsidRDefault="007F0CFD" w:rsidP="007F0CFD">
      <w:pPr>
        <w:jc w:val="both"/>
        <w:rPr>
          <w:rFonts w:ascii="Times New Roman" w:eastAsia="Times New Roman" w:hAnsi="Times New Roman" w:cs="Times New Roman"/>
          <w:noProof/>
          <w:sz w:val="24"/>
          <w:szCs w:val="24"/>
        </w:rPr>
      </w:pPr>
    </w:p>
    <w:p w14:paraId="4415D1DC"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 xml:space="preserve">Akreditācijas iestādēm, lai parakstītu </w:t>
      </w:r>
      <w:r w:rsidRPr="004E7BEB">
        <w:rPr>
          <w:rFonts w:ascii="Times New Roman" w:hAnsi="Times New Roman"/>
          <w:i/>
          <w:iCs/>
          <w:sz w:val="24"/>
        </w:rPr>
        <w:t>ILAC</w:t>
      </w:r>
      <w:r w:rsidRPr="004E7BEB">
        <w:rPr>
          <w:rFonts w:ascii="Times New Roman" w:hAnsi="Times New Roman"/>
          <w:sz w:val="24"/>
        </w:rPr>
        <w:t xml:space="preserve"> nolīgumu, oficiāli izveidotas un atzītas reģionālās sadarbības institūcijas veic salīdzinošo novērtēšanu, izmantojot </w:t>
      </w:r>
      <w:r w:rsidRPr="004E7BEB">
        <w:rPr>
          <w:rFonts w:ascii="Times New Roman" w:hAnsi="Times New Roman"/>
          <w:i/>
          <w:iCs/>
          <w:sz w:val="24"/>
        </w:rPr>
        <w:t>ILAC</w:t>
      </w:r>
      <w:r w:rsidRPr="004E7BEB">
        <w:rPr>
          <w:rFonts w:ascii="Times New Roman" w:hAnsi="Times New Roman"/>
          <w:sz w:val="24"/>
        </w:rPr>
        <w:t xml:space="preserve"> noteikumus un procedūras, pirms šīs akreditācijas iestādes kļūst par </w:t>
      </w:r>
      <w:r w:rsidRPr="004E7BEB">
        <w:rPr>
          <w:rFonts w:ascii="Times New Roman" w:hAnsi="Times New Roman"/>
          <w:i/>
          <w:iCs/>
          <w:sz w:val="24"/>
        </w:rPr>
        <w:t>ILAC</w:t>
      </w:r>
      <w:r w:rsidRPr="004E7BEB">
        <w:rPr>
          <w:rFonts w:ascii="Times New Roman" w:hAnsi="Times New Roman"/>
          <w:sz w:val="24"/>
        </w:rPr>
        <w:t xml:space="preserve"> nolīguma parakstītājām.</w:t>
      </w:r>
    </w:p>
    <w:p w14:paraId="1420CF79" w14:textId="77777777" w:rsidR="007F0CFD" w:rsidRPr="004E7BEB" w:rsidRDefault="007F0CFD" w:rsidP="007F0CFD">
      <w:pPr>
        <w:jc w:val="both"/>
        <w:rPr>
          <w:rFonts w:ascii="Times New Roman" w:eastAsia="Times New Roman" w:hAnsi="Times New Roman" w:cs="Times New Roman"/>
          <w:noProof/>
          <w:sz w:val="24"/>
          <w:szCs w:val="24"/>
        </w:rPr>
      </w:pPr>
    </w:p>
    <w:p w14:paraId="49C413AC"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i/>
          <w:iCs/>
          <w:sz w:val="24"/>
        </w:rPr>
        <w:t>ILAC</w:t>
      </w:r>
      <w:r w:rsidRPr="004E7BEB">
        <w:rPr>
          <w:rFonts w:ascii="Times New Roman" w:hAnsi="Times New Roman"/>
          <w:sz w:val="24"/>
        </w:rPr>
        <w:t xml:space="preserve"> tīmekļa vietnē ir sniegta plaša informācija par tādām tēmām kā akreditācija, atbilstības novērtēšana, tirdzniecības veicināšana, kā arī sniegta tās locekļu kontaktinformācija. Sīkāku informāciju, kas parāda akreditēta atbilstības novērtējuma vērtību regulatoriem un sabiedriskajam sektoram, sniedzot situāciju analīzi un neatkarīgus pētījumus, var atrast arī vietnē www.publicsectorassurance.org.</w:t>
      </w:r>
    </w:p>
    <w:p w14:paraId="0233889A" w14:textId="77777777" w:rsidR="007F0CFD" w:rsidRPr="004E7BEB" w:rsidRDefault="007F0CFD" w:rsidP="007F0CFD">
      <w:pPr>
        <w:jc w:val="both"/>
        <w:rPr>
          <w:rFonts w:ascii="Times New Roman" w:eastAsia="Times New Roman" w:hAnsi="Times New Roman" w:cs="Times New Roman"/>
          <w:noProof/>
          <w:sz w:val="24"/>
          <w:szCs w:val="24"/>
        </w:rPr>
      </w:pPr>
    </w:p>
    <w:p w14:paraId="0E0C2AA1" w14:textId="77777777" w:rsidR="007F0CFD" w:rsidRPr="004E7BEB" w:rsidRDefault="007F0CFD" w:rsidP="00622F89">
      <w:pPr>
        <w:keepNext/>
        <w:keepLines/>
        <w:jc w:val="both"/>
        <w:rPr>
          <w:rFonts w:ascii="Times New Roman" w:hAnsi="Times New Roman" w:cs="Times New Roman"/>
          <w:b/>
          <w:noProof/>
          <w:sz w:val="24"/>
          <w:szCs w:val="24"/>
        </w:rPr>
      </w:pPr>
      <w:r w:rsidRPr="004E7BEB">
        <w:rPr>
          <w:rFonts w:ascii="Times New Roman" w:hAnsi="Times New Roman"/>
          <w:b/>
          <w:sz w:val="24"/>
        </w:rPr>
        <w:lastRenderedPageBreak/>
        <w:t>Plašāku informāciju var saņemt:</w:t>
      </w:r>
    </w:p>
    <w:p w14:paraId="03CC1C30" w14:textId="77777777" w:rsidR="007F0CFD" w:rsidRPr="004E7BEB" w:rsidRDefault="007F0CFD" w:rsidP="00622F89">
      <w:pPr>
        <w:keepNext/>
        <w:keepLines/>
        <w:jc w:val="both"/>
        <w:rPr>
          <w:rFonts w:ascii="Times New Roman" w:hAnsi="Times New Roman" w:cs="Times New Roman"/>
          <w:b/>
          <w:noProof/>
          <w:sz w:val="24"/>
          <w:szCs w:val="24"/>
        </w:rPr>
      </w:pPr>
      <w:r w:rsidRPr="004E7BEB">
        <w:rPr>
          <w:rFonts w:ascii="Times New Roman" w:hAnsi="Times New Roman"/>
          <w:b/>
          <w:sz w:val="24"/>
        </w:rPr>
        <w:t>ILAC Secretariat</w:t>
      </w:r>
    </w:p>
    <w:p w14:paraId="486222AC" w14:textId="77777777" w:rsidR="007F0CFD" w:rsidRPr="004E7BEB" w:rsidRDefault="007F0CFD" w:rsidP="00622F89">
      <w:pPr>
        <w:keepNext/>
        <w:keepLines/>
        <w:jc w:val="both"/>
        <w:rPr>
          <w:rFonts w:ascii="Times New Roman" w:hAnsi="Times New Roman" w:cs="Times New Roman"/>
          <w:noProof/>
          <w:sz w:val="24"/>
          <w:szCs w:val="24"/>
        </w:rPr>
      </w:pPr>
      <w:r w:rsidRPr="004E7BEB">
        <w:rPr>
          <w:rFonts w:ascii="Times New Roman" w:hAnsi="Times New Roman"/>
          <w:sz w:val="24"/>
        </w:rPr>
        <w:t>PO Box 7507</w:t>
      </w:r>
    </w:p>
    <w:p w14:paraId="77D8F407" w14:textId="77777777" w:rsidR="007F0CFD" w:rsidRPr="004E7BEB" w:rsidRDefault="007F0CFD" w:rsidP="00622F89">
      <w:pPr>
        <w:keepNext/>
        <w:keepLines/>
        <w:jc w:val="both"/>
        <w:rPr>
          <w:rFonts w:ascii="Times New Roman" w:hAnsi="Times New Roman" w:cs="Times New Roman"/>
          <w:noProof/>
          <w:sz w:val="24"/>
          <w:szCs w:val="24"/>
        </w:rPr>
      </w:pPr>
      <w:r w:rsidRPr="004E7BEB">
        <w:rPr>
          <w:rFonts w:ascii="Times New Roman" w:hAnsi="Times New Roman"/>
          <w:sz w:val="24"/>
        </w:rPr>
        <w:t>Silverwater NSW 2128</w:t>
      </w:r>
    </w:p>
    <w:p w14:paraId="59169EB0"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Australia</w:t>
      </w:r>
    </w:p>
    <w:p w14:paraId="53D2A060"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Tālrunis: +61 2 9736 8374</w:t>
      </w:r>
    </w:p>
    <w:p w14:paraId="525F65EE"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E-pasts: ilac@nata.com.au</w:t>
      </w:r>
    </w:p>
    <w:p w14:paraId="30D63A3F"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sz w:val="24"/>
        </w:rPr>
        <w:t>Tīmekļa vietne: www.ilac.org</w:t>
      </w:r>
    </w:p>
    <w:p w14:paraId="2585541C"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noProof/>
          <w:sz w:val="24"/>
        </w:rPr>
        <w:drawing>
          <wp:inline distT="0" distB="0" distL="0" distR="0" wp14:anchorId="5A9B62B9" wp14:editId="16273391">
            <wp:extent cx="320688" cy="313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688" cy="313055"/>
                    </a:xfrm>
                    <a:prstGeom prst="rect">
                      <a:avLst/>
                    </a:prstGeom>
                  </pic:spPr>
                </pic:pic>
              </a:graphicData>
            </a:graphic>
          </wp:inline>
        </w:drawing>
      </w:r>
      <w:r w:rsidRPr="004E7BEB">
        <w:rPr>
          <w:rFonts w:ascii="Times New Roman" w:hAnsi="Times New Roman"/>
          <w:sz w:val="24"/>
        </w:rPr>
        <w:t xml:space="preserve"> @ILAC_Official</w:t>
      </w:r>
    </w:p>
    <w:p w14:paraId="06F88C1E" w14:textId="77777777" w:rsidR="007F0CFD" w:rsidRPr="004E7BEB" w:rsidRDefault="007F0CFD" w:rsidP="007F0CFD">
      <w:pPr>
        <w:jc w:val="both"/>
        <w:rPr>
          <w:rFonts w:ascii="Times New Roman" w:hAnsi="Times New Roman" w:cs="Times New Roman"/>
          <w:noProof/>
          <w:sz w:val="24"/>
          <w:szCs w:val="24"/>
        </w:rPr>
      </w:pPr>
      <w:r w:rsidRPr="004E7BEB">
        <w:rPr>
          <w:rFonts w:ascii="Times New Roman" w:hAnsi="Times New Roman"/>
          <w:noProof/>
          <w:sz w:val="24"/>
        </w:rPr>
        <w:drawing>
          <wp:inline distT="0" distB="0" distL="0" distR="0" wp14:anchorId="78F20BC7" wp14:editId="78BAC3C8">
            <wp:extent cx="286952" cy="279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381" cy="281765"/>
                    </a:xfrm>
                    <a:prstGeom prst="rect">
                      <a:avLst/>
                    </a:prstGeom>
                  </pic:spPr>
                </pic:pic>
              </a:graphicData>
            </a:graphic>
          </wp:inline>
        </w:drawing>
      </w:r>
      <w:r w:rsidRPr="004E7BEB">
        <w:rPr>
          <w:rFonts w:ascii="Times New Roman" w:hAnsi="Times New Roman"/>
          <w:sz w:val="24"/>
        </w:rPr>
        <w:t xml:space="preserve"> https://www.youtube.com/user/IAFandILAC</w:t>
      </w:r>
    </w:p>
    <w:p w14:paraId="08241B7E" w14:textId="77777777" w:rsidR="007F0CFD" w:rsidRPr="004E7BEB" w:rsidRDefault="007F0CFD" w:rsidP="007F0CFD">
      <w:pPr>
        <w:jc w:val="both"/>
        <w:rPr>
          <w:rFonts w:ascii="Times New Roman" w:hAnsi="Times New Roman" w:cs="Times New Roman"/>
          <w:b/>
          <w:noProof/>
          <w:sz w:val="24"/>
          <w:szCs w:val="24"/>
        </w:rPr>
      </w:pPr>
    </w:p>
    <w:p w14:paraId="6C3F53EA"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 xml:space="preserve">© </w:t>
      </w:r>
      <w:r w:rsidRPr="004E7BEB">
        <w:rPr>
          <w:rFonts w:ascii="Times New Roman" w:hAnsi="Times New Roman"/>
          <w:b/>
          <w:i/>
          <w:iCs/>
          <w:sz w:val="24"/>
        </w:rPr>
        <w:t>ILAC</w:t>
      </w:r>
      <w:r w:rsidRPr="004E7BEB">
        <w:rPr>
          <w:rFonts w:ascii="Times New Roman" w:hAnsi="Times New Roman"/>
          <w:b/>
          <w:sz w:val="24"/>
        </w:rPr>
        <w:t xml:space="preserve"> autortiesības 2020</w:t>
      </w:r>
    </w:p>
    <w:p w14:paraId="5483191D" w14:textId="77777777" w:rsidR="007F0CFD" w:rsidRPr="004E7BEB" w:rsidRDefault="007F0CFD" w:rsidP="007F0CFD">
      <w:pPr>
        <w:jc w:val="both"/>
        <w:rPr>
          <w:rFonts w:ascii="Times New Roman" w:eastAsia="Times New Roman" w:hAnsi="Times New Roman" w:cs="Times New Roman"/>
          <w:b/>
          <w:bCs/>
          <w:noProof/>
          <w:sz w:val="24"/>
          <w:szCs w:val="24"/>
        </w:rPr>
      </w:pPr>
    </w:p>
    <w:p w14:paraId="446756F6" w14:textId="77777777" w:rsidR="007F0CFD" w:rsidRPr="004E7BEB" w:rsidRDefault="007F0CFD" w:rsidP="007F0CFD">
      <w:pPr>
        <w:jc w:val="both"/>
        <w:rPr>
          <w:rFonts w:ascii="Times New Roman" w:eastAsia="Times New Roman" w:hAnsi="Times New Roman" w:cs="Times New Roman"/>
          <w:noProof/>
          <w:sz w:val="24"/>
          <w:szCs w:val="24"/>
        </w:rPr>
      </w:pPr>
      <w:r w:rsidRPr="004E7BEB">
        <w:rPr>
          <w:rFonts w:ascii="Times New Roman" w:hAnsi="Times New Roman"/>
          <w:sz w:val="24"/>
        </w:rPr>
        <w:t xml:space="preserve">Pavairot </w:t>
      </w:r>
      <w:r w:rsidRPr="004E7BEB">
        <w:rPr>
          <w:rFonts w:ascii="Times New Roman" w:hAnsi="Times New Roman"/>
          <w:i/>
          <w:iCs/>
          <w:sz w:val="24"/>
        </w:rPr>
        <w:t>ILAC</w:t>
      </w:r>
      <w:r w:rsidRPr="004E7BEB">
        <w:rPr>
          <w:rFonts w:ascii="Times New Roman" w:hAnsi="Times New Roman"/>
          <w:sz w:val="24"/>
        </w:rPr>
        <w:t xml:space="preserve"> publikācijas vai to daļas tiek mudinātas organizācijas, kas vēlas izmantot šos materiālus ar izglītību, standartizāciju, akreditāciju saistītās jomās vai citiem mērķiem, kuri attiecas uz </w:t>
      </w:r>
      <w:r w:rsidRPr="004E7BEB">
        <w:rPr>
          <w:rFonts w:ascii="Times New Roman" w:hAnsi="Times New Roman"/>
          <w:i/>
          <w:iCs/>
          <w:sz w:val="24"/>
        </w:rPr>
        <w:t>ILAC</w:t>
      </w:r>
      <w:r w:rsidRPr="004E7BEB">
        <w:rPr>
          <w:rFonts w:ascii="Times New Roman" w:hAnsi="Times New Roman"/>
          <w:sz w:val="24"/>
        </w:rPr>
        <w:t xml:space="preserve"> kompetences jomu vai centieniem. Dokumentā, kas satur reproducēto materiālu, ir jābūt apliecinājumam, kas apstiprina </w:t>
      </w:r>
      <w:r w:rsidRPr="004E7BEB">
        <w:rPr>
          <w:rFonts w:ascii="Times New Roman" w:hAnsi="Times New Roman"/>
          <w:i/>
          <w:iCs/>
          <w:sz w:val="24"/>
        </w:rPr>
        <w:t>ILAC</w:t>
      </w:r>
      <w:r w:rsidRPr="004E7BEB">
        <w:rPr>
          <w:rFonts w:ascii="Times New Roman" w:hAnsi="Times New Roman"/>
          <w:sz w:val="24"/>
        </w:rPr>
        <w:t xml:space="preserve"> ieguldījumu dokumenta izstrādē.</w:t>
      </w:r>
    </w:p>
    <w:p w14:paraId="4B7FE4A6" w14:textId="77777777" w:rsidR="007F0CFD" w:rsidRPr="004E7BEB" w:rsidRDefault="007F0CFD" w:rsidP="007F0CFD">
      <w:pPr>
        <w:jc w:val="both"/>
        <w:rPr>
          <w:rFonts w:ascii="Times New Roman" w:eastAsia="Times New Roman" w:hAnsi="Times New Roman" w:cs="Times New Roman"/>
          <w:noProof/>
          <w:sz w:val="24"/>
          <w:szCs w:val="24"/>
        </w:rPr>
      </w:pPr>
    </w:p>
    <w:p w14:paraId="04738083" w14:textId="77777777" w:rsidR="007F0CFD" w:rsidRPr="004E7BEB" w:rsidRDefault="007F0CFD" w:rsidP="007F0CFD">
      <w:pPr>
        <w:rPr>
          <w:rFonts w:ascii="Times New Roman" w:eastAsia="Times New Roman" w:hAnsi="Times New Roman" w:cs="Times New Roman"/>
          <w:noProof/>
          <w:sz w:val="24"/>
          <w:szCs w:val="24"/>
        </w:rPr>
      </w:pPr>
      <w:r w:rsidRPr="004E7BEB">
        <w:rPr>
          <w:rFonts w:ascii="Times New Roman" w:hAnsi="Times New Roman"/>
        </w:rPr>
        <w:br w:type="page"/>
      </w:r>
    </w:p>
    <w:p w14:paraId="5E15CAA6" w14:textId="77777777" w:rsidR="007F0CFD" w:rsidRPr="004E7BEB" w:rsidRDefault="007F0CFD" w:rsidP="007F0CFD">
      <w:pPr>
        <w:jc w:val="both"/>
        <w:rPr>
          <w:rFonts w:ascii="Times New Roman" w:eastAsia="Times New Roman" w:hAnsi="Times New Roman" w:cs="Times New Roman"/>
          <w:noProof/>
          <w:sz w:val="24"/>
          <w:szCs w:val="24"/>
        </w:rPr>
      </w:pPr>
    </w:p>
    <w:p w14:paraId="050C30D4"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SATURA RĀDĪTĀJS</w:t>
      </w:r>
    </w:p>
    <w:sdt>
      <w:sdtPr>
        <w:id w:val="1952200232"/>
        <w:docPartObj>
          <w:docPartGallery w:val="Table of Contents"/>
          <w:docPartUnique/>
        </w:docPartObj>
      </w:sdtPr>
      <w:sdtEndPr>
        <w:rPr>
          <w:rFonts w:ascii="Times New Roman" w:eastAsiaTheme="minorHAnsi" w:hAnsi="Times New Roman" w:cs="Times New Roman"/>
          <w:b/>
          <w:bCs/>
          <w:noProof/>
          <w:color w:val="auto"/>
          <w:sz w:val="24"/>
          <w:szCs w:val="24"/>
          <w:lang w:val="lv-LV"/>
        </w:rPr>
      </w:sdtEndPr>
      <w:sdtContent>
        <w:p w14:paraId="4C0A28BC" w14:textId="19E79E1A" w:rsidR="00C216B6" w:rsidRPr="0057035C" w:rsidRDefault="00C216B6">
          <w:pPr>
            <w:pStyle w:val="TOCHeading"/>
            <w:rPr>
              <w:rFonts w:ascii="Times New Roman" w:hAnsi="Times New Roman" w:cs="Times New Roman"/>
              <w:sz w:val="24"/>
              <w:szCs w:val="24"/>
            </w:rPr>
          </w:pPr>
        </w:p>
        <w:p w14:paraId="4B3FF2CA" w14:textId="35625526" w:rsidR="0008564A" w:rsidRPr="00B77283" w:rsidRDefault="00C216B6"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r w:rsidRPr="0057035C">
            <w:rPr>
              <w:rFonts w:cs="Times New Roman"/>
              <w:sz w:val="24"/>
              <w:szCs w:val="24"/>
            </w:rPr>
            <w:fldChar w:fldCharType="begin"/>
          </w:r>
          <w:r w:rsidRPr="0057035C">
            <w:rPr>
              <w:rFonts w:cs="Times New Roman"/>
              <w:sz w:val="24"/>
              <w:szCs w:val="24"/>
            </w:rPr>
            <w:instrText xml:space="preserve"> TOC \o "1-3" \h \z \u </w:instrText>
          </w:r>
          <w:r w:rsidRPr="0057035C">
            <w:rPr>
              <w:rFonts w:cs="Times New Roman"/>
              <w:sz w:val="24"/>
              <w:szCs w:val="24"/>
            </w:rPr>
            <w:fldChar w:fldCharType="separate"/>
          </w:r>
          <w:hyperlink w:anchor="_Toc116375382" w:history="1">
            <w:r w:rsidR="0008564A" w:rsidRPr="00B77283">
              <w:rPr>
                <w:rStyle w:val="Hyperlink"/>
                <w:noProof/>
                <w:sz w:val="24"/>
                <w:szCs w:val="24"/>
              </w:rPr>
              <w:t>PREAMBULA</w:t>
            </w:r>
            <w:r w:rsidR="0008564A" w:rsidRPr="00B77283">
              <w:rPr>
                <w:noProof/>
                <w:webHidden/>
                <w:sz w:val="24"/>
                <w:szCs w:val="24"/>
              </w:rPr>
              <w:tab/>
            </w:r>
            <w:r w:rsidR="0008564A" w:rsidRPr="00B77283">
              <w:rPr>
                <w:noProof/>
                <w:webHidden/>
                <w:sz w:val="24"/>
                <w:szCs w:val="24"/>
              </w:rPr>
              <w:fldChar w:fldCharType="begin"/>
            </w:r>
            <w:r w:rsidR="0008564A" w:rsidRPr="00B77283">
              <w:rPr>
                <w:noProof/>
                <w:webHidden/>
                <w:sz w:val="24"/>
                <w:szCs w:val="24"/>
              </w:rPr>
              <w:instrText xml:space="preserve"> PAGEREF _Toc116375382 \h </w:instrText>
            </w:r>
            <w:r w:rsidR="0008564A" w:rsidRPr="00B77283">
              <w:rPr>
                <w:noProof/>
                <w:webHidden/>
                <w:sz w:val="24"/>
                <w:szCs w:val="24"/>
              </w:rPr>
            </w:r>
            <w:r w:rsidR="0008564A" w:rsidRPr="00B77283">
              <w:rPr>
                <w:noProof/>
                <w:webHidden/>
                <w:sz w:val="24"/>
                <w:szCs w:val="24"/>
              </w:rPr>
              <w:fldChar w:fldCharType="separate"/>
            </w:r>
            <w:r w:rsidR="00164AD6">
              <w:rPr>
                <w:noProof/>
                <w:webHidden/>
                <w:sz w:val="24"/>
                <w:szCs w:val="24"/>
              </w:rPr>
              <w:t>5</w:t>
            </w:r>
            <w:r w:rsidR="0008564A" w:rsidRPr="00B77283">
              <w:rPr>
                <w:noProof/>
                <w:webHidden/>
                <w:sz w:val="24"/>
                <w:szCs w:val="24"/>
              </w:rPr>
              <w:fldChar w:fldCharType="end"/>
            </w:r>
          </w:hyperlink>
        </w:p>
        <w:p w14:paraId="6F52174E" w14:textId="1EF2B93C"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3" w:history="1">
            <w:r w:rsidRPr="00B77283">
              <w:rPr>
                <w:rStyle w:val="Hyperlink"/>
                <w:noProof/>
                <w:sz w:val="24"/>
                <w:szCs w:val="24"/>
              </w:rPr>
              <w:t>MĒRĶIS</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_Toc116375383 \h </w:instrText>
            </w:r>
            <w:r w:rsidRPr="00B77283">
              <w:rPr>
                <w:noProof/>
                <w:webHidden/>
                <w:sz w:val="24"/>
                <w:szCs w:val="24"/>
              </w:rPr>
            </w:r>
            <w:r w:rsidRPr="00B77283">
              <w:rPr>
                <w:noProof/>
                <w:webHidden/>
                <w:sz w:val="24"/>
                <w:szCs w:val="24"/>
              </w:rPr>
              <w:fldChar w:fldCharType="separate"/>
            </w:r>
            <w:r w:rsidR="00164AD6">
              <w:rPr>
                <w:noProof/>
                <w:webHidden/>
                <w:sz w:val="24"/>
                <w:szCs w:val="24"/>
              </w:rPr>
              <w:t>5</w:t>
            </w:r>
            <w:r w:rsidRPr="00B77283">
              <w:rPr>
                <w:noProof/>
                <w:webHidden/>
                <w:sz w:val="24"/>
                <w:szCs w:val="24"/>
              </w:rPr>
              <w:fldChar w:fldCharType="end"/>
            </w:r>
          </w:hyperlink>
        </w:p>
        <w:p w14:paraId="3B550911" w14:textId="30753C75"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4" w:history="1">
            <w:r w:rsidRPr="00B77283">
              <w:rPr>
                <w:rStyle w:val="Hyperlink"/>
                <w:noProof/>
                <w:sz w:val="24"/>
                <w:szCs w:val="24"/>
              </w:rPr>
              <w:t>AUTORĪBA</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_Toc116375384 \h </w:instrText>
            </w:r>
            <w:r w:rsidRPr="00B77283">
              <w:rPr>
                <w:noProof/>
                <w:webHidden/>
                <w:sz w:val="24"/>
                <w:szCs w:val="24"/>
              </w:rPr>
            </w:r>
            <w:r w:rsidRPr="00B77283">
              <w:rPr>
                <w:noProof/>
                <w:webHidden/>
                <w:sz w:val="24"/>
                <w:szCs w:val="24"/>
              </w:rPr>
              <w:fldChar w:fldCharType="separate"/>
            </w:r>
            <w:r w:rsidR="00164AD6">
              <w:rPr>
                <w:noProof/>
                <w:webHidden/>
                <w:sz w:val="24"/>
                <w:szCs w:val="24"/>
              </w:rPr>
              <w:t>6</w:t>
            </w:r>
            <w:r w:rsidRPr="00B77283">
              <w:rPr>
                <w:noProof/>
                <w:webHidden/>
                <w:sz w:val="24"/>
                <w:szCs w:val="24"/>
              </w:rPr>
              <w:fldChar w:fldCharType="end"/>
            </w:r>
          </w:hyperlink>
        </w:p>
        <w:p w14:paraId="4849A339" w14:textId="51DFFBFB"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5" w:history="1">
            <w:r w:rsidRPr="00B77283">
              <w:rPr>
                <w:rStyle w:val="Hyperlink"/>
                <w:noProof/>
                <w:sz w:val="24"/>
                <w:szCs w:val="24"/>
              </w:rPr>
              <w:t>1. TERMINI UN DEFINĪCIJAS</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_Toc116375385 \h </w:instrText>
            </w:r>
            <w:r w:rsidRPr="00B77283">
              <w:rPr>
                <w:noProof/>
                <w:webHidden/>
                <w:sz w:val="24"/>
                <w:szCs w:val="24"/>
              </w:rPr>
            </w:r>
            <w:r w:rsidRPr="00B77283">
              <w:rPr>
                <w:noProof/>
                <w:webHidden/>
                <w:sz w:val="24"/>
                <w:szCs w:val="24"/>
              </w:rPr>
              <w:fldChar w:fldCharType="separate"/>
            </w:r>
            <w:r w:rsidR="00164AD6">
              <w:rPr>
                <w:noProof/>
                <w:webHidden/>
                <w:sz w:val="24"/>
                <w:szCs w:val="24"/>
              </w:rPr>
              <w:t>6</w:t>
            </w:r>
            <w:r w:rsidRPr="00B77283">
              <w:rPr>
                <w:noProof/>
                <w:webHidden/>
                <w:sz w:val="24"/>
                <w:szCs w:val="24"/>
              </w:rPr>
              <w:fldChar w:fldCharType="end"/>
            </w:r>
          </w:hyperlink>
        </w:p>
        <w:p w14:paraId="4C079793" w14:textId="6537DA57"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6" w:history="1">
            <w:r w:rsidRPr="00B77283">
              <w:rPr>
                <w:rStyle w:val="Hyperlink"/>
                <w:noProof/>
                <w:sz w:val="24"/>
                <w:szCs w:val="24"/>
              </w:rPr>
              <w:t xml:space="preserve">2. </w:t>
            </w:r>
            <w:r w:rsidRPr="00B77283">
              <w:rPr>
                <w:rStyle w:val="Hyperlink"/>
                <w:i/>
                <w:iCs/>
                <w:noProof/>
                <w:sz w:val="24"/>
                <w:szCs w:val="24"/>
              </w:rPr>
              <w:t>ILAC</w:t>
            </w:r>
            <w:r w:rsidRPr="00B77283">
              <w:rPr>
                <w:rStyle w:val="Hyperlink"/>
                <w:noProof/>
                <w:sz w:val="24"/>
                <w:szCs w:val="24"/>
              </w:rPr>
              <w:t xml:space="preserve"> POLITIKA ATTIECĪBĀ UZ MĒRĪJUMU REZULTĀTU METROLOĢISKO IZSEKOJAMĪBU</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_Toc116375386 \h </w:instrText>
            </w:r>
            <w:r w:rsidRPr="00B77283">
              <w:rPr>
                <w:noProof/>
                <w:webHidden/>
                <w:sz w:val="24"/>
                <w:szCs w:val="24"/>
              </w:rPr>
            </w:r>
            <w:r w:rsidRPr="00B77283">
              <w:rPr>
                <w:noProof/>
                <w:webHidden/>
                <w:sz w:val="24"/>
                <w:szCs w:val="24"/>
              </w:rPr>
              <w:fldChar w:fldCharType="separate"/>
            </w:r>
            <w:r w:rsidR="00164AD6">
              <w:rPr>
                <w:noProof/>
                <w:webHidden/>
                <w:sz w:val="24"/>
                <w:szCs w:val="24"/>
              </w:rPr>
              <w:t>8</w:t>
            </w:r>
            <w:r w:rsidRPr="00B77283">
              <w:rPr>
                <w:noProof/>
                <w:webHidden/>
                <w:sz w:val="24"/>
                <w:szCs w:val="24"/>
              </w:rPr>
              <w:fldChar w:fldCharType="end"/>
            </w:r>
          </w:hyperlink>
        </w:p>
        <w:p w14:paraId="5A4EC262" w14:textId="28790BC4"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7" w:history="1">
            <w:r w:rsidRPr="00B77283">
              <w:rPr>
                <w:rStyle w:val="Hyperlink"/>
                <w:noProof/>
                <w:sz w:val="24"/>
                <w:szCs w:val="24"/>
              </w:rPr>
              <w:t>3. ATSAUCES</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_Toc116375387 \h </w:instrText>
            </w:r>
            <w:r w:rsidRPr="00B77283">
              <w:rPr>
                <w:noProof/>
                <w:webHidden/>
                <w:sz w:val="24"/>
                <w:szCs w:val="24"/>
              </w:rPr>
            </w:r>
            <w:r w:rsidRPr="00B77283">
              <w:rPr>
                <w:noProof/>
                <w:webHidden/>
                <w:sz w:val="24"/>
                <w:szCs w:val="24"/>
              </w:rPr>
              <w:fldChar w:fldCharType="separate"/>
            </w:r>
            <w:r w:rsidR="00164AD6">
              <w:rPr>
                <w:noProof/>
                <w:webHidden/>
                <w:sz w:val="24"/>
                <w:szCs w:val="24"/>
              </w:rPr>
              <w:t>11</w:t>
            </w:r>
            <w:r w:rsidRPr="00B77283">
              <w:rPr>
                <w:noProof/>
                <w:webHidden/>
                <w:sz w:val="24"/>
                <w:szCs w:val="24"/>
              </w:rPr>
              <w:fldChar w:fldCharType="end"/>
            </w:r>
          </w:hyperlink>
        </w:p>
        <w:p w14:paraId="1A841D98" w14:textId="13ED533C"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8" w:history="1">
            <w:r w:rsidRPr="00B77283">
              <w:rPr>
                <w:rStyle w:val="Hyperlink"/>
                <w:noProof/>
                <w:sz w:val="24"/>
                <w:szCs w:val="24"/>
              </w:rPr>
              <w:t>A PIELIKUMS</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_Toc116375388 \h </w:instrText>
            </w:r>
            <w:r w:rsidRPr="00B77283">
              <w:rPr>
                <w:noProof/>
                <w:webHidden/>
                <w:sz w:val="24"/>
                <w:szCs w:val="24"/>
              </w:rPr>
            </w:r>
            <w:r w:rsidRPr="00B77283">
              <w:rPr>
                <w:noProof/>
                <w:webHidden/>
                <w:sz w:val="24"/>
                <w:szCs w:val="24"/>
              </w:rPr>
              <w:fldChar w:fldCharType="separate"/>
            </w:r>
            <w:r w:rsidR="00164AD6">
              <w:rPr>
                <w:noProof/>
                <w:webHidden/>
                <w:sz w:val="24"/>
                <w:szCs w:val="24"/>
              </w:rPr>
              <w:t>12</w:t>
            </w:r>
            <w:r w:rsidRPr="00B77283">
              <w:rPr>
                <w:noProof/>
                <w:webHidden/>
                <w:sz w:val="24"/>
                <w:szCs w:val="24"/>
              </w:rPr>
              <w:fldChar w:fldCharType="end"/>
            </w:r>
          </w:hyperlink>
        </w:p>
        <w:p w14:paraId="59700A96" w14:textId="75E6C40D" w:rsidR="0008564A" w:rsidRPr="00B77283" w:rsidRDefault="0008564A" w:rsidP="00B77283">
          <w:pPr>
            <w:pStyle w:val="TOC1"/>
            <w:tabs>
              <w:tab w:val="right" w:leader="dot" w:pos="9062"/>
            </w:tabs>
            <w:spacing w:before="0" w:line="360" w:lineRule="auto"/>
            <w:ind w:left="0"/>
            <w:rPr>
              <w:rFonts w:asciiTheme="minorHAnsi" w:eastAsiaTheme="minorEastAsia" w:hAnsiTheme="minorHAnsi"/>
              <w:b w:val="0"/>
              <w:bCs w:val="0"/>
              <w:noProof/>
              <w:sz w:val="24"/>
              <w:szCs w:val="24"/>
              <w:lang w:eastAsia="lv-LV"/>
            </w:rPr>
          </w:pPr>
          <w:hyperlink w:anchor="_Toc116375389" w:history="1">
            <w:r w:rsidRPr="00B77283">
              <w:rPr>
                <w:rStyle w:val="Hyperlink"/>
                <w:noProof/>
                <w:sz w:val="24"/>
                <w:szCs w:val="24"/>
              </w:rPr>
              <w:t>B PIELIKUMS</w:t>
            </w:r>
            <w:r w:rsidRPr="00B77283">
              <w:rPr>
                <w:noProof/>
                <w:webHidden/>
                <w:sz w:val="24"/>
                <w:szCs w:val="24"/>
              </w:rPr>
              <w:tab/>
            </w:r>
            <w:r w:rsidRPr="00B77283">
              <w:rPr>
                <w:noProof/>
                <w:webHidden/>
                <w:sz w:val="24"/>
                <w:szCs w:val="24"/>
              </w:rPr>
              <w:fldChar w:fldCharType="begin"/>
            </w:r>
            <w:r w:rsidRPr="00B77283">
              <w:rPr>
                <w:noProof/>
                <w:webHidden/>
                <w:sz w:val="24"/>
                <w:szCs w:val="24"/>
              </w:rPr>
              <w:instrText xml:space="preserve"> PAGEREF _Toc116375389 \h </w:instrText>
            </w:r>
            <w:r w:rsidRPr="00B77283">
              <w:rPr>
                <w:noProof/>
                <w:webHidden/>
                <w:sz w:val="24"/>
                <w:szCs w:val="24"/>
              </w:rPr>
            </w:r>
            <w:r w:rsidRPr="00B77283">
              <w:rPr>
                <w:noProof/>
                <w:webHidden/>
                <w:sz w:val="24"/>
                <w:szCs w:val="24"/>
              </w:rPr>
              <w:fldChar w:fldCharType="separate"/>
            </w:r>
            <w:r w:rsidR="00164AD6">
              <w:rPr>
                <w:noProof/>
                <w:webHidden/>
                <w:sz w:val="24"/>
                <w:szCs w:val="24"/>
              </w:rPr>
              <w:t>13</w:t>
            </w:r>
            <w:r w:rsidRPr="00B77283">
              <w:rPr>
                <w:noProof/>
                <w:webHidden/>
                <w:sz w:val="24"/>
                <w:szCs w:val="24"/>
              </w:rPr>
              <w:fldChar w:fldCharType="end"/>
            </w:r>
          </w:hyperlink>
        </w:p>
        <w:p w14:paraId="3CC991BC" w14:textId="3A530970" w:rsidR="00C216B6" w:rsidRPr="0057035C" w:rsidRDefault="00C216B6">
          <w:pPr>
            <w:rPr>
              <w:rFonts w:ascii="Times New Roman" w:hAnsi="Times New Roman" w:cs="Times New Roman"/>
              <w:sz w:val="24"/>
              <w:szCs w:val="24"/>
            </w:rPr>
          </w:pPr>
          <w:r w:rsidRPr="0057035C">
            <w:rPr>
              <w:rFonts w:ascii="Times New Roman" w:hAnsi="Times New Roman" w:cs="Times New Roman"/>
              <w:b/>
              <w:bCs/>
              <w:noProof/>
              <w:sz w:val="24"/>
              <w:szCs w:val="24"/>
            </w:rPr>
            <w:fldChar w:fldCharType="end"/>
          </w:r>
        </w:p>
      </w:sdtContent>
    </w:sdt>
    <w:p w14:paraId="3FB9E56B" w14:textId="758F1F5B" w:rsidR="007F0CFD" w:rsidRPr="004E7BEB" w:rsidRDefault="007F0CFD" w:rsidP="007F0CFD">
      <w:pPr>
        <w:rPr>
          <w:rFonts w:ascii="Times New Roman" w:eastAsia="Times New Roman" w:hAnsi="Times New Roman" w:cs="Times New Roman"/>
          <w:b/>
          <w:bCs/>
          <w:noProof/>
          <w:sz w:val="24"/>
          <w:szCs w:val="24"/>
        </w:rPr>
      </w:pPr>
      <w:r w:rsidRPr="004E7BEB">
        <w:rPr>
          <w:rFonts w:ascii="Times New Roman" w:hAnsi="Times New Roman"/>
        </w:rPr>
        <w:br w:type="page"/>
      </w:r>
    </w:p>
    <w:p w14:paraId="59A320BF" w14:textId="77777777" w:rsidR="007F0CFD" w:rsidRPr="004E7BEB" w:rsidRDefault="007F0CFD" w:rsidP="007F0CFD">
      <w:pPr>
        <w:jc w:val="both"/>
        <w:rPr>
          <w:rFonts w:ascii="Times New Roman" w:eastAsia="Times New Roman" w:hAnsi="Times New Roman" w:cs="Times New Roman"/>
          <w:b/>
          <w:bCs/>
          <w:noProof/>
          <w:sz w:val="24"/>
          <w:szCs w:val="24"/>
        </w:rPr>
      </w:pPr>
    </w:p>
    <w:p w14:paraId="622C2849" w14:textId="77777777" w:rsidR="007F0CFD" w:rsidRPr="004E7BEB" w:rsidRDefault="007F0CFD" w:rsidP="007F0CFD">
      <w:pPr>
        <w:pStyle w:val="Heading1"/>
      </w:pPr>
      <w:bookmarkStart w:id="0" w:name="_TOC_250005"/>
      <w:bookmarkStart w:id="1" w:name="_Toc116375382"/>
      <w:r w:rsidRPr="004E7BEB">
        <w:t>PREAMBULA</w:t>
      </w:r>
      <w:bookmarkEnd w:id="0"/>
      <w:bookmarkEnd w:id="1"/>
    </w:p>
    <w:p w14:paraId="53125DBF" w14:textId="77777777" w:rsidR="007F0CFD" w:rsidRPr="004E7BEB" w:rsidRDefault="007F0CFD" w:rsidP="007F0CFD">
      <w:pPr>
        <w:pStyle w:val="BodyText"/>
      </w:pPr>
    </w:p>
    <w:p w14:paraId="02A35171" w14:textId="77777777" w:rsidR="007F0CFD" w:rsidRPr="004E7BEB" w:rsidRDefault="007F0CFD" w:rsidP="007F0CFD">
      <w:pPr>
        <w:pStyle w:val="BodyText"/>
      </w:pPr>
      <w:r w:rsidRPr="004E7BEB">
        <w:t xml:space="preserve">Lai nodrošinātu, ka </w:t>
      </w:r>
      <w:r w:rsidRPr="004E7BEB">
        <w:rPr>
          <w:i/>
          <w:iCs/>
        </w:rPr>
        <w:t>ILAC</w:t>
      </w:r>
      <w:r w:rsidRPr="004E7BEB">
        <w:t xml:space="preserve"> struktūrā ietilpstošo akreditēto institūciju rezultāti ir uzticami, akreditācijas iestādes (AI) īsteno </w:t>
      </w:r>
      <w:r w:rsidRPr="004E7BEB">
        <w:rPr>
          <w:i/>
          <w:iCs/>
        </w:rPr>
        <w:t>ILAC</w:t>
      </w:r>
      <w:r w:rsidRPr="004E7BEB">
        <w:t xml:space="preserve"> politiskās nostādnes un izmanto vadlīniju dokumentus, lai palīdzētu veidot akreditācijas kritēriju vienotu un saskaņotu pieeju. Mērījumu rezultātu metroloģiskā izsekojamība ir galvenā tēma, attiecībā uz kuru ir nepieciešama saskaņota politika, lai tirgus varētu uzticēties akreditētam pakalpojumam, ko sniegusi organizācija, uz kuru attiecas </w:t>
      </w:r>
      <w:r w:rsidRPr="004E7BEB">
        <w:rPr>
          <w:i/>
          <w:iCs/>
        </w:rPr>
        <w:t>ILAC</w:t>
      </w:r>
      <w:r w:rsidRPr="004E7BEB">
        <w:t xml:space="preserve"> nolīgums.</w:t>
      </w:r>
    </w:p>
    <w:p w14:paraId="4E78027D" w14:textId="77777777" w:rsidR="007F0CFD" w:rsidRPr="004E7BEB" w:rsidRDefault="007F0CFD" w:rsidP="007F0CFD">
      <w:pPr>
        <w:pStyle w:val="BodyText"/>
      </w:pPr>
    </w:p>
    <w:p w14:paraId="6D045638" w14:textId="77777777" w:rsidR="007F0CFD" w:rsidRPr="004E7BEB" w:rsidRDefault="007F0CFD" w:rsidP="007F0CFD">
      <w:pPr>
        <w:pStyle w:val="BodyText"/>
      </w:pPr>
      <w:r w:rsidRPr="004E7BEB">
        <w:t xml:space="preserve">Lai nodrošinātu metroloģisko izsekojamību, ir nepieciešama nepārtraukta kalibrēšanas ķēde līdz noteiktajām etalonvērtībām, kurām visām ir noteiktas nenoteiktības, skat. </w:t>
      </w:r>
      <w:r w:rsidRPr="004E7BEB">
        <w:rPr>
          <w:i/>
          <w:iCs/>
        </w:rPr>
        <w:t>VIM</w:t>
      </w:r>
      <w:r w:rsidRPr="004E7BEB">
        <w:rPr>
          <w:vertAlign w:val="superscript"/>
        </w:rPr>
        <w:t>[1]</w:t>
      </w:r>
      <w:r w:rsidRPr="004E7BEB">
        <w:t>. Dziļi iesakņojies nepareizs priekšstats, ka metroloģisko izsekojamību var sasaistīt ar konkrētu organizāciju (piemēram, “izsekojams līdz konkrētam nacionālajam metroloģijas institūtam”), turpina radīt sajukumu attiecībā uz izsekojamības būtību. Metroloģiskā izsekojamība attiecas uz mērvienības etalonu un mērījumu rezultātu references skaitliskajām vērtībām, nevis uz organizāciju, kas tās sniedz.</w:t>
      </w:r>
    </w:p>
    <w:p w14:paraId="5A6C86E5" w14:textId="77777777" w:rsidR="007F0CFD" w:rsidRPr="004E7BEB" w:rsidRDefault="007F0CFD" w:rsidP="007F0CFD">
      <w:pPr>
        <w:pStyle w:val="BodyText"/>
      </w:pPr>
    </w:p>
    <w:p w14:paraId="107FF668" w14:textId="77777777" w:rsidR="007F0CFD" w:rsidRPr="004E7BEB" w:rsidRDefault="007F0CFD" w:rsidP="007F0CFD">
      <w:pPr>
        <w:pStyle w:val="BodyText"/>
      </w:pPr>
      <w:r w:rsidRPr="004E7BEB">
        <w:t xml:space="preserve">Faktori, kas ietekmē saskaņotas </w:t>
      </w:r>
      <w:r w:rsidRPr="004E7BEB">
        <w:rPr>
          <w:i/>
          <w:iCs/>
        </w:rPr>
        <w:t>ILAC</w:t>
      </w:r>
      <w:r w:rsidRPr="004E7BEB">
        <w:t xml:space="preserve"> politikas izstrādi attiecībā uz mērījumu rezultātu metroloģisko izsekojamību, ir šādi:</w:t>
      </w:r>
    </w:p>
    <w:p w14:paraId="181CA6E3" w14:textId="77777777" w:rsidR="007F0CFD" w:rsidRPr="004E7BEB" w:rsidRDefault="007F0CFD" w:rsidP="007F0CFD">
      <w:pPr>
        <w:pStyle w:val="BodyText"/>
      </w:pPr>
      <w:r w:rsidRPr="004E7BEB">
        <w:t>a) izpratne par mērījumu rezultātu metroloģiskās izsekojamības nozīmi pastāvīgi palielinās un nostiprinās aizvien jaunās jomās;</w:t>
      </w:r>
    </w:p>
    <w:p w14:paraId="1E3B014C" w14:textId="77777777" w:rsidR="007F0CFD" w:rsidRPr="004E7BEB" w:rsidRDefault="007F0CFD" w:rsidP="007F0CFD">
      <w:pPr>
        <w:pStyle w:val="BodyText"/>
      </w:pPr>
      <w:r w:rsidRPr="004E7BEB">
        <w:t>b) ne visās ekonomikās ir viegli pieejams pilnīgs nacionālo mērvienības etalonu vai kalibrēšanas klāsts un mērījumu spējas, kas nepieciešamas, lai atbalstītu visu to personu kalibrēšanas un testēšanas vajadzības, kas piesakās akreditācijai savā ekonomikā;</w:t>
      </w:r>
    </w:p>
    <w:p w14:paraId="58AD883D" w14:textId="77777777" w:rsidR="007F0CFD" w:rsidRPr="004E7BEB" w:rsidRDefault="007F0CFD" w:rsidP="007F0CFD">
      <w:pPr>
        <w:pStyle w:val="BodyText"/>
      </w:pPr>
      <w:r w:rsidRPr="004E7BEB">
        <w:t>c) starptautiskā mērogā vēl nav pilnībā noteikts, kādu lomu ieņem uzticami un izsekojami sertificēti references materiāli (SRM) mērījumu rezultātu metroloģiskās izsekojamības nodrošināšanā;</w:t>
      </w:r>
    </w:p>
    <w:p w14:paraId="14507EE1" w14:textId="77777777" w:rsidR="007F0CFD" w:rsidRPr="004E7BEB" w:rsidRDefault="007F0CFD" w:rsidP="007F0CFD">
      <w:pPr>
        <w:pStyle w:val="BodyText"/>
      </w:pPr>
      <w:r w:rsidRPr="004E7BEB">
        <w:t>d) ir pieejamas metroloģiskās izsekojamības ķēdes kā alternatīva SI vienībām, ja nav iespējams izsekot mērījumu rezultātus šīm vienībām.</w:t>
      </w:r>
    </w:p>
    <w:p w14:paraId="6F2034BC" w14:textId="77777777" w:rsidR="007F0CFD" w:rsidRPr="004E7BEB" w:rsidRDefault="007F0CFD" w:rsidP="007F0CFD">
      <w:pPr>
        <w:pStyle w:val="BodyText"/>
      </w:pPr>
    </w:p>
    <w:p w14:paraId="4193F693" w14:textId="77777777" w:rsidR="007F0CFD" w:rsidRPr="004E7BEB" w:rsidRDefault="007F0CFD" w:rsidP="007F0CFD">
      <w:pPr>
        <w:pStyle w:val="BodyText"/>
      </w:pPr>
      <w:r w:rsidRPr="004E7BEB">
        <w:t>Šajā dokumentā izmanto šādas gramatiskās konstrukcijas:</w:t>
      </w:r>
    </w:p>
    <w:p w14:paraId="64673CFE" w14:textId="77777777" w:rsidR="007F0CFD" w:rsidRPr="004E7BEB" w:rsidRDefault="007F0CFD" w:rsidP="007F0CFD">
      <w:pPr>
        <w:pStyle w:val="BodyText"/>
        <w:numPr>
          <w:ilvl w:val="1"/>
          <w:numId w:val="4"/>
        </w:numPr>
        <w:tabs>
          <w:tab w:val="left" w:pos="851"/>
        </w:tabs>
        <w:ind w:left="284" w:firstLine="0"/>
      </w:pPr>
      <w:r w:rsidRPr="004E7BEB">
        <w:t>vajadzības/īstenības izteiksme – norāda prasību;</w:t>
      </w:r>
    </w:p>
    <w:p w14:paraId="679BC313" w14:textId="77777777" w:rsidR="007F0CFD" w:rsidRPr="004E7BEB" w:rsidRDefault="007F0CFD" w:rsidP="007F0CFD">
      <w:pPr>
        <w:pStyle w:val="BodyText"/>
        <w:numPr>
          <w:ilvl w:val="1"/>
          <w:numId w:val="4"/>
        </w:numPr>
        <w:tabs>
          <w:tab w:val="left" w:pos="851"/>
        </w:tabs>
        <w:ind w:left="284" w:firstLine="0"/>
      </w:pPr>
      <w:r w:rsidRPr="004E7BEB">
        <w:t>vēlējuma izteiksme – norāda ieteikumu;</w:t>
      </w:r>
    </w:p>
    <w:p w14:paraId="5D9791D5" w14:textId="77777777" w:rsidR="007F0CFD" w:rsidRPr="004E7BEB" w:rsidRDefault="007F0CFD" w:rsidP="007F0CFD">
      <w:pPr>
        <w:pStyle w:val="BodyText"/>
        <w:numPr>
          <w:ilvl w:val="1"/>
          <w:numId w:val="4"/>
        </w:numPr>
        <w:tabs>
          <w:tab w:val="left" w:pos="851"/>
        </w:tabs>
        <w:ind w:left="284" w:firstLine="0"/>
      </w:pPr>
      <w:r w:rsidRPr="004E7BEB">
        <w:t>“drīkst” – norāda atļauju;</w:t>
      </w:r>
    </w:p>
    <w:p w14:paraId="1AC281BB" w14:textId="77777777" w:rsidR="007F0CFD" w:rsidRPr="004E7BEB" w:rsidRDefault="007F0CFD" w:rsidP="007F0CFD">
      <w:pPr>
        <w:pStyle w:val="BodyText"/>
        <w:numPr>
          <w:ilvl w:val="1"/>
          <w:numId w:val="4"/>
        </w:numPr>
        <w:tabs>
          <w:tab w:val="left" w:pos="851"/>
        </w:tabs>
        <w:ind w:left="284" w:firstLine="0"/>
      </w:pPr>
      <w:r w:rsidRPr="004E7BEB">
        <w:t>“var” – norāda iespēju vai spēju.</w:t>
      </w:r>
    </w:p>
    <w:p w14:paraId="32F7A53F" w14:textId="77777777" w:rsidR="007F0CFD" w:rsidRPr="004E7BEB" w:rsidRDefault="007F0CFD" w:rsidP="007F0CFD">
      <w:pPr>
        <w:pStyle w:val="BodyText"/>
      </w:pPr>
      <w:r w:rsidRPr="004E7BEB">
        <w:t>Sīkāku informāciju skat. ISO/IEC Norādījumu 2. daļā</w:t>
      </w:r>
      <w:r w:rsidRPr="004E7BEB">
        <w:rPr>
          <w:vertAlign w:val="superscript"/>
        </w:rPr>
        <w:t>[2]</w:t>
      </w:r>
      <w:r w:rsidRPr="004E7BEB">
        <w:t>.</w:t>
      </w:r>
    </w:p>
    <w:p w14:paraId="618B3235" w14:textId="77777777" w:rsidR="007F0CFD" w:rsidRPr="004E7BEB" w:rsidRDefault="007F0CFD" w:rsidP="007F0CFD">
      <w:pPr>
        <w:jc w:val="both"/>
        <w:rPr>
          <w:rFonts w:ascii="Times New Roman" w:eastAsia="Times New Roman" w:hAnsi="Times New Roman" w:cs="Times New Roman"/>
          <w:noProof/>
          <w:sz w:val="24"/>
          <w:szCs w:val="24"/>
        </w:rPr>
      </w:pPr>
    </w:p>
    <w:p w14:paraId="341210AB" w14:textId="77777777" w:rsidR="007F0CFD" w:rsidRPr="004E7BEB" w:rsidRDefault="007F0CFD" w:rsidP="007F0CFD">
      <w:pPr>
        <w:pStyle w:val="Heading1"/>
      </w:pPr>
      <w:bookmarkStart w:id="2" w:name="_TOC_250004"/>
      <w:bookmarkStart w:id="3" w:name="_Toc116375383"/>
      <w:r w:rsidRPr="004E7BEB">
        <w:t>MĒRĶIS</w:t>
      </w:r>
      <w:bookmarkEnd w:id="2"/>
      <w:bookmarkEnd w:id="3"/>
    </w:p>
    <w:p w14:paraId="34163BCD" w14:textId="77777777" w:rsidR="007F0CFD" w:rsidRPr="004E7BEB" w:rsidRDefault="007F0CFD" w:rsidP="007F0CFD">
      <w:pPr>
        <w:jc w:val="both"/>
        <w:rPr>
          <w:rFonts w:ascii="Times New Roman" w:eastAsia="Times New Roman" w:hAnsi="Times New Roman" w:cs="Times New Roman"/>
          <w:b/>
          <w:bCs/>
          <w:noProof/>
          <w:sz w:val="24"/>
          <w:szCs w:val="24"/>
        </w:rPr>
      </w:pPr>
    </w:p>
    <w:p w14:paraId="5400EC7B" w14:textId="77777777" w:rsidR="007F0CFD" w:rsidRPr="004E7BEB" w:rsidRDefault="007F0CFD" w:rsidP="007F0CFD">
      <w:pPr>
        <w:pStyle w:val="BodyText"/>
      </w:pPr>
      <w:r w:rsidRPr="004E7BEB">
        <w:t xml:space="preserve">Šajā dokumentā ir aprakstīta </w:t>
      </w:r>
      <w:r w:rsidRPr="004E7BEB">
        <w:rPr>
          <w:i/>
          <w:iCs/>
        </w:rPr>
        <w:t>ILAC</w:t>
      </w:r>
      <w:r w:rsidRPr="004E7BEB">
        <w:t xml:space="preserve"> politika attiecībā uz metroloģiskās izsekojamības prasībām testēšanā un kalibrēšanā. Šī politika attiecas arī uz citām atbilstības novērtēšanas darbībām, kas saistītas ar mērījumiem, t. i., medicīnas laboratorijām, inspicēšanas institūcijām, biobankām, references materiālu ražotājiem un prasmes pārbaudes organizētājiem. Attiecībā uz kalibrēšanu, ko veikusi pati akreditēta organizācija, lai noteiktu metroloģisko izsekojamību savām darbībām, un kas nav organizācijas akreditācijas jomas sastāvdaļa, ir piemērojama 2. iedaļā sniegtā </w:t>
      </w:r>
      <w:r w:rsidRPr="004E7BEB">
        <w:rPr>
          <w:i/>
          <w:iCs/>
        </w:rPr>
        <w:t>ILAC</w:t>
      </w:r>
      <w:r w:rsidRPr="004E7BEB">
        <w:t xml:space="preserve"> politika. Šo iekšēji veikto kalibrēšanu sauc arī par kalibrēšanu “uz vietas” (</w:t>
      </w:r>
      <w:r w:rsidRPr="004E7BEB">
        <w:rPr>
          <w:i/>
          <w:iCs/>
        </w:rPr>
        <w:t>in-house</w:t>
      </w:r>
      <w:r w:rsidRPr="004E7BEB">
        <w:t>).</w:t>
      </w:r>
    </w:p>
    <w:p w14:paraId="427D0FB0" w14:textId="77777777" w:rsidR="007F0CFD" w:rsidRPr="004E7BEB" w:rsidRDefault="007F0CFD" w:rsidP="007F0CFD">
      <w:pPr>
        <w:jc w:val="both"/>
        <w:rPr>
          <w:rFonts w:ascii="Times New Roman" w:eastAsia="Times New Roman" w:hAnsi="Times New Roman" w:cs="Times New Roman"/>
          <w:noProof/>
          <w:sz w:val="24"/>
          <w:szCs w:val="24"/>
        </w:rPr>
      </w:pPr>
    </w:p>
    <w:p w14:paraId="52CFA715" w14:textId="77777777" w:rsidR="007F0CFD" w:rsidRPr="004E7BEB" w:rsidRDefault="007F0CFD" w:rsidP="007F0CFD">
      <w:pPr>
        <w:pStyle w:val="BodyText"/>
      </w:pPr>
      <w:r w:rsidRPr="004E7BEB">
        <w:t>Dokumentu ievieš vienu gadu pēc tā publicēšanas.</w:t>
      </w:r>
    </w:p>
    <w:p w14:paraId="0349A9CC" w14:textId="77777777" w:rsidR="007F0CFD" w:rsidRPr="004E7BEB" w:rsidRDefault="007F0CFD" w:rsidP="007F0CFD">
      <w:pPr>
        <w:jc w:val="both"/>
        <w:rPr>
          <w:rFonts w:ascii="Times New Roman" w:hAnsi="Times New Roman" w:cs="Times New Roman"/>
          <w:noProof/>
          <w:sz w:val="24"/>
          <w:szCs w:val="24"/>
        </w:rPr>
      </w:pPr>
    </w:p>
    <w:p w14:paraId="3C03B06E" w14:textId="77777777" w:rsidR="007F0CFD" w:rsidRPr="004E7BEB" w:rsidRDefault="007F0CFD" w:rsidP="007F0CFD">
      <w:pPr>
        <w:pStyle w:val="Heading1"/>
      </w:pPr>
      <w:bookmarkStart w:id="4" w:name="_TOC_250003"/>
      <w:bookmarkStart w:id="5" w:name="_Toc116375384"/>
      <w:r w:rsidRPr="004E7BEB">
        <w:lastRenderedPageBreak/>
        <w:t>AUTORĪBA</w:t>
      </w:r>
      <w:bookmarkEnd w:id="4"/>
      <w:bookmarkEnd w:id="5"/>
    </w:p>
    <w:p w14:paraId="74944413" w14:textId="77777777" w:rsidR="007F0CFD" w:rsidRPr="004E7BEB" w:rsidRDefault="007F0CFD" w:rsidP="007F0CFD">
      <w:pPr>
        <w:jc w:val="both"/>
        <w:rPr>
          <w:rFonts w:ascii="Times New Roman" w:eastAsia="Times New Roman" w:hAnsi="Times New Roman" w:cs="Times New Roman"/>
          <w:b/>
          <w:bCs/>
          <w:noProof/>
          <w:sz w:val="24"/>
          <w:szCs w:val="24"/>
        </w:rPr>
      </w:pPr>
    </w:p>
    <w:p w14:paraId="7704951E" w14:textId="77777777" w:rsidR="007F0CFD" w:rsidRPr="004E7BEB" w:rsidRDefault="007F0CFD" w:rsidP="007F0CFD">
      <w:pPr>
        <w:pStyle w:val="BodyText"/>
      </w:pPr>
      <w:r w:rsidRPr="004E7BEB">
        <w:t xml:space="preserve">Šo dokumenta versiju ir pārskatījusi </w:t>
      </w:r>
      <w:r w:rsidRPr="004E7BEB">
        <w:rPr>
          <w:i/>
          <w:iCs/>
        </w:rPr>
        <w:t>ILAC</w:t>
      </w:r>
      <w:r w:rsidRPr="004E7BEB">
        <w:t xml:space="preserve"> Akreditācijas komiteja (</w:t>
      </w:r>
      <w:r w:rsidRPr="004E7BEB">
        <w:rPr>
          <w:i/>
          <w:iCs/>
        </w:rPr>
        <w:t>AIC</w:t>
      </w:r>
      <w:r w:rsidRPr="004E7BEB">
        <w:t xml:space="preserve">) un apstiprinājusi publicēšanai </w:t>
      </w:r>
      <w:r w:rsidRPr="004E7BEB">
        <w:rPr>
          <w:i/>
          <w:iCs/>
        </w:rPr>
        <w:t>ILAC</w:t>
      </w:r>
      <w:r w:rsidRPr="004E7BEB">
        <w:t xml:space="preserve"> Ģenerālā asambleja 2020. gadā.</w:t>
      </w:r>
    </w:p>
    <w:p w14:paraId="05D9A8CC" w14:textId="77777777" w:rsidR="007F0CFD" w:rsidRPr="004E7BEB" w:rsidRDefault="007F0CFD" w:rsidP="007F0CFD">
      <w:pPr>
        <w:jc w:val="both"/>
        <w:rPr>
          <w:rFonts w:ascii="Times New Roman" w:eastAsia="Times New Roman" w:hAnsi="Times New Roman" w:cs="Times New Roman"/>
          <w:noProof/>
          <w:sz w:val="24"/>
          <w:szCs w:val="24"/>
        </w:rPr>
      </w:pPr>
    </w:p>
    <w:p w14:paraId="0A2D4832" w14:textId="77777777" w:rsidR="007F0CFD" w:rsidRPr="004E7BEB" w:rsidRDefault="007F0CFD" w:rsidP="007F0CFD">
      <w:pPr>
        <w:pStyle w:val="Heading1"/>
      </w:pPr>
      <w:bookmarkStart w:id="6" w:name="_TOC_250002"/>
      <w:bookmarkStart w:id="7" w:name="_Toc116375385"/>
      <w:r w:rsidRPr="004E7BEB">
        <w:t>1. TERMINI UN DEFINĪCIJAS</w:t>
      </w:r>
      <w:bookmarkEnd w:id="6"/>
      <w:bookmarkEnd w:id="7"/>
    </w:p>
    <w:p w14:paraId="06374E7B" w14:textId="77777777" w:rsidR="007F0CFD" w:rsidRPr="004E7BEB" w:rsidRDefault="007F0CFD" w:rsidP="007F0CFD">
      <w:pPr>
        <w:jc w:val="both"/>
        <w:rPr>
          <w:rFonts w:ascii="Times New Roman" w:eastAsia="Times New Roman" w:hAnsi="Times New Roman" w:cs="Times New Roman"/>
          <w:b/>
          <w:bCs/>
          <w:noProof/>
          <w:sz w:val="24"/>
          <w:szCs w:val="24"/>
        </w:rPr>
      </w:pPr>
    </w:p>
    <w:p w14:paraId="12CA6D86" w14:textId="77777777" w:rsidR="007F0CFD" w:rsidRPr="004E7BEB" w:rsidRDefault="007F0CFD" w:rsidP="007F0CFD">
      <w:pPr>
        <w:pStyle w:val="BodyText"/>
      </w:pPr>
      <w:r w:rsidRPr="004E7BEB">
        <w:t>Šajā dokumentā tiek lietotas šādas definīcijas.</w:t>
      </w:r>
    </w:p>
    <w:p w14:paraId="7AD860ED" w14:textId="77777777" w:rsidR="007F0CFD" w:rsidRPr="004E7BEB" w:rsidRDefault="007F0CFD" w:rsidP="007F0CFD">
      <w:pPr>
        <w:jc w:val="both"/>
        <w:rPr>
          <w:rFonts w:ascii="Times New Roman" w:eastAsia="Times New Roman" w:hAnsi="Times New Roman" w:cs="Times New Roman"/>
          <w:noProof/>
          <w:sz w:val="24"/>
          <w:szCs w:val="24"/>
        </w:rPr>
      </w:pPr>
    </w:p>
    <w:p w14:paraId="5A0B6D97"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Akreditēta organizācija</w:t>
      </w:r>
    </w:p>
    <w:p w14:paraId="03781FB0" w14:textId="77777777" w:rsidR="007F0CFD" w:rsidRPr="004E7BEB" w:rsidRDefault="007F0CFD" w:rsidP="007F0CFD">
      <w:pPr>
        <w:pStyle w:val="BodyText"/>
      </w:pPr>
      <w:r w:rsidRPr="004E7BEB">
        <w:t xml:space="preserve">Šajā dokumentā terminu “akreditēta organizācija”, kas ietver atbilstības novērtēšanas institūcijas (ANI), izmanto, lai norādītu organizācijas, uz kurām attiecas </w:t>
      </w:r>
      <w:r w:rsidRPr="004E7BEB">
        <w:rPr>
          <w:i/>
          <w:iCs/>
        </w:rPr>
        <w:t>ILAC</w:t>
      </w:r>
      <w:r w:rsidRPr="004E7BEB">
        <w:t xml:space="preserve"> nolīgums. Ja tekstā izmantots termins “akreditēta organizācija”, tas attiecas gan uz pieteikuma iesniedzēju, gan uz akreditēto organizāciju, ja vien nav norādīts citādi.</w:t>
      </w:r>
    </w:p>
    <w:p w14:paraId="326450A5" w14:textId="77777777" w:rsidR="007F0CFD" w:rsidRPr="004E7BEB" w:rsidRDefault="007F0CFD" w:rsidP="007F0CFD">
      <w:pPr>
        <w:jc w:val="both"/>
        <w:rPr>
          <w:rFonts w:ascii="Times New Roman" w:eastAsia="Times New Roman" w:hAnsi="Times New Roman" w:cs="Times New Roman"/>
          <w:noProof/>
          <w:sz w:val="24"/>
          <w:szCs w:val="24"/>
        </w:rPr>
      </w:pPr>
    </w:p>
    <w:p w14:paraId="4D769C23"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i/>
          <w:iCs/>
          <w:sz w:val="24"/>
        </w:rPr>
        <w:t>BIPM</w:t>
      </w:r>
    </w:p>
    <w:p w14:paraId="5A50CE85" w14:textId="77777777" w:rsidR="007F0CFD" w:rsidRPr="004E7BEB" w:rsidRDefault="007F0CFD" w:rsidP="007F0CFD">
      <w:pPr>
        <w:pStyle w:val="BodyText"/>
      </w:pPr>
      <w:r w:rsidRPr="004E7BEB">
        <w:t>Starptautiskais svaru un mēru birojs [</w:t>
      </w:r>
      <w:r w:rsidRPr="004E7BEB">
        <w:rPr>
          <w:i/>
          <w:iCs/>
        </w:rPr>
        <w:t>Bureau International des Poids et Mesures</w:t>
      </w:r>
      <w:r w:rsidRPr="004E7BEB">
        <w:t>]</w:t>
      </w:r>
    </w:p>
    <w:p w14:paraId="690F9C0E" w14:textId="77777777" w:rsidR="007F0CFD" w:rsidRPr="004E7BEB" w:rsidRDefault="007F0CFD" w:rsidP="007F0CFD">
      <w:pPr>
        <w:pStyle w:val="BodyText"/>
      </w:pPr>
      <w:r w:rsidRPr="004E7BEB">
        <w:rPr>
          <w:i/>
          <w:iCs/>
        </w:rPr>
        <w:t>BIPM</w:t>
      </w:r>
      <w:r w:rsidRPr="004E7BEB">
        <w:t xml:space="preserve"> ir starpvaldību organizācija, ar kuras starpniecību dalībvalstis rīkojas kopīgi ar mērījumu zinātni un mērvienību etaloniem saistītos jautājumos.</w:t>
      </w:r>
    </w:p>
    <w:p w14:paraId="16E2B9D4" w14:textId="77777777" w:rsidR="007F0CFD" w:rsidRPr="004E7BEB" w:rsidRDefault="007F0CFD" w:rsidP="007F0CFD">
      <w:pPr>
        <w:jc w:val="both"/>
        <w:rPr>
          <w:rFonts w:ascii="Times New Roman" w:eastAsia="Times New Roman" w:hAnsi="Times New Roman" w:cs="Times New Roman"/>
          <w:noProof/>
          <w:sz w:val="24"/>
          <w:szCs w:val="24"/>
        </w:rPr>
      </w:pPr>
    </w:p>
    <w:p w14:paraId="12FFAD58"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ANI</w:t>
      </w:r>
    </w:p>
    <w:p w14:paraId="75A9CCB3" w14:textId="77777777" w:rsidR="007F0CFD" w:rsidRPr="004E7BEB" w:rsidRDefault="007F0CFD" w:rsidP="007F0CFD">
      <w:pPr>
        <w:pStyle w:val="BodyText"/>
      </w:pPr>
      <w:r w:rsidRPr="004E7BEB">
        <w:t>Atbilstības novērtēšanas institūcija</w:t>
      </w:r>
    </w:p>
    <w:p w14:paraId="0E1EF707" w14:textId="77777777" w:rsidR="007F0CFD" w:rsidRPr="004E7BEB" w:rsidRDefault="007F0CFD" w:rsidP="007F0CFD">
      <w:pPr>
        <w:pStyle w:val="BodyText"/>
      </w:pPr>
      <w:r w:rsidRPr="004E7BEB">
        <w:t>Institūcija, kas veic atbilstības novērtēšanas darbības un var būt akreditācijas subjekts.</w:t>
      </w:r>
    </w:p>
    <w:p w14:paraId="54F76EBB" w14:textId="77777777" w:rsidR="007F0CFD" w:rsidRPr="004E7BEB" w:rsidRDefault="007F0CFD" w:rsidP="007F0CFD">
      <w:pPr>
        <w:jc w:val="both"/>
        <w:rPr>
          <w:rFonts w:ascii="Times New Roman" w:eastAsia="Times New Roman" w:hAnsi="Times New Roman" w:cs="Times New Roman"/>
          <w:noProof/>
          <w:sz w:val="24"/>
          <w:szCs w:val="24"/>
        </w:rPr>
      </w:pPr>
    </w:p>
    <w:p w14:paraId="335FD5B3"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i/>
          <w:iCs/>
          <w:sz w:val="24"/>
        </w:rPr>
        <w:t>CIPM MRA</w:t>
      </w:r>
    </w:p>
    <w:p w14:paraId="7E95FEBA" w14:textId="77777777" w:rsidR="007F0CFD" w:rsidRPr="004E7BEB" w:rsidRDefault="007F0CFD" w:rsidP="007F0CFD">
      <w:pPr>
        <w:pStyle w:val="BodyText"/>
      </w:pPr>
      <w:r w:rsidRPr="004E7BEB">
        <w:t>Starptautiskās svaru un mēru komitejas Savstarpējās atzīšanas nolīgums</w:t>
      </w:r>
    </w:p>
    <w:p w14:paraId="5B5A2971" w14:textId="77777777" w:rsidR="007F0CFD" w:rsidRPr="004E7BEB" w:rsidRDefault="007F0CFD" w:rsidP="007F0CFD">
      <w:pPr>
        <w:pStyle w:val="BodyText"/>
      </w:pPr>
      <w:r w:rsidRPr="004E7BEB">
        <w:rPr>
          <w:i/>
          <w:iCs/>
        </w:rPr>
        <w:t>CIPM MRA</w:t>
      </w:r>
      <w:r w:rsidRPr="004E7BEB">
        <w:t xml:space="preserve"> ir nolīgums, ko noslēguši nacionālie metroloģijas institūti, kas uztur tehnisko bāzi, lai nodrošinātu nacionālo mērvienības etalonu savstarpēju atzīšanu un nacionālo metroloģijas institūciju izsniegto kalibrēšanas un mērījumu sertifikātu derīguma atzīšanu.</w:t>
      </w:r>
    </w:p>
    <w:p w14:paraId="2CF4C844" w14:textId="77777777" w:rsidR="007F0CFD" w:rsidRPr="004E7BEB" w:rsidRDefault="007F0CFD" w:rsidP="007F0CFD">
      <w:pPr>
        <w:jc w:val="both"/>
        <w:rPr>
          <w:rFonts w:ascii="Times New Roman" w:eastAsia="Times New Roman" w:hAnsi="Times New Roman" w:cs="Times New Roman"/>
          <w:noProof/>
          <w:sz w:val="24"/>
          <w:szCs w:val="24"/>
        </w:rPr>
      </w:pPr>
    </w:p>
    <w:p w14:paraId="45B3A7FA"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SRM</w:t>
      </w:r>
    </w:p>
    <w:p w14:paraId="18400268" w14:textId="77777777" w:rsidR="007F0CFD" w:rsidRPr="004E7BEB" w:rsidRDefault="007F0CFD" w:rsidP="007F0CFD">
      <w:pPr>
        <w:pStyle w:val="BodyText"/>
      </w:pPr>
      <w:r w:rsidRPr="004E7BEB">
        <w:t>Sertificēts references materiāls</w:t>
      </w:r>
    </w:p>
    <w:p w14:paraId="6AA9086D" w14:textId="77777777" w:rsidR="007F0CFD" w:rsidRPr="004E7BEB" w:rsidRDefault="007F0CFD" w:rsidP="007F0CFD">
      <w:pPr>
        <w:pStyle w:val="BodyText"/>
      </w:pPr>
      <w:r w:rsidRPr="004E7BEB">
        <w:t>References materiāls, kas raksturots ar metroloģiski derīgu procedūru attiecībā uz vienu vai vairākām īpašībām, un tam izdots references materiāla sertifikāts, kurā uzrādītas attiecīgo īpašību vērtības, ar to saistītā nenoteiktība un paziņojums par metroloģisko izsekojamību (ISO 17034:2016</w:t>
      </w:r>
      <w:r w:rsidRPr="004E7BEB">
        <w:rPr>
          <w:vertAlign w:val="superscript"/>
        </w:rPr>
        <w:t>[3]</w:t>
      </w:r>
      <w:r w:rsidRPr="004E7BEB">
        <w:t>).</w:t>
      </w:r>
    </w:p>
    <w:p w14:paraId="71B523B9" w14:textId="77777777" w:rsidR="007F0CFD" w:rsidRPr="004E7BEB" w:rsidRDefault="007F0CFD" w:rsidP="007F0CFD">
      <w:pPr>
        <w:jc w:val="both"/>
        <w:rPr>
          <w:rFonts w:ascii="Times New Roman" w:eastAsia="Times New Roman" w:hAnsi="Times New Roman" w:cs="Times New Roman"/>
          <w:noProof/>
          <w:sz w:val="24"/>
          <w:szCs w:val="24"/>
        </w:rPr>
      </w:pPr>
    </w:p>
    <w:p w14:paraId="4D286026"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i/>
          <w:iCs/>
          <w:sz w:val="24"/>
        </w:rPr>
        <w:t>JCTLM</w:t>
      </w:r>
    </w:p>
    <w:p w14:paraId="20FD7A08" w14:textId="77777777" w:rsidR="007F0CFD" w:rsidRPr="004E7BEB" w:rsidRDefault="007F0CFD" w:rsidP="007F0CFD">
      <w:pPr>
        <w:pStyle w:val="BodyText"/>
      </w:pPr>
      <w:r w:rsidRPr="004E7BEB">
        <w:t>Medicīnas laboratoriju izsekojamības apvienotā komiteja [</w:t>
      </w:r>
      <w:r w:rsidRPr="004E7BEB">
        <w:rPr>
          <w:i/>
          <w:iCs/>
        </w:rPr>
        <w:t>Joint Committee for Traceability in Laboratory Medicine</w:t>
      </w:r>
      <w:r w:rsidRPr="004E7BEB">
        <w:t>]</w:t>
      </w:r>
    </w:p>
    <w:p w14:paraId="373F51C9" w14:textId="77777777" w:rsidR="007F0CFD" w:rsidRPr="004E7BEB" w:rsidRDefault="007F0CFD" w:rsidP="007F0CFD">
      <w:pPr>
        <w:pStyle w:val="BodyText"/>
      </w:pPr>
      <w:r w:rsidRPr="004E7BEB">
        <w:rPr>
          <w:i/>
          <w:iCs/>
        </w:rPr>
        <w:t>JCTLM</w:t>
      </w:r>
      <w:r w:rsidRPr="004E7BEB">
        <w:t xml:space="preserve"> veido </w:t>
      </w:r>
      <w:r w:rsidRPr="004E7BEB">
        <w:rPr>
          <w:i/>
          <w:iCs/>
        </w:rPr>
        <w:t>BIPM</w:t>
      </w:r>
      <w:r w:rsidRPr="004E7BEB">
        <w:t>, Klīniskās ķīmijas un medicīnas laboratoriju starptautiskā federācija (</w:t>
      </w:r>
      <w:r w:rsidRPr="004E7BEB">
        <w:rPr>
          <w:i/>
          <w:iCs/>
        </w:rPr>
        <w:t>IFCC</w:t>
      </w:r>
      <w:r w:rsidRPr="004E7BEB">
        <w:t>) un Starptautisko laboratoriju akreditācijas kooperācija (</w:t>
      </w:r>
      <w:r w:rsidRPr="004E7BEB">
        <w:rPr>
          <w:i/>
          <w:iCs/>
        </w:rPr>
        <w:t>ILAC</w:t>
      </w:r>
      <w:r w:rsidRPr="004E7BEB">
        <w:t xml:space="preserve">). </w:t>
      </w:r>
      <w:r w:rsidRPr="004E7BEB">
        <w:rPr>
          <w:i/>
          <w:iCs/>
        </w:rPr>
        <w:t>JCTLM</w:t>
      </w:r>
      <w:r w:rsidRPr="004E7BEB">
        <w:t xml:space="preserve"> uztur vispasaules platformu, lai atbalstītu un izstrādātu vadlīnijas par starptautiski atzītu un pieņemtu medicīnas laboratoriju mērījumu ekvivalenci un atbilstošo mērvienību etalonu izsekojamību.</w:t>
      </w:r>
    </w:p>
    <w:p w14:paraId="13314D6F" w14:textId="77777777" w:rsidR="007F0CFD" w:rsidRPr="004E7BEB" w:rsidRDefault="007F0CFD" w:rsidP="007F0CFD">
      <w:pPr>
        <w:jc w:val="both"/>
        <w:rPr>
          <w:rFonts w:ascii="Times New Roman" w:eastAsia="Times New Roman" w:hAnsi="Times New Roman" w:cs="Times New Roman"/>
          <w:noProof/>
          <w:sz w:val="24"/>
          <w:szCs w:val="24"/>
        </w:rPr>
      </w:pPr>
    </w:p>
    <w:p w14:paraId="657464C1"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i/>
          <w:iCs/>
          <w:sz w:val="24"/>
        </w:rPr>
        <w:t>KCDB</w:t>
      </w:r>
    </w:p>
    <w:p w14:paraId="3D4A1A41" w14:textId="77777777" w:rsidR="007F0CFD" w:rsidRPr="004E7BEB" w:rsidRDefault="007F0CFD" w:rsidP="007F0CFD">
      <w:pPr>
        <w:pStyle w:val="BodyText"/>
      </w:pPr>
      <w:r w:rsidRPr="004E7BEB">
        <w:t>Salīdzinošā datubāze [</w:t>
      </w:r>
      <w:r w:rsidRPr="004E7BEB">
        <w:rPr>
          <w:i/>
          <w:iCs/>
        </w:rPr>
        <w:t>Key Comparison Database</w:t>
      </w:r>
      <w:r w:rsidRPr="004E7BEB">
        <w:t>]</w:t>
      </w:r>
    </w:p>
    <w:p w14:paraId="5EDDF6CB" w14:textId="77777777" w:rsidR="007F0CFD" w:rsidRPr="004E7BEB" w:rsidRDefault="007F0CFD" w:rsidP="007F0CFD">
      <w:pPr>
        <w:pStyle w:val="BodyText"/>
      </w:pPr>
      <w:r w:rsidRPr="004E7BEB">
        <w:t xml:space="preserve">Brīvi pieejama publiska datubāze, bezmaksas </w:t>
      </w:r>
      <w:r w:rsidRPr="004E7BEB">
        <w:rPr>
          <w:i/>
          <w:iCs/>
        </w:rPr>
        <w:t>CIPM MRA</w:t>
      </w:r>
      <w:r w:rsidRPr="004E7BEB">
        <w:t xml:space="preserve"> tīmekļa resurss. Tā satur informāciju par </w:t>
      </w:r>
      <w:r w:rsidRPr="004E7BEB">
        <w:rPr>
          <w:i/>
          <w:iCs/>
        </w:rPr>
        <w:t>CIPM MRA</w:t>
      </w:r>
      <w:r w:rsidRPr="004E7BEB">
        <w:t xml:space="preserve"> dalībniekiem, galveno un papildus veikto salīdzinājumu rezultātiem un aktualizētajām (pārskatītajām) kalibrēšanas un mērīšanas spējām (KMS) </w:t>
      </w:r>
      <w:r w:rsidRPr="004E7BEB">
        <w:lastRenderedPageBreak/>
        <w:t>(https://www.bipm.org/kcdb).</w:t>
      </w:r>
    </w:p>
    <w:p w14:paraId="0451B905" w14:textId="77777777" w:rsidR="007F0CFD" w:rsidRPr="004E7BEB" w:rsidRDefault="007F0CFD" w:rsidP="007F0CFD">
      <w:pPr>
        <w:jc w:val="both"/>
        <w:rPr>
          <w:rFonts w:ascii="Times New Roman" w:hAnsi="Times New Roman" w:cs="Times New Roman"/>
          <w:noProof/>
          <w:sz w:val="24"/>
          <w:szCs w:val="24"/>
        </w:rPr>
      </w:pPr>
    </w:p>
    <w:p w14:paraId="4E339E2D"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Metroloģiskā izsekojamība (</w:t>
      </w:r>
      <w:r w:rsidRPr="004E7BEB">
        <w:rPr>
          <w:rFonts w:ascii="Times New Roman" w:hAnsi="Times New Roman"/>
          <w:b/>
          <w:i/>
          <w:iCs/>
          <w:sz w:val="24"/>
        </w:rPr>
        <w:t>VIM</w:t>
      </w:r>
      <w:r w:rsidRPr="004E7BEB">
        <w:rPr>
          <w:rFonts w:ascii="Times New Roman" w:hAnsi="Times New Roman"/>
          <w:b/>
          <w:sz w:val="24"/>
        </w:rPr>
        <w:t xml:space="preserve"> 3, 2.41. punkts)</w:t>
      </w:r>
    </w:p>
    <w:p w14:paraId="2D480861" w14:textId="77777777" w:rsidR="007F0CFD" w:rsidRPr="004E7BEB" w:rsidRDefault="007F0CFD" w:rsidP="007F0CFD">
      <w:pPr>
        <w:pStyle w:val="BodyText"/>
      </w:pPr>
      <w:r w:rsidRPr="004E7BEB">
        <w:t>Spēja saistīt mērīšanas rezultātu ar atsauci dokumentētā nepārtrauktā kalibrēšanas darbību ķēdē, kur katra kalibrēšanas darbība dod ieguldījumu mērījumu nenoteiktībā. 1. piezīme. Šajā definīcijā “atsauce” var būt “mērvienības noteikšana, izmantojot tās praktisko izpildi, vai mērīšanas procedūra, ietverot mērvienību nekārtas lielumus vai mērvienības etalonu”.</w:t>
      </w:r>
    </w:p>
    <w:p w14:paraId="3F763785" w14:textId="77777777" w:rsidR="007F0CFD" w:rsidRPr="004E7BEB" w:rsidRDefault="007F0CFD" w:rsidP="007F0CFD">
      <w:pPr>
        <w:jc w:val="both"/>
        <w:rPr>
          <w:rFonts w:ascii="Times New Roman" w:eastAsia="Times New Roman" w:hAnsi="Times New Roman" w:cs="Times New Roman"/>
          <w:noProof/>
          <w:sz w:val="24"/>
          <w:szCs w:val="24"/>
        </w:rPr>
      </w:pPr>
    </w:p>
    <w:p w14:paraId="353CD1B1" w14:textId="77777777" w:rsidR="007F0CFD" w:rsidRPr="004E7BEB" w:rsidRDefault="007F0CFD" w:rsidP="007F0CFD">
      <w:pPr>
        <w:pStyle w:val="BodyText"/>
      </w:pPr>
      <w:r w:rsidRPr="004E7BEB">
        <w:t>ISO/IEC 17025:2017</w:t>
      </w:r>
      <w:r w:rsidRPr="004E7BEB">
        <w:rPr>
          <w:vertAlign w:val="superscript"/>
        </w:rPr>
        <w:t>[4]</w:t>
      </w:r>
      <w:r w:rsidRPr="004E7BEB">
        <w:t xml:space="preserve"> un ISO 15189:2012</w:t>
      </w:r>
      <w:r w:rsidRPr="004E7BEB">
        <w:rPr>
          <w:vertAlign w:val="superscript"/>
        </w:rPr>
        <w:t xml:space="preserve">[5] </w:t>
      </w:r>
      <w:r w:rsidRPr="004E7BEB">
        <w:t xml:space="preserve">attiecas uz </w:t>
      </w:r>
      <w:r w:rsidRPr="004E7BEB">
        <w:rPr>
          <w:i/>
          <w:iCs/>
        </w:rPr>
        <w:t>VIM</w:t>
      </w:r>
      <w:r w:rsidRPr="004E7BEB">
        <w:t xml:space="preserve"> terminu “metroloģiskā izsekojamība”.</w:t>
      </w:r>
    </w:p>
    <w:p w14:paraId="79454E1C" w14:textId="77777777" w:rsidR="007F0CFD" w:rsidRPr="004E7BEB" w:rsidRDefault="007F0CFD" w:rsidP="007F0CFD">
      <w:pPr>
        <w:jc w:val="both"/>
        <w:rPr>
          <w:rFonts w:ascii="Times New Roman" w:eastAsia="Times New Roman" w:hAnsi="Times New Roman" w:cs="Times New Roman"/>
          <w:noProof/>
          <w:sz w:val="24"/>
          <w:szCs w:val="24"/>
        </w:rPr>
      </w:pPr>
    </w:p>
    <w:p w14:paraId="72D28E11"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Metroloģiskā izsekojamības ķēde (</w:t>
      </w:r>
      <w:r w:rsidRPr="004E7BEB">
        <w:rPr>
          <w:rFonts w:ascii="Times New Roman" w:hAnsi="Times New Roman"/>
          <w:b/>
          <w:i/>
          <w:iCs/>
          <w:sz w:val="24"/>
        </w:rPr>
        <w:t>VIM</w:t>
      </w:r>
      <w:r w:rsidRPr="004E7BEB">
        <w:rPr>
          <w:rFonts w:ascii="Times New Roman" w:hAnsi="Times New Roman"/>
          <w:b/>
          <w:sz w:val="24"/>
        </w:rPr>
        <w:t xml:space="preserve"> 3, 2.42. punkts)</w:t>
      </w:r>
    </w:p>
    <w:p w14:paraId="12A112CC" w14:textId="77777777" w:rsidR="007F0CFD" w:rsidRPr="004E7BEB" w:rsidRDefault="007F0CFD" w:rsidP="007F0CFD">
      <w:pPr>
        <w:pStyle w:val="BodyText"/>
      </w:pPr>
      <w:r w:rsidRPr="004E7BEB">
        <w:t>Mērvienības etalonu un kalibrēšanas secība, ko izmanto, lai saistītu mērījumu rezultātu ar referenci.</w:t>
      </w:r>
    </w:p>
    <w:p w14:paraId="485ACFE2" w14:textId="77777777" w:rsidR="007F0CFD" w:rsidRPr="004E7BEB" w:rsidRDefault="007F0CFD" w:rsidP="007F0CFD">
      <w:pPr>
        <w:jc w:val="both"/>
        <w:rPr>
          <w:rFonts w:ascii="Times New Roman" w:eastAsia="Times New Roman" w:hAnsi="Times New Roman" w:cs="Times New Roman"/>
          <w:noProof/>
          <w:sz w:val="24"/>
          <w:szCs w:val="24"/>
        </w:rPr>
      </w:pPr>
    </w:p>
    <w:p w14:paraId="5EE5FEA5"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Metroloģiskā izsekojamība līdz mērvienībai (</w:t>
      </w:r>
      <w:r w:rsidRPr="004E7BEB">
        <w:rPr>
          <w:rFonts w:ascii="Times New Roman" w:hAnsi="Times New Roman"/>
          <w:b/>
          <w:i/>
          <w:iCs/>
          <w:sz w:val="24"/>
        </w:rPr>
        <w:t>VIM</w:t>
      </w:r>
      <w:r w:rsidRPr="004E7BEB">
        <w:rPr>
          <w:rFonts w:ascii="Times New Roman" w:hAnsi="Times New Roman"/>
          <w:b/>
          <w:sz w:val="24"/>
        </w:rPr>
        <w:t xml:space="preserve"> 3, 2.43. punkts)</w:t>
      </w:r>
    </w:p>
    <w:p w14:paraId="3866EF36" w14:textId="77777777" w:rsidR="007F0CFD" w:rsidRPr="004E7BEB" w:rsidRDefault="007F0CFD" w:rsidP="007F0CFD">
      <w:pPr>
        <w:pStyle w:val="BodyText"/>
      </w:pPr>
      <w:r w:rsidRPr="004E7BEB">
        <w:t>Metroloģiskā izsekojamība, kur reference ir mērvienības definīcija ar tās praktisko realizāciju.</w:t>
      </w:r>
    </w:p>
    <w:p w14:paraId="5FF3BA57" w14:textId="77777777" w:rsidR="007F0CFD" w:rsidRPr="004E7BEB" w:rsidRDefault="007F0CFD" w:rsidP="007F0CFD">
      <w:pPr>
        <w:pStyle w:val="BodyText"/>
      </w:pPr>
      <w:r w:rsidRPr="004E7BEB">
        <w:t>Piezīme. Izteiciens “izsekojamība līdz SI” ir “metroloģiskā izsekojamība līdz Starptautiskās mērvienību sistēmas mērvienībai”.</w:t>
      </w:r>
    </w:p>
    <w:p w14:paraId="24407FA3" w14:textId="77777777" w:rsidR="007F0CFD" w:rsidRPr="004E7BEB" w:rsidRDefault="007F0CFD" w:rsidP="007F0CFD">
      <w:pPr>
        <w:jc w:val="both"/>
        <w:rPr>
          <w:rFonts w:ascii="Times New Roman" w:eastAsia="Times New Roman" w:hAnsi="Times New Roman" w:cs="Times New Roman"/>
          <w:noProof/>
          <w:sz w:val="24"/>
          <w:szCs w:val="24"/>
        </w:rPr>
      </w:pPr>
    </w:p>
    <w:p w14:paraId="596D567F"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NMI</w:t>
      </w:r>
    </w:p>
    <w:p w14:paraId="529C2E83"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Nacionālais metroloģijas institūts</w:t>
      </w:r>
    </w:p>
    <w:p w14:paraId="4CB13267" w14:textId="77777777" w:rsidR="007F0CFD" w:rsidRPr="004E7BEB" w:rsidRDefault="007F0CFD" w:rsidP="007F0CFD">
      <w:pPr>
        <w:pStyle w:val="BodyText"/>
      </w:pPr>
      <w:r w:rsidRPr="004E7BEB">
        <w:t>Nacionālais metroloģijas institūts (NMI) un pilnvarotie institūti (PI), kas valstīs (vai reģionos) visā pasaulē uztur mērvienību etalonus. Terminu “NMI” šajā dokumentā lieto abu institūciju apzīmēšanai.</w:t>
      </w:r>
    </w:p>
    <w:p w14:paraId="44E778F4" w14:textId="77777777" w:rsidR="007F0CFD" w:rsidRPr="004E7BEB" w:rsidRDefault="007F0CFD" w:rsidP="007F0CFD">
      <w:pPr>
        <w:jc w:val="both"/>
        <w:rPr>
          <w:rFonts w:ascii="Times New Roman" w:eastAsia="Times New Roman" w:hAnsi="Times New Roman" w:cs="Times New Roman"/>
          <w:noProof/>
          <w:sz w:val="24"/>
          <w:szCs w:val="24"/>
        </w:rPr>
      </w:pPr>
    </w:p>
    <w:p w14:paraId="7F17F2D1"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RM</w:t>
      </w:r>
    </w:p>
    <w:p w14:paraId="54CB3562" w14:textId="77777777" w:rsidR="007F0CFD" w:rsidRPr="004E7BEB" w:rsidRDefault="007F0CFD" w:rsidP="007F0CFD">
      <w:pPr>
        <w:pStyle w:val="BodyText"/>
      </w:pPr>
      <w:r w:rsidRPr="004E7BEB">
        <w:t>References materiāls</w:t>
      </w:r>
    </w:p>
    <w:p w14:paraId="12CBDB61" w14:textId="77777777" w:rsidR="007F0CFD" w:rsidRPr="004E7BEB" w:rsidRDefault="007F0CFD" w:rsidP="007F0CFD">
      <w:pPr>
        <w:pStyle w:val="BodyText"/>
      </w:pPr>
      <w:r w:rsidRPr="004E7BEB">
        <w:t>Pietiekami viendabīgs un stabils materiāls, ņemot vērā vienu vai vairākas specifiskas īpašības, attiecībā uz kuru ir noteikts, ka tas ir piemērots paredzētajam lietojumam mērīšanas procesā (ISO 17034:2016).</w:t>
      </w:r>
    </w:p>
    <w:p w14:paraId="31ABC57F" w14:textId="77777777" w:rsidR="007F0CFD" w:rsidRPr="004E7BEB" w:rsidRDefault="007F0CFD" w:rsidP="007F0CFD">
      <w:pPr>
        <w:jc w:val="both"/>
        <w:rPr>
          <w:rFonts w:ascii="Times New Roman" w:eastAsia="Times New Roman" w:hAnsi="Times New Roman" w:cs="Times New Roman"/>
          <w:noProof/>
          <w:sz w:val="24"/>
          <w:szCs w:val="24"/>
        </w:rPr>
      </w:pPr>
    </w:p>
    <w:p w14:paraId="25C467E3" w14:textId="77777777" w:rsidR="007F0CFD" w:rsidRPr="004E7BEB" w:rsidRDefault="007F0CFD" w:rsidP="007F0CFD">
      <w:pPr>
        <w:jc w:val="both"/>
        <w:rPr>
          <w:rFonts w:ascii="Times New Roman" w:hAnsi="Times New Roman" w:cs="Times New Roman"/>
          <w:b/>
          <w:noProof/>
          <w:sz w:val="24"/>
          <w:szCs w:val="24"/>
        </w:rPr>
      </w:pPr>
      <w:r w:rsidRPr="004E7BEB">
        <w:rPr>
          <w:rFonts w:ascii="Times New Roman" w:hAnsi="Times New Roman"/>
          <w:b/>
          <w:sz w:val="24"/>
        </w:rPr>
        <w:t>RMR</w:t>
      </w:r>
    </w:p>
    <w:p w14:paraId="7AD245A1" w14:textId="77777777" w:rsidR="007F0CFD" w:rsidRPr="004E7BEB" w:rsidRDefault="007F0CFD" w:rsidP="007F0CFD">
      <w:pPr>
        <w:pStyle w:val="BodyText"/>
      </w:pPr>
      <w:r w:rsidRPr="004E7BEB">
        <w:t>References materiālu ražotājs</w:t>
      </w:r>
    </w:p>
    <w:p w14:paraId="6FC62D58" w14:textId="77777777" w:rsidR="007F0CFD" w:rsidRPr="004E7BEB" w:rsidRDefault="007F0CFD" w:rsidP="007F0CFD">
      <w:pPr>
        <w:pStyle w:val="BodyText"/>
      </w:pPr>
      <w:r w:rsidRPr="004E7BEB">
        <w:t>Institūcija (publiska vai privāta organizācija vai uzņēmums), kas pilnībā atbild par references materiālu ražošanas plānošanu un vadību, novērtēšanu un lēmumu pieņemšanu par references materiālu vērtībām un ar to saistītām nenoteiktībām; piešķirto vērtību apstiprināšanu; references materiālu sertifikātu izdošanu vai citu paziņojumu izteikšanu, kas saistīti ar izstrādātajiem references materiāliem (ISO 17034: 2016).</w:t>
      </w:r>
    </w:p>
    <w:p w14:paraId="20C66C8D" w14:textId="77777777" w:rsidR="007F0CFD" w:rsidRPr="004E7BEB" w:rsidRDefault="007F0CFD" w:rsidP="007F0CFD">
      <w:pPr>
        <w:jc w:val="both"/>
        <w:rPr>
          <w:rFonts w:ascii="Times New Roman" w:eastAsia="Times New Roman" w:hAnsi="Times New Roman" w:cs="Times New Roman"/>
          <w:noProof/>
          <w:sz w:val="24"/>
          <w:szCs w:val="24"/>
        </w:rPr>
      </w:pPr>
    </w:p>
    <w:p w14:paraId="69BFDEF7" w14:textId="77777777" w:rsidR="00164AD6" w:rsidRDefault="00164AD6">
      <w:pPr>
        <w:rPr>
          <w:rFonts w:ascii="Times New Roman" w:eastAsia="Times New Roman" w:hAnsi="Times New Roman" w:cs="Times New Roman"/>
          <w:b/>
          <w:bCs/>
          <w:noProof/>
          <w:sz w:val="24"/>
          <w:szCs w:val="24"/>
        </w:rPr>
      </w:pPr>
      <w:bookmarkStart w:id="8" w:name="_Toc116375386"/>
      <w:r>
        <w:br w:type="page"/>
      </w:r>
    </w:p>
    <w:p w14:paraId="773F2021" w14:textId="0DC8C1CF" w:rsidR="007F0CFD" w:rsidRPr="004E7BEB" w:rsidRDefault="007F0CFD" w:rsidP="004E6329">
      <w:pPr>
        <w:pStyle w:val="Heading1"/>
      </w:pPr>
      <w:r w:rsidRPr="004E7BEB">
        <w:lastRenderedPageBreak/>
        <w:t xml:space="preserve">2. </w:t>
      </w:r>
      <w:r w:rsidRPr="004E7BEB">
        <w:rPr>
          <w:i/>
          <w:iCs/>
        </w:rPr>
        <w:t>ILAC</w:t>
      </w:r>
      <w:r w:rsidRPr="004E7BEB">
        <w:t xml:space="preserve"> POLITIKA ATTIECĪBĀ UZ MĒRĪJUMU REZULTĀTU METROLOĢISKO IZSEKOJAMĪBU</w:t>
      </w:r>
      <w:bookmarkEnd w:id="8"/>
    </w:p>
    <w:p w14:paraId="4BC09A0F" w14:textId="77777777" w:rsidR="007F0CFD" w:rsidRPr="004E7BEB" w:rsidRDefault="007F0CFD" w:rsidP="007F0CFD">
      <w:pPr>
        <w:jc w:val="both"/>
        <w:rPr>
          <w:rFonts w:ascii="Times New Roman" w:eastAsia="Times New Roman" w:hAnsi="Times New Roman" w:cs="Times New Roman"/>
          <w:b/>
          <w:bCs/>
          <w:noProof/>
          <w:sz w:val="24"/>
          <w:szCs w:val="24"/>
        </w:rPr>
      </w:pPr>
    </w:p>
    <w:p w14:paraId="36E305E5" w14:textId="77777777" w:rsidR="007F0CFD" w:rsidRPr="004E7BEB" w:rsidRDefault="007F0CFD" w:rsidP="007F0CFD">
      <w:pPr>
        <w:pStyle w:val="BodyText"/>
      </w:pPr>
      <w:r w:rsidRPr="004E7BEB">
        <w:t xml:space="preserve">Ja tiek prasīta metroloģiskā izsekojamība, saskaņā ar </w:t>
      </w:r>
      <w:r w:rsidRPr="004E7BEB">
        <w:rPr>
          <w:i/>
          <w:iCs/>
        </w:rPr>
        <w:t>ILAC</w:t>
      </w:r>
      <w:r w:rsidRPr="004E7BEB">
        <w:t xml:space="preserve"> politiku mēraparatūru</w:t>
      </w:r>
      <w:r w:rsidRPr="004E7BEB">
        <w:rPr>
          <w:vertAlign w:val="superscript"/>
        </w:rPr>
        <w:t xml:space="preserve">(1) </w:t>
      </w:r>
      <w:r w:rsidRPr="004E7BEB">
        <w:t xml:space="preserve"> kalibrē:</w:t>
      </w:r>
    </w:p>
    <w:p w14:paraId="3E65F0DE" w14:textId="77777777" w:rsidR="007F0CFD" w:rsidRPr="004E7BEB" w:rsidRDefault="007F0CFD" w:rsidP="007F0CFD">
      <w:pPr>
        <w:jc w:val="both"/>
        <w:rPr>
          <w:rFonts w:ascii="Times New Roman" w:eastAsia="Times New Roman" w:hAnsi="Times New Roman" w:cs="Times New Roman"/>
          <w:noProof/>
          <w:sz w:val="24"/>
          <w:szCs w:val="24"/>
        </w:rPr>
      </w:pPr>
    </w:p>
    <w:p w14:paraId="67D643D8" w14:textId="77777777" w:rsidR="007F0CFD" w:rsidRPr="004E7BEB" w:rsidRDefault="007F0CFD" w:rsidP="007F0CFD">
      <w:pPr>
        <w:pStyle w:val="BodyText"/>
        <w:tabs>
          <w:tab w:val="left" w:pos="851"/>
        </w:tabs>
        <w:ind w:left="284"/>
      </w:pPr>
      <w:r w:rsidRPr="004E7BEB">
        <w:t>1) nacionālais metroloģijas institūts (NMI), kura pakalpojumi ir piemēroti paredzētām vajadzībām un kurš ietilpst Starptautiskās svaru un mēru komitejas Savstarpējās atzīšanas nolīgumā (</w:t>
      </w:r>
      <w:r w:rsidRPr="004E7BEB">
        <w:rPr>
          <w:i/>
          <w:iCs/>
        </w:rPr>
        <w:t>CIPM MRA</w:t>
      </w:r>
      <w:r w:rsidRPr="004E7BEB">
        <w:t xml:space="preserve">). Pakalpojumus, kas iekļauti </w:t>
      </w:r>
      <w:r w:rsidRPr="004E7BEB">
        <w:rPr>
          <w:i/>
          <w:iCs/>
        </w:rPr>
        <w:t>CIPM MRA</w:t>
      </w:r>
      <w:r w:rsidRPr="004E7BEB">
        <w:t>, var skatīt Starptautiskā svaru un mēru biroja salīdzinošajā datubāzē (</w:t>
      </w:r>
      <w:r w:rsidRPr="004E7BEB">
        <w:rPr>
          <w:i/>
          <w:iCs/>
        </w:rPr>
        <w:t>BIPM KCDB</w:t>
      </w:r>
      <w:r w:rsidRPr="004E7BEB">
        <w:t>), kurā ir sniegtas kalibrēšanas un mērīšanas spējas (KMS) attiecībā uz katru uzskaitīto pakalpojumu.</w:t>
      </w:r>
    </w:p>
    <w:p w14:paraId="21F5B573"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6A3EB98B" w14:textId="77777777" w:rsidR="007F0CFD" w:rsidRPr="004E7BEB" w:rsidRDefault="007F0CFD" w:rsidP="007F0CFD">
      <w:pPr>
        <w:pStyle w:val="BodyText"/>
        <w:tabs>
          <w:tab w:val="left" w:pos="851"/>
        </w:tabs>
        <w:ind w:left="284"/>
      </w:pPr>
      <w:r w:rsidRPr="004E7BEB">
        <w:t xml:space="preserve">1. piezīme. Daži NMI var arī norādīt, ka to pakalpojumi ietilpst </w:t>
      </w:r>
      <w:r w:rsidRPr="004E7BEB">
        <w:rPr>
          <w:i/>
          <w:iCs/>
        </w:rPr>
        <w:t>CIPM MRA</w:t>
      </w:r>
      <w:r w:rsidRPr="004E7BEB">
        <w:t xml:space="preserve">, savā kalibrācijas sertifikātā iekļaujot </w:t>
      </w:r>
      <w:r w:rsidRPr="004E7BEB">
        <w:rPr>
          <w:i/>
          <w:iCs/>
        </w:rPr>
        <w:t>CIPM MRA</w:t>
      </w:r>
      <w:r w:rsidRPr="004E7BEB">
        <w:t xml:space="preserve"> logotipu, tomēr logotipa norādīšana nav obligāta un </w:t>
      </w:r>
      <w:r w:rsidRPr="004E7BEB">
        <w:rPr>
          <w:i/>
          <w:iCs/>
        </w:rPr>
        <w:t>BIPM KCDB</w:t>
      </w:r>
      <w:r w:rsidRPr="004E7BEB">
        <w:t xml:space="preserve"> ir autoritatīvs verifikācijas avots.</w:t>
      </w:r>
    </w:p>
    <w:p w14:paraId="0360EF41"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38C7375A" w14:textId="77777777" w:rsidR="007F0CFD" w:rsidRPr="004E7BEB" w:rsidRDefault="007F0CFD" w:rsidP="007F0CFD">
      <w:pPr>
        <w:pStyle w:val="BodyText"/>
        <w:tabs>
          <w:tab w:val="left" w:pos="851"/>
        </w:tabs>
        <w:ind w:left="284"/>
      </w:pPr>
      <w:r w:rsidRPr="004E7BEB">
        <w:t xml:space="preserve">2. piezīme. To dalībvalstu NMI, kas piedalās Metra konvencijā, var ņemt metroloģisko izsekojamību tieši no </w:t>
      </w:r>
      <w:r w:rsidRPr="004E7BEB">
        <w:rPr>
          <w:i/>
          <w:iCs/>
        </w:rPr>
        <w:t>BIPM</w:t>
      </w:r>
      <w:r w:rsidRPr="004E7BEB">
        <w:t xml:space="preserve"> veiktajiem mērījumiem. </w:t>
      </w:r>
      <w:r w:rsidRPr="004E7BEB">
        <w:rPr>
          <w:i/>
          <w:iCs/>
        </w:rPr>
        <w:t>KCDB</w:t>
      </w:r>
      <w:r w:rsidRPr="004E7BEB">
        <w:t xml:space="preserve"> sniedz automātisku saiti uz attiecīgajiem </w:t>
      </w:r>
      <w:r w:rsidRPr="004E7BEB">
        <w:rPr>
          <w:i/>
          <w:iCs/>
        </w:rPr>
        <w:t>BIPM</w:t>
      </w:r>
      <w:r w:rsidRPr="004E7BEB">
        <w:t xml:space="preserve"> kalibrēšanas pakalpojumiem (tostarp diapazonu un nenoteiktību). Ir uzskaitīti arī atsevišķi kalibrācijas sertifikāti, ko izdevis </w:t>
      </w:r>
      <w:r w:rsidRPr="004E7BEB">
        <w:rPr>
          <w:i/>
          <w:iCs/>
        </w:rPr>
        <w:t>BIPM</w:t>
      </w:r>
      <w:r w:rsidRPr="004E7BEB">
        <w:t>;</w:t>
      </w:r>
    </w:p>
    <w:p w14:paraId="4DA34E03"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0CF4AC86" w14:textId="77777777" w:rsidR="007F0CFD" w:rsidRPr="004E7BEB" w:rsidRDefault="007F0CFD" w:rsidP="007F0CFD">
      <w:pPr>
        <w:pStyle w:val="BodyText"/>
        <w:tabs>
          <w:tab w:val="left" w:pos="851"/>
        </w:tabs>
        <w:ind w:left="284"/>
      </w:pPr>
      <w:r w:rsidRPr="004E7BEB">
        <w:t>vai</w:t>
      </w:r>
    </w:p>
    <w:p w14:paraId="218B4595"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76F921BE" w14:textId="77777777" w:rsidR="007F0CFD" w:rsidRPr="004E7BEB" w:rsidRDefault="007F0CFD" w:rsidP="007F0CFD">
      <w:pPr>
        <w:pStyle w:val="BodyText"/>
        <w:tabs>
          <w:tab w:val="left" w:pos="851"/>
        </w:tabs>
        <w:ind w:left="284"/>
      </w:pPr>
      <w:r w:rsidRPr="004E7BEB">
        <w:t xml:space="preserve">2) akreditēta kalibrēšanas laboratorija, kuras pakalpojumi ir piemēroti paredzētām vajadzībām (t. i., akreditācijas joma konkrēti aptver attiecīgo kalibrēšanu), un akreditācijas iestāde ietilpst </w:t>
      </w:r>
      <w:r w:rsidRPr="004E7BEB">
        <w:rPr>
          <w:i/>
          <w:iCs/>
        </w:rPr>
        <w:t>ILAC</w:t>
      </w:r>
      <w:r w:rsidRPr="004E7BEB">
        <w:t xml:space="preserve"> nolīgumā vai </w:t>
      </w:r>
      <w:r w:rsidRPr="004E7BEB">
        <w:rPr>
          <w:i/>
          <w:iCs/>
        </w:rPr>
        <w:t>ILAC</w:t>
      </w:r>
      <w:r w:rsidRPr="004E7BEB">
        <w:t xml:space="preserve"> atzītajos reģionālajos nolīgumos.</w:t>
      </w:r>
    </w:p>
    <w:p w14:paraId="4E907434"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16C6C43D" w14:textId="77777777" w:rsidR="007F0CFD" w:rsidRPr="004E7BEB" w:rsidRDefault="007F0CFD" w:rsidP="007F0CFD">
      <w:pPr>
        <w:pStyle w:val="BodyText"/>
        <w:tabs>
          <w:tab w:val="left" w:pos="851"/>
        </w:tabs>
        <w:ind w:left="284"/>
      </w:pPr>
      <w:r w:rsidRPr="004E7BEB">
        <w:t xml:space="preserve">3. piezīme. Lai kalibrēšanas laboratorija tiktu pilnībā atzīta saskaņā ar </w:t>
      </w:r>
      <w:r w:rsidRPr="004E7BEB">
        <w:rPr>
          <w:i/>
          <w:iCs/>
        </w:rPr>
        <w:t>ILAC MRA</w:t>
      </w:r>
      <w:r w:rsidRPr="004E7BEB">
        <w:t xml:space="preserve"> vai tās reģionālajiem ekvivalentiem, tās sertifikātā ir jābūt akreditācijas zīmei vai teksta atsaucei uz akreditāciju.</w:t>
      </w:r>
    </w:p>
    <w:p w14:paraId="6263075D" w14:textId="77777777" w:rsidR="007F0CFD" w:rsidRPr="004E7BEB" w:rsidRDefault="007F0CFD" w:rsidP="007F0CFD">
      <w:pPr>
        <w:pStyle w:val="BodyText"/>
        <w:tabs>
          <w:tab w:val="left" w:pos="851"/>
        </w:tabs>
        <w:ind w:left="284"/>
      </w:pPr>
      <w:r w:rsidRPr="004E7BEB">
        <w:t xml:space="preserve">Kalibrēšanas laboratorijas var norādīt, ka to pakalpojums tiek sniegts saskaņā ar </w:t>
      </w:r>
      <w:r w:rsidRPr="004E7BEB">
        <w:rPr>
          <w:i/>
          <w:iCs/>
        </w:rPr>
        <w:t>ILAC</w:t>
      </w:r>
      <w:r w:rsidRPr="004E7BEB">
        <w:t xml:space="preserve"> nolīgumu, kalibrēšanas sertifikātā norādot:</w:t>
      </w:r>
    </w:p>
    <w:p w14:paraId="0C1E6543" w14:textId="77777777" w:rsidR="007F0CFD" w:rsidRPr="004E7BEB" w:rsidRDefault="007F0CFD" w:rsidP="007F0CFD">
      <w:pPr>
        <w:pStyle w:val="BodyText"/>
        <w:numPr>
          <w:ilvl w:val="2"/>
          <w:numId w:val="3"/>
        </w:numPr>
        <w:tabs>
          <w:tab w:val="left" w:pos="1134"/>
        </w:tabs>
        <w:ind w:left="567" w:firstLine="0"/>
      </w:pPr>
      <w:r w:rsidRPr="004E7BEB">
        <w:t xml:space="preserve">kombinēto </w:t>
      </w:r>
      <w:r w:rsidRPr="004E7BEB">
        <w:rPr>
          <w:i/>
          <w:iCs/>
        </w:rPr>
        <w:t>ILAC MRA</w:t>
      </w:r>
      <w:r w:rsidRPr="004E7BEB">
        <w:t xml:space="preserve"> zīmi vai</w:t>
      </w:r>
    </w:p>
    <w:p w14:paraId="051F7317" w14:textId="77777777" w:rsidR="007F0CFD" w:rsidRPr="004E7BEB" w:rsidRDefault="007F0CFD" w:rsidP="007F0CFD">
      <w:pPr>
        <w:pStyle w:val="BodyText"/>
        <w:numPr>
          <w:ilvl w:val="2"/>
          <w:numId w:val="3"/>
        </w:numPr>
        <w:tabs>
          <w:tab w:val="left" w:pos="1134"/>
        </w:tabs>
        <w:ind w:left="567" w:firstLine="0"/>
      </w:pPr>
      <w:r w:rsidRPr="004E7BEB">
        <w:t xml:space="preserve">akreditācijas iestādes (kas ir </w:t>
      </w:r>
      <w:r w:rsidRPr="004E7BEB">
        <w:rPr>
          <w:i/>
          <w:iCs/>
        </w:rPr>
        <w:t>ILAC</w:t>
      </w:r>
      <w:r w:rsidRPr="004E7BEB">
        <w:t xml:space="preserve"> nolīguma parakstītāja) akreditācijas zīmi, vai atsauci uz tās akreditācijas statusu.</w:t>
      </w:r>
    </w:p>
    <w:p w14:paraId="228EF23A" w14:textId="77777777" w:rsidR="007F0CFD" w:rsidRPr="004E7BEB" w:rsidRDefault="007F0CFD" w:rsidP="007F0CFD">
      <w:pPr>
        <w:pStyle w:val="BodyText"/>
        <w:tabs>
          <w:tab w:val="left" w:pos="851"/>
        </w:tabs>
        <w:ind w:left="284"/>
      </w:pPr>
      <w:r w:rsidRPr="004E7BEB">
        <w:t>Abi šie varianti var būt kā apliecinājums metroloģiskajai izsekojamībai (</w:t>
      </w:r>
      <w:r w:rsidRPr="004E7BEB">
        <w:rPr>
          <w:i/>
          <w:iCs/>
        </w:rPr>
        <w:t>ILAC</w:t>
      </w:r>
      <w:r w:rsidRPr="004E7BEB">
        <w:t xml:space="preserve"> P8</w:t>
      </w:r>
      <w:r w:rsidRPr="004E7BEB">
        <w:rPr>
          <w:vertAlign w:val="superscript"/>
        </w:rPr>
        <w:t>[6]</w:t>
      </w:r>
      <w:r w:rsidRPr="004E7BEB">
        <w:t>);</w:t>
      </w:r>
    </w:p>
    <w:p w14:paraId="60EF6FBD"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5C9E893D" w14:textId="77777777" w:rsidR="007F0CFD" w:rsidRPr="004E7BEB" w:rsidRDefault="007F0CFD" w:rsidP="007F0CFD">
      <w:pPr>
        <w:pStyle w:val="BodyText"/>
        <w:tabs>
          <w:tab w:val="left" w:pos="851"/>
        </w:tabs>
        <w:ind w:left="284"/>
      </w:pPr>
      <w:r w:rsidRPr="004E7BEB">
        <w:t>vai</w:t>
      </w:r>
    </w:p>
    <w:p w14:paraId="4903D25C"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32A9EE29" w14:textId="77777777" w:rsidR="007F0CFD" w:rsidRPr="004E7BEB" w:rsidRDefault="007F0CFD" w:rsidP="007F0CFD">
      <w:pPr>
        <w:pStyle w:val="BodyText"/>
        <w:tabs>
          <w:tab w:val="left" w:pos="851"/>
        </w:tabs>
        <w:ind w:left="284"/>
      </w:pPr>
      <w:r w:rsidRPr="004E7BEB">
        <w:t xml:space="preserve">3a) NMI, kura pakalpojumi ir piemēroti paredzētām vajadzībām, bet nav ietverti </w:t>
      </w:r>
      <w:r w:rsidRPr="004E7BEB">
        <w:rPr>
          <w:i/>
          <w:iCs/>
        </w:rPr>
        <w:t>CIPM MRA</w:t>
      </w:r>
      <w:r w:rsidRPr="004E7BEB">
        <w:t>. Šajā gadījumā akreditācijas iestāde izstrādā politiku, lai nodrošinātu, ka šie pakalpojumi atbilst attiecīgajiem metroloģiskās izsekojamības kritērijiem standartā ISO/IEC 17025,</w:t>
      </w:r>
    </w:p>
    <w:p w14:paraId="3C227376"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10B4442C" w14:textId="77777777" w:rsidR="007F0CFD" w:rsidRPr="004E7BEB" w:rsidRDefault="007F0CFD" w:rsidP="007F0CFD">
      <w:pPr>
        <w:pStyle w:val="BodyText"/>
        <w:tabs>
          <w:tab w:val="left" w:pos="851"/>
        </w:tabs>
        <w:ind w:left="284"/>
      </w:pPr>
      <w:r w:rsidRPr="004E7BEB">
        <w:t>vai</w:t>
      </w:r>
    </w:p>
    <w:p w14:paraId="6EA7F857"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3CEF0FD3" w14:textId="77777777" w:rsidR="007F0CFD" w:rsidRPr="004E7BEB" w:rsidRDefault="007F0CFD" w:rsidP="007F0CFD">
      <w:pPr>
        <w:pStyle w:val="BodyText"/>
        <w:tabs>
          <w:tab w:val="left" w:pos="851"/>
        </w:tabs>
        <w:ind w:left="284"/>
      </w:pPr>
      <w:r w:rsidRPr="004E7BEB">
        <w:t xml:space="preserve">3b) laboratorija, kuras kalibrēšanas pakalpojumi ir piemēroti paredzētām vajadzībām, bet kura neietilpst </w:t>
      </w:r>
      <w:r w:rsidRPr="004E7BEB">
        <w:rPr>
          <w:i/>
          <w:iCs/>
        </w:rPr>
        <w:t>ILAC</w:t>
      </w:r>
      <w:r w:rsidRPr="004E7BEB">
        <w:t xml:space="preserve"> nolīgumā vai </w:t>
      </w:r>
      <w:r w:rsidRPr="004E7BEB">
        <w:rPr>
          <w:i/>
          <w:iCs/>
        </w:rPr>
        <w:t>ILAC</w:t>
      </w:r>
      <w:r w:rsidRPr="004E7BEB">
        <w:t xml:space="preserve"> atzītajos reģionālajos nolīgumos. Šajā gadījumā akreditācijas iestāde izstrādā politiku, lai nodrošinātu, ka šie pakalpojumi atbilst attiecīgajiem metroloģiskās izsekojamības kritērijiem standartā ISO/IEC 17025.</w:t>
      </w:r>
    </w:p>
    <w:p w14:paraId="3A3EF2FC" w14:textId="77777777" w:rsidR="007F0CFD" w:rsidRPr="004E7BEB" w:rsidRDefault="007F0CFD" w:rsidP="007F0CFD">
      <w:pPr>
        <w:jc w:val="both"/>
        <w:rPr>
          <w:rFonts w:ascii="Times New Roman" w:eastAsia="Times New Roman" w:hAnsi="Times New Roman" w:cs="Times New Roman"/>
          <w:noProof/>
          <w:sz w:val="24"/>
          <w:szCs w:val="24"/>
        </w:rPr>
      </w:pPr>
    </w:p>
    <w:p w14:paraId="1BFC8584" w14:textId="77777777" w:rsidR="007F0CFD" w:rsidRPr="004E7BEB" w:rsidRDefault="007F0CFD" w:rsidP="007F0CFD">
      <w:pPr>
        <w:jc w:val="both"/>
        <w:rPr>
          <w:rFonts w:ascii="Times New Roman" w:eastAsia="Times New Roman" w:hAnsi="Times New Roman" w:cs="Times New Roman"/>
          <w:noProof/>
          <w:sz w:val="24"/>
          <w:szCs w:val="24"/>
        </w:rPr>
      </w:pPr>
      <w:r w:rsidRPr="004E7BEB">
        <w:rPr>
          <w:rFonts w:ascii="Times New Roman" w:hAnsi="Times New Roman"/>
          <w:sz w:val="24"/>
        </w:rPr>
        <w:t xml:space="preserve">1) Termins “aparatūra” ir minēts atbilstoši ISO/IEC 17025:2017 standartā sniegtajai </w:t>
      </w:r>
      <w:r w:rsidRPr="004E7BEB">
        <w:rPr>
          <w:rFonts w:ascii="Times New Roman" w:hAnsi="Times New Roman"/>
          <w:sz w:val="24"/>
        </w:rPr>
        <w:lastRenderedPageBreak/>
        <w:t>interpretācijai (t. i., ietver etalonus un references materiālus).</w:t>
      </w:r>
    </w:p>
    <w:p w14:paraId="419AD5DF" w14:textId="77777777" w:rsidR="007F0CFD" w:rsidRPr="004E7BEB" w:rsidRDefault="007F0CFD" w:rsidP="007F0CFD">
      <w:pPr>
        <w:jc w:val="both"/>
        <w:rPr>
          <w:rFonts w:ascii="Times New Roman" w:eastAsia="Times New Roman" w:hAnsi="Times New Roman" w:cs="Times New Roman"/>
          <w:noProof/>
          <w:sz w:val="24"/>
          <w:szCs w:val="24"/>
        </w:rPr>
      </w:pPr>
    </w:p>
    <w:p w14:paraId="6C0B9956" w14:textId="77777777" w:rsidR="007F0CFD" w:rsidRPr="004E7BEB" w:rsidRDefault="007F0CFD" w:rsidP="007F0CFD">
      <w:pPr>
        <w:pStyle w:val="BodyText"/>
      </w:pPr>
      <w:r w:rsidRPr="004E7BEB">
        <w:t>Akreditētas organizācijas, kas ir apliecinājušas savu mērījumu rezultātu metroloģisko izsekojamību, izmantojot 1) un 2) punktā minētos kalibrēšanas pakalpojumus, ir izmantojušas pakalpojumus, kuriem veikta attiecīga speciālistu īstenota salīdzinošā pārskatīšana vai akreditācija. Tas tā nav situācijās, uz kurām attiecas 3a) vai 3b) punkts, tāpēc šie varianti būtu piemērojami vien tad, ja konkrēto kalibrēšanu nav iespējams veikt saskaņā ar 1) vai 2) punktu.</w:t>
      </w:r>
    </w:p>
    <w:p w14:paraId="14066378" w14:textId="77777777" w:rsidR="007F0CFD" w:rsidRPr="004E7BEB" w:rsidRDefault="007F0CFD" w:rsidP="007F0CFD">
      <w:pPr>
        <w:jc w:val="both"/>
        <w:rPr>
          <w:rFonts w:ascii="Times New Roman" w:eastAsia="Times New Roman" w:hAnsi="Times New Roman" w:cs="Times New Roman"/>
          <w:noProof/>
          <w:sz w:val="24"/>
          <w:szCs w:val="24"/>
        </w:rPr>
      </w:pPr>
    </w:p>
    <w:p w14:paraId="5422A35F" w14:textId="77777777" w:rsidR="007F0CFD" w:rsidRPr="004E7BEB" w:rsidRDefault="007F0CFD" w:rsidP="007F0CFD">
      <w:pPr>
        <w:pStyle w:val="BodyText"/>
      </w:pPr>
      <w:r w:rsidRPr="004E7BEB">
        <w:t>Akreditētām organizācijām tāpēc ir jānodrošina, ka tās var sniegt atbilstošu apliecinājumu par prasīto metroloģisko izsekojamību un mērījuma nenoteiktību, un akreditācijas iestāde novērtē šo apliecinājumu. Sīkākas vadlīnijas ir sniegtas A pielikumā.</w:t>
      </w:r>
    </w:p>
    <w:p w14:paraId="4FE256DE" w14:textId="77777777" w:rsidR="007F0CFD" w:rsidRPr="004E7BEB" w:rsidRDefault="007F0CFD" w:rsidP="007F0CFD">
      <w:pPr>
        <w:jc w:val="both"/>
        <w:rPr>
          <w:rFonts w:ascii="Times New Roman" w:eastAsia="Times New Roman" w:hAnsi="Times New Roman" w:cs="Times New Roman"/>
          <w:noProof/>
          <w:sz w:val="24"/>
          <w:szCs w:val="24"/>
        </w:rPr>
      </w:pPr>
    </w:p>
    <w:p w14:paraId="392B56F2" w14:textId="77777777" w:rsidR="007F0CFD" w:rsidRPr="004E7BEB" w:rsidRDefault="007F0CFD" w:rsidP="007F0CFD">
      <w:pPr>
        <w:pStyle w:val="BodyText"/>
      </w:pPr>
      <w:r w:rsidRPr="004E7BEB">
        <w:rPr>
          <w:i/>
          <w:iCs/>
        </w:rPr>
        <w:t>ILAC</w:t>
      </w:r>
      <w:r w:rsidRPr="004E7BEB">
        <w:t xml:space="preserve"> politika attiecībā uz metroloģisko izsekojamību, ko nodrošina references materiāla ražotāji (RMR), izmantojot sertificētus references materiālus (SRM), ir tāda, ka tiek uzskatīts, ka sertificētajām vērtībām, kas ir piešķirtas SRM, ir noteikta derīga metroloģiskā izsekojamība, ja:</w:t>
      </w:r>
    </w:p>
    <w:p w14:paraId="4EB342A7" w14:textId="77777777" w:rsidR="007F0CFD" w:rsidRPr="004E7BEB" w:rsidRDefault="007F0CFD" w:rsidP="007F0CFD">
      <w:pPr>
        <w:jc w:val="both"/>
        <w:rPr>
          <w:rFonts w:ascii="Times New Roman" w:eastAsia="Times New Roman" w:hAnsi="Times New Roman" w:cs="Times New Roman"/>
          <w:noProof/>
          <w:sz w:val="24"/>
          <w:szCs w:val="24"/>
        </w:rPr>
      </w:pPr>
    </w:p>
    <w:p w14:paraId="4E10D81C" w14:textId="77777777" w:rsidR="007F0CFD" w:rsidRPr="004E7BEB" w:rsidRDefault="007F0CFD" w:rsidP="007F0CFD">
      <w:pPr>
        <w:pStyle w:val="BodyText"/>
        <w:tabs>
          <w:tab w:val="left" w:pos="851"/>
        </w:tabs>
        <w:ind w:left="284"/>
      </w:pPr>
      <w:r w:rsidRPr="004E7BEB">
        <w:t xml:space="preserve">4) SRM ir izgatavojuši nacionālie metroloģijas institūti (NMI), izmantojot pakalpojumu, kas ir iekļauts </w:t>
      </w:r>
      <w:r w:rsidRPr="004E7BEB">
        <w:rPr>
          <w:i/>
          <w:iCs/>
        </w:rPr>
        <w:t>BIPM KCDB</w:t>
      </w:r>
      <w:r w:rsidRPr="004E7BEB">
        <w:t>,</w:t>
      </w:r>
    </w:p>
    <w:p w14:paraId="773F8309"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5A92DA71" w14:textId="77777777" w:rsidR="007F0CFD" w:rsidRPr="004E7BEB" w:rsidRDefault="007F0CFD" w:rsidP="007F0CFD">
      <w:pPr>
        <w:pStyle w:val="BodyText"/>
        <w:tabs>
          <w:tab w:val="left" w:pos="851"/>
        </w:tabs>
        <w:ind w:left="284"/>
      </w:pPr>
      <w:r w:rsidRPr="004E7BEB">
        <w:t>vai</w:t>
      </w:r>
    </w:p>
    <w:p w14:paraId="4ED309BA"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1128F4E6" w14:textId="77777777" w:rsidR="007F0CFD" w:rsidRPr="004E7BEB" w:rsidRDefault="007F0CFD" w:rsidP="007F0CFD">
      <w:pPr>
        <w:pStyle w:val="BodyText"/>
        <w:tabs>
          <w:tab w:val="left" w:pos="851"/>
        </w:tabs>
        <w:ind w:left="284"/>
      </w:pPr>
      <w:r w:rsidRPr="004E7BEB">
        <w:t xml:space="preserve">5) SRM ir izgatavojis akreditēts references materiāla ražotājs (RMR) atbilstoši savai akreditācijas jomai, un akreditācijas iestāde ir iekļauta </w:t>
      </w:r>
      <w:r w:rsidRPr="004E7BEB">
        <w:rPr>
          <w:i/>
          <w:iCs/>
        </w:rPr>
        <w:t>ILAC</w:t>
      </w:r>
      <w:r w:rsidRPr="004E7BEB">
        <w:t xml:space="preserve"> nolīgumā vai </w:t>
      </w:r>
      <w:r w:rsidRPr="004E7BEB">
        <w:rPr>
          <w:i/>
          <w:iCs/>
        </w:rPr>
        <w:t>ILAC</w:t>
      </w:r>
      <w:r w:rsidRPr="004E7BEB">
        <w:t xml:space="preserve"> atzītajos reģionālajos nolīgumos,</w:t>
      </w:r>
    </w:p>
    <w:p w14:paraId="6B47C43D"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3B404A34" w14:textId="77777777" w:rsidR="007F0CFD" w:rsidRPr="004E7BEB" w:rsidRDefault="007F0CFD" w:rsidP="007F0CFD">
      <w:pPr>
        <w:pStyle w:val="BodyText"/>
        <w:tabs>
          <w:tab w:val="left" w:pos="851"/>
        </w:tabs>
        <w:ind w:left="284"/>
      </w:pPr>
      <w:r w:rsidRPr="004E7BEB">
        <w:t>vai</w:t>
      </w:r>
    </w:p>
    <w:p w14:paraId="2C6B720D" w14:textId="77777777" w:rsidR="007F0CFD" w:rsidRPr="004E7BEB" w:rsidRDefault="007F0CFD" w:rsidP="007F0CFD">
      <w:pPr>
        <w:tabs>
          <w:tab w:val="left" w:pos="851"/>
        </w:tabs>
        <w:ind w:left="284"/>
        <w:jc w:val="both"/>
        <w:rPr>
          <w:rFonts w:ascii="Times New Roman" w:eastAsia="Times New Roman" w:hAnsi="Times New Roman" w:cs="Times New Roman"/>
          <w:noProof/>
          <w:sz w:val="24"/>
          <w:szCs w:val="24"/>
        </w:rPr>
      </w:pPr>
    </w:p>
    <w:p w14:paraId="3103294D" w14:textId="77777777" w:rsidR="007F0CFD" w:rsidRPr="004E7BEB" w:rsidRDefault="007F0CFD" w:rsidP="007F0CFD">
      <w:pPr>
        <w:pStyle w:val="BodyText"/>
        <w:tabs>
          <w:tab w:val="left" w:pos="851"/>
        </w:tabs>
        <w:ind w:left="284"/>
      </w:pPr>
      <w:r w:rsidRPr="004E7BEB">
        <w:t>6) SRM piešķirtās sertificētās vērtības aptvertas ar ierakstiem Medicīnas laboratoriju izsekojamības apvienotās komitejas (</w:t>
      </w:r>
      <w:r w:rsidRPr="004E7BEB">
        <w:rPr>
          <w:i/>
          <w:iCs/>
        </w:rPr>
        <w:t>JCTLM</w:t>
      </w:r>
      <w:r w:rsidRPr="004E7BEB">
        <w:t>) datubāzē.</w:t>
      </w:r>
    </w:p>
    <w:p w14:paraId="61543AE0" w14:textId="77777777" w:rsidR="007F0CFD" w:rsidRPr="004E7BEB" w:rsidRDefault="007F0CFD" w:rsidP="007F0CFD">
      <w:pPr>
        <w:jc w:val="both"/>
        <w:rPr>
          <w:rFonts w:ascii="Times New Roman" w:hAnsi="Times New Roman" w:cs="Times New Roman"/>
          <w:noProof/>
          <w:sz w:val="24"/>
          <w:szCs w:val="24"/>
        </w:rPr>
      </w:pPr>
    </w:p>
    <w:p w14:paraId="77637D49" w14:textId="77777777" w:rsidR="007F0CFD" w:rsidRPr="004E7BEB" w:rsidRDefault="007F0CFD" w:rsidP="007F0CFD">
      <w:pPr>
        <w:pStyle w:val="BodyText"/>
      </w:pPr>
      <w:r w:rsidRPr="004E7BEB">
        <w:t>Atzīstot, ka references materiāla ražotāju akreditācija joprojām ir attīstības fāzē un ne visos gadījumos SRM ir pieejami no akreditētiem references materiāla ražotājiem, un, ja SRM ražo neakreditēts references materiāla ražotājs, akreditētās organizācijas apliecina, ka SRM ir piegādājis kompetents references materiāla ražotājs un ka SRM ir piemērots paredzētajai lietošanai.</w:t>
      </w:r>
    </w:p>
    <w:p w14:paraId="3ECA5886" w14:textId="77777777" w:rsidR="007F0CFD" w:rsidRPr="004E7BEB" w:rsidRDefault="007F0CFD" w:rsidP="007F0CFD">
      <w:pPr>
        <w:pStyle w:val="BodyText"/>
      </w:pPr>
    </w:p>
    <w:p w14:paraId="73B2E205" w14:textId="77777777" w:rsidR="007F0CFD" w:rsidRPr="004E7BEB" w:rsidRDefault="007F0CFD" w:rsidP="007F0CFD">
      <w:pPr>
        <w:pStyle w:val="BodyText"/>
      </w:pPr>
      <w:r w:rsidRPr="004E7BEB">
        <w:t>Ja metroloģiskā izsekojamība līdz SI nav tehniski iespējama, akreditētās organizācijas pienākums ir:</w:t>
      </w:r>
    </w:p>
    <w:p w14:paraId="3095D5C0" w14:textId="77777777" w:rsidR="007F0CFD" w:rsidRPr="004E7BEB" w:rsidRDefault="007F0CFD" w:rsidP="007F0CFD">
      <w:pPr>
        <w:jc w:val="both"/>
        <w:rPr>
          <w:rFonts w:ascii="Times New Roman" w:eastAsia="Times New Roman" w:hAnsi="Times New Roman" w:cs="Times New Roman"/>
          <w:noProof/>
          <w:sz w:val="24"/>
          <w:szCs w:val="24"/>
        </w:rPr>
      </w:pPr>
    </w:p>
    <w:p w14:paraId="7F35EB02" w14:textId="77777777" w:rsidR="007F0CFD" w:rsidRPr="004E7BEB" w:rsidRDefault="007F0CFD" w:rsidP="007F0CFD">
      <w:pPr>
        <w:pStyle w:val="BodyText"/>
        <w:ind w:left="284"/>
      </w:pPr>
      <w:r w:rsidRPr="004E7BEB">
        <w:t>7a) izvēlēties veidu, kā nodrošināt metroloģiskās izsekojamības prasības, izmantojot sertificētu references materiālu sertificētās vērtības, ko piegādā kompetents ražotājs,</w:t>
      </w:r>
    </w:p>
    <w:p w14:paraId="528597C6" w14:textId="77777777" w:rsidR="007F0CFD" w:rsidRPr="004E7BEB" w:rsidRDefault="007F0CFD" w:rsidP="007F0CFD">
      <w:pPr>
        <w:ind w:left="284"/>
        <w:jc w:val="both"/>
        <w:rPr>
          <w:rFonts w:ascii="Times New Roman" w:eastAsia="Times New Roman" w:hAnsi="Times New Roman" w:cs="Times New Roman"/>
          <w:noProof/>
          <w:sz w:val="24"/>
          <w:szCs w:val="24"/>
        </w:rPr>
      </w:pPr>
    </w:p>
    <w:p w14:paraId="6A1C5E12" w14:textId="77777777" w:rsidR="007F0CFD" w:rsidRPr="004E7BEB" w:rsidRDefault="007F0CFD" w:rsidP="007F0CFD">
      <w:pPr>
        <w:pStyle w:val="BodyText"/>
        <w:ind w:left="284"/>
      </w:pPr>
      <w:r w:rsidRPr="004E7BEB">
        <w:t>vai</w:t>
      </w:r>
    </w:p>
    <w:p w14:paraId="5D51BBE4" w14:textId="77777777" w:rsidR="007F0CFD" w:rsidRPr="004E7BEB" w:rsidRDefault="007F0CFD" w:rsidP="007F0CFD">
      <w:pPr>
        <w:ind w:left="284"/>
        <w:jc w:val="both"/>
        <w:rPr>
          <w:rFonts w:ascii="Times New Roman" w:eastAsia="Times New Roman" w:hAnsi="Times New Roman" w:cs="Times New Roman"/>
          <w:noProof/>
          <w:sz w:val="24"/>
          <w:szCs w:val="24"/>
        </w:rPr>
      </w:pPr>
    </w:p>
    <w:p w14:paraId="23A2147D" w14:textId="77777777" w:rsidR="007F0CFD" w:rsidRPr="004E7BEB" w:rsidRDefault="007F0CFD" w:rsidP="007F0CFD">
      <w:pPr>
        <w:pStyle w:val="BodyText"/>
        <w:ind w:left="284"/>
      </w:pPr>
      <w:r w:rsidRPr="004E7BEB">
        <w:t>7b) dokumentēt rezultātus, kas iegūti, veicot piemērotu salīdzinājumu ar references mērījumu procedūrām, noteiktām metodēm vai apstiprinātiem standartiem, kuri ir skaidri aprakstīti un atzīti par tādiem, kas nodrošina paredzētajai lietošanai piemērotus mērījumu rezultātus.</w:t>
      </w:r>
    </w:p>
    <w:p w14:paraId="1BF8C027" w14:textId="77777777" w:rsidR="007F0CFD" w:rsidRPr="004E7BEB" w:rsidRDefault="007F0CFD" w:rsidP="007F0CFD">
      <w:pPr>
        <w:pStyle w:val="BodyText"/>
        <w:ind w:left="284"/>
      </w:pPr>
      <w:r w:rsidRPr="004E7BEB">
        <w:t>Šāda salīdzinājuma apliecinājumu novērtē akreditācijas iestāde.</w:t>
      </w:r>
    </w:p>
    <w:p w14:paraId="30F0493F" w14:textId="77777777" w:rsidR="007F0CFD" w:rsidRPr="004E7BEB" w:rsidRDefault="007F0CFD" w:rsidP="007F0CFD">
      <w:pPr>
        <w:ind w:left="284"/>
        <w:jc w:val="both"/>
        <w:rPr>
          <w:rFonts w:ascii="Times New Roman" w:eastAsia="Times New Roman" w:hAnsi="Times New Roman" w:cs="Times New Roman"/>
          <w:noProof/>
          <w:sz w:val="24"/>
          <w:szCs w:val="24"/>
        </w:rPr>
      </w:pPr>
    </w:p>
    <w:p w14:paraId="0D36CEC1" w14:textId="77777777" w:rsidR="007F0CFD" w:rsidRPr="004E7BEB" w:rsidRDefault="007F0CFD" w:rsidP="007F0CFD">
      <w:pPr>
        <w:pStyle w:val="BodyText"/>
        <w:ind w:left="284"/>
      </w:pPr>
      <w:r w:rsidRPr="004E7BEB">
        <w:t>4. piezīme. Ja metroloģiskā izsekojamība pilnīgi līdz SI vienībām nav piemērota vai nav piemērojama lietojumam, būtu jāizraugās skaidri definēts mērāmais lielums. Tāpēc noteiktā metroloģiskā izsekojamība ietver gan mērītās īpašības identitātes apliecinājumu, gan rezultātu salīdzināšanu ar atbilstošu noteikto referenci. Salīdzinājums tiek veikts, nodrošinot, ka mērījumu procedūras ir atbilstoši validētas un/vai verificētas, mēraparatūra ir atbilstoši kalibrēta un mērīšanas apstākļi (piemēram, vides apstākļi) tiek pietiekami kontrolēti, lai nodrošinātu ticamus rezultātus.</w:t>
      </w:r>
    </w:p>
    <w:p w14:paraId="0AA685ED" w14:textId="77777777" w:rsidR="007F0CFD" w:rsidRPr="004E7BEB" w:rsidRDefault="007F0CFD" w:rsidP="007F0CFD">
      <w:pPr>
        <w:ind w:left="284"/>
        <w:jc w:val="both"/>
        <w:rPr>
          <w:rFonts w:ascii="Times New Roman" w:eastAsia="Times New Roman" w:hAnsi="Times New Roman" w:cs="Times New Roman"/>
          <w:noProof/>
          <w:sz w:val="24"/>
          <w:szCs w:val="24"/>
        </w:rPr>
      </w:pPr>
    </w:p>
    <w:p w14:paraId="316C9756" w14:textId="77777777" w:rsidR="007F0CFD" w:rsidRPr="004E7BEB" w:rsidRDefault="007F0CFD" w:rsidP="007F0CFD">
      <w:pPr>
        <w:pStyle w:val="BodyText"/>
        <w:ind w:left="284"/>
      </w:pPr>
      <w:r w:rsidRPr="004E7BEB">
        <w:t>5. piezīme. No kvalifikācijas pārbaudes organizētājiem bieži vien ir pieejami testējamo materiālu atlikumi. Būtu jāpārbauda, vai kvalifikācijas pārbaudes organizētājs var sniegt papildu informāciju par stabilitāti, lai apliecinātu testējamā materiāla īpašības vērtības un matricas pastāvīgu stabilitāti. Ja to nevar sniegt, šie testējamie materiāli nebūtu uzskatāmi par alternatīvu veidu, kā nodrošināt rezultātu derīgumu.</w:t>
      </w:r>
    </w:p>
    <w:p w14:paraId="2DF68799" w14:textId="77777777" w:rsidR="007F0CFD" w:rsidRPr="004E7BEB" w:rsidRDefault="007F0CFD" w:rsidP="007F0CFD">
      <w:pPr>
        <w:rPr>
          <w:rFonts w:ascii="Times New Roman" w:hAnsi="Times New Roman" w:cs="Times New Roman"/>
          <w:noProof/>
          <w:sz w:val="24"/>
          <w:szCs w:val="24"/>
        </w:rPr>
      </w:pPr>
      <w:r w:rsidRPr="004E7BEB">
        <w:rPr>
          <w:rFonts w:ascii="Times New Roman" w:hAnsi="Times New Roman"/>
        </w:rPr>
        <w:br w:type="page"/>
      </w:r>
    </w:p>
    <w:p w14:paraId="65BCCBC0" w14:textId="77777777" w:rsidR="007F0CFD" w:rsidRPr="004E7BEB" w:rsidRDefault="007F0CFD" w:rsidP="007F0CFD">
      <w:pPr>
        <w:jc w:val="both"/>
        <w:rPr>
          <w:rFonts w:ascii="Times New Roman" w:hAnsi="Times New Roman" w:cs="Times New Roman"/>
          <w:noProof/>
          <w:sz w:val="24"/>
          <w:szCs w:val="24"/>
        </w:rPr>
      </w:pPr>
    </w:p>
    <w:p w14:paraId="16E1766B" w14:textId="77777777" w:rsidR="007F0CFD" w:rsidRPr="004E7BEB" w:rsidRDefault="007F0CFD" w:rsidP="004E6329">
      <w:pPr>
        <w:pStyle w:val="Heading1"/>
      </w:pPr>
      <w:bookmarkStart w:id="9" w:name="_Toc116375387"/>
      <w:r w:rsidRPr="004E7BEB">
        <w:t>3. ATSAUCES</w:t>
      </w:r>
      <w:bookmarkEnd w:id="9"/>
    </w:p>
    <w:p w14:paraId="6288AF66" w14:textId="77777777" w:rsidR="007F0CFD" w:rsidRPr="004E7BEB" w:rsidRDefault="007F0CFD" w:rsidP="007F0CFD">
      <w:pPr>
        <w:jc w:val="both"/>
        <w:rPr>
          <w:rFonts w:ascii="Times New Roman" w:eastAsia="Times New Roman" w:hAnsi="Times New Roman" w:cs="Times New Roman"/>
          <w:b/>
          <w:bCs/>
          <w:noProof/>
          <w:sz w:val="24"/>
          <w:szCs w:val="24"/>
        </w:rPr>
      </w:pPr>
    </w:p>
    <w:p w14:paraId="30BDD5AA" w14:textId="77777777" w:rsidR="007F0CFD" w:rsidRPr="004E7BEB" w:rsidRDefault="007F0CFD" w:rsidP="007F0CFD">
      <w:pPr>
        <w:pStyle w:val="BodyText"/>
      </w:pPr>
      <w:r w:rsidRPr="004E7BEB">
        <w:rPr>
          <w:vertAlign w:val="superscript"/>
        </w:rPr>
        <w:t xml:space="preserve">[1] </w:t>
      </w:r>
      <w:r w:rsidRPr="004E7BEB">
        <w:t xml:space="preserve">International Vocabulary of Metrology – Basic and General Concepts and Associated Terms VIM, 3rd edition, JCGM 200:2012 (JCGM 200:2008 ar maziem labojumiem), pieejams </w:t>
      </w:r>
      <w:r w:rsidRPr="004E7BEB">
        <w:rPr>
          <w:i/>
          <w:iCs/>
        </w:rPr>
        <w:t>BIPM</w:t>
      </w:r>
      <w:r w:rsidRPr="004E7BEB">
        <w:t xml:space="preserve"> tīmekļa vietnē www.bipm.org, vai ISO/IEC Guide 99:2007, pieejams ISO.</w:t>
      </w:r>
    </w:p>
    <w:p w14:paraId="7DBAAD07" w14:textId="77777777" w:rsidR="007F0CFD" w:rsidRPr="004E7BEB" w:rsidRDefault="007F0CFD" w:rsidP="007F0CFD">
      <w:pPr>
        <w:jc w:val="both"/>
        <w:rPr>
          <w:rFonts w:ascii="Times New Roman" w:eastAsia="Times New Roman" w:hAnsi="Times New Roman" w:cs="Times New Roman"/>
          <w:noProof/>
          <w:sz w:val="24"/>
          <w:szCs w:val="24"/>
        </w:rPr>
      </w:pPr>
    </w:p>
    <w:p w14:paraId="7D8CD050" w14:textId="77777777" w:rsidR="007F0CFD" w:rsidRPr="004E7BEB" w:rsidRDefault="007F0CFD" w:rsidP="007F0CFD">
      <w:pPr>
        <w:pStyle w:val="BodyText"/>
      </w:pPr>
      <w:r w:rsidRPr="004E7BEB">
        <w:rPr>
          <w:vertAlign w:val="superscript"/>
        </w:rPr>
        <w:t xml:space="preserve">[2] </w:t>
      </w:r>
      <w:r w:rsidRPr="004E7BEB">
        <w:t>ISO/IEC Directives, Part 2, Principles to structure and draft documents intended to become International Standards, Technical Specifications or Publicly Available Specifications, Eight Edition 2018</w:t>
      </w:r>
    </w:p>
    <w:p w14:paraId="1E208720" w14:textId="77777777" w:rsidR="007F0CFD" w:rsidRPr="004E7BEB" w:rsidRDefault="007F0CFD" w:rsidP="007F0CFD">
      <w:pPr>
        <w:jc w:val="both"/>
        <w:rPr>
          <w:rFonts w:ascii="Times New Roman" w:eastAsia="Times New Roman" w:hAnsi="Times New Roman" w:cs="Times New Roman"/>
          <w:noProof/>
          <w:sz w:val="24"/>
          <w:szCs w:val="24"/>
        </w:rPr>
      </w:pPr>
    </w:p>
    <w:p w14:paraId="60EC860E" w14:textId="77777777" w:rsidR="007F0CFD" w:rsidRPr="004E7BEB" w:rsidRDefault="007F0CFD" w:rsidP="007F0CFD">
      <w:pPr>
        <w:pStyle w:val="BodyText"/>
      </w:pPr>
      <w:r w:rsidRPr="004E7BEB">
        <w:rPr>
          <w:vertAlign w:val="superscript"/>
        </w:rPr>
        <w:t xml:space="preserve">[3] </w:t>
      </w:r>
      <w:r w:rsidRPr="004E7BEB">
        <w:t>ISO 17034:2016, General requirements for the competence of reference material producers.</w:t>
      </w:r>
    </w:p>
    <w:p w14:paraId="6CDFA019" w14:textId="77777777" w:rsidR="007F0CFD" w:rsidRPr="004E7BEB" w:rsidRDefault="007F0CFD" w:rsidP="007F0CFD">
      <w:pPr>
        <w:jc w:val="both"/>
        <w:rPr>
          <w:rFonts w:ascii="Times New Roman" w:eastAsia="Times New Roman" w:hAnsi="Times New Roman" w:cs="Times New Roman"/>
          <w:noProof/>
          <w:sz w:val="24"/>
          <w:szCs w:val="24"/>
        </w:rPr>
      </w:pPr>
    </w:p>
    <w:p w14:paraId="5A0DD731" w14:textId="77777777" w:rsidR="007F0CFD" w:rsidRPr="004E7BEB" w:rsidRDefault="007F0CFD" w:rsidP="007F0CFD">
      <w:pPr>
        <w:pStyle w:val="BodyText"/>
      </w:pPr>
      <w:r w:rsidRPr="004E7BEB">
        <w:rPr>
          <w:vertAlign w:val="superscript"/>
        </w:rPr>
        <w:t xml:space="preserve">[4] </w:t>
      </w:r>
      <w:r w:rsidRPr="004E7BEB">
        <w:t>ISO/IEC 17025:2017, General requirements for the competence of testing and calibration laboratories.</w:t>
      </w:r>
    </w:p>
    <w:p w14:paraId="6005533B" w14:textId="77777777" w:rsidR="007F0CFD" w:rsidRPr="004E7BEB" w:rsidRDefault="007F0CFD" w:rsidP="007F0CFD">
      <w:pPr>
        <w:jc w:val="both"/>
        <w:rPr>
          <w:rFonts w:ascii="Times New Roman" w:eastAsia="Times New Roman" w:hAnsi="Times New Roman" w:cs="Times New Roman"/>
          <w:noProof/>
          <w:sz w:val="24"/>
          <w:szCs w:val="24"/>
        </w:rPr>
      </w:pPr>
    </w:p>
    <w:p w14:paraId="4756F5DF" w14:textId="77777777" w:rsidR="007F0CFD" w:rsidRPr="004E7BEB" w:rsidRDefault="007F0CFD" w:rsidP="007F0CFD">
      <w:pPr>
        <w:pStyle w:val="BodyText"/>
      </w:pPr>
      <w:r w:rsidRPr="004E7BEB">
        <w:rPr>
          <w:vertAlign w:val="superscript"/>
        </w:rPr>
        <w:t xml:space="preserve">[5] </w:t>
      </w:r>
      <w:r w:rsidRPr="004E7BEB">
        <w:t>ISO 15189:2012, Medical laboratories – Particular requirements for quality and competence.</w:t>
      </w:r>
    </w:p>
    <w:p w14:paraId="6E233404" w14:textId="77777777" w:rsidR="007F0CFD" w:rsidRPr="004E7BEB" w:rsidRDefault="007F0CFD" w:rsidP="007F0CFD">
      <w:pPr>
        <w:jc w:val="both"/>
        <w:rPr>
          <w:rFonts w:ascii="Times New Roman" w:eastAsia="Times New Roman" w:hAnsi="Times New Roman" w:cs="Times New Roman"/>
          <w:noProof/>
          <w:sz w:val="24"/>
          <w:szCs w:val="24"/>
        </w:rPr>
      </w:pPr>
    </w:p>
    <w:p w14:paraId="578F6CA5" w14:textId="77777777" w:rsidR="007F0CFD" w:rsidRPr="004E7BEB" w:rsidRDefault="007F0CFD" w:rsidP="007F0CFD">
      <w:pPr>
        <w:pStyle w:val="BodyText"/>
      </w:pPr>
      <w:r w:rsidRPr="004E7BEB">
        <w:rPr>
          <w:vertAlign w:val="superscript"/>
        </w:rPr>
        <w:t xml:space="preserve">[6] </w:t>
      </w:r>
      <w:r w:rsidRPr="004E7BEB">
        <w:t>ILAC P8:03/2019 ILAC Mutual Recognition Arrangement (Arrangement): Supplementary Requirements for the Use of Accreditation Symbols and for Claims of Accreditation Status by Accredited Conformity Assessment Bodies.</w:t>
      </w:r>
    </w:p>
    <w:p w14:paraId="3447E510" w14:textId="77777777" w:rsidR="007F0CFD" w:rsidRPr="004E7BEB" w:rsidRDefault="007F0CFD" w:rsidP="007F0CFD">
      <w:pPr>
        <w:jc w:val="both"/>
        <w:rPr>
          <w:rFonts w:ascii="Times New Roman" w:eastAsia="Times New Roman" w:hAnsi="Times New Roman" w:cs="Times New Roman"/>
          <w:noProof/>
          <w:sz w:val="24"/>
          <w:szCs w:val="24"/>
        </w:rPr>
      </w:pPr>
    </w:p>
    <w:p w14:paraId="452B5899" w14:textId="77777777" w:rsidR="007F0CFD" w:rsidRPr="004E7BEB" w:rsidRDefault="007F0CFD" w:rsidP="007F0CFD">
      <w:pPr>
        <w:pStyle w:val="BodyText"/>
      </w:pPr>
      <w:r w:rsidRPr="004E7BEB">
        <w:rPr>
          <w:vertAlign w:val="superscript"/>
        </w:rPr>
        <w:t xml:space="preserve">[7] </w:t>
      </w:r>
      <w:r w:rsidRPr="004E7BEB">
        <w:t>Joint BIPM, OIML, ILAC and ISO Declaration on Metrological Traceability (November 2018)</w:t>
      </w:r>
    </w:p>
    <w:p w14:paraId="2AF2D1DB" w14:textId="77777777" w:rsidR="007F0CFD" w:rsidRPr="004E7BEB" w:rsidRDefault="007F0CFD" w:rsidP="007F0CFD">
      <w:pPr>
        <w:jc w:val="both"/>
        <w:rPr>
          <w:rFonts w:ascii="Times New Roman" w:hAnsi="Times New Roman" w:cs="Times New Roman"/>
          <w:noProof/>
          <w:sz w:val="24"/>
          <w:szCs w:val="24"/>
        </w:rPr>
      </w:pPr>
    </w:p>
    <w:p w14:paraId="40698418" w14:textId="77777777" w:rsidR="007F0CFD" w:rsidRPr="004E7BEB" w:rsidRDefault="007F0CFD" w:rsidP="007F0CFD">
      <w:pPr>
        <w:rPr>
          <w:rFonts w:ascii="Times New Roman" w:eastAsia="Times New Roman" w:hAnsi="Times New Roman" w:cs="Times New Roman"/>
          <w:noProof/>
          <w:sz w:val="24"/>
          <w:szCs w:val="24"/>
        </w:rPr>
      </w:pPr>
      <w:r w:rsidRPr="004E7BEB">
        <w:rPr>
          <w:rFonts w:ascii="Times New Roman" w:hAnsi="Times New Roman"/>
        </w:rPr>
        <w:br w:type="page"/>
      </w:r>
    </w:p>
    <w:p w14:paraId="2AFD55C7" w14:textId="77777777" w:rsidR="007F0CFD" w:rsidRPr="004E7BEB" w:rsidRDefault="007F0CFD" w:rsidP="007F0CFD">
      <w:pPr>
        <w:jc w:val="both"/>
        <w:rPr>
          <w:rFonts w:ascii="Times New Roman" w:eastAsia="Times New Roman" w:hAnsi="Times New Roman" w:cs="Times New Roman"/>
          <w:noProof/>
          <w:sz w:val="24"/>
          <w:szCs w:val="24"/>
        </w:rPr>
      </w:pPr>
    </w:p>
    <w:p w14:paraId="53D06A97" w14:textId="77777777" w:rsidR="007F0CFD" w:rsidRPr="004E7BEB" w:rsidRDefault="007F0CFD" w:rsidP="007F0CFD">
      <w:pPr>
        <w:pStyle w:val="Heading1"/>
      </w:pPr>
      <w:bookmarkStart w:id="10" w:name="_TOC_250001"/>
      <w:bookmarkStart w:id="11" w:name="_Toc116375388"/>
      <w:r w:rsidRPr="004E7BEB">
        <w:t>A PIELIKUMS</w:t>
      </w:r>
      <w:bookmarkEnd w:id="10"/>
      <w:bookmarkEnd w:id="11"/>
    </w:p>
    <w:p w14:paraId="7D95FEA4" w14:textId="77777777" w:rsidR="007F0CFD" w:rsidRPr="004E7BEB" w:rsidRDefault="007F0CFD" w:rsidP="007F0CFD">
      <w:pPr>
        <w:jc w:val="both"/>
        <w:rPr>
          <w:rFonts w:ascii="Times New Roman" w:eastAsia="Times New Roman" w:hAnsi="Times New Roman" w:cs="Times New Roman"/>
          <w:b/>
          <w:bCs/>
          <w:noProof/>
          <w:sz w:val="24"/>
          <w:szCs w:val="24"/>
        </w:rPr>
      </w:pPr>
    </w:p>
    <w:p w14:paraId="7E56C6F8" w14:textId="77777777" w:rsidR="007F0CFD" w:rsidRPr="004E7BEB" w:rsidRDefault="007F0CFD" w:rsidP="007F0CFD">
      <w:pPr>
        <w:jc w:val="center"/>
        <w:rPr>
          <w:rFonts w:ascii="Times New Roman" w:hAnsi="Times New Roman" w:cs="Times New Roman"/>
          <w:b/>
          <w:noProof/>
          <w:sz w:val="24"/>
          <w:szCs w:val="24"/>
        </w:rPr>
      </w:pPr>
      <w:r w:rsidRPr="004E7BEB">
        <w:rPr>
          <w:rFonts w:ascii="Times New Roman" w:hAnsi="Times New Roman"/>
          <w:b/>
          <w:sz w:val="24"/>
        </w:rPr>
        <w:t xml:space="preserve">Vadlīnijas izvērtēšanai, ja metroloģiskā izsekojamība nav noteikta, izmantojot </w:t>
      </w:r>
      <w:r w:rsidRPr="004E7BEB">
        <w:rPr>
          <w:rFonts w:ascii="Times New Roman" w:hAnsi="Times New Roman"/>
          <w:b/>
          <w:i/>
          <w:iCs/>
          <w:sz w:val="24"/>
        </w:rPr>
        <w:t>CIPM MRA</w:t>
      </w:r>
      <w:r w:rsidRPr="004E7BEB">
        <w:rPr>
          <w:rFonts w:ascii="Times New Roman" w:hAnsi="Times New Roman"/>
          <w:b/>
          <w:sz w:val="24"/>
        </w:rPr>
        <w:t xml:space="preserve"> un </w:t>
      </w:r>
      <w:r w:rsidRPr="004E7BEB">
        <w:rPr>
          <w:rFonts w:ascii="Times New Roman" w:hAnsi="Times New Roman"/>
          <w:b/>
          <w:i/>
          <w:iCs/>
          <w:sz w:val="24"/>
        </w:rPr>
        <w:t>ILAC</w:t>
      </w:r>
      <w:r w:rsidRPr="004E7BEB">
        <w:rPr>
          <w:rFonts w:ascii="Times New Roman" w:hAnsi="Times New Roman"/>
          <w:b/>
          <w:sz w:val="24"/>
        </w:rPr>
        <w:t xml:space="preserve"> nolīgumu</w:t>
      </w:r>
    </w:p>
    <w:p w14:paraId="621C1FCA" w14:textId="77777777" w:rsidR="007F0CFD" w:rsidRPr="004E7BEB" w:rsidRDefault="007F0CFD" w:rsidP="007F0CFD">
      <w:pPr>
        <w:jc w:val="center"/>
        <w:rPr>
          <w:rFonts w:ascii="Times New Roman" w:hAnsi="Times New Roman" w:cs="Times New Roman"/>
          <w:b/>
          <w:noProof/>
          <w:sz w:val="24"/>
          <w:szCs w:val="24"/>
        </w:rPr>
      </w:pPr>
      <w:r w:rsidRPr="004E7BEB">
        <w:rPr>
          <w:rFonts w:ascii="Times New Roman" w:hAnsi="Times New Roman"/>
          <w:b/>
          <w:sz w:val="24"/>
        </w:rPr>
        <w:t>(informatīvs)</w:t>
      </w:r>
    </w:p>
    <w:p w14:paraId="6BFC606C" w14:textId="77777777" w:rsidR="007F0CFD" w:rsidRPr="004E7BEB" w:rsidRDefault="007F0CFD" w:rsidP="007F0CFD">
      <w:pPr>
        <w:jc w:val="both"/>
        <w:rPr>
          <w:rFonts w:ascii="Times New Roman" w:eastAsia="Times New Roman" w:hAnsi="Times New Roman" w:cs="Times New Roman"/>
          <w:b/>
          <w:bCs/>
          <w:noProof/>
          <w:sz w:val="24"/>
          <w:szCs w:val="24"/>
        </w:rPr>
      </w:pPr>
    </w:p>
    <w:p w14:paraId="4C0BF97B" w14:textId="77777777" w:rsidR="007F0CFD" w:rsidRPr="004E7BEB" w:rsidRDefault="007F0CFD" w:rsidP="007F0CFD">
      <w:pPr>
        <w:pStyle w:val="BodyText"/>
      </w:pPr>
      <w:r w:rsidRPr="004E7BEB">
        <w:t xml:space="preserve">Ja metroloģiskā izsekojamība ir noteikta, izmantojot šīs politikas 3a) vai 3b) punktu, ir jārīkojas, pirmkārt, akreditācijas iestādei, proti, tai šī situācija ir jāņem vērā, izstrādājot savu metroloģiskās izsekojamības politiku, otrkārt, ir jārīkojas akreditētajām organizācijām, kurām būs jāievēro šī politika, un, visbeidzot, ir jārīkojas novērtētājiem, kas novērtēs šīs politikas efektivitāti akreditācijas iestāžu salīdzinošās novērtēšanas laikā. Ir atzīts, ka metroloģiskā izsekojamība saskaņā ar 3a) un 3b) punktu ir attiecināma gan uz NMI, kas veic kalibrēšanu ārpus </w:t>
      </w:r>
      <w:r w:rsidRPr="004E7BEB">
        <w:rPr>
          <w:i/>
          <w:iCs/>
        </w:rPr>
        <w:t>CIPM MRA</w:t>
      </w:r>
      <w:r w:rsidRPr="004E7BEB">
        <w:t>, gan uz akreditētām laboratorijām, kas veic kalibrēšanu ārpus savas akreditācijas jomas, gan uz kalibrēšanas pakalpojumu sniedzējiem, kas nav akreditēti pakalpojumu sniegšanai (jebkādu iemeslu dēļ).</w:t>
      </w:r>
    </w:p>
    <w:p w14:paraId="026ED368" w14:textId="77777777" w:rsidR="007F0CFD" w:rsidRPr="004E7BEB" w:rsidRDefault="007F0CFD" w:rsidP="007F0CFD">
      <w:pPr>
        <w:jc w:val="both"/>
        <w:rPr>
          <w:rFonts w:ascii="Times New Roman" w:eastAsia="Times New Roman" w:hAnsi="Times New Roman" w:cs="Times New Roman"/>
          <w:noProof/>
          <w:sz w:val="24"/>
          <w:szCs w:val="24"/>
        </w:rPr>
      </w:pPr>
    </w:p>
    <w:p w14:paraId="70B0E996" w14:textId="77777777" w:rsidR="007F0CFD" w:rsidRPr="004E7BEB" w:rsidRDefault="007F0CFD" w:rsidP="007F0CFD">
      <w:pPr>
        <w:pStyle w:val="BodyText"/>
      </w:pPr>
      <w:r w:rsidRPr="004E7BEB">
        <w:t>Kalibrēšanas pakalpojumu sniedzējs savu tehnisko kompetenci un prasīto metroloģisko izsekojamību var apliecināt, sniedzot tostarp arī šādus atbilstošus pierādījumus (numerācija attiecas uz ISO/IEC 17025:2017 punktiem):</w:t>
      </w:r>
    </w:p>
    <w:p w14:paraId="4DFE1129" w14:textId="77777777" w:rsidR="007F0CFD" w:rsidRPr="004E7BEB" w:rsidRDefault="007F0CFD" w:rsidP="007F0CFD">
      <w:pPr>
        <w:jc w:val="both"/>
        <w:rPr>
          <w:rFonts w:ascii="Times New Roman" w:eastAsia="Times New Roman" w:hAnsi="Times New Roman" w:cs="Times New Roman"/>
          <w:noProof/>
          <w:sz w:val="24"/>
          <w:szCs w:val="24"/>
        </w:rPr>
      </w:pPr>
    </w:p>
    <w:p w14:paraId="26E5316E" w14:textId="77777777" w:rsidR="007F0CFD" w:rsidRPr="004E7BEB" w:rsidRDefault="007F0CFD" w:rsidP="007F0CFD">
      <w:pPr>
        <w:pStyle w:val="BodyText"/>
        <w:numPr>
          <w:ilvl w:val="1"/>
          <w:numId w:val="1"/>
        </w:numPr>
        <w:tabs>
          <w:tab w:val="left" w:pos="851"/>
        </w:tabs>
        <w:ind w:left="284" w:firstLine="0"/>
      </w:pPr>
      <w:r w:rsidRPr="004E7BEB">
        <w:t>kalibrēšanas metodes validācijas pierakstus (7.2.2.4.);</w:t>
      </w:r>
    </w:p>
    <w:p w14:paraId="41A61324" w14:textId="77777777" w:rsidR="007F0CFD" w:rsidRPr="004E7BEB" w:rsidRDefault="007F0CFD" w:rsidP="007F0CFD">
      <w:pPr>
        <w:pStyle w:val="BodyText"/>
        <w:numPr>
          <w:ilvl w:val="1"/>
          <w:numId w:val="1"/>
        </w:numPr>
        <w:tabs>
          <w:tab w:val="left" w:pos="851"/>
        </w:tabs>
        <w:ind w:left="284" w:firstLine="0"/>
      </w:pPr>
      <w:r w:rsidRPr="004E7BEB">
        <w:t>mērījumu nenoteiktības izvērtēšanas procedūras (7.6.);</w:t>
      </w:r>
    </w:p>
    <w:p w14:paraId="1B391F2D" w14:textId="77777777" w:rsidR="007F0CFD" w:rsidRPr="004E7BEB" w:rsidRDefault="007F0CFD" w:rsidP="007F0CFD">
      <w:pPr>
        <w:pStyle w:val="BodyText"/>
        <w:numPr>
          <w:ilvl w:val="1"/>
          <w:numId w:val="1"/>
        </w:numPr>
        <w:tabs>
          <w:tab w:val="left" w:pos="851"/>
        </w:tabs>
        <w:ind w:left="284" w:firstLine="0"/>
      </w:pPr>
      <w:r w:rsidRPr="004E7BEB">
        <w:t>dokumentāciju un pierakstus par mērījumu rezultātu metroloģisko izsekojamību (6.5.);</w:t>
      </w:r>
    </w:p>
    <w:p w14:paraId="796DC5AE" w14:textId="77777777" w:rsidR="007F0CFD" w:rsidRPr="004E7BEB" w:rsidRDefault="007F0CFD" w:rsidP="007F0CFD">
      <w:pPr>
        <w:pStyle w:val="BodyText"/>
        <w:numPr>
          <w:ilvl w:val="1"/>
          <w:numId w:val="1"/>
        </w:numPr>
        <w:tabs>
          <w:tab w:val="left" w:pos="851"/>
        </w:tabs>
        <w:ind w:left="284" w:firstLine="0"/>
      </w:pPr>
      <w:r w:rsidRPr="004E7BEB">
        <w:t>dokumentāciju un pierakstus par kalibrēšanas rezultātu derīguma nodrošināšanu (7.7.);</w:t>
      </w:r>
    </w:p>
    <w:p w14:paraId="0345973B" w14:textId="77777777" w:rsidR="007F0CFD" w:rsidRPr="004E7BEB" w:rsidRDefault="007F0CFD" w:rsidP="007F0CFD">
      <w:pPr>
        <w:pStyle w:val="BodyText"/>
        <w:numPr>
          <w:ilvl w:val="1"/>
          <w:numId w:val="1"/>
        </w:numPr>
        <w:tabs>
          <w:tab w:val="left" w:pos="851"/>
        </w:tabs>
        <w:ind w:left="284" w:firstLine="0"/>
      </w:pPr>
      <w:r w:rsidRPr="004E7BEB">
        <w:t>dokumentāciju un pierakstus par personāla kompetenci (6.2.);</w:t>
      </w:r>
    </w:p>
    <w:p w14:paraId="1FC75F05" w14:textId="77777777" w:rsidR="007F0CFD" w:rsidRPr="004E7BEB" w:rsidRDefault="007F0CFD" w:rsidP="007F0CFD">
      <w:pPr>
        <w:pStyle w:val="BodyText"/>
        <w:numPr>
          <w:ilvl w:val="1"/>
          <w:numId w:val="1"/>
        </w:numPr>
        <w:tabs>
          <w:tab w:val="left" w:pos="851"/>
        </w:tabs>
        <w:ind w:left="284" w:firstLine="0"/>
      </w:pPr>
      <w:r w:rsidRPr="004E7BEB">
        <w:t>pierakstus par aparatūru, kas var ietekmēt laboratorijas darbības (6.4.);</w:t>
      </w:r>
    </w:p>
    <w:p w14:paraId="3E94F938" w14:textId="77777777" w:rsidR="007F0CFD" w:rsidRPr="004E7BEB" w:rsidRDefault="007F0CFD" w:rsidP="007F0CFD">
      <w:pPr>
        <w:pStyle w:val="BodyText"/>
        <w:numPr>
          <w:ilvl w:val="1"/>
          <w:numId w:val="1"/>
        </w:numPr>
        <w:tabs>
          <w:tab w:val="left" w:pos="851"/>
        </w:tabs>
        <w:ind w:left="284" w:firstLine="0"/>
      </w:pPr>
      <w:r w:rsidRPr="004E7BEB">
        <w:t>dokumentāciju un pierakstus par telpām un vides apstākļiem (6.3.);</w:t>
      </w:r>
    </w:p>
    <w:p w14:paraId="74299EE0" w14:textId="77777777" w:rsidR="007F0CFD" w:rsidRPr="004E7BEB" w:rsidRDefault="007F0CFD" w:rsidP="007F0CFD">
      <w:pPr>
        <w:pStyle w:val="BodyText"/>
        <w:numPr>
          <w:ilvl w:val="1"/>
          <w:numId w:val="1"/>
        </w:numPr>
        <w:tabs>
          <w:tab w:val="left" w:pos="851"/>
        </w:tabs>
        <w:ind w:left="284" w:firstLine="0"/>
      </w:pPr>
      <w:r w:rsidRPr="004E7BEB">
        <w:t>kalibrēšanas laboratorijas auditi (6.6. un 8.8.).</w:t>
      </w:r>
    </w:p>
    <w:p w14:paraId="7BC0E6CA" w14:textId="77777777" w:rsidR="007F0CFD" w:rsidRPr="004E7BEB" w:rsidRDefault="007F0CFD" w:rsidP="007F0CFD">
      <w:pPr>
        <w:jc w:val="both"/>
        <w:rPr>
          <w:rFonts w:ascii="Times New Roman" w:eastAsia="Times New Roman" w:hAnsi="Times New Roman" w:cs="Times New Roman"/>
          <w:noProof/>
          <w:sz w:val="24"/>
          <w:szCs w:val="24"/>
        </w:rPr>
      </w:pPr>
    </w:p>
    <w:p w14:paraId="3262D77C" w14:textId="77777777" w:rsidR="007F0CFD" w:rsidRPr="004E7BEB" w:rsidRDefault="007F0CFD" w:rsidP="007F0CFD">
      <w:pPr>
        <w:pStyle w:val="BodyText"/>
      </w:pPr>
      <w:r w:rsidRPr="004E7BEB">
        <w:t>Attiecībā uz neakreditētiem kalibrēšanas pakalpojumu sniedzējiem būtu jāatzīmē, ka varētu būt nepieciešams praktiski novērtēt izmantoto kalibrēšanas pakalpojumu sniedzēju, līdzīgi kā to dara akreditācijas iestāde saskaņā ar ISO/IEC 17025:2017, lai pārliecinātos, ka darbs ir faktiski izpildīts ar atbilstošu kompetenci.</w:t>
      </w:r>
    </w:p>
    <w:p w14:paraId="14F16C84" w14:textId="77777777" w:rsidR="007F0CFD" w:rsidRPr="004E7BEB" w:rsidRDefault="007F0CFD" w:rsidP="007F0CFD">
      <w:pPr>
        <w:pStyle w:val="BodyText"/>
      </w:pPr>
      <w:r w:rsidRPr="004E7BEB">
        <w:t>Šā dokumenta 3a) un 3b) punktu, visticamāk, neizraugās, pamatojoties uz tīri ekonomiskiem apsvērumiem, bet tie tiek izmantoti kā pēdējā iespēja, ja citi varianti nav pieejami.</w:t>
      </w:r>
    </w:p>
    <w:p w14:paraId="0CDCCDD6" w14:textId="77777777" w:rsidR="007F0CFD" w:rsidRPr="004E7BEB" w:rsidRDefault="007F0CFD" w:rsidP="007F0CFD">
      <w:pPr>
        <w:jc w:val="both"/>
        <w:rPr>
          <w:rFonts w:ascii="Times New Roman" w:eastAsia="Times New Roman" w:hAnsi="Times New Roman" w:cs="Times New Roman"/>
          <w:noProof/>
          <w:sz w:val="24"/>
          <w:szCs w:val="24"/>
        </w:rPr>
      </w:pPr>
    </w:p>
    <w:p w14:paraId="0DD141F8" w14:textId="77777777" w:rsidR="007F0CFD" w:rsidRPr="004E7BEB" w:rsidRDefault="007F0CFD" w:rsidP="007F0CFD">
      <w:pPr>
        <w:pStyle w:val="BodyText"/>
      </w:pPr>
      <w:r w:rsidRPr="004E7BEB">
        <w:t>Sīkāka informācija par metroloģiskās izsekojamības tēmu ir sniegta ISO/IEC 17025:2017 A pielikumā.</w:t>
      </w:r>
    </w:p>
    <w:p w14:paraId="2FDC758D" w14:textId="77777777" w:rsidR="007F0CFD" w:rsidRPr="004E7BEB" w:rsidRDefault="007F0CFD" w:rsidP="007F0CFD">
      <w:pPr>
        <w:jc w:val="both"/>
        <w:rPr>
          <w:rFonts w:ascii="Times New Roman" w:hAnsi="Times New Roman" w:cs="Times New Roman"/>
          <w:noProof/>
          <w:sz w:val="24"/>
          <w:szCs w:val="24"/>
        </w:rPr>
      </w:pPr>
    </w:p>
    <w:p w14:paraId="37966D60" w14:textId="77777777" w:rsidR="007F0CFD" w:rsidRPr="004E7BEB" w:rsidRDefault="007F0CFD" w:rsidP="007F0CFD">
      <w:pPr>
        <w:rPr>
          <w:rFonts w:ascii="Times New Roman" w:eastAsia="Times New Roman" w:hAnsi="Times New Roman" w:cs="Times New Roman"/>
          <w:noProof/>
          <w:sz w:val="24"/>
          <w:szCs w:val="24"/>
        </w:rPr>
      </w:pPr>
      <w:r w:rsidRPr="004E7BEB">
        <w:rPr>
          <w:rFonts w:ascii="Times New Roman" w:hAnsi="Times New Roman"/>
        </w:rPr>
        <w:br w:type="page"/>
      </w:r>
    </w:p>
    <w:p w14:paraId="20EEDCD6" w14:textId="77777777" w:rsidR="007F0CFD" w:rsidRPr="004E7BEB" w:rsidRDefault="007F0CFD" w:rsidP="007F0CFD">
      <w:pPr>
        <w:jc w:val="both"/>
        <w:rPr>
          <w:rFonts w:ascii="Times New Roman" w:eastAsia="Times New Roman" w:hAnsi="Times New Roman" w:cs="Times New Roman"/>
          <w:noProof/>
          <w:sz w:val="24"/>
          <w:szCs w:val="24"/>
        </w:rPr>
      </w:pPr>
    </w:p>
    <w:p w14:paraId="069AB2DF" w14:textId="77777777" w:rsidR="007F0CFD" w:rsidRPr="004E7BEB" w:rsidRDefault="007F0CFD" w:rsidP="007F0CFD">
      <w:pPr>
        <w:pStyle w:val="Heading1"/>
      </w:pPr>
      <w:bookmarkStart w:id="12" w:name="_TOC_250000"/>
      <w:bookmarkStart w:id="13" w:name="_Toc116375389"/>
      <w:r w:rsidRPr="004E7BEB">
        <w:t>B PIELIKUMS</w:t>
      </w:r>
      <w:bookmarkEnd w:id="12"/>
      <w:bookmarkEnd w:id="13"/>
    </w:p>
    <w:p w14:paraId="77CCC02B" w14:textId="77777777" w:rsidR="007F0CFD" w:rsidRPr="004E7BEB" w:rsidRDefault="007F0CFD" w:rsidP="007F0CFD">
      <w:pPr>
        <w:jc w:val="both"/>
        <w:rPr>
          <w:rFonts w:ascii="Times New Roman" w:eastAsia="Times New Roman" w:hAnsi="Times New Roman" w:cs="Times New Roman"/>
          <w:b/>
          <w:bCs/>
          <w:noProof/>
          <w:sz w:val="24"/>
          <w:szCs w:val="24"/>
        </w:rPr>
      </w:pPr>
    </w:p>
    <w:p w14:paraId="04F52371" w14:textId="77777777" w:rsidR="007F0CFD" w:rsidRPr="004E7BEB" w:rsidRDefault="007F0CFD" w:rsidP="007F0CFD">
      <w:pPr>
        <w:pStyle w:val="BodyText"/>
      </w:pPr>
      <w:r w:rsidRPr="004E7BEB">
        <w:rPr>
          <w:b/>
          <w:bCs/>
        </w:rPr>
        <w:t>Pārskatīšanas tabula</w:t>
      </w:r>
      <w:r w:rsidRPr="004E7BEB">
        <w:t>. Šajā tabulā ir sniegts kopsavilkums par galvenajām izmaiņām, kas veiktas šajā dokumentā attiecībā pret iepriekšējo versiju.</w:t>
      </w:r>
    </w:p>
    <w:p w14:paraId="4B5D563B" w14:textId="77777777" w:rsidR="007F0CFD" w:rsidRPr="004E7BEB" w:rsidRDefault="007F0CFD" w:rsidP="007F0CFD">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564"/>
        <w:gridCol w:w="4564"/>
      </w:tblGrid>
      <w:tr w:rsidR="007F0CFD" w:rsidRPr="004E7BEB" w14:paraId="4A18AA51" w14:textId="77777777" w:rsidTr="00E025E3">
        <w:trPr>
          <w:trHeight w:hRule="exact" w:val="359"/>
        </w:trPr>
        <w:tc>
          <w:tcPr>
            <w:tcW w:w="2500" w:type="pct"/>
            <w:tcBorders>
              <w:top w:val="single" w:sz="5" w:space="0" w:color="000000"/>
              <w:left w:val="single" w:sz="4" w:space="0" w:color="000000"/>
              <w:bottom w:val="single" w:sz="5" w:space="0" w:color="000000"/>
              <w:right w:val="single" w:sz="4" w:space="0" w:color="000000"/>
            </w:tcBorders>
          </w:tcPr>
          <w:p w14:paraId="56C1E767" w14:textId="77777777" w:rsidR="007F0CFD" w:rsidRPr="004E7BEB" w:rsidRDefault="007F0CFD" w:rsidP="00E025E3">
            <w:pPr>
              <w:pStyle w:val="TableParagraph"/>
              <w:jc w:val="both"/>
              <w:rPr>
                <w:rFonts w:ascii="Times New Roman" w:hAnsi="Times New Roman" w:cs="Times New Roman"/>
                <w:b/>
                <w:noProof/>
                <w:sz w:val="24"/>
                <w:szCs w:val="24"/>
              </w:rPr>
            </w:pPr>
            <w:r w:rsidRPr="004E7BEB">
              <w:rPr>
                <w:rFonts w:ascii="Times New Roman" w:hAnsi="Times New Roman"/>
                <w:b/>
                <w:sz w:val="24"/>
              </w:rPr>
              <w:t>Iedaļa</w:t>
            </w:r>
          </w:p>
        </w:tc>
        <w:tc>
          <w:tcPr>
            <w:tcW w:w="2500" w:type="pct"/>
            <w:tcBorders>
              <w:top w:val="single" w:sz="5" w:space="0" w:color="000000"/>
              <w:left w:val="single" w:sz="4" w:space="0" w:color="000000"/>
              <w:bottom w:val="single" w:sz="5" w:space="0" w:color="000000"/>
              <w:right w:val="single" w:sz="5" w:space="0" w:color="000000"/>
            </w:tcBorders>
          </w:tcPr>
          <w:p w14:paraId="67D74FAE" w14:textId="77777777" w:rsidR="007F0CFD" w:rsidRPr="004E7BEB" w:rsidRDefault="007F0CFD" w:rsidP="00E025E3">
            <w:pPr>
              <w:pStyle w:val="TableParagraph"/>
              <w:jc w:val="both"/>
              <w:rPr>
                <w:rFonts w:ascii="Times New Roman" w:hAnsi="Times New Roman" w:cs="Times New Roman"/>
                <w:b/>
                <w:noProof/>
                <w:sz w:val="24"/>
                <w:szCs w:val="24"/>
              </w:rPr>
            </w:pPr>
            <w:r w:rsidRPr="004E7BEB">
              <w:rPr>
                <w:rFonts w:ascii="Times New Roman" w:hAnsi="Times New Roman"/>
                <w:b/>
                <w:sz w:val="24"/>
              </w:rPr>
              <w:t>Grozījumi</w:t>
            </w:r>
          </w:p>
        </w:tc>
      </w:tr>
      <w:tr w:rsidR="007F0CFD" w:rsidRPr="004E7BEB" w14:paraId="50406FA2" w14:textId="77777777" w:rsidTr="00E025E3">
        <w:trPr>
          <w:trHeight w:hRule="exact" w:val="393"/>
        </w:trPr>
        <w:tc>
          <w:tcPr>
            <w:tcW w:w="2500" w:type="pct"/>
            <w:tcBorders>
              <w:top w:val="single" w:sz="5" w:space="0" w:color="000000"/>
              <w:left w:val="single" w:sz="4" w:space="0" w:color="000000"/>
              <w:bottom w:val="single" w:sz="5" w:space="0" w:color="000000"/>
              <w:right w:val="single" w:sz="4" w:space="0" w:color="000000"/>
            </w:tcBorders>
          </w:tcPr>
          <w:p w14:paraId="2F4AB2AE"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i/>
                <w:iCs/>
                <w:sz w:val="24"/>
              </w:rPr>
              <w:t>ILAC</w:t>
            </w:r>
            <w:r w:rsidRPr="004E7BEB">
              <w:rPr>
                <w:rFonts w:ascii="Times New Roman" w:hAnsi="Times New Roman"/>
                <w:sz w:val="24"/>
              </w:rPr>
              <w:t xml:space="preserve"> ievaddaļas teksts</w:t>
            </w:r>
          </w:p>
        </w:tc>
        <w:tc>
          <w:tcPr>
            <w:tcW w:w="2500" w:type="pct"/>
            <w:tcBorders>
              <w:top w:val="single" w:sz="5" w:space="0" w:color="000000"/>
              <w:left w:val="single" w:sz="4" w:space="0" w:color="000000"/>
              <w:bottom w:val="single" w:sz="5" w:space="0" w:color="000000"/>
              <w:right w:val="single" w:sz="5" w:space="0" w:color="000000"/>
            </w:tcBorders>
          </w:tcPr>
          <w:p w14:paraId="5FB57B1A"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Aizstāts ar jaunu versiju</w:t>
            </w:r>
          </w:p>
        </w:tc>
      </w:tr>
      <w:tr w:rsidR="007F0CFD" w:rsidRPr="004E7BEB" w14:paraId="4B210EAD" w14:textId="77777777" w:rsidTr="00E025E3">
        <w:trPr>
          <w:trHeight w:hRule="exact" w:val="400"/>
        </w:trPr>
        <w:tc>
          <w:tcPr>
            <w:tcW w:w="2500" w:type="pct"/>
            <w:tcBorders>
              <w:top w:val="single" w:sz="5" w:space="0" w:color="000000"/>
              <w:left w:val="single" w:sz="4" w:space="0" w:color="000000"/>
              <w:bottom w:val="single" w:sz="5" w:space="0" w:color="000000"/>
              <w:right w:val="single" w:sz="4" w:space="0" w:color="000000"/>
            </w:tcBorders>
          </w:tcPr>
          <w:p w14:paraId="530775DD"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Autortiesību teksts</w:t>
            </w:r>
          </w:p>
        </w:tc>
        <w:tc>
          <w:tcPr>
            <w:tcW w:w="2500" w:type="pct"/>
            <w:tcBorders>
              <w:top w:val="single" w:sz="5" w:space="0" w:color="000000"/>
              <w:left w:val="single" w:sz="4" w:space="0" w:color="000000"/>
              <w:bottom w:val="single" w:sz="5" w:space="0" w:color="000000"/>
              <w:right w:val="single" w:sz="5" w:space="0" w:color="000000"/>
            </w:tcBorders>
          </w:tcPr>
          <w:p w14:paraId="60417B38"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Aizstāts ar jaunu versiju</w:t>
            </w:r>
          </w:p>
        </w:tc>
      </w:tr>
      <w:tr w:rsidR="007F0CFD" w:rsidRPr="004E7BEB" w14:paraId="7B1BA027" w14:textId="77777777" w:rsidTr="00E025E3">
        <w:trPr>
          <w:trHeight w:hRule="exact" w:val="958"/>
        </w:trPr>
        <w:tc>
          <w:tcPr>
            <w:tcW w:w="2500" w:type="pct"/>
            <w:tcBorders>
              <w:top w:val="single" w:sz="5" w:space="0" w:color="000000"/>
              <w:left w:val="single" w:sz="4" w:space="0" w:color="000000"/>
              <w:bottom w:val="single" w:sz="5" w:space="0" w:color="000000"/>
              <w:right w:val="single" w:sz="4" w:space="0" w:color="000000"/>
            </w:tcBorders>
          </w:tcPr>
          <w:p w14:paraId="4E3CDBF0"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Viss dokuments</w:t>
            </w:r>
          </w:p>
        </w:tc>
        <w:tc>
          <w:tcPr>
            <w:tcW w:w="2500" w:type="pct"/>
            <w:tcBorders>
              <w:top w:val="single" w:sz="5" w:space="0" w:color="000000"/>
              <w:left w:val="single" w:sz="4" w:space="0" w:color="000000"/>
              <w:bottom w:val="single" w:sz="5" w:space="0" w:color="000000"/>
              <w:right w:val="single" w:sz="5" w:space="0" w:color="000000"/>
            </w:tcBorders>
          </w:tcPr>
          <w:p w14:paraId="0FCE5EE8"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Visā tekstā tagad ir rakstīts “metroloģiskā izsekojamība”, nevis tikai “izsekojamība”</w:t>
            </w:r>
          </w:p>
        </w:tc>
      </w:tr>
      <w:tr w:rsidR="007F0CFD" w:rsidRPr="004E7BEB" w14:paraId="3843C78B" w14:textId="77777777" w:rsidTr="00E025E3">
        <w:trPr>
          <w:trHeight w:hRule="exact" w:val="1397"/>
        </w:trPr>
        <w:tc>
          <w:tcPr>
            <w:tcW w:w="2500" w:type="pct"/>
            <w:tcBorders>
              <w:top w:val="single" w:sz="5" w:space="0" w:color="000000"/>
              <w:left w:val="single" w:sz="4" w:space="0" w:color="000000"/>
              <w:bottom w:val="single" w:sz="5" w:space="0" w:color="000000"/>
              <w:right w:val="single" w:sz="4" w:space="0" w:color="000000"/>
            </w:tcBorders>
          </w:tcPr>
          <w:p w14:paraId="6DDBE902"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Mērķis</w:t>
            </w:r>
          </w:p>
        </w:tc>
        <w:tc>
          <w:tcPr>
            <w:tcW w:w="2500" w:type="pct"/>
            <w:tcBorders>
              <w:top w:val="single" w:sz="5" w:space="0" w:color="000000"/>
              <w:left w:val="single" w:sz="4" w:space="0" w:color="000000"/>
              <w:bottom w:val="single" w:sz="5" w:space="0" w:color="000000"/>
              <w:right w:val="single" w:sz="5" w:space="0" w:color="000000"/>
            </w:tcBorders>
          </w:tcPr>
          <w:p w14:paraId="2886E0D9"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Mērķis ir salāgots ar citām politiskajām nostādnēm, lai nodrošinātu, ka šī politika attiecas uz mērījumiem, kas veikti, izmantojot citu atbilstības novērtēšanu</w:t>
            </w:r>
          </w:p>
          <w:p w14:paraId="596CA6B1"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Standarti.</w:t>
            </w:r>
          </w:p>
        </w:tc>
      </w:tr>
      <w:tr w:rsidR="007F0CFD" w:rsidRPr="004E7BEB" w14:paraId="6545F70A" w14:textId="77777777" w:rsidTr="00E025E3">
        <w:trPr>
          <w:trHeight w:hRule="exact" w:val="965"/>
        </w:trPr>
        <w:tc>
          <w:tcPr>
            <w:tcW w:w="2500" w:type="pct"/>
            <w:tcBorders>
              <w:top w:val="single" w:sz="5" w:space="0" w:color="000000"/>
              <w:left w:val="single" w:sz="4" w:space="0" w:color="000000"/>
              <w:bottom w:val="single" w:sz="5" w:space="0" w:color="000000"/>
              <w:right w:val="single" w:sz="4" w:space="0" w:color="000000"/>
            </w:tcBorders>
          </w:tcPr>
          <w:p w14:paraId="1B4AE0E9"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1. Termini un definīcijas</w:t>
            </w:r>
          </w:p>
        </w:tc>
        <w:tc>
          <w:tcPr>
            <w:tcW w:w="2500" w:type="pct"/>
            <w:tcBorders>
              <w:top w:val="single" w:sz="5" w:space="0" w:color="000000"/>
              <w:left w:val="single" w:sz="4" w:space="0" w:color="000000"/>
              <w:bottom w:val="single" w:sz="5" w:space="0" w:color="000000"/>
              <w:right w:val="single" w:sz="5" w:space="0" w:color="000000"/>
            </w:tcBorders>
          </w:tcPr>
          <w:p w14:paraId="22A31414"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 xml:space="preserve">Ir pievienotas terminu </w:t>
            </w:r>
            <w:r w:rsidRPr="004E7BEB">
              <w:rPr>
                <w:rFonts w:ascii="Times New Roman" w:hAnsi="Times New Roman"/>
                <w:i/>
                <w:iCs/>
                <w:sz w:val="24"/>
              </w:rPr>
              <w:t>CIPM MRA</w:t>
            </w:r>
            <w:r w:rsidRPr="004E7BEB">
              <w:rPr>
                <w:rFonts w:ascii="Times New Roman" w:hAnsi="Times New Roman"/>
                <w:sz w:val="24"/>
              </w:rPr>
              <w:t xml:space="preserve">, </w:t>
            </w:r>
            <w:r w:rsidRPr="004E7BEB">
              <w:rPr>
                <w:rFonts w:ascii="Times New Roman" w:hAnsi="Times New Roman"/>
                <w:i/>
                <w:iCs/>
                <w:sz w:val="24"/>
              </w:rPr>
              <w:t>KCDB</w:t>
            </w:r>
            <w:r w:rsidRPr="004E7BEB">
              <w:rPr>
                <w:rFonts w:ascii="Times New Roman" w:hAnsi="Times New Roman"/>
                <w:sz w:val="24"/>
              </w:rPr>
              <w:t>, ANI, akreditēta organizācija un RMR definīcijas.</w:t>
            </w:r>
          </w:p>
        </w:tc>
      </w:tr>
      <w:tr w:rsidR="007F0CFD" w:rsidRPr="004E7BEB" w14:paraId="4D1ABE1F" w14:textId="77777777" w:rsidTr="00E025E3">
        <w:trPr>
          <w:trHeight w:hRule="exact" w:val="3157"/>
        </w:trPr>
        <w:tc>
          <w:tcPr>
            <w:tcW w:w="2500" w:type="pct"/>
            <w:tcBorders>
              <w:top w:val="single" w:sz="5" w:space="0" w:color="000000"/>
              <w:left w:val="single" w:sz="4" w:space="0" w:color="000000"/>
              <w:bottom w:val="single" w:sz="5" w:space="0" w:color="000000"/>
              <w:right w:val="single" w:sz="4" w:space="0" w:color="000000"/>
            </w:tcBorders>
          </w:tcPr>
          <w:p w14:paraId="4823282E"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 xml:space="preserve">2. </w:t>
            </w:r>
            <w:r w:rsidRPr="004E7BEB">
              <w:rPr>
                <w:rFonts w:ascii="Times New Roman" w:hAnsi="Times New Roman"/>
                <w:i/>
                <w:iCs/>
                <w:sz w:val="24"/>
              </w:rPr>
              <w:t>ILAC</w:t>
            </w:r>
            <w:r w:rsidRPr="004E7BEB">
              <w:rPr>
                <w:rFonts w:ascii="Times New Roman" w:hAnsi="Times New Roman"/>
                <w:sz w:val="24"/>
              </w:rPr>
              <w:t xml:space="preserve"> politika</w:t>
            </w:r>
          </w:p>
        </w:tc>
        <w:tc>
          <w:tcPr>
            <w:tcW w:w="2500" w:type="pct"/>
            <w:tcBorders>
              <w:top w:val="single" w:sz="5" w:space="0" w:color="000000"/>
              <w:left w:val="single" w:sz="4" w:space="0" w:color="000000"/>
              <w:bottom w:val="single" w:sz="5" w:space="0" w:color="000000"/>
              <w:right w:val="single" w:sz="5" w:space="0" w:color="000000"/>
            </w:tcBorders>
          </w:tcPr>
          <w:p w14:paraId="07C9359F" w14:textId="77777777" w:rsidR="007F0CFD" w:rsidRPr="004E7BEB" w:rsidRDefault="007F0CFD" w:rsidP="00E025E3">
            <w:pPr>
              <w:pStyle w:val="TableParagraph"/>
              <w:jc w:val="both"/>
              <w:rPr>
                <w:rFonts w:ascii="Times New Roman" w:eastAsia="Times New Roman" w:hAnsi="Times New Roman" w:cs="Times New Roman"/>
                <w:noProof/>
                <w:sz w:val="24"/>
                <w:szCs w:val="24"/>
              </w:rPr>
            </w:pPr>
            <w:r w:rsidRPr="004E7BEB">
              <w:rPr>
                <w:rFonts w:ascii="Times New Roman" w:hAnsi="Times New Roman"/>
                <w:sz w:val="24"/>
              </w:rPr>
              <w:t xml:space="preserve">Ir noņemtas atsauces uz ISO/IEC 17025:2005, un politika ir izstrādāta tā, lai tā nebūtu atkarīga no izmantotā akreditācijas standarta (piemēram, ISO/IEC 17020). Politika ir atjaunināta ar izstrādni, kuras rezultātā ir pārskatīts ISO/IEC 17025:2017 par metroloģisko izsekojamību. Proti, atjauninājumā ir iekļauts tas, ka </w:t>
            </w:r>
            <w:r w:rsidRPr="004E7BEB">
              <w:rPr>
                <w:rFonts w:ascii="Times New Roman" w:hAnsi="Times New Roman"/>
                <w:i/>
                <w:iCs/>
                <w:sz w:val="24"/>
              </w:rPr>
              <w:t>ILAC</w:t>
            </w:r>
            <w:r w:rsidRPr="004E7BEB">
              <w:rPr>
                <w:rFonts w:ascii="Times New Roman" w:hAnsi="Times New Roman"/>
                <w:sz w:val="24"/>
              </w:rPr>
              <w:t xml:space="preserve"> gatavojas paplašināt references materiālu ražotāju </w:t>
            </w:r>
            <w:r w:rsidRPr="004E7BEB">
              <w:rPr>
                <w:rFonts w:ascii="Times New Roman" w:hAnsi="Times New Roman"/>
                <w:i/>
                <w:iCs/>
                <w:sz w:val="24"/>
              </w:rPr>
              <w:t>MRA</w:t>
            </w:r>
            <w:r w:rsidRPr="004E7BEB">
              <w:rPr>
                <w:rFonts w:ascii="Times New Roman" w:hAnsi="Times New Roman"/>
                <w:sz w:val="24"/>
              </w:rPr>
              <w:t xml:space="preserve"> uz ISO 17034:2016. Politikas 1)–3) punkts praktiski nav mainīts.</w:t>
            </w:r>
          </w:p>
        </w:tc>
      </w:tr>
      <w:tr w:rsidR="007F0CFD" w:rsidRPr="004E7BEB" w14:paraId="6D2B816A" w14:textId="77777777" w:rsidTr="00E025E3">
        <w:trPr>
          <w:trHeight w:hRule="exact" w:val="464"/>
        </w:trPr>
        <w:tc>
          <w:tcPr>
            <w:tcW w:w="2500" w:type="pct"/>
            <w:tcBorders>
              <w:top w:val="single" w:sz="5" w:space="0" w:color="000000"/>
              <w:left w:val="single" w:sz="4" w:space="0" w:color="000000"/>
              <w:bottom w:val="single" w:sz="5" w:space="0" w:color="000000"/>
              <w:right w:val="single" w:sz="4" w:space="0" w:color="000000"/>
            </w:tcBorders>
          </w:tcPr>
          <w:p w14:paraId="15FC8F4B"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3. Atsauces</w:t>
            </w:r>
          </w:p>
        </w:tc>
        <w:tc>
          <w:tcPr>
            <w:tcW w:w="2500" w:type="pct"/>
            <w:tcBorders>
              <w:top w:val="single" w:sz="5" w:space="0" w:color="000000"/>
              <w:left w:val="single" w:sz="4" w:space="0" w:color="000000"/>
              <w:bottom w:val="single" w:sz="5" w:space="0" w:color="000000"/>
              <w:right w:val="single" w:sz="5" w:space="0" w:color="000000"/>
            </w:tcBorders>
          </w:tcPr>
          <w:p w14:paraId="1511F688"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Atjauninātas</w:t>
            </w:r>
          </w:p>
        </w:tc>
      </w:tr>
      <w:tr w:rsidR="007F0CFD" w:rsidRPr="004E7BEB" w14:paraId="31E1D15A" w14:textId="77777777" w:rsidTr="00E025E3">
        <w:trPr>
          <w:trHeight w:hRule="exact" w:val="683"/>
        </w:trPr>
        <w:tc>
          <w:tcPr>
            <w:tcW w:w="2500" w:type="pct"/>
            <w:tcBorders>
              <w:top w:val="single" w:sz="5" w:space="0" w:color="000000"/>
              <w:left w:val="single" w:sz="4" w:space="0" w:color="000000"/>
              <w:bottom w:val="single" w:sz="4" w:space="0" w:color="000000"/>
              <w:right w:val="single" w:sz="4" w:space="0" w:color="000000"/>
            </w:tcBorders>
          </w:tcPr>
          <w:p w14:paraId="3910C0AF"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A pielikums</w:t>
            </w:r>
          </w:p>
        </w:tc>
        <w:tc>
          <w:tcPr>
            <w:tcW w:w="2500" w:type="pct"/>
            <w:tcBorders>
              <w:top w:val="single" w:sz="5" w:space="0" w:color="000000"/>
              <w:left w:val="single" w:sz="4" w:space="0" w:color="000000"/>
              <w:bottom w:val="single" w:sz="4" w:space="0" w:color="000000"/>
              <w:right w:val="single" w:sz="5" w:space="0" w:color="000000"/>
            </w:tcBorders>
          </w:tcPr>
          <w:p w14:paraId="52BCD91B"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Atjaunināts ar atsauci uz ISO/IEC 17025:2017.</w:t>
            </w:r>
          </w:p>
        </w:tc>
      </w:tr>
      <w:tr w:rsidR="007F0CFD" w:rsidRPr="004E7BEB" w14:paraId="2F8C7E48" w14:textId="77777777" w:rsidTr="00E025E3">
        <w:trPr>
          <w:trHeight w:hRule="exact" w:val="394"/>
        </w:trPr>
        <w:tc>
          <w:tcPr>
            <w:tcW w:w="2500" w:type="pct"/>
            <w:tcBorders>
              <w:top w:val="single" w:sz="4" w:space="0" w:color="000000"/>
              <w:left w:val="single" w:sz="4" w:space="0" w:color="000000"/>
              <w:bottom w:val="single" w:sz="4" w:space="0" w:color="000000"/>
              <w:right w:val="single" w:sz="4" w:space="0" w:color="000000"/>
            </w:tcBorders>
          </w:tcPr>
          <w:p w14:paraId="3F293CCB"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B pielikums</w:t>
            </w:r>
          </w:p>
        </w:tc>
        <w:tc>
          <w:tcPr>
            <w:tcW w:w="2500" w:type="pct"/>
            <w:tcBorders>
              <w:top w:val="single" w:sz="4" w:space="0" w:color="000000"/>
              <w:left w:val="single" w:sz="4" w:space="0" w:color="000000"/>
              <w:bottom w:val="single" w:sz="4" w:space="0" w:color="000000"/>
              <w:right w:val="single" w:sz="5" w:space="0" w:color="000000"/>
            </w:tcBorders>
          </w:tcPr>
          <w:p w14:paraId="2C0DFC15" w14:textId="77777777" w:rsidR="007F0CFD" w:rsidRPr="004E7BEB" w:rsidRDefault="007F0CFD" w:rsidP="00E025E3">
            <w:pPr>
              <w:pStyle w:val="TableParagraph"/>
              <w:jc w:val="both"/>
              <w:rPr>
                <w:rFonts w:ascii="Times New Roman" w:hAnsi="Times New Roman" w:cs="Times New Roman"/>
                <w:noProof/>
                <w:sz w:val="24"/>
                <w:szCs w:val="24"/>
              </w:rPr>
            </w:pPr>
            <w:r w:rsidRPr="004E7BEB">
              <w:rPr>
                <w:rFonts w:ascii="Times New Roman" w:hAnsi="Times New Roman"/>
                <w:sz w:val="24"/>
              </w:rPr>
              <w:t>Pievienota pārskatīšanas tabula.</w:t>
            </w:r>
          </w:p>
        </w:tc>
      </w:tr>
    </w:tbl>
    <w:p w14:paraId="3BD56307" w14:textId="77777777" w:rsidR="007F0CFD" w:rsidRPr="004E7BEB" w:rsidRDefault="007F0CFD" w:rsidP="007F0CFD">
      <w:pPr>
        <w:jc w:val="both"/>
        <w:rPr>
          <w:rFonts w:ascii="Times New Roman" w:hAnsi="Times New Roman" w:cs="Times New Roman"/>
          <w:noProof/>
          <w:sz w:val="24"/>
          <w:szCs w:val="24"/>
        </w:rPr>
      </w:pPr>
    </w:p>
    <w:sectPr w:rsidR="007F0CFD" w:rsidRPr="004E7BEB" w:rsidSect="00282117">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5CD6" w14:textId="77777777" w:rsidR="0033018D" w:rsidRPr="007F0CFD" w:rsidRDefault="0033018D">
      <w:pPr>
        <w:rPr>
          <w:noProof/>
        </w:rPr>
      </w:pPr>
      <w:r w:rsidRPr="007F0CFD">
        <w:rPr>
          <w:noProof/>
        </w:rPr>
        <w:separator/>
      </w:r>
    </w:p>
  </w:endnote>
  <w:endnote w:type="continuationSeparator" w:id="0">
    <w:p w14:paraId="79D95822" w14:textId="77777777" w:rsidR="0033018D" w:rsidRPr="007F0CFD" w:rsidRDefault="0033018D">
      <w:pPr>
        <w:rPr>
          <w:noProof/>
        </w:rPr>
      </w:pPr>
      <w:r w:rsidRPr="007F0CF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1C82" w14:textId="77777777" w:rsidR="00622F89" w:rsidRPr="000E218E" w:rsidRDefault="00622F89" w:rsidP="00622F89">
    <w:pPr>
      <w:pStyle w:val="Header"/>
      <w:tabs>
        <w:tab w:val="left" w:pos="9072"/>
      </w:tabs>
      <w:jc w:val="both"/>
      <w:rPr>
        <w:rStyle w:val="PageNumber"/>
        <w:rFonts w:ascii="Times New Roman" w:hAnsi="Times New Roman" w:cs="Times New Roman"/>
        <w:noProof/>
        <w:sz w:val="20"/>
        <w:szCs w:val="20"/>
        <w:lang w:val="en-US"/>
      </w:rPr>
    </w:pPr>
  </w:p>
  <w:p w14:paraId="0BCA9A9F" w14:textId="77777777" w:rsidR="00622F89" w:rsidRPr="000E218E" w:rsidRDefault="00622F89" w:rsidP="00622F89">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0E218E">
      <w:rPr>
        <w:rFonts w:ascii="Times New Roman" w:hAnsi="Times New Roman" w:cs="Times New Roman"/>
        <w:noProof/>
        <w:sz w:val="20"/>
        <w:szCs w:val="20"/>
        <w:lang w:val="en-US"/>
      </w:rPr>
      <w:tab/>
    </w:r>
  </w:p>
  <w:p w14:paraId="769A6EBF" w14:textId="77777777" w:rsidR="00622F89" w:rsidRPr="000E218E" w:rsidRDefault="00622F89" w:rsidP="00622F89">
    <w:pPr>
      <w:pStyle w:val="Header"/>
      <w:tabs>
        <w:tab w:val="right" w:pos="9072"/>
      </w:tabs>
      <w:jc w:val="both"/>
      <w:rPr>
        <w:rStyle w:val="PageNumber"/>
        <w:rFonts w:ascii="Times New Roman" w:hAnsi="Times New Roman" w:cs="Times New Roman"/>
        <w:noProof/>
        <w:sz w:val="20"/>
        <w:szCs w:val="20"/>
        <w:lang w:val="en-US"/>
      </w:rPr>
    </w:pPr>
  </w:p>
  <w:p w14:paraId="1D977CF1" w14:textId="77777777" w:rsidR="00622F89" w:rsidRPr="000E218E" w:rsidRDefault="00622F89" w:rsidP="00622F89">
    <w:pPr>
      <w:pStyle w:val="Footer"/>
      <w:tabs>
        <w:tab w:val="clear" w:pos="4513"/>
        <w:tab w:val="clear" w:pos="9026"/>
        <w:tab w:val="center" w:pos="9072"/>
      </w:tabs>
      <w:jc w:val="both"/>
      <w:rPr>
        <w:rFonts w:ascii="Times New Roman" w:hAnsi="Times New Roman" w:cs="Times New Roman"/>
        <w:noProof/>
        <w:sz w:val="20"/>
        <w:szCs w:val="20"/>
        <w:lang w:val="en-US"/>
      </w:rPr>
    </w:pPr>
    <w:r w:rsidRPr="000E218E">
      <w:rPr>
        <w:rFonts w:ascii="Times New Roman" w:hAnsi="Times New Roman" w:cs="Times New Roman"/>
        <w:noProof/>
        <w:sz w:val="20"/>
        <w:szCs w:val="20"/>
        <w:lang w:val="en-US"/>
      </w:rPr>
      <w:t xml:space="preserve">Tulkojums </w:t>
    </w:r>
    <w:r w:rsidRPr="000E218E">
      <w:rPr>
        <w:rFonts w:ascii="Times New Roman" w:hAnsi="Times New Roman" w:cs="Times New Roman"/>
        <w:noProof/>
        <w:sz w:val="20"/>
        <w:szCs w:val="20"/>
        <w:lang w:val="en-US"/>
      </w:rPr>
      <w:fldChar w:fldCharType="begin"/>
    </w:r>
    <w:r w:rsidRPr="000E218E">
      <w:rPr>
        <w:rFonts w:ascii="Times New Roman" w:hAnsi="Times New Roman" w:cs="Times New Roman"/>
        <w:noProof/>
        <w:sz w:val="20"/>
        <w:szCs w:val="20"/>
        <w:lang w:val="en-US"/>
      </w:rPr>
      <w:instrText>symbol 211 \f "Symbol" \s 9</w:instrText>
    </w:r>
    <w:r w:rsidRPr="000E218E">
      <w:rPr>
        <w:rFonts w:ascii="Times New Roman" w:hAnsi="Times New Roman" w:cs="Times New Roman"/>
        <w:noProof/>
        <w:sz w:val="20"/>
        <w:szCs w:val="20"/>
        <w:lang w:val="en-US"/>
      </w:rPr>
      <w:fldChar w:fldCharType="separate"/>
    </w:r>
    <w:r w:rsidRPr="000E218E">
      <w:rPr>
        <w:rFonts w:ascii="Times New Roman" w:hAnsi="Times New Roman" w:cs="Times New Roman"/>
        <w:noProof/>
        <w:sz w:val="20"/>
        <w:szCs w:val="20"/>
        <w:lang w:val="en-US"/>
      </w:rPr>
      <w:t>Ó</w:t>
    </w:r>
    <w:r w:rsidRPr="000E218E">
      <w:rPr>
        <w:rFonts w:ascii="Times New Roman" w:hAnsi="Times New Roman" w:cs="Times New Roman"/>
        <w:noProof/>
        <w:sz w:val="20"/>
        <w:szCs w:val="20"/>
        <w:lang w:val="en-US"/>
      </w:rPr>
      <w:fldChar w:fldCharType="end"/>
    </w:r>
    <w:r w:rsidRPr="000E218E">
      <w:rPr>
        <w:rFonts w:ascii="Times New Roman" w:hAnsi="Times New Roman" w:cs="Times New Roman"/>
        <w:noProof/>
        <w:sz w:val="20"/>
        <w:szCs w:val="20"/>
        <w:lang w:val="en-US"/>
      </w:rPr>
      <w:t xml:space="preserve"> Valsts valodas centrs, 2022</w:t>
    </w:r>
    <w:r w:rsidRPr="000E218E">
      <w:rPr>
        <w:rFonts w:ascii="Times New Roman" w:hAnsi="Times New Roman" w:cs="Times New Roman"/>
        <w:noProof/>
        <w:sz w:val="20"/>
        <w:szCs w:val="20"/>
        <w:lang w:val="en-US"/>
      </w:rPr>
      <w:tab/>
    </w:r>
    <w:r w:rsidRPr="000E218E">
      <w:rPr>
        <w:rStyle w:val="PageNumber"/>
        <w:rFonts w:ascii="Times New Roman" w:hAnsi="Times New Roman" w:cs="Times New Roman"/>
        <w:noProof/>
        <w:sz w:val="20"/>
        <w:szCs w:val="20"/>
        <w:lang w:val="en-US"/>
      </w:rPr>
      <w:fldChar w:fldCharType="begin"/>
    </w:r>
    <w:r w:rsidRPr="000E218E">
      <w:rPr>
        <w:rStyle w:val="PageNumber"/>
        <w:rFonts w:ascii="Times New Roman" w:hAnsi="Times New Roman" w:cs="Times New Roman"/>
        <w:noProof/>
        <w:sz w:val="20"/>
        <w:szCs w:val="20"/>
        <w:lang w:val="en-US"/>
      </w:rPr>
      <w:instrText xml:space="preserve">page </w:instrText>
    </w:r>
    <w:r w:rsidRPr="000E218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0E218E">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5FB5" w14:textId="77777777" w:rsidR="006F55D4" w:rsidRPr="000E218E" w:rsidRDefault="006F55D4" w:rsidP="006F55D4">
    <w:pPr>
      <w:pStyle w:val="Header"/>
      <w:tabs>
        <w:tab w:val="left" w:pos="9072"/>
      </w:tabs>
      <w:jc w:val="both"/>
      <w:rPr>
        <w:rStyle w:val="PageNumber"/>
        <w:rFonts w:ascii="Times New Roman" w:hAnsi="Times New Roman"/>
        <w:noProof/>
        <w:sz w:val="20"/>
        <w:szCs w:val="18"/>
        <w:lang w:val="en-US"/>
      </w:rPr>
    </w:pPr>
    <w:bookmarkStart w:id="28" w:name="_Hlk496261764"/>
    <w:bookmarkStart w:id="29" w:name="_Hlk496261765"/>
    <w:bookmarkStart w:id="30" w:name="_Hlk496261766"/>
    <w:bookmarkStart w:id="31" w:name="_Hlk30491075"/>
    <w:bookmarkStart w:id="32" w:name="_Hlk30491076"/>
  </w:p>
  <w:p w14:paraId="23CA6B10" w14:textId="77777777" w:rsidR="006F55D4" w:rsidRPr="000E218E" w:rsidRDefault="006F55D4" w:rsidP="006F55D4">
    <w:pPr>
      <w:pStyle w:val="Header"/>
      <w:tabs>
        <w:tab w:val="clear" w:pos="4513"/>
        <w:tab w:val="clear" w:pos="9026"/>
        <w:tab w:val="left" w:leader="underscore" w:pos="9072"/>
      </w:tabs>
      <w:jc w:val="both"/>
      <w:rPr>
        <w:rFonts w:ascii="Times New Roman" w:hAnsi="Times New Roman"/>
        <w:noProof/>
        <w:sz w:val="20"/>
        <w:szCs w:val="18"/>
        <w:lang w:val="en-US"/>
      </w:rPr>
    </w:pPr>
    <w:r w:rsidRPr="000E218E">
      <w:rPr>
        <w:rFonts w:ascii="Times New Roman" w:hAnsi="Times New Roman"/>
        <w:noProof/>
        <w:sz w:val="20"/>
        <w:szCs w:val="18"/>
        <w:lang w:val="en-US"/>
      </w:rPr>
      <w:tab/>
    </w:r>
  </w:p>
  <w:p w14:paraId="277A0328" w14:textId="77777777" w:rsidR="006F55D4" w:rsidRPr="000E218E" w:rsidRDefault="006F55D4" w:rsidP="006F55D4">
    <w:pPr>
      <w:pStyle w:val="Header"/>
      <w:tabs>
        <w:tab w:val="left" w:pos="9072"/>
      </w:tabs>
      <w:jc w:val="both"/>
      <w:rPr>
        <w:rStyle w:val="PageNumber"/>
        <w:rFonts w:ascii="Times New Roman" w:hAnsi="Times New Roman"/>
        <w:noProof/>
        <w:sz w:val="20"/>
        <w:szCs w:val="18"/>
        <w:lang w:val="en-US"/>
      </w:rPr>
    </w:pPr>
  </w:p>
  <w:p w14:paraId="0ED7CDCE" w14:textId="77777777" w:rsidR="006F55D4" w:rsidRPr="000E218E" w:rsidRDefault="006F55D4" w:rsidP="006F55D4">
    <w:pPr>
      <w:pStyle w:val="Footer"/>
      <w:jc w:val="both"/>
      <w:rPr>
        <w:rFonts w:ascii="Times New Roman" w:hAnsi="Times New Roman"/>
        <w:noProof/>
        <w:sz w:val="20"/>
        <w:szCs w:val="18"/>
        <w:lang w:val="en-US"/>
      </w:rPr>
    </w:pPr>
    <w:r w:rsidRPr="000E218E">
      <w:rPr>
        <w:rFonts w:ascii="Times New Roman" w:hAnsi="Times New Roman"/>
        <w:noProof/>
        <w:sz w:val="20"/>
        <w:szCs w:val="18"/>
        <w:lang w:val="en-US"/>
      </w:rPr>
      <w:t xml:space="preserve">Tulkojums </w:t>
    </w:r>
    <w:r w:rsidRPr="000E218E">
      <w:rPr>
        <w:rFonts w:ascii="Times New Roman" w:hAnsi="Times New Roman"/>
        <w:noProof/>
        <w:sz w:val="20"/>
        <w:szCs w:val="18"/>
        <w:lang w:val="en-US"/>
      </w:rPr>
      <w:fldChar w:fldCharType="begin"/>
    </w:r>
    <w:r w:rsidRPr="000E218E">
      <w:rPr>
        <w:rFonts w:ascii="Times New Roman" w:hAnsi="Times New Roman"/>
        <w:noProof/>
        <w:sz w:val="20"/>
        <w:szCs w:val="18"/>
        <w:lang w:val="en-US"/>
      </w:rPr>
      <w:instrText>symbol 211 \f "Symbol" \s 9</w:instrText>
    </w:r>
    <w:r w:rsidRPr="000E218E">
      <w:rPr>
        <w:rFonts w:ascii="Times New Roman" w:hAnsi="Times New Roman"/>
        <w:noProof/>
        <w:sz w:val="20"/>
        <w:szCs w:val="18"/>
        <w:lang w:val="en-US"/>
      </w:rPr>
      <w:fldChar w:fldCharType="separate"/>
    </w:r>
    <w:r w:rsidRPr="000E218E">
      <w:rPr>
        <w:rFonts w:ascii="Times New Roman" w:hAnsi="Times New Roman"/>
        <w:noProof/>
        <w:sz w:val="20"/>
        <w:szCs w:val="18"/>
        <w:lang w:val="en-US"/>
      </w:rPr>
      <w:t>Ó</w:t>
    </w:r>
    <w:r w:rsidRPr="000E218E">
      <w:rPr>
        <w:rFonts w:ascii="Times New Roman" w:hAnsi="Times New Roman"/>
        <w:noProof/>
        <w:sz w:val="20"/>
        <w:szCs w:val="18"/>
        <w:lang w:val="en-US"/>
      </w:rPr>
      <w:fldChar w:fldCharType="end"/>
    </w:r>
    <w:r w:rsidRPr="000E218E">
      <w:rPr>
        <w:rFonts w:ascii="Times New Roman" w:hAnsi="Times New Roman"/>
        <w:noProof/>
        <w:sz w:val="20"/>
        <w:szCs w:val="18"/>
        <w:lang w:val="en-US"/>
      </w:rPr>
      <w:t xml:space="preserve"> Valsts valodas centrs, 20</w:t>
    </w:r>
    <w:bookmarkEnd w:id="28"/>
    <w:bookmarkEnd w:id="29"/>
    <w:bookmarkEnd w:id="30"/>
    <w:r w:rsidRPr="000E218E">
      <w:rPr>
        <w:rFonts w:ascii="Times New Roman" w:hAnsi="Times New Roman"/>
        <w:noProof/>
        <w:sz w:val="20"/>
        <w:szCs w:val="18"/>
        <w:lang w:val="en-US"/>
      </w:rPr>
      <w:t>2</w:t>
    </w:r>
    <w:bookmarkEnd w:id="31"/>
    <w:bookmarkEnd w:id="32"/>
    <w:r w:rsidRPr="000E218E">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6AD5" w14:textId="77777777" w:rsidR="0033018D" w:rsidRPr="007F0CFD" w:rsidRDefault="0033018D">
      <w:pPr>
        <w:rPr>
          <w:noProof/>
        </w:rPr>
      </w:pPr>
      <w:r w:rsidRPr="007F0CFD">
        <w:rPr>
          <w:noProof/>
        </w:rPr>
        <w:separator/>
      </w:r>
    </w:p>
  </w:footnote>
  <w:footnote w:type="continuationSeparator" w:id="0">
    <w:p w14:paraId="55EABFCE" w14:textId="77777777" w:rsidR="0033018D" w:rsidRPr="007F0CFD" w:rsidRDefault="0033018D">
      <w:pPr>
        <w:rPr>
          <w:noProof/>
        </w:rPr>
      </w:pPr>
      <w:r w:rsidRPr="007F0CF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B28F" w14:textId="77777777" w:rsidR="0030124E" w:rsidRPr="000E218E" w:rsidRDefault="0030124E" w:rsidP="0030124E">
    <w:pPr>
      <w:pStyle w:val="Header"/>
      <w:rPr>
        <w:rStyle w:val="PageNumber"/>
        <w:rFonts w:ascii="Times New Roman" w:hAnsi="Times New Roman" w:cs="Times New Roman"/>
        <w:noProof/>
        <w:sz w:val="20"/>
        <w:szCs w:val="20"/>
        <w:lang w:val="en-US"/>
      </w:rPr>
    </w:pPr>
    <w:bookmarkStart w:id="14" w:name="_Hlk496261784"/>
    <w:bookmarkStart w:id="15" w:name="_Hlk496261785"/>
    <w:bookmarkStart w:id="16" w:name="_Hlk496261786"/>
    <w:bookmarkStart w:id="17" w:name="_Hlk502757728"/>
    <w:bookmarkStart w:id="18" w:name="_Hlk502757729"/>
    <w:bookmarkStart w:id="19" w:name="_Hlk502757738"/>
    <w:bookmarkStart w:id="20" w:name="_Hlk502757739"/>
    <w:bookmarkStart w:id="21" w:name="_Hlk30491084"/>
    <w:bookmarkStart w:id="22" w:name="_Hlk30491085"/>
  </w:p>
  <w:p w14:paraId="042DD22C" w14:textId="77777777" w:rsidR="0030124E" w:rsidRPr="000E218E" w:rsidRDefault="0030124E" w:rsidP="0030124E">
    <w:pPr>
      <w:pStyle w:val="Header"/>
      <w:tabs>
        <w:tab w:val="clear" w:pos="4513"/>
        <w:tab w:val="clear" w:pos="9026"/>
        <w:tab w:val="right" w:leader="underscore" w:pos="9072"/>
      </w:tabs>
      <w:rPr>
        <w:rFonts w:ascii="Times New Roman" w:hAnsi="Times New Roman" w:cs="Times New Roman"/>
        <w:noProof/>
        <w:sz w:val="20"/>
        <w:szCs w:val="20"/>
        <w:lang w:val="en-US"/>
      </w:rPr>
    </w:pPr>
    <w:r w:rsidRPr="000E218E">
      <w:rPr>
        <w:rFonts w:ascii="Times New Roman" w:hAnsi="Times New Roman" w:cs="Times New Roman"/>
        <w:noProof/>
        <w:sz w:val="20"/>
        <w:szCs w:val="20"/>
        <w:lang w:val="en-US"/>
      </w:rPr>
      <w:tab/>
    </w:r>
  </w:p>
  <w:bookmarkEnd w:id="14"/>
  <w:bookmarkEnd w:id="15"/>
  <w:bookmarkEnd w:id="16"/>
  <w:bookmarkEnd w:id="17"/>
  <w:bookmarkEnd w:id="18"/>
  <w:bookmarkEnd w:id="19"/>
  <w:bookmarkEnd w:id="20"/>
  <w:bookmarkEnd w:id="21"/>
  <w:bookmarkEnd w:id="22"/>
  <w:p w14:paraId="6CE49AA1" w14:textId="77777777" w:rsidR="0030124E" w:rsidRPr="000E218E" w:rsidRDefault="0030124E" w:rsidP="0030124E">
    <w:pPr>
      <w:pStyle w:val="Header"/>
      <w:rPr>
        <w:rFonts w:ascii="Times New Roman" w:hAnsi="Times New Roman" w:cs="Times New Roman"/>
        <w:noProof/>
        <w:sz w:val="20"/>
        <w:szCs w:val="20"/>
        <w:lang w:val="en-US"/>
      </w:rPr>
    </w:pPr>
  </w:p>
  <w:p w14:paraId="190CF89E" w14:textId="77777777" w:rsidR="0030124E" w:rsidRPr="000E218E" w:rsidRDefault="0030124E" w:rsidP="0030124E">
    <w:pPr>
      <w:spacing w:line="14" w:lineRule="auto"/>
      <w:rPr>
        <w:noProof/>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29B1" w14:textId="77777777" w:rsidR="00EB5462" w:rsidRPr="000E218E" w:rsidRDefault="00EB5462" w:rsidP="00EB5462">
    <w:pPr>
      <w:pBdr>
        <w:bottom w:val="single" w:sz="12" w:space="5" w:color="auto"/>
      </w:pBdr>
      <w:rPr>
        <w:rFonts w:ascii="Times New Roman" w:hAnsi="Times New Roman" w:cs="Times New Roman"/>
        <w:noProof/>
        <w:sz w:val="20"/>
        <w:szCs w:val="20"/>
        <w:lang w:val="en-US"/>
      </w:rPr>
    </w:pPr>
    <w:bookmarkStart w:id="23" w:name="_Hlk496261745"/>
    <w:bookmarkStart w:id="24" w:name="_Hlk496261746"/>
    <w:bookmarkStart w:id="25" w:name="_Hlk496261747"/>
    <w:bookmarkStart w:id="26" w:name="_Hlk30491063"/>
    <w:bookmarkStart w:id="27" w:name="_Hlk30491064"/>
  </w:p>
  <w:bookmarkEnd w:id="23"/>
  <w:bookmarkEnd w:id="24"/>
  <w:bookmarkEnd w:id="25"/>
  <w:bookmarkEnd w:id="26"/>
  <w:bookmarkEnd w:id="27"/>
  <w:p w14:paraId="6AE97012" w14:textId="77777777" w:rsidR="00EB5462" w:rsidRPr="000E218E" w:rsidRDefault="00EB5462" w:rsidP="00EB546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0D53"/>
    <w:multiLevelType w:val="hybridMultilevel"/>
    <w:tmpl w:val="C2B2CE3E"/>
    <w:lvl w:ilvl="0" w:tplc="AF8ABCB6">
      <w:start w:val="1"/>
      <w:numFmt w:val="decimal"/>
      <w:lvlText w:val="%1."/>
      <w:lvlJc w:val="left"/>
      <w:pPr>
        <w:ind w:left="1062" w:hanging="663"/>
      </w:pPr>
      <w:rPr>
        <w:rFonts w:ascii="Times New Roman" w:eastAsia="Times New Roman" w:hAnsi="Times New Roman" w:hint="default"/>
        <w:b/>
        <w:bCs/>
        <w:w w:val="103"/>
        <w:sz w:val="20"/>
        <w:szCs w:val="20"/>
      </w:rPr>
    </w:lvl>
    <w:lvl w:ilvl="1" w:tplc="14B845C2">
      <w:start w:val="1"/>
      <w:numFmt w:val="decimal"/>
      <w:lvlText w:val="%2)"/>
      <w:lvlJc w:val="left"/>
      <w:pPr>
        <w:ind w:left="2267" w:hanging="605"/>
        <w:jc w:val="right"/>
      </w:pPr>
      <w:rPr>
        <w:rFonts w:ascii="Times New Roman" w:eastAsia="Times New Roman" w:hAnsi="Times New Roman" w:hint="default"/>
        <w:w w:val="103"/>
        <w:sz w:val="20"/>
        <w:szCs w:val="20"/>
      </w:rPr>
    </w:lvl>
    <w:lvl w:ilvl="2" w:tplc="8A9281D8">
      <w:start w:val="1"/>
      <w:numFmt w:val="bullet"/>
      <w:lvlText w:val="•"/>
      <w:lvlJc w:val="left"/>
      <w:pPr>
        <w:ind w:left="2534" w:hanging="267"/>
      </w:pPr>
      <w:rPr>
        <w:rFonts w:ascii="Times New Roman" w:eastAsia="Times New Roman" w:hAnsi="Times New Roman" w:hint="default"/>
        <w:w w:val="103"/>
        <w:sz w:val="20"/>
        <w:szCs w:val="20"/>
      </w:rPr>
    </w:lvl>
    <w:lvl w:ilvl="3" w:tplc="D2489320">
      <w:start w:val="1"/>
      <w:numFmt w:val="bullet"/>
      <w:lvlText w:val="•"/>
      <w:lvlJc w:val="left"/>
      <w:pPr>
        <w:ind w:left="3352" w:hanging="267"/>
      </w:pPr>
      <w:rPr>
        <w:rFonts w:hint="default"/>
      </w:rPr>
    </w:lvl>
    <w:lvl w:ilvl="4" w:tplc="98DE2964">
      <w:start w:val="1"/>
      <w:numFmt w:val="bullet"/>
      <w:lvlText w:val="•"/>
      <w:lvlJc w:val="left"/>
      <w:pPr>
        <w:ind w:left="4170" w:hanging="267"/>
      </w:pPr>
      <w:rPr>
        <w:rFonts w:hint="default"/>
      </w:rPr>
    </w:lvl>
    <w:lvl w:ilvl="5" w:tplc="59769CBC">
      <w:start w:val="1"/>
      <w:numFmt w:val="bullet"/>
      <w:lvlText w:val="•"/>
      <w:lvlJc w:val="left"/>
      <w:pPr>
        <w:ind w:left="4988" w:hanging="267"/>
      </w:pPr>
      <w:rPr>
        <w:rFonts w:hint="default"/>
      </w:rPr>
    </w:lvl>
    <w:lvl w:ilvl="6" w:tplc="83AA858A">
      <w:start w:val="1"/>
      <w:numFmt w:val="bullet"/>
      <w:lvlText w:val="•"/>
      <w:lvlJc w:val="left"/>
      <w:pPr>
        <w:ind w:left="5807" w:hanging="267"/>
      </w:pPr>
      <w:rPr>
        <w:rFonts w:hint="default"/>
      </w:rPr>
    </w:lvl>
    <w:lvl w:ilvl="7" w:tplc="82F44058">
      <w:start w:val="1"/>
      <w:numFmt w:val="bullet"/>
      <w:lvlText w:val="•"/>
      <w:lvlJc w:val="left"/>
      <w:pPr>
        <w:ind w:left="6625" w:hanging="267"/>
      </w:pPr>
      <w:rPr>
        <w:rFonts w:hint="default"/>
      </w:rPr>
    </w:lvl>
    <w:lvl w:ilvl="8" w:tplc="DE1EC654">
      <w:start w:val="1"/>
      <w:numFmt w:val="bullet"/>
      <w:lvlText w:val="•"/>
      <w:lvlJc w:val="left"/>
      <w:pPr>
        <w:ind w:left="7443" w:hanging="267"/>
      </w:pPr>
      <w:rPr>
        <w:rFonts w:hint="default"/>
      </w:rPr>
    </w:lvl>
  </w:abstractNum>
  <w:abstractNum w:abstractNumId="1" w15:restartNumberingAfterBreak="0">
    <w:nsid w:val="13513BE9"/>
    <w:multiLevelType w:val="hybridMultilevel"/>
    <w:tmpl w:val="3582495A"/>
    <w:lvl w:ilvl="0" w:tplc="87068E5C">
      <w:start w:val="1"/>
      <w:numFmt w:val="lowerLetter"/>
      <w:lvlText w:val="(%1)"/>
      <w:lvlJc w:val="left"/>
      <w:pPr>
        <w:ind w:left="400" w:hanging="281"/>
      </w:pPr>
      <w:rPr>
        <w:rFonts w:ascii="Times New Roman" w:eastAsia="Times New Roman" w:hAnsi="Times New Roman" w:hint="default"/>
        <w:w w:val="103"/>
        <w:sz w:val="20"/>
        <w:szCs w:val="20"/>
      </w:rPr>
    </w:lvl>
    <w:lvl w:ilvl="1" w:tplc="06B81658">
      <w:start w:val="1"/>
      <w:numFmt w:val="bullet"/>
      <w:lvlText w:val="-"/>
      <w:lvlJc w:val="left"/>
      <w:pPr>
        <w:ind w:left="1078" w:hanging="340"/>
      </w:pPr>
      <w:rPr>
        <w:rFonts w:ascii="Times New Roman" w:eastAsia="Times New Roman" w:hAnsi="Times New Roman" w:hint="default"/>
        <w:w w:val="103"/>
        <w:sz w:val="20"/>
        <w:szCs w:val="20"/>
      </w:rPr>
    </w:lvl>
    <w:lvl w:ilvl="2" w:tplc="74348C88">
      <w:start w:val="1"/>
      <w:numFmt w:val="bullet"/>
      <w:lvlText w:val="•"/>
      <w:lvlJc w:val="left"/>
      <w:pPr>
        <w:ind w:left="1967" w:hanging="340"/>
      </w:pPr>
      <w:rPr>
        <w:rFonts w:hint="default"/>
      </w:rPr>
    </w:lvl>
    <w:lvl w:ilvl="3" w:tplc="C824C6F8">
      <w:start w:val="1"/>
      <w:numFmt w:val="bullet"/>
      <w:lvlText w:val="•"/>
      <w:lvlJc w:val="left"/>
      <w:pPr>
        <w:ind w:left="2856" w:hanging="340"/>
      </w:pPr>
      <w:rPr>
        <w:rFonts w:hint="default"/>
      </w:rPr>
    </w:lvl>
    <w:lvl w:ilvl="4" w:tplc="CFE88DA6">
      <w:start w:val="1"/>
      <w:numFmt w:val="bullet"/>
      <w:lvlText w:val="•"/>
      <w:lvlJc w:val="left"/>
      <w:pPr>
        <w:ind w:left="3745" w:hanging="340"/>
      </w:pPr>
      <w:rPr>
        <w:rFonts w:hint="default"/>
      </w:rPr>
    </w:lvl>
    <w:lvl w:ilvl="5" w:tplc="AF12BE7E">
      <w:start w:val="1"/>
      <w:numFmt w:val="bullet"/>
      <w:lvlText w:val="•"/>
      <w:lvlJc w:val="left"/>
      <w:pPr>
        <w:ind w:left="4634" w:hanging="340"/>
      </w:pPr>
      <w:rPr>
        <w:rFonts w:hint="default"/>
      </w:rPr>
    </w:lvl>
    <w:lvl w:ilvl="6" w:tplc="947E4D38">
      <w:start w:val="1"/>
      <w:numFmt w:val="bullet"/>
      <w:lvlText w:val="•"/>
      <w:lvlJc w:val="left"/>
      <w:pPr>
        <w:ind w:left="5523" w:hanging="340"/>
      </w:pPr>
      <w:rPr>
        <w:rFonts w:hint="default"/>
      </w:rPr>
    </w:lvl>
    <w:lvl w:ilvl="7" w:tplc="F558CA72">
      <w:start w:val="1"/>
      <w:numFmt w:val="bullet"/>
      <w:lvlText w:val="•"/>
      <w:lvlJc w:val="left"/>
      <w:pPr>
        <w:ind w:left="6412" w:hanging="340"/>
      </w:pPr>
      <w:rPr>
        <w:rFonts w:hint="default"/>
      </w:rPr>
    </w:lvl>
    <w:lvl w:ilvl="8" w:tplc="2E665600">
      <w:start w:val="1"/>
      <w:numFmt w:val="bullet"/>
      <w:lvlText w:val="•"/>
      <w:lvlJc w:val="left"/>
      <w:pPr>
        <w:ind w:left="7301" w:hanging="340"/>
      </w:pPr>
      <w:rPr>
        <w:rFonts w:hint="default"/>
      </w:rPr>
    </w:lvl>
  </w:abstractNum>
  <w:abstractNum w:abstractNumId="2" w15:restartNumberingAfterBreak="0">
    <w:nsid w:val="29777878"/>
    <w:multiLevelType w:val="hybridMultilevel"/>
    <w:tmpl w:val="B19ADFF2"/>
    <w:lvl w:ilvl="0" w:tplc="FC22267A">
      <w:start w:val="1"/>
      <w:numFmt w:val="bullet"/>
      <w:lvlText w:val=""/>
      <w:lvlJc w:val="left"/>
      <w:pPr>
        <w:ind w:left="1007" w:hanging="340"/>
      </w:pPr>
      <w:rPr>
        <w:rFonts w:ascii="Symbol" w:eastAsia="Symbol" w:hAnsi="Symbol" w:hint="default"/>
        <w:color w:val="272627"/>
        <w:w w:val="103"/>
        <w:sz w:val="19"/>
        <w:szCs w:val="19"/>
      </w:rPr>
    </w:lvl>
    <w:lvl w:ilvl="1" w:tplc="67EA1876">
      <w:start w:val="1"/>
      <w:numFmt w:val="bullet"/>
      <w:lvlText w:val="•"/>
      <w:lvlJc w:val="left"/>
      <w:pPr>
        <w:ind w:left="1810" w:hanging="340"/>
      </w:pPr>
      <w:rPr>
        <w:rFonts w:hint="default"/>
      </w:rPr>
    </w:lvl>
    <w:lvl w:ilvl="2" w:tplc="EC32F1FA">
      <w:start w:val="1"/>
      <w:numFmt w:val="bullet"/>
      <w:lvlText w:val="•"/>
      <w:lvlJc w:val="left"/>
      <w:pPr>
        <w:ind w:left="2614" w:hanging="340"/>
      </w:pPr>
      <w:rPr>
        <w:rFonts w:hint="default"/>
      </w:rPr>
    </w:lvl>
    <w:lvl w:ilvl="3" w:tplc="B6B0FF48">
      <w:start w:val="1"/>
      <w:numFmt w:val="bullet"/>
      <w:lvlText w:val="•"/>
      <w:lvlJc w:val="left"/>
      <w:pPr>
        <w:ind w:left="3417" w:hanging="340"/>
      </w:pPr>
      <w:rPr>
        <w:rFonts w:hint="default"/>
      </w:rPr>
    </w:lvl>
    <w:lvl w:ilvl="4" w:tplc="2B723656">
      <w:start w:val="1"/>
      <w:numFmt w:val="bullet"/>
      <w:lvlText w:val="•"/>
      <w:lvlJc w:val="left"/>
      <w:pPr>
        <w:ind w:left="4220" w:hanging="340"/>
      </w:pPr>
      <w:rPr>
        <w:rFonts w:hint="default"/>
      </w:rPr>
    </w:lvl>
    <w:lvl w:ilvl="5" w:tplc="DC5AEB2E">
      <w:start w:val="1"/>
      <w:numFmt w:val="bullet"/>
      <w:lvlText w:val="•"/>
      <w:lvlJc w:val="left"/>
      <w:pPr>
        <w:ind w:left="5023" w:hanging="340"/>
      </w:pPr>
      <w:rPr>
        <w:rFonts w:hint="default"/>
      </w:rPr>
    </w:lvl>
    <w:lvl w:ilvl="6" w:tplc="EB526568">
      <w:start w:val="1"/>
      <w:numFmt w:val="bullet"/>
      <w:lvlText w:val="•"/>
      <w:lvlJc w:val="left"/>
      <w:pPr>
        <w:ind w:left="5827" w:hanging="340"/>
      </w:pPr>
      <w:rPr>
        <w:rFonts w:hint="default"/>
      </w:rPr>
    </w:lvl>
    <w:lvl w:ilvl="7" w:tplc="BE2C570A">
      <w:start w:val="1"/>
      <w:numFmt w:val="bullet"/>
      <w:lvlText w:val="•"/>
      <w:lvlJc w:val="left"/>
      <w:pPr>
        <w:ind w:left="6630" w:hanging="340"/>
      </w:pPr>
      <w:rPr>
        <w:rFonts w:hint="default"/>
      </w:rPr>
    </w:lvl>
    <w:lvl w:ilvl="8" w:tplc="8C1EDF20">
      <w:start w:val="1"/>
      <w:numFmt w:val="bullet"/>
      <w:lvlText w:val="•"/>
      <w:lvlJc w:val="left"/>
      <w:pPr>
        <w:ind w:left="7433" w:hanging="340"/>
      </w:pPr>
      <w:rPr>
        <w:rFonts w:hint="default"/>
      </w:rPr>
    </w:lvl>
  </w:abstractNum>
  <w:abstractNum w:abstractNumId="3" w15:restartNumberingAfterBreak="0">
    <w:nsid w:val="32BD3074"/>
    <w:multiLevelType w:val="hybridMultilevel"/>
    <w:tmpl w:val="39B07282"/>
    <w:lvl w:ilvl="0" w:tplc="89445E8A">
      <w:start w:val="13"/>
      <w:numFmt w:val="upperLetter"/>
      <w:lvlText w:val="%1)"/>
      <w:lvlJc w:val="left"/>
      <w:pPr>
        <w:ind w:left="391" w:hanging="305"/>
      </w:pPr>
      <w:rPr>
        <w:rFonts w:ascii="Times New Roman" w:eastAsia="Times New Roman" w:hAnsi="Times New Roman" w:hint="default"/>
        <w:spacing w:val="-1"/>
        <w:w w:val="103"/>
        <w:sz w:val="20"/>
        <w:szCs w:val="20"/>
      </w:rPr>
    </w:lvl>
    <w:lvl w:ilvl="1" w:tplc="61B8550E">
      <w:start w:val="1"/>
      <w:numFmt w:val="bullet"/>
      <w:lvlText w:val=""/>
      <w:lvlJc w:val="left"/>
      <w:pPr>
        <w:ind w:left="1078" w:hanging="340"/>
      </w:pPr>
      <w:rPr>
        <w:rFonts w:ascii="Symbol" w:eastAsia="Symbol" w:hAnsi="Symbol" w:hint="default"/>
        <w:w w:val="103"/>
        <w:sz w:val="20"/>
        <w:szCs w:val="20"/>
      </w:rPr>
    </w:lvl>
    <w:lvl w:ilvl="2" w:tplc="6AB2942E">
      <w:start w:val="1"/>
      <w:numFmt w:val="bullet"/>
      <w:lvlText w:val="•"/>
      <w:lvlJc w:val="left"/>
      <w:pPr>
        <w:ind w:left="1204" w:hanging="340"/>
      </w:pPr>
      <w:rPr>
        <w:rFonts w:hint="default"/>
      </w:rPr>
    </w:lvl>
    <w:lvl w:ilvl="3" w:tplc="271A66D8">
      <w:start w:val="1"/>
      <w:numFmt w:val="bullet"/>
      <w:lvlText w:val="•"/>
      <w:lvlJc w:val="left"/>
      <w:pPr>
        <w:ind w:left="1330" w:hanging="340"/>
      </w:pPr>
      <w:rPr>
        <w:rFonts w:hint="default"/>
      </w:rPr>
    </w:lvl>
    <w:lvl w:ilvl="4" w:tplc="0C2E87E0">
      <w:start w:val="1"/>
      <w:numFmt w:val="bullet"/>
      <w:lvlText w:val="•"/>
      <w:lvlJc w:val="left"/>
      <w:pPr>
        <w:ind w:left="1455" w:hanging="340"/>
      </w:pPr>
      <w:rPr>
        <w:rFonts w:hint="default"/>
      </w:rPr>
    </w:lvl>
    <w:lvl w:ilvl="5" w:tplc="26CE3A8C">
      <w:start w:val="1"/>
      <w:numFmt w:val="bullet"/>
      <w:lvlText w:val="•"/>
      <w:lvlJc w:val="left"/>
      <w:pPr>
        <w:ind w:left="1581" w:hanging="340"/>
      </w:pPr>
      <w:rPr>
        <w:rFonts w:hint="default"/>
      </w:rPr>
    </w:lvl>
    <w:lvl w:ilvl="6" w:tplc="85FA27A4">
      <w:start w:val="1"/>
      <w:numFmt w:val="bullet"/>
      <w:lvlText w:val="•"/>
      <w:lvlJc w:val="left"/>
      <w:pPr>
        <w:ind w:left="1707" w:hanging="340"/>
      </w:pPr>
      <w:rPr>
        <w:rFonts w:hint="default"/>
      </w:rPr>
    </w:lvl>
    <w:lvl w:ilvl="7" w:tplc="1816608E">
      <w:start w:val="1"/>
      <w:numFmt w:val="bullet"/>
      <w:lvlText w:val="•"/>
      <w:lvlJc w:val="left"/>
      <w:pPr>
        <w:ind w:left="1833" w:hanging="340"/>
      </w:pPr>
      <w:rPr>
        <w:rFonts w:hint="default"/>
      </w:rPr>
    </w:lvl>
    <w:lvl w:ilvl="8" w:tplc="90766680">
      <w:start w:val="1"/>
      <w:numFmt w:val="bullet"/>
      <w:lvlText w:val="•"/>
      <w:lvlJc w:val="left"/>
      <w:pPr>
        <w:ind w:left="1959" w:hanging="340"/>
      </w:pPr>
      <w:rPr>
        <w:rFonts w:hint="default"/>
      </w:rPr>
    </w:lvl>
  </w:abstractNum>
  <w:abstractNum w:abstractNumId="4" w15:restartNumberingAfterBreak="0">
    <w:nsid w:val="522F2C42"/>
    <w:multiLevelType w:val="hybridMultilevel"/>
    <w:tmpl w:val="3F923C48"/>
    <w:lvl w:ilvl="0" w:tplc="F34E8086">
      <w:start w:val="1"/>
      <w:numFmt w:val="decimal"/>
      <w:lvlText w:val="%1."/>
      <w:lvlJc w:val="left"/>
      <w:pPr>
        <w:ind w:left="802" w:hanging="402"/>
      </w:pPr>
      <w:rPr>
        <w:rFonts w:ascii="Times New Roman" w:eastAsia="Times New Roman" w:hAnsi="Times New Roman" w:hint="default"/>
        <w:b/>
        <w:bCs/>
        <w:w w:val="99"/>
        <w:sz w:val="19"/>
        <w:szCs w:val="19"/>
      </w:rPr>
    </w:lvl>
    <w:lvl w:ilvl="1" w:tplc="15220AB2">
      <w:start w:val="1"/>
      <w:numFmt w:val="bullet"/>
      <w:lvlText w:val="•"/>
      <w:lvlJc w:val="left"/>
      <w:pPr>
        <w:ind w:left="1630" w:hanging="402"/>
      </w:pPr>
      <w:rPr>
        <w:rFonts w:hint="default"/>
      </w:rPr>
    </w:lvl>
    <w:lvl w:ilvl="2" w:tplc="944EEB12">
      <w:start w:val="1"/>
      <w:numFmt w:val="bullet"/>
      <w:lvlText w:val="•"/>
      <w:lvlJc w:val="left"/>
      <w:pPr>
        <w:ind w:left="2457" w:hanging="402"/>
      </w:pPr>
      <w:rPr>
        <w:rFonts w:hint="default"/>
      </w:rPr>
    </w:lvl>
    <w:lvl w:ilvl="3" w:tplc="B35C4BFA">
      <w:start w:val="1"/>
      <w:numFmt w:val="bullet"/>
      <w:lvlText w:val="•"/>
      <w:lvlJc w:val="left"/>
      <w:pPr>
        <w:ind w:left="3285" w:hanging="402"/>
      </w:pPr>
      <w:rPr>
        <w:rFonts w:hint="default"/>
      </w:rPr>
    </w:lvl>
    <w:lvl w:ilvl="4" w:tplc="3ABC86EC">
      <w:start w:val="1"/>
      <w:numFmt w:val="bullet"/>
      <w:lvlText w:val="•"/>
      <w:lvlJc w:val="left"/>
      <w:pPr>
        <w:ind w:left="4113" w:hanging="402"/>
      </w:pPr>
      <w:rPr>
        <w:rFonts w:hint="default"/>
      </w:rPr>
    </w:lvl>
    <w:lvl w:ilvl="5" w:tplc="B366D0D0">
      <w:start w:val="1"/>
      <w:numFmt w:val="bullet"/>
      <w:lvlText w:val="•"/>
      <w:lvlJc w:val="left"/>
      <w:pPr>
        <w:ind w:left="4941" w:hanging="402"/>
      </w:pPr>
      <w:rPr>
        <w:rFonts w:hint="default"/>
      </w:rPr>
    </w:lvl>
    <w:lvl w:ilvl="6" w:tplc="772EA260">
      <w:start w:val="1"/>
      <w:numFmt w:val="bullet"/>
      <w:lvlText w:val="•"/>
      <w:lvlJc w:val="left"/>
      <w:pPr>
        <w:ind w:left="5768" w:hanging="402"/>
      </w:pPr>
      <w:rPr>
        <w:rFonts w:hint="default"/>
      </w:rPr>
    </w:lvl>
    <w:lvl w:ilvl="7" w:tplc="D34A629E">
      <w:start w:val="1"/>
      <w:numFmt w:val="bullet"/>
      <w:lvlText w:val="•"/>
      <w:lvlJc w:val="left"/>
      <w:pPr>
        <w:ind w:left="6596" w:hanging="402"/>
      </w:pPr>
      <w:rPr>
        <w:rFonts w:hint="default"/>
      </w:rPr>
    </w:lvl>
    <w:lvl w:ilvl="8" w:tplc="9E640F96">
      <w:start w:val="1"/>
      <w:numFmt w:val="bullet"/>
      <w:lvlText w:val="•"/>
      <w:lvlJc w:val="left"/>
      <w:pPr>
        <w:ind w:left="7424" w:hanging="402"/>
      </w:pPr>
      <w:rPr>
        <w:rFonts w:hint="default"/>
      </w:rPr>
    </w:lvl>
  </w:abstractNum>
  <w:abstractNum w:abstractNumId="5" w15:restartNumberingAfterBreak="0">
    <w:nsid w:val="64A549B0"/>
    <w:multiLevelType w:val="hybridMultilevel"/>
    <w:tmpl w:val="561CE70C"/>
    <w:lvl w:ilvl="0" w:tplc="5B5894D0">
      <w:start w:val="4"/>
      <w:numFmt w:val="decimal"/>
      <w:lvlText w:val="%1)"/>
      <w:lvlJc w:val="left"/>
      <w:pPr>
        <w:ind w:left="2082" w:hanging="339"/>
      </w:pPr>
      <w:rPr>
        <w:rFonts w:ascii="Times New Roman" w:eastAsia="Times New Roman" w:hAnsi="Times New Roman" w:hint="default"/>
        <w:spacing w:val="-2"/>
        <w:w w:val="103"/>
        <w:sz w:val="20"/>
        <w:szCs w:val="20"/>
      </w:rPr>
    </w:lvl>
    <w:lvl w:ilvl="1" w:tplc="6AB8B1C6">
      <w:start w:val="1"/>
      <w:numFmt w:val="bullet"/>
      <w:lvlText w:val="•"/>
      <w:lvlJc w:val="left"/>
      <w:pPr>
        <w:ind w:left="2782" w:hanging="339"/>
      </w:pPr>
      <w:rPr>
        <w:rFonts w:hint="default"/>
      </w:rPr>
    </w:lvl>
    <w:lvl w:ilvl="2" w:tplc="70644964">
      <w:start w:val="1"/>
      <w:numFmt w:val="bullet"/>
      <w:lvlText w:val="•"/>
      <w:lvlJc w:val="left"/>
      <w:pPr>
        <w:ind w:left="3482" w:hanging="339"/>
      </w:pPr>
      <w:rPr>
        <w:rFonts w:hint="default"/>
      </w:rPr>
    </w:lvl>
    <w:lvl w:ilvl="3" w:tplc="03C0397E">
      <w:start w:val="1"/>
      <w:numFmt w:val="bullet"/>
      <w:lvlText w:val="•"/>
      <w:lvlJc w:val="left"/>
      <w:pPr>
        <w:ind w:left="4181" w:hanging="339"/>
      </w:pPr>
      <w:rPr>
        <w:rFonts w:hint="default"/>
      </w:rPr>
    </w:lvl>
    <w:lvl w:ilvl="4" w:tplc="FC76BF2E">
      <w:start w:val="1"/>
      <w:numFmt w:val="bullet"/>
      <w:lvlText w:val="•"/>
      <w:lvlJc w:val="left"/>
      <w:pPr>
        <w:ind w:left="4881" w:hanging="339"/>
      </w:pPr>
      <w:rPr>
        <w:rFonts w:hint="default"/>
      </w:rPr>
    </w:lvl>
    <w:lvl w:ilvl="5" w:tplc="B9B6FA3C">
      <w:start w:val="1"/>
      <w:numFmt w:val="bullet"/>
      <w:lvlText w:val="•"/>
      <w:lvlJc w:val="left"/>
      <w:pPr>
        <w:ind w:left="5581" w:hanging="339"/>
      </w:pPr>
      <w:rPr>
        <w:rFonts w:hint="default"/>
      </w:rPr>
    </w:lvl>
    <w:lvl w:ilvl="6" w:tplc="66E24130">
      <w:start w:val="1"/>
      <w:numFmt w:val="bullet"/>
      <w:lvlText w:val="•"/>
      <w:lvlJc w:val="left"/>
      <w:pPr>
        <w:ind w:left="6281" w:hanging="339"/>
      </w:pPr>
      <w:rPr>
        <w:rFonts w:hint="default"/>
      </w:rPr>
    </w:lvl>
    <w:lvl w:ilvl="7" w:tplc="3730A994">
      <w:start w:val="1"/>
      <w:numFmt w:val="bullet"/>
      <w:lvlText w:val="•"/>
      <w:lvlJc w:val="left"/>
      <w:pPr>
        <w:ind w:left="6980" w:hanging="339"/>
      </w:pPr>
      <w:rPr>
        <w:rFonts w:hint="default"/>
      </w:rPr>
    </w:lvl>
    <w:lvl w:ilvl="8" w:tplc="0356490E">
      <w:start w:val="1"/>
      <w:numFmt w:val="bullet"/>
      <w:lvlText w:val="•"/>
      <w:lvlJc w:val="left"/>
      <w:pPr>
        <w:ind w:left="7680" w:hanging="339"/>
      </w:pPr>
      <w:rPr>
        <w:rFonts w:hint="default"/>
      </w:rPr>
    </w:lvl>
  </w:abstractNum>
  <w:num w:numId="1" w16cid:durableId="1775322749">
    <w:abstractNumId w:val="3"/>
  </w:num>
  <w:num w:numId="2" w16cid:durableId="446390878">
    <w:abstractNumId w:val="5"/>
  </w:num>
  <w:num w:numId="3" w16cid:durableId="622615587">
    <w:abstractNumId w:val="0"/>
  </w:num>
  <w:num w:numId="4" w16cid:durableId="494688051">
    <w:abstractNumId w:val="1"/>
  </w:num>
  <w:num w:numId="5" w16cid:durableId="1186745333">
    <w:abstractNumId w:val="4"/>
  </w:num>
  <w:num w:numId="6" w16cid:durableId="97800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433C7"/>
    <w:rsid w:val="0008564A"/>
    <w:rsid w:val="000A16CB"/>
    <w:rsid w:val="0014359D"/>
    <w:rsid w:val="00164AD6"/>
    <w:rsid w:val="001A25E9"/>
    <w:rsid w:val="00282117"/>
    <w:rsid w:val="00296AEE"/>
    <w:rsid w:val="002A6FC8"/>
    <w:rsid w:val="0030124E"/>
    <w:rsid w:val="0033018D"/>
    <w:rsid w:val="00381513"/>
    <w:rsid w:val="003A5096"/>
    <w:rsid w:val="003C2370"/>
    <w:rsid w:val="00416D69"/>
    <w:rsid w:val="004640D5"/>
    <w:rsid w:val="00490D4C"/>
    <w:rsid w:val="004E6329"/>
    <w:rsid w:val="004E7BEB"/>
    <w:rsid w:val="00543804"/>
    <w:rsid w:val="00556D4B"/>
    <w:rsid w:val="0057035C"/>
    <w:rsid w:val="00587D37"/>
    <w:rsid w:val="005B29A2"/>
    <w:rsid w:val="00601E5F"/>
    <w:rsid w:val="00622F89"/>
    <w:rsid w:val="0063599C"/>
    <w:rsid w:val="006433C7"/>
    <w:rsid w:val="00695367"/>
    <w:rsid w:val="00696C13"/>
    <w:rsid w:val="006F55D4"/>
    <w:rsid w:val="007F0CFD"/>
    <w:rsid w:val="00862F82"/>
    <w:rsid w:val="00881273"/>
    <w:rsid w:val="0092105C"/>
    <w:rsid w:val="009300D5"/>
    <w:rsid w:val="00A421BF"/>
    <w:rsid w:val="00B555E8"/>
    <w:rsid w:val="00B77283"/>
    <w:rsid w:val="00BD6008"/>
    <w:rsid w:val="00BF018A"/>
    <w:rsid w:val="00C216B6"/>
    <w:rsid w:val="00C23EFC"/>
    <w:rsid w:val="00C67536"/>
    <w:rsid w:val="00C67B7D"/>
    <w:rsid w:val="00CB4FB3"/>
    <w:rsid w:val="00CE0E19"/>
    <w:rsid w:val="00CE5B9D"/>
    <w:rsid w:val="00CF138B"/>
    <w:rsid w:val="00D43EF1"/>
    <w:rsid w:val="00D5392A"/>
    <w:rsid w:val="00E626B1"/>
    <w:rsid w:val="00E80566"/>
    <w:rsid w:val="00E90B5C"/>
    <w:rsid w:val="00EB5462"/>
    <w:rsid w:val="00EE4470"/>
    <w:rsid w:val="00F55849"/>
    <w:rsid w:val="00FA5A01"/>
    <w:rsid w:val="00FB4AFF"/>
    <w:rsid w:val="00FB7E79"/>
    <w:rsid w:val="00FD73FA"/>
    <w:rsid w:val="00FE5464"/>
    <w:rsid w:val="00FF0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E626B1"/>
    <w:pPr>
      <w:jc w:val="both"/>
      <w:outlineLvl w:val="0"/>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30"/>
      <w:ind w:left="400"/>
    </w:pPr>
    <w:rPr>
      <w:rFonts w:ascii="Times New Roman" w:eastAsia="Times New Roman" w:hAnsi="Times New Roman"/>
      <w:b/>
      <w:bCs/>
      <w:sz w:val="19"/>
      <w:szCs w:val="19"/>
    </w:rPr>
  </w:style>
  <w:style w:type="paragraph" w:styleId="BodyText">
    <w:name w:val="Body Text"/>
    <w:basedOn w:val="Normal"/>
    <w:uiPriority w:val="1"/>
    <w:qFormat/>
    <w:rsid w:val="00556D4B"/>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A16CB"/>
    <w:pPr>
      <w:tabs>
        <w:tab w:val="center" w:pos="4513"/>
        <w:tab w:val="right" w:pos="9026"/>
      </w:tabs>
    </w:pPr>
  </w:style>
  <w:style w:type="character" w:customStyle="1" w:styleId="HeaderChar">
    <w:name w:val="Header Char"/>
    <w:basedOn w:val="DefaultParagraphFont"/>
    <w:link w:val="Header"/>
    <w:rsid w:val="000A16CB"/>
  </w:style>
  <w:style w:type="paragraph" w:styleId="Footer">
    <w:name w:val="footer"/>
    <w:basedOn w:val="Normal"/>
    <w:link w:val="FooterChar"/>
    <w:unhideWhenUsed/>
    <w:rsid w:val="000A16CB"/>
    <w:pPr>
      <w:tabs>
        <w:tab w:val="center" w:pos="4513"/>
        <w:tab w:val="right" w:pos="9026"/>
      </w:tabs>
    </w:pPr>
  </w:style>
  <w:style w:type="character" w:customStyle="1" w:styleId="FooterChar">
    <w:name w:val="Footer Char"/>
    <w:basedOn w:val="DefaultParagraphFont"/>
    <w:link w:val="Footer"/>
    <w:rsid w:val="000A16CB"/>
  </w:style>
  <w:style w:type="character" w:styleId="Hyperlink">
    <w:name w:val="Hyperlink"/>
    <w:basedOn w:val="DefaultParagraphFont"/>
    <w:uiPriority w:val="99"/>
    <w:unhideWhenUsed/>
    <w:rsid w:val="009300D5"/>
    <w:rPr>
      <w:color w:val="0000FF" w:themeColor="hyperlink"/>
      <w:u w:val="single"/>
    </w:rPr>
  </w:style>
  <w:style w:type="character" w:styleId="UnresolvedMention">
    <w:name w:val="Unresolved Mention"/>
    <w:basedOn w:val="DefaultParagraphFont"/>
    <w:uiPriority w:val="99"/>
    <w:semiHidden/>
    <w:unhideWhenUsed/>
    <w:rsid w:val="009300D5"/>
    <w:rPr>
      <w:color w:val="605E5C"/>
      <w:shd w:val="clear" w:color="auto" w:fill="E1DFDD"/>
    </w:rPr>
  </w:style>
  <w:style w:type="character" w:styleId="PageNumber">
    <w:name w:val="page number"/>
    <w:basedOn w:val="DefaultParagraphFont"/>
    <w:semiHidden/>
    <w:rsid w:val="006F55D4"/>
  </w:style>
  <w:style w:type="paragraph" w:styleId="TOCHeading">
    <w:name w:val="TOC Heading"/>
    <w:basedOn w:val="Heading1"/>
    <w:next w:val="Normal"/>
    <w:uiPriority w:val="39"/>
    <w:unhideWhenUsed/>
    <w:qFormat/>
    <w:rsid w:val="00C216B6"/>
    <w:pPr>
      <w:keepNext/>
      <w:keepLines/>
      <w:widowControl/>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DBAD-2424-4D51-A582-9A2BE55320FC}">
  <ds:schemaRefs>
    <ds:schemaRef ds:uri="http://schemas.microsoft.com/sharepoint/v3/contenttype/forms"/>
  </ds:schemaRefs>
</ds:datastoreItem>
</file>

<file path=customXml/itemProps2.xml><?xml version="1.0" encoding="utf-8"?>
<ds:datastoreItem xmlns:ds="http://schemas.openxmlformats.org/officeDocument/2006/customXml" ds:itemID="{95424055-3942-4049-8077-1BF6DE7D6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0F059-D497-4F02-BE39-C444DAC0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14155</Words>
  <Characters>8069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2022-01-04T08:30:00Z</dcterms:created>
  <dcterms:modified xsi:type="dcterms:W3CDTF">2022-10-11T07:10:00Z</dcterms:modified>
</cp:coreProperties>
</file>